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0CDF" w:rsidP="00214F3F" w14:paraId="07AA3493" w14:textId="77777777">
      <w:pPr>
        <w:rPr>
          <w:rFonts w:cs="Times New Roman"/>
          <w:color w:val="000000" w:themeColor="text1"/>
        </w:rPr>
      </w:pPr>
      <w:bookmarkStart w:id="0" w:name="OLE_LINK1"/>
      <w:r>
        <w:rPr>
          <w:rFonts w:cs="Times New Roman"/>
          <w:noProof/>
          <w:color w:val="000000" w:themeColor="text1"/>
        </w:rPr>
        <w:drawing>
          <wp:inline distT="0" distB="0" distL="0" distR="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sealcolorm"/>
                    <pic:cNvPicPr>
                      <a:picLocks noChangeAspect="1" noChangeArrowheads="1"/>
                    </pic:cNvPicPr>
                  </pic:nvPicPr>
                  <pic:blipFill>
                    <a:blip xmlns:r="http://schemas.openxmlformats.org/officeDocument/2006/relationships" r:embed="rId9" cstate="prin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p>
    <w:p w:rsidR="00050CDF" w:rsidP="00214F3F" w14:paraId="27AFA1F4" w14:textId="77777777">
      <w:pPr>
        <w:rPr>
          <w:rFonts w:cs="Times New Roman"/>
          <w:b/>
          <w:color w:val="000000" w:themeColor="text1"/>
        </w:rPr>
      </w:pPr>
    </w:p>
    <w:p w:rsidR="00050CDF" w:rsidP="00214F3F" w14:paraId="17E4CA1C" w14:textId="77777777">
      <w:pPr>
        <w:rPr>
          <w:rFonts w:cs="Times New Roman"/>
          <w:b/>
          <w:color w:val="000000" w:themeColor="text1"/>
        </w:rPr>
      </w:pPr>
    </w:p>
    <w:p w:rsidR="00050CDF" w:rsidP="00214F3F" w14:paraId="3F2A5E0D" w14:textId="77777777">
      <w:pPr>
        <w:rPr>
          <w:rFonts w:cs="Times New Roman"/>
          <w:b/>
          <w:color w:val="000000" w:themeColor="text1"/>
        </w:rPr>
      </w:pPr>
      <w:r>
        <w:rPr>
          <w:rFonts w:cs="Times New Roman"/>
          <w:b/>
          <w:color w:val="000000" w:themeColor="text1"/>
        </w:rPr>
        <w:t>U.S. Department of Justice</w:t>
      </w:r>
    </w:p>
    <w:p w:rsidR="00050CDF" w:rsidP="00214F3F" w14:paraId="5766F64F" w14:textId="77777777">
      <w:pPr>
        <w:rPr>
          <w:rFonts w:cs="Times New Roman"/>
          <w:color w:val="000000" w:themeColor="text1"/>
        </w:rPr>
      </w:pPr>
    </w:p>
    <w:p w:rsidR="00050CDF" w:rsidP="00214F3F" w14:paraId="24040985" w14:textId="77777777">
      <w:pPr>
        <w:rPr>
          <w:rFonts w:cs="Times New Roman"/>
          <w:color w:val="000000" w:themeColor="text1"/>
        </w:rPr>
      </w:pPr>
      <w:r>
        <w:rPr>
          <w:rFonts w:cs="Times New Roman"/>
          <w:color w:val="000000" w:themeColor="text1"/>
        </w:rPr>
        <w:t>Office of Justice Programs</w:t>
      </w:r>
    </w:p>
    <w:p w:rsidR="00050CDF" w:rsidP="00214F3F" w14:paraId="49EDFE78" w14:textId="77777777">
      <w:pPr>
        <w:rPr>
          <w:rFonts w:cs="Times New Roman"/>
          <w:color w:val="000000" w:themeColor="text1"/>
        </w:rPr>
      </w:pPr>
    </w:p>
    <w:p w:rsidR="00050CDF" w:rsidP="00214F3F" w14:paraId="4A48228D" w14:textId="77777777">
      <w:pPr>
        <w:rPr>
          <w:rFonts w:cs="Times New Roman"/>
          <w:i/>
          <w:color w:val="000000" w:themeColor="text1"/>
        </w:rPr>
      </w:pPr>
      <w:r>
        <w:rPr>
          <w:rFonts w:cs="Times New Roman"/>
          <w:i/>
          <w:color w:val="000000" w:themeColor="text1"/>
        </w:rPr>
        <w:t>Bureau of Justice Statistics</w:t>
      </w:r>
    </w:p>
    <w:p w:rsidR="00050CDF" w:rsidP="00214F3F" w14:paraId="4C6256B6" w14:textId="77777777">
      <w:pPr>
        <w:rPr>
          <w:rFonts w:cs="Times New Roman"/>
          <w:color w:val="000000" w:themeColor="text1"/>
        </w:rPr>
        <w:sectPr w:rsidSect="00050CDF">
          <w:footerReference w:type="default" r:id="rId10"/>
          <w:pgSz w:w="12240" w:h="15840"/>
          <w:pgMar w:top="720" w:right="1440" w:bottom="1440" w:left="1440" w:header="720" w:footer="720" w:gutter="0"/>
          <w:cols w:num="2" w:space="720"/>
          <w:docGrid w:linePitch="360"/>
        </w:sectPr>
      </w:pPr>
    </w:p>
    <w:p w:rsidR="00050CDF" w:rsidP="00214F3F" w14:paraId="73A555A3" w14:textId="77777777">
      <w:pPr>
        <w:pBdr>
          <w:top w:val="single" w:sz="18" w:space="1" w:color="auto"/>
        </w:pBdr>
        <w:rPr>
          <w:rFonts w:cs="Times New Roman"/>
          <w:i/>
          <w:color w:val="000000" w:themeColor="text1"/>
        </w:rPr>
      </w:pP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color w:val="000000" w:themeColor="text1"/>
        </w:rPr>
        <w:tab/>
      </w:r>
      <w:r>
        <w:rPr>
          <w:rFonts w:cs="Times New Roman"/>
          <w:i/>
          <w:color w:val="000000" w:themeColor="text1"/>
        </w:rPr>
        <w:t>Washington, D.C. 20531</w:t>
      </w:r>
    </w:p>
    <w:p w:rsidR="00050CDF" w:rsidP="00214F3F" w14:paraId="28D34008" w14:textId="77777777">
      <w:pPr>
        <w:widowControl w:val="0"/>
        <w:autoSpaceDE w:val="0"/>
        <w:autoSpaceDN w:val="0"/>
        <w:adjustRightInd w:val="0"/>
        <w:rPr>
          <w:rFonts w:cs="Times New Roman"/>
          <w:b/>
          <w:color w:val="000000" w:themeColor="text1"/>
        </w:rPr>
      </w:pPr>
    </w:p>
    <w:p w:rsidR="00050CDF" w:rsidP="00214F3F" w14:paraId="4B4C4973" w14:textId="77777777">
      <w:pPr>
        <w:widowControl w:val="0"/>
        <w:autoSpaceDE w:val="0"/>
        <w:autoSpaceDN w:val="0"/>
        <w:adjustRightInd w:val="0"/>
        <w:rPr>
          <w:rFonts w:cs="Times New Roman"/>
          <w:b/>
          <w:color w:val="000000" w:themeColor="text1"/>
        </w:rPr>
      </w:pPr>
      <w:r>
        <w:rPr>
          <w:rFonts w:cs="Times New Roman"/>
          <w:b/>
          <w:color w:val="000000" w:themeColor="text1"/>
        </w:rPr>
        <w:t>MEMORANDUM</w:t>
      </w:r>
    </w:p>
    <w:p w:rsidR="00050CDF" w:rsidP="00214F3F" w14:paraId="48AA92C0" w14:textId="77777777">
      <w:pPr>
        <w:widowControl w:val="0"/>
        <w:autoSpaceDE w:val="0"/>
        <w:autoSpaceDN w:val="0"/>
        <w:adjustRightInd w:val="0"/>
        <w:rPr>
          <w:rFonts w:cs="Times New Roman"/>
          <w:color w:val="000000" w:themeColor="text1"/>
          <w:sz w:val="22"/>
          <w:szCs w:val="22"/>
        </w:rPr>
      </w:pPr>
    </w:p>
    <w:p w:rsidR="00050CDF" w:rsidP="00214F3F" w14:paraId="52CC9EA6" w14:textId="77777777">
      <w:pPr>
        <w:widowControl w:val="0"/>
        <w:autoSpaceDE w:val="0"/>
        <w:autoSpaceDN w:val="0"/>
        <w:adjustRightInd w:val="0"/>
        <w:rPr>
          <w:rFonts w:cs="Times New Roman"/>
          <w:color w:val="000000" w:themeColor="text1"/>
          <w:sz w:val="22"/>
          <w:szCs w:val="22"/>
        </w:rPr>
      </w:pPr>
    </w:p>
    <w:p w:rsidR="00050CDF" w:rsidRPr="00EE5940" w:rsidP="00214F3F" w14:paraId="083ACB66" w14:textId="28F939E3">
      <w:pPr>
        <w:pStyle w:val="PlainText"/>
        <w:rPr>
          <w:rFonts w:ascii="Times New Roman" w:hAnsi="Times New Roman" w:cs="Times New Roman"/>
          <w:color w:val="000000" w:themeColor="text1"/>
          <w:sz w:val="24"/>
          <w:szCs w:val="22"/>
        </w:rPr>
      </w:pPr>
      <w:r w:rsidRPr="00FE4DEA">
        <w:rPr>
          <w:rFonts w:ascii="Times New Roman" w:hAnsi="Times New Roman" w:cs="Times New Roman"/>
          <w:b/>
          <w:bCs/>
          <w:color w:val="000000" w:themeColor="text1"/>
          <w:sz w:val="24"/>
          <w:szCs w:val="22"/>
        </w:rPr>
        <w:t>To:</w:t>
      </w:r>
      <w:r>
        <w:rPr>
          <w:rFonts w:ascii="Times New Roman" w:hAnsi="Times New Roman" w:cs="Times New Roman"/>
          <w:color w:val="000000" w:themeColor="text1"/>
          <w:sz w:val="24"/>
          <w:szCs w:val="22"/>
        </w:rPr>
        <w:t xml:space="preserve"> </w:t>
      </w:r>
      <w:r>
        <w:rPr>
          <w:rFonts w:ascii="Times New Roman" w:hAnsi="Times New Roman" w:cs="Times New Roman"/>
          <w:color w:val="000000" w:themeColor="text1"/>
          <w:sz w:val="24"/>
          <w:szCs w:val="22"/>
        </w:rPr>
        <w:tab/>
      </w:r>
      <w:r>
        <w:rPr>
          <w:rFonts w:ascii="Times New Roman" w:hAnsi="Times New Roman" w:cs="Times New Roman"/>
          <w:color w:val="000000" w:themeColor="text1"/>
          <w:sz w:val="24"/>
          <w:szCs w:val="22"/>
        </w:rPr>
        <w:tab/>
        <w:t>Office of the Chief Statistician of the United States</w:t>
      </w:r>
    </w:p>
    <w:p w:rsidR="00050CDF" w:rsidP="00214F3F" w14:paraId="5299C5F2" w14:textId="77777777">
      <w:pPr>
        <w:pStyle w:val="PlainText"/>
        <w:rPr>
          <w:rFonts w:ascii="Times New Roman" w:hAnsi="Times New Roman" w:cs="Times New Roman"/>
          <w:color w:val="000000" w:themeColor="text1"/>
          <w:sz w:val="24"/>
          <w:szCs w:val="22"/>
        </w:rPr>
      </w:pPr>
      <w:r w:rsidRPr="00EE5940">
        <w:rPr>
          <w:rFonts w:ascii="Times New Roman" w:hAnsi="Times New Roman" w:cs="Times New Roman"/>
          <w:color w:val="000000" w:themeColor="text1"/>
          <w:sz w:val="24"/>
          <w:szCs w:val="22"/>
        </w:rPr>
        <w:tab/>
      </w:r>
      <w:r w:rsidRPr="00EE5940">
        <w:rPr>
          <w:rFonts w:ascii="Times New Roman" w:hAnsi="Times New Roman" w:cs="Times New Roman"/>
          <w:color w:val="000000" w:themeColor="text1"/>
          <w:sz w:val="24"/>
          <w:szCs w:val="22"/>
        </w:rPr>
        <w:tab/>
        <w:t>Office of Management and Budget</w:t>
      </w:r>
    </w:p>
    <w:p w:rsidR="00050CDF" w:rsidP="00214F3F" w14:paraId="704BB019" w14:textId="77777777">
      <w:pPr>
        <w:pStyle w:val="PlainText"/>
        <w:rPr>
          <w:rFonts w:ascii="Times New Roman" w:hAnsi="Times New Roman" w:cs="Times New Roman"/>
          <w:sz w:val="24"/>
          <w:szCs w:val="22"/>
        </w:rPr>
      </w:pPr>
    </w:p>
    <w:p w:rsidR="00050CDF" w:rsidP="00214F3F" w14:paraId="6E1C028C" w14:textId="418F2696">
      <w:pPr>
        <w:rPr>
          <w:rFonts w:cs="Times New Roman"/>
          <w:color w:val="000000" w:themeColor="text1"/>
          <w:szCs w:val="22"/>
        </w:rPr>
      </w:pPr>
      <w:r w:rsidRPr="00FE4DEA">
        <w:rPr>
          <w:rFonts w:cs="Times New Roman"/>
          <w:b/>
          <w:bCs/>
          <w:color w:val="000000" w:themeColor="text1"/>
          <w:szCs w:val="22"/>
        </w:rPr>
        <w:t>From:</w:t>
      </w:r>
      <w:r w:rsidRPr="00FE4DEA">
        <w:rPr>
          <w:rFonts w:cs="Times New Roman"/>
          <w:b/>
          <w:bCs/>
          <w:color w:val="000000" w:themeColor="text1"/>
          <w:szCs w:val="22"/>
        </w:rPr>
        <w:tab/>
      </w:r>
      <w:r>
        <w:rPr>
          <w:rFonts w:cs="Times New Roman"/>
          <w:color w:val="000000" w:themeColor="text1"/>
          <w:szCs w:val="22"/>
        </w:rPr>
        <w:tab/>
        <w:t>Bureau of Justice Statistics</w:t>
      </w:r>
    </w:p>
    <w:p w:rsidR="00050CDF" w:rsidP="00214F3F" w14:paraId="439AB5F6" w14:textId="77777777">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p>
    <w:p w:rsidR="00050CDF" w:rsidP="00214F3F" w14:paraId="21437702" w14:textId="263D3430">
      <w:pPr>
        <w:rPr>
          <w:rFonts w:cs="Times New Roman"/>
          <w:color w:val="000000" w:themeColor="text1"/>
        </w:rPr>
      </w:pPr>
      <w:r w:rsidRPr="00FE4DEA">
        <w:rPr>
          <w:rFonts w:cs="Times New Roman"/>
          <w:b/>
          <w:bCs/>
          <w:color w:val="000000" w:themeColor="text1"/>
        </w:rPr>
        <w:t>Date:</w:t>
      </w:r>
      <w:r>
        <w:rPr>
          <w:rFonts w:cs="Times New Roman"/>
          <w:color w:val="000000" w:themeColor="text1"/>
        </w:rPr>
        <w:tab/>
      </w:r>
      <w:r>
        <w:rPr>
          <w:rFonts w:cs="Times New Roman"/>
          <w:color w:val="000000" w:themeColor="text1"/>
        </w:rPr>
        <w:tab/>
      </w:r>
      <w:r w:rsidR="001D4C72">
        <w:rPr>
          <w:rFonts w:cs="Times New Roman"/>
          <w:color w:val="000000" w:themeColor="text1"/>
        </w:rPr>
        <w:t>May</w:t>
      </w:r>
      <w:r w:rsidRPr="00D647A0" w:rsidR="001D4C72">
        <w:rPr>
          <w:rFonts w:cs="Times New Roman"/>
          <w:color w:val="000000" w:themeColor="text1"/>
        </w:rPr>
        <w:t xml:space="preserve"> </w:t>
      </w:r>
      <w:r w:rsidR="009B1C2C">
        <w:rPr>
          <w:rFonts w:cs="Times New Roman"/>
          <w:color w:val="000000" w:themeColor="text1"/>
        </w:rPr>
        <w:t>27</w:t>
      </w:r>
      <w:r w:rsidRPr="00D647A0">
        <w:rPr>
          <w:rFonts w:cs="Times New Roman"/>
          <w:color w:val="000000" w:themeColor="text1"/>
        </w:rPr>
        <w:t>, 2025</w:t>
      </w:r>
    </w:p>
    <w:p w:rsidR="00050CDF" w:rsidP="00214F3F" w14:paraId="34395CFF" w14:textId="77777777">
      <w:pPr>
        <w:rPr>
          <w:rFonts w:cs="Times New Roman"/>
          <w:color w:val="000000" w:themeColor="text1"/>
        </w:rPr>
      </w:pPr>
    </w:p>
    <w:p w:rsidR="00050CDF" w:rsidP="00214F3F" w14:paraId="17B1713D" w14:textId="7CC90234">
      <w:pPr>
        <w:pBdr>
          <w:bottom w:val="single" w:sz="12" w:space="1" w:color="auto"/>
        </w:pBdr>
        <w:ind w:left="1440" w:hanging="1440"/>
        <w:rPr>
          <w:rFonts w:cs="Times New Roman"/>
        </w:rPr>
      </w:pPr>
      <w:r w:rsidRPr="00FE4DEA">
        <w:rPr>
          <w:rFonts w:cs="Times New Roman"/>
          <w:b/>
          <w:bCs/>
          <w:color w:val="000000" w:themeColor="text1"/>
        </w:rPr>
        <w:t>Subject:</w:t>
      </w:r>
      <w:r>
        <w:rPr>
          <w:rFonts w:cs="Times New Roman"/>
          <w:color w:val="000000" w:themeColor="text1"/>
        </w:rPr>
        <w:tab/>
        <w:t xml:space="preserve">Request </w:t>
      </w:r>
      <w:r w:rsidR="00214F3F">
        <w:rPr>
          <w:rFonts w:cs="Times New Roman"/>
          <w:color w:val="000000" w:themeColor="text1"/>
        </w:rPr>
        <w:t xml:space="preserve">for generic clearance </w:t>
      </w:r>
      <w:r>
        <w:rPr>
          <w:rFonts w:cs="Times New Roman"/>
          <w:color w:val="000000" w:themeColor="text1"/>
        </w:rPr>
        <w:t xml:space="preserve">to </w:t>
      </w:r>
      <w:bookmarkStart w:id="1" w:name="_Hlk198619102"/>
      <w:r w:rsidR="00EA739C">
        <w:rPr>
          <w:rFonts w:cs="Times New Roman"/>
          <w:color w:val="000000" w:themeColor="text1"/>
        </w:rPr>
        <w:t xml:space="preserve">conduct focus groups to </w:t>
      </w:r>
      <w:r w:rsidR="00EA739C">
        <w:t>explore how criminal justice entities 1) define digital evidence</w:t>
      </w:r>
      <w:r w:rsidR="00214F3F">
        <w:t>;</w:t>
      </w:r>
      <w:r w:rsidR="00EA739C">
        <w:t xml:space="preserve"> 2) collect, analyze, and retain digital evidence</w:t>
      </w:r>
      <w:r w:rsidR="00214F3F">
        <w:t>;</w:t>
      </w:r>
      <w:r w:rsidR="00EA739C">
        <w:t xml:space="preserve"> and 3) use findings acquired from digital evidence and assess its impact on their investigations</w:t>
      </w:r>
      <w:r w:rsidR="00EA739C">
        <w:rPr>
          <w:rFonts w:cs="Times New Roman"/>
          <w:color w:val="000000" w:themeColor="text1"/>
        </w:rPr>
        <w:t xml:space="preserve">. </w:t>
      </w:r>
    </w:p>
    <w:bookmarkEnd w:id="1"/>
    <w:p w:rsidR="00050CDF" w:rsidP="00C379F5" w14:paraId="0D51F965" w14:textId="77777777">
      <w:pPr>
        <w:pBdr>
          <w:bottom w:val="single" w:sz="12" w:space="1" w:color="auto"/>
        </w:pBdr>
        <w:ind w:left="1440" w:hanging="1440"/>
        <w:rPr>
          <w:rFonts w:cs="Times New Roman"/>
        </w:rPr>
      </w:pPr>
    </w:p>
    <w:p w:rsidR="00050CDF" w:rsidP="00C379F5" w14:paraId="1CD94F11" w14:textId="77777777">
      <w:pPr>
        <w:ind w:left="1440" w:hanging="1440"/>
        <w:rPr>
          <w:rFonts w:cs="Times New Roman"/>
          <w:color w:val="000000" w:themeColor="text1"/>
        </w:rPr>
      </w:pPr>
    </w:p>
    <w:p w:rsidR="00050CDF" w:rsidRPr="00EA739C" w:rsidP="00C379F5" w14:paraId="3B51D2F3" w14:textId="5B9F8780">
      <w:pPr>
        <w:pStyle w:val="ListParagraph"/>
        <w:numPr>
          <w:ilvl w:val="0"/>
          <w:numId w:val="6"/>
        </w:numPr>
        <w:rPr>
          <w:rFonts w:cs="Times New Roman"/>
          <w:b/>
          <w:bCs/>
          <w:color w:val="000000" w:themeColor="text1"/>
        </w:rPr>
      </w:pPr>
      <w:r w:rsidRPr="00C506C2">
        <w:rPr>
          <w:rFonts w:cs="Times New Roman"/>
          <w:b/>
          <w:bCs/>
          <w:color w:val="000000" w:themeColor="text1"/>
        </w:rPr>
        <w:t>Introduction</w:t>
      </w:r>
    </w:p>
    <w:p w:rsidR="00EA739C" w:rsidP="00C379F5" w14:paraId="571BB3E2" w14:textId="7C546E73">
      <w:pPr>
        <w:rPr>
          <w:rFonts w:cs="Times New Roman"/>
        </w:rPr>
      </w:pPr>
      <w:r w:rsidRPr="00D827C7">
        <w:rPr>
          <w:rFonts w:cs="Times New Roman"/>
        </w:rPr>
        <w:t>The Bureau of Justice Statistics (BJS)</w:t>
      </w:r>
      <w:r w:rsidR="00491B6C">
        <w:rPr>
          <w:rFonts w:cs="Times New Roman"/>
        </w:rPr>
        <w:t xml:space="preserve">, through a cooperative agreement with RTI International (Award: </w:t>
      </w:r>
      <w:r w:rsidRPr="001773A9" w:rsidR="00FD3E94">
        <w:rPr>
          <w:rFonts w:cs="Times New Roman"/>
        </w:rPr>
        <w:t>15PBJS-24-GK-01761-BJSB</w:t>
      </w:r>
      <w:r w:rsidR="00491B6C">
        <w:rPr>
          <w:rFonts w:cs="Times New Roman"/>
        </w:rPr>
        <w:t xml:space="preserve">), is exploring how </w:t>
      </w:r>
      <w:r w:rsidR="00491B6C">
        <w:t>entities 1) define digital evidence</w:t>
      </w:r>
      <w:r w:rsidR="00214F3F">
        <w:t>;</w:t>
      </w:r>
      <w:r w:rsidR="00491B6C">
        <w:t xml:space="preserve"> 2) collect, analyze, and retain digital evidence</w:t>
      </w:r>
      <w:r w:rsidR="00214F3F">
        <w:t>;</w:t>
      </w:r>
      <w:r w:rsidR="00491B6C">
        <w:t xml:space="preserve"> and 3) use findings acquired from digital evidence and assess its impact on their investigations. </w:t>
      </w:r>
      <w:r w:rsidR="00491B6C">
        <w:rPr>
          <w:rFonts w:cs="Times New Roman"/>
        </w:rPr>
        <w:t xml:space="preserve">BJS is requesting clearance under the BJS OMB </w:t>
      </w:r>
      <w:r w:rsidRPr="00D827C7">
        <w:rPr>
          <w:rFonts w:cs="Times New Roman"/>
        </w:rPr>
        <w:t xml:space="preserve">generic clearance agreement (OMB Control #1121-0339) to conduct </w:t>
      </w:r>
      <w:r>
        <w:rPr>
          <w:rFonts w:cs="Times New Roman"/>
        </w:rPr>
        <w:t>focus group interviews on digital evidence t</w:t>
      </w:r>
      <w:r w:rsidRPr="00D827C7">
        <w:rPr>
          <w:rFonts w:cs="Times New Roman"/>
        </w:rPr>
        <w:t xml:space="preserve">o understand the issues involved in measuring </w:t>
      </w:r>
      <w:r>
        <w:rPr>
          <w:rFonts w:cs="Times New Roman"/>
        </w:rPr>
        <w:t>the prevalence, type, identification, analysis, retention and use of digital evidence in criminal cases within law enforcement, crime labs, and court practitioners</w:t>
      </w:r>
      <w:r w:rsidR="000D6021">
        <w:rPr>
          <w:rFonts w:cs="Times New Roman"/>
        </w:rPr>
        <w:t>.</w:t>
      </w:r>
      <w:r w:rsidRPr="00DC5BC5">
        <w:rPr>
          <w:rFonts w:cs="Times New Roman"/>
        </w:rPr>
        <w:t xml:space="preserve"> </w:t>
      </w:r>
    </w:p>
    <w:p w:rsidR="00EA739C" w:rsidP="00214F3F" w14:paraId="286093FE" w14:textId="15EC2DDE">
      <w:pPr>
        <w:autoSpaceDE w:val="0"/>
        <w:autoSpaceDN w:val="0"/>
        <w:adjustRightInd w:val="0"/>
        <w:contextualSpacing/>
        <w:rPr>
          <w:rFonts w:cs="Times New Roman"/>
          <w:color w:val="000000" w:themeColor="text1"/>
        </w:rPr>
      </w:pPr>
    </w:p>
    <w:p w:rsidR="00EA739C" w:rsidRPr="00E34303" w:rsidP="00C379F5" w14:paraId="571E9EFB" w14:textId="36A44945">
      <w:pPr>
        <w:rPr>
          <w:rFonts w:cs="Times New Roman"/>
        </w:rPr>
      </w:pPr>
      <w:r w:rsidRPr="00E477D3">
        <w:rPr>
          <w:rFonts w:cs="Times New Roman"/>
        </w:rPr>
        <w:t>Digital forensics plays a crucial role in solving crimes involving digital data</w:t>
      </w:r>
      <w:r w:rsidR="00214F3F">
        <w:rPr>
          <w:rFonts w:cs="Times New Roman"/>
        </w:rPr>
        <w:t xml:space="preserve"> by</w:t>
      </w:r>
      <w:r w:rsidRPr="00E477D3">
        <w:rPr>
          <w:rFonts w:cs="Times New Roman"/>
        </w:rPr>
        <w:t xml:space="preserve"> employing various techniques within legal boundaries to extract and analyze information relevant to understanding incidents.</w:t>
      </w:r>
      <w:r w:rsidRPr="00E477D3" w:rsidR="009A76C1">
        <w:rPr>
          <w:rFonts w:cs="Times New Roman"/>
        </w:rPr>
        <w:t xml:space="preserve"> </w:t>
      </w:r>
      <w:r w:rsidRPr="00E477D3" w:rsidR="00E477D3">
        <w:rPr>
          <w:rFonts w:cs="Times New Roman"/>
        </w:rPr>
        <w:t xml:space="preserve">As technology continues to evolve, the </w:t>
      </w:r>
      <w:r w:rsidRPr="00E477D3">
        <w:rPr>
          <w:rFonts w:cs="Times New Roman"/>
        </w:rPr>
        <w:t xml:space="preserve">criminal justice system has </w:t>
      </w:r>
      <w:r w:rsidRPr="00E477D3" w:rsidR="00E477D3">
        <w:rPr>
          <w:rFonts w:cs="Times New Roman"/>
        </w:rPr>
        <w:t xml:space="preserve">struggled to keep pace with </w:t>
      </w:r>
      <w:r w:rsidRPr="00E477D3">
        <w:rPr>
          <w:rFonts w:cs="Times New Roman"/>
        </w:rPr>
        <w:t xml:space="preserve">the </w:t>
      </w:r>
      <w:r w:rsidR="006702FD">
        <w:rPr>
          <w:rFonts w:cs="Times New Roman"/>
        </w:rPr>
        <w:t>collection</w:t>
      </w:r>
      <w:r w:rsidRPr="00E477D3" w:rsidR="003B3B18">
        <w:rPr>
          <w:rFonts w:cs="Times New Roman"/>
        </w:rPr>
        <w:t xml:space="preserve"> </w:t>
      </w:r>
      <w:r w:rsidRPr="00E477D3">
        <w:rPr>
          <w:rFonts w:cs="Times New Roman"/>
        </w:rPr>
        <w:t xml:space="preserve">of digital information in investigations and managing digital evidence processing. </w:t>
      </w:r>
      <w:r w:rsidRPr="00E477D3" w:rsidR="00E477D3">
        <w:rPr>
          <w:rFonts w:cs="Times New Roman"/>
        </w:rPr>
        <w:t>Consequently, t</w:t>
      </w:r>
      <w:r w:rsidRPr="00E477D3">
        <w:rPr>
          <w:rFonts w:cs="Times New Roman"/>
        </w:rPr>
        <w:t>he field’s importance has grown significantly</w:t>
      </w:r>
      <w:r w:rsidRPr="00E477D3" w:rsidR="00E477D3">
        <w:rPr>
          <w:rFonts w:cs="Times New Roman"/>
        </w:rPr>
        <w:t xml:space="preserve">, driven by </w:t>
      </w:r>
      <w:r w:rsidRPr="00E477D3">
        <w:rPr>
          <w:rFonts w:cs="Times New Roman"/>
        </w:rPr>
        <w:t>the exponential increase in digital device usage and data generation.</w:t>
      </w:r>
      <w:r w:rsidRPr="00E34303">
        <w:rPr>
          <w:rFonts w:cs="Times New Roman"/>
        </w:rPr>
        <w:t xml:space="preserve"> </w:t>
      </w:r>
    </w:p>
    <w:p w:rsidR="6E2E679D" w:rsidP="00C379F5" w14:paraId="7368692C" w14:textId="7A4FC592">
      <w:pPr>
        <w:rPr>
          <w:rFonts w:cs="Times New Roman"/>
        </w:rPr>
      </w:pPr>
    </w:p>
    <w:p w:rsidR="00EA739C" w:rsidP="00C379F5" w14:paraId="4CC5EC88" w14:textId="00644039">
      <w:pPr>
        <w:rPr>
          <w:rFonts w:cs="Times New Roman"/>
        </w:rPr>
      </w:pPr>
      <w:r w:rsidRPr="0B4E38E4">
        <w:rPr>
          <w:rFonts w:cs="Times New Roman"/>
        </w:rPr>
        <w:t>However, despite the increasing importance of digital data,</w:t>
      </w:r>
      <w:r w:rsidR="003D6471">
        <w:rPr>
          <w:rFonts w:cs="Times New Roman"/>
        </w:rPr>
        <w:t xml:space="preserve"> </w:t>
      </w:r>
      <w:r w:rsidRPr="0B4E38E4">
        <w:rPr>
          <w:rFonts w:cs="Times New Roman"/>
        </w:rPr>
        <w:t>the landscape of forensic science service providers that process digital evidence i</w:t>
      </w:r>
      <w:r w:rsidRPr="0B4E38E4" w:rsidR="5B0407DD">
        <w:rPr>
          <w:rFonts w:cs="Times New Roman"/>
        </w:rPr>
        <w:t>s</w:t>
      </w:r>
      <w:r w:rsidRPr="0B4E38E4">
        <w:rPr>
          <w:rFonts w:cs="Times New Roman"/>
        </w:rPr>
        <w:t xml:space="preserve"> not </w:t>
      </w:r>
      <w:r w:rsidRPr="0B4E38E4" w:rsidR="5DC3C39A">
        <w:rPr>
          <w:rFonts w:cs="Times New Roman"/>
        </w:rPr>
        <w:t>well understood</w:t>
      </w:r>
      <w:r w:rsidRPr="0B4E38E4">
        <w:rPr>
          <w:rFonts w:cs="Times New Roman"/>
        </w:rPr>
        <w:t xml:space="preserve">. </w:t>
      </w:r>
      <w:r w:rsidRPr="0B4E38E4" w:rsidR="00B21035">
        <w:rPr>
          <w:rFonts w:cs="Times New Roman"/>
        </w:rPr>
        <w:t xml:space="preserve">There </w:t>
      </w:r>
      <w:r w:rsidRPr="0B4E38E4" w:rsidR="00E657D7">
        <w:rPr>
          <w:rFonts w:cs="Times New Roman"/>
        </w:rPr>
        <w:t xml:space="preserve">is not </w:t>
      </w:r>
      <w:r w:rsidRPr="0B4E38E4" w:rsidR="00B21035">
        <w:rPr>
          <w:rFonts w:cs="Times New Roman"/>
        </w:rPr>
        <w:t xml:space="preserve">even </w:t>
      </w:r>
      <w:r w:rsidRPr="0B4E38E4" w:rsidR="00E657D7">
        <w:rPr>
          <w:rFonts w:cs="Times New Roman"/>
        </w:rPr>
        <w:t>an agreed upon estimate for how many entities in the U</w:t>
      </w:r>
      <w:r w:rsidR="005361A7">
        <w:rPr>
          <w:rFonts w:cs="Times New Roman"/>
        </w:rPr>
        <w:t>.</w:t>
      </w:r>
      <w:r w:rsidRPr="0B4E38E4" w:rsidR="00E657D7">
        <w:rPr>
          <w:rFonts w:cs="Times New Roman"/>
        </w:rPr>
        <w:t>S</w:t>
      </w:r>
      <w:r w:rsidR="005361A7">
        <w:rPr>
          <w:rFonts w:cs="Times New Roman"/>
        </w:rPr>
        <w:t>.</w:t>
      </w:r>
      <w:r w:rsidRPr="0B4E38E4" w:rsidR="00E657D7">
        <w:rPr>
          <w:rFonts w:cs="Times New Roman"/>
        </w:rPr>
        <w:t xml:space="preserve"> process or use digital evidence. </w:t>
      </w:r>
      <w:r w:rsidRPr="0B4E38E4" w:rsidR="00B21035">
        <w:rPr>
          <w:rFonts w:cs="Times New Roman"/>
        </w:rPr>
        <w:t xml:space="preserve">For example, </w:t>
      </w:r>
      <w:r w:rsidR="005361A7">
        <w:rPr>
          <w:rFonts w:cs="Times New Roman"/>
        </w:rPr>
        <w:t>BJS’s</w:t>
      </w:r>
      <w:r w:rsidRPr="0B4E38E4" w:rsidR="005361A7">
        <w:rPr>
          <w:rFonts w:cs="Times New Roman"/>
        </w:rPr>
        <w:t xml:space="preserve"> </w:t>
      </w:r>
      <w:r w:rsidRPr="0B4E38E4" w:rsidR="00E657D7">
        <w:rPr>
          <w:rFonts w:cs="Times New Roman"/>
        </w:rPr>
        <w:t>2020</w:t>
      </w:r>
      <w:r w:rsidR="005361A7">
        <w:rPr>
          <w:rFonts w:cs="Times New Roman"/>
        </w:rPr>
        <w:t xml:space="preserve"> </w:t>
      </w:r>
      <w:r w:rsidRPr="0B4E38E4" w:rsidR="00E657D7">
        <w:rPr>
          <w:rFonts w:cs="Times New Roman"/>
        </w:rPr>
        <w:t xml:space="preserve">Census of Publicly Funded Forensic Crime Laboratories (CPFFCL) </w:t>
      </w:r>
      <w:r w:rsidRPr="0B4E38E4" w:rsidR="00E657D7">
        <w:rPr>
          <w:rFonts w:cs="Times New Roman"/>
        </w:rPr>
        <w:t>identified 409 publicly funded crime labs, all of which may handle digital evidence</w:t>
      </w:r>
      <w:r w:rsidR="005361A7">
        <w:rPr>
          <w:rFonts w:cs="Times New Roman"/>
        </w:rPr>
        <w:t>.</w:t>
      </w:r>
      <w:r>
        <w:rPr>
          <w:rStyle w:val="FootnoteReference"/>
          <w:rFonts w:cs="Times New Roman"/>
        </w:rPr>
        <w:footnoteReference w:id="3"/>
      </w:r>
      <w:r w:rsidRPr="0B4E38E4" w:rsidR="00E657D7">
        <w:rPr>
          <w:rFonts w:cs="Times New Roman"/>
        </w:rPr>
        <w:t xml:space="preserve"> In contrast, a recent NIST study used capture-recapture to attempt to estimate the number of entities that process or use digital evidence</w:t>
      </w:r>
      <w:r w:rsidR="005361A7">
        <w:rPr>
          <w:rFonts w:cs="Times New Roman"/>
        </w:rPr>
        <w:t>.</w:t>
      </w:r>
      <w:r w:rsidRPr="0B4E38E4" w:rsidR="00E657D7">
        <w:rPr>
          <w:rFonts w:cs="Times New Roman"/>
        </w:rPr>
        <w:t xml:space="preserve"> This study identified a lower bound estimated population size of 11,000 unique entities</w:t>
      </w:r>
      <w:r w:rsidR="005361A7">
        <w:rPr>
          <w:rFonts w:cs="Times New Roman"/>
        </w:rPr>
        <w:t>.</w:t>
      </w:r>
      <w:r>
        <w:rPr>
          <w:rStyle w:val="FootnoteReference"/>
          <w:rFonts w:cs="Times New Roman"/>
        </w:rPr>
        <w:footnoteReference w:id="4"/>
      </w:r>
      <w:r w:rsidRPr="0B4E38E4" w:rsidR="00E657D7">
        <w:rPr>
          <w:rFonts w:cs="Times New Roman"/>
        </w:rPr>
        <w:t xml:space="preserve"> This discrepancy highlights the need to comprehensively assess the </w:t>
      </w:r>
      <w:r w:rsidR="00EB5AD1">
        <w:rPr>
          <w:rFonts w:cs="Times New Roman"/>
        </w:rPr>
        <w:t xml:space="preserve">collection and </w:t>
      </w:r>
      <w:r w:rsidRPr="0B4E38E4" w:rsidR="00E657D7">
        <w:rPr>
          <w:rFonts w:cs="Times New Roman"/>
        </w:rPr>
        <w:t xml:space="preserve">use of digital evidence </w:t>
      </w:r>
      <w:r w:rsidR="00BC6DB2">
        <w:rPr>
          <w:rFonts w:cs="Times New Roman"/>
        </w:rPr>
        <w:t xml:space="preserve">across different domains. </w:t>
      </w:r>
    </w:p>
    <w:p w:rsidR="00050CDF" w:rsidP="00214F3F" w14:paraId="107DD3BD" w14:textId="59780E71">
      <w:pPr>
        <w:autoSpaceDE w:val="0"/>
        <w:autoSpaceDN w:val="0"/>
      </w:pPr>
    </w:p>
    <w:p w:rsidR="000D6021" w:rsidP="00C379F5" w14:paraId="637B14D9" w14:textId="4762748B">
      <w:r>
        <w:t>The purpose of th</w:t>
      </w:r>
      <w:r w:rsidR="005361A7">
        <w:t>is</w:t>
      </w:r>
      <w:r>
        <w:t xml:space="preserve"> </w:t>
      </w:r>
      <w:r w:rsidR="6E09F55A">
        <w:t>memorandum</w:t>
      </w:r>
      <w:r>
        <w:t xml:space="preserve"> </w:t>
      </w:r>
      <w:r w:rsidR="5667F665">
        <w:t xml:space="preserve">is to request approval to </w:t>
      </w:r>
      <w:r w:rsidR="48AABA34">
        <w:t xml:space="preserve">conduct </w:t>
      </w:r>
      <w:r w:rsidR="69B96DBF">
        <w:t xml:space="preserve">three focus groups with approximately 15 total respondents </w:t>
      </w:r>
      <w:r w:rsidR="005361A7">
        <w:t xml:space="preserve">from </w:t>
      </w:r>
      <w:r w:rsidR="6101A96D">
        <w:t xml:space="preserve">professionals </w:t>
      </w:r>
      <w:r w:rsidR="005361A7">
        <w:t xml:space="preserve">in </w:t>
      </w:r>
      <w:r w:rsidR="5E83CCCA">
        <w:t>agenc</w:t>
      </w:r>
      <w:r w:rsidR="232E7EE3">
        <w:t>ies</w:t>
      </w:r>
      <w:r w:rsidR="5E83CCCA">
        <w:t xml:space="preserve"> that interact with digital evidence including law enforcement</w:t>
      </w:r>
      <w:r w:rsidR="1EF5993D">
        <w:t>,</w:t>
      </w:r>
      <w:r w:rsidR="5E83CCCA">
        <w:t xml:space="preserve"> forensic laboratories</w:t>
      </w:r>
      <w:r w:rsidR="005361A7">
        <w:t>,</w:t>
      </w:r>
      <w:r w:rsidR="5E83CCCA">
        <w:t xml:space="preserve"> and legal </w:t>
      </w:r>
      <w:r w:rsidR="6512052C">
        <w:t>offices</w:t>
      </w:r>
      <w:r w:rsidR="5E83CCCA">
        <w:t>.</w:t>
      </w:r>
      <w:r w:rsidR="038D2282">
        <w:t xml:space="preserve"> </w:t>
      </w:r>
      <w:r w:rsidR="5F661EAA">
        <w:t xml:space="preserve">The purpose of these focus groups will be to </w:t>
      </w:r>
      <w:r w:rsidR="620D9B8D">
        <w:t xml:space="preserve">develop </w:t>
      </w:r>
      <w:r w:rsidR="038D2282">
        <w:t>a</w:t>
      </w:r>
      <w:r w:rsidR="69B96DBF">
        <w:t xml:space="preserve"> more comprehensive understanding on the </w:t>
      </w:r>
      <w:r w:rsidR="2C8ED819">
        <w:t xml:space="preserve">nature and </w:t>
      </w:r>
      <w:r w:rsidR="69B96DBF">
        <w:t xml:space="preserve">utilization of digital evidence in the field. </w:t>
      </w:r>
      <w:r w:rsidR="199C0E1D">
        <w:t>Further detail on this request is provided below.</w:t>
      </w:r>
    </w:p>
    <w:p w:rsidR="00050CDF" w:rsidP="00214F3F" w14:paraId="56579366" w14:textId="77777777">
      <w:pPr>
        <w:rPr>
          <w:rFonts w:cs="Times New Roman"/>
        </w:rPr>
      </w:pPr>
    </w:p>
    <w:p w:rsidR="00050CDF" w:rsidP="00214F3F" w14:paraId="44EA37C1" w14:textId="3690015D">
      <w:pPr>
        <w:pStyle w:val="ListParagraph"/>
        <w:numPr>
          <w:ilvl w:val="0"/>
          <w:numId w:val="6"/>
        </w:numPr>
        <w:rPr>
          <w:rFonts w:cs="Times New Roman"/>
          <w:b/>
          <w:bCs/>
        </w:rPr>
      </w:pPr>
      <w:r>
        <w:rPr>
          <w:rFonts w:cs="Times New Roman"/>
          <w:b/>
          <w:bCs/>
        </w:rPr>
        <w:t>Methodology</w:t>
      </w:r>
    </w:p>
    <w:p w:rsidR="00B82FB1" w:rsidRPr="00E34303" w:rsidP="00214F3F" w14:paraId="37300B5A" w14:textId="2F7F0C43">
      <w:pPr>
        <w:rPr>
          <w:rFonts w:cs="Times New Roman"/>
        </w:rPr>
      </w:pPr>
      <w:r w:rsidRPr="77BFF2CB">
        <w:rPr>
          <w:rFonts w:cs="Times New Roman"/>
        </w:rPr>
        <w:t xml:space="preserve">Overall, this project seeks to gather qualitative information from </w:t>
      </w:r>
      <w:r w:rsidR="00BC6DB2">
        <w:rPr>
          <w:rFonts w:cs="Times New Roman"/>
        </w:rPr>
        <w:t xml:space="preserve">a series of </w:t>
      </w:r>
      <w:r w:rsidRPr="77BFF2CB">
        <w:rPr>
          <w:rFonts w:cs="Times New Roman"/>
        </w:rPr>
        <w:t>focus groups to</w:t>
      </w:r>
      <w:r w:rsidR="00920A9F">
        <w:rPr>
          <w:rFonts w:cs="Times New Roman"/>
        </w:rPr>
        <w:t xml:space="preserve"> </w:t>
      </w:r>
      <w:r w:rsidR="00BC6DB2">
        <w:rPr>
          <w:rFonts w:cs="Times New Roman"/>
        </w:rPr>
        <w:t xml:space="preserve">support the </w:t>
      </w:r>
      <w:r w:rsidRPr="77BFF2CB">
        <w:rPr>
          <w:rFonts w:cs="Times New Roman"/>
        </w:rPr>
        <w:t>design</w:t>
      </w:r>
      <w:r w:rsidR="00BC6DB2">
        <w:rPr>
          <w:rFonts w:cs="Times New Roman"/>
        </w:rPr>
        <w:t xml:space="preserve"> of</w:t>
      </w:r>
      <w:r w:rsidRPr="77BFF2CB">
        <w:rPr>
          <w:rFonts w:cs="Times New Roman"/>
        </w:rPr>
        <w:t xml:space="preserve"> a survey instrument that is both responsive to the needs of </w:t>
      </w:r>
      <w:r w:rsidR="00BC6DB2">
        <w:rPr>
          <w:rFonts w:cs="Times New Roman"/>
        </w:rPr>
        <w:t xml:space="preserve">those collecting, processing, and utilizing </w:t>
      </w:r>
      <w:r w:rsidRPr="77BFF2CB">
        <w:rPr>
          <w:rFonts w:cs="Times New Roman"/>
        </w:rPr>
        <w:t xml:space="preserve">digital evidence and </w:t>
      </w:r>
      <w:r w:rsidR="00BC6DB2">
        <w:rPr>
          <w:rFonts w:cs="Times New Roman"/>
        </w:rPr>
        <w:t xml:space="preserve">that </w:t>
      </w:r>
      <w:r w:rsidRPr="77BFF2CB">
        <w:rPr>
          <w:rFonts w:cs="Times New Roman"/>
        </w:rPr>
        <w:t xml:space="preserve">can collect relevant information from stakeholders across all disciplines, outside solely of forensic laboratories.  </w:t>
      </w:r>
    </w:p>
    <w:p w:rsidR="00B82FB1" w:rsidRPr="00E34303" w:rsidP="00214F3F" w14:paraId="6DC3506D" w14:textId="77777777">
      <w:pPr>
        <w:pStyle w:val="ListParagraph"/>
        <w:ind w:left="360"/>
        <w:rPr>
          <w:rFonts w:cs="Times New Roman"/>
          <w:b/>
          <w:bCs/>
        </w:rPr>
      </w:pPr>
    </w:p>
    <w:p w:rsidR="00B82FB1" w:rsidRPr="00E34303" w:rsidP="00C379F5" w14:paraId="16337307" w14:textId="655B4409">
      <w:pPr>
        <w:rPr>
          <w:rFonts w:cs="Times New Roman"/>
        </w:rPr>
      </w:pPr>
      <w:r w:rsidRPr="00491B6C">
        <w:rPr>
          <w:rFonts w:cs="Times New Roman"/>
        </w:rPr>
        <w:t xml:space="preserve">BJS </w:t>
      </w:r>
      <w:r w:rsidRPr="77BFF2CB" w:rsidR="5BA3D408">
        <w:rPr>
          <w:rFonts w:cs="Times New Roman"/>
        </w:rPr>
        <w:t xml:space="preserve">has contracted with </w:t>
      </w:r>
      <w:r w:rsidRPr="00491B6C">
        <w:rPr>
          <w:rFonts w:cs="Times New Roman"/>
        </w:rPr>
        <w:t xml:space="preserve">RTI </w:t>
      </w:r>
      <w:r w:rsidRPr="77BFF2CB" w:rsidR="26498536">
        <w:rPr>
          <w:rFonts w:cs="Times New Roman"/>
        </w:rPr>
        <w:t>International to</w:t>
      </w:r>
      <w:r w:rsidRPr="77BFF2CB" w:rsidR="0E8AB88F">
        <w:rPr>
          <w:rFonts w:cs="Times New Roman"/>
        </w:rPr>
        <w:t xml:space="preserve"> </w:t>
      </w:r>
      <w:r w:rsidRPr="00491B6C">
        <w:rPr>
          <w:rFonts w:cs="Times New Roman"/>
        </w:rPr>
        <w:t xml:space="preserve">develop </w:t>
      </w:r>
      <w:r>
        <w:rPr>
          <w:rFonts w:cs="Times New Roman"/>
        </w:rPr>
        <w:t xml:space="preserve">a semi-structured </w:t>
      </w:r>
      <w:r w:rsidR="00296934">
        <w:rPr>
          <w:rFonts w:cs="Times New Roman"/>
        </w:rPr>
        <w:t xml:space="preserve">focus group </w:t>
      </w:r>
      <w:r>
        <w:rPr>
          <w:rFonts w:cs="Times New Roman"/>
        </w:rPr>
        <w:t xml:space="preserve">protocol that will allow interviewers to cover selected topics while also allowing for new ideas and subjects to emerge </w:t>
      </w:r>
      <w:r w:rsidRPr="77BFF2CB" w:rsidR="30D96054">
        <w:rPr>
          <w:rFonts w:cs="Times New Roman"/>
        </w:rPr>
        <w:t>organically</w:t>
      </w:r>
      <w:r w:rsidRPr="77BFF2CB">
        <w:rPr>
          <w:rFonts w:cs="Times New Roman"/>
        </w:rPr>
        <w:t xml:space="preserve"> </w:t>
      </w:r>
      <w:r>
        <w:rPr>
          <w:rFonts w:cs="Times New Roman"/>
        </w:rPr>
        <w:t xml:space="preserve">during conversation. </w:t>
      </w:r>
      <w:r w:rsidRPr="00E34303">
        <w:rPr>
          <w:rFonts w:cs="Times New Roman"/>
        </w:rPr>
        <w:t xml:space="preserve">The </w:t>
      </w:r>
      <w:r>
        <w:rPr>
          <w:rFonts w:cs="Times New Roman"/>
        </w:rPr>
        <w:t xml:space="preserve">protocol is </w:t>
      </w:r>
      <w:r w:rsidRPr="77BFF2CB" w:rsidR="3D2BE600">
        <w:rPr>
          <w:rFonts w:cs="Times New Roman"/>
        </w:rPr>
        <w:t xml:space="preserve">organized into </w:t>
      </w:r>
      <w:r>
        <w:rPr>
          <w:rFonts w:cs="Times New Roman"/>
        </w:rPr>
        <w:t xml:space="preserve">the following categories: </w:t>
      </w:r>
      <w:r w:rsidRPr="00E34303">
        <w:rPr>
          <w:rFonts w:cs="Times New Roman"/>
        </w:rPr>
        <w:t xml:space="preserve">1) definitions (e.g., types and formats); 2) policies, practices, and procedures for collecting, analyzing and retaining digital evidence; and 3) how digital evidence is used and </w:t>
      </w:r>
      <w:r w:rsidR="005361A7">
        <w:rPr>
          <w:rFonts w:cs="Times New Roman"/>
        </w:rPr>
        <w:t xml:space="preserve">its </w:t>
      </w:r>
      <w:r w:rsidRPr="00E34303">
        <w:rPr>
          <w:rFonts w:cs="Times New Roman"/>
        </w:rPr>
        <w:t xml:space="preserve">impact on investigations </w:t>
      </w:r>
      <w:r w:rsidRPr="2D5D399E" w:rsidR="1B876827">
        <w:rPr>
          <w:rFonts w:cs="Times New Roman"/>
        </w:rPr>
        <w:t xml:space="preserve">(see </w:t>
      </w:r>
      <w:r w:rsidRPr="00F460A8" w:rsidR="1B876827">
        <w:rPr>
          <w:rFonts w:cs="Times New Roman"/>
          <w:b/>
          <w:bCs/>
        </w:rPr>
        <w:t xml:space="preserve">Attachment </w:t>
      </w:r>
      <w:r w:rsidRPr="00F460A8" w:rsidR="00323887">
        <w:rPr>
          <w:rFonts w:cs="Times New Roman"/>
          <w:b/>
          <w:bCs/>
        </w:rPr>
        <w:t xml:space="preserve">A </w:t>
      </w:r>
      <w:r w:rsidR="000D792B">
        <w:rPr>
          <w:rFonts w:cs="Times New Roman"/>
        </w:rPr>
        <w:t xml:space="preserve">for focus group </w:t>
      </w:r>
      <w:r w:rsidR="00692505">
        <w:rPr>
          <w:rFonts w:cs="Times New Roman"/>
        </w:rPr>
        <w:t>protocol</w:t>
      </w:r>
      <w:r w:rsidR="009851BF">
        <w:rPr>
          <w:rFonts w:cs="Times New Roman"/>
        </w:rPr>
        <w:t xml:space="preserve">). </w:t>
      </w:r>
      <w:r w:rsidRPr="50E0B937" w:rsidR="3278F78E">
        <w:rPr>
          <w:rFonts w:cs="Times New Roman"/>
        </w:rPr>
        <w:t>BJS is anticipating conducting three focus groups organized by practitioner expertise (</w:t>
      </w:r>
      <w:r w:rsidR="004A6AA3">
        <w:rPr>
          <w:rFonts w:cs="Times New Roman"/>
        </w:rPr>
        <w:t>i.e.,</w:t>
      </w:r>
      <w:r w:rsidRPr="50E0B937" w:rsidR="3278F78E">
        <w:rPr>
          <w:rFonts w:cs="Times New Roman"/>
        </w:rPr>
        <w:t xml:space="preserve"> law enforcement, </w:t>
      </w:r>
      <w:r w:rsidR="00593108">
        <w:rPr>
          <w:rFonts w:cs="Times New Roman"/>
        </w:rPr>
        <w:t>forensic</w:t>
      </w:r>
      <w:r w:rsidRPr="50E0B937" w:rsidR="00593108">
        <w:rPr>
          <w:rFonts w:cs="Times New Roman"/>
        </w:rPr>
        <w:t xml:space="preserve"> </w:t>
      </w:r>
      <w:r w:rsidRPr="50E0B937" w:rsidR="3278F78E">
        <w:rPr>
          <w:rFonts w:cs="Times New Roman"/>
        </w:rPr>
        <w:t>lab</w:t>
      </w:r>
      <w:r w:rsidR="00593108">
        <w:rPr>
          <w:rFonts w:cs="Times New Roman"/>
        </w:rPr>
        <w:t>oratories</w:t>
      </w:r>
      <w:r w:rsidRPr="50E0B937" w:rsidR="3278F78E">
        <w:rPr>
          <w:rFonts w:cs="Times New Roman"/>
        </w:rPr>
        <w:t xml:space="preserve">, </w:t>
      </w:r>
      <w:r w:rsidR="004A6AA3">
        <w:rPr>
          <w:rFonts w:cs="Times New Roman"/>
        </w:rPr>
        <w:t>and legal community</w:t>
      </w:r>
      <w:r w:rsidRPr="50E0B937" w:rsidR="3278F78E">
        <w:rPr>
          <w:rFonts w:cs="Times New Roman"/>
        </w:rPr>
        <w:t>) with approximately 5 participants each (~15 participants total).</w:t>
      </w:r>
    </w:p>
    <w:p w:rsidR="77BFF2CB" w:rsidP="00C379F5" w14:paraId="3929A8B0" w14:textId="608B9F20">
      <w:pPr>
        <w:rPr>
          <w:rFonts w:cs="Times New Roman"/>
        </w:rPr>
      </w:pPr>
    </w:p>
    <w:p w:rsidR="15F495A5" w:rsidP="00C379F5" w14:paraId="68FB018F" w14:textId="0EA7C645">
      <w:pPr>
        <w:rPr>
          <w:rFonts w:cs="Times New Roman"/>
        </w:rPr>
      </w:pPr>
      <w:r w:rsidRPr="77BFF2CB">
        <w:rPr>
          <w:rFonts w:cs="Times New Roman"/>
        </w:rPr>
        <w:t xml:space="preserve">The project staff will review and summarize the results of the </w:t>
      </w:r>
      <w:r w:rsidR="00296934">
        <w:rPr>
          <w:rFonts w:cs="Times New Roman"/>
        </w:rPr>
        <w:t>focus groups</w:t>
      </w:r>
      <w:r w:rsidRPr="77BFF2CB">
        <w:rPr>
          <w:rFonts w:cs="Times New Roman"/>
        </w:rPr>
        <w:t xml:space="preserve"> to provide suggestions for the development of a larger survey on the topic and next steps.</w:t>
      </w:r>
    </w:p>
    <w:p w:rsidR="008226EA" w:rsidP="00C379F5" w14:paraId="3B837641" w14:textId="77777777">
      <w:pPr>
        <w:rPr>
          <w:rFonts w:cs="Times New Roman"/>
        </w:rPr>
      </w:pPr>
    </w:p>
    <w:p w:rsidR="00491B6C" w:rsidRPr="009851BF" w:rsidP="00C379F5" w14:paraId="5386F7E4" w14:textId="042037F3">
      <w:pPr>
        <w:rPr>
          <w:rFonts w:cs="Times New Roman"/>
          <w:b/>
          <w:bCs/>
          <w:i/>
          <w:iCs/>
        </w:rPr>
      </w:pPr>
      <w:r w:rsidRPr="009851BF">
        <w:rPr>
          <w:rFonts w:cs="Times New Roman"/>
          <w:b/>
          <w:bCs/>
          <w:i/>
          <w:iCs/>
        </w:rPr>
        <w:t>2.</w:t>
      </w:r>
      <w:r w:rsidRPr="009851BF" w:rsidR="4204599E">
        <w:rPr>
          <w:rFonts w:cs="Times New Roman"/>
          <w:b/>
          <w:bCs/>
          <w:i/>
          <w:iCs/>
        </w:rPr>
        <w:t>1</w:t>
      </w:r>
      <w:r w:rsidRPr="009851BF">
        <w:rPr>
          <w:rFonts w:cs="Times New Roman"/>
          <w:b/>
          <w:bCs/>
          <w:i/>
          <w:iCs/>
        </w:rPr>
        <w:t xml:space="preserve"> Group Composition</w:t>
      </w:r>
    </w:p>
    <w:p w:rsidR="00491B6C" w:rsidRPr="00E34303" w:rsidP="00C379F5" w14:paraId="77CCB8CD" w14:textId="00B8F977">
      <w:pPr>
        <w:rPr>
          <w:rFonts w:cs="Times New Roman"/>
        </w:rPr>
      </w:pPr>
      <w:bookmarkStart w:id="2" w:name="_Hlk198619659"/>
      <w:r w:rsidRPr="00E34303">
        <w:rPr>
          <w:rFonts w:cs="Times New Roman"/>
        </w:rPr>
        <w:t xml:space="preserve">Subject matter experts and practitioners with relevant experience with digital evidence in criminal cases including practitioners and the research community </w:t>
      </w:r>
      <w:r w:rsidRPr="50E0B937" w:rsidR="38F206B6">
        <w:rPr>
          <w:rFonts w:cs="Times New Roman"/>
        </w:rPr>
        <w:t xml:space="preserve">will be </w:t>
      </w:r>
      <w:r w:rsidRPr="00E34303">
        <w:rPr>
          <w:rFonts w:cs="Times New Roman"/>
        </w:rPr>
        <w:t>identified through outreach to associations, working groups, and from information obtained during the environmental scan</w:t>
      </w:r>
      <w:r w:rsidR="003C5BB2">
        <w:rPr>
          <w:rFonts w:cs="Times New Roman"/>
        </w:rPr>
        <w:t xml:space="preserve"> (completed previously)</w:t>
      </w:r>
      <w:r w:rsidRPr="00E34303">
        <w:rPr>
          <w:rFonts w:cs="Times New Roman"/>
        </w:rPr>
        <w:t xml:space="preserve">. </w:t>
      </w:r>
      <w:r w:rsidRPr="50E0B937" w:rsidR="57C80DCB">
        <w:rPr>
          <w:rFonts w:cs="Times New Roman"/>
        </w:rPr>
        <w:t xml:space="preserve">These include </w:t>
      </w:r>
      <w:r w:rsidRPr="00E34303">
        <w:rPr>
          <w:rFonts w:cs="Times New Roman"/>
        </w:rPr>
        <w:t xml:space="preserve">the Scientific Working Group on Digital Evidence (SWGDE), INTERPOL Digital Forensics Expert Group (DFEG), High Technology Crime Investigation </w:t>
      </w:r>
      <w:r w:rsidRPr="00E34303" w:rsidR="000C4ADF">
        <w:rPr>
          <w:rFonts w:cs="Times New Roman"/>
        </w:rPr>
        <w:t>Association,</w:t>
      </w:r>
      <w:r w:rsidRPr="00E34303">
        <w:rPr>
          <w:rFonts w:cs="Times New Roman"/>
        </w:rPr>
        <w:t xml:space="preserve"> International Association of Computer Investigative Specialists, I</w:t>
      </w:r>
      <w:r w:rsidR="004A6AA3">
        <w:rPr>
          <w:rFonts w:cs="Times New Roman"/>
        </w:rPr>
        <w:t xml:space="preserve">nternational </w:t>
      </w:r>
      <w:r w:rsidRPr="00E34303">
        <w:rPr>
          <w:rFonts w:cs="Times New Roman"/>
        </w:rPr>
        <w:t>A</w:t>
      </w:r>
      <w:r w:rsidR="004A6AA3">
        <w:rPr>
          <w:rFonts w:cs="Times New Roman"/>
        </w:rPr>
        <w:t xml:space="preserve">ssociation of </w:t>
      </w:r>
      <w:r w:rsidRPr="00E34303">
        <w:rPr>
          <w:rFonts w:cs="Times New Roman"/>
        </w:rPr>
        <w:t>C</w:t>
      </w:r>
      <w:r w:rsidR="004A6AA3">
        <w:rPr>
          <w:rFonts w:cs="Times New Roman"/>
        </w:rPr>
        <w:t xml:space="preserve">hiefs of </w:t>
      </w:r>
      <w:r w:rsidRPr="00E34303">
        <w:rPr>
          <w:rFonts w:cs="Times New Roman"/>
        </w:rPr>
        <w:t>P</w:t>
      </w:r>
      <w:r w:rsidR="004A6AA3">
        <w:rPr>
          <w:rFonts w:cs="Times New Roman"/>
        </w:rPr>
        <w:t>olice</w:t>
      </w:r>
      <w:r w:rsidRPr="00E34303">
        <w:rPr>
          <w:rFonts w:cs="Times New Roman"/>
        </w:rPr>
        <w:t xml:space="preserve"> Computer Crime and Digital Evidence (CCDE) Committee, the Regional Computer Forensics Laboratory (RCFL), and the Organization of Scientific Area Committees (OSAC) D</w:t>
      </w:r>
      <w:r w:rsidR="004A6AA3">
        <w:rPr>
          <w:rFonts w:cs="Times New Roman"/>
        </w:rPr>
        <w:t xml:space="preserve">igital </w:t>
      </w:r>
      <w:r w:rsidRPr="00E34303">
        <w:rPr>
          <w:rFonts w:cs="Times New Roman"/>
        </w:rPr>
        <w:t>E</w:t>
      </w:r>
      <w:r w:rsidR="004A6AA3">
        <w:rPr>
          <w:rFonts w:cs="Times New Roman"/>
        </w:rPr>
        <w:t>vidence</w:t>
      </w:r>
      <w:r w:rsidRPr="00E34303">
        <w:rPr>
          <w:rFonts w:cs="Times New Roman"/>
        </w:rPr>
        <w:t xml:space="preserve"> Subcommittee. Participant criteria </w:t>
      </w:r>
      <w:r w:rsidRPr="50E0B937" w:rsidR="24287E59">
        <w:rPr>
          <w:rFonts w:cs="Times New Roman"/>
        </w:rPr>
        <w:t>include</w:t>
      </w:r>
      <w:r w:rsidRPr="00E34303">
        <w:rPr>
          <w:rFonts w:cs="Times New Roman"/>
        </w:rPr>
        <w:t xml:space="preserve"> the following considerations: </w:t>
      </w:r>
    </w:p>
    <w:p w:rsidR="00491B6C" w:rsidP="00C379F5" w14:paraId="03DA769B" w14:textId="77777777">
      <w:pPr>
        <w:rPr>
          <w:rFonts w:cs="Times New Roman"/>
        </w:rPr>
      </w:pPr>
    </w:p>
    <w:p w:rsidR="00491B6C" w:rsidRPr="00E34303" w:rsidP="00C379F5" w14:paraId="6F04BB99" w14:textId="77777777">
      <w:pPr>
        <w:rPr>
          <w:rFonts w:cs="Times New Roman"/>
        </w:rPr>
      </w:pPr>
      <w:r w:rsidRPr="00E34303">
        <w:rPr>
          <w:rFonts w:cs="Times New Roman"/>
        </w:rPr>
        <w:t>Law Enforcement:</w:t>
      </w:r>
    </w:p>
    <w:p w:rsidR="00491B6C" w:rsidRPr="00B2268D" w:rsidP="00C379F5" w14:paraId="239DCBA1" w14:textId="77777777">
      <w:pPr>
        <w:pStyle w:val="ListParagraph"/>
        <w:numPr>
          <w:ilvl w:val="0"/>
          <w:numId w:val="8"/>
        </w:numPr>
        <w:rPr>
          <w:rFonts w:cs="Times New Roman"/>
        </w:rPr>
      </w:pPr>
      <w:r w:rsidRPr="00B2268D">
        <w:rPr>
          <w:rFonts w:cs="Times New Roman"/>
        </w:rPr>
        <w:t>Sworn or civilian officers with experience handling digital evidence</w:t>
      </w:r>
    </w:p>
    <w:p w:rsidR="00491B6C" w:rsidRPr="00B2268D" w:rsidP="00C379F5" w14:paraId="77999A74" w14:textId="0BE26A43">
      <w:pPr>
        <w:pStyle w:val="ListParagraph"/>
        <w:numPr>
          <w:ilvl w:val="0"/>
          <w:numId w:val="8"/>
        </w:numPr>
        <w:rPr>
          <w:rFonts w:cs="Times New Roman"/>
        </w:rPr>
      </w:pPr>
      <w:r w:rsidRPr="00B2268D">
        <w:rPr>
          <w:rFonts w:cs="Times New Roman"/>
        </w:rPr>
        <w:t>Variety of ranks and specializations (e.g., I</w:t>
      </w:r>
      <w:r w:rsidR="003B3B18">
        <w:rPr>
          <w:rFonts w:cs="Times New Roman"/>
        </w:rPr>
        <w:t xml:space="preserve">nternet Crimes Against </w:t>
      </w:r>
      <w:r w:rsidR="000C4ADF">
        <w:rPr>
          <w:rFonts w:cs="Times New Roman"/>
        </w:rPr>
        <w:t>Children)</w:t>
      </w:r>
      <w:r w:rsidRPr="00B2268D">
        <w:rPr>
          <w:rFonts w:cs="Times New Roman"/>
        </w:rPr>
        <w:t>, cybercrime units, general investigators)</w:t>
      </w:r>
    </w:p>
    <w:p w:rsidR="00491B6C" w:rsidRPr="00B2268D" w:rsidP="00C379F5" w14:paraId="5AC75278" w14:textId="77777777">
      <w:pPr>
        <w:pStyle w:val="ListParagraph"/>
        <w:numPr>
          <w:ilvl w:val="0"/>
          <w:numId w:val="8"/>
        </w:numPr>
        <w:rPr>
          <w:rFonts w:cs="Times New Roman"/>
        </w:rPr>
      </w:pPr>
      <w:r w:rsidRPr="00B2268D">
        <w:rPr>
          <w:rFonts w:cs="Times New Roman"/>
        </w:rPr>
        <w:t>Representation from different jurisdictions (local, state, federal)</w:t>
      </w:r>
    </w:p>
    <w:p w:rsidR="00491B6C" w:rsidP="00C379F5" w14:paraId="2BB3A906" w14:textId="77777777">
      <w:pPr>
        <w:rPr>
          <w:rFonts w:cs="Times New Roman"/>
        </w:rPr>
      </w:pPr>
    </w:p>
    <w:p w:rsidR="00491B6C" w:rsidRPr="00E34303" w:rsidP="00C379F5" w14:paraId="26682672" w14:textId="77777777">
      <w:pPr>
        <w:rPr>
          <w:rFonts w:cs="Times New Roman"/>
        </w:rPr>
      </w:pPr>
      <w:r w:rsidRPr="00E34303">
        <w:rPr>
          <w:rFonts w:cs="Times New Roman"/>
        </w:rPr>
        <w:t>Forensic Laboratories:</w:t>
      </w:r>
    </w:p>
    <w:p w:rsidR="00491B6C" w:rsidRPr="00B2268D" w:rsidP="00C379F5" w14:paraId="0497A009" w14:textId="77777777">
      <w:pPr>
        <w:pStyle w:val="ListParagraph"/>
        <w:numPr>
          <w:ilvl w:val="0"/>
          <w:numId w:val="8"/>
        </w:numPr>
        <w:rPr>
          <w:rFonts w:cs="Times New Roman"/>
        </w:rPr>
      </w:pPr>
      <w:r w:rsidRPr="00B2268D">
        <w:rPr>
          <w:rFonts w:cs="Times New Roman"/>
        </w:rPr>
        <w:t>Digital forensic examiners with at least 2 years of experience</w:t>
      </w:r>
    </w:p>
    <w:p w:rsidR="00491B6C" w:rsidRPr="00B2268D" w:rsidP="00C379F5" w14:paraId="47E32AB9" w14:textId="77777777">
      <w:pPr>
        <w:pStyle w:val="ListParagraph"/>
        <w:numPr>
          <w:ilvl w:val="0"/>
          <w:numId w:val="8"/>
        </w:numPr>
        <w:rPr>
          <w:rFonts w:cs="Times New Roman"/>
        </w:rPr>
      </w:pPr>
      <w:r w:rsidRPr="00B2268D">
        <w:rPr>
          <w:rFonts w:cs="Times New Roman"/>
        </w:rPr>
        <w:t>Representation from public and private laboratories</w:t>
      </w:r>
    </w:p>
    <w:p w:rsidR="00491B6C" w:rsidRPr="00B2268D" w:rsidP="00C379F5" w14:paraId="70EAD08C" w14:textId="52C7453D">
      <w:pPr>
        <w:pStyle w:val="ListParagraph"/>
        <w:numPr>
          <w:ilvl w:val="0"/>
          <w:numId w:val="9"/>
        </w:numPr>
        <w:rPr>
          <w:rFonts w:cs="Times New Roman"/>
        </w:rPr>
      </w:pPr>
      <w:r w:rsidRPr="00B2268D">
        <w:rPr>
          <w:rFonts w:cs="Times New Roman"/>
        </w:rPr>
        <w:t>Diverse expertise (e.g., mobile forensics, network forensics, computer forensics)</w:t>
      </w:r>
    </w:p>
    <w:p w:rsidR="00491B6C" w:rsidP="00C379F5" w14:paraId="7B4F86CA" w14:textId="77777777">
      <w:pPr>
        <w:rPr>
          <w:rFonts w:cs="Times New Roman"/>
        </w:rPr>
      </w:pPr>
    </w:p>
    <w:p w:rsidR="00491B6C" w:rsidRPr="00E34303" w:rsidP="00C379F5" w14:paraId="34F2DE02" w14:textId="438B51E9">
      <w:pPr>
        <w:rPr>
          <w:rFonts w:cs="Times New Roman"/>
        </w:rPr>
      </w:pPr>
      <w:r>
        <w:rPr>
          <w:rFonts w:cs="Times New Roman"/>
        </w:rPr>
        <w:t>L</w:t>
      </w:r>
      <w:r w:rsidRPr="00E34303">
        <w:rPr>
          <w:rFonts w:cs="Times New Roman"/>
        </w:rPr>
        <w:t>egal Community</w:t>
      </w:r>
      <w:r w:rsidR="003C5BB2">
        <w:rPr>
          <w:rFonts w:cs="Times New Roman"/>
        </w:rPr>
        <w:t>:</w:t>
      </w:r>
    </w:p>
    <w:p w:rsidR="00491B6C" w:rsidRPr="00B2268D" w:rsidP="00C379F5" w14:paraId="643BB87C" w14:textId="0108862E">
      <w:pPr>
        <w:pStyle w:val="ListParagraph"/>
        <w:numPr>
          <w:ilvl w:val="0"/>
          <w:numId w:val="9"/>
        </w:numPr>
        <w:rPr>
          <w:rFonts w:cs="Times New Roman"/>
        </w:rPr>
      </w:pPr>
      <w:r w:rsidRPr="00B2268D">
        <w:rPr>
          <w:rFonts w:cs="Times New Roman"/>
        </w:rPr>
        <w:t xml:space="preserve">Prosecutors, </w:t>
      </w:r>
      <w:r w:rsidR="004A6AA3">
        <w:rPr>
          <w:rFonts w:cs="Times New Roman"/>
        </w:rPr>
        <w:t>d</w:t>
      </w:r>
      <w:r w:rsidRPr="00B2268D">
        <w:rPr>
          <w:rFonts w:cs="Times New Roman"/>
        </w:rPr>
        <w:t xml:space="preserve">efense </w:t>
      </w:r>
      <w:r w:rsidR="004A6AA3">
        <w:rPr>
          <w:rFonts w:cs="Times New Roman"/>
        </w:rPr>
        <w:t>a</w:t>
      </w:r>
      <w:r w:rsidRPr="00B2268D">
        <w:rPr>
          <w:rFonts w:cs="Times New Roman"/>
        </w:rPr>
        <w:t xml:space="preserve">ttorneys and </w:t>
      </w:r>
      <w:r w:rsidR="004A6AA3">
        <w:rPr>
          <w:rFonts w:cs="Times New Roman"/>
        </w:rPr>
        <w:t>j</w:t>
      </w:r>
      <w:r w:rsidRPr="00B2268D">
        <w:rPr>
          <w:rFonts w:cs="Times New Roman"/>
        </w:rPr>
        <w:t>udges:</w:t>
      </w:r>
    </w:p>
    <w:p w:rsidR="00491B6C" w:rsidRPr="00B2268D" w:rsidP="00C379F5" w14:paraId="62214B01" w14:textId="77777777">
      <w:pPr>
        <w:pStyle w:val="ListParagraph"/>
        <w:numPr>
          <w:ilvl w:val="0"/>
          <w:numId w:val="9"/>
        </w:numPr>
        <w:rPr>
          <w:rFonts w:cs="Times New Roman"/>
        </w:rPr>
      </w:pPr>
      <w:r w:rsidRPr="00B2268D">
        <w:rPr>
          <w:rFonts w:cs="Times New Roman"/>
        </w:rPr>
        <w:t>Experience with cases involving digital evidence</w:t>
      </w:r>
    </w:p>
    <w:p w:rsidR="00491B6C" w:rsidRPr="00B2268D" w:rsidP="00C379F5" w14:paraId="32475D06" w14:textId="77777777">
      <w:pPr>
        <w:pStyle w:val="ListParagraph"/>
        <w:numPr>
          <w:ilvl w:val="0"/>
          <w:numId w:val="9"/>
        </w:numPr>
        <w:rPr>
          <w:rFonts w:cs="Times New Roman"/>
        </w:rPr>
      </w:pPr>
      <w:r w:rsidRPr="00B2268D">
        <w:rPr>
          <w:rFonts w:cs="Times New Roman"/>
        </w:rPr>
        <w:t>Representation from different levels (county, state, federal)</w:t>
      </w:r>
    </w:p>
    <w:p w:rsidR="00491B6C" w:rsidRPr="00B2268D" w:rsidP="00C379F5" w14:paraId="76C88C16" w14:textId="77777777">
      <w:pPr>
        <w:pStyle w:val="ListParagraph"/>
        <w:numPr>
          <w:ilvl w:val="0"/>
          <w:numId w:val="9"/>
        </w:numPr>
        <w:rPr>
          <w:rFonts w:cs="Times New Roman"/>
        </w:rPr>
      </w:pPr>
      <w:r w:rsidRPr="00B2268D">
        <w:rPr>
          <w:rFonts w:cs="Times New Roman"/>
        </w:rPr>
        <w:t>Various specializations (e.g., cybercrime, white-collar crime, violent crime)</w:t>
      </w:r>
    </w:p>
    <w:p w:rsidR="00491B6C" w:rsidRPr="00B2268D" w:rsidP="00C379F5" w14:paraId="06B33131" w14:textId="77777777">
      <w:pPr>
        <w:pStyle w:val="ListParagraph"/>
        <w:numPr>
          <w:ilvl w:val="0"/>
          <w:numId w:val="9"/>
        </w:numPr>
        <w:rPr>
          <w:rFonts w:cs="Times New Roman"/>
        </w:rPr>
      </w:pPr>
      <w:r w:rsidRPr="00B2268D">
        <w:rPr>
          <w:rFonts w:cs="Times New Roman"/>
        </w:rPr>
        <w:t>Mix of public defenders and private attorneys</w:t>
      </w:r>
    </w:p>
    <w:p w:rsidR="00491B6C" w:rsidRPr="00B2268D" w:rsidP="00C379F5" w14:paraId="2372C865" w14:textId="77777777">
      <w:pPr>
        <w:pStyle w:val="ListParagraph"/>
        <w:numPr>
          <w:ilvl w:val="0"/>
          <w:numId w:val="9"/>
        </w:numPr>
        <w:rPr>
          <w:rFonts w:cs="Times New Roman"/>
        </w:rPr>
      </w:pPr>
      <w:r w:rsidRPr="00B2268D">
        <w:rPr>
          <w:rFonts w:cs="Times New Roman"/>
        </w:rPr>
        <w:t>Experience presiding over cases with digital evidence</w:t>
      </w:r>
    </w:p>
    <w:bookmarkEnd w:id="2"/>
    <w:p w:rsidR="00491B6C" w:rsidP="00C379F5" w14:paraId="057E88E3" w14:textId="77777777">
      <w:pPr>
        <w:rPr>
          <w:rFonts w:cs="Times New Roman"/>
        </w:rPr>
      </w:pPr>
    </w:p>
    <w:p w:rsidR="00296934" w:rsidRPr="00E34303" w:rsidP="00C379F5" w14:paraId="0A80217A" w14:textId="77777777">
      <w:pPr>
        <w:rPr>
          <w:rFonts w:cs="Times New Roman"/>
        </w:rPr>
      </w:pPr>
    </w:p>
    <w:p w:rsidR="7F41C4F6" w:rsidP="00C379F5" w14:paraId="7EA69500" w14:textId="63E86DFB">
      <w:pPr>
        <w:rPr>
          <w:rFonts w:cs="Times New Roman"/>
          <w:b/>
          <w:bCs/>
          <w:i/>
          <w:iCs/>
        </w:rPr>
      </w:pPr>
      <w:r w:rsidRPr="50E0B937">
        <w:rPr>
          <w:rFonts w:cs="Times New Roman"/>
          <w:b/>
          <w:bCs/>
          <w:i/>
          <w:iCs/>
        </w:rPr>
        <w:t xml:space="preserve">2.2 </w:t>
      </w:r>
      <w:r w:rsidRPr="50E0B937" w:rsidR="50E0B937">
        <w:rPr>
          <w:rFonts w:cs="Times New Roman"/>
          <w:b/>
          <w:bCs/>
          <w:i/>
          <w:iCs/>
        </w:rPr>
        <w:t xml:space="preserve">Process Recruitment of Individuals </w:t>
      </w:r>
    </w:p>
    <w:p w:rsidR="50E0B937" w:rsidP="00C379F5" w14:paraId="192C9EB1" w14:textId="5C9E64BF">
      <w:pPr>
        <w:rPr>
          <w:rFonts w:cs="Times New Roman"/>
        </w:rPr>
      </w:pPr>
      <w:r w:rsidRPr="50E0B937">
        <w:rPr>
          <w:rFonts w:cs="Times New Roman"/>
        </w:rPr>
        <w:t>The team will employ a multi-faceted approach to recruit participants for the focus group</w:t>
      </w:r>
      <w:r w:rsidR="004A6AA3">
        <w:rPr>
          <w:rFonts w:cs="Times New Roman"/>
        </w:rPr>
        <w:t>s</w:t>
      </w:r>
      <w:r w:rsidR="009F2052">
        <w:rPr>
          <w:rFonts w:cs="Times New Roman"/>
        </w:rPr>
        <w:t xml:space="preserve"> while ensuring up to date contact information is collected</w:t>
      </w:r>
      <w:r w:rsidRPr="50E0B937">
        <w:rPr>
          <w:rFonts w:cs="Times New Roman"/>
        </w:rPr>
        <w:t xml:space="preserve">. </w:t>
      </w:r>
      <w:r w:rsidR="00936932">
        <w:rPr>
          <w:rFonts w:cs="Times New Roman"/>
        </w:rPr>
        <w:t>First, p</w:t>
      </w:r>
      <w:r w:rsidRPr="50E0B937">
        <w:rPr>
          <w:rFonts w:cs="Times New Roman"/>
        </w:rPr>
        <w:t xml:space="preserve">rofessional networks and associations will be leveraged, and relevant </w:t>
      </w:r>
      <w:r w:rsidR="00936932">
        <w:rPr>
          <w:rFonts w:cs="Times New Roman"/>
        </w:rPr>
        <w:t xml:space="preserve">working </w:t>
      </w:r>
      <w:r w:rsidRPr="50E0B937">
        <w:rPr>
          <w:rFonts w:cs="Times New Roman"/>
        </w:rPr>
        <w:t>groups</w:t>
      </w:r>
      <w:r w:rsidR="00936932">
        <w:rPr>
          <w:rFonts w:cs="Times New Roman"/>
        </w:rPr>
        <w:t xml:space="preserve"> </w:t>
      </w:r>
      <w:r w:rsidRPr="50E0B937">
        <w:rPr>
          <w:rFonts w:cs="Times New Roman"/>
        </w:rPr>
        <w:t>or</w:t>
      </w:r>
      <w:r w:rsidR="00936932">
        <w:rPr>
          <w:rFonts w:cs="Times New Roman"/>
        </w:rPr>
        <w:t xml:space="preserve"> </w:t>
      </w:r>
      <w:r w:rsidR="009F2052">
        <w:rPr>
          <w:rFonts w:cs="Times New Roman"/>
        </w:rPr>
        <w:t xml:space="preserve">committees </w:t>
      </w:r>
      <w:r w:rsidRPr="50E0B937">
        <w:rPr>
          <w:rFonts w:cs="Times New Roman"/>
        </w:rPr>
        <w:t>will be contacted</w:t>
      </w:r>
      <w:r w:rsidR="009962FD">
        <w:rPr>
          <w:rFonts w:cs="Times New Roman"/>
        </w:rPr>
        <w:t xml:space="preserve"> (e.g. SWGDE, CCDE, RCFL, DFEG, OSAC)</w:t>
      </w:r>
      <w:r w:rsidR="007726F3">
        <w:rPr>
          <w:rFonts w:cs="Times New Roman"/>
        </w:rPr>
        <w:t xml:space="preserve"> to obtain recommendation on agencies</w:t>
      </w:r>
      <w:r w:rsidRPr="50E0B937">
        <w:rPr>
          <w:rFonts w:cs="Times New Roman"/>
        </w:rPr>
        <w:t xml:space="preserve">. </w:t>
      </w:r>
      <w:r w:rsidR="007726F3">
        <w:rPr>
          <w:rFonts w:cs="Times New Roman"/>
        </w:rPr>
        <w:t>P</w:t>
      </w:r>
      <w:r w:rsidR="00936932">
        <w:rPr>
          <w:rFonts w:cs="Times New Roman"/>
        </w:rPr>
        <w:t xml:space="preserve">articipant recommendations will </w:t>
      </w:r>
      <w:r w:rsidR="007726F3">
        <w:rPr>
          <w:rFonts w:cs="Times New Roman"/>
        </w:rPr>
        <w:t xml:space="preserve">then </w:t>
      </w:r>
      <w:r w:rsidR="00936932">
        <w:rPr>
          <w:rFonts w:cs="Times New Roman"/>
        </w:rPr>
        <w:t>be collected through</w:t>
      </w:r>
      <w:r w:rsidR="009962FD">
        <w:rPr>
          <w:rFonts w:cs="Times New Roman"/>
        </w:rPr>
        <w:t xml:space="preserve"> </w:t>
      </w:r>
      <w:r w:rsidR="00936932">
        <w:rPr>
          <w:rFonts w:cs="Times New Roman"/>
        </w:rPr>
        <w:t>direct outreach to agencies in each field</w:t>
      </w:r>
      <w:r w:rsidR="009F2052">
        <w:rPr>
          <w:rFonts w:cs="Times New Roman"/>
        </w:rPr>
        <w:t xml:space="preserve"> </w:t>
      </w:r>
      <w:r w:rsidR="00BF17D8">
        <w:rPr>
          <w:rFonts w:cs="Times New Roman"/>
        </w:rPr>
        <w:t>during which we will also confirm contact information</w:t>
      </w:r>
      <w:r w:rsidR="009962FD">
        <w:rPr>
          <w:rFonts w:cs="Times New Roman"/>
        </w:rPr>
        <w:t>.</w:t>
      </w:r>
      <w:r w:rsidR="00936932">
        <w:rPr>
          <w:rFonts w:cs="Times New Roman"/>
        </w:rPr>
        <w:t xml:space="preserve"> </w:t>
      </w:r>
      <w:r w:rsidRPr="50E0B937">
        <w:rPr>
          <w:rFonts w:cs="Times New Roman"/>
        </w:rPr>
        <w:t xml:space="preserve"> </w:t>
      </w:r>
    </w:p>
    <w:p w:rsidR="50E0B937" w:rsidP="00C379F5" w14:paraId="668D008F" w14:textId="64EA3C9E">
      <w:pPr>
        <w:rPr>
          <w:rFonts w:cs="Times New Roman"/>
        </w:rPr>
      </w:pPr>
    </w:p>
    <w:p w:rsidR="50E0B937" w:rsidP="00293368" w14:paraId="3A0D35B9" w14:textId="24C15D8A">
      <w:pPr>
        <w:jc w:val="both"/>
        <w:rPr>
          <w:rFonts w:cs="Times New Roman"/>
        </w:rPr>
      </w:pPr>
      <w:r>
        <w:rPr>
          <w:rFonts w:cs="Times New Roman"/>
        </w:rPr>
        <w:t>Prior to sending any request for focus group participation, a</w:t>
      </w:r>
      <w:r w:rsidRPr="50E0B937">
        <w:rPr>
          <w:rFonts w:cs="Times New Roman"/>
        </w:rPr>
        <w:t xml:space="preserve"> comprehensive screening process will be implemented to ensure the suitability of potential participants including verifying professional roles and experience</w:t>
      </w:r>
      <w:r w:rsidR="009962FD">
        <w:rPr>
          <w:rFonts w:cs="Times New Roman"/>
        </w:rPr>
        <w:t xml:space="preserve"> and</w:t>
      </w:r>
      <w:r w:rsidRPr="50E0B937">
        <w:rPr>
          <w:rFonts w:cs="Times New Roman"/>
        </w:rPr>
        <w:t xml:space="preserve"> familiarity with digital evidence handling</w:t>
      </w:r>
      <w:r>
        <w:rPr>
          <w:rFonts w:cs="Times New Roman"/>
        </w:rPr>
        <w:t>.</w:t>
      </w:r>
      <w:r w:rsidRPr="50E0B937">
        <w:rPr>
          <w:rFonts w:cs="Times New Roman"/>
        </w:rPr>
        <w:t xml:space="preserve"> </w:t>
      </w:r>
      <w:r w:rsidR="009962FD">
        <w:rPr>
          <w:rFonts w:cs="Times New Roman"/>
        </w:rPr>
        <w:t xml:space="preserve">Once suitability is determined, </w:t>
      </w:r>
      <w:r w:rsidRPr="50E0B937">
        <w:rPr>
          <w:rFonts w:cs="Times New Roman"/>
        </w:rPr>
        <w:t>and availability and willingness to participate in the study</w:t>
      </w:r>
      <w:r w:rsidR="009962FD">
        <w:rPr>
          <w:rFonts w:cs="Times New Roman"/>
        </w:rPr>
        <w:t xml:space="preserve"> is confirmed</w:t>
      </w:r>
      <w:r w:rsidR="00F36095">
        <w:rPr>
          <w:rFonts w:cs="Times New Roman"/>
        </w:rPr>
        <w:t>,</w:t>
      </w:r>
      <w:r w:rsidR="009962FD">
        <w:rPr>
          <w:rFonts w:cs="Times New Roman"/>
        </w:rPr>
        <w:t xml:space="preserve"> initial contact will commence</w:t>
      </w:r>
      <w:r w:rsidRPr="50E0B937">
        <w:rPr>
          <w:rFonts w:cs="Times New Roman"/>
        </w:rPr>
        <w:t>.</w:t>
      </w:r>
      <w:r w:rsidR="009F2052">
        <w:rPr>
          <w:rFonts w:cs="Times New Roman"/>
        </w:rPr>
        <w:t xml:space="preserve"> </w:t>
      </w:r>
      <w:r w:rsidRPr="50E0B937">
        <w:rPr>
          <w:rFonts w:cs="Times New Roman"/>
        </w:rPr>
        <w:t xml:space="preserve">Initial contact with agencies will be conducted by email and led by RTI using an invitation letter that explains the purpose of the study, the importance of their contribution, </w:t>
      </w:r>
      <w:r w:rsidR="00593108">
        <w:rPr>
          <w:rFonts w:cs="Times New Roman"/>
        </w:rPr>
        <w:t xml:space="preserve">and </w:t>
      </w:r>
      <w:r w:rsidRPr="50E0B937">
        <w:rPr>
          <w:rFonts w:cs="Times New Roman"/>
        </w:rPr>
        <w:t>the anticipated time commitment (</w:t>
      </w:r>
      <w:r w:rsidRPr="009851BF">
        <w:rPr>
          <w:rFonts w:cs="Times New Roman"/>
          <w:b/>
          <w:bCs/>
        </w:rPr>
        <w:t xml:space="preserve">Attachment </w:t>
      </w:r>
      <w:r w:rsidR="00BD18CB">
        <w:rPr>
          <w:rFonts w:cs="Times New Roman"/>
          <w:b/>
          <w:bCs/>
        </w:rPr>
        <w:t>B</w:t>
      </w:r>
      <w:r w:rsidRPr="50E0B937">
        <w:rPr>
          <w:rFonts w:cs="Times New Roman"/>
        </w:rPr>
        <w:t>). In addition to emailed invitations, the team will also use phone calls and professional networking platforms, to maximize reach and engagement using the same language utilized in the written invitations.</w:t>
      </w:r>
      <w:r w:rsidRPr="50E0B937" w:rsidR="1E714FEC">
        <w:rPr>
          <w:rFonts w:cs="Times New Roman"/>
        </w:rPr>
        <w:t xml:space="preserve"> The project team anticipates reaching out to between 5 and 10 individuals per area</w:t>
      </w:r>
      <w:r w:rsidR="00593108">
        <w:rPr>
          <w:rFonts w:cs="Times New Roman"/>
        </w:rPr>
        <w:t xml:space="preserve"> </w:t>
      </w:r>
      <w:r w:rsidRPr="50E0B937" w:rsidR="1E714FEC">
        <w:rPr>
          <w:rFonts w:cs="Times New Roman"/>
        </w:rPr>
        <w:t>for a</w:t>
      </w:r>
      <w:r w:rsidR="003C5BB2">
        <w:rPr>
          <w:rFonts w:cs="Times New Roman"/>
        </w:rPr>
        <w:t xml:space="preserve">n estimated maximum </w:t>
      </w:r>
      <w:r w:rsidRPr="50E0B937" w:rsidR="1E714FEC">
        <w:rPr>
          <w:rFonts w:cs="Times New Roman"/>
        </w:rPr>
        <w:t xml:space="preserve">of 30 total contacts and will </w:t>
      </w:r>
      <w:r w:rsidRPr="50E0B937" w:rsidR="2A98062D">
        <w:rPr>
          <w:rFonts w:cs="Times New Roman"/>
        </w:rPr>
        <w:t>end outreach once 5 experts per area have confirmed their willingness to participate, for a total of 5 individuals per group (15 ove</w:t>
      </w:r>
      <w:r w:rsidRPr="50E0B937" w:rsidR="5F927FF3">
        <w:rPr>
          <w:rFonts w:cs="Times New Roman"/>
        </w:rPr>
        <w:t>rall)</w:t>
      </w:r>
      <w:r w:rsidRPr="50E0B937" w:rsidR="2A98062D">
        <w:rPr>
          <w:rFonts w:cs="Times New Roman"/>
        </w:rPr>
        <w:t xml:space="preserve">. </w:t>
      </w:r>
    </w:p>
    <w:p w:rsidR="50E0B937" w:rsidP="00C379F5" w14:paraId="265B63F7" w14:textId="3EAF09A2">
      <w:pPr>
        <w:rPr>
          <w:rFonts w:cs="Times New Roman"/>
        </w:rPr>
      </w:pPr>
    </w:p>
    <w:p w:rsidR="50E0B937" w:rsidP="00C379F5" w14:paraId="5CB3D306" w14:textId="5655CE2D">
      <w:pPr>
        <w:rPr>
          <w:rFonts w:cs="Times New Roman"/>
        </w:rPr>
      </w:pPr>
      <w:r w:rsidRPr="50E0B937">
        <w:rPr>
          <w:rFonts w:cs="Times New Roman"/>
        </w:rPr>
        <w:t xml:space="preserve">Once participants have confirmed their intent to participate, RTI will send out an email confirmation that will provide details on the </w:t>
      </w:r>
      <w:r w:rsidR="003C5BB2">
        <w:rPr>
          <w:rFonts w:cs="Times New Roman"/>
        </w:rPr>
        <w:t>virtual meeting including the</w:t>
      </w:r>
      <w:r w:rsidRPr="50E0B937">
        <w:rPr>
          <w:rFonts w:cs="Times New Roman"/>
        </w:rPr>
        <w:t xml:space="preserve"> date and time of the focus group sessions (</w:t>
      </w:r>
      <w:r w:rsidRPr="009851BF">
        <w:rPr>
          <w:rFonts w:cs="Times New Roman"/>
          <w:b/>
          <w:bCs/>
        </w:rPr>
        <w:t xml:space="preserve">Attachment </w:t>
      </w:r>
      <w:r w:rsidR="00BD18CB">
        <w:rPr>
          <w:rFonts w:cs="Times New Roman"/>
          <w:b/>
          <w:bCs/>
        </w:rPr>
        <w:t>C</w:t>
      </w:r>
      <w:r w:rsidRPr="50E0B937">
        <w:rPr>
          <w:rFonts w:cs="Times New Roman"/>
        </w:rPr>
        <w:t>)</w:t>
      </w:r>
      <w:r w:rsidR="00430F1B">
        <w:rPr>
          <w:rFonts w:cs="Times New Roman"/>
        </w:rPr>
        <w:t>.</w:t>
      </w:r>
      <w:r w:rsidRPr="50E0B937">
        <w:rPr>
          <w:rFonts w:cs="Times New Roman"/>
        </w:rPr>
        <w:t xml:space="preserve"> Informed consent will be obtained from all participants</w:t>
      </w:r>
      <w:r w:rsidR="00321F40">
        <w:rPr>
          <w:rFonts w:cs="Times New Roman"/>
        </w:rPr>
        <w:t xml:space="preserve"> and be provided simultaneously with the confirmation date and time</w:t>
      </w:r>
      <w:r w:rsidRPr="50E0B937">
        <w:rPr>
          <w:rFonts w:cs="Times New Roman"/>
        </w:rPr>
        <w:t xml:space="preserve">, ensuring they understand </w:t>
      </w:r>
      <w:r w:rsidRPr="50E0B937">
        <w:rPr>
          <w:rFonts w:cs="Times New Roman"/>
        </w:rPr>
        <w:t>the nature and objectives of the study</w:t>
      </w:r>
      <w:r w:rsidR="003F4A99">
        <w:rPr>
          <w:rFonts w:cs="Times New Roman"/>
        </w:rPr>
        <w:t xml:space="preserve"> (</w:t>
      </w:r>
      <w:r w:rsidR="003F4A99">
        <w:rPr>
          <w:rFonts w:cs="Times New Roman"/>
          <w:b/>
          <w:bCs/>
        </w:rPr>
        <w:t xml:space="preserve">Attachment </w:t>
      </w:r>
      <w:r w:rsidR="00BD18CB">
        <w:rPr>
          <w:rFonts w:cs="Times New Roman"/>
          <w:b/>
          <w:bCs/>
        </w:rPr>
        <w:t>D</w:t>
      </w:r>
      <w:r w:rsidR="003F4A99">
        <w:rPr>
          <w:rFonts w:cs="Times New Roman"/>
        </w:rPr>
        <w:t>)</w:t>
      </w:r>
      <w:r w:rsidRPr="50E0B937">
        <w:rPr>
          <w:rFonts w:cs="Times New Roman"/>
        </w:rPr>
        <w:t xml:space="preserve">. </w:t>
      </w:r>
      <w:r w:rsidR="0006624D">
        <w:rPr>
          <w:rFonts w:cs="Times New Roman"/>
        </w:rPr>
        <w:t xml:space="preserve">Signed consent forms will be collected by RTI prior to the start of the focus groups. </w:t>
      </w:r>
      <w:r w:rsidRPr="50E0B937">
        <w:rPr>
          <w:rFonts w:cs="Times New Roman"/>
        </w:rPr>
        <w:t>To minimize no-shows and ensure high participation rates, reminders will be sent to confirmed participants as the focus group date approaches.</w:t>
      </w:r>
    </w:p>
    <w:p w:rsidR="00491B6C" w:rsidP="00C379F5" w14:paraId="0F1FF5F1" w14:textId="1BB58201">
      <w:pPr>
        <w:rPr>
          <w:rFonts w:cs="Times New Roman"/>
        </w:rPr>
      </w:pPr>
    </w:p>
    <w:p w:rsidR="00491B6C" w:rsidRPr="009851BF" w:rsidP="00C379F5" w14:paraId="07325C4E" w14:textId="77777777">
      <w:pPr>
        <w:rPr>
          <w:rFonts w:cs="Times New Roman"/>
          <w:b/>
          <w:bCs/>
          <w:i/>
          <w:iCs/>
        </w:rPr>
      </w:pPr>
      <w:r w:rsidRPr="009851BF">
        <w:rPr>
          <w:rFonts w:cs="Times New Roman"/>
          <w:b/>
          <w:bCs/>
          <w:i/>
          <w:iCs/>
        </w:rPr>
        <w:t>2.3 Virtual/Zoom Meeting Process</w:t>
      </w:r>
    </w:p>
    <w:p w:rsidR="00491B6C" w:rsidRPr="00E34303" w:rsidP="00C379F5" w14:paraId="0A3BAFB8" w14:textId="4E08E29B">
      <w:pPr>
        <w:rPr>
          <w:rFonts w:cs="Times New Roman"/>
        </w:rPr>
      </w:pPr>
      <w:r>
        <w:rPr>
          <w:rFonts w:cs="Times New Roman"/>
        </w:rPr>
        <w:t xml:space="preserve">Each of the three focus group sessions </w:t>
      </w:r>
      <w:r w:rsidR="00293368">
        <w:rPr>
          <w:rFonts w:cs="Times New Roman"/>
        </w:rPr>
        <w:t xml:space="preserve">featuring one expertise area (law enforcement, forensic laboratories, or legal community) </w:t>
      </w:r>
      <w:r>
        <w:rPr>
          <w:rFonts w:cs="Times New Roman"/>
        </w:rPr>
        <w:t xml:space="preserve">will last </w:t>
      </w:r>
      <w:r w:rsidR="009962FD">
        <w:rPr>
          <w:rFonts w:cs="Times New Roman"/>
        </w:rPr>
        <w:t xml:space="preserve">approximately </w:t>
      </w:r>
      <w:r>
        <w:rPr>
          <w:rFonts w:cs="Times New Roman"/>
        </w:rPr>
        <w:t xml:space="preserve">60 minutes. </w:t>
      </w:r>
      <w:r w:rsidRPr="00E34303">
        <w:rPr>
          <w:rFonts w:cs="Times New Roman"/>
        </w:rPr>
        <w:t xml:space="preserve">A reliable virtual meeting platform such as Zoom or Microsoft Teams will be selected based on </w:t>
      </w:r>
      <w:r>
        <w:rPr>
          <w:rFonts w:cs="Times New Roman"/>
        </w:rPr>
        <w:t>what</w:t>
      </w:r>
      <w:r w:rsidRPr="00E34303">
        <w:rPr>
          <w:rFonts w:cs="Times New Roman"/>
        </w:rPr>
        <w:t xml:space="preserve"> participants have access to. Prior to the meeting, the platforms audio, video</w:t>
      </w:r>
      <w:r>
        <w:rPr>
          <w:rFonts w:cs="Times New Roman"/>
        </w:rPr>
        <w:t>,</w:t>
      </w:r>
      <w:r w:rsidRPr="00E34303">
        <w:rPr>
          <w:rFonts w:cs="Times New Roman"/>
        </w:rPr>
        <w:t xml:space="preserve"> and screensharing capabilities will be tested to avoid any technical issues. Scheduling will </w:t>
      </w:r>
      <w:r w:rsidRPr="00E34303">
        <w:rPr>
          <w:rFonts w:cs="Times New Roman"/>
        </w:rPr>
        <w:t>consider</w:t>
      </w:r>
      <w:r w:rsidRPr="00E34303">
        <w:rPr>
          <w:rFonts w:cs="Times New Roman"/>
        </w:rPr>
        <w:t xml:space="preserve"> participants</w:t>
      </w:r>
      <w:r>
        <w:rPr>
          <w:rFonts w:cs="Times New Roman"/>
        </w:rPr>
        <w:t>’</w:t>
      </w:r>
      <w:r w:rsidRPr="00E34303">
        <w:rPr>
          <w:rFonts w:cs="Times New Roman"/>
        </w:rPr>
        <w:t xml:space="preserve"> time zones and availability, with a clear agenda shared at least 24 hours in advance. </w:t>
      </w:r>
    </w:p>
    <w:p w:rsidR="00491B6C" w:rsidRPr="00E34303" w:rsidP="00C379F5" w14:paraId="2ED0EEC0" w14:textId="77777777">
      <w:pPr>
        <w:rPr>
          <w:rFonts w:cs="Times New Roman"/>
        </w:rPr>
      </w:pPr>
    </w:p>
    <w:p w:rsidR="00491B6C" w:rsidRPr="00491B6C" w:rsidP="00C379F5" w14:paraId="314D381C" w14:textId="5966191A">
      <w:pPr>
        <w:rPr>
          <w:rFonts w:cs="Times New Roman"/>
        </w:rPr>
      </w:pPr>
      <w:r w:rsidRPr="00E34303">
        <w:rPr>
          <w:rFonts w:cs="Times New Roman"/>
        </w:rPr>
        <w:t xml:space="preserve">The facilitator will start the meeting by reviewing the objectives and </w:t>
      </w:r>
      <w:r w:rsidR="003F4A99">
        <w:rPr>
          <w:rFonts w:cs="Times New Roman"/>
        </w:rPr>
        <w:t>covering basic rules of participation</w:t>
      </w:r>
      <w:r w:rsidRPr="00E34303">
        <w:rPr>
          <w:rFonts w:cs="Times New Roman"/>
        </w:rPr>
        <w:t>. To encourage engagement from all participants</w:t>
      </w:r>
      <w:r w:rsidR="003F4A99">
        <w:rPr>
          <w:rFonts w:cs="Times New Roman"/>
        </w:rPr>
        <w:t>,</w:t>
      </w:r>
      <w:r w:rsidRPr="00E34303">
        <w:rPr>
          <w:rFonts w:cs="Times New Roman"/>
        </w:rPr>
        <w:t xml:space="preserve"> the facilitator will address participants by name</w:t>
      </w:r>
      <w:r w:rsidR="00935B3D">
        <w:rPr>
          <w:rFonts w:cs="Times New Roman"/>
        </w:rPr>
        <w:t xml:space="preserve"> </w:t>
      </w:r>
      <w:r w:rsidRPr="00E34303">
        <w:rPr>
          <w:rFonts w:cs="Times New Roman"/>
        </w:rPr>
        <w:t>and actively seek input from any participants that have not had a chance to contribute to the conversation</w:t>
      </w:r>
      <w:r w:rsidR="003F4A99">
        <w:rPr>
          <w:rFonts w:cs="Times New Roman"/>
        </w:rPr>
        <w:t xml:space="preserve"> throughout the session</w:t>
      </w:r>
      <w:r w:rsidRPr="00E34303">
        <w:rPr>
          <w:rFonts w:cs="Times New Roman"/>
        </w:rPr>
        <w:t>.</w:t>
      </w:r>
      <w:r w:rsidR="00623E52">
        <w:rPr>
          <w:rFonts w:cs="Times New Roman"/>
        </w:rPr>
        <w:t xml:space="preserve"> </w:t>
      </w:r>
      <w:r w:rsidRPr="2FC14CA1">
        <w:rPr>
          <w:rFonts w:cs="Times New Roman"/>
        </w:rPr>
        <w:t xml:space="preserve">To keep all participants engaged, interactive features such as polls and collaboration spaces will be incorporated. Participant engagement will also be enhanced by encouraging discussions among participants, </w:t>
      </w:r>
      <w:r w:rsidR="00623E52">
        <w:rPr>
          <w:rFonts w:cs="Times New Roman"/>
        </w:rPr>
        <w:t xml:space="preserve">using </w:t>
      </w:r>
      <w:r w:rsidRPr="2FC14CA1">
        <w:rPr>
          <w:rFonts w:cs="Times New Roman"/>
        </w:rPr>
        <w:t>open-ended Q&amp;A sessions</w:t>
      </w:r>
      <w:r w:rsidR="00623E52">
        <w:rPr>
          <w:rFonts w:cs="Times New Roman"/>
        </w:rPr>
        <w:t>,</w:t>
      </w:r>
      <w:r w:rsidRPr="2FC14CA1">
        <w:rPr>
          <w:rFonts w:cs="Times New Roman"/>
        </w:rPr>
        <w:t xml:space="preserve"> and may incorporate collaborative tools such as digital white boards or visualization platforms for brainstorming or voting on others’ ideas or statements. The use of reaction and chat features will be encouraged to allow for non-verbal participation. </w:t>
      </w:r>
    </w:p>
    <w:p w:rsidR="00491B6C" w:rsidP="00214F3F" w14:paraId="200F57AB" w14:textId="77777777">
      <w:pPr>
        <w:rPr>
          <w:rFonts w:cs="Times New Roman"/>
          <w:b/>
          <w:bCs/>
          <w:i/>
          <w:iCs/>
        </w:rPr>
      </w:pPr>
    </w:p>
    <w:p w:rsidR="009F2052" w:rsidP="00214F3F" w14:paraId="5D4CE7F8" w14:textId="4D922118">
      <w:pPr>
        <w:rPr>
          <w:rFonts w:cs="Times New Roman"/>
          <w:b/>
          <w:bCs/>
        </w:rPr>
      </w:pPr>
      <w:r>
        <w:rPr>
          <w:rFonts w:cs="Times New Roman"/>
        </w:rPr>
        <w:t>Upon completion of the focus groups, each participant</w:t>
      </w:r>
      <w:r>
        <w:rPr>
          <w:rFonts w:cs="Times New Roman"/>
        </w:rPr>
        <w:t xml:space="preserve"> will</w:t>
      </w:r>
      <w:r>
        <w:rPr>
          <w:rFonts w:cs="Times New Roman"/>
        </w:rPr>
        <w:t xml:space="preserve"> receive</w:t>
      </w:r>
      <w:r>
        <w:rPr>
          <w:rFonts w:cs="Times New Roman"/>
        </w:rPr>
        <w:t xml:space="preserve"> an email thanking them for their participation</w:t>
      </w:r>
      <w:r w:rsidR="00625563">
        <w:rPr>
          <w:rFonts w:cs="Times New Roman"/>
        </w:rPr>
        <w:t xml:space="preserve"> and provide them the opportunity to provide any additional </w:t>
      </w:r>
      <w:r w:rsidR="00DC08BF">
        <w:rPr>
          <w:rFonts w:cs="Times New Roman"/>
        </w:rPr>
        <w:t xml:space="preserve">insights or </w:t>
      </w:r>
      <w:r w:rsidR="00625563">
        <w:rPr>
          <w:rFonts w:cs="Times New Roman"/>
        </w:rPr>
        <w:t xml:space="preserve">feedback </w:t>
      </w:r>
      <w:r>
        <w:rPr>
          <w:rFonts w:cs="Times New Roman"/>
        </w:rPr>
        <w:t xml:space="preserve">(see </w:t>
      </w:r>
      <w:r>
        <w:rPr>
          <w:rFonts w:cs="Times New Roman"/>
          <w:b/>
          <w:bCs/>
        </w:rPr>
        <w:t xml:space="preserve">Attachment </w:t>
      </w:r>
      <w:r w:rsidR="00625563">
        <w:rPr>
          <w:rFonts w:cs="Times New Roman"/>
          <w:b/>
          <w:bCs/>
        </w:rPr>
        <w:t>E</w:t>
      </w:r>
      <w:r>
        <w:rPr>
          <w:rFonts w:cs="Times New Roman"/>
          <w:b/>
          <w:bCs/>
        </w:rPr>
        <w:t xml:space="preserve">). </w:t>
      </w:r>
    </w:p>
    <w:p w:rsidR="00321F40" w:rsidRPr="00321F40" w:rsidP="00214F3F" w14:paraId="7C762E95" w14:textId="77777777">
      <w:pPr>
        <w:rPr>
          <w:rFonts w:cs="Times New Roman"/>
        </w:rPr>
      </w:pPr>
    </w:p>
    <w:p w:rsidR="00491B6C" w:rsidRPr="00491B6C" w:rsidP="00214F3F" w14:paraId="537B25B2" w14:textId="5B3AD55E">
      <w:pPr>
        <w:pStyle w:val="ListParagraph"/>
        <w:numPr>
          <w:ilvl w:val="0"/>
          <w:numId w:val="6"/>
        </w:numPr>
        <w:rPr>
          <w:rFonts w:cs="Times New Roman"/>
          <w:b/>
          <w:bCs/>
        </w:rPr>
      </w:pPr>
      <w:r>
        <w:rPr>
          <w:rFonts w:cs="Times New Roman"/>
          <w:b/>
          <w:bCs/>
        </w:rPr>
        <w:t xml:space="preserve">Burden </w:t>
      </w:r>
    </w:p>
    <w:p w:rsidR="003472CE" w:rsidP="00214F3F" w14:paraId="36327EA9" w14:textId="75D23291">
      <w:pPr>
        <w:rPr>
          <w:rFonts w:asciiTheme="majorBidi" w:hAnsiTheme="majorBidi" w:cstheme="majorBidi"/>
        </w:rPr>
      </w:pPr>
      <w:r>
        <w:rPr>
          <w:rFonts w:asciiTheme="majorBidi" w:hAnsiTheme="majorBidi" w:cstheme="majorBidi"/>
        </w:rPr>
        <w:t>T</w:t>
      </w:r>
      <w:r w:rsidRPr="0B4E38E4" w:rsidR="00050CDF">
        <w:rPr>
          <w:rFonts w:asciiTheme="majorBidi" w:hAnsiTheme="majorBidi" w:cstheme="majorBidi"/>
        </w:rPr>
        <w:t xml:space="preserve">he maximum burden associated with the proposed </w:t>
      </w:r>
      <w:r w:rsidRPr="0B4E38E4" w:rsidR="00D07D39">
        <w:rPr>
          <w:rFonts w:asciiTheme="majorBidi" w:hAnsiTheme="majorBidi" w:cstheme="majorBidi"/>
        </w:rPr>
        <w:t xml:space="preserve">focus groups is presented in Table </w:t>
      </w:r>
      <w:r w:rsidRPr="0B4E38E4" w:rsidR="00D65D39">
        <w:rPr>
          <w:rFonts w:asciiTheme="majorBidi" w:hAnsiTheme="majorBidi" w:cstheme="majorBidi"/>
        </w:rPr>
        <w:t>1</w:t>
      </w:r>
      <w:r w:rsidRPr="0B4E38E4" w:rsidR="00D07D39">
        <w:rPr>
          <w:rFonts w:asciiTheme="majorBidi" w:hAnsiTheme="majorBidi" w:cstheme="majorBidi"/>
        </w:rPr>
        <w:t xml:space="preserve">. </w:t>
      </w:r>
      <w:r w:rsidRPr="0B4E38E4" w:rsidR="00050CDF">
        <w:rPr>
          <w:rFonts w:asciiTheme="majorBidi" w:hAnsiTheme="majorBidi" w:cstheme="majorBidi"/>
        </w:rPr>
        <w:t xml:space="preserve">In total, respondent burden is estimated to be </w:t>
      </w:r>
      <w:r w:rsidR="0057194A">
        <w:rPr>
          <w:rFonts w:asciiTheme="majorBidi" w:hAnsiTheme="majorBidi" w:cstheme="majorBidi"/>
        </w:rPr>
        <w:t>20</w:t>
      </w:r>
      <w:r w:rsidRPr="0B4E38E4" w:rsidR="0057194A">
        <w:rPr>
          <w:rFonts w:asciiTheme="majorBidi" w:hAnsiTheme="majorBidi" w:cstheme="majorBidi"/>
        </w:rPr>
        <w:t xml:space="preserve"> </w:t>
      </w:r>
      <w:r w:rsidRPr="0B4E38E4" w:rsidR="008B2E3F">
        <w:rPr>
          <w:rFonts w:asciiTheme="majorBidi" w:hAnsiTheme="majorBidi" w:cstheme="majorBidi"/>
        </w:rPr>
        <w:t>hours</w:t>
      </w:r>
      <w:r w:rsidRPr="0B4E38E4" w:rsidR="00050CDF">
        <w:rPr>
          <w:rFonts w:asciiTheme="majorBidi" w:hAnsiTheme="majorBidi" w:cstheme="majorBidi"/>
        </w:rPr>
        <w:t>.</w:t>
      </w:r>
      <w:r w:rsidRPr="0B4E38E4" w:rsidR="33D8594F">
        <w:rPr>
          <w:rFonts w:asciiTheme="majorBidi" w:hAnsiTheme="majorBidi" w:cstheme="majorBidi"/>
        </w:rPr>
        <w:t xml:space="preserve"> This burden comprises </w:t>
      </w:r>
      <w:r w:rsidR="00AE4F57">
        <w:rPr>
          <w:rFonts w:asciiTheme="majorBidi" w:hAnsiTheme="majorBidi" w:cstheme="majorBidi"/>
        </w:rPr>
        <w:t xml:space="preserve">two </w:t>
      </w:r>
      <w:r w:rsidRPr="0B4E38E4" w:rsidR="33D8594F">
        <w:rPr>
          <w:rFonts w:asciiTheme="majorBidi" w:hAnsiTheme="majorBidi" w:cstheme="majorBidi"/>
        </w:rPr>
        <w:t>components: scheduling focus groups with participants and conducting the focus group</w:t>
      </w:r>
      <w:r w:rsidR="00623E52">
        <w:rPr>
          <w:rFonts w:asciiTheme="majorBidi" w:hAnsiTheme="majorBidi" w:cstheme="majorBidi"/>
        </w:rPr>
        <w:t>s</w:t>
      </w:r>
      <w:r w:rsidRPr="0B4E38E4" w:rsidR="33D8594F">
        <w:rPr>
          <w:rFonts w:asciiTheme="majorBidi" w:hAnsiTheme="majorBidi" w:cstheme="majorBidi"/>
        </w:rPr>
        <w:t>.</w:t>
      </w:r>
      <w:r w:rsidRPr="0B4E38E4" w:rsidR="1C37295A">
        <w:rPr>
          <w:rFonts w:asciiTheme="majorBidi" w:hAnsiTheme="majorBidi" w:cstheme="majorBidi"/>
        </w:rPr>
        <w:t xml:space="preserve"> </w:t>
      </w:r>
    </w:p>
    <w:p w:rsidR="009851BF" w:rsidRPr="00E00D1F" w:rsidP="00214F3F" w14:paraId="6CA2A86C" w14:textId="77777777">
      <w:pPr>
        <w:rPr>
          <w:rFonts w:cs="Times New Roman"/>
        </w:rPr>
      </w:pPr>
    </w:p>
    <w:p w:rsidR="00050CDF" w:rsidRPr="00553D1A" w:rsidP="00214F3F" w14:paraId="225A5755" w14:textId="77777777">
      <w:pPr>
        <w:rPr>
          <w:rFonts w:asciiTheme="majorBidi" w:hAnsiTheme="majorBidi" w:cstheme="majorBidi"/>
          <w:b/>
          <w:bCs/>
        </w:rPr>
      </w:pPr>
    </w:p>
    <w:p w:rsidR="00050CDF" w:rsidRPr="00553D1A" w:rsidP="00214F3F" w14:paraId="7ED516E4" w14:textId="25EF0450">
      <w:pPr>
        <w:contextualSpacing/>
        <w:rPr>
          <w:rFonts w:asciiTheme="majorBidi" w:hAnsiTheme="majorBidi" w:cstheme="majorBidi"/>
          <w:b/>
          <w:bCs/>
        </w:rPr>
      </w:pPr>
      <w:r>
        <w:rPr>
          <w:rFonts w:asciiTheme="majorBidi" w:hAnsiTheme="majorBidi" w:cstheme="majorBidi"/>
          <w:b/>
          <w:bCs/>
        </w:rPr>
        <w:t xml:space="preserve">Table </w:t>
      </w:r>
      <w:r w:rsidR="003472CE">
        <w:rPr>
          <w:rFonts w:asciiTheme="majorBidi" w:hAnsiTheme="majorBidi" w:cstheme="majorBidi"/>
          <w:b/>
          <w:bCs/>
        </w:rPr>
        <w:t>1</w:t>
      </w:r>
      <w:r>
        <w:rPr>
          <w:rFonts w:asciiTheme="majorBidi" w:hAnsiTheme="majorBidi" w:cstheme="majorBidi"/>
          <w:b/>
          <w:bCs/>
        </w:rPr>
        <w:t xml:space="preserve">. Maximum </w:t>
      </w:r>
      <w:r w:rsidRPr="00553D1A">
        <w:rPr>
          <w:rFonts w:asciiTheme="majorBidi" w:hAnsiTheme="majorBidi" w:cstheme="majorBidi"/>
          <w:b/>
          <w:bCs/>
        </w:rPr>
        <w:t xml:space="preserve">Burden Associated with Planned </w:t>
      </w:r>
      <w:r w:rsidR="00E30FAB">
        <w:rPr>
          <w:rFonts w:asciiTheme="majorBidi" w:hAnsiTheme="majorBidi" w:cstheme="majorBidi"/>
          <w:b/>
          <w:bCs/>
        </w:rPr>
        <w:t xml:space="preserve">Focus Group Activities </w:t>
      </w:r>
    </w:p>
    <w:tbl>
      <w:tblPr>
        <w:tblW w:w="8460" w:type="dxa"/>
        <w:tblInd w:w="-5" w:type="dxa"/>
        <w:tblCellMar>
          <w:left w:w="0" w:type="dxa"/>
          <w:right w:w="0" w:type="dxa"/>
        </w:tblCellMar>
        <w:tblLook w:val="04A0"/>
      </w:tblPr>
      <w:tblGrid>
        <w:gridCol w:w="2970"/>
        <w:gridCol w:w="1710"/>
        <w:gridCol w:w="1980"/>
        <w:gridCol w:w="1800"/>
      </w:tblGrid>
      <w:tr w14:paraId="1D4C8BD8" w14:textId="77777777" w:rsidTr="0020538D">
        <w:tblPrEx>
          <w:tblW w:w="8460" w:type="dxa"/>
          <w:tblInd w:w="-5" w:type="dxa"/>
          <w:tblCellMar>
            <w:left w:w="0" w:type="dxa"/>
            <w:right w:w="0" w:type="dxa"/>
          </w:tblCellMar>
          <w:tblLook w:val="04A0"/>
        </w:tblPrEx>
        <w:trPr>
          <w:trHeight w:val="461"/>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CDF" w:rsidRPr="00553D1A" w:rsidP="00214F3F" w14:paraId="4FDC1FD0" w14:textId="77777777">
            <w:pPr>
              <w:rPr>
                <w:rFonts w:cs="Times New Roman"/>
                <w:color w:val="000000"/>
                <w:sz w:val="22"/>
                <w:szCs w:val="22"/>
              </w:rPr>
            </w:pPr>
          </w:p>
        </w:tc>
        <w:tc>
          <w:tcPr>
            <w:tcW w:w="17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50CDF" w:rsidRPr="00553D1A" w:rsidP="0020538D" w14:paraId="4ABD597C" w14:textId="59D9B622">
            <w:pPr>
              <w:rPr>
                <w:rFonts w:cs="Times New Roman"/>
                <w:b/>
                <w:bCs/>
                <w:color w:val="000000"/>
                <w:sz w:val="22"/>
                <w:szCs w:val="22"/>
              </w:rPr>
            </w:pPr>
            <w:r>
              <w:rPr>
                <w:rFonts w:cs="Times New Roman"/>
                <w:b/>
                <w:bCs/>
                <w:color w:val="000000"/>
                <w:sz w:val="22"/>
                <w:szCs w:val="22"/>
              </w:rPr>
              <w:t>Number</w:t>
            </w:r>
            <w:r w:rsidRPr="00553D1A">
              <w:rPr>
                <w:rFonts w:cs="Times New Roman"/>
                <w:b/>
                <w:bCs/>
                <w:color w:val="000000"/>
                <w:sz w:val="22"/>
                <w:szCs w:val="22"/>
              </w:rPr>
              <w:t xml:space="preserve"> of Respondents</w:t>
            </w:r>
          </w:p>
        </w:tc>
        <w:tc>
          <w:tcPr>
            <w:tcW w:w="1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50CDF" w:rsidRPr="00553D1A" w:rsidP="0020538D" w14:paraId="5D1ECB9A" w14:textId="4619AFBD">
            <w:pPr>
              <w:rPr>
                <w:rFonts w:cs="Times New Roman"/>
                <w:b/>
                <w:bCs/>
                <w:color w:val="000000"/>
                <w:sz w:val="22"/>
                <w:szCs w:val="22"/>
              </w:rPr>
            </w:pPr>
            <w:r>
              <w:rPr>
                <w:rFonts w:cs="Times New Roman"/>
                <w:b/>
                <w:bCs/>
                <w:color w:val="000000"/>
                <w:sz w:val="22"/>
                <w:szCs w:val="22"/>
              </w:rPr>
              <w:t>Participation Time</w:t>
            </w:r>
            <w:r w:rsidRPr="00553D1A">
              <w:rPr>
                <w:rFonts w:cs="Times New Roman"/>
                <w:b/>
                <w:bCs/>
                <w:color w:val="000000"/>
                <w:sz w:val="22"/>
                <w:szCs w:val="22"/>
              </w:rPr>
              <w:t xml:space="preserve"> (minutes)</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50CDF" w:rsidRPr="00553D1A" w:rsidP="0020538D" w14:paraId="0175BFD2" w14:textId="77777777">
            <w:pPr>
              <w:rPr>
                <w:rFonts w:cs="Times New Roman"/>
                <w:b/>
                <w:bCs/>
                <w:color w:val="000000"/>
                <w:sz w:val="22"/>
                <w:szCs w:val="22"/>
              </w:rPr>
            </w:pPr>
            <w:r w:rsidRPr="00553D1A">
              <w:rPr>
                <w:rFonts w:cs="Times New Roman"/>
                <w:b/>
                <w:bCs/>
                <w:color w:val="000000"/>
                <w:sz w:val="22"/>
                <w:szCs w:val="22"/>
              </w:rPr>
              <w:t>Burden (hours)</w:t>
            </w:r>
          </w:p>
        </w:tc>
      </w:tr>
      <w:tr w14:paraId="3AE9991E" w14:textId="77777777" w:rsidTr="0020538D">
        <w:tblPrEx>
          <w:tblW w:w="8460" w:type="dxa"/>
          <w:tblInd w:w="-5" w:type="dxa"/>
          <w:tblCellMar>
            <w:left w:w="0" w:type="dxa"/>
            <w:right w:w="0" w:type="dxa"/>
          </w:tblCellMar>
          <w:tblLook w:val="04A0"/>
        </w:tblPrEx>
        <w:trPr>
          <w:trHeight w:val="461"/>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453D3" w:rsidP="004453D3" w14:paraId="16C00FAF" w14:textId="77777777">
            <w:pPr>
              <w:rPr>
                <w:rFonts w:cs="Times New Roman"/>
                <w:color w:val="000000"/>
                <w:sz w:val="22"/>
                <w:szCs w:val="22"/>
              </w:rPr>
            </w:pPr>
            <w:r>
              <w:rPr>
                <w:rFonts w:cs="Times New Roman"/>
                <w:color w:val="000000"/>
                <w:sz w:val="22"/>
                <w:szCs w:val="22"/>
              </w:rPr>
              <w:t xml:space="preserve">Private Sector </w:t>
            </w:r>
          </w:p>
          <w:p w:rsidR="004453D3" w:rsidRPr="00553D1A" w:rsidP="004453D3" w14:paraId="67EEC994" w14:textId="6126637F">
            <w:pPr>
              <w:rPr>
                <w:rFonts w:cs="Times New Roman"/>
                <w:color w:val="000000"/>
                <w:sz w:val="22"/>
                <w:szCs w:val="22"/>
              </w:rPr>
            </w:pPr>
            <w:r w:rsidRPr="0020538D">
              <w:rPr>
                <w:rFonts w:cs="Times New Roman"/>
                <w:color w:val="000000"/>
                <w:sz w:val="22"/>
                <w:szCs w:val="22"/>
              </w:rPr>
              <w:t>--</w:t>
            </w:r>
            <w:r>
              <w:rPr>
                <w:rFonts w:cs="Times New Roman"/>
                <w:color w:val="000000"/>
                <w:sz w:val="22"/>
                <w:szCs w:val="22"/>
              </w:rPr>
              <w:t>Contact and Scheduling</w:t>
            </w:r>
          </w:p>
        </w:tc>
        <w:tc>
          <w:tcPr>
            <w:tcW w:w="17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453D3" w:rsidRPr="004453D3" w:rsidP="0020538D" w14:paraId="4EB80F00" w14:textId="04E196D8">
            <w:pPr>
              <w:rPr>
                <w:rFonts w:cs="Times New Roman"/>
                <w:color w:val="000000"/>
                <w:sz w:val="22"/>
                <w:szCs w:val="22"/>
              </w:rPr>
            </w:pPr>
            <w:r>
              <w:rPr>
                <w:rFonts w:cs="Times New Roman"/>
                <w:color w:val="000000"/>
                <w:sz w:val="22"/>
                <w:szCs w:val="22"/>
              </w:rPr>
              <w:t>Up to 10</w:t>
            </w:r>
          </w:p>
        </w:tc>
        <w:tc>
          <w:tcPr>
            <w:tcW w:w="1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453D3" w:rsidRPr="004453D3" w:rsidP="0020538D" w14:paraId="062463D9" w14:textId="0BC2FBFE">
            <w:pPr>
              <w:rPr>
                <w:rFonts w:cs="Times New Roman"/>
                <w:color w:val="000000"/>
                <w:sz w:val="22"/>
                <w:szCs w:val="22"/>
              </w:rPr>
            </w:pPr>
            <w:r>
              <w:rPr>
                <w:rFonts w:cs="Times New Roman"/>
                <w:color w:val="000000"/>
                <w:sz w:val="22"/>
                <w:szCs w:val="22"/>
              </w:rPr>
              <w:t>10</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4453D3" w:rsidRPr="004453D3" w:rsidP="0020538D" w14:paraId="3D171E13" w14:textId="66054290">
            <w:pPr>
              <w:rPr>
                <w:rFonts w:cs="Times New Roman"/>
                <w:color w:val="000000"/>
                <w:sz w:val="22"/>
                <w:szCs w:val="22"/>
              </w:rPr>
            </w:pPr>
            <w:r>
              <w:rPr>
                <w:rFonts w:cs="Times New Roman"/>
                <w:color w:val="000000"/>
                <w:sz w:val="22"/>
                <w:szCs w:val="22"/>
              </w:rPr>
              <w:t>2</w:t>
            </w:r>
          </w:p>
        </w:tc>
      </w:tr>
      <w:tr w14:paraId="35FB662B" w14:textId="77777777" w:rsidTr="0020538D">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23E52" w:rsidRPr="0020538D" w:rsidP="00214F3F" w14:paraId="1D1B6461" w14:textId="77777777">
            <w:pPr>
              <w:rPr>
                <w:rFonts w:cs="Times New Roman"/>
                <w:color w:val="000000"/>
                <w:sz w:val="22"/>
                <w:szCs w:val="22"/>
              </w:rPr>
            </w:pPr>
            <w:r w:rsidRPr="0020538D">
              <w:rPr>
                <w:rFonts w:cs="Times New Roman"/>
                <w:color w:val="000000"/>
                <w:sz w:val="22"/>
                <w:szCs w:val="22"/>
              </w:rPr>
              <w:t xml:space="preserve">State, Local, or Tribal Governments </w:t>
            </w:r>
          </w:p>
          <w:p w:rsidR="00050CDF" w:rsidRPr="0020538D" w:rsidP="00214F3F" w14:paraId="1C9DABEC" w14:textId="74D150F3">
            <w:pPr>
              <w:rPr>
                <w:rFonts w:cs="Times New Roman"/>
                <w:color w:val="000000"/>
                <w:sz w:val="22"/>
                <w:szCs w:val="22"/>
              </w:rPr>
            </w:pPr>
            <w:r w:rsidRPr="0020538D">
              <w:rPr>
                <w:rFonts w:cs="Times New Roman"/>
                <w:color w:val="000000"/>
                <w:sz w:val="22"/>
                <w:szCs w:val="22"/>
              </w:rPr>
              <w:t>--</w:t>
            </w:r>
            <w:r w:rsidRPr="0020538D" w:rsidR="0037404C">
              <w:rPr>
                <w:rFonts w:cs="Times New Roman"/>
                <w:color w:val="000000"/>
                <w:sz w:val="22"/>
                <w:szCs w:val="22"/>
              </w:rPr>
              <w:t>Contact and Scheduling</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553D1A" w:rsidP="0020538D" w14:paraId="67D94287" w14:textId="41599316">
            <w:pPr>
              <w:rPr>
                <w:rFonts w:cs="Times New Roman"/>
                <w:color w:val="000000"/>
                <w:sz w:val="22"/>
                <w:szCs w:val="22"/>
              </w:rPr>
            </w:pPr>
            <w:r>
              <w:rPr>
                <w:rFonts w:cs="Times New Roman"/>
                <w:color w:val="000000"/>
                <w:sz w:val="22"/>
                <w:szCs w:val="22"/>
              </w:rPr>
              <w:t xml:space="preserve">Up to </w:t>
            </w:r>
            <w:r w:rsidR="004453D3">
              <w:rPr>
                <w:rFonts w:cs="Times New Roman"/>
                <w:color w:val="000000"/>
                <w:sz w:val="22"/>
                <w:szCs w:val="22"/>
              </w:rPr>
              <w:t>20</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553D1A" w:rsidP="0020538D" w14:paraId="14DA29AC" w14:textId="20B56271">
            <w:pPr>
              <w:rPr>
                <w:rFonts w:cs="Times New Roman"/>
                <w:color w:val="000000"/>
                <w:sz w:val="22"/>
                <w:szCs w:val="22"/>
              </w:rPr>
            </w:pPr>
            <w:r>
              <w:rPr>
                <w:rFonts w:cs="Times New Roman"/>
                <w:color w:val="000000"/>
                <w:sz w:val="22"/>
                <w:szCs w:val="22"/>
              </w:rPr>
              <w:t>10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553D1A" w:rsidP="0020538D" w14:paraId="107D6795" w14:textId="5B46A2C3">
            <w:pPr>
              <w:rPr>
                <w:rFonts w:cs="Times New Roman"/>
                <w:color w:val="000000"/>
                <w:sz w:val="22"/>
                <w:szCs w:val="22"/>
              </w:rPr>
            </w:pPr>
            <w:r>
              <w:rPr>
                <w:rFonts w:cs="Times New Roman"/>
                <w:color w:val="000000"/>
                <w:sz w:val="22"/>
                <w:szCs w:val="22"/>
              </w:rPr>
              <w:t>3</w:t>
            </w:r>
          </w:p>
        </w:tc>
      </w:tr>
      <w:tr w14:paraId="78130A99" w14:textId="77777777" w:rsidTr="0020538D">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453D3" w:rsidP="004453D3" w14:paraId="18C3DE73" w14:textId="77777777">
            <w:pPr>
              <w:rPr>
                <w:rFonts w:cs="Times New Roman"/>
                <w:color w:val="000000"/>
                <w:sz w:val="22"/>
                <w:szCs w:val="22"/>
              </w:rPr>
            </w:pPr>
            <w:r>
              <w:rPr>
                <w:rFonts w:cs="Times New Roman"/>
                <w:color w:val="000000"/>
                <w:sz w:val="22"/>
                <w:szCs w:val="22"/>
              </w:rPr>
              <w:t xml:space="preserve">Private Sector </w:t>
            </w:r>
          </w:p>
          <w:p w:rsidR="004453D3" w:rsidRPr="0020538D" w:rsidP="004453D3" w14:paraId="4C1C896E" w14:textId="14EB3545">
            <w:pPr>
              <w:rPr>
                <w:rFonts w:cs="Times New Roman"/>
                <w:color w:val="000000"/>
                <w:sz w:val="22"/>
                <w:szCs w:val="22"/>
              </w:rPr>
            </w:pPr>
            <w:r w:rsidRPr="0020538D">
              <w:rPr>
                <w:rFonts w:cs="Times New Roman"/>
                <w:color w:val="000000"/>
                <w:sz w:val="22"/>
                <w:szCs w:val="22"/>
              </w:rPr>
              <w:t>--</w:t>
            </w:r>
            <w:r>
              <w:rPr>
                <w:rFonts w:cs="Times New Roman"/>
                <w:color w:val="000000"/>
                <w:sz w:val="22"/>
                <w:szCs w:val="22"/>
              </w:rPr>
              <w:t>Focus Group Interviews</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453D3" w:rsidP="0020538D" w14:paraId="7DD12716" w14:textId="3B71CB72">
            <w:pPr>
              <w:rPr>
                <w:rFonts w:cs="Times New Roman"/>
                <w:color w:val="000000"/>
                <w:sz w:val="22"/>
                <w:szCs w:val="22"/>
              </w:rPr>
            </w:pPr>
            <w:r>
              <w:rPr>
                <w:rFonts w:cs="Times New Roman"/>
                <w:color w:val="000000"/>
                <w:sz w:val="22"/>
                <w:szCs w:val="22"/>
              </w:rPr>
              <w:t>5</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453D3" w:rsidP="0020538D" w14:paraId="5BD566EF" w14:textId="3D4702D9">
            <w:pPr>
              <w:rPr>
                <w:rFonts w:cs="Times New Roman"/>
                <w:color w:val="000000"/>
                <w:sz w:val="22"/>
                <w:szCs w:val="22"/>
              </w:rPr>
            </w:pPr>
            <w:r>
              <w:rPr>
                <w:rFonts w:cs="Times New Roman"/>
                <w:color w:val="000000"/>
                <w:sz w:val="22"/>
                <w:szCs w:val="22"/>
              </w:rPr>
              <w:t>60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453D3" w:rsidP="0020538D" w14:paraId="24DAC70D" w14:textId="061419C1">
            <w:pPr>
              <w:rPr>
                <w:rFonts w:cs="Times New Roman"/>
                <w:color w:val="000000"/>
                <w:sz w:val="22"/>
                <w:szCs w:val="22"/>
              </w:rPr>
            </w:pPr>
            <w:r>
              <w:rPr>
                <w:rFonts w:cs="Times New Roman"/>
                <w:color w:val="000000"/>
                <w:sz w:val="22"/>
                <w:szCs w:val="22"/>
              </w:rPr>
              <w:t>5</w:t>
            </w:r>
          </w:p>
        </w:tc>
      </w:tr>
      <w:tr w14:paraId="4D59801B" w14:textId="77777777" w:rsidTr="0020538D">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23E52" w:rsidRPr="0020538D" w:rsidP="00623E52" w14:paraId="0870D9DF" w14:textId="77777777">
            <w:pPr>
              <w:rPr>
                <w:rFonts w:cs="Times New Roman"/>
                <w:color w:val="000000"/>
                <w:sz w:val="22"/>
                <w:szCs w:val="22"/>
              </w:rPr>
            </w:pPr>
            <w:r w:rsidRPr="0020538D">
              <w:rPr>
                <w:rFonts w:cs="Times New Roman"/>
                <w:color w:val="000000"/>
                <w:sz w:val="22"/>
                <w:szCs w:val="22"/>
              </w:rPr>
              <w:t xml:space="preserve">State, Local, or Tribal Governments </w:t>
            </w:r>
          </w:p>
          <w:p w:rsidR="00050CDF" w:rsidRPr="0020538D" w:rsidP="00214F3F" w14:paraId="088B4B74" w14:textId="0AF21B58">
            <w:pPr>
              <w:rPr>
                <w:rFonts w:cs="Times New Roman"/>
                <w:color w:val="000000"/>
                <w:sz w:val="22"/>
                <w:szCs w:val="22"/>
              </w:rPr>
            </w:pPr>
            <w:r w:rsidRPr="0020538D">
              <w:rPr>
                <w:rFonts w:cs="Times New Roman"/>
                <w:color w:val="000000"/>
                <w:sz w:val="22"/>
                <w:szCs w:val="22"/>
              </w:rPr>
              <w:t>--</w:t>
            </w:r>
            <w:r w:rsidRPr="0020538D" w:rsidR="0037404C">
              <w:rPr>
                <w:rFonts w:cs="Times New Roman"/>
                <w:color w:val="000000"/>
                <w:sz w:val="22"/>
                <w:szCs w:val="22"/>
              </w:rPr>
              <w:t>Focus Group interviews</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553D1A" w:rsidP="0020538D" w14:paraId="62DA4DB9" w14:textId="22992444">
            <w:pPr>
              <w:rPr>
                <w:rFonts w:cs="Times New Roman"/>
                <w:color w:val="000000"/>
                <w:sz w:val="22"/>
                <w:szCs w:val="22"/>
              </w:rPr>
            </w:pPr>
            <w:r>
              <w:rPr>
                <w:rFonts w:cs="Times New Roman"/>
                <w:color w:val="000000"/>
                <w:sz w:val="22"/>
                <w:szCs w:val="22"/>
              </w:rPr>
              <w:t>10</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553D1A" w:rsidP="0020538D" w14:paraId="6BE48EF7" w14:textId="7E9119D5">
            <w:pPr>
              <w:rPr>
                <w:rFonts w:cs="Times New Roman"/>
                <w:color w:val="000000"/>
                <w:sz w:val="22"/>
                <w:szCs w:val="22"/>
              </w:rPr>
            </w:pPr>
            <w:r>
              <w:rPr>
                <w:rFonts w:cs="Times New Roman"/>
                <w:color w:val="000000"/>
                <w:sz w:val="22"/>
                <w:szCs w:val="22"/>
              </w:rPr>
              <w:t>60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553D1A" w:rsidP="0020538D" w14:paraId="3A4D94FD" w14:textId="67824456">
            <w:pPr>
              <w:rPr>
                <w:rFonts w:cs="Times New Roman"/>
                <w:color w:val="000000"/>
                <w:sz w:val="22"/>
                <w:szCs w:val="22"/>
              </w:rPr>
            </w:pPr>
            <w:r>
              <w:rPr>
                <w:rFonts w:cs="Times New Roman"/>
                <w:color w:val="000000"/>
                <w:sz w:val="22"/>
                <w:szCs w:val="22"/>
              </w:rPr>
              <w:t>1</w:t>
            </w:r>
            <w:r w:rsidR="009A20D7">
              <w:rPr>
                <w:rFonts w:cs="Times New Roman"/>
                <w:color w:val="000000"/>
                <w:sz w:val="22"/>
                <w:szCs w:val="22"/>
              </w:rPr>
              <w:t>0</w:t>
            </w:r>
          </w:p>
        </w:tc>
      </w:tr>
      <w:tr w14:paraId="06FF2DD7" w14:textId="77777777" w:rsidTr="0020538D">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0CDF" w:rsidRPr="00553D1A" w:rsidP="00214F3F" w14:paraId="1297822C" w14:textId="77777777">
            <w:pPr>
              <w:rPr>
                <w:rFonts w:cs="Times New Roman"/>
                <w:b/>
                <w:bCs/>
                <w:color w:val="000000"/>
                <w:sz w:val="22"/>
                <w:szCs w:val="22"/>
              </w:rPr>
            </w:pPr>
            <w:r w:rsidRPr="00553D1A">
              <w:rPr>
                <w:rFonts w:cs="Times New Roman"/>
                <w:b/>
                <w:bCs/>
                <w:color w:val="000000"/>
                <w:sz w:val="22"/>
                <w:szCs w:val="22"/>
              </w:rPr>
              <w:t>Total</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321F57" w:rsidP="0020538D" w14:paraId="596993D8" w14:textId="753F8866">
            <w:pPr>
              <w:rPr>
                <w:rFonts w:cs="Times New Roman"/>
                <w:b/>
                <w:bCs/>
                <w:color w:val="000000"/>
                <w:sz w:val="22"/>
                <w:szCs w:val="22"/>
              </w:rPr>
            </w:pPr>
            <w:r>
              <w:rPr>
                <w:rFonts w:cs="Times New Roman"/>
                <w:b/>
                <w:bCs/>
                <w:color w:val="000000"/>
                <w:sz w:val="22"/>
                <w:szCs w:val="22"/>
              </w:rPr>
              <w:t>30</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321F57" w:rsidP="0020538D" w14:paraId="4259B8B5" w14:textId="72A982AF">
            <w:pPr>
              <w:rPr>
                <w:rFonts w:cs="Times New Roman"/>
                <w:b/>
                <w:bCs/>
                <w:color w:val="00000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50CDF" w:rsidRPr="00321F57" w:rsidP="0020538D" w14:paraId="070FDF89" w14:textId="4AB8D32F">
            <w:pPr>
              <w:rPr>
                <w:rFonts w:cs="Times New Roman"/>
                <w:b/>
                <w:bCs/>
                <w:color w:val="000000"/>
                <w:sz w:val="22"/>
                <w:szCs w:val="22"/>
              </w:rPr>
            </w:pPr>
            <w:r>
              <w:rPr>
                <w:rFonts w:cs="Times New Roman"/>
                <w:b/>
                <w:bCs/>
                <w:color w:val="000000"/>
                <w:sz w:val="22"/>
                <w:szCs w:val="22"/>
              </w:rPr>
              <w:t>2</w:t>
            </w:r>
            <w:r w:rsidR="00103BDD">
              <w:rPr>
                <w:rFonts w:cs="Times New Roman"/>
                <w:b/>
                <w:bCs/>
                <w:color w:val="000000"/>
                <w:sz w:val="22"/>
                <w:szCs w:val="22"/>
              </w:rPr>
              <w:t>0</w:t>
            </w:r>
          </w:p>
        </w:tc>
      </w:tr>
    </w:tbl>
    <w:p w:rsidR="00050CDF" w:rsidP="00214F3F" w14:paraId="1AF55949" w14:textId="77777777"/>
    <w:p w:rsidR="00491B6C" w:rsidP="00214F3F" w14:paraId="73560D1F" w14:textId="77777777">
      <w:pPr>
        <w:pStyle w:val="ListParagraph"/>
        <w:numPr>
          <w:ilvl w:val="0"/>
          <w:numId w:val="6"/>
        </w:numPr>
        <w:rPr>
          <w:rFonts w:asciiTheme="majorBidi" w:hAnsiTheme="majorBidi" w:cstheme="majorBidi"/>
          <w:b/>
          <w:bCs/>
        </w:rPr>
      </w:pPr>
      <w:r w:rsidRPr="00491B6C">
        <w:rPr>
          <w:rFonts w:asciiTheme="majorBidi" w:hAnsiTheme="majorBidi" w:cstheme="majorBidi"/>
          <w:b/>
          <w:bCs/>
        </w:rPr>
        <w:t>Language</w:t>
      </w:r>
    </w:p>
    <w:p w:rsidR="00050CDF" w:rsidP="00214F3F" w14:paraId="27B59CD2" w14:textId="4396A13D">
      <w:pPr>
        <w:rPr>
          <w:rFonts w:asciiTheme="majorBidi" w:hAnsiTheme="majorBidi" w:cstheme="majorBidi"/>
        </w:rPr>
      </w:pPr>
      <w:r w:rsidRPr="00491B6C">
        <w:rPr>
          <w:rFonts w:asciiTheme="majorBidi" w:hAnsiTheme="majorBidi" w:cstheme="majorBidi"/>
        </w:rPr>
        <w:t xml:space="preserve">The </w:t>
      </w:r>
      <w:r w:rsidRPr="00491B6C" w:rsidR="00242E84">
        <w:rPr>
          <w:rFonts w:asciiTheme="majorBidi" w:hAnsiTheme="majorBidi" w:cstheme="majorBidi"/>
        </w:rPr>
        <w:t>focus group</w:t>
      </w:r>
      <w:r w:rsidR="00E30FAB">
        <w:rPr>
          <w:rFonts w:asciiTheme="majorBidi" w:hAnsiTheme="majorBidi" w:cstheme="majorBidi"/>
        </w:rPr>
        <w:t>s</w:t>
      </w:r>
      <w:r w:rsidRPr="00491B6C" w:rsidR="00242E84">
        <w:rPr>
          <w:rFonts w:asciiTheme="majorBidi" w:hAnsiTheme="majorBidi" w:cstheme="majorBidi"/>
        </w:rPr>
        <w:t xml:space="preserve"> </w:t>
      </w:r>
      <w:r w:rsidRPr="00491B6C">
        <w:rPr>
          <w:rFonts w:asciiTheme="majorBidi" w:hAnsiTheme="majorBidi" w:cstheme="majorBidi"/>
        </w:rPr>
        <w:t>will be conducted in English only.</w:t>
      </w:r>
    </w:p>
    <w:p w:rsidR="00491B6C" w:rsidP="00214F3F" w14:paraId="166557C9" w14:textId="77777777">
      <w:pPr>
        <w:rPr>
          <w:rFonts w:asciiTheme="majorBidi" w:hAnsiTheme="majorBidi" w:cstheme="majorBidi"/>
        </w:rPr>
      </w:pPr>
    </w:p>
    <w:p w:rsidR="00050CDF" w:rsidRPr="009851BF" w:rsidP="00214F3F" w14:paraId="312CCB6A" w14:textId="608FFF19">
      <w:pPr>
        <w:pStyle w:val="ListParagraph"/>
        <w:numPr>
          <w:ilvl w:val="0"/>
          <w:numId w:val="6"/>
        </w:numPr>
        <w:rPr>
          <w:rFonts w:asciiTheme="majorBidi" w:hAnsiTheme="majorBidi" w:cstheme="majorBidi"/>
          <w:b/>
          <w:bCs/>
        </w:rPr>
      </w:pPr>
      <w:r>
        <w:rPr>
          <w:rFonts w:asciiTheme="majorBidi" w:hAnsiTheme="majorBidi" w:cstheme="majorBidi"/>
          <w:b/>
          <w:bCs/>
        </w:rPr>
        <w:t xml:space="preserve">Timeline </w:t>
      </w:r>
    </w:p>
    <w:tbl>
      <w:tblPr>
        <w:tblW w:w="9355" w:type="dxa"/>
        <w:tblLook w:val="04A0"/>
      </w:tblPr>
      <w:tblGrid>
        <w:gridCol w:w="6655"/>
        <w:gridCol w:w="1440"/>
        <w:gridCol w:w="1260"/>
      </w:tblGrid>
      <w:tr w14:paraId="27A289BF" w14:textId="77777777" w:rsidTr="0B4E38E4">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BC18DF" w:rsidRPr="00726A73" w:rsidP="00214F3F" w14:paraId="61E7B184" w14:textId="77777777">
            <w:pPr>
              <w:pStyle w:val="BodyTextFirstIndent"/>
              <w:rPr>
                <w:b/>
                <w:iCs/>
              </w:rPr>
            </w:pPr>
            <w:r w:rsidRPr="00726A73">
              <w:rPr>
                <w:b/>
                <w:iCs/>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BC18DF" w:rsidRPr="00726A73" w:rsidP="0020538D" w14:paraId="10920C9E" w14:textId="77777777">
            <w:pPr>
              <w:pStyle w:val="BodyTextFirstIndent"/>
              <w:ind w:hanging="14"/>
              <w:rPr>
                <w:b/>
                <w:iCs/>
              </w:rPr>
            </w:pPr>
            <w:r w:rsidRPr="00726A73">
              <w:rPr>
                <w:b/>
                <w:iCs/>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BC18DF" w:rsidRPr="00726A73" w:rsidP="0020538D" w14:paraId="4DFABFF2" w14:textId="77777777">
            <w:pPr>
              <w:pStyle w:val="BodyTextFirstIndent"/>
              <w:ind w:hanging="14"/>
              <w:rPr>
                <w:b/>
                <w:iCs/>
              </w:rPr>
            </w:pPr>
            <w:r w:rsidRPr="00726A73">
              <w:rPr>
                <w:b/>
                <w:iCs/>
              </w:rPr>
              <w:t>End Date</w:t>
            </w:r>
          </w:p>
        </w:tc>
      </w:tr>
      <w:tr w14:paraId="09D2078C" w14:textId="77777777" w:rsidTr="00B174C6">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3C5BB2" w:rsidRPr="00726A73" w:rsidP="00214F3F" w14:paraId="218B2E45" w14:textId="18972979">
            <w:pPr>
              <w:pStyle w:val="BodyTextFirstIndent"/>
              <w:rPr>
                <w:bCs/>
                <w:iCs/>
              </w:rPr>
            </w:pPr>
            <w:r w:rsidRPr="00726A73">
              <w:rPr>
                <w:bCs/>
                <w:iCs/>
              </w:rPr>
              <w:t>Recruitment a</w:t>
            </w:r>
            <w:r>
              <w:rPr>
                <w:bCs/>
                <w:iCs/>
              </w:rPr>
              <w:t>nd focus group period</w:t>
            </w:r>
          </w:p>
        </w:tc>
        <w:tc>
          <w:tcPr>
            <w:tcW w:w="1440" w:type="dxa"/>
            <w:tcBorders>
              <w:top w:val="single" w:sz="4" w:space="0" w:color="auto"/>
              <w:left w:val="single" w:sz="4" w:space="0" w:color="auto"/>
              <w:bottom w:val="single" w:sz="4" w:space="0" w:color="auto"/>
              <w:right w:val="single" w:sz="4" w:space="0" w:color="auto"/>
            </w:tcBorders>
            <w:vAlign w:val="center"/>
            <w:hideMark/>
          </w:tcPr>
          <w:p w:rsidR="003C5BB2" w:rsidRPr="00726A73" w:rsidP="0020538D" w14:paraId="737AC449" w14:textId="07F72518">
            <w:pPr>
              <w:pStyle w:val="BodyTextFirstIndent"/>
              <w:ind w:left="-104" w:firstLine="0"/>
              <w:rPr>
                <w:bCs/>
                <w:iCs/>
              </w:rPr>
            </w:pPr>
            <w:r>
              <w:rPr>
                <w:bCs/>
                <w:iCs/>
              </w:rPr>
              <w:t>8</w:t>
            </w:r>
            <w:r w:rsidRPr="00726A73">
              <w:rPr>
                <w:bCs/>
                <w:iCs/>
              </w:rPr>
              <w:t>/</w:t>
            </w:r>
            <w:r>
              <w:rPr>
                <w:bCs/>
                <w:iCs/>
              </w:rPr>
              <w:t>4</w:t>
            </w:r>
            <w:r w:rsidRPr="00726A73">
              <w:rPr>
                <w:bCs/>
                <w:iCs/>
              </w:rPr>
              <w:t>/2025</w:t>
            </w:r>
          </w:p>
        </w:tc>
        <w:tc>
          <w:tcPr>
            <w:tcW w:w="1260" w:type="dxa"/>
            <w:tcBorders>
              <w:top w:val="single" w:sz="4" w:space="0" w:color="auto"/>
              <w:left w:val="single" w:sz="4" w:space="0" w:color="auto"/>
              <w:bottom w:val="single" w:sz="4" w:space="0" w:color="auto"/>
              <w:right w:val="single" w:sz="4" w:space="0" w:color="auto"/>
            </w:tcBorders>
            <w:hideMark/>
          </w:tcPr>
          <w:p w:rsidR="003C5BB2" w:rsidRPr="00726A73" w:rsidP="0020538D" w14:paraId="47C91FB4" w14:textId="2F03A90F">
            <w:pPr>
              <w:pStyle w:val="BodyTextFirstIndent"/>
              <w:ind w:left="-104" w:firstLine="0"/>
            </w:pPr>
            <w:r>
              <w:rPr>
                <w:bCs/>
                <w:iCs/>
              </w:rPr>
              <w:t>10</w:t>
            </w:r>
            <w:r w:rsidRPr="00726A73">
              <w:rPr>
                <w:bCs/>
                <w:iCs/>
              </w:rPr>
              <w:t>/</w:t>
            </w:r>
            <w:r>
              <w:rPr>
                <w:bCs/>
                <w:iCs/>
              </w:rPr>
              <w:t>3</w:t>
            </w:r>
            <w:r w:rsidRPr="00726A73">
              <w:rPr>
                <w:bCs/>
                <w:iCs/>
              </w:rPr>
              <w:t>1/2025</w:t>
            </w:r>
          </w:p>
        </w:tc>
      </w:tr>
      <w:tr w14:paraId="05854D8C" w14:textId="77777777" w:rsidTr="00B174C6">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3C5BB2" w:rsidRPr="00726A73" w:rsidP="00214F3F" w14:paraId="59784074" w14:textId="61423650">
            <w:pPr>
              <w:pStyle w:val="BodyTextFirstIndent"/>
              <w:rPr>
                <w:bCs/>
                <w:iCs/>
              </w:rPr>
            </w:pPr>
            <w:r w:rsidRPr="00726A73">
              <w:rPr>
                <w:bCs/>
                <w:iCs/>
              </w:rPr>
              <w:t>Analyze data and develop instrument recommendations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3C5BB2" w:rsidRPr="00726A73" w:rsidP="0020538D" w14:paraId="754D7DA0" w14:textId="2E51B6E2">
            <w:pPr>
              <w:pStyle w:val="BodyTextFirstIndent"/>
              <w:ind w:left="-149" w:firstLine="0"/>
              <w:rPr>
                <w:bCs/>
                <w:iCs/>
              </w:rPr>
            </w:pPr>
            <w:r>
              <w:rPr>
                <w:bCs/>
                <w:iCs/>
              </w:rPr>
              <w:t>10</w:t>
            </w:r>
            <w:r w:rsidRPr="00726A73">
              <w:rPr>
                <w:bCs/>
                <w:iCs/>
              </w:rPr>
              <w:t>/</w:t>
            </w:r>
            <w:r>
              <w:rPr>
                <w:bCs/>
                <w:iCs/>
              </w:rPr>
              <w:t>31</w:t>
            </w:r>
            <w:r w:rsidRPr="00726A73">
              <w:rPr>
                <w:bCs/>
                <w:iCs/>
              </w:rPr>
              <w:t>/2025</w:t>
            </w:r>
          </w:p>
        </w:tc>
        <w:tc>
          <w:tcPr>
            <w:tcW w:w="1260" w:type="dxa"/>
            <w:tcBorders>
              <w:top w:val="single" w:sz="4" w:space="0" w:color="auto"/>
              <w:left w:val="single" w:sz="4" w:space="0" w:color="auto"/>
              <w:bottom w:val="single" w:sz="4" w:space="0" w:color="auto"/>
              <w:right w:val="single" w:sz="4" w:space="0" w:color="auto"/>
            </w:tcBorders>
            <w:vAlign w:val="center"/>
          </w:tcPr>
          <w:p w:rsidR="003C5BB2" w:rsidRPr="00726A73" w:rsidP="0020538D" w14:paraId="38D95B03" w14:textId="60E88920">
            <w:pPr>
              <w:pStyle w:val="BodyTextFirstIndent"/>
              <w:ind w:left="-104" w:firstLine="0"/>
              <w:rPr>
                <w:bCs/>
                <w:iCs/>
              </w:rPr>
            </w:pPr>
            <w:r>
              <w:rPr>
                <w:bCs/>
                <w:iCs/>
              </w:rPr>
              <w:t>11</w:t>
            </w:r>
            <w:r w:rsidRPr="00726A73">
              <w:rPr>
                <w:bCs/>
                <w:iCs/>
              </w:rPr>
              <w:t>/</w:t>
            </w:r>
            <w:r>
              <w:rPr>
                <w:bCs/>
                <w:iCs/>
              </w:rPr>
              <w:t>17</w:t>
            </w:r>
            <w:r w:rsidRPr="00726A73">
              <w:rPr>
                <w:bCs/>
                <w:iCs/>
              </w:rPr>
              <w:t>/2025</w:t>
            </w:r>
          </w:p>
        </w:tc>
      </w:tr>
      <w:tr w14:paraId="164F9729" w14:textId="77777777" w:rsidTr="0B4E38E4">
        <w:tblPrEx>
          <w:tblW w:w="9355" w:type="dxa"/>
          <w:tblLook w:val="04A0"/>
        </w:tblPrEx>
        <w:trPr>
          <w:trHeight w:val="368"/>
        </w:trPr>
        <w:tc>
          <w:tcPr>
            <w:tcW w:w="6655" w:type="dxa"/>
            <w:tcBorders>
              <w:top w:val="single" w:sz="4" w:space="0" w:color="auto"/>
              <w:left w:val="single" w:sz="4" w:space="0" w:color="auto"/>
              <w:bottom w:val="single" w:sz="4" w:space="0" w:color="auto"/>
              <w:right w:val="single" w:sz="4" w:space="0" w:color="auto"/>
            </w:tcBorders>
            <w:vAlign w:val="center"/>
            <w:hideMark/>
          </w:tcPr>
          <w:p w:rsidR="003C5BB2" w:rsidRPr="00726A73" w:rsidP="00214F3F" w14:paraId="65FCA3F6" w14:textId="0B33D818">
            <w:pPr>
              <w:pStyle w:val="BodyTextFirstIndent"/>
              <w:rPr>
                <w:bCs/>
                <w:iCs/>
              </w:rPr>
            </w:pPr>
            <w:r w:rsidRPr="00726A73">
              <w:rPr>
                <w:bCs/>
                <w:iCs/>
              </w:rPr>
              <w:t>Final report and final instrument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3C5BB2" w:rsidRPr="00726A73" w:rsidP="0020538D" w14:paraId="282B05BC" w14:textId="15970249">
            <w:pPr>
              <w:pStyle w:val="BodyTextFirstIndent"/>
              <w:ind w:left="-104" w:firstLine="0"/>
              <w:rPr>
                <w:bCs/>
                <w:iCs/>
              </w:rPr>
            </w:pPr>
            <w:r>
              <w:rPr>
                <w:bCs/>
                <w:iCs/>
              </w:rPr>
              <w:t>11</w:t>
            </w:r>
            <w:r w:rsidRPr="00726A73">
              <w:rPr>
                <w:bCs/>
                <w:iCs/>
              </w:rPr>
              <w:t>/</w:t>
            </w:r>
            <w:r>
              <w:rPr>
                <w:bCs/>
                <w:iCs/>
              </w:rPr>
              <w:t>17</w:t>
            </w:r>
            <w:r w:rsidRPr="00726A73">
              <w:rPr>
                <w:bCs/>
                <w:iCs/>
              </w:rPr>
              <w:t>/202</w:t>
            </w:r>
            <w:r>
              <w:rPr>
                <w:bCs/>
                <w:iCs/>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rsidR="003C5BB2" w:rsidRPr="00726A73" w:rsidP="0020538D" w14:paraId="1587D052" w14:textId="670AE302">
            <w:pPr>
              <w:pStyle w:val="BodyTextFirstIndent"/>
              <w:ind w:left="-104" w:firstLine="0"/>
              <w:rPr>
                <w:bCs/>
                <w:iCs/>
              </w:rPr>
            </w:pPr>
            <w:r>
              <w:rPr>
                <w:bCs/>
                <w:iCs/>
              </w:rPr>
              <w:t>11</w:t>
            </w:r>
            <w:r w:rsidRPr="00726A73">
              <w:rPr>
                <w:bCs/>
                <w:iCs/>
              </w:rPr>
              <w:t>/</w:t>
            </w:r>
            <w:r>
              <w:rPr>
                <w:bCs/>
                <w:iCs/>
              </w:rPr>
              <w:t>17</w:t>
            </w:r>
            <w:r w:rsidRPr="00726A73">
              <w:rPr>
                <w:bCs/>
                <w:iCs/>
              </w:rPr>
              <w:t>/202</w:t>
            </w:r>
            <w:r>
              <w:rPr>
                <w:bCs/>
                <w:iCs/>
              </w:rPr>
              <w:t>5</w:t>
            </w:r>
          </w:p>
        </w:tc>
      </w:tr>
    </w:tbl>
    <w:p w:rsidR="00050CDF" w:rsidP="00214F3F" w14:paraId="63905384" w14:textId="77777777">
      <w:pPr>
        <w:contextualSpacing/>
        <w:rPr>
          <w:rFonts w:asciiTheme="majorBidi" w:hAnsiTheme="majorBidi" w:cstheme="majorBidi"/>
        </w:rPr>
      </w:pPr>
    </w:p>
    <w:p w:rsidR="00491B6C" w:rsidRPr="009851BF" w:rsidP="00214F3F" w14:paraId="281E33B8" w14:textId="072FD775">
      <w:pPr>
        <w:pStyle w:val="ListParagraph"/>
        <w:numPr>
          <w:ilvl w:val="0"/>
          <w:numId w:val="6"/>
        </w:numPr>
        <w:rPr>
          <w:rFonts w:asciiTheme="majorBidi" w:hAnsiTheme="majorBidi" w:cstheme="majorBidi"/>
          <w:b/>
          <w:bCs/>
        </w:rPr>
      </w:pPr>
      <w:r>
        <w:rPr>
          <w:rFonts w:asciiTheme="majorBidi" w:hAnsiTheme="majorBidi" w:cstheme="majorBidi"/>
          <w:b/>
          <w:bCs/>
        </w:rPr>
        <w:t xml:space="preserve">Data Confidentiality and Data Security </w:t>
      </w:r>
    </w:p>
    <w:p w:rsidR="00050CDF" w:rsidRPr="0037404C" w:rsidP="00214F3F" w14:paraId="2AE9C0D7" w14:textId="4541A2CB">
      <w:r w:rsidRPr="0037404C">
        <w:t xml:space="preserve">BJS is authorized to conduct this data collection under Title 34 United States Code, Section 10132. BJS may use the information it collects only for statistical and research purposes and must gather it in a manner that precludes its use for law enforcement or any purpose relating to a private person or public agency other than statistical or research purposes [Title 34 U.S.C. Section 10134]. By law, BJS is required to protect the confidentiality of information identifiable to a private person and safeguard it against unauthorized disclosure or misuse. [Title 34 United States Code Sections 10134 and 10231] </w:t>
      </w:r>
    </w:p>
    <w:p w:rsidR="0037404C" w:rsidRPr="0037404C" w:rsidP="00214F3F" w14:paraId="5CA809FF" w14:textId="77777777"/>
    <w:p w:rsidR="00050CDF" w:rsidRPr="0037404C" w:rsidP="00214F3F" w14:paraId="6497C73A" w14:textId="77777777">
      <w:pPr>
        <w:keepNext/>
      </w:pPr>
      <w:r w:rsidRPr="0037404C">
        <w:t xml:space="preserve">The </w:t>
      </w:r>
      <w:hyperlink r:id="rId11" w:history="1">
        <w:r w:rsidRPr="0037404C">
          <w:rPr>
            <w:rStyle w:val="Hyperlink"/>
            <w:rFonts w:eastAsiaTheme="majorEastAsia"/>
          </w:rPr>
          <w:t>BJS Data Protection Guidelines</w:t>
        </w:r>
      </w:hyperlink>
      <w:r w:rsidRPr="0037404C">
        <w:t xml:space="preserve"> provide more detailed information on how BJS and its data </w:t>
      </w:r>
    </w:p>
    <w:p w:rsidR="00050CDF" w:rsidRPr="0037404C" w:rsidP="00214F3F" w14:paraId="2DC2F515" w14:textId="644EAC0F">
      <w:pPr>
        <w:keepNext/>
        <w:rPr>
          <w:rFonts w:cs="Calibri"/>
          <w:sz w:val="22"/>
          <w:szCs w:val="22"/>
        </w:rPr>
      </w:pPr>
      <w:r w:rsidRPr="0037404C">
        <w:t xml:space="preserve">collection agents will use and protect data collected under BJS’s authority. All project staff are required to sign a pledge of confidentiality and privacy certificate which confirms the maintaining of data and following the procedures outlined above. </w:t>
      </w:r>
    </w:p>
    <w:p w:rsidR="00050CDF" w:rsidRPr="008D43D1" w:rsidP="00214F3F" w14:paraId="2B40E785" w14:textId="77777777">
      <w:pPr>
        <w:rPr>
          <w:highlight w:val="yellow"/>
        </w:rPr>
      </w:pPr>
    </w:p>
    <w:p w:rsidR="00050CDF" w:rsidP="00214F3F" w14:paraId="73FE9854" w14:textId="392BB6B5">
      <w:pPr>
        <w:rPr>
          <w:rFonts w:cs="Times New Roman"/>
        </w:rPr>
      </w:pPr>
      <w:r w:rsidRPr="007555BC">
        <w:rPr>
          <w:rFonts w:cs="Times New Roman"/>
        </w:rPr>
        <w:t xml:space="preserve">All data related to the </w:t>
      </w:r>
      <w:r w:rsidRPr="007555BC" w:rsidR="0037404C">
        <w:rPr>
          <w:rFonts w:cs="Times New Roman"/>
        </w:rPr>
        <w:t>focus groups</w:t>
      </w:r>
      <w:r w:rsidRPr="007555BC">
        <w:rPr>
          <w:rFonts w:cs="Times New Roman"/>
        </w:rPr>
        <w:t xml:space="preserve"> will be stored on a secure drive, including the recordings of interviews, on password-protected RTI-issued laptops with restricted access to those directly involved in the effort. The files will be destroyed upon completion of the project.</w:t>
      </w:r>
    </w:p>
    <w:p w:rsidR="006858FF" w:rsidP="00214F3F" w14:paraId="03FB483A" w14:textId="77777777">
      <w:pPr>
        <w:rPr>
          <w:rFonts w:cs="Times New Roman"/>
        </w:rPr>
      </w:pPr>
    </w:p>
    <w:p w:rsidR="00F93CA4" w:rsidP="00214F3F" w14:paraId="6EC5A854" w14:textId="1F8664B8">
      <w:pPr>
        <w:pStyle w:val="ListParagraph"/>
        <w:numPr>
          <w:ilvl w:val="0"/>
          <w:numId w:val="6"/>
        </w:numPr>
        <w:rPr>
          <w:rFonts w:asciiTheme="majorBidi" w:hAnsiTheme="majorBidi" w:cstheme="majorBidi"/>
          <w:b/>
          <w:bCs/>
        </w:rPr>
      </w:pPr>
      <w:r>
        <w:rPr>
          <w:rFonts w:asciiTheme="majorBidi" w:hAnsiTheme="majorBidi" w:cstheme="majorBidi"/>
          <w:b/>
          <w:bCs/>
        </w:rPr>
        <w:t xml:space="preserve">Consent Procedure </w:t>
      </w:r>
    </w:p>
    <w:p w:rsidR="00F93CA4" w:rsidRPr="00812317" w:rsidP="00214F3F" w14:paraId="26F09067" w14:textId="49D8F4BE">
      <w:pPr>
        <w:pStyle w:val="ListParagraph"/>
        <w:ind w:left="0"/>
        <w:rPr>
          <w:rFonts w:asciiTheme="majorBidi" w:hAnsiTheme="majorBidi" w:cstheme="majorBidi"/>
        </w:rPr>
      </w:pPr>
      <w:r w:rsidRPr="00812317">
        <w:rPr>
          <w:rFonts w:asciiTheme="majorBidi" w:hAnsiTheme="majorBidi" w:cstheme="majorBidi"/>
        </w:rPr>
        <w:t xml:space="preserve">At the start of </w:t>
      </w:r>
      <w:r w:rsidR="00FA30E0">
        <w:rPr>
          <w:rFonts w:asciiTheme="majorBidi" w:hAnsiTheme="majorBidi" w:cstheme="majorBidi"/>
        </w:rPr>
        <w:t>the focus group</w:t>
      </w:r>
      <w:r w:rsidRPr="00812317">
        <w:rPr>
          <w:rFonts w:asciiTheme="majorBidi" w:hAnsiTheme="majorBidi" w:cstheme="majorBidi"/>
        </w:rPr>
        <w:t>, the interviewer will introduce themself to the participant</w:t>
      </w:r>
      <w:r w:rsidR="00FA30E0">
        <w:rPr>
          <w:rFonts w:asciiTheme="majorBidi" w:hAnsiTheme="majorBidi" w:cstheme="majorBidi"/>
        </w:rPr>
        <w:t>s</w:t>
      </w:r>
      <w:r w:rsidRPr="00812317">
        <w:rPr>
          <w:rFonts w:asciiTheme="majorBidi" w:hAnsiTheme="majorBidi" w:cstheme="majorBidi"/>
        </w:rPr>
        <w:t xml:space="preserve">, confirm the participant’s name, and confirm that the participant is on video and can hear the interviewer well. The interviewer will then </w:t>
      </w:r>
      <w:r w:rsidR="00321F40">
        <w:rPr>
          <w:rFonts w:asciiTheme="majorBidi" w:hAnsiTheme="majorBidi" w:cstheme="majorBidi"/>
        </w:rPr>
        <w:t>confirm with participants their submission of the consent form</w:t>
      </w:r>
      <w:r w:rsidR="008D7CBC">
        <w:rPr>
          <w:rFonts w:asciiTheme="majorBidi" w:hAnsiTheme="majorBidi" w:cstheme="majorBidi"/>
        </w:rPr>
        <w:t xml:space="preserve"> previously provided with the meeting details of the focus group</w:t>
      </w:r>
      <w:r w:rsidR="00321F40">
        <w:rPr>
          <w:rFonts w:asciiTheme="majorBidi" w:hAnsiTheme="majorBidi" w:cstheme="majorBidi"/>
        </w:rPr>
        <w:t xml:space="preserve">, </w:t>
      </w:r>
      <w:r w:rsidRPr="00812317">
        <w:rPr>
          <w:rFonts w:asciiTheme="majorBidi" w:hAnsiTheme="majorBidi" w:cstheme="majorBidi"/>
        </w:rPr>
        <w:t xml:space="preserve">(see </w:t>
      </w:r>
      <w:r w:rsidRPr="00545D54">
        <w:rPr>
          <w:rFonts w:asciiTheme="majorBidi" w:hAnsiTheme="majorBidi" w:cstheme="majorBidi"/>
          <w:b/>
          <w:bCs/>
        </w:rPr>
        <w:t xml:space="preserve">Attachment </w:t>
      </w:r>
      <w:r w:rsidR="008322B1">
        <w:rPr>
          <w:rFonts w:asciiTheme="majorBidi" w:hAnsiTheme="majorBidi" w:cstheme="majorBidi"/>
          <w:b/>
          <w:bCs/>
        </w:rPr>
        <w:t>D</w:t>
      </w:r>
      <w:r w:rsidRPr="00812317">
        <w:rPr>
          <w:rFonts w:asciiTheme="majorBidi" w:hAnsiTheme="majorBidi" w:cstheme="majorBidi"/>
        </w:rPr>
        <w:t xml:space="preserve"> for Informed Consent). The interviewer will </w:t>
      </w:r>
      <w:r w:rsidR="008D7CBC">
        <w:rPr>
          <w:rFonts w:asciiTheme="majorBidi" w:hAnsiTheme="majorBidi" w:cstheme="majorBidi"/>
        </w:rPr>
        <w:t xml:space="preserve">maintain the </w:t>
      </w:r>
      <w:r w:rsidRPr="00812317">
        <w:rPr>
          <w:rFonts w:asciiTheme="majorBidi" w:hAnsiTheme="majorBidi" w:cstheme="majorBidi"/>
        </w:rPr>
        <w:t xml:space="preserve">document </w:t>
      </w:r>
      <w:r w:rsidR="008D7CBC">
        <w:rPr>
          <w:rFonts w:asciiTheme="majorBidi" w:hAnsiTheme="majorBidi" w:cstheme="majorBidi"/>
        </w:rPr>
        <w:t xml:space="preserve">indicating </w:t>
      </w:r>
      <w:r w:rsidRPr="00812317">
        <w:rPr>
          <w:rFonts w:asciiTheme="majorBidi" w:hAnsiTheme="majorBidi" w:cstheme="majorBidi"/>
        </w:rPr>
        <w:t>the respondent’s decision to participate, including the respondent’s willingness to have the interview recorded</w:t>
      </w:r>
      <w:r w:rsidR="00487C8A">
        <w:rPr>
          <w:rFonts w:asciiTheme="majorBidi" w:hAnsiTheme="majorBidi" w:cstheme="majorBidi"/>
        </w:rPr>
        <w:t xml:space="preserve">. </w:t>
      </w:r>
    </w:p>
    <w:p w:rsidR="00812317" w:rsidP="00214F3F" w14:paraId="118600FA" w14:textId="77777777">
      <w:pPr>
        <w:pStyle w:val="ListParagraph"/>
        <w:ind w:left="360"/>
        <w:rPr>
          <w:rFonts w:asciiTheme="majorBidi" w:hAnsiTheme="majorBidi" w:cstheme="majorBidi"/>
          <w:b/>
          <w:bCs/>
        </w:rPr>
      </w:pPr>
    </w:p>
    <w:p w:rsidR="00050CDF" w:rsidRPr="00491B6C" w:rsidP="00214F3F" w14:paraId="035DD2CC" w14:textId="47324674">
      <w:pPr>
        <w:pStyle w:val="ListParagraph"/>
        <w:numPr>
          <w:ilvl w:val="0"/>
          <w:numId w:val="6"/>
        </w:numPr>
        <w:rPr>
          <w:rFonts w:asciiTheme="majorBidi" w:hAnsiTheme="majorBidi" w:cstheme="majorBidi"/>
          <w:b/>
          <w:bCs/>
        </w:rPr>
      </w:pPr>
      <w:r>
        <w:rPr>
          <w:rFonts w:asciiTheme="majorBidi" w:hAnsiTheme="majorBidi" w:cstheme="majorBidi"/>
          <w:b/>
          <w:bCs/>
        </w:rPr>
        <w:t>Cost</w:t>
      </w:r>
    </w:p>
    <w:p w:rsidR="009851BF" w:rsidP="00214F3F" w14:paraId="6842EFD7" w14:textId="27B3B1F3">
      <w:pPr>
        <w:rPr>
          <w:rFonts w:asciiTheme="majorBidi" w:hAnsiTheme="majorBidi" w:cstheme="majorBidi"/>
        </w:rPr>
      </w:pPr>
      <w:r>
        <w:rPr>
          <w:rFonts w:asciiTheme="majorBidi" w:hAnsiTheme="majorBidi" w:cstheme="majorBidi"/>
        </w:rPr>
        <w:t xml:space="preserve">The estimated cost to the Federal Government is </w:t>
      </w:r>
      <w:r w:rsidRPr="0BE00FC1" w:rsidR="5781AC33">
        <w:rPr>
          <w:rFonts w:asciiTheme="majorBidi" w:hAnsiTheme="majorBidi" w:cstheme="majorBidi"/>
        </w:rPr>
        <w:t>$40,745</w:t>
      </w:r>
      <w:r>
        <w:rPr>
          <w:rFonts w:asciiTheme="majorBidi" w:hAnsiTheme="majorBidi" w:cstheme="majorBidi"/>
        </w:rPr>
        <w:t xml:space="preserve"> for RTI’s portion of the work and an estimated </w:t>
      </w:r>
      <w:r w:rsidR="006B2154">
        <w:rPr>
          <w:rFonts w:asciiTheme="majorBidi" w:hAnsiTheme="majorBidi" w:cstheme="majorBidi"/>
        </w:rPr>
        <w:t xml:space="preserve">$13,182 </w:t>
      </w:r>
      <w:r w:rsidR="00C74AEB">
        <w:rPr>
          <w:rFonts w:asciiTheme="majorBidi" w:hAnsiTheme="majorBidi" w:cstheme="majorBidi"/>
        </w:rPr>
        <w:t>for the</w:t>
      </w:r>
      <w:r w:rsidR="00F051FF">
        <w:rPr>
          <w:rFonts w:asciiTheme="majorBidi" w:hAnsiTheme="majorBidi" w:cstheme="majorBidi"/>
        </w:rPr>
        <w:t xml:space="preserve"> GS-12 Project manager’s work (10% of salary)</w:t>
      </w:r>
      <w:r w:rsidR="00A729F3">
        <w:rPr>
          <w:rFonts w:asciiTheme="majorBidi" w:hAnsiTheme="majorBidi" w:cstheme="majorBidi"/>
        </w:rPr>
        <w:t xml:space="preserve"> </w:t>
      </w:r>
      <w:r w:rsidR="00C74AEB">
        <w:rPr>
          <w:rFonts w:asciiTheme="majorBidi" w:hAnsiTheme="majorBidi" w:cstheme="majorBidi"/>
        </w:rPr>
        <w:t xml:space="preserve">resulting in a total estimated cost of </w:t>
      </w:r>
      <w:r w:rsidRPr="0BE00FC1" w:rsidR="43883EFD">
        <w:rPr>
          <w:rFonts w:asciiTheme="majorBidi" w:hAnsiTheme="majorBidi" w:cstheme="majorBidi"/>
        </w:rPr>
        <w:t>$53,927</w:t>
      </w:r>
      <w:r w:rsidRPr="0BE00FC1" w:rsidR="00C74AEB">
        <w:rPr>
          <w:rFonts w:asciiTheme="majorBidi" w:hAnsiTheme="majorBidi" w:cstheme="majorBidi"/>
        </w:rPr>
        <w:t xml:space="preserve"> [</w:t>
      </w:r>
      <w:r w:rsidRPr="0BE00FC1" w:rsidR="56D43196">
        <w:rPr>
          <w:rFonts w:asciiTheme="majorBidi" w:hAnsiTheme="majorBidi" w:cstheme="majorBidi"/>
        </w:rPr>
        <w:t xml:space="preserve">$40,745 </w:t>
      </w:r>
      <w:r w:rsidRPr="0BE00FC1" w:rsidR="00C74AEB">
        <w:rPr>
          <w:rFonts w:asciiTheme="majorBidi" w:hAnsiTheme="majorBidi" w:cstheme="majorBidi"/>
        </w:rPr>
        <w:t>+</w:t>
      </w:r>
      <w:r w:rsidRPr="0BE00FC1" w:rsidR="4575661B">
        <w:rPr>
          <w:rFonts w:asciiTheme="majorBidi" w:hAnsiTheme="majorBidi" w:cstheme="majorBidi"/>
        </w:rPr>
        <w:t xml:space="preserve"> </w:t>
      </w:r>
      <w:r w:rsidRPr="0BE00FC1" w:rsidR="006B2154">
        <w:rPr>
          <w:rFonts w:asciiTheme="majorBidi" w:hAnsiTheme="majorBidi" w:cstheme="majorBidi"/>
        </w:rPr>
        <w:t>$</w:t>
      </w:r>
      <w:r w:rsidR="006B2154">
        <w:rPr>
          <w:rFonts w:asciiTheme="majorBidi" w:hAnsiTheme="majorBidi" w:cstheme="majorBidi"/>
        </w:rPr>
        <w:t>13,182</w:t>
      </w:r>
      <w:r w:rsidR="00C74AEB">
        <w:rPr>
          <w:rFonts w:asciiTheme="majorBidi" w:hAnsiTheme="majorBidi" w:cstheme="majorBidi"/>
        </w:rPr>
        <w:t xml:space="preserve">] </w:t>
      </w:r>
    </w:p>
    <w:p w:rsidR="00050CDF" w:rsidP="00214F3F" w14:paraId="79E7A087" w14:textId="77777777"/>
    <w:p w:rsidR="00050CDF" w:rsidRPr="009851BF" w:rsidP="00214F3F" w14:paraId="7B32654A" w14:textId="7B0DA232">
      <w:pPr>
        <w:pStyle w:val="ListParagraph"/>
        <w:numPr>
          <w:ilvl w:val="0"/>
          <w:numId w:val="6"/>
        </w:numPr>
        <w:rPr>
          <w:b/>
          <w:bCs/>
        </w:rPr>
      </w:pPr>
      <w:r>
        <w:rPr>
          <w:b/>
          <w:bCs/>
        </w:rPr>
        <w:t xml:space="preserve">Reporting </w:t>
      </w:r>
    </w:p>
    <w:p w:rsidR="004B15E6" w:rsidP="00214F3F" w14:paraId="76A6B380" w14:textId="76FFD0F4">
      <w:pPr>
        <w:rPr>
          <w:rFonts w:asciiTheme="majorBidi" w:hAnsiTheme="majorBidi" w:cstheme="majorBidi"/>
        </w:rPr>
      </w:pPr>
      <w:r>
        <w:rPr>
          <w:rFonts w:asciiTheme="majorBidi" w:hAnsiTheme="majorBidi" w:cstheme="majorBidi"/>
        </w:rPr>
        <w:t xml:space="preserve">Upon completion of the </w:t>
      </w:r>
      <w:r w:rsidR="00217F71">
        <w:rPr>
          <w:rFonts w:asciiTheme="majorBidi" w:hAnsiTheme="majorBidi" w:cstheme="majorBidi"/>
        </w:rPr>
        <w:t xml:space="preserve">focus groups, </w:t>
      </w:r>
      <w:r>
        <w:rPr>
          <w:rFonts w:asciiTheme="majorBidi" w:hAnsiTheme="majorBidi" w:cstheme="majorBidi"/>
        </w:rPr>
        <w:t xml:space="preserve">RTI will provide BJS with a report </w:t>
      </w:r>
      <w:r w:rsidR="00DC233D">
        <w:rPr>
          <w:rFonts w:asciiTheme="majorBidi" w:hAnsiTheme="majorBidi" w:cstheme="majorBidi"/>
        </w:rPr>
        <w:t>that consolidates and synthesizes the fi</w:t>
      </w:r>
      <w:r w:rsidR="00056D19">
        <w:rPr>
          <w:rFonts w:asciiTheme="majorBidi" w:hAnsiTheme="majorBidi" w:cstheme="majorBidi"/>
        </w:rPr>
        <w:t>ndings</w:t>
      </w:r>
      <w:r w:rsidR="00C71749">
        <w:rPr>
          <w:rFonts w:asciiTheme="majorBidi" w:hAnsiTheme="majorBidi" w:cstheme="majorBidi"/>
        </w:rPr>
        <w:t xml:space="preserve"> along with an envi</w:t>
      </w:r>
      <w:r w:rsidR="00B63F7C">
        <w:rPr>
          <w:rFonts w:asciiTheme="majorBidi" w:hAnsiTheme="majorBidi" w:cstheme="majorBidi"/>
        </w:rPr>
        <w:t>ronmental sca</w:t>
      </w:r>
      <w:r w:rsidR="00F460A8">
        <w:rPr>
          <w:rFonts w:asciiTheme="majorBidi" w:hAnsiTheme="majorBidi" w:cstheme="majorBidi"/>
        </w:rPr>
        <w:t>n of relevant policies and procedures in the field</w:t>
      </w:r>
      <w:r w:rsidR="0033723D">
        <w:rPr>
          <w:rFonts w:asciiTheme="majorBidi" w:hAnsiTheme="majorBidi" w:cstheme="majorBidi"/>
        </w:rPr>
        <w:t xml:space="preserve">. </w:t>
      </w:r>
      <w:r w:rsidR="00E477D3">
        <w:rPr>
          <w:rFonts w:asciiTheme="majorBidi" w:hAnsiTheme="majorBidi" w:cstheme="majorBidi"/>
        </w:rPr>
        <w:t xml:space="preserve">The report will provide detailed information on </w:t>
      </w:r>
      <w:r w:rsidR="009E6830">
        <w:rPr>
          <w:rFonts w:asciiTheme="majorBidi" w:hAnsiTheme="majorBidi" w:cstheme="majorBidi"/>
        </w:rPr>
        <w:t>main themes, challenges, and recommendations emerging from the focus group discussions</w:t>
      </w:r>
      <w:r w:rsidR="00197160">
        <w:rPr>
          <w:rFonts w:asciiTheme="majorBidi" w:hAnsiTheme="majorBidi" w:cstheme="majorBidi"/>
        </w:rPr>
        <w:t xml:space="preserve"> to be used to develop a survey instrument</w:t>
      </w:r>
      <w:r w:rsidR="009E6830">
        <w:rPr>
          <w:rFonts w:asciiTheme="majorBidi" w:hAnsiTheme="majorBidi" w:cstheme="majorBidi"/>
        </w:rPr>
        <w:t>.</w:t>
      </w:r>
    </w:p>
    <w:p w:rsidR="00C74AEB" w:rsidP="00214F3F" w14:paraId="21891520" w14:textId="77777777">
      <w:pPr>
        <w:rPr>
          <w:rFonts w:asciiTheme="majorBidi" w:hAnsiTheme="majorBidi" w:cstheme="majorBidi"/>
        </w:rPr>
      </w:pPr>
    </w:p>
    <w:p w:rsidR="00050CDF" w:rsidRPr="00C74AEB" w:rsidP="00214F3F" w14:paraId="13A21084" w14:textId="5A983EDF">
      <w:pPr>
        <w:pStyle w:val="ListParagraph"/>
        <w:numPr>
          <w:ilvl w:val="0"/>
          <w:numId w:val="6"/>
        </w:numPr>
        <w:rPr>
          <w:rFonts w:asciiTheme="majorBidi" w:hAnsiTheme="majorBidi" w:cstheme="majorBidi"/>
          <w:b/>
          <w:bCs/>
        </w:rPr>
      </w:pPr>
      <w:r>
        <w:rPr>
          <w:rFonts w:asciiTheme="majorBidi" w:hAnsiTheme="majorBidi" w:cstheme="majorBidi"/>
          <w:b/>
          <w:bCs/>
        </w:rPr>
        <w:t xml:space="preserve">Protection of Human Subjects </w:t>
      </w:r>
    </w:p>
    <w:p w:rsidR="007065AE" w:rsidP="00214F3F" w14:paraId="3A673D78" w14:textId="35735253">
      <w:pPr>
        <w:rPr>
          <w:rFonts w:eastAsia="Calibri" w:cs="Times New Roman"/>
        </w:rPr>
      </w:pPr>
      <w:r w:rsidRPr="00C04D4F">
        <w:rPr>
          <w:rFonts w:cs="Times New Roman"/>
        </w:rPr>
        <w:t xml:space="preserve">The protocol described in this OMB Generic Clearance was submitted for review by the </w:t>
      </w:r>
      <w:r>
        <w:rPr>
          <w:rFonts w:cs="Times New Roman"/>
        </w:rPr>
        <w:t xml:space="preserve">RTI </w:t>
      </w:r>
      <w:r w:rsidRPr="00C04D4F">
        <w:rPr>
          <w:rFonts w:cs="Times New Roman"/>
        </w:rPr>
        <w:t>institutional review board and it was determined that the activities as described by the protocol do not meet the definition of human subjects’ research (</w:t>
      </w:r>
      <w:r w:rsidRPr="00562AF0">
        <w:rPr>
          <w:rFonts w:cs="Times New Roman"/>
          <w:b/>
          <w:bCs/>
        </w:rPr>
        <w:t xml:space="preserve">Attachment </w:t>
      </w:r>
      <w:r w:rsidR="003F4A99">
        <w:rPr>
          <w:rFonts w:cs="Times New Roman"/>
          <w:b/>
          <w:bCs/>
        </w:rPr>
        <w:t>F</w:t>
      </w:r>
      <w:r w:rsidRPr="00C8668E">
        <w:rPr>
          <w:rFonts w:cs="Times New Roman"/>
        </w:rPr>
        <w:t>)</w:t>
      </w:r>
      <w:r w:rsidRPr="00C04D4F">
        <w:rPr>
          <w:rFonts w:cs="Times New Roman"/>
        </w:rPr>
        <w:t xml:space="preserve">. The research was certified as not meeting the definition of human subjects’ research as described under Department of Justice regulations at 28 CFR 46. </w:t>
      </w:r>
    </w:p>
    <w:p w:rsidR="00050CDF" w:rsidP="00214F3F" w14:paraId="4B344A5C" w14:textId="77777777">
      <w:pPr>
        <w:rPr>
          <w:rFonts w:cs="Times New Roman"/>
        </w:rPr>
      </w:pPr>
    </w:p>
    <w:p w:rsidR="00050CDF" w:rsidRPr="00F65EF8" w:rsidP="00214F3F" w14:paraId="30159945" w14:textId="77777777">
      <w:pPr>
        <w:widowControl w:val="0"/>
        <w:rPr>
          <w:rFonts w:cs="Times New Roman"/>
          <w:b/>
        </w:rPr>
      </w:pPr>
      <w:r w:rsidRPr="00F65EF8">
        <w:rPr>
          <w:rFonts w:cs="Times New Roman"/>
          <w:b/>
        </w:rPr>
        <w:t>Contact information</w:t>
      </w:r>
    </w:p>
    <w:p w:rsidR="00050CDF" w:rsidRPr="00A45F13" w:rsidP="00214F3F" w14:paraId="47A5AA7B" w14:textId="77777777">
      <w:pPr>
        <w:widowControl w:val="0"/>
        <w:rPr>
          <w:rFonts w:cs="Times New Roman"/>
          <w:iCs/>
        </w:rPr>
      </w:pPr>
      <w:r w:rsidRPr="00A45F13">
        <w:rPr>
          <w:rFonts w:cs="Times New Roman"/>
          <w:iCs/>
        </w:rPr>
        <w:t>Questions regarding any aspect of this project can be directed to:</w:t>
      </w:r>
    </w:p>
    <w:p w:rsidR="00050CDF" w:rsidP="00214F3F" w14:paraId="398A1649" w14:textId="77777777">
      <w:pPr>
        <w:widowControl w:val="0"/>
        <w:rPr>
          <w:rFonts w:cs="Times New Roman"/>
          <w:b/>
          <w:iCs/>
          <w:u w:val="single"/>
        </w:rPr>
      </w:pPr>
    </w:p>
    <w:p w:rsidR="00050CDF" w:rsidRPr="003F52B4" w:rsidP="00214F3F" w14:paraId="0624AEEC" w14:textId="77777777">
      <w:pPr>
        <w:widowControl w:val="0"/>
        <w:rPr>
          <w:rFonts w:cs="Times New Roman"/>
          <w:bCs/>
          <w:iCs/>
        </w:rPr>
      </w:pPr>
      <w:r w:rsidRPr="003F52B4">
        <w:rPr>
          <w:rFonts w:cs="Times New Roman"/>
          <w:bCs/>
          <w:iCs/>
        </w:rPr>
        <w:tab/>
        <w:t>Bureau of Justice Statistics</w:t>
      </w:r>
    </w:p>
    <w:p w:rsidR="00050CDF" w:rsidRPr="003F52B4" w:rsidP="00214F3F" w14:paraId="4857500D" w14:textId="77777777">
      <w:pPr>
        <w:widowControl w:val="0"/>
        <w:rPr>
          <w:rFonts w:cs="Times New Roman"/>
          <w:bCs/>
          <w:iCs/>
        </w:rPr>
      </w:pPr>
      <w:r w:rsidRPr="003F52B4">
        <w:rPr>
          <w:rFonts w:cs="Times New Roman"/>
          <w:bCs/>
          <w:iCs/>
        </w:rPr>
        <w:tab/>
        <w:t>U.S. Department of Justice</w:t>
      </w:r>
    </w:p>
    <w:p w:rsidR="00050CDF" w:rsidRPr="003F52B4" w:rsidP="00214F3F" w14:paraId="58A6F086" w14:textId="77777777">
      <w:pPr>
        <w:widowControl w:val="0"/>
        <w:rPr>
          <w:rFonts w:cs="Times New Roman"/>
          <w:bCs/>
          <w:iCs/>
        </w:rPr>
      </w:pPr>
      <w:r w:rsidRPr="003F52B4">
        <w:rPr>
          <w:rFonts w:cs="Times New Roman"/>
          <w:bCs/>
          <w:iCs/>
        </w:rPr>
        <w:tab/>
      </w:r>
      <w:r>
        <w:rPr>
          <w:rFonts w:cs="Times New Roman"/>
          <w:bCs/>
          <w:iCs/>
        </w:rPr>
        <w:t>999 N. Capitol Street NE</w:t>
      </w:r>
    </w:p>
    <w:p w:rsidR="00050CDF" w:rsidRPr="003F52B4" w:rsidP="00214F3F" w14:paraId="1766318E" w14:textId="77777777">
      <w:pPr>
        <w:widowControl w:val="0"/>
        <w:rPr>
          <w:rFonts w:cs="Times New Roman"/>
          <w:bCs/>
          <w:iCs/>
        </w:rPr>
      </w:pPr>
      <w:r w:rsidRPr="003F52B4">
        <w:rPr>
          <w:rFonts w:cs="Times New Roman"/>
          <w:bCs/>
          <w:iCs/>
        </w:rPr>
        <w:tab/>
        <w:t>Washington, DC 20531</w:t>
      </w:r>
    </w:p>
    <w:p w:rsidR="00050CDF" w:rsidRPr="003F52B4" w:rsidP="00214F3F" w14:paraId="4687C524" w14:textId="77777777">
      <w:pPr>
        <w:widowControl w:val="0"/>
        <w:rPr>
          <w:rFonts w:cs="Times New Roman"/>
          <w:bCs/>
          <w:iCs/>
        </w:rPr>
      </w:pPr>
      <w:r w:rsidRPr="003F52B4">
        <w:rPr>
          <w:rFonts w:cs="Times New Roman"/>
          <w:bCs/>
          <w:iCs/>
        </w:rPr>
        <w:tab/>
        <w:t xml:space="preserve">Phone: (202) </w:t>
      </w:r>
      <w:r>
        <w:rPr>
          <w:rFonts w:cs="Times New Roman"/>
          <w:bCs/>
          <w:iCs/>
        </w:rPr>
        <w:t>307-0765</w:t>
      </w:r>
    </w:p>
    <w:p w:rsidR="00050CDF" w:rsidP="00214F3F" w14:paraId="61A2C487" w14:textId="52593841">
      <w:r w:rsidRPr="003F52B4">
        <w:rPr>
          <w:rFonts w:cs="Times New Roman"/>
          <w:bCs/>
          <w:iCs/>
        </w:rPr>
        <w:tab/>
        <w:t>Email:</w:t>
      </w:r>
      <w:r>
        <w:rPr>
          <w:rFonts w:cs="Times New Roman"/>
          <w:bCs/>
          <w:iCs/>
        </w:rPr>
        <w:t xml:space="preserve"> </w:t>
      </w:r>
      <w:hyperlink r:id="rId12" w:history="1">
        <w:r w:rsidRPr="00D94FCB" w:rsidR="00D94FCB">
          <w:rPr>
            <w:rStyle w:val="Hyperlink"/>
          </w:rPr>
          <w:t>askbjs@usdoj.gov</w:t>
        </w:r>
      </w:hyperlink>
    </w:p>
    <w:p w:rsidR="00050CDF" w:rsidP="00214F3F" w14:paraId="3C5A4FB3" w14:textId="77777777">
      <w:pPr>
        <w:rPr>
          <w:rFonts w:cs="Times New Roman"/>
        </w:rPr>
      </w:pPr>
    </w:p>
    <w:p w:rsidR="00050CDF" w:rsidRPr="007F668B" w:rsidP="00214F3F" w14:paraId="6FB06C01" w14:textId="203DA991">
      <w:pPr>
        <w:rPr>
          <w:rFonts w:cs="Times New Roman"/>
          <w:b/>
          <w:bCs/>
        </w:rPr>
      </w:pPr>
      <w:r>
        <w:rPr>
          <w:rFonts w:cs="Times New Roman"/>
          <w:b/>
          <w:bCs/>
        </w:rPr>
        <w:t>Attachments</w:t>
      </w:r>
    </w:p>
    <w:p w:rsidR="00D567FC" w:rsidP="00214F3F" w14:paraId="6917BEC8" w14:textId="242A01F0">
      <w:pPr>
        <w:pStyle w:val="ListParagraph"/>
        <w:numPr>
          <w:ilvl w:val="0"/>
          <w:numId w:val="7"/>
        </w:numPr>
        <w:rPr>
          <w:rFonts w:cs="Times New Roman"/>
        </w:rPr>
      </w:pPr>
      <w:r>
        <w:rPr>
          <w:rFonts w:cs="Times New Roman"/>
        </w:rPr>
        <w:t>Focus Group Protocol</w:t>
      </w:r>
      <w:r w:rsidR="00C905F4">
        <w:rPr>
          <w:rFonts w:cs="Times New Roman"/>
        </w:rPr>
        <w:t xml:space="preserve"> </w:t>
      </w:r>
    </w:p>
    <w:p w:rsidR="00323887" w:rsidRPr="003C0EC6" w:rsidP="00214F3F" w14:paraId="1A84FCA5" w14:textId="5FD3AB1F">
      <w:pPr>
        <w:pStyle w:val="ListParagraph"/>
        <w:numPr>
          <w:ilvl w:val="0"/>
          <w:numId w:val="7"/>
        </w:numPr>
        <w:rPr>
          <w:rFonts w:cs="Times New Roman"/>
        </w:rPr>
      </w:pPr>
      <w:r>
        <w:rPr>
          <w:rFonts w:cs="Times New Roman"/>
        </w:rPr>
        <w:t xml:space="preserve">Draft Invitation </w:t>
      </w:r>
    </w:p>
    <w:p w:rsidR="009A46AF" w:rsidP="00214F3F" w14:paraId="5CB9CA64" w14:textId="264C365D">
      <w:pPr>
        <w:pStyle w:val="ListParagraph"/>
        <w:numPr>
          <w:ilvl w:val="0"/>
          <w:numId w:val="7"/>
        </w:numPr>
        <w:rPr>
          <w:rFonts w:cs="Times New Roman"/>
        </w:rPr>
      </w:pPr>
      <w:r>
        <w:rPr>
          <w:rFonts w:cs="Times New Roman"/>
        </w:rPr>
        <w:t>Draft Email</w:t>
      </w:r>
      <w:r w:rsidR="008322B1">
        <w:rPr>
          <w:rFonts w:cs="Times New Roman"/>
        </w:rPr>
        <w:t xml:space="preserve"> Confirmation</w:t>
      </w:r>
    </w:p>
    <w:p w:rsidR="008D7CBC" w:rsidP="00214F3F" w14:paraId="3A097BBC" w14:textId="77777777">
      <w:pPr>
        <w:pStyle w:val="ListParagraph"/>
        <w:numPr>
          <w:ilvl w:val="0"/>
          <w:numId w:val="7"/>
        </w:numPr>
        <w:rPr>
          <w:rFonts w:cs="Times New Roman"/>
        </w:rPr>
      </w:pPr>
      <w:r>
        <w:rPr>
          <w:rFonts w:cs="Times New Roman"/>
        </w:rPr>
        <w:t xml:space="preserve">Draft Consent Form </w:t>
      </w:r>
    </w:p>
    <w:p w:rsidR="00050CDF" w:rsidP="00214F3F" w14:paraId="6DE8FA28" w14:textId="260F1324">
      <w:pPr>
        <w:pStyle w:val="ListParagraph"/>
        <w:numPr>
          <w:ilvl w:val="0"/>
          <w:numId w:val="7"/>
        </w:numPr>
        <w:rPr>
          <w:rFonts w:cs="Times New Roman"/>
        </w:rPr>
      </w:pPr>
      <w:r>
        <w:rPr>
          <w:rFonts w:cs="Times New Roman"/>
        </w:rPr>
        <w:t xml:space="preserve">Draft </w:t>
      </w:r>
      <w:r w:rsidR="008D7CBC">
        <w:rPr>
          <w:rFonts w:cs="Times New Roman"/>
        </w:rPr>
        <w:t>Thank You Email</w:t>
      </w:r>
    </w:p>
    <w:p w:rsidR="00831EBC" w:rsidRPr="00B2059B" w:rsidP="00214F3F" w14:paraId="597D3F85" w14:textId="2B5E02B4">
      <w:pPr>
        <w:pStyle w:val="ListParagraph"/>
        <w:numPr>
          <w:ilvl w:val="0"/>
          <w:numId w:val="7"/>
        </w:numPr>
        <w:rPr>
          <w:rFonts w:cs="Times New Roman"/>
        </w:rPr>
      </w:pPr>
      <w:r>
        <w:rPr>
          <w:rFonts w:cs="Times New Roman"/>
        </w:rPr>
        <w:t>RTI IRB Approval</w:t>
      </w:r>
    </w:p>
    <w:p w:rsidR="00803E11" w:rsidP="00214F3F" w14:paraId="3831C86E" w14:textId="2ED3F0E8">
      <w:r>
        <w:fldChar w:fldCharType="begin"/>
      </w:r>
      <w:r>
        <w:instrText xml:space="preserve"> ADDIN EN.REFLIST </w:instrText>
      </w:r>
      <w:r w:rsidR="004A6363">
        <w:fldChar w:fldCharType="separate"/>
      </w:r>
      <w:r>
        <w:fldChar w:fldCharType="end"/>
      </w:r>
    </w:p>
    <w:sectPr w:rsidSect="00050CDF">
      <w:headerReference w:type="default" r:id="rId13"/>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CDF" w14:paraId="0AB98B9F" w14:textId="77777777">
    <w:pPr>
      <w:pStyle w:val="Footer"/>
      <w:jc w:val="right"/>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12</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6222" w:rsidP="00050CDF" w14:paraId="107A137F" w14:textId="77777777">
      <w:r>
        <w:separator/>
      </w:r>
    </w:p>
  </w:footnote>
  <w:footnote w:type="continuationSeparator" w:id="1">
    <w:p w:rsidR="007D6222" w:rsidP="00050CDF" w14:paraId="697B0520" w14:textId="77777777">
      <w:r>
        <w:continuationSeparator/>
      </w:r>
    </w:p>
  </w:footnote>
  <w:footnote w:type="continuationNotice" w:id="2">
    <w:p w:rsidR="007D6222" w14:paraId="7260F5F4" w14:textId="77777777"/>
  </w:footnote>
  <w:footnote w:id="3">
    <w:p w:rsidR="001E4DF2" w:rsidRPr="0020538D" w14:paraId="1FCA5706" w14:textId="0B87E7C3">
      <w:pPr>
        <w:pStyle w:val="FootnoteText"/>
        <w:rPr>
          <w:rFonts w:ascii="Times New Roman" w:hAnsi="Times New Roman" w:cs="Times New Roman"/>
        </w:rPr>
      </w:pPr>
      <w:r w:rsidRPr="0020538D">
        <w:rPr>
          <w:rStyle w:val="FootnoteReference"/>
          <w:rFonts w:ascii="Times New Roman" w:hAnsi="Times New Roman" w:cs="Times New Roman"/>
        </w:rPr>
        <w:footnoteRef/>
      </w:r>
      <w:r w:rsidRPr="0020538D">
        <w:rPr>
          <w:rFonts w:ascii="Times New Roman" w:hAnsi="Times New Roman" w:cs="Times New Roman"/>
        </w:rPr>
        <w:t xml:space="preserve"> </w:t>
      </w:r>
      <w:r w:rsidRPr="0020538D">
        <w:rPr>
          <w:rFonts w:ascii="Times New Roman" w:hAnsi="Times New Roman" w:cs="Times New Roman"/>
          <w:noProof/>
        </w:rPr>
        <w:t xml:space="preserve">Bureau of Justice Statistics (BJS) </w:t>
      </w:r>
      <w:r w:rsidRPr="0020538D">
        <w:rPr>
          <w:rFonts w:ascii="Times New Roman" w:hAnsi="Times New Roman" w:cs="Times New Roman"/>
          <w:i/>
          <w:noProof/>
        </w:rPr>
        <w:t>Data collection: Census of publicly funded forensic crime laboratories</w:t>
      </w:r>
      <w:r w:rsidRPr="0020538D">
        <w:rPr>
          <w:rFonts w:ascii="Times New Roman" w:hAnsi="Times New Roman" w:cs="Times New Roman"/>
          <w:noProof/>
        </w:rPr>
        <w:t>. 2020, Washington, DC: Bureau of Justice Statistics (BJS).</w:t>
      </w:r>
    </w:p>
  </w:footnote>
  <w:footnote w:id="4">
    <w:p w:rsidR="001E4DF2" w:rsidP="004A6AA3" w14:paraId="3B925E42" w14:textId="2CE3B842">
      <w:pPr>
        <w:pStyle w:val="FootnoteText"/>
      </w:pPr>
      <w:r w:rsidRPr="0020538D">
        <w:rPr>
          <w:rStyle w:val="FootnoteReference"/>
          <w:rFonts w:ascii="Times New Roman" w:hAnsi="Times New Roman" w:cs="Times New Roman"/>
        </w:rPr>
        <w:footnoteRef/>
      </w:r>
      <w:r w:rsidRPr="0020538D">
        <w:rPr>
          <w:rFonts w:ascii="Times New Roman" w:hAnsi="Times New Roman" w:cs="Times New Roman"/>
          <w:noProof/>
        </w:rPr>
        <w:t xml:space="preserve">Lyle, J.r.G., B.; Butler, J.M.; Sauerwein, K.; Reed, C.; Lloyd, C., DIGITAL INVESTIGATION TECHNIQUES: A NIST SCIENTIFIC FOUNDATION REVIEW (NISTIR 8354). 2022, National Institute of Standards and Technology.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FD1" w14:paraId="7F4B99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51F65"/>
    <w:multiLevelType w:val="hybridMultilevel"/>
    <w:tmpl w:val="32EE64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321227CE"/>
    <w:multiLevelType w:val="hybridMultilevel"/>
    <w:tmpl w:val="69F09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D3923E"/>
    <w:multiLevelType w:val="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E05700"/>
    <w:multiLevelType w:val="hybridMultilevel"/>
    <w:tmpl w:val="4A48272C"/>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2361B9"/>
    <w:multiLevelType w:val="hybridMultilevel"/>
    <w:tmpl w:val="D25A5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911828"/>
    <w:multiLevelType w:val="hybridMultilevel"/>
    <w:tmpl w:val="5B72A9A4"/>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587D06"/>
    <w:multiLevelType w:val="multilevel"/>
    <w:tmpl w:val="DE3C3668"/>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6CAE1C39"/>
    <w:multiLevelType w:val="hybridMultilevel"/>
    <w:tmpl w:val="D5DA8C28"/>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EB0F14"/>
    <w:multiLevelType w:val="multilevel"/>
    <w:tmpl w:val="15BE64E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0ED14EF"/>
    <w:multiLevelType w:val="hybridMultilevel"/>
    <w:tmpl w:val="950A4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2E41C3"/>
    <w:multiLevelType w:val="hybridMultilevel"/>
    <w:tmpl w:val="0CF8078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16cid:durableId="190729494">
    <w:abstractNumId w:val="4"/>
  </w:num>
  <w:num w:numId="2" w16cid:durableId="874121285">
    <w:abstractNumId w:val="10"/>
  </w:num>
  <w:num w:numId="3" w16cid:durableId="1775591448">
    <w:abstractNumId w:val="8"/>
  </w:num>
  <w:num w:numId="4" w16cid:durableId="1842357095">
    <w:abstractNumId w:val="1"/>
  </w:num>
  <w:num w:numId="5" w16cid:durableId="1241603551">
    <w:abstractNumId w:val="9"/>
  </w:num>
  <w:num w:numId="6" w16cid:durableId="1497309243">
    <w:abstractNumId w:val="6"/>
  </w:num>
  <w:num w:numId="7" w16cid:durableId="1772049687">
    <w:abstractNumId w:val="5"/>
  </w:num>
  <w:num w:numId="8" w16cid:durableId="1433404296">
    <w:abstractNumId w:val="3"/>
  </w:num>
  <w:num w:numId="9" w16cid:durableId="911084820">
    <w:abstractNumId w:val="7"/>
  </w:num>
  <w:num w:numId="10" w16cid:durableId="1067730011">
    <w:abstractNumId w:val="2"/>
  </w:num>
  <w:num w:numId="11" w16cid:durableId="117507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E6"/>
    <w:rsid w:val="000053FA"/>
    <w:rsid w:val="00014BB9"/>
    <w:rsid w:val="000178BA"/>
    <w:rsid w:val="00023A09"/>
    <w:rsid w:val="000501A8"/>
    <w:rsid w:val="00050CDF"/>
    <w:rsid w:val="00056D19"/>
    <w:rsid w:val="00062C4A"/>
    <w:rsid w:val="0006407F"/>
    <w:rsid w:val="0006624D"/>
    <w:rsid w:val="00071D6E"/>
    <w:rsid w:val="0007204A"/>
    <w:rsid w:val="00076DB8"/>
    <w:rsid w:val="00082DA2"/>
    <w:rsid w:val="00085255"/>
    <w:rsid w:val="000A0999"/>
    <w:rsid w:val="000A1583"/>
    <w:rsid w:val="000C4ADF"/>
    <w:rsid w:val="000D0EEE"/>
    <w:rsid w:val="000D4016"/>
    <w:rsid w:val="000D6021"/>
    <w:rsid w:val="000D792B"/>
    <w:rsid w:val="000F76C4"/>
    <w:rsid w:val="00103BDD"/>
    <w:rsid w:val="00103EE9"/>
    <w:rsid w:val="00104DBE"/>
    <w:rsid w:val="00105316"/>
    <w:rsid w:val="001400CA"/>
    <w:rsid w:val="00145E50"/>
    <w:rsid w:val="001475F6"/>
    <w:rsid w:val="00156D0E"/>
    <w:rsid w:val="00157FD1"/>
    <w:rsid w:val="00162887"/>
    <w:rsid w:val="00163A2F"/>
    <w:rsid w:val="001773A9"/>
    <w:rsid w:val="001830FC"/>
    <w:rsid w:val="001933F4"/>
    <w:rsid w:val="00197160"/>
    <w:rsid w:val="001A05D7"/>
    <w:rsid w:val="001A1CD9"/>
    <w:rsid w:val="001B498A"/>
    <w:rsid w:val="001B67C8"/>
    <w:rsid w:val="001B7BE6"/>
    <w:rsid w:val="001C43DE"/>
    <w:rsid w:val="001D3897"/>
    <w:rsid w:val="001D4C72"/>
    <w:rsid w:val="001D5095"/>
    <w:rsid w:val="001D6639"/>
    <w:rsid w:val="001E1DBD"/>
    <w:rsid w:val="001E4DF2"/>
    <w:rsid w:val="001E600D"/>
    <w:rsid w:val="001F1990"/>
    <w:rsid w:val="001F1FE3"/>
    <w:rsid w:val="001F3642"/>
    <w:rsid w:val="00204416"/>
    <w:rsid w:val="0020532B"/>
    <w:rsid w:val="0020538D"/>
    <w:rsid w:val="00210E1E"/>
    <w:rsid w:val="00214F3F"/>
    <w:rsid w:val="00217F71"/>
    <w:rsid w:val="00223BF5"/>
    <w:rsid w:val="0024211D"/>
    <w:rsid w:val="00242E84"/>
    <w:rsid w:val="00244CAF"/>
    <w:rsid w:val="002500DC"/>
    <w:rsid w:val="00257277"/>
    <w:rsid w:val="002576DD"/>
    <w:rsid w:val="00260D92"/>
    <w:rsid w:val="00264AFA"/>
    <w:rsid w:val="00265F4B"/>
    <w:rsid w:val="00266911"/>
    <w:rsid w:val="00291C85"/>
    <w:rsid w:val="00292CED"/>
    <w:rsid w:val="00293368"/>
    <w:rsid w:val="00296934"/>
    <w:rsid w:val="00296C5C"/>
    <w:rsid w:val="002A62DD"/>
    <w:rsid w:val="002E382A"/>
    <w:rsid w:val="002E70F3"/>
    <w:rsid w:val="002F21C7"/>
    <w:rsid w:val="002F56B1"/>
    <w:rsid w:val="002F6DFB"/>
    <w:rsid w:val="0030026F"/>
    <w:rsid w:val="00310D31"/>
    <w:rsid w:val="00321F40"/>
    <w:rsid w:val="00321F57"/>
    <w:rsid w:val="00322988"/>
    <w:rsid w:val="00323887"/>
    <w:rsid w:val="00325722"/>
    <w:rsid w:val="00330899"/>
    <w:rsid w:val="003319DD"/>
    <w:rsid w:val="00331A05"/>
    <w:rsid w:val="0033723D"/>
    <w:rsid w:val="00341A9E"/>
    <w:rsid w:val="00342517"/>
    <w:rsid w:val="003472CE"/>
    <w:rsid w:val="003625D7"/>
    <w:rsid w:val="003668F9"/>
    <w:rsid w:val="00366F18"/>
    <w:rsid w:val="0037202F"/>
    <w:rsid w:val="00373C7C"/>
    <w:rsid w:val="0037404C"/>
    <w:rsid w:val="00374247"/>
    <w:rsid w:val="0038674C"/>
    <w:rsid w:val="00393305"/>
    <w:rsid w:val="00396DF9"/>
    <w:rsid w:val="003A0895"/>
    <w:rsid w:val="003A2BC2"/>
    <w:rsid w:val="003A47FE"/>
    <w:rsid w:val="003A4ECC"/>
    <w:rsid w:val="003B363A"/>
    <w:rsid w:val="003B3B18"/>
    <w:rsid w:val="003C0EC6"/>
    <w:rsid w:val="003C5BB2"/>
    <w:rsid w:val="003D4917"/>
    <w:rsid w:val="003D6471"/>
    <w:rsid w:val="003E0CDE"/>
    <w:rsid w:val="003F4A99"/>
    <w:rsid w:val="003F52B4"/>
    <w:rsid w:val="003F7523"/>
    <w:rsid w:val="00403E97"/>
    <w:rsid w:val="0040718F"/>
    <w:rsid w:val="004126B4"/>
    <w:rsid w:val="00412ADD"/>
    <w:rsid w:val="00424F21"/>
    <w:rsid w:val="004253EE"/>
    <w:rsid w:val="004257F1"/>
    <w:rsid w:val="00430F1B"/>
    <w:rsid w:val="00432892"/>
    <w:rsid w:val="004408B3"/>
    <w:rsid w:val="00440E9C"/>
    <w:rsid w:val="00442BBF"/>
    <w:rsid w:val="004453D3"/>
    <w:rsid w:val="004561CF"/>
    <w:rsid w:val="0047208B"/>
    <w:rsid w:val="00481F7B"/>
    <w:rsid w:val="0048752B"/>
    <w:rsid w:val="004879A9"/>
    <w:rsid w:val="00487C8A"/>
    <w:rsid w:val="00491B6C"/>
    <w:rsid w:val="00496452"/>
    <w:rsid w:val="004A6363"/>
    <w:rsid w:val="004A6AA3"/>
    <w:rsid w:val="004A7B46"/>
    <w:rsid w:val="004B15E6"/>
    <w:rsid w:val="004B2259"/>
    <w:rsid w:val="004E0960"/>
    <w:rsid w:val="004E0C18"/>
    <w:rsid w:val="004F19C6"/>
    <w:rsid w:val="00500F0F"/>
    <w:rsid w:val="0050280E"/>
    <w:rsid w:val="005036A1"/>
    <w:rsid w:val="00510BA1"/>
    <w:rsid w:val="005147C7"/>
    <w:rsid w:val="00514E32"/>
    <w:rsid w:val="00517EE7"/>
    <w:rsid w:val="00524086"/>
    <w:rsid w:val="00524F44"/>
    <w:rsid w:val="00527DF0"/>
    <w:rsid w:val="0053274F"/>
    <w:rsid w:val="005361A7"/>
    <w:rsid w:val="005404A9"/>
    <w:rsid w:val="00542104"/>
    <w:rsid w:val="0054341C"/>
    <w:rsid w:val="00545D54"/>
    <w:rsid w:val="00547D10"/>
    <w:rsid w:val="005516D0"/>
    <w:rsid w:val="005520CE"/>
    <w:rsid w:val="00553D1A"/>
    <w:rsid w:val="00554175"/>
    <w:rsid w:val="0055756A"/>
    <w:rsid w:val="00562AF0"/>
    <w:rsid w:val="0057194A"/>
    <w:rsid w:val="00593108"/>
    <w:rsid w:val="0059323D"/>
    <w:rsid w:val="00593A20"/>
    <w:rsid w:val="005C148B"/>
    <w:rsid w:val="005C24FB"/>
    <w:rsid w:val="005C3188"/>
    <w:rsid w:val="005C6520"/>
    <w:rsid w:val="005D70D5"/>
    <w:rsid w:val="005E7406"/>
    <w:rsid w:val="005F3023"/>
    <w:rsid w:val="006138A5"/>
    <w:rsid w:val="00617711"/>
    <w:rsid w:val="00621F7B"/>
    <w:rsid w:val="00623E52"/>
    <w:rsid w:val="00624838"/>
    <w:rsid w:val="00625563"/>
    <w:rsid w:val="00627718"/>
    <w:rsid w:val="006334C7"/>
    <w:rsid w:val="0065452C"/>
    <w:rsid w:val="006559A2"/>
    <w:rsid w:val="006702FD"/>
    <w:rsid w:val="00672401"/>
    <w:rsid w:val="00683F8E"/>
    <w:rsid w:val="006858FF"/>
    <w:rsid w:val="00691DDD"/>
    <w:rsid w:val="00692505"/>
    <w:rsid w:val="006A1EA3"/>
    <w:rsid w:val="006A4DD1"/>
    <w:rsid w:val="006A6732"/>
    <w:rsid w:val="006B2154"/>
    <w:rsid w:val="006C3E71"/>
    <w:rsid w:val="006C73FB"/>
    <w:rsid w:val="006C7DA7"/>
    <w:rsid w:val="006D01A8"/>
    <w:rsid w:val="006D7E59"/>
    <w:rsid w:val="006E2D8D"/>
    <w:rsid w:val="006E7A9E"/>
    <w:rsid w:val="006F158C"/>
    <w:rsid w:val="006F2A50"/>
    <w:rsid w:val="006F3E53"/>
    <w:rsid w:val="006F7D52"/>
    <w:rsid w:val="00702218"/>
    <w:rsid w:val="00703240"/>
    <w:rsid w:val="007065AE"/>
    <w:rsid w:val="00713D02"/>
    <w:rsid w:val="00716EC4"/>
    <w:rsid w:val="00720D65"/>
    <w:rsid w:val="00721A66"/>
    <w:rsid w:val="00722BBC"/>
    <w:rsid w:val="00725E7A"/>
    <w:rsid w:val="00726A73"/>
    <w:rsid w:val="00731886"/>
    <w:rsid w:val="00733E86"/>
    <w:rsid w:val="0073420B"/>
    <w:rsid w:val="0073500C"/>
    <w:rsid w:val="00742A3A"/>
    <w:rsid w:val="007438B6"/>
    <w:rsid w:val="007452B6"/>
    <w:rsid w:val="00751D90"/>
    <w:rsid w:val="00753C98"/>
    <w:rsid w:val="00754DA9"/>
    <w:rsid w:val="007555BC"/>
    <w:rsid w:val="007567A2"/>
    <w:rsid w:val="00760226"/>
    <w:rsid w:val="00763349"/>
    <w:rsid w:val="0076782B"/>
    <w:rsid w:val="007726F3"/>
    <w:rsid w:val="00782465"/>
    <w:rsid w:val="00790423"/>
    <w:rsid w:val="0079478B"/>
    <w:rsid w:val="007976CB"/>
    <w:rsid w:val="007A32AE"/>
    <w:rsid w:val="007A45AB"/>
    <w:rsid w:val="007B189E"/>
    <w:rsid w:val="007D355E"/>
    <w:rsid w:val="007D52AC"/>
    <w:rsid w:val="007D6222"/>
    <w:rsid w:val="007E29D4"/>
    <w:rsid w:val="007F3E3B"/>
    <w:rsid w:val="007F668B"/>
    <w:rsid w:val="008037C6"/>
    <w:rsid w:val="00803E11"/>
    <w:rsid w:val="0080515A"/>
    <w:rsid w:val="00812317"/>
    <w:rsid w:val="008226EA"/>
    <w:rsid w:val="00827175"/>
    <w:rsid w:val="00830824"/>
    <w:rsid w:val="00831C29"/>
    <w:rsid w:val="00831EBC"/>
    <w:rsid w:val="008322B1"/>
    <w:rsid w:val="00833122"/>
    <w:rsid w:val="00851A91"/>
    <w:rsid w:val="008536D0"/>
    <w:rsid w:val="0085721C"/>
    <w:rsid w:val="00860CA1"/>
    <w:rsid w:val="008638F9"/>
    <w:rsid w:val="00864A12"/>
    <w:rsid w:val="00866C76"/>
    <w:rsid w:val="00867D2A"/>
    <w:rsid w:val="00874EBE"/>
    <w:rsid w:val="008A2CB4"/>
    <w:rsid w:val="008B1BE4"/>
    <w:rsid w:val="008B2E3F"/>
    <w:rsid w:val="008C5373"/>
    <w:rsid w:val="008C53ED"/>
    <w:rsid w:val="008D196C"/>
    <w:rsid w:val="008D43D1"/>
    <w:rsid w:val="008D65F5"/>
    <w:rsid w:val="008D7CBC"/>
    <w:rsid w:val="008E6A86"/>
    <w:rsid w:val="008F5A64"/>
    <w:rsid w:val="008F5ACD"/>
    <w:rsid w:val="00904F85"/>
    <w:rsid w:val="00920A9F"/>
    <w:rsid w:val="009224BC"/>
    <w:rsid w:val="00926A7F"/>
    <w:rsid w:val="009359A0"/>
    <w:rsid w:val="00935B3D"/>
    <w:rsid w:val="00935F3E"/>
    <w:rsid w:val="00936932"/>
    <w:rsid w:val="00940FDD"/>
    <w:rsid w:val="009418D2"/>
    <w:rsid w:val="00943612"/>
    <w:rsid w:val="0095091B"/>
    <w:rsid w:val="00951F79"/>
    <w:rsid w:val="0095475C"/>
    <w:rsid w:val="0096635B"/>
    <w:rsid w:val="00966C0F"/>
    <w:rsid w:val="00970FB1"/>
    <w:rsid w:val="00972598"/>
    <w:rsid w:val="009754B6"/>
    <w:rsid w:val="00977B2A"/>
    <w:rsid w:val="00980816"/>
    <w:rsid w:val="009810F1"/>
    <w:rsid w:val="009837A5"/>
    <w:rsid w:val="009851BF"/>
    <w:rsid w:val="009962FD"/>
    <w:rsid w:val="009A085B"/>
    <w:rsid w:val="009A176A"/>
    <w:rsid w:val="009A20D7"/>
    <w:rsid w:val="009A33AE"/>
    <w:rsid w:val="009A46AF"/>
    <w:rsid w:val="009A76C1"/>
    <w:rsid w:val="009B1C2C"/>
    <w:rsid w:val="009B2E2E"/>
    <w:rsid w:val="009B74F9"/>
    <w:rsid w:val="009C2D2B"/>
    <w:rsid w:val="009C5A75"/>
    <w:rsid w:val="009C6556"/>
    <w:rsid w:val="009D340E"/>
    <w:rsid w:val="009E35CB"/>
    <w:rsid w:val="009E5369"/>
    <w:rsid w:val="009E6830"/>
    <w:rsid w:val="009F2052"/>
    <w:rsid w:val="009F2E7F"/>
    <w:rsid w:val="00A02BCD"/>
    <w:rsid w:val="00A17BDB"/>
    <w:rsid w:val="00A247F9"/>
    <w:rsid w:val="00A30D25"/>
    <w:rsid w:val="00A31E01"/>
    <w:rsid w:val="00A37060"/>
    <w:rsid w:val="00A40BC2"/>
    <w:rsid w:val="00A40E73"/>
    <w:rsid w:val="00A45F13"/>
    <w:rsid w:val="00A516F8"/>
    <w:rsid w:val="00A729F3"/>
    <w:rsid w:val="00A72C90"/>
    <w:rsid w:val="00A8225A"/>
    <w:rsid w:val="00A832EF"/>
    <w:rsid w:val="00A871E2"/>
    <w:rsid w:val="00A9734B"/>
    <w:rsid w:val="00A9775B"/>
    <w:rsid w:val="00AA592B"/>
    <w:rsid w:val="00AB6EA4"/>
    <w:rsid w:val="00AD120A"/>
    <w:rsid w:val="00AD1492"/>
    <w:rsid w:val="00AD28D0"/>
    <w:rsid w:val="00AE08DF"/>
    <w:rsid w:val="00AE10EF"/>
    <w:rsid w:val="00AE4F57"/>
    <w:rsid w:val="00AE5778"/>
    <w:rsid w:val="00AE611E"/>
    <w:rsid w:val="00AF2311"/>
    <w:rsid w:val="00AF445B"/>
    <w:rsid w:val="00AF4EFC"/>
    <w:rsid w:val="00AF5094"/>
    <w:rsid w:val="00B04EF1"/>
    <w:rsid w:val="00B07D8F"/>
    <w:rsid w:val="00B2059B"/>
    <w:rsid w:val="00B21035"/>
    <w:rsid w:val="00B2268D"/>
    <w:rsid w:val="00B2782D"/>
    <w:rsid w:val="00B3162F"/>
    <w:rsid w:val="00B3248E"/>
    <w:rsid w:val="00B343FF"/>
    <w:rsid w:val="00B44959"/>
    <w:rsid w:val="00B509B3"/>
    <w:rsid w:val="00B61B02"/>
    <w:rsid w:val="00B63F7C"/>
    <w:rsid w:val="00B71E21"/>
    <w:rsid w:val="00B71EF7"/>
    <w:rsid w:val="00B756F3"/>
    <w:rsid w:val="00B82FB1"/>
    <w:rsid w:val="00B94BF2"/>
    <w:rsid w:val="00BA4990"/>
    <w:rsid w:val="00BB0CD4"/>
    <w:rsid w:val="00BC129A"/>
    <w:rsid w:val="00BC18DF"/>
    <w:rsid w:val="00BC3DD5"/>
    <w:rsid w:val="00BC58CF"/>
    <w:rsid w:val="00BC6DB2"/>
    <w:rsid w:val="00BD022A"/>
    <w:rsid w:val="00BD18CB"/>
    <w:rsid w:val="00BD4DFA"/>
    <w:rsid w:val="00BD6E88"/>
    <w:rsid w:val="00BE15D0"/>
    <w:rsid w:val="00BE2F55"/>
    <w:rsid w:val="00BE3659"/>
    <w:rsid w:val="00BE5748"/>
    <w:rsid w:val="00BF17D8"/>
    <w:rsid w:val="00BF4639"/>
    <w:rsid w:val="00BF5599"/>
    <w:rsid w:val="00BF6093"/>
    <w:rsid w:val="00C019C2"/>
    <w:rsid w:val="00C04D4F"/>
    <w:rsid w:val="00C05297"/>
    <w:rsid w:val="00C062E0"/>
    <w:rsid w:val="00C1135C"/>
    <w:rsid w:val="00C12914"/>
    <w:rsid w:val="00C228D6"/>
    <w:rsid w:val="00C23E50"/>
    <w:rsid w:val="00C32D8B"/>
    <w:rsid w:val="00C35681"/>
    <w:rsid w:val="00C379F5"/>
    <w:rsid w:val="00C449C0"/>
    <w:rsid w:val="00C46CC7"/>
    <w:rsid w:val="00C47336"/>
    <w:rsid w:val="00C506C2"/>
    <w:rsid w:val="00C50DF0"/>
    <w:rsid w:val="00C51AE7"/>
    <w:rsid w:val="00C51C7F"/>
    <w:rsid w:val="00C52482"/>
    <w:rsid w:val="00C610E9"/>
    <w:rsid w:val="00C62929"/>
    <w:rsid w:val="00C71749"/>
    <w:rsid w:val="00C72056"/>
    <w:rsid w:val="00C74AEB"/>
    <w:rsid w:val="00C77449"/>
    <w:rsid w:val="00C81EC6"/>
    <w:rsid w:val="00C827B8"/>
    <w:rsid w:val="00C8668E"/>
    <w:rsid w:val="00C905F4"/>
    <w:rsid w:val="00C91877"/>
    <w:rsid w:val="00C973BC"/>
    <w:rsid w:val="00CE130F"/>
    <w:rsid w:val="00CE1466"/>
    <w:rsid w:val="00CE2DEC"/>
    <w:rsid w:val="00CE5B0A"/>
    <w:rsid w:val="00CF7029"/>
    <w:rsid w:val="00D021D8"/>
    <w:rsid w:val="00D07D39"/>
    <w:rsid w:val="00D14C03"/>
    <w:rsid w:val="00D30DE7"/>
    <w:rsid w:val="00D45EA0"/>
    <w:rsid w:val="00D504AF"/>
    <w:rsid w:val="00D5099A"/>
    <w:rsid w:val="00D52C42"/>
    <w:rsid w:val="00D544C0"/>
    <w:rsid w:val="00D567EF"/>
    <w:rsid w:val="00D567FC"/>
    <w:rsid w:val="00D62B9F"/>
    <w:rsid w:val="00D647A0"/>
    <w:rsid w:val="00D65D39"/>
    <w:rsid w:val="00D7270E"/>
    <w:rsid w:val="00D77977"/>
    <w:rsid w:val="00D806D8"/>
    <w:rsid w:val="00D80E81"/>
    <w:rsid w:val="00D827C7"/>
    <w:rsid w:val="00D82E5C"/>
    <w:rsid w:val="00D90DF7"/>
    <w:rsid w:val="00D94FCB"/>
    <w:rsid w:val="00D973F3"/>
    <w:rsid w:val="00DA29C9"/>
    <w:rsid w:val="00DA49B7"/>
    <w:rsid w:val="00DB0FFD"/>
    <w:rsid w:val="00DB28FF"/>
    <w:rsid w:val="00DB31B8"/>
    <w:rsid w:val="00DB447C"/>
    <w:rsid w:val="00DB4667"/>
    <w:rsid w:val="00DB7B5D"/>
    <w:rsid w:val="00DC08BF"/>
    <w:rsid w:val="00DC233D"/>
    <w:rsid w:val="00DC5BC5"/>
    <w:rsid w:val="00DD24CE"/>
    <w:rsid w:val="00DE471F"/>
    <w:rsid w:val="00DE5E0A"/>
    <w:rsid w:val="00DF1990"/>
    <w:rsid w:val="00DF618D"/>
    <w:rsid w:val="00E00D1F"/>
    <w:rsid w:val="00E03FBF"/>
    <w:rsid w:val="00E12DFE"/>
    <w:rsid w:val="00E132C3"/>
    <w:rsid w:val="00E14E02"/>
    <w:rsid w:val="00E22152"/>
    <w:rsid w:val="00E226DB"/>
    <w:rsid w:val="00E265E6"/>
    <w:rsid w:val="00E2C6AF"/>
    <w:rsid w:val="00E30FAB"/>
    <w:rsid w:val="00E34303"/>
    <w:rsid w:val="00E3774D"/>
    <w:rsid w:val="00E4470C"/>
    <w:rsid w:val="00E477D3"/>
    <w:rsid w:val="00E509CE"/>
    <w:rsid w:val="00E657D7"/>
    <w:rsid w:val="00E72F5C"/>
    <w:rsid w:val="00E73D11"/>
    <w:rsid w:val="00E82BE0"/>
    <w:rsid w:val="00E92C68"/>
    <w:rsid w:val="00E94913"/>
    <w:rsid w:val="00E97B1D"/>
    <w:rsid w:val="00EA739C"/>
    <w:rsid w:val="00EB241D"/>
    <w:rsid w:val="00EB5AD1"/>
    <w:rsid w:val="00EB5FA0"/>
    <w:rsid w:val="00EC23FF"/>
    <w:rsid w:val="00EC4AC4"/>
    <w:rsid w:val="00EC58BA"/>
    <w:rsid w:val="00EE1764"/>
    <w:rsid w:val="00EE2901"/>
    <w:rsid w:val="00EE50F5"/>
    <w:rsid w:val="00EE5940"/>
    <w:rsid w:val="00EE765A"/>
    <w:rsid w:val="00F051FF"/>
    <w:rsid w:val="00F0737C"/>
    <w:rsid w:val="00F1323A"/>
    <w:rsid w:val="00F20F70"/>
    <w:rsid w:val="00F23403"/>
    <w:rsid w:val="00F36095"/>
    <w:rsid w:val="00F460A8"/>
    <w:rsid w:val="00F63258"/>
    <w:rsid w:val="00F634EB"/>
    <w:rsid w:val="00F65EF8"/>
    <w:rsid w:val="00F856C2"/>
    <w:rsid w:val="00F909E6"/>
    <w:rsid w:val="00F93CA4"/>
    <w:rsid w:val="00FA143A"/>
    <w:rsid w:val="00FA30E0"/>
    <w:rsid w:val="00FB316E"/>
    <w:rsid w:val="00FD3E94"/>
    <w:rsid w:val="00FE0E61"/>
    <w:rsid w:val="00FE4DEA"/>
    <w:rsid w:val="00FF4F80"/>
    <w:rsid w:val="01257786"/>
    <w:rsid w:val="01DB3771"/>
    <w:rsid w:val="01DC1022"/>
    <w:rsid w:val="0314B78C"/>
    <w:rsid w:val="038D2282"/>
    <w:rsid w:val="04CBCC82"/>
    <w:rsid w:val="04D02052"/>
    <w:rsid w:val="0787F465"/>
    <w:rsid w:val="07D48B26"/>
    <w:rsid w:val="08700DB8"/>
    <w:rsid w:val="08D658AE"/>
    <w:rsid w:val="09FDE0B6"/>
    <w:rsid w:val="0ABDFD63"/>
    <w:rsid w:val="0B18F4BC"/>
    <w:rsid w:val="0B19893B"/>
    <w:rsid w:val="0B4A28B5"/>
    <w:rsid w:val="0B4B7582"/>
    <w:rsid w:val="0B4E38E4"/>
    <w:rsid w:val="0BE00FC1"/>
    <w:rsid w:val="0C0BA9EE"/>
    <w:rsid w:val="0E8AB88F"/>
    <w:rsid w:val="0FF24161"/>
    <w:rsid w:val="106A70D3"/>
    <w:rsid w:val="110BD4A1"/>
    <w:rsid w:val="12847C66"/>
    <w:rsid w:val="12EE4A31"/>
    <w:rsid w:val="13213DE5"/>
    <w:rsid w:val="134A8CDD"/>
    <w:rsid w:val="1375E406"/>
    <w:rsid w:val="149AA928"/>
    <w:rsid w:val="14F930C5"/>
    <w:rsid w:val="15225B91"/>
    <w:rsid w:val="15F495A5"/>
    <w:rsid w:val="15FD71E1"/>
    <w:rsid w:val="161A23C4"/>
    <w:rsid w:val="16602059"/>
    <w:rsid w:val="18363D40"/>
    <w:rsid w:val="18DBCE39"/>
    <w:rsid w:val="196799EB"/>
    <w:rsid w:val="199C0E1D"/>
    <w:rsid w:val="1A50C6F1"/>
    <w:rsid w:val="1A58CBD9"/>
    <w:rsid w:val="1AB605A0"/>
    <w:rsid w:val="1AD9EF6A"/>
    <w:rsid w:val="1B876827"/>
    <w:rsid w:val="1B9E7C3D"/>
    <w:rsid w:val="1C37295A"/>
    <w:rsid w:val="1C7F188A"/>
    <w:rsid w:val="1CE549B4"/>
    <w:rsid w:val="1D4602A7"/>
    <w:rsid w:val="1E409E83"/>
    <w:rsid w:val="1E714FEC"/>
    <w:rsid w:val="1EF5993D"/>
    <w:rsid w:val="1F095590"/>
    <w:rsid w:val="202125C6"/>
    <w:rsid w:val="204540E4"/>
    <w:rsid w:val="21DB2DCC"/>
    <w:rsid w:val="22549ECC"/>
    <w:rsid w:val="22658863"/>
    <w:rsid w:val="2269BB8D"/>
    <w:rsid w:val="22B4A775"/>
    <w:rsid w:val="232E7EE3"/>
    <w:rsid w:val="23E0F6AA"/>
    <w:rsid w:val="23E6C880"/>
    <w:rsid w:val="24287E59"/>
    <w:rsid w:val="2497B247"/>
    <w:rsid w:val="24C87CA3"/>
    <w:rsid w:val="2603E049"/>
    <w:rsid w:val="26498536"/>
    <w:rsid w:val="267CDD27"/>
    <w:rsid w:val="2905C69B"/>
    <w:rsid w:val="2A98062D"/>
    <w:rsid w:val="2ADD3A82"/>
    <w:rsid w:val="2C8ED819"/>
    <w:rsid w:val="2D4067A9"/>
    <w:rsid w:val="2D5D399E"/>
    <w:rsid w:val="2DB9FEA7"/>
    <w:rsid w:val="2E7A4950"/>
    <w:rsid w:val="2E987CE1"/>
    <w:rsid w:val="2EDDDEBD"/>
    <w:rsid w:val="2FC14CA1"/>
    <w:rsid w:val="3092B4CE"/>
    <w:rsid w:val="30D96054"/>
    <w:rsid w:val="312A8EEF"/>
    <w:rsid w:val="32074712"/>
    <w:rsid w:val="32079283"/>
    <w:rsid w:val="3276C5AA"/>
    <w:rsid w:val="3278F78E"/>
    <w:rsid w:val="327B8ADC"/>
    <w:rsid w:val="3282A115"/>
    <w:rsid w:val="33CFDC46"/>
    <w:rsid w:val="33D8594F"/>
    <w:rsid w:val="35CCB4A4"/>
    <w:rsid w:val="36440E79"/>
    <w:rsid w:val="375AEDA0"/>
    <w:rsid w:val="384197E7"/>
    <w:rsid w:val="38528645"/>
    <w:rsid w:val="38F206B6"/>
    <w:rsid w:val="3BDB6554"/>
    <w:rsid w:val="3C3B2954"/>
    <w:rsid w:val="3D2BE600"/>
    <w:rsid w:val="3E228BD0"/>
    <w:rsid w:val="3F1D9CA5"/>
    <w:rsid w:val="40E3A08D"/>
    <w:rsid w:val="4204599E"/>
    <w:rsid w:val="42233B4F"/>
    <w:rsid w:val="434928DB"/>
    <w:rsid w:val="43883EFD"/>
    <w:rsid w:val="4448F708"/>
    <w:rsid w:val="4561BD07"/>
    <w:rsid w:val="4575661B"/>
    <w:rsid w:val="45AB888D"/>
    <w:rsid w:val="45C3E228"/>
    <w:rsid w:val="47F17CE0"/>
    <w:rsid w:val="4868F350"/>
    <w:rsid w:val="48AABA34"/>
    <w:rsid w:val="494116A7"/>
    <w:rsid w:val="495BD3AA"/>
    <w:rsid w:val="4CAB3E3F"/>
    <w:rsid w:val="4DBF6A59"/>
    <w:rsid w:val="4E773CED"/>
    <w:rsid w:val="5089C7ED"/>
    <w:rsid w:val="50E0B937"/>
    <w:rsid w:val="5185E2D2"/>
    <w:rsid w:val="525D7A6A"/>
    <w:rsid w:val="53086661"/>
    <w:rsid w:val="53194DA8"/>
    <w:rsid w:val="5393AB14"/>
    <w:rsid w:val="54536ED7"/>
    <w:rsid w:val="5667F665"/>
    <w:rsid w:val="56D43196"/>
    <w:rsid w:val="5781AC33"/>
    <w:rsid w:val="57C80DCB"/>
    <w:rsid w:val="57FBA634"/>
    <w:rsid w:val="58DD3D31"/>
    <w:rsid w:val="5AD1C6CA"/>
    <w:rsid w:val="5B0407DD"/>
    <w:rsid w:val="5B21A7D5"/>
    <w:rsid w:val="5BA3D408"/>
    <w:rsid w:val="5DB15887"/>
    <w:rsid w:val="5DC3C39A"/>
    <w:rsid w:val="5E83CCCA"/>
    <w:rsid w:val="5F661EAA"/>
    <w:rsid w:val="5F927FF3"/>
    <w:rsid w:val="600FEB72"/>
    <w:rsid w:val="60543999"/>
    <w:rsid w:val="608F1DA3"/>
    <w:rsid w:val="60C3A18B"/>
    <w:rsid w:val="6101A96D"/>
    <w:rsid w:val="620D9B8D"/>
    <w:rsid w:val="63323CB6"/>
    <w:rsid w:val="64EBFA0C"/>
    <w:rsid w:val="6512052C"/>
    <w:rsid w:val="6652F718"/>
    <w:rsid w:val="66F0853C"/>
    <w:rsid w:val="674F03F9"/>
    <w:rsid w:val="6755ACB1"/>
    <w:rsid w:val="67CA80AF"/>
    <w:rsid w:val="696072DF"/>
    <w:rsid w:val="69B96DBF"/>
    <w:rsid w:val="6B2EDF40"/>
    <w:rsid w:val="6BCD6660"/>
    <w:rsid w:val="6BD3A87F"/>
    <w:rsid w:val="6C1DEB77"/>
    <w:rsid w:val="6C9136B1"/>
    <w:rsid w:val="6D5D3ACF"/>
    <w:rsid w:val="6D8635CF"/>
    <w:rsid w:val="6D8D55AF"/>
    <w:rsid w:val="6DC67F55"/>
    <w:rsid w:val="6E09F55A"/>
    <w:rsid w:val="6E2E679D"/>
    <w:rsid w:val="6F5F3C33"/>
    <w:rsid w:val="70C85CF6"/>
    <w:rsid w:val="7140D171"/>
    <w:rsid w:val="7180C2D8"/>
    <w:rsid w:val="71B4B8D8"/>
    <w:rsid w:val="72611F10"/>
    <w:rsid w:val="7311CD31"/>
    <w:rsid w:val="7398C687"/>
    <w:rsid w:val="74881F5D"/>
    <w:rsid w:val="77BFF2CB"/>
    <w:rsid w:val="78F68399"/>
    <w:rsid w:val="7AA39245"/>
    <w:rsid w:val="7B3DDB44"/>
    <w:rsid w:val="7C92DC62"/>
    <w:rsid w:val="7CD976CF"/>
    <w:rsid w:val="7DA4DD45"/>
    <w:rsid w:val="7ED9EBF0"/>
    <w:rsid w:val="7F26BB89"/>
    <w:rsid w:val="7F41C4F6"/>
  </w:rsids>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v25fatt5ft98ed2w9pwwdzf0d9ae5z0spz&quot;&gt;2024 EndNote Library&lt;record-ids&gt;&lt;item&gt;4382&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4315FE"/>
  <w15:chartTrackingRefBased/>
  <w15:docId w15:val="{6538DC06-DFE9-4CB4-8411-E79766EB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CDF"/>
    <w:pPr>
      <w:spacing w:after="0" w:line="240" w:lineRule="auto"/>
    </w:pPr>
    <w:rPr>
      <w:rFonts w:ascii="Times New Roman" w:eastAsia="Times New Roman" w:hAnsi="Times New Roman" w:cs="Arial"/>
      <w:kern w:val="0"/>
      <w:sz w:val="24"/>
      <w:szCs w:val="24"/>
      <w14:ligatures w14:val="none"/>
    </w:rPr>
  </w:style>
  <w:style w:type="paragraph" w:styleId="Heading1">
    <w:name w:val="heading 1"/>
    <w:basedOn w:val="Normal"/>
    <w:next w:val="Normal"/>
    <w:link w:val="Heading1Char"/>
    <w:qFormat/>
    <w:rsid w:val="00E26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5E6"/>
    <w:rPr>
      <w:rFonts w:ascii="Times New Roman" w:hAnsi="Times New Roman"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E265E6"/>
    <w:rPr>
      <w:rFonts w:ascii="Times New Roman" w:hAnsi="Times New Roman"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E265E6"/>
    <w:rPr>
      <w:rFonts w:ascii="Times New Roman" w:hAnsi="Times New Roman"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E265E6"/>
    <w:rPr>
      <w:rFonts w:ascii="Times New Roman" w:hAnsi="Times New Roman"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E265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5E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26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5E6"/>
    <w:pPr>
      <w:spacing w:before="160"/>
      <w:jc w:val="center"/>
    </w:pPr>
    <w:rPr>
      <w:i/>
      <w:iCs/>
      <w:color w:val="404040" w:themeColor="text1" w:themeTint="BF"/>
    </w:rPr>
  </w:style>
  <w:style w:type="character" w:customStyle="1" w:styleId="QuoteChar">
    <w:name w:val="Quote Char"/>
    <w:basedOn w:val="DefaultParagraphFont"/>
    <w:link w:val="Quote"/>
    <w:uiPriority w:val="29"/>
    <w:rsid w:val="00E265E6"/>
    <w:rPr>
      <w:i/>
      <w:iCs/>
      <w:color w:val="404040" w:themeColor="text1" w:themeTint="BF"/>
    </w:rPr>
  </w:style>
  <w:style w:type="paragraph" w:styleId="ListParagraph">
    <w:name w:val="List Paragraph"/>
    <w:basedOn w:val="Normal"/>
    <w:link w:val="ListParagraphChar"/>
    <w:uiPriority w:val="34"/>
    <w:qFormat/>
    <w:rsid w:val="00E265E6"/>
    <w:pPr>
      <w:ind w:left="720"/>
      <w:contextualSpacing/>
    </w:pPr>
  </w:style>
  <w:style w:type="character" w:styleId="IntenseEmphasis">
    <w:name w:val="Intense Emphasis"/>
    <w:basedOn w:val="DefaultParagraphFont"/>
    <w:uiPriority w:val="21"/>
    <w:qFormat/>
    <w:rsid w:val="00E265E6"/>
    <w:rPr>
      <w:i/>
      <w:iCs/>
      <w:color w:val="0F4761" w:themeColor="accent1" w:themeShade="BF"/>
    </w:rPr>
  </w:style>
  <w:style w:type="paragraph" w:styleId="IntenseQuote">
    <w:name w:val="Intense Quote"/>
    <w:basedOn w:val="Normal"/>
    <w:next w:val="Normal"/>
    <w:link w:val="IntenseQuoteChar"/>
    <w:uiPriority w:val="30"/>
    <w:qFormat/>
    <w:rsid w:val="00E26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5E6"/>
    <w:rPr>
      <w:i/>
      <w:iCs/>
      <w:color w:val="0F4761" w:themeColor="accent1" w:themeShade="BF"/>
    </w:rPr>
  </w:style>
  <w:style w:type="character" w:styleId="IntenseReference">
    <w:name w:val="Intense Reference"/>
    <w:basedOn w:val="DefaultParagraphFont"/>
    <w:uiPriority w:val="32"/>
    <w:qFormat/>
    <w:rsid w:val="00E265E6"/>
    <w:rPr>
      <w:b/>
      <w:bCs/>
      <w:smallCaps/>
      <w:color w:val="0F4761" w:themeColor="accent1" w:themeShade="BF"/>
      <w:spacing w:val="5"/>
    </w:rPr>
  </w:style>
  <w:style w:type="character" w:styleId="Hyperlink">
    <w:name w:val="Hyperlink"/>
    <w:basedOn w:val="DefaultParagraphFont"/>
    <w:rsid w:val="00050CDF"/>
    <w:rPr>
      <w:color w:val="0000FF"/>
      <w:u w:val="single"/>
    </w:rPr>
  </w:style>
  <w:style w:type="paragraph" w:styleId="Header">
    <w:name w:val="header"/>
    <w:basedOn w:val="Normal"/>
    <w:link w:val="HeaderChar"/>
    <w:uiPriority w:val="99"/>
    <w:rsid w:val="00050CDF"/>
    <w:pPr>
      <w:tabs>
        <w:tab w:val="center" w:pos="4320"/>
        <w:tab w:val="right" w:pos="8640"/>
      </w:tabs>
    </w:pPr>
  </w:style>
  <w:style w:type="character" w:customStyle="1" w:styleId="HeaderChar">
    <w:name w:val="Header Char"/>
    <w:basedOn w:val="DefaultParagraphFont"/>
    <w:link w:val="Header"/>
    <w:uiPriority w:val="99"/>
    <w:rsid w:val="00050CDF"/>
    <w:rPr>
      <w:rFonts w:ascii="Times New Roman" w:eastAsia="Times New Roman" w:hAnsi="Times New Roman" w:cs="Arial"/>
      <w:kern w:val="0"/>
      <w:sz w:val="24"/>
      <w:szCs w:val="24"/>
      <w14:ligatures w14:val="none"/>
    </w:rPr>
  </w:style>
  <w:style w:type="paragraph" w:styleId="Footer">
    <w:name w:val="footer"/>
    <w:basedOn w:val="Normal"/>
    <w:link w:val="FooterChar"/>
    <w:uiPriority w:val="99"/>
    <w:rsid w:val="00050CDF"/>
    <w:pPr>
      <w:tabs>
        <w:tab w:val="center" w:pos="4320"/>
        <w:tab w:val="right" w:pos="8640"/>
      </w:tabs>
    </w:pPr>
  </w:style>
  <w:style w:type="character" w:customStyle="1" w:styleId="FooterChar">
    <w:name w:val="Footer Char"/>
    <w:basedOn w:val="DefaultParagraphFont"/>
    <w:link w:val="Footer"/>
    <w:uiPriority w:val="99"/>
    <w:rsid w:val="00050CDF"/>
    <w:rPr>
      <w:rFonts w:ascii="Times New Roman" w:eastAsia="Times New Roman" w:hAnsi="Times New Roman" w:cs="Arial"/>
      <w:kern w:val="0"/>
      <w:sz w:val="24"/>
      <w:szCs w:val="24"/>
      <w14:ligatures w14:val="none"/>
    </w:rPr>
  </w:style>
  <w:style w:type="character" w:styleId="PageNumber">
    <w:name w:val="page number"/>
    <w:basedOn w:val="DefaultParagraphFont"/>
    <w:rsid w:val="00050CDF"/>
  </w:style>
  <w:style w:type="paragraph" w:styleId="PlainText">
    <w:name w:val="Plain Text"/>
    <w:basedOn w:val="Normal"/>
    <w:link w:val="PlainTextChar"/>
    <w:uiPriority w:val="99"/>
    <w:unhideWhenUsed/>
    <w:rsid w:val="00050CDF"/>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050CDF"/>
    <w:rPr>
      <w:rFonts w:ascii="Consolas" w:hAnsi="Consolas"/>
      <w:kern w:val="0"/>
      <w:sz w:val="21"/>
      <w:szCs w:val="21"/>
      <w14:ligatures w14:val="none"/>
    </w:rPr>
  </w:style>
  <w:style w:type="paragraph" w:styleId="FootnoteText">
    <w:name w:val="footnote text"/>
    <w:aliases w:val="F1"/>
    <w:basedOn w:val="Normal"/>
    <w:link w:val="FootnoteTextChar"/>
    <w:uiPriority w:val="99"/>
    <w:unhideWhenUsed/>
    <w:rsid w:val="00050CDF"/>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050CDF"/>
    <w:rPr>
      <w:rFonts w:eastAsiaTheme="minorEastAsia"/>
      <w:kern w:val="0"/>
      <w:sz w:val="20"/>
      <w:szCs w:val="20"/>
      <w14:ligatures w14:val="none"/>
    </w:rPr>
  </w:style>
  <w:style w:type="character" w:styleId="FootnoteReference">
    <w:name w:val="footnote reference"/>
    <w:basedOn w:val="DefaultParagraphFont"/>
    <w:uiPriority w:val="99"/>
    <w:unhideWhenUsed/>
    <w:rsid w:val="00050CDF"/>
    <w:rPr>
      <w:vertAlign w:val="superscript"/>
    </w:rPr>
  </w:style>
  <w:style w:type="table" w:customStyle="1" w:styleId="TableGrid1">
    <w:name w:val="Table Grid1"/>
    <w:basedOn w:val="TableNormal"/>
    <w:next w:val="TableGrid"/>
    <w:uiPriority w:val="39"/>
    <w:rsid w:val="00050C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
    <w:qFormat/>
    <w:rsid w:val="00050CDF"/>
    <w:pPr>
      <w:spacing w:line="360" w:lineRule="auto"/>
      <w:ind w:firstLine="720"/>
    </w:pPr>
    <w:rPr>
      <w:rFonts w:cs="Times New Roman"/>
      <w:szCs w:val="20"/>
    </w:rPr>
  </w:style>
  <w:style w:type="character" w:customStyle="1" w:styleId="bodytextpsgChar">
    <w:name w:val="body text_psg Char"/>
    <w:link w:val="bodytextpsg"/>
    <w:rsid w:val="00050CDF"/>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050CDF"/>
    <w:rPr>
      <w:rFonts w:cs="Times New Roman"/>
      <w:szCs w:val="20"/>
    </w:rPr>
  </w:style>
  <w:style w:type="character" w:customStyle="1" w:styleId="BodyTextChar">
    <w:name w:val="Body Text Char"/>
    <w:basedOn w:val="DefaultParagraphFont"/>
    <w:link w:val="BodyText"/>
    <w:rsid w:val="00050CDF"/>
    <w:rPr>
      <w:rFonts w:ascii="Times New Roman" w:eastAsia="Times New Roman" w:hAnsi="Times New Roman" w:cs="Times New Roman"/>
      <w:kern w:val="0"/>
      <w:sz w:val="24"/>
      <w:szCs w:val="20"/>
      <w14:ligatures w14:val="none"/>
    </w:rPr>
  </w:style>
  <w:style w:type="table" w:customStyle="1" w:styleId="BlueModernBanded">
    <w:name w:val="Blue Modern Banded"/>
    <w:basedOn w:val="TableNormal"/>
    <w:uiPriority w:val="99"/>
    <w:rsid w:val="00050CDF"/>
    <w:pPr>
      <w:spacing w:after="0" w:line="240" w:lineRule="auto"/>
    </w:pPr>
    <w:rPr>
      <w:rFonts w:ascii="Arial" w:eastAsia="Calibri" w:hAnsi="Arial" w:cs="Times New Roman"/>
      <w:kern w:val="0"/>
      <w:sz w:val="20"/>
      <w:szCs w:val="20"/>
      <w14:ligatures w14:val="none"/>
    </w:rPr>
    <w:tblPr>
      <w:tblStyleRowBandSize w:val="1"/>
      <w:tblBorders>
        <w:top w:val="single" w:sz="18" w:space="0" w:color="auto"/>
        <w:bottom w:val="single" w:sz="18" w:space="0" w:color="auto"/>
        <w:insideV w:val="single" w:sz="4" w:space="0" w:color="FAE2D5" w:themeColor="accent2" w:themeTint="33"/>
      </w:tblBorders>
      <w:tblCellMar>
        <w:left w:w="86" w:type="dxa"/>
        <w:right w:w="86" w:type="dxa"/>
      </w:tblCellMar>
    </w:tblPr>
    <w:trPr>
      <w:cantSplit/>
    </w:trPr>
    <w:tblStylePr w:type="firstRow">
      <w:tblPr/>
      <w:tcPr>
        <w:tcBorders>
          <w:top w:val="nil"/>
        </w:tcBorders>
        <w:shd w:val="clear" w:color="auto" w:fill="0A2F41" w:themeFill="accent1" w:themeFillShade="80"/>
      </w:tcPr>
    </w:tblStylePr>
    <w:tblStylePr w:type="lastRow">
      <w:tblPr/>
      <w:tcPr>
        <w:tcBorders>
          <w:bottom w:val="single" w:sz="18" w:space="0" w:color="0A2F41" w:themeColor="accent1" w:themeShade="80"/>
        </w:tcBorders>
      </w:tcPr>
    </w:tblStylePr>
    <w:tblStylePr w:type="band2Horz">
      <w:tblPr/>
      <w:tcPr>
        <w:shd w:val="clear" w:color="auto" w:fill="FAFAFA" w:themeFill="background2" w:themeFillTint="33"/>
      </w:tcPr>
    </w:tblStylePr>
  </w:style>
  <w:style w:type="character" w:customStyle="1" w:styleId="ListParagraphChar">
    <w:name w:val="List Paragraph Char"/>
    <w:basedOn w:val="DefaultParagraphFont"/>
    <w:link w:val="ListParagraph"/>
    <w:uiPriority w:val="34"/>
    <w:rsid w:val="00050CDF"/>
  </w:style>
  <w:style w:type="table" w:styleId="TableGrid">
    <w:name w:val="Table Grid"/>
    <w:basedOn w:val="TableNormal"/>
    <w:uiPriority w:val="39"/>
    <w:rsid w:val="00050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A739C"/>
    <w:rPr>
      <w:sz w:val="16"/>
      <w:szCs w:val="16"/>
    </w:rPr>
  </w:style>
  <w:style w:type="paragraph" w:styleId="CommentText">
    <w:name w:val="annotation text"/>
    <w:basedOn w:val="Normal"/>
    <w:link w:val="CommentTextChar"/>
    <w:uiPriority w:val="99"/>
    <w:unhideWhenUsed/>
    <w:rsid w:val="00EA739C"/>
    <w:rPr>
      <w:sz w:val="20"/>
      <w:szCs w:val="20"/>
    </w:rPr>
  </w:style>
  <w:style w:type="character" w:customStyle="1" w:styleId="CommentTextChar">
    <w:name w:val="Comment Text Char"/>
    <w:basedOn w:val="DefaultParagraphFont"/>
    <w:link w:val="CommentText"/>
    <w:uiPriority w:val="99"/>
    <w:rsid w:val="00EA739C"/>
    <w:rPr>
      <w:rFonts w:ascii="Times New Roman" w:eastAsia="Times New Roman" w:hAnsi="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739C"/>
    <w:rPr>
      <w:b/>
      <w:bCs/>
    </w:rPr>
  </w:style>
  <w:style w:type="character" w:customStyle="1" w:styleId="CommentSubjectChar">
    <w:name w:val="Comment Subject Char"/>
    <w:basedOn w:val="CommentTextChar"/>
    <w:link w:val="CommentSubject"/>
    <w:uiPriority w:val="99"/>
    <w:semiHidden/>
    <w:rsid w:val="00EA739C"/>
    <w:rPr>
      <w:rFonts w:ascii="Times New Roman" w:eastAsia="Times New Roman" w:hAnsi="Times New Roman" w:cs="Arial"/>
      <w:b/>
      <w:bCs/>
      <w:kern w:val="0"/>
      <w:sz w:val="20"/>
      <w:szCs w:val="20"/>
      <w14:ligatures w14:val="none"/>
    </w:rPr>
  </w:style>
  <w:style w:type="paragraph" w:styleId="BodyTextFirstIndent">
    <w:name w:val="Body Text First Indent"/>
    <w:basedOn w:val="BodyText"/>
    <w:link w:val="BodyTextFirstIndentChar"/>
    <w:uiPriority w:val="99"/>
    <w:unhideWhenUsed/>
    <w:rsid w:val="006858FF"/>
    <w:pPr>
      <w:ind w:firstLine="360"/>
    </w:pPr>
    <w:rPr>
      <w:rFonts w:cs="Arial"/>
      <w:szCs w:val="24"/>
    </w:rPr>
  </w:style>
  <w:style w:type="character" w:customStyle="1" w:styleId="BodyTextFirstIndentChar">
    <w:name w:val="Body Text First Indent Char"/>
    <w:basedOn w:val="BodyTextChar"/>
    <w:link w:val="BodyTextFirstIndent"/>
    <w:uiPriority w:val="99"/>
    <w:rsid w:val="006858FF"/>
    <w:rPr>
      <w:rFonts w:ascii="Times New Roman" w:eastAsia="Times New Roman" w:hAnsi="Times New Roman" w:cs="Arial"/>
      <w:kern w:val="0"/>
      <w:sz w:val="24"/>
      <w:szCs w:val="24"/>
      <w14:ligatures w14:val="none"/>
    </w:rPr>
  </w:style>
  <w:style w:type="paragraph" w:styleId="Revision">
    <w:name w:val="Revision"/>
    <w:hidden/>
    <w:uiPriority w:val="99"/>
    <w:semiHidden/>
    <w:rsid w:val="00FD3E94"/>
    <w:pPr>
      <w:spacing w:after="0" w:line="240" w:lineRule="auto"/>
    </w:pPr>
    <w:rPr>
      <w:rFonts w:ascii="Times New Roman" w:eastAsia="Times New Roman" w:hAnsi="Times New Roman" w:cs="Arial"/>
      <w:kern w:val="0"/>
      <w:sz w:val="24"/>
      <w:szCs w:val="24"/>
      <w14:ligatures w14:val="none"/>
    </w:rPr>
  </w:style>
  <w:style w:type="character" w:styleId="Mention">
    <w:name w:val="Mention"/>
    <w:basedOn w:val="DefaultParagraphFont"/>
    <w:uiPriority w:val="99"/>
    <w:unhideWhenUsed/>
    <w:rsid w:val="006D7E59"/>
    <w:rPr>
      <w:color w:val="2B579A"/>
      <w:shd w:val="clear" w:color="auto" w:fill="E1DFDD"/>
    </w:rPr>
  </w:style>
  <w:style w:type="paragraph" w:customStyle="1" w:styleId="EndNoteBibliographyTitle">
    <w:name w:val="EndNote Bibliography Title"/>
    <w:basedOn w:val="Normal"/>
    <w:link w:val="EndNoteBibliographyTitleChar"/>
    <w:rsid w:val="00EC4AC4"/>
    <w:pPr>
      <w:jc w:val="center"/>
    </w:pPr>
    <w:rPr>
      <w:rFonts w:cs="Times New Roman"/>
    </w:rPr>
  </w:style>
  <w:style w:type="character" w:customStyle="1" w:styleId="EndNoteBibliographyTitleChar">
    <w:name w:val="EndNote Bibliography Title Char"/>
    <w:basedOn w:val="DefaultParagraphFont"/>
    <w:link w:val="EndNoteBibliographyTitle"/>
    <w:rsid w:val="00EC4AC4"/>
    <w:rPr>
      <w:rFonts w:ascii="Times New Roman" w:eastAsia="Times New Roman" w:hAnsi="Times New Roman" w:cs="Times New Roman"/>
      <w:kern w:val="0"/>
      <w:sz w:val="24"/>
      <w:szCs w:val="24"/>
      <w14:ligatures w14:val="none"/>
    </w:rPr>
  </w:style>
  <w:style w:type="paragraph" w:customStyle="1" w:styleId="EndNoteBibliography">
    <w:name w:val="EndNote Bibliography"/>
    <w:basedOn w:val="Normal"/>
    <w:link w:val="EndNoteBibliographyChar"/>
    <w:rsid w:val="00EC4AC4"/>
    <w:rPr>
      <w:rFonts w:cs="Times New Roman"/>
    </w:rPr>
  </w:style>
  <w:style w:type="character" w:customStyle="1" w:styleId="EndNoteBibliographyChar">
    <w:name w:val="EndNote Bibliography Char"/>
    <w:basedOn w:val="DefaultParagraphFont"/>
    <w:link w:val="EndNoteBibliography"/>
    <w:rsid w:val="00EC4AC4"/>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C5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bjs.ojp.gov/sites/g/files/xyckuh236/files/media/document/bjs_data_protection_guidelines.pdf" TargetMode="External" /><Relationship Id="rId12" Type="http://schemas.openxmlformats.org/officeDocument/2006/relationships/hyperlink" Target="mailto:askbjs@usdoj.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E8B7B13D53184087FF9F4EAE9422BB" ma:contentTypeVersion="4" ma:contentTypeDescription="Create a new document." ma:contentTypeScope="" ma:versionID="37bba8f5ff93b3d30a9f9e39e9123e42">
  <xsd:schema xmlns:xsd="http://www.w3.org/2001/XMLSchema" xmlns:xs="http://www.w3.org/2001/XMLSchema" xmlns:p="http://schemas.microsoft.com/office/2006/metadata/properties" xmlns:ns2="bdc825ad-588d-491c-b87b-5d7a643d021e" targetNamespace="http://schemas.microsoft.com/office/2006/metadata/properties" ma:root="true" ma:fieldsID="0e460e1acd28ab1baaa940c1c40ebf18" ns2:_="">
    <xsd:import namespace="bdc825ad-588d-491c-b87b-5d7a643d0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825ad-588d-491c-b87b-5d7a643d0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0BC65-F55A-4873-A612-3A85AB909D82}">
  <ds:schemaRefs>
    <ds:schemaRef ds:uri="http://schemas.microsoft.com/sharepoint/v3/contenttype/forms"/>
  </ds:schemaRefs>
</ds:datastoreItem>
</file>

<file path=customXml/itemProps2.xml><?xml version="1.0" encoding="utf-8"?>
<ds:datastoreItem xmlns:ds="http://schemas.openxmlformats.org/officeDocument/2006/customXml" ds:itemID="{39F17D8C-8ABB-394D-8566-C3C75F5FCA36}">
  <ds:schemaRefs>
    <ds:schemaRef ds:uri="http://schemas.openxmlformats.org/officeDocument/2006/bibliography"/>
  </ds:schemaRefs>
</ds:datastoreItem>
</file>

<file path=customXml/itemProps3.xml><?xml version="1.0" encoding="utf-8"?>
<ds:datastoreItem xmlns:ds="http://schemas.openxmlformats.org/officeDocument/2006/customXml" ds:itemID="{A24251CB-7C14-4D3D-A344-ED7AFC634E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134835-7526-42EA-8DBB-57A585D3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825ad-588d-491c-b87b-5d7a643d0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Lopez-Jauffret, Charlotte (OJP)</dc:creator>
  <cp:lastModifiedBy>Adams, Devon</cp:lastModifiedBy>
  <cp:revision>2</cp:revision>
  <dcterms:created xsi:type="dcterms:W3CDTF">2025-05-29T11:48:00Z</dcterms:created>
  <dcterms:modified xsi:type="dcterms:W3CDTF">2025-05-29T11:48:00Z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0x010100F0E8B7B13D53184087FF9F4EAE9422BB</vt:lpwstr>
  </property>
</Properties>
</file>