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D7D44" w:rsidP="00B56589" w14:paraId="18028DD1" w14:textId="77777777">
      <w:pPr>
        <w:rPr>
          <w:b/>
        </w:rPr>
      </w:pPr>
    </w:p>
    <w:p w:rsidR="52190559" w:rsidRPr="0034531B" w:rsidP="67DBE16E" w14:paraId="0DA65517" w14:textId="03F5AD4C">
      <w:pPr>
        <w:spacing w:after="0"/>
        <w:jc w:val="center"/>
      </w:pPr>
      <w:r w:rsidRPr="0034531B">
        <w:rPr>
          <w:rFonts w:ascii="Arial" w:eastAsia="Arial" w:hAnsi="Arial" w:cs="Arial"/>
          <w:b/>
          <w:bCs/>
          <w:noProof/>
          <w:sz w:val="40"/>
          <w:szCs w:val="40"/>
        </w:rPr>
        <w:t xml:space="preserve">Engagement with Intended Users of </w:t>
      </w:r>
      <w:r w:rsidRPr="0034531B" w:rsidR="00F625B4">
        <w:rPr>
          <w:rFonts w:ascii="Arial" w:eastAsia="Arial" w:hAnsi="Arial" w:cs="Arial"/>
          <w:b/>
          <w:bCs/>
          <w:noProof/>
          <w:sz w:val="40"/>
          <w:szCs w:val="40"/>
        </w:rPr>
        <w:t xml:space="preserve">ACF-Sponsored Welfare and Family Self-Sufficiency </w:t>
      </w:r>
    </w:p>
    <w:p w:rsidR="67DBE16E" w:rsidP="67DBE16E" w14:paraId="01EEFDAC" w14:textId="5EF8F2C1">
      <w:pPr>
        <w:pStyle w:val="ReportCover-Title"/>
        <w:jc w:val="center"/>
        <w:rPr>
          <w:rFonts w:ascii="Arial" w:eastAsia="Arial Unicode MS" w:hAnsi="Arial" w:cs="Arial"/>
          <w:noProof/>
          <w:color w:val="auto"/>
        </w:rPr>
      </w:pP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67DBE16E">
        <w:rPr>
          <w:rFonts w:ascii="Arial" w:hAnsi="Arial" w:cs="Arial"/>
          <w:color w:val="auto"/>
          <w:sz w:val="48"/>
          <w:szCs w:val="48"/>
        </w:rPr>
        <w:t xml:space="preserve">Part </w:t>
      </w:r>
      <w:r w:rsidRPr="67DBE16E" w:rsidR="00E80588">
        <w:rPr>
          <w:rFonts w:ascii="Arial" w:hAnsi="Arial" w:cs="Arial"/>
          <w:color w:val="auto"/>
          <w:sz w:val="48"/>
          <w:szCs w:val="48"/>
        </w:rPr>
        <w:t>B</w:t>
      </w:r>
    </w:p>
    <w:p w:rsidR="662E9793" w:rsidP="67DBE16E" w14:paraId="0943CCB9" w14:textId="65A4F76C">
      <w:pPr>
        <w:pStyle w:val="ReportCover-Date"/>
        <w:jc w:val="center"/>
      </w:pPr>
      <w:r>
        <w:rPr>
          <w:rFonts w:ascii="Arial" w:hAnsi="Arial" w:cs="Arial"/>
          <w:color w:val="auto"/>
        </w:rPr>
        <w:t>April</w:t>
      </w:r>
      <w:r w:rsidR="0044770F">
        <w:rPr>
          <w:rFonts w:ascii="Arial" w:hAnsi="Arial" w:cs="Arial"/>
          <w:color w:val="auto"/>
        </w:rPr>
        <w:t xml:space="preserve"> 2026</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36795D2D" w14:textId="4B7616B3">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17FF759D">
      <w:pPr>
        <w:spacing w:after="0" w:line="240" w:lineRule="auto"/>
        <w:jc w:val="center"/>
        <w:rPr>
          <w:rFonts w:ascii="Arial" w:hAnsi="Arial" w:cs="Arial"/>
        </w:rPr>
      </w:pPr>
      <w:r w:rsidRPr="00B13297">
        <w:rPr>
          <w:rFonts w:ascii="Arial" w:hAnsi="Arial" w:cs="Arial"/>
        </w:rPr>
        <w:t>Project Officers:</w:t>
      </w:r>
      <w:r w:rsidR="00164249">
        <w:rPr>
          <w:rFonts w:ascii="Arial" w:hAnsi="Arial" w:cs="Arial"/>
        </w:rPr>
        <w:t xml:space="preserve"> </w:t>
      </w:r>
      <w:r w:rsidR="00FD1E63">
        <w:rPr>
          <w:rFonts w:ascii="Arial" w:hAnsi="Arial" w:cs="Arial"/>
        </w:rPr>
        <w:t>Amelia Popham and Marie Lawrence</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3C0085DF">
      <w:pPr>
        <w:spacing w:after="60" w:line="240" w:lineRule="auto"/>
        <w:rPr>
          <w:i/>
        </w:rPr>
      </w:pPr>
      <w:r w:rsidRPr="67DBE16E">
        <w:rPr>
          <w:i/>
          <w:iCs/>
        </w:rPr>
        <w:t>Study Objectives</w:t>
      </w:r>
    </w:p>
    <w:p w:rsidR="0072072F" w:rsidP="00F81C63" w14:paraId="0FD58348" w14:textId="74E86F0E">
      <w:pPr>
        <w:spacing w:after="0" w:line="240" w:lineRule="auto"/>
        <w:rPr>
          <w:rFonts w:ascii="Calibri" w:eastAsia="Calibri" w:hAnsi="Calibri" w:cs="Calibri"/>
        </w:rPr>
      </w:pPr>
      <w:r w:rsidRPr="67DBE16E">
        <w:rPr>
          <w:rFonts w:ascii="Calibri" w:eastAsia="Calibri" w:hAnsi="Calibri" w:cs="Calibri"/>
        </w:rPr>
        <w:t xml:space="preserve">The Administration for Children and Families (ACF), sponsors research, evaluation, and other activities designed to build knowledge about how Temporary Assistance for Needy Families (TANF) and other human services programs can best support the economic well-being of children and families with low incomes. In recent years, </w:t>
      </w:r>
      <w:r w:rsidR="00866498">
        <w:rPr>
          <w:rFonts w:ascii="Calibri" w:eastAsia="Calibri" w:hAnsi="Calibri" w:cs="Calibri"/>
        </w:rPr>
        <w:t>ACF</w:t>
      </w:r>
      <w:r w:rsidRPr="67DBE16E">
        <w:rPr>
          <w:rFonts w:ascii="Calibri" w:eastAsia="Calibri" w:hAnsi="Calibri" w:cs="Calibri"/>
        </w:rPr>
        <w:t xml:space="preserve"> has been considering how it can more intentionally encourage use of the research it sponsors. </w:t>
      </w:r>
    </w:p>
    <w:p w:rsidR="00F81C63" w:rsidP="00F81C63" w14:paraId="174E8978" w14:textId="77777777">
      <w:pPr>
        <w:spacing w:after="0" w:line="240" w:lineRule="auto"/>
      </w:pPr>
    </w:p>
    <w:p w:rsidR="00E21BD3" w:rsidP="00F81C63" w14:paraId="1346B4E4" w14:textId="5F410CB8">
      <w:pPr>
        <w:tabs>
          <w:tab w:val="left" w:pos="0"/>
          <w:tab w:val="left" w:pos="180"/>
        </w:tabs>
        <w:spacing w:after="0"/>
        <w:rPr>
          <w:rFonts w:ascii="Calibri" w:eastAsia="Calibri" w:hAnsi="Calibri" w:cs="Calibri"/>
        </w:rPr>
      </w:pPr>
      <w:r>
        <w:rPr>
          <w:rFonts w:ascii="Calibri" w:eastAsia="Calibri" w:hAnsi="Calibri" w:cs="Calibri"/>
        </w:rPr>
        <w:t>Th</w:t>
      </w:r>
      <w:r w:rsidR="00E02E93">
        <w:rPr>
          <w:rFonts w:ascii="Calibri" w:eastAsia="Calibri" w:hAnsi="Calibri" w:cs="Calibri"/>
        </w:rPr>
        <w:t>e purpose of this information collection is to conduct</w:t>
      </w:r>
      <w:r w:rsidR="00992583">
        <w:rPr>
          <w:rFonts w:ascii="Calibri" w:eastAsia="Calibri" w:hAnsi="Calibri" w:cs="Calibri"/>
        </w:rPr>
        <w:t xml:space="preserve"> semi-structured</w:t>
      </w:r>
      <w:r w:rsidR="00E02E93">
        <w:rPr>
          <w:rFonts w:ascii="Calibri" w:eastAsia="Calibri" w:hAnsi="Calibri" w:cs="Calibri"/>
        </w:rPr>
        <w:t xml:space="preserve"> focus groups and a web-based survey with intended users of </w:t>
      </w:r>
      <w:r w:rsidR="00866498">
        <w:rPr>
          <w:rFonts w:ascii="Calibri" w:eastAsia="Calibri" w:hAnsi="Calibri" w:cs="Calibri"/>
        </w:rPr>
        <w:t>ACF</w:t>
      </w:r>
      <w:r w:rsidR="00A80961">
        <w:rPr>
          <w:rFonts w:ascii="Calibri" w:eastAsia="Calibri" w:hAnsi="Calibri" w:cs="Calibri"/>
        </w:rPr>
        <w:t>-sponsored</w:t>
      </w:r>
      <w:r w:rsidR="00866498">
        <w:rPr>
          <w:rFonts w:ascii="Calibri" w:eastAsia="Calibri" w:hAnsi="Calibri" w:cs="Calibri"/>
        </w:rPr>
        <w:t xml:space="preserve"> </w:t>
      </w:r>
      <w:r w:rsidR="00DF0AE1">
        <w:rPr>
          <w:rFonts w:ascii="Calibri" w:eastAsia="Calibri" w:hAnsi="Calibri" w:cs="Calibri"/>
        </w:rPr>
        <w:t>welfare and family self-sufficiency</w:t>
      </w:r>
      <w:r w:rsidRPr="003C3B91" w:rsidR="00DF0AE1">
        <w:rPr>
          <w:rFonts w:ascii="Calibri" w:eastAsia="Calibri" w:hAnsi="Calibri" w:cs="Calibri"/>
        </w:rPr>
        <w:t xml:space="preserve"> </w:t>
      </w:r>
      <w:r>
        <w:rPr>
          <w:rFonts w:ascii="Calibri" w:eastAsia="Calibri" w:hAnsi="Calibri" w:cs="Calibri"/>
        </w:rPr>
        <w:t xml:space="preserve">research. The results of this </w:t>
      </w:r>
      <w:r w:rsidR="003C3B91">
        <w:rPr>
          <w:rFonts w:ascii="Calibri" w:eastAsia="Calibri" w:hAnsi="Calibri" w:cs="Calibri"/>
        </w:rPr>
        <w:t xml:space="preserve">data collection will be used to </w:t>
      </w:r>
      <w:r w:rsidRPr="003C3B91" w:rsidR="003C3B91">
        <w:rPr>
          <w:rFonts w:ascii="Calibri" w:eastAsia="Calibri" w:hAnsi="Calibri" w:cs="Calibri"/>
        </w:rPr>
        <w:t xml:space="preserve">inform the development of strategies to support increased use of </w:t>
      </w:r>
      <w:r w:rsidR="00866498">
        <w:rPr>
          <w:rFonts w:ascii="Calibri" w:eastAsia="Calibri" w:hAnsi="Calibri" w:cs="Calibri"/>
        </w:rPr>
        <w:t>ACF</w:t>
      </w:r>
      <w:r w:rsidR="00A80961">
        <w:rPr>
          <w:rFonts w:ascii="Calibri" w:eastAsia="Calibri" w:hAnsi="Calibri" w:cs="Calibri"/>
        </w:rPr>
        <w:t xml:space="preserve">-sponsored </w:t>
      </w:r>
      <w:r w:rsidR="005E76A4">
        <w:rPr>
          <w:rFonts w:ascii="Calibri" w:eastAsia="Calibri" w:hAnsi="Calibri" w:cs="Calibri"/>
        </w:rPr>
        <w:t>welfare and</w:t>
      </w:r>
      <w:r w:rsidR="00A80961">
        <w:rPr>
          <w:rFonts w:ascii="Calibri" w:eastAsia="Calibri" w:hAnsi="Calibri" w:cs="Calibri"/>
        </w:rPr>
        <w:t xml:space="preserve"> family self-sufficiency</w:t>
      </w:r>
      <w:r w:rsidRPr="003C3B91" w:rsidR="00866498">
        <w:rPr>
          <w:rFonts w:ascii="Calibri" w:eastAsia="Calibri" w:hAnsi="Calibri" w:cs="Calibri"/>
        </w:rPr>
        <w:t xml:space="preserve"> </w:t>
      </w:r>
      <w:r w:rsidRPr="003C3B91" w:rsidR="003C3B91">
        <w:rPr>
          <w:rFonts w:ascii="Calibri" w:eastAsia="Calibri" w:hAnsi="Calibri" w:cs="Calibri"/>
        </w:rPr>
        <w:t>research</w:t>
      </w:r>
      <w:r w:rsidR="003C3B91">
        <w:rPr>
          <w:rFonts w:ascii="Calibri" w:eastAsia="Calibri" w:hAnsi="Calibri" w:cs="Calibri"/>
        </w:rPr>
        <w:t>.</w:t>
      </w:r>
    </w:p>
    <w:p w:rsidR="00F81C63" w:rsidP="00F81C63" w14:paraId="03A43534" w14:textId="77777777">
      <w:pPr>
        <w:tabs>
          <w:tab w:val="left" w:pos="0"/>
          <w:tab w:val="left" w:pos="180"/>
        </w:tabs>
        <w:spacing w:after="0"/>
        <w:rPr>
          <w:rFonts w:ascii="Calibri" w:eastAsia="Calibri" w:hAnsi="Calibri" w:cs="Calibri"/>
        </w:rPr>
      </w:pPr>
    </w:p>
    <w:p w:rsidR="0072072F" w:rsidP="00F81C63" w14:paraId="2DA1CA5E" w14:textId="7CC1E19E">
      <w:pPr>
        <w:tabs>
          <w:tab w:val="left" w:pos="0"/>
          <w:tab w:val="left" w:pos="180"/>
        </w:tabs>
        <w:spacing w:after="0"/>
        <w:rPr>
          <w:rFonts w:ascii="Calibri" w:eastAsia="Calibri" w:hAnsi="Calibri" w:cs="Calibri"/>
        </w:rPr>
      </w:pPr>
      <w:r w:rsidRPr="67DBE16E">
        <w:rPr>
          <w:rFonts w:ascii="Calibri" w:eastAsia="Calibri" w:hAnsi="Calibri" w:cs="Calibri"/>
        </w:rPr>
        <w:t>This effort is part of the Family Self-Sufficiency Learning, Engagement, and Research Knowledge Sharing Support (LEARN) project to improve understanding of the information needs of intended users of research and</w:t>
      </w:r>
      <w:r w:rsidR="001D3B3E">
        <w:rPr>
          <w:rFonts w:ascii="Calibri" w:eastAsia="Calibri" w:hAnsi="Calibri" w:cs="Calibri"/>
        </w:rPr>
        <w:t xml:space="preserve"> </w:t>
      </w:r>
      <w:r w:rsidR="0044770F">
        <w:rPr>
          <w:rFonts w:ascii="Calibri" w:eastAsia="Calibri" w:hAnsi="Calibri" w:cs="Calibri"/>
        </w:rPr>
        <w:t>identify</w:t>
      </w:r>
      <w:r w:rsidRPr="67DBE16E">
        <w:rPr>
          <w:rFonts w:ascii="Calibri" w:eastAsia="Calibri" w:hAnsi="Calibri" w:cs="Calibri"/>
        </w:rPr>
        <w:t xml:space="preserve"> strategies to facilitate research use among intended user groups. </w:t>
      </w:r>
    </w:p>
    <w:p w:rsidR="00F81C63" w:rsidP="00F81C63" w14:paraId="1F719DC3" w14:textId="77777777">
      <w:pPr>
        <w:tabs>
          <w:tab w:val="left" w:pos="0"/>
          <w:tab w:val="left" w:pos="180"/>
        </w:tabs>
        <w:spacing w:after="0"/>
      </w:pPr>
    </w:p>
    <w:p w:rsidR="0072072F" w:rsidP="67DBE16E" w14:paraId="6EAD90E1" w14:textId="0D038A1E">
      <w:pPr>
        <w:autoSpaceDE w:val="0"/>
        <w:autoSpaceDN w:val="0"/>
        <w:adjustRightInd w:val="0"/>
        <w:spacing w:after="60" w:line="240" w:lineRule="auto"/>
      </w:pPr>
      <w:r w:rsidRPr="67DBE16E">
        <w:rPr>
          <w:i/>
          <w:iCs/>
        </w:rPr>
        <w:t xml:space="preserve">Generalizability of Results </w:t>
      </w:r>
    </w:p>
    <w:p w:rsidR="00BB2925" w:rsidP="67DBE16E" w14:paraId="5B7D8E80" w14:textId="3F817414">
      <w:pPr>
        <w:autoSpaceDE w:val="0"/>
        <w:autoSpaceDN w:val="0"/>
        <w:adjustRightInd w:val="0"/>
        <w:spacing w:after="0" w:line="240" w:lineRule="atLeast"/>
        <w:rPr>
          <w:rFonts w:eastAsia="Times New Roman"/>
          <w:color w:val="000000"/>
        </w:rPr>
      </w:pPr>
      <w:r w:rsidRPr="67DBE16E">
        <w:rPr>
          <w:rFonts w:eastAsia="Times New Roman"/>
          <w:color w:val="000000" w:themeColor="text1"/>
        </w:rPr>
        <w:t xml:space="preserve">This study is intended to present internally-valid description of </w:t>
      </w:r>
      <w:r w:rsidR="009F6E30">
        <w:rPr>
          <w:rFonts w:eastAsia="Times New Roman"/>
          <w:color w:val="000000" w:themeColor="text1"/>
        </w:rPr>
        <w:t>the experiences of</w:t>
      </w:r>
      <w:r w:rsidR="00291F82">
        <w:rPr>
          <w:rFonts w:eastAsia="Times New Roman"/>
          <w:color w:val="000000" w:themeColor="text1"/>
        </w:rPr>
        <w:t xml:space="preserve"> specific users or potential users</w:t>
      </w:r>
      <w:r w:rsidR="00480B67">
        <w:rPr>
          <w:rFonts w:eastAsia="Times New Roman"/>
          <w:color w:val="000000" w:themeColor="text1"/>
        </w:rPr>
        <w:t xml:space="preserve"> of ACF-sponsored </w:t>
      </w:r>
      <w:r w:rsidR="00F0765E">
        <w:rPr>
          <w:rFonts w:eastAsia="Times New Roman"/>
          <w:color w:val="000000" w:themeColor="text1"/>
        </w:rPr>
        <w:t xml:space="preserve">welfare and </w:t>
      </w:r>
      <w:r w:rsidR="00480B67">
        <w:rPr>
          <w:rFonts w:eastAsia="Times New Roman"/>
          <w:color w:val="000000" w:themeColor="text1"/>
        </w:rPr>
        <w:t>family self-sufficiency research</w:t>
      </w:r>
      <w:r w:rsidRPr="67DBE16E">
        <w:rPr>
          <w:rFonts w:eastAsia="Times New Roman"/>
          <w:color w:val="000000" w:themeColor="text1"/>
        </w:rPr>
        <w:t xml:space="preserve">, not to promote statistical generalization to other </w:t>
      </w:r>
      <w:r w:rsidR="00371C7A">
        <w:rPr>
          <w:rFonts w:eastAsia="Times New Roman"/>
          <w:color w:val="000000" w:themeColor="text1"/>
        </w:rPr>
        <w:t>populations</w:t>
      </w:r>
      <w:r w:rsidRPr="67DBE16E">
        <w:rPr>
          <w:rFonts w:eastAsia="Times New Roman"/>
          <w:color w:val="000000" w:themeColor="text1"/>
        </w:rPr>
        <w:t>.</w:t>
      </w:r>
    </w:p>
    <w:p w:rsidR="00BB2925" w:rsidP="0072072F" w14:paraId="39A69560" w14:textId="77777777">
      <w:pPr>
        <w:autoSpaceDE w:val="0"/>
        <w:autoSpaceDN w:val="0"/>
        <w:adjustRightInd w:val="0"/>
        <w:spacing w:after="0" w:line="240" w:lineRule="atLeast"/>
        <w:rPr>
          <w:rFonts w:eastAsia="Times New Roman" w:cstheme="minorHAnsi"/>
          <w:color w:val="000000"/>
        </w:rPr>
      </w:pPr>
    </w:p>
    <w:p w:rsidR="008F68CD" w:rsidP="008F68CD" w14:paraId="4886D460" w14:textId="77777777">
      <w:pPr>
        <w:autoSpaceDE w:val="0"/>
        <w:autoSpaceDN w:val="0"/>
        <w:adjustRightInd w:val="0"/>
        <w:spacing w:after="60" w:line="240" w:lineRule="atLeast"/>
        <w:rPr>
          <w:rFonts w:eastAsia="Times New Roman" w:cstheme="minorHAnsi"/>
          <w:color w:val="000000"/>
        </w:rPr>
      </w:pPr>
      <w:r w:rsidRPr="67DBE16E">
        <w:rPr>
          <w:rFonts w:eastAsia="Times New Roman"/>
          <w:i/>
          <w:iCs/>
          <w:color w:val="000000" w:themeColor="text1"/>
        </w:rPr>
        <w:t xml:space="preserve">Appropriateness of Study Design and Methods for Planned Uses </w:t>
      </w:r>
    </w:p>
    <w:p w:rsidR="00D43E1D" w:rsidP="00F81C63" w14:paraId="6C4B46E0" w14:textId="45E35FE3">
      <w:pPr>
        <w:autoSpaceDE w:val="0"/>
        <w:autoSpaceDN w:val="0"/>
        <w:adjustRightInd w:val="0"/>
        <w:spacing w:after="0" w:line="240" w:lineRule="atLeast"/>
        <w:rPr>
          <w:rFonts w:eastAsia="Times New Roman"/>
        </w:rPr>
      </w:pPr>
      <w:r>
        <w:rPr>
          <w:rFonts w:ascii="Calibri" w:eastAsia="Calibri" w:hAnsi="Calibri" w:cs="Calibri"/>
          <w:color w:val="000000" w:themeColor="text1"/>
        </w:rPr>
        <w:t>Conducting qualitative, semi-s</w:t>
      </w:r>
      <w:r w:rsidR="00BA58AC">
        <w:rPr>
          <w:rFonts w:ascii="Calibri" w:eastAsia="Calibri" w:hAnsi="Calibri" w:cs="Calibri"/>
          <w:color w:val="000000" w:themeColor="text1"/>
        </w:rPr>
        <w:t>tr</w:t>
      </w:r>
      <w:r>
        <w:rPr>
          <w:rFonts w:ascii="Calibri" w:eastAsia="Calibri" w:hAnsi="Calibri" w:cs="Calibri"/>
          <w:color w:val="000000" w:themeColor="text1"/>
        </w:rPr>
        <w:t xml:space="preserve">uctured focus groups with </w:t>
      </w:r>
      <w:r w:rsidR="006173D1">
        <w:rPr>
          <w:rFonts w:ascii="Calibri" w:eastAsia="Calibri" w:hAnsi="Calibri" w:cs="Calibri"/>
          <w:color w:val="000000" w:themeColor="text1"/>
        </w:rPr>
        <w:t xml:space="preserve">intended users of </w:t>
      </w:r>
      <w:r w:rsidR="00480B67">
        <w:rPr>
          <w:rFonts w:ascii="Calibri" w:eastAsia="Calibri" w:hAnsi="Calibri" w:cs="Calibri"/>
          <w:color w:val="000000" w:themeColor="text1"/>
        </w:rPr>
        <w:t xml:space="preserve">ACF-sponsored </w:t>
      </w:r>
      <w:r w:rsidR="00F0765E">
        <w:rPr>
          <w:rFonts w:ascii="Calibri" w:eastAsia="Calibri" w:hAnsi="Calibri" w:cs="Calibri"/>
        </w:rPr>
        <w:t>welfare and family self-sufficiency</w:t>
      </w:r>
      <w:r w:rsidRPr="003C3B91" w:rsidR="00F0765E">
        <w:rPr>
          <w:rFonts w:ascii="Calibri" w:eastAsia="Calibri" w:hAnsi="Calibri" w:cs="Calibri"/>
        </w:rPr>
        <w:t xml:space="preserve"> </w:t>
      </w:r>
      <w:r w:rsidR="006173D1">
        <w:rPr>
          <w:rFonts w:ascii="Calibri" w:eastAsia="Calibri" w:hAnsi="Calibri" w:cs="Calibri"/>
          <w:color w:val="000000" w:themeColor="text1"/>
        </w:rPr>
        <w:t xml:space="preserve">research </w:t>
      </w:r>
      <w:r w:rsidR="00F46DAE">
        <w:rPr>
          <w:rFonts w:ascii="Calibri" w:eastAsia="Calibri" w:hAnsi="Calibri" w:cs="Calibri"/>
          <w:color w:val="000000" w:themeColor="text1"/>
        </w:rPr>
        <w:t xml:space="preserve">will provide </w:t>
      </w:r>
      <w:r w:rsidR="009D6273">
        <w:rPr>
          <w:rFonts w:ascii="Calibri" w:eastAsia="Calibri" w:hAnsi="Calibri" w:cs="Calibri"/>
          <w:color w:val="000000" w:themeColor="text1"/>
        </w:rPr>
        <w:t>detailed, nuanced information on</w:t>
      </w:r>
      <w:r w:rsidR="005713C9">
        <w:rPr>
          <w:rFonts w:ascii="Calibri" w:eastAsia="Calibri" w:hAnsi="Calibri" w:cs="Calibri"/>
          <w:color w:val="000000" w:themeColor="text1"/>
        </w:rPr>
        <w:t xml:space="preserve"> their</w:t>
      </w:r>
      <w:r w:rsidR="00BA58AC">
        <w:rPr>
          <w:rFonts w:ascii="Calibri" w:eastAsia="Calibri" w:hAnsi="Calibri" w:cs="Calibri"/>
          <w:color w:val="000000" w:themeColor="text1"/>
        </w:rPr>
        <w:t xml:space="preserve"> information needs, research use processes, and barriers and facilitators to researc</w:t>
      </w:r>
      <w:r w:rsidR="005713C9">
        <w:rPr>
          <w:rFonts w:ascii="Calibri" w:eastAsia="Calibri" w:hAnsi="Calibri" w:cs="Calibri"/>
          <w:color w:val="000000" w:themeColor="text1"/>
        </w:rPr>
        <w:t>h use</w:t>
      </w:r>
      <w:r w:rsidR="00C965C7">
        <w:rPr>
          <w:rFonts w:ascii="Calibri" w:eastAsia="Calibri" w:hAnsi="Calibri" w:cs="Calibri"/>
          <w:color w:val="000000" w:themeColor="text1"/>
        </w:rPr>
        <w:t xml:space="preserve">. </w:t>
      </w:r>
      <w:r w:rsidR="005713C9">
        <w:rPr>
          <w:rFonts w:ascii="Calibri" w:eastAsia="Calibri" w:hAnsi="Calibri" w:cs="Calibri"/>
          <w:color w:val="000000" w:themeColor="text1"/>
        </w:rPr>
        <w:t>F</w:t>
      </w:r>
      <w:r w:rsidR="006173D1">
        <w:rPr>
          <w:rFonts w:ascii="Calibri" w:eastAsia="Calibri" w:hAnsi="Calibri" w:cs="Calibri"/>
          <w:color w:val="000000" w:themeColor="text1"/>
        </w:rPr>
        <w:t xml:space="preserve">ielding a web-based survey </w:t>
      </w:r>
      <w:r w:rsidR="005713C9">
        <w:rPr>
          <w:rFonts w:ascii="Calibri" w:eastAsia="Calibri" w:hAnsi="Calibri" w:cs="Calibri"/>
          <w:color w:val="000000" w:themeColor="text1"/>
        </w:rPr>
        <w:t xml:space="preserve">will collect complementary, </w:t>
      </w:r>
      <w:r w:rsidR="00C965C7">
        <w:rPr>
          <w:rFonts w:ascii="Calibri" w:eastAsia="Calibri" w:hAnsi="Calibri" w:cs="Calibri"/>
          <w:color w:val="000000" w:themeColor="text1"/>
        </w:rPr>
        <w:t xml:space="preserve">standardized </w:t>
      </w:r>
      <w:r w:rsidR="005713C9">
        <w:rPr>
          <w:rFonts w:ascii="Calibri" w:eastAsia="Calibri" w:hAnsi="Calibri" w:cs="Calibri"/>
          <w:color w:val="000000" w:themeColor="text1"/>
        </w:rPr>
        <w:t>data</w:t>
      </w:r>
      <w:r w:rsidR="00C965C7">
        <w:rPr>
          <w:rFonts w:ascii="Calibri" w:eastAsia="Calibri" w:hAnsi="Calibri" w:cs="Calibri"/>
          <w:color w:val="000000" w:themeColor="text1"/>
        </w:rPr>
        <w:t xml:space="preserve"> on </w:t>
      </w:r>
      <w:r w:rsidR="00053993">
        <w:rPr>
          <w:rFonts w:ascii="Calibri" w:eastAsia="Calibri" w:hAnsi="Calibri" w:cs="Calibri"/>
          <w:color w:val="000000" w:themeColor="text1"/>
        </w:rPr>
        <w:t xml:space="preserve">information priorities, </w:t>
      </w:r>
      <w:r w:rsidR="005713C9">
        <w:rPr>
          <w:rFonts w:ascii="Calibri" w:eastAsia="Calibri" w:hAnsi="Calibri" w:cs="Calibri"/>
          <w:color w:val="000000" w:themeColor="text1"/>
        </w:rPr>
        <w:t xml:space="preserve">prevalence of specific types of </w:t>
      </w:r>
      <w:r w:rsidR="00696D0B">
        <w:rPr>
          <w:rFonts w:ascii="Calibri" w:eastAsia="Calibri" w:hAnsi="Calibri" w:cs="Calibri"/>
          <w:color w:val="000000" w:themeColor="text1"/>
        </w:rPr>
        <w:t xml:space="preserve">research use, and experience of specific barriers and facilitators to research use from a larger group of intended research users. </w:t>
      </w:r>
      <w:r w:rsidR="006E637F">
        <w:rPr>
          <w:rFonts w:ascii="Calibri" w:eastAsia="Calibri" w:hAnsi="Calibri" w:cs="Calibri"/>
          <w:color w:val="000000" w:themeColor="text1"/>
        </w:rPr>
        <w:t>Together, th</w:t>
      </w:r>
      <w:r w:rsidR="007D650B">
        <w:rPr>
          <w:rFonts w:ascii="Calibri" w:eastAsia="Calibri" w:hAnsi="Calibri" w:cs="Calibri"/>
          <w:color w:val="000000" w:themeColor="text1"/>
        </w:rPr>
        <w:t>ese</w:t>
      </w:r>
      <w:r w:rsidR="00CF1932">
        <w:rPr>
          <w:rFonts w:ascii="Calibri" w:eastAsia="Calibri" w:hAnsi="Calibri" w:cs="Calibri"/>
          <w:color w:val="000000" w:themeColor="text1"/>
        </w:rPr>
        <w:t xml:space="preserve"> data collection activities will </w:t>
      </w:r>
      <w:r w:rsidR="000B4899">
        <w:rPr>
          <w:rFonts w:ascii="Calibri" w:eastAsia="Calibri" w:hAnsi="Calibri" w:cs="Calibri"/>
          <w:color w:val="000000" w:themeColor="text1"/>
        </w:rPr>
        <w:t>provide</w:t>
      </w:r>
      <w:r w:rsidR="00CF1932">
        <w:rPr>
          <w:rFonts w:ascii="Calibri" w:eastAsia="Calibri" w:hAnsi="Calibri" w:cs="Calibri"/>
          <w:color w:val="000000" w:themeColor="text1"/>
        </w:rPr>
        <w:t xml:space="preserve"> depth and </w:t>
      </w:r>
      <w:r w:rsidR="007D650B">
        <w:rPr>
          <w:rFonts w:ascii="Calibri" w:eastAsia="Calibri" w:hAnsi="Calibri" w:cs="Calibri"/>
          <w:color w:val="000000" w:themeColor="text1"/>
        </w:rPr>
        <w:t>breadth</w:t>
      </w:r>
      <w:r w:rsidR="00CF1932">
        <w:rPr>
          <w:rFonts w:ascii="Calibri" w:eastAsia="Calibri" w:hAnsi="Calibri" w:cs="Calibri"/>
          <w:color w:val="000000" w:themeColor="text1"/>
        </w:rPr>
        <w:t xml:space="preserve"> of information</w:t>
      </w:r>
      <w:r w:rsidR="00B025D8">
        <w:rPr>
          <w:rFonts w:ascii="Calibri" w:eastAsia="Calibri" w:hAnsi="Calibri" w:cs="Calibri"/>
          <w:color w:val="000000" w:themeColor="text1"/>
        </w:rPr>
        <w:t xml:space="preserve"> on those</w:t>
      </w:r>
      <w:r w:rsidR="00CF1932">
        <w:rPr>
          <w:rFonts w:ascii="Calibri" w:eastAsia="Calibri" w:hAnsi="Calibri" w:cs="Calibri"/>
          <w:color w:val="000000" w:themeColor="text1"/>
        </w:rPr>
        <w:t xml:space="preserve"> </w:t>
      </w:r>
      <w:r w:rsidRPr="67DBE16E" w:rsidR="1AA594C2">
        <w:rPr>
          <w:rFonts w:ascii="Calibri" w:eastAsia="Calibri" w:hAnsi="Calibri" w:cs="Calibri"/>
          <w:color w:val="000000" w:themeColor="text1"/>
        </w:rPr>
        <w:t xml:space="preserve">affected by, experienced in, interested in, or potentially interested in using </w:t>
      </w:r>
      <w:r w:rsidR="00480B67">
        <w:rPr>
          <w:rFonts w:ascii="Calibri" w:eastAsia="Calibri" w:hAnsi="Calibri" w:cs="Calibri"/>
          <w:color w:val="000000" w:themeColor="text1"/>
        </w:rPr>
        <w:t xml:space="preserve">ACF-sponsored </w:t>
      </w:r>
      <w:r w:rsidR="00F0765E">
        <w:rPr>
          <w:rFonts w:ascii="Calibri" w:eastAsia="Calibri" w:hAnsi="Calibri" w:cs="Calibri"/>
        </w:rPr>
        <w:t>welfare and family self-sufficiency</w:t>
      </w:r>
      <w:r w:rsidRPr="003C3B91" w:rsidR="00F0765E">
        <w:rPr>
          <w:rFonts w:ascii="Calibri" w:eastAsia="Calibri" w:hAnsi="Calibri" w:cs="Calibri"/>
        </w:rPr>
        <w:t xml:space="preserve"> </w:t>
      </w:r>
      <w:r w:rsidRPr="67DBE16E" w:rsidR="1AA594C2">
        <w:rPr>
          <w:rFonts w:ascii="Calibri" w:eastAsia="Calibri" w:hAnsi="Calibri" w:cs="Calibri"/>
          <w:color w:val="000000" w:themeColor="text1"/>
        </w:rPr>
        <w:t>research</w:t>
      </w:r>
      <w:r w:rsidR="00053E18">
        <w:rPr>
          <w:rFonts w:ascii="Calibri" w:eastAsia="Calibri" w:hAnsi="Calibri" w:cs="Calibri"/>
          <w:color w:val="000000" w:themeColor="text1"/>
        </w:rPr>
        <w:t xml:space="preserve">. </w:t>
      </w:r>
      <w:r>
        <w:rPr>
          <w:rFonts w:eastAsia="Times New Roman"/>
        </w:rPr>
        <w:t xml:space="preserve">The </w:t>
      </w:r>
      <w:r w:rsidRPr="00CC1699">
        <w:rPr>
          <w:rFonts w:eastAsia="Times New Roman"/>
        </w:rPr>
        <w:t xml:space="preserve">intent is to gather information </w:t>
      </w:r>
      <w:r>
        <w:rPr>
          <w:rFonts w:eastAsia="Times New Roman"/>
        </w:rPr>
        <w:t xml:space="preserve">from a variety of research users in order to inform future activities. </w:t>
      </w:r>
    </w:p>
    <w:p w:rsidR="00F81C63" w:rsidRPr="008F68CD" w:rsidP="00F81C63" w14:paraId="67450CEA" w14:textId="77777777">
      <w:pPr>
        <w:autoSpaceDE w:val="0"/>
        <w:autoSpaceDN w:val="0"/>
        <w:adjustRightInd w:val="0"/>
        <w:spacing w:after="0" w:line="240" w:lineRule="atLeast"/>
        <w:rPr>
          <w:rFonts w:eastAsia="Times New Roman" w:cstheme="minorHAnsi"/>
          <w:color w:val="000000"/>
        </w:rPr>
      </w:pPr>
    </w:p>
    <w:p w:rsidR="005C7E12" w:rsidRPr="005C7E12" w:rsidP="00F81C63" w14:paraId="1FED7610" w14:textId="4EA5A930">
      <w:pPr>
        <w:tabs>
          <w:tab w:val="left" w:pos="0"/>
          <w:tab w:val="left" w:pos="180"/>
        </w:tabs>
        <w:spacing w:after="0" w:line="264" w:lineRule="auto"/>
      </w:pPr>
      <w:r w:rsidRPr="67DBE16E">
        <w:rPr>
          <w:rFonts w:ascii="Calibri" w:eastAsia="Calibri" w:hAnsi="Calibri" w:cs="Calibri"/>
        </w:rPr>
        <w:t>The gathered information will be used to:</w:t>
      </w:r>
    </w:p>
    <w:p w:rsidR="005C7E12" w:rsidRPr="005C7E12" w:rsidP="67DBE16E" w14:paraId="5F904D0A" w14:textId="0C156F3C">
      <w:pPr>
        <w:pStyle w:val="ListParagraph"/>
        <w:numPr>
          <w:ilvl w:val="0"/>
          <w:numId w:val="2"/>
        </w:numPr>
        <w:spacing w:after="0"/>
        <w:rPr>
          <w:rFonts w:ascii="Calibri" w:eastAsia="Calibri" w:hAnsi="Calibri" w:cs="Calibri"/>
        </w:rPr>
      </w:pPr>
      <w:r w:rsidRPr="67DBE16E">
        <w:rPr>
          <w:rFonts w:ascii="Calibri" w:eastAsia="Calibri" w:hAnsi="Calibri" w:cs="Calibri"/>
        </w:rPr>
        <w:t xml:space="preserve">understand user groups' information needs </w:t>
      </w:r>
    </w:p>
    <w:p w:rsidR="005C7E12" w:rsidRPr="005C7E12" w:rsidP="67DBE16E" w14:paraId="31E21BC4" w14:textId="4925B8B3">
      <w:pPr>
        <w:pStyle w:val="ListParagraph"/>
        <w:numPr>
          <w:ilvl w:val="0"/>
          <w:numId w:val="2"/>
        </w:numPr>
        <w:spacing w:after="0"/>
        <w:rPr>
          <w:rFonts w:ascii="Calibri" w:eastAsia="Calibri" w:hAnsi="Calibri" w:cs="Calibri"/>
        </w:rPr>
      </w:pPr>
      <w:r w:rsidRPr="67DBE16E">
        <w:rPr>
          <w:rFonts w:ascii="Calibri" w:eastAsia="Calibri" w:hAnsi="Calibri" w:cs="Calibri"/>
        </w:rPr>
        <w:t xml:space="preserve">understand when, why, and how these groups are aware of, interact with, and use or do not use </w:t>
      </w:r>
      <w:r w:rsidR="00480B67">
        <w:rPr>
          <w:rFonts w:ascii="Calibri" w:eastAsia="Calibri" w:hAnsi="Calibri" w:cs="Calibri"/>
        </w:rPr>
        <w:t>ACF-sponsored</w:t>
      </w:r>
      <w:r w:rsidRPr="67DBE16E" w:rsidR="00480B67">
        <w:rPr>
          <w:rFonts w:ascii="Calibri" w:eastAsia="Calibri" w:hAnsi="Calibri" w:cs="Calibri"/>
        </w:rPr>
        <w:t xml:space="preserve"> </w:t>
      </w:r>
      <w:r w:rsidR="00F0765E">
        <w:rPr>
          <w:rFonts w:ascii="Calibri" w:eastAsia="Calibri" w:hAnsi="Calibri" w:cs="Calibri"/>
        </w:rPr>
        <w:t>welfare and family self-sufficiency</w:t>
      </w:r>
      <w:r w:rsidRPr="003C3B91" w:rsidR="00F0765E">
        <w:rPr>
          <w:rFonts w:ascii="Calibri" w:eastAsia="Calibri" w:hAnsi="Calibri" w:cs="Calibri"/>
        </w:rPr>
        <w:t xml:space="preserve"> </w:t>
      </w:r>
      <w:r w:rsidRPr="67DBE16E">
        <w:rPr>
          <w:rFonts w:ascii="Calibri" w:eastAsia="Calibri" w:hAnsi="Calibri" w:cs="Calibri"/>
        </w:rPr>
        <w:t>research</w:t>
      </w:r>
    </w:p>
    <w:p w:rsidR="005C7E12" w:rsidP="67DBE16E" w14:paraId="5CA34BDA" w14:textId="472B8218">
      <w:pPr>
        <w:pStyle w:val="ListParagraph"/>
        <w:numPr>
          <w:ilvl w:val="0"/>
          <w:numId w:val="2"/>
        </w:numPr>
        <w:spacing w:after="0"/>
        <w:rPr>
          <w:rFonts w:ascii="Calibri" w:eastAsia="Calibri" w:hAnsi="Calibri" w:cs="Calibri"/>
        </w:rPr>
      </w:pPr>
      <w:r w:rsidRPr="67DBE16E">
        <w:rPr>
          <w:rFonts w:ascii="Calibri" w:eastAsia="Calibri" w:hAnsi="Calibri" w:cs="Calibri"/>
        </w:rPr>
        <w:t xml:space="preserve">inform the development of strategies to support increased use of </w:t>
      </w:r>
      <w:r w:rsidR="00480B67">
        <w:rPr>
          <w:rFonts w:ascii="Calibri" w:eastAsia="Calibri" w:hAnsi="Calibri" w:cs="Calibri"/>
        </w:rPr>
        <w:t>ACF-sponsored</w:t>
      </w:r>
      <w:r w:rsidRPr="67DBE16E" w:rsidR="00480B67">
        <w:rPr>
          <w:rFonts w:ascii="Calibri" w:eastAsia="Calibri" w:hAnsi="Calibri" w:cs="Calibri"/>
        </w:rPr>
        <w:t xml:space="preserve"> </w:t>
      </w:r>
      <w:r w:rsidR="00F0765E">
        <w:rPr>
          <w:rFonts w:ascii="Calibri" w:eastAsia="Calibri" w:hAnsi="Calibri" w:cs="Calibri"/>
        </w:rPr>
        <w:t>welfare and family self-sufficiency</w:t>
      </w:r>
      <w:r w:rsidRPr="003C3B91" w:rsidR="00F0765E">
        <w:rPr>
          <w:rFonts w:ascii="Calibri" w:eastAsia="Calibri" w:hAnsi="Calibri" w:cs="Calibri"/>
        </w:rPr>
        <w:t xml:space="preserve"> </w:t>
      </w:r>
      <w:r w:rsidRPr="67DBE16E">
        <w:rPr>
          <w:rFonts w:ascii="Calibri" w:eastAsia="Calibri" w:hAnsi="Calibri" w:cs="Calibri"/>
        </w:rPr>
        <w:t>research</w:t>
      </w:r>
    </w:p>
    <w:p w:rsidR="00F81C63" w:rsidP="00F81C63" w14:paraId="03CA1B5B" w14:textId="77777777">
      <w:pPr>
        <w:pStyle w:val="ListParagraph"/>
        <w:spacing w:after="0"/>
        <w:rPr>
          <w:rFonts w:ascii="Calibri" w:eastAsia="Calibri" w:hAnsi="Calibri" w:cs="Calibri"/>
        </w:rPr>
      </w:pPr>
    </w:p>
    <w:p w:rsidR="00BB2925" w:rsidP="00F81C63" w14:paraId="6F2D573B" w14:textId="0EA520A5">
      <w:pPr>
        <w:spacing w:after="0" w:line="240" w:lineRule="auto"/>
      </w:pPr>
      <w:r w:rsidRPr="67DBE16E">
        <w:rPr>
          <w:rFonts w:eastAsia="Times New Roman"/>
        </w:rPr>
        <w:t>As noted in Supporting Statement A, this information is not intended to be used as the principal basis for public policy decisions and is not expected to meet the threshold of influential or highly influential scientific information. </w:t>
      </w:r>
      <w:r w:rsidR="008320E9">
        <w:t>Findings from this information collection are</w:t>
      </w:r>
      <w:r w:rsidRPr="00027841" w:rsidR="00027841">
        <w:t xml:space="preserve"> not intended to be representative of a broader population. </w:t>
      </w:r>
      <w:r w:rsidR="00015914">
        <w:t>This and other key limitations</w:t>
      </w:r>
      <w:r w:rsidRPr="00027841" w:rsidR="00027841">
        <w:t xml:space="preserve"> will be clearly noted in all products associated with this </w:t>
      </w:r>
      <w:r w:rsidR="003535E2">
        <w:t>information collection</w:t>
      </w:r>
      <w:r w:rsidRPr="00027841" w:rsidR="00027841">
        <w:t xml:space="preserve">. </w:t>
      </w:r>
    </w:p>
    <w:p w:rsidR="00F81C63" w:rsidP="00F81C63" w14:paraId="2F124198" w14:textId="77777777">
      <w:pPr>
        <w:spacing w:after="0" w:line="240" w:lineRule="auto"/>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0D7942" w:rsidP="67DBE16E" w14:paraId="40412C3B" w14:textId="48B6A1ED">
      <w:pPr>
        <w:autoSpaceDE w:val="0"/>
        <w:autoSpaceDN w:val="0"/>
        <w:adjustRightInd w:val="0"/>
        <w:spacing w:after="60" w:line="240" w:lineRule="atLeast"/>
        <w:contextualSpacing/>
        <w:rPr>
          <w:rFonts w:eastAsia="Times New Roman"/>
          <w:color w:val="000000" w:themeColor="text1"/>
        </w:rPr>
      </w:pPr>
      <w:r w:rsidRPr="67DBE16E">
        <w:rPr>
          <w:rFonts w:eastAsia="Times New Roman"/>
          <w:i/>
          <w:iCs/>
          <w:color w:val="000000" w:themeColor="text1"/>
        </w:rPr>
        <w:t xml:space="preserve">Target Population </w:t>
      </w:r>
      <w:r w:rsidRPr="67DBE16E" w:rsidR="005F2951">
        <w:rPr>
          <w:rFonts w:eastAsia="Times New Roman"/>
          <w:color w:val="000000" w:themeColor="text1"/>
        </w:rPr>
        <w:t xml:space="preserve"> </w:t>
      </w:r>
    </w:p>
    <w:p w:rsidR="00F81C63" w:rsidP="67DBE16E" w14:paraId="7C683527" w14:textId="22344F2F">
      <w:pPr>
        <w:autoSpaceDE w:val="0"/>
        <w:autoSpaceDN w:val="0"/>
        <w:adjustRightInd w:val="0"/>
        <w:spacing w:after="60" w:line="240" w:lineRule="atLeast"/>
        <w:contextualSpacing/>
        <w:rPr>
          <w:rFonts w:eastAsia="Times New Roman"/>
          <w:color w:val="000000" w:themeColor="text1"/>
        </w:rPr>
      </w:pPr>
      <w:r>
        <w:rPr>
          <w:rFonts w:eastAsia="Times New Roman"/>
          <w:color w:val="000000" w:themeColor="text1"/>
        </w:rPr>
        <w:t xml:space="preserve">The unit of analysis for focus groups and surveys is the individual respondent and there are </w:t>
      </w:r>
      <w:r>
        <w:rPr>
          <w:rFonts w:ascii="Calibri" w:eastAsia="Calibri" w:hAnsi="Calibri" w:cs="Calibri"/>
          <w:color w:val="000000" w:themeColor="text1"/>
        </w:rPr>
        <w:t>three</w:t>
      </w:r>
      <w:r w:rsidRPr="67DBE16E">
        <w:rPr>
          <w:rFonts w:ascii="Calibri" w:eastAsia="Calibri" w:hAnsi="Calibri" w:cs="Calibri"/>
          <w:color w:val="000000" w:themeColor="text1"/>
        </w:rPr>
        <w:t xml:space="preserve"> target</w:t>
      </w:r>
      <w:r>
        <w:rPr>
          <w:rFonts w:ascii="Calibri" w:eastAsia="Calibri" w:hAnsi="Calibri" w:cs="Calibri"/>
          <w:color w:val="000000" w:themeColor="text1"/>
        </w:rPr>
        <w:t>ed</w:t>
      </w:r>
      <w:r w:rsidRPr="67DBE16E">
        <w:rPr>
          <w:rFonts w:ascii="Calibri" w:eastAsia="Calibri" w:hAnsi="Calibri" w:cs="Calibri"/>
          <w:color w:val="000000" w:themeColor="text1"/>
        </w:rPr>
        <w:t xml:space="preserve"> population </w:t>
      </w:r>
      <w:r>
        <w:rPr>
          <w:rFonts w:ascii="Calibri" w:eastAsia="Calibri" w:hAnsi="Calibri" w:cs="Calibri"/>
          <w:color w:val="000000" w:themeColor="text1"/>
        </w:rPr>
        <w:t xml:space="preserve">groups: </w:t>
      </w:r>
      <w:r w:rsidRPr="67DBE16E">
        <w:rPr>
          <w:rFonts w:ascii="Calibri" w:eastAsia="Calibri" w:hAnsi="Calibri" w:cs="Calibri"/>
        </w:rPr>
        <w:t>researchers</w:t>
      </w:r>
      <w:r>
        <w:rPr>
          <w:rFonts w:ascii="Calibri" w:eastAsia="Calibri" w:hAnsi="Calibri" w:cs="Calibri"/>
        </w:rPr>
        <w:t xml:space="preserve"> and</w:t>
      </w:r>
      <w:r w:rsidRPr="67DBE16E">
        <w:rPr>
          <w:rFonts w:ascii="Calibri" w:eastAsia="Calibri" w:hAnsi="Calibri" w:cs="Calibri"/>
        </w:rPr>
        <w:t xml:space="preserve"> research funders, intermediaries and </w:t>
      </w:r>
      <w:r>
        <w:rPr>
          <w:rFonts w:ascii="Calibri" w:eastAsia="Calibri" w:hAnsi="Calibri" w:cs="Calibri"/>
        </w:rPr>
        <w:t>technical assistance (</w:t>
      </w:r>
      <w:r w:rsidRPr="67DBE16E">
        <w:rPr>
          <w:rFonts w:ascii="Calibri" w:eastAsia="Calibri" w:hAnsi="Calibri" w:cs="Calibri"/>
        </w:rPr>
        <w:t>TA</w:t>
      </w:r>
      <w:r>
        <w:rPr>
          <w:rFonts w:ascii="Calibri" w:eastAsia="Calibri" w:hAnsi="Calibri" w:cs="Calibri"/>
        </w:rPr>
        <w:t>)</w:t>
      </w:r>
      <w:r w:rsidRPr="67DBE16E">
        <w:rPr>
          <w:rFonts w:ascii="Calibri" w:eastAsia="Calibri" w:hAnsi="Calibri" w:cs="Calibri"/>
        </w:rPr>
        <w:t xml:space="preserve"> providers, and TANF </w:t>
      </w:r>
      <w:r>
        <w:rPr>
          <w:rFonts w:ascii="Calibri" w:eastAsia="Calibri" w:hAnsi="Calibri" w:cs="Calibri"/>
        </w:rPr>
        <w:t xml:space="preserve">and related </w:t>
      </w:r>
      <w:r w:rsidRPr="67DBE16E">
        <w:rPr>
          <w:rFonts w:ascii="Calibri" w:eastAsia="Calibri" w:hAnsi="Calibri" w:cs="Calibri"/>
        </w:rPr>
        <w:t>program administrators</w:t>
      </w:r>
      <w:r>
        <w:rPr>
          <w:rFonts w:eastAsia="Times New Roman"/>
          <w:color w:val="000000" w:themeColor="text1"/>
        </w:rPr>
        <w:t>. Respondents will be engaged in the following ways:</w:t>
      </w:r>
    </w:p>
    <w:p w:rsidR="00F85D35" w:rsidP="67DBE16E" w14:paraId="68D6AE1B" w14:textId="477FCE47">
      <w:pPr>
        <w:pStyle w:val="ListParagraph"/>
        <w:numPr>
          <w:ilvl w:val="0"/>
          <w:numId w:val="4"/>
        </w:numPr>
        <w:autoSpaceDE w:val="0"/>
        <w:autoSpaceDN w:val="0"/>
        <w:adjustRightInd w:val="0"/>
        <w:spacing w:after="0" w:line="240" w:lineRule="atLeast"/>
        <w:ind w:left="360"/>
        <w:rPr>
          <w:rFonts w:ascii="Calibri" w:eastAsia="Calibri" w:hAnsi="Calibri" w:cs="Calibri"/>
        </w:rPr>
      </w:pPr>
      <w:r w:rsidRPr="67DBE16E">
        <w:rPr>
          <w:rFonts w:ascii="Calibri" w:eastAsia="Calibri" w:hAnsi="Calibri" w:cs="Calibri"/>
          <w:color w:val="000000" w:themeColor="text1"/>
        </w:rPr>
        <w:t xml:space="preserve">For semi-structured focus groups discussions (Instrument 1), </w:t>
      </w:r>
      <w:r w:rsidR="00F81C63">
        <w:rPr>
          <w:rFonts w:ascii="Calibri" w:eastAsia="Calibri" w:hAnsi="Calibri" w:cs="Calibri"/>
          <w:color w:val="000000" w:themeColor="text1"/>
        </w:rPr>
        <w:t>t</w:t>
      </w:r>
      <w:r w:rsidRPr="67DBE16E" w:rsidR="20049C41">
        <w:rPr>
          <w:rFonts w:ascii="Calibri" w:eastAsia="Calibri" w:hAnsi="Calibri" w:cs="Calibri"/>
        </w:rPr>
        <w:t xml:space="preserve">he </w:t>
      </w:r>
      <w:r w:rsidR="00BC1563">
        <w:rPr>
          <w:rFonts w:ascii="Calibri" w:eastAsia="Calibri" w:hAnsi="Calibri" w:cs="Calibri"/>
        </w:rPr>
        <w:t>Contractor</w:t>
      </w:r>
      <w:r w:rsidRPr="67DBE16E" w:rsidR="20049C41">
        <w:rPr>
          <w:rFonts w:ascii="Calibri" w:eastAsia="Calibri" w:hAnsi="Calibri" w:cs="Calibri"/>
        </w:rPr>
        <w:t xml:space="preserve"> </w:t>
      </w:r>
      <w:r w:rsidR="00A4100D">
        <w:rPr>
          <w:rFonts w:ascii="Calibri" w:eastAsia="Calibri" w:hAnsi="Calibri" w:cs="Calibri"/>
        </w:rPr>
        <w:t>will identify specific</w:t>
      </w:r>
      <w:r w:rsidR="00687CB8">
        <w:rPr>
          <w:rFonts w:ascii="Calibri" w:eastAsia="Calibri" w:hAnsi="Calibri" w:cs="Calibri"/>
        </w:rPr>
        <w:t xml:space="preserve"> focal respondents</w:t>
      </w:r>
      <w:r w:rsidRPr="67DBE16E" w:rsidR="20049C41">
        <w:rPr>
          <w:rFonts w:ascii="Calibri" w:eastAsia="Calibri" w:hAnsi="Calibri" w:cs="Calibri"/>
        </w:rPr>
        <w:t xml:space="preserve"> who can provide information </w:t>
      </w:r>
      <w:r w:rsidR="004E651D">
        <w:rPr>
          <w:rFonts w:ascii="Calibri" w:eastAsia="Calibri" w:hAnsi="Calibri" w:cs="Calibri"/>
        </w:rPr>
        <w:t>relevant to the guiding questions for this data collection</w:t>
      </w:r>
      <w:r w:rsidRPr="67DBE16E" w:rsidR="20049C41">
        <w:rPr>
          <w:rFonts w:ascii="Calibri" w:eastAsia="Calibri" w:hAnsi="Calibri" w:cs="Calibri"/>
        </w:rPr>
        <w:t xml:space="preserve">. </w:t>
      </w:r>
      <w:r w:rsidR="00AC05EA">
        <w:rPr>
          <w:rFonts w:ascii="Calibri" w:eastAsia="Calibri" w:hAnsi="Calibri" w:cs="Calibri"/>
        </w:rPr>
        <w:t xml:space="preserve">To do so, </w:t>
      </w:r>
      <w:r w:rsidR="00480B67">
        <w:rPr>
          <w:rFonts w:ascii="Calibri" w:eastAsia="Calibri" w:hAnsi="Calibri" w:cs="Calibri"/>
        </w:rPr>
        <w:t>ACF</w:t>
      </w:r>
      <w:r w:rsidRPr="009370B1" w:rsidR="00AC05EA">
        <w:rPr>
          <w:rFonts w:ascii="Segoe UI" w:eastAsia="Segoe UI" w:hAnsi="Segoe UI" w:cs="Segoe UI"/>
          <w:sz w:val="20"/>
          <w:szCs w:val="20"/>
        </w:rPr>
        <w:t xml:space="preserve"> will work with the </w:t>
      </w:r>
      <w:r w:rsidR="00AC05EA">
        <w:rPr>
          <w:rFonts w:ascii="Segoe UI" w:eastAsia="Segoe UI" w:hAnsi="Segoe UI" w:cs="Segoe UI"/>
          <w:sz w:val="20"/>
          <w:szCs w:val="20"/>
        </w:rPr>
        <w:t>C</w:t>
      </w:r>
      <w:r w:rsidRPr="009370B1" w:rsidR="00AC05EA">
        <w:rPr>
          <w:rFonts w:ascii="Segoe UI" w:eastAsia="Segoe UI" w:hAnsi="Segoe UI" w:cs="Segoe UI"/>
          <w:sz w:val="20"/>
          <w:szCs w:val="20"/>
        </w:rPr>
        <w:t xml:space="preserve">ontractor to </w:t>
      </w:r>
      <w:r w:rsidR="00CD1D33">
        <w:rPr>
          <w:rFonts w:ascii="Segoe UI" w:eastAsia="Segoe UI" w:hAnsi="Segoe UI" w:cs="Segoe UI"/>
          <w:sz w:val="20"/>
          <w:szCs w:val="20"/>
        </w:rPr>
        <w:t>identify</w:t>
      </w:r>
      <w:r w:rsidRPr="009370B1" w:rsidR="00AC05EA">
        <w:rPr>
          <w:rFonts w:ascii="Segoe UI" w:eastAsia="Segoe UI" w:hAnsi="Segoe UI" w:cs="Segoe UI"/>
          <w:sz w:val="20"/>
          <w:szCs w:val="20"/>
        </w:rPr>
        <w:t xml:space="preserve"> potential participants from </w:t>
      </w:r>
      <w:r w:rsidR="00251AE1">
        <w:rPr>
          <w:rFonts w:ascii="Segoe UI" w:eastAsia="Segoe UI" w:hAnsi="Segoe UI" w:cs="Segoe UI"/>
          <w:sz w:val="20"/>
          <w:szCs w:val="20"/>
        </w:rPr>
        <w:t xml:space="preserve">these </w:t>
      </w:r>
      <w:r w:rsidRPr="009370B1" w:rsidR="00AC05EA">
        <w:rPr>
          <w:rFonts w:ascii="Segoe UI" w:eastAsia="Segoe UI" w:hAnsi="Segoe UI" w:cs="Segoe UI"/>
          <w:sz w:val="20"/>
          <w:szCs w:val="20"/>
        </w:rPr>
        <w:t xml:space="preserve">three groups. </w:t>
      </w:r>
      <w:r w:rsidR="00687CB8">
        <w:rPr>
          <w:rFonts w:ascii="Calibri" w:eastAsia="Calibri" w:hAnsi="Calibri" w:cs="Calibri"/>
        </w:rPr>
        <w:t>In respondent selection, we aim to obtain respondents from each group within the target population and with varied perspectives.</w:t>
      </w:r>
      <w:r w:rsidRPr="67DBE16E" w:rsidR="20049C41">
        <w:rPr>
          <w:rFonts w:ascii="Calibri" w:eastAsia="Calibri" w:hAnsi="Calibri" w:cs="Calibri"/>
        </w:rPr>
        <w:t xml:space="preserve"> Because participants will be purposively selected, they will not be representative of the population</w:t>
      </w:r>
      <w:r w:rsidR="00AD5176">
        <w:rPr>
          <w:rFonts w:ascii="Calibri" w:eastAsia="Calibri" w:hAnsi="Calibri" w:cs="Calibri"/>
        </w:rPr>
        <w:t xml:space="preserve">. </w:t>
      </w:r>
    </w:p>
    <w:p w:rsidR="00F85D35" w:rsidP="67DBE16E" w14:paraId="5E3AF81E" w14:textId="295BA378">
      <w:pPr>
        <w:pStyle w:val="ListParagraph"/>
        <w:numPr>
          <w:ilvl w:val="0"/>
          <w:numId w:val="4"/>
        </w:numPr>
        <w:autoSpaceDE w:val="0"/>
        <w:autoSpaceDN w:val="0"/>
        <w:adjustRightInd w:val="0"/>
        <w:spacing w:after="0" w:line="240" w:lineRule="atLeast"/>
        <w:ind w:left="360"/>
        <w:rPr>
          <w:rFonts w:ascii="Calibri" w:eastAsia="Calibri" w:hAnsi="Calibri" w:cs="Calibri"/>
        </w:rPr>
      </w:pPr>
      <w:r w:rsidRPr="67DBE16E">
        <w:rPr>
          <w:rFonts w:ascii="Calibri" w:eastAsia="Calibri" w:hAnsi="Calibri" w:cs="Calibri"/>
          <w:color w:val="000000" w:themeColor="text1"/>
        </w:rPr>
        <w:t xml:space="preserve">For the web-based survey (Instrument 2), </w:t>
      </w:r>
      <w:r w:rsidR="00F81C63">
        <w:rPr>
          <w:rFonts w:ascii="Calibri" w:eastAsia="Calibri" w:hAnsi="Calibri" w:cs="Calibri"/>
          <w:color w:val="000000" w:themeColor="text1"/>
        </w:rPr>
        <w:t>r</w:t>
      </w:r>
      <w:r w:rsidR="00762E6E">
        <w:rPr>
          <w:rFonts w:ascii="Calibri" w:eastAsia="Calibri" w:hAnsi="Calibri" w:cs="Calibri"/>
        </w:rPr>
        <w:t xml:space="preserve">espondents will be individuals that </w:t>
      </w:r>
      <w:r w:rsidR="00481608">
        <w:rPr>
          <w:rFonts w:ascii="Calibri" w:eastAsia="Calibri" w:hAnsi="Calibri" w:cs="Calibri"/>
        </w:rPr>
        <w:t xml:space="preserve">learn about the survey through the broad recruitment efforts described below and elect to complete the survey. </w:t>
      </w:r>
      <w:r w:rsidR="00697184">
        <w:rPr>
          <w:rFonts w:ascii="Calibri" w:eastAsia="Calibri" w:hAnsi="Calibri" w:cs="Calibri"/>
        </w:rPr>
        <w:t>Th</w:t>
      </w:r>
      <w:r w:rsidR="00A57382">
        <w:rPr>
          <w:rFonts w:ascii="Calibri" w:eastAsia="Calibri" w:hAnsi="Calibri" w:cs="Calibri"/>
        </w:rPr>
        <w:t xml:space="preserve">e </w:t>
      </w:r>
      <w:r w:rsidRPr="67DBE16E" w:rsidR="6CF481AE">
        <w:rPr>
          <w:rFonts w:ascii="Calibri" w:eastAsia="Calibri" w:hAnsi="Calibri" w:cs="Calibri"/>
        </w:rPr>
        <w:t xml:space="preserve">sample will not be representative of the population of all research users. </w:t>
      </w:r>
    </w:p>
    <w:p w:rsidR="00BB2925" w:rsidP="0072072F" w14:paraId="1E51CBD6" w14:textId="77777777">
      <w:pPr>
        <w:autoSpaceDE w:val="0"/>
        <w:autoSpaceDN w:val="0"/>
        <w:adjustRightInd w:val="0"/>
        <w:spacing w:after="0" w:line="240" w:lineRule="atLeast"/>
        <w:contextualSpacing/>
        <w:rPr>
          <w:rFonts w:eastAsia="Times New Roman" w:cstheme="minorHAnsi"/>
          <w:color w:val="000000"/>
        </w:rPr>
      </w:pPr>
    </w:p>
    <w:p w:rsidR="000D7942" w:rsidP="00F85D35" w14:paraId="43384CE3" w14:textId="63DECAAC">
      <w:pPr>
        <w:autoSpaceDE w:val="0"/>
        <w:autoSpaceDN w:val="0"/>
        <w:adjustRightInd w:val="0"/>
        <w:spacing w:after="60" w:line="240" w:lineRule="atLeast"/>
        <w:contextualSpacing/>
        <w:rPr>
          <w:rFonts w:eastAsia="Times New Roman"/>
          <w:i/>
          <w:iCs/>
          <w:color w:val="000000" w:themeColor="text1"/>
        </w:rPr>
      </w:pPr>
      <w:r>
        <w:rPr>
          <w:rFonts w:eastAsia="Times New Roman"/>
          <w:i/>
          <w:iCs/>
          <w:color w:val="000000" w:themeColor="text1"/>
        </w:rPr>
        <w:t>Respondent Recruitment</w:t>
      </w:r>
      <w:r w:rsidRPr="67DBE16E">
        <w:rPr>
          <w:rFonts w:eastAsia="Times New Roman"/>
          <w:i/>
          <w:iCs/>
          <w:color w:val="000000" w:themeColor="text1"/>
        </w:rPr>
        <w:t xml:space="preserve"> </w:t>
      </w:r>
    </w:p>
    <w:p w:rsidR="00F81C63" w:rsidRPr="00920CB8" w:rsidP="00F85D35" w14:paraId="65B4A5B9" w14:textId="2EEB330E">
      <w:pPr>
        <w:autoSpaceDE w:val="0"/>
        <w:autoSpaceDN w:val="0"/>
        <w:adjustRightInd w:val="0"/>
        <w:spacing w:after="60" w:line="240" w:lineRule="atLeast"/>
        <w:contextualSpacing/>
        <w:rPr>
          <w:rFonts w:eastAsia="Times New Roman" w:cstheme="minorHAnsi"/>
          <w:color w:val="000000"/>
        </w:rPr>
      </w:pPr>
      <w:r>
        <w:rPr>
          <w:rFonts w:eastAsia="Times New Roman"/>
          <w:color w:val="000000" w:themeColor="text1"/>
        </w:rPr>
        <w:t>Respondent recruitment is proposed using the following methods:</w:t>
      </w:r>
    </w:p>
    <w:p w:rsidR="004630DB" w:rsidRPr="002C6724" w:rsidP="002C6724" w14:paraId="0CF91926" w14:textId="0FBB9DF8">
      <w:pPr>
        <w:pStyle w:val="ListParagraph"/>
        <w:numPr>
          <w:ilvl w:val="0"/>
          <w:numId w:val="4"/>
        </w:numPr>
        <w:autoSpaceDE w:val="0"/>
        <w:autoSpaceDN w:val="0"/>
        <w:adjustRightInd w:val="0"/>
        <w:spacing w:after="0" w:line="240" w:lineRule="atLeast"/>
        <w:ind w:left="360"/>
        <w:rPr>
          <w:rFonts w:ascii="Calibri" w:eastAsia="Calibri" w:hAnsi="Calibri" w:cs="Calibri"/>
          <w:color w:val="000000" w:themeColor="text1"/>
        </w:rPr>
      </w:pPr>
      <w:r w:rsidRPr="67DBE16E">
        <w:rPr>
          <w:rFonts w:ascii="Calibri" w:eastAsia="Calibri" w:hAnsi="Calibri" w:cs="Calibri"/>
          <w:color w:val="000000" w:themeColor="text1"/>
        </w:rPr>
        <w:t>For semi-structured focus group discussions (Instrument 1</w:t>
      </w:r>
      <w:r>
        <w:rPr>
          <w:rFonts w:ascii="Calibri" w:eastAsia="Calibri" w:hAnsi="Calibri" w:cs="Calibri"/>
          <w:color w:val="000000" w:themeColor="text1"/>
        </w:rPr>
        <w:t xml:space="preserve">), </w:t>
      </w:r>
      <w:r w:rsidR="007A168D">
        <w:rPr>
          <w:rFonts w:ascii="Calibri" w:eastAsia="Calibri" w:hAnsi="Calibri" w:cs="Calibri"/>
          <w:color w:val="000000" w:themeColor="text1"/>
        </w:rPr>
        <w:t>the Contractor</w:t>
      </w:r>
      <w:r w:rsidRPr="67DBE16E" w:rsidR="451F5902">
        <w:rPr>
          <w:rFonts w:ascii="Calibri" w:eastAsia="Calibri" w:hAnsi="Calibri" w:cs="Calibri"/>
          <w:color w:val="000000" w:themeColor="text1"/>
        </w:rPr>
        <w:t xml:space="preserve"> will </w:t>
      </w:r>
      <w:r w:rsidR="00F33D94">
        <w:rPr>
          <w:rFonts w:ascii="Calibri" w:eastAsia="Calibri" w:hAnsi="Calibri" w:cs="Calibri"/>
          <w:color w:val="000000" w:themeColor="text1"/>
        </w:rPr>
        <w:t xml:space="preserve">recruit </w:t>
      </w:r>
      <w:r w:rsidR="008F264E">
        <w:rPr>
          <w:rFonts w:ascii="Calibri" w:eastAsia="Calibri" w:hAnsi="Calibri" w:cs="Calibri"/>
          <w:color w:val="000000" w:themeColor="text1"/>
        </w:rPr>
        <w:t>identified potential participants via personalized email</w:t>
      </w:r>
      <w:r w:rsidRPr="008F264E" w:rsidR="008F264E">
        <w:rPr>
          <w:rFonts w:ascii="Calibri" w:eastAsia="Calibri" w:hAnsi="Calibri" w:cs="Calibri"/>
          <w:color w:val="000000" w:themeColor="text1"/>
        </w:rPr>
        <w:t xml:space="preserve"> invitations, phone calls, and intermediaries at other organizations. </w:t>
      </w:r>
    </w:p>
    <w:p w:rsidR="005F2951" w:rsidRPr="002C6724" w:rsidP="002C6724" w14:paraId="1F8112F6" w14:textId="60629318">
      <w:pPr>
        <w:pStyle w:val="ListParagraph"/>
        <w:numPr>
          <w:ilvl w:val="0"/>
          <w:numId w:val="4"/>
        </w:numPr>
        <w:autoSpaceDE w:val="0"/>
        <w:autoSpaceDN w:val="0"/>
        <w:adjustRightInd w:val="0"/>
        <w:spacing w:after="0" w:line="240" w:lineRule="atLeast"/>
        <w:ind w:left="360"/>
        <w:rPr>
          <w:rFonts w:ascii="Calibri" w:eastAsia="Calibri" w:hAnsi="Calibri" w:cs="Calibri"/>
          <w:color w:val="000000" w:themeColor="text1"/>
        </w:rPr>
      </w:pPr>
      <w:r>
        <w:rPr>
          <w:rFonts w:ascii="Calibri" w:eastAsia="Calibri" w:hAnsi="Calibri" w:cs="Calibri"/>
          <w:color w:val="000000" w:themeColor="text1"/>
        </w:rPr>
        <w:t xml:space="preserve">For </w:t>
      </w:r>
      <w:r w:rsidRPr="67DBE16E" w:rsidR="451F5902">
        <w:rPr>
          <w:rFonts w:ascii="Calibri" w:eastAsia="Calibri" w:hAnsi="Calibri" w:cs="Calibri"/>
          <w:color w:val="000000" w:themeColor="text1"/>
        </w:rPr>
        <w:t xml:space="preserve">the web-based survey </w:t>
      </w:r>
      <w:r w:rsidR="0088795B">
        <w:rPr>
          <w:rFonts w:ascii="Calibri" w:eastAsia="Calibri" w:hAnsi="Calibri" w:cs="Calibri"/>
          <w:color w:val="000000" w:themeColor="text1"/>
        </w:rPr>
        <w:t>(Instrument 2)</w:t>
      </w:r>
      <w:r w:rsidR="001C55F9">
        <w:rPr>
          <w:rFonts w:ascii="Calibri" w:eastAsia="Calibri" w:hAnsi="Calibri" w:cs="Calibri"/>
          <w:color w:val="000000" w:themeColor="text1"/>
        </w:rPr>
        <w:t>,</w:t>
      </w:r>
      <w:r w:rsidRPr="67DBE16E" w:rsidR="451F5902">
        <w:rPr>
          <w:rFonts w:ascii="Calibri" w:eastAsia="Calibri" w:hAnsi="Calibri" w:cs="Calibri"/>
          <w:color w:val="000000" w:themeColor="text1"/>
        </w:rPr>
        <w:t xml:space="preserve"> </w:t>
      </w:r>
      <w:r w:rsidR="001C55F9">
        <w:rPr>
          <w:rFonts w:ascii="Calibri" w:eastAsia="Calibri" w:hAnsi="Calibri" w:cs="Calibri"/>
          <w:color w:val="000000" w:themeColor="text1"/>
        </w:rPr>
        <w:t>C</w:t>
      </w:r>
      <w:r w:rsidRPr="0014668F" w:rsidR="0014668F">
        <w:rPr>
          <w:rFonts w:ascii="Calibri" w:eastAsia="Calibri" w:hAnsi="Calibri" w:cs="Calibri"/>
          <w:color w:val="000000" w:themeColor="text1"/>
        </w:rPr>
        <w:t xml:space="preserve">ontractor staff will distribute </w:t>
      </w:r>
      <w:r w:rsidR="0014668F">
        <w:rPr>
          <w:rFonts w:ascii="Calibri" w:eastAsia="Calibri" w:hAnsi="Calibri" w:cs="Calibri"/>
          <w:color w:val="000000" w:themeColor="text1"/>
        </w:rPr>
        <w:t>the</w:t>
      </w:r>
      <w:r w:rsidRPr="0014668F" w:rsidR="0014668F">
        <w:rPr>
          <w:rFonts w:ascii="Calibri" w:eastAsia="Calibri" w:hAnsi="Calibri" w:cs="Calibri"/>
          <w:color w:val="000000" w:themeColor="text1"/>
        </w:rPr>
        <w:t xml:space="preserve"> web-based survey through the following channels that include potential research users: OPRE e-blast (pending approval from </w:t>
      </w:r>
      <w:r w:rsidR="0044770F">
        <w:rPr>
          <w:rFonts w:ascii="Calibri" w:eastAsia="Calibri" w:hAnsi="Calibri" w:cs="Calibri"/>
          <w:color w:val="000000" w:themeColor="text1"/>
        </w:rPr>
        <w:t>agency leadership</w:t>
      </w:r>
      <w:r w:rsidRPr="0014668F" w:rsidR="0014668F">
        <w:rPr>
          <w:rFonts w:ascii="Calibri" w:eastAsia="Calibri" w:hAnsi="Calibri" w:cs="Calibri"/>
          <w:color w:val="000000" w:themeColor="text1"/>
        </w:rPr>
        <w:t xml:space="preserve">); asking the Office of Family Assistance to circulate among its staff and partners; and investigating National Association for Welfare Research and Statistics' and American Public Human Services Association’s willingness to circulate it among their networks. </w:t>
      </w:r>
    </w:p>
    <w:p w:rsidR="00F81C63" w:rsidP="00F81C63" w14:paraId="4DFCF7CB" w14:textId="77777777">
      <w:pPr>
        <w:autoSpaceDE w:val="0"/>
        <w:autoSpaceDN w:val="0"/>
        <w:adjustRightInd w:val="0"/>
        <w:spacing w:after="0" w:line="240" w:lineRule="atLeast"/>
        <w:contextualSpacing/>
        <w:rPr>
          <w:rFonts w:ascii="Calibri" w:eastAsia="Calibri" w:hAnsi="Calibri" w:cs="Calibri"/>
          <w:color w:val="000000" w:themeColor="text1"/>
        </w:rPr>
      </w:pPr>
    </w:p>
    <w:p w:rsidR="005F2951" w:rsidP="00F81C63" w14:paraId="1C642C78" w14:textId="72301C1F">
      <w:pPr>
        <w:autoSpaceDE w:val="0"/>
        <w:autoSpaceDN w:val="0"/>
        <w:adjustRightInd w:val="0"/>
        <w:spacing w:after="0" w:line="240" w:lineRule="atLeast"/>
        <w:contextualSpacing/>
        <w:rPr>
          <w:rFonts w:ascii="Calibri" w:eastAsia="Calibri" w:hAnsi="Calibri" w:cs="Calibri"/>
          <w:color w:val="000000" w:themeColor="text1"/>
        </w:rPr>
      </w:pPr>
      <w:r w:rsidRPr="002E5C7C">
        <w:rPr>
          <w:rFonts w:ascii="Calibri" w:eastAsia="Calibri" w:hAnsi="Calibri" w:cs="Calibri"/>
          <w:color w:val="000000" w:themeColor="text1"/>
        </w:rPr>
        <w:t xml:space="preserve">Attachment 1 includes the outreach email language for </w:t>
      </w:r>
      <w:r>
        <w:rPr>
          <w:rFonts w:ascii="Calibri" w:eastAsia="Calibri" w:hAnsi="Calibri" w:cs="Calibri"/>
          <w:color w:val="000000" w:themeColor="text1"/>
        </w:rPr>
        <w:t>both activities</w:t>
      </w:r>
      <w:r w:rsidRPr="002E5C7C">
        <w:rPr>
          <w:rFonts w:ascii="Calibri" w:eastAsia="Calibri" w:hAnsi="Calibri" w:cs="Calibri"/>
          <w:color w:val="000000" w:themeColor="text1"/>
        </w:rPr>
        <w:t>.</w:t>
      </w:r>
    </w:p>
    <w:p w:rsidR="00F81C63" w:rsidP="00920CB8" w14:paraId="6BBA1035" w14:textId="77777777">
      <w:pPr>
        <w:autoSpaceDE w:val="0"/>
        <w:autoSpaceDN w:val="0"/>
        <w:adjustRightInd w:val="0"/>
        <w:spacing w:after="0" w:line="240" w:lineRule="atLeast"/>
        <w:contextualSpacing/>
        <w:rPr>
          <w:rFonts w:eastAsia="Times New Roman"/>
          <w:color w:val="000000"/>
        </w:rPr>
      </w:pPr>
    </w:p>
    <w:p w:rsidR="00E75D57" w:rsidP="00F85D35"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RPr="00E75D57" w:rsidP="00F85D35" w14:paraId="799139A7" w14:textId="68FD9C8C">
      <w:pPr>
        <w:autoSpaceDE w:val="0"/>
        <w:autoSpaceDN w:val="0"/>
        <w:adjustRightInd w:val="0"/>
        <w:spacing w:after="60" w:line="240" w:lineRule="atLeast"/>
        <w:rPr>
          <w:rFonts w:eastAsia="Times New Roman" w:cstheme="minorHAnsi"/>
          <w:i/>
          <w:color w:val="000000"/>
        </w:rPr>
      </w:pPr>
      <w:r w:rsidRPr="67DBE16E">
        <w:rPr>
          <w:rFonts w:eastAsia="Times New Roman"/>
          <w:i/>
          <w:iCs/>
          <w:color w:val="000000" w:themeColor="text1"/>
        </w:rPr>
        <w:t>Development of Data Collection Instruments</w:t>
      </w:r>
    </w:p>
    <w:p w:rsidR="000B0CAA" w:rsidP="67DBE16E" w14:paraId="47BF9A46" w14:textId="4B0A099C">
      <w:pPr>
        <w:spacing w:after="0" w:line="240" w:lineRule="atLeast"/>
        <w:rPr>
          <w:rFonts w:ascii="Calibri" w:eastAsia="Calibri" w:hAnsi="Calibri" w:cs="Calibri"/>
          <w:color w:val="000000" w:themeColor="text1"/>
        </w:rPr>
      </w:pPr>
      <w:r w:rsidRPr="67DBE16E">
        <w:rPr>
          <w:rFonts w:ascii="Calibri" w:eastAsia="Calibri" w:hAnsi="Calibri" w:cs="Calibri"/>
          <w:color w:val="000000" w:themeColor="text1"/>
        </w:rPr>
        <w:t>This data collection will include two instruments: Instrument 1: Semi-structured focus group discussion guide and Instrument 2: Web-based survey. These two instrument</w:t>
      </w:r>
      <w:r w:rsidR="00054A1F">
        <w:rPr>
          <w:rFonts w:ascii="Calibri" w:eastAsia="Calibri" w:hAnsi="Calibri" w:cs="Calibri"/>
          <w:color w:val="000000" w:themeColor="text1"/>
        </w:rPr>
        <w:t>s</w:t>
      </w:r>
      <w:r w:rsidRPr="67DBE16E">
        <w:rPr>
          <w:rFonts w:ascii="Calibri" w:eastAsia="Calibri" w:hAnsi="Calibri" w:cs="Calibri"/>
          <w:color w:val="000000" w:themeColor="text1"/>
        </w:rPr>
        <w:t xml:space="preserve"> focus on </w:t>
      </w:r>
      <w:r w:rsidR="001226D3">
        <w:rPr>
          <w:rFonts w:ascii="Calibri" w:eastAsia="Calibri" w:hAnsi="Calibri" w:cs="Calibri"/>
          <w:color w:val="000000" w:themeColor="text1"/>
        </w:rPr>
        <w:t>information needs,</w:t>
      </w:r>
      <w:r w:rsidRPr="67DBE16E">
        <w:rPr>
          <w:rFonts w:ascii="Calibri" w:eastAsia="Calibri" w:hAnsi="Calibri" w:cs="Calibri"/>
          <w:color w:val="000000" w:themeColor="text1"/>
        </w:rPr>
        <w:t xml:space="preserve"> </w:t>
      </w:r>
      <w:r w:rsidR="001226D3">
        <w:rPr>
          <w:rFonts w:ascii="Calibri" w:eastAsia="Calibri" w:hAnsi="Calibri" w:cs="Calibri"/>
          <w:color w:val="000000" w:themeColor="text1"/>
        </w:rPr>
        <w:t>research use</w:t>
      </w:r>
      <w:r w:rsidR="00AB1D42">
        <w:rPr>
          <w:rFonts w:ascii="Calibri" w:eastAsia="Calibri" w:hAnsi="Calibri" w:cs="Calibri"/>
          <w:color w:val="000000" w:themeColor="text1"/>
        </w:rPr>
        <w:t xml:space="preserve"> processes, and barriers and facilitators to research use</w:t>
      </w:r>
      <w:r w:rsidRPr="67DBE16E" w:rsidR="7F700628">
        <w:rPr>
          <w:rFonts w:ascii="Calibri" w:eastAsia="Calibri" w:hAnsi="Calibri" w:cs="Calibri"/>
          <w:color w:val="000000" w:themeColor="text1"/>
        </w:rPr>
        <w:t xml:space="preserve">. </w:t>
      </w:r>
      <w:r w:rsidR="00BA22F8">
        <w:rPr>
          <w:rFonts w:ascii="Calibri" w:eastAsia="Calibri" w:hAnsi="Calibri" w:cs="Calibri"/>
          <w:color w:val="000000" w:themeColor="text1"/>
        </w:rPr>
        <w:t>To develop the instruments, the Contractor reviewed</w:t>
      </w:r>
      <w:r w:rsidR="000E5E9A">
        <w:rPr>
          <w:rFonts w:ascii="Calibri" w:eastAsia="Calibri" w:hAnsi="Calibri" w:cs="Calibri"/>
          <w:color w:val="000000" w:themeColor="text1"/>
        </w:rPr>
        <w:t xml:space="preserve"> </w:t>
      </w:r>
      <w:r w:rsidR="001C17AD">
        <w:rPr>
          <w:rFonts w:ascii="Calibri" w:eastAsia="Calibri" w:hAnsi="Calibri" w:cs="Calibri"/>
          <w:color w:val="000000" w:themeColor="text1"/>
        </w:rPr>
        <w:t>existing</w:t>
      </w:r>
      <w:r w:rsidR="00C967E6">
        <w:rPr>
          <w:rFonts w:ascii="Calibri" w:eastAsia="Calibri" w:hAnsi="Calibri" w:cs="Calibri"/>
          <w:color w:val="000000" w:themeColor="text1"/>
        </w:rPr>
        <w:t xml:space="preserve"> data collection instruments</w:t>
      </w:r>
      <w:r w:rsidR="00006EDC">
        <w:rPr>
          <w:rFonts w:ascii="Calibri" w:eastAsia="Calibri" w:hAnsi="Calibri" w:cs="Calibri"/>
          <w:color w:val="000000" w:themeColor="text1"/>
        </w:rPr>
        <w:t xml:space="preserve"> identified in the literature on use of research evidence and </w:t>
      </w:r>
      <w:r w:rsidR="00436585">
        <w:rPr>
          <w:rFonts w:ascii="Calibri" w:eastAsia="Calibri" w:hAnsi="Calibri" w:cs="Calibri"/>
          <w:color w:val="000000" w:themeColor="text1"/>
        </w:rPr>
        <w:t>consulted with</w:t>
      </w:r>
      <w:r w:rsidR="00006EDC">
        <w:rPr>
          <w:rFonts w:ascii="Calibri" w:eastAsia="Calibri" w:hAnsi="Calibri" w:cs="Calibri"/>
          <w:color w:val="000000" w:themeColor="text1"/>
        </w:rPr>
        <w:t xml:space="preserve"> </w:t>
      </w:r>
      <w:r w:rsidR="00282AB3">
        <w:rPr>
          <w:rFonts w:ascii="Calibri" w:eastAsia="Calibri" w:hAnsi="Calibri" w:cs="Calibri"/>
        </w:rPr>
        <w:t xml:space="preserve">two </w:t>
      </w:r>
      <w:r w:rsidRPr="5AC3F818" w:rsidR="00282AB3">
        <w:rPr>
          <w:rFonts w:ascii="Calibri" w:eastAsia="Calibri" w:hAnsi="Calibri" w:cs="Calibri"/>
        </w:rPr>
        <w:t>expert consultants</w:t>
      </w:r>
      <w:r w:rsidR="00282AB3">
        <w:rPr>
          <w:rFonts w:ascii="Calibri" w:eastAsia="Calibri" w:hAnsi="Calibri" w:cs="Calibri"/>
        </w:rPr>
        <w:t xml:space="preserve"> (</w:t>
      </w:r>
      <w:r w:rsidR="0092172C">
        <w:rPr>
          <w:rFonts w:ascii="Calibri" w:eastAsia="Calibri" w:hAnsi="Calibri" w:cs="Calibri"/>
        </w:rPr>
        <w:t>see</w:t>
      </w:r>
      <w:r w:rsidR="00282AB3">
        <w:rPr>
          <w:rFonts w:ascii="Calibri" w:eastAsia="Calibri" w:hAnsi="Calibri" w:cs="Calibri"/>
        </w:rPr>
        <w:t xml:space="preserve"> SSA A8).</w:t>
      </w:r>
      <w:r w:rsidR="00C967E6">
        <w:rPr>
          <w:rFonts w:ascii="Calibri" w:eastAsia="Calibri" w:hAnsi="Calibri" w:cs="Calibri"/>
          <w:color w:val="000000" w:themeColor="text1"/>
        </w:rPr>
        <w:t xml:space="preserve"> </w:t>
      </w:r>
      <w:r w:rsidR="0092172C">
        <w:rPr>
          <w:rFonts w:ascii="Calibri" w:eastAsia="Calibri" w:hAnsi="Calibri" w:cs="Calibri"/>
          <w:color w:val="000000" w:themeColor="text1"/>
        </w:rPr>
        <w:t xml:space="preserve">The Contractor adapted questions and developed </w:t>
      </w:r>
      <w:r w:rsidR="000E5E9A">
        <w:rPr>
          <w:rFonts w:ascii="Calibri" w:eastAsia="Calibri" w:hAnsi="Calibri" w:cs="Calibri"/>
          <w:color w:val="000000" w:themeColor="text1"/>
        </w:rPr>
        <w:t xml:space="preserve">additional </w:t>
      </w:r>
      <w:r w:rsidR="0092172C">
        <w:rPr>
          <w:rFonts w:ascii="Calibri" w:eastAsia="Calibri" w:hAnsi="Calibri" w:cs="Calibri"/>
          <w:color w:val="000000" w:themeColor="text1"/>
        </w:rPr>
        <w:t xml:space="preserve">questions </w:t>
      </w:r>
      <w:r w:rsidR="0041305E">
        <w:rPr>
          <w:rFonts w:ascii="Calibri" w:eastAsia="Calibri" w:hAnsi="Calibri" w:cs="Calibri"/>
          <w:color w:val="000000" w:themeColor="text1"/>
        </w:rPr>
        <w:t>that will allow</w:t>
      </w:r>
      <w:r w:rsidR="000E5E9A">
        <w:rPr>
          <w:rFonts w:ascii="Calibri" w:eastAsia="Calibri" w:hAnsi="Calibri" w:cs="Calibri"/>
          <w:color w:val="000000" w:themeColor="text1"/>
        </w:rPr>
        <w:t xml:space="preserve"> for the intended analyses. </w:t>
      </w:r>
      <w:r w:rsidR="00DD0F4F">
        <w:rPr>
          <w:rFonts w:ascii="Calibri" w:eastAsia="Calibri" w:hAnsi="Calibri" w:cs="Calibri"/>
          <w:color w:val="000000" w:themeColor="text1"/>
        </w:rPr>
        <w:t>Together, q</w:t>
      </w:r>
      <w:r w:rsidR="0092172C">
        <w:rPr>
          <w:rFonts w:ascii="Calibri" w:eastAsia="Calibri" w:hAnsi="Calibri" w:cs="Calibri"/>
          <w:color w:val="000000" w:themeColor="text1"/>
        </w:rPr>
        <w:t xml:space="preserve">uestions </w:t>
      </w:r>
      <w:r w:rsidR="00DD0F4F">
        <w:rPr>
          <w:rFonts w:ascii="Calibri" w:eastAsia="Calibri" w:hAnsi="Calibri" w:cs="Calibri"/>
          <w:color w:val="000000" w:themeColor="text1"/>
        </w:rPr>
        <w:t>fill</w:t>
      </w:r>
      <w:r w:rsidRPr="00C01686" w:rsidR="00C01686">
        <w:rPr>
          <w:rFonts w:ascii="Calibri" w:eastAsia="Calibri" w:hAnsi="Calibri" w:cs="Calibri"/>
          <w:color w:val="000000" w:themeColor="text1"/>
        </w:rPr>
        <w:t xml:space="preserve"> gaps </w:t>
      </w:r>
      <w:r w:rsidR="00C01686">
        <w:rPr>
          <w:rFonts w:ascii="Calibri" w:eastAsia="Calibri" w:hAnsi="Calibri" w:cs="Calibri"/>
          <w:color w:val="000000" w:themeColor="text1"/>
        </w:rPr>
        <w:t xml:space="preserve">in knowledge </w:t>
      </w:r>
      <w:r w:rsidRPr="00C01686" w:rsidR="00C01686">
        <w:rPr>
          <w:rFonts w:ascii="Calibri" w:eastAsia="Calibri" w:hAnsi="Calibri" w:cs="Calibri"/>
          <w:color w:val="000000" w:themeColor="text1"/>
        </w:rPr>
        <w:t xml:space="preserve">and </w:t>
      </w:r>
      <w:r w:rsidR="00C01686">
        <w:rPr>
          <w:rFonts w:ascii="Calibri" w:eastAsia="Calibri" w:hAnsi="Calibri" w:cs="Calibri"/>
          <w:color w:val="000000" w:themeColor="text1"/>
        </w:rPr>
        <w:t xml:space="preserve">tie to each of the </w:t>
      </w:r>
      <w:r w:rsidR="00DD0F4F">
        <w:rPr>
          <w:rFonts w:ascii="Calibri" w:eastAsia="Calibri" w:hAnsi="Calibri" w:cs="Calibri"/>
          <w:color w:val="000000" w:themeColor="text1"/>
        </w:rPr>
        <w:t>guiding questions.</w:t>
      </w:r>
      <w:r w:rsidR="00C01686">
        <w:rPr>
          <w:rFonts w:ascii="Calibri" w:eastAsia="Calibri" w:hAnsi="Calibri" w:cs="Calibri"/>
          <w:color w:val="000000" w:themeColor="text1"/>
        </w:rPr>
        <w:t xml:space="preserve"> </w:t>
      </w:r>
    </w:p>
    <w:p w:rsidR="000B0CAA" w:rsidP="67DBE16E" w14:paraId="15538405" w14:textId="77777777">
      <w:pPr>
        <w:spacing w:after="0" w:line="240" w:lineRule="atLeast"/>
        <w:rPr>
          <w:rFonts w:ascii="Calibri" w:eastAsia="Calibri" w:hAnsi="Calibri" w:cs="Calibri"/>
          <w:color w:val="000000" w:themeColor="text1"/>
        </w:rPr>
      </w:pPr>
    </w:p>
    <w:p w:rsidR="00E54FC7" w:rsidP="67DBE16E" w14:paraId="5529F36C" w14:textId="4C72A72D">
      <w:pPr>
        <w:spacing w:after="0" w:line="240" w:lineRule="atLeast"/>
        <w:rPr>
          <w:rFonts w:ascii="Calibri" w:eastAsia="Calibri" w:hAnsi="Calibri" w:cs="Calibri"/>
          <w:color w:val="000000" w:themeColor="text1"/>
        </w:rPr>
      </w:pPr>
      <w:r w:rsidRPr="67DBE16E">
        <w:rPr>
          <w:rFonts w:ascii="Calibri" w:eastAsia="Calibri" w:hAnsi="Calibri" w:cs="Calibri"/>
          <w:color w:val="000000" w:themeColor="text1"/>
        </w:rPr>
        <w:t>The discussion guide contains 5 modules and the survey contains 6 modules</w:t>
      </w:r>
      <w:r w:rsidR="00A448AB">
        <w:rPr>
          <w:rFonts w:ascii="Calibri" w:eastAsia="Calibri" w:hAnsi="Calibri" w:cs="Calibri"/>
          <w:color w:val="000000" w:themeColor="text1"/>
        </w:rPr>
        <w:t xml:space="preserve">. </w:t>
      </w:r>
      <w:r w:rsidRPr="67DBE16E" w:rsidR="34829671">
        <w:rPr>
          <w:rFonts w:ascii="Calibri" w:eastAsia="Calibri" w:hAnsi="Calibri" w:cs="Calibri"/>
          <w:color w:val="000000" w:themeColor="text1"/>
        </w:rPr>
        <w:t xml:space="preserve">The two </w:t>
      </w:r>
      <w:r w:rsidR="00197A1C">
        <w:rPr>
          <w:rFonts w:ascii="Calibri" w:eastAsia="Calibri" w:hAnsi="Calibri" w:cs="Calibri"/>
          <w:color w:val="000000" w:themeColor="text1"/>
        </w:rPr>
        <w:t>instruments</w:t>
      </w:r>
      <w:r w:rsidRPr="67DBE16E" w:rsidR="00197A1C">
        <w:rPr>
          <w:rFonts w:ascii="Calibri" w:eastAsia="Calibri" w:hAnsi="Calibri" w:cs="Calibri"/>
          <w:color w:val="000000" w:themeColor="text1"/>
        </w:rPr>
        <w:t xml:space="preserve"> </w:t>
      </w:r>
      <w:r w:rsidRPr="67DBE16E" w:rsidR="34829671">
        <w:rPr>
          <w:rFonts w:ascii="Calibri" w:eastAsia="Calibri" w:hAnsi="Calibri" w:cs="Calibri"/>
          <w:color w:val="000000" w:themeColor="text1"/>
        </w:rPr>
        <w:t xml:space="preserve">are focused on collecting information on research users’ </w:t>
      </w:r>
      <w:r w:rsidR="00197A1C">
        <w:rPr>
          <w:rFonts w:ascii="Calibri" w:eastAsia="Calibri" w:hAnsi="Calibri" w:cs="Calibri"/>
          <w:color w:val="000000" w:themeColor="text1"/>
        </w:rPr>
        <w:t>experiences</w:t>
      </w:r>
      <w:r w:rsidRPr="67DBE16E" w:rsidR="34829671">
        <w:rPr>
          <w:rFonts w:ascii="Calibri" w:eastAsia="Calibri" w:hAnsi="Calibri" w:cs="Calibri"/>
          <w:color w:val="000000" w:themeColor="text1"/>
        </w:rPr>
        <w:t xml:space="preserve">. </w:t>
      </w:r>
      <w:r w:rsidR="00D4331B">
        <w:rPr>
          <w:rFonts w:ascii="Calibri" w:eastAsia="Calibri" w:hAnsi="Calibri" w:cs="Calibri"/>
          <w:color w:val="000000" w:themeColor="text1"/>
        </w:rPr>
        <w:t xml:space="preserve">Modules have been streamlined to focus on data deemed to be most important to understanding users’ </w:t>
      </w:r>
      <w:r w:rsidR="003D3F04">
        <w:rPr>
          <w:rFonts w:ascii="Calibri" w:eastAsia="Calibri" w:hAnsi="Calibri" w:cs="Calibri"/>
          <w:color w:val="000000" w:themeColor="text1"/>
        </w:rPr>
        <w:t>research use processes, and barriers and facilitators to research use</w:t>
      </w:r>
      <w:r w:rsidR="00D4331B">
        <w:rPr>
          <w:rFonts w:ascii="Calibri" w:eastAsia="Calibri" w:hAnsi="Calibri" w:cs="Calibri"/>
          <w:color w:val="000000" w:themeColor="text1"/>
        </w:rPr>
        <w:t xml:space="preserve">. </w:t>
      </w:r>
      <w:r w:rsidR="00317A08">
        <w:rPr>
          <w:rFonts w:ascii="Calibri" w:eastAsia="Calibri" w:hAnsi="Calibri" w:cs="Calibri"/>
          <w:color w:val="000000" w:themeColor="text1"/>
        </w:rPr>
        <w:t xml:space="preserve">Table 1 maps each </w:t>
      </w:r>
      <w:r w:rsidR="003D3F04">
        <w:rPr>
          <w:rFonts w:ascii="Calibri" w:eastAsia="Calibri" w:hAnsi="Calibri" w:cs="Calibri"/>
          <w:color w:val="000000" w:themeColor="text1"/>
        </w:rPr>
        <w:t>guiding question</w:t>
      </w:r>
      <w:r w:rsidR="00317A08">
        <w:rPr>
          <w:rFonts w:ascii="Calibri" w:eastAsia="Calibri" w:hAnsi="Calibri" w:cs="Calibri"/>
          <w:color w:val="000000" w:themeColor="text1"/>
        </w:rPr>
        <w:t xml:space="preserve"> to modules in each instrument. </w:t>
      </w:r>
    </w:p>
    <w:p w:rsidR="00F400C6" w:rsidP="67DBE16E" w14:paraId="16E5E764" w14:textId="77777777">
      <w:pPr>
        <w:spacing w:after="0" w:line="240" w:lineRule="atLeast"/>
        <w:rPr>
          <w:rFonts w:ascii="Calibri" w:eastAsia="Calibri" w:hAnsi="Calibri" w:cs="Calibri"/>
          <w:color w:val="000000" w:themeColor="text1"/>
        </w:rPr>
      </w:pPr>
    </w:p>
    <w:p w:rsidR="00F400C6" w:rsidP="67DBE16E" w14:paraId="314195D0" w14:textId="6BB6D598">
      <w:pPr>
        <w:spacing w:after="0" w:line="240" w:lineRule="atLeast"/>
        <w:rPr>
          <w:rFonts w:ascii="Calibri" w:eastAsia="Calibri" w:hAnsi="Calibri" w:cs="Calibri"/>
          <w:color w:val="000000" w:themeColor="text1"/>
        </w:rPr>
      </w:pPr>
      <w:r>
        <w:rPr>
          <w:rFonts w:ascii="Calibri" w:eastAsia="Calibri" w:hAnsi="Calibri" w:cs="Calibri"/>
          <w:color w:val="000000" w:themeColor="text1"/>
        </w:rPr>
        <w:t xml:space="preserve">The </w:t>
      </w:r>
      <w:r w:rsidR="009E55D8">
        <w:rPr>
          <w:rFonts w:ascii="Calibri" w:eastAsia="Calibri" w:hAnsi="Calibri" w:cs="Calibri"/>
          <w:color w:val="000000" w:themeColor="text1"/>
        </w:rPr>
        <w:t xml:space="preserve">web-based </w:t>
      </w:r>
      <w:r>
        <w:rPr>
          <w:rFonts w:ascii="Calibri" w:eastAsia="Calibri" w:hAnsi="Calibri" w:cs="Calibri"/>
          <w:color w:val="000000" w:themeColor="text1"/>
        </w:rPr>
        <w:t xml:space="preserve">survey </w:t>
      </w:r>
      <w:r w:rsidR="009E55D8">
        <w:rPr>
          <w:rFonts w:ascii="Calibri" w:eastAsia="Calibri" w:hAnsi="Calibri" w:cs="Calibri"/>
          <w:color w:val="000000" w:themeColor="text1"/>
        </w:rPr>
        <w:t>uses</w:t>
      </w:r>
      <w:r>
        <w:rPr>
          <w:rFonts w:ascii="Calibri" w:eastAsia="Calibri" w:hAnsi="Calibri" w:cs="Calibri"/>
          <w:color w:val="000000" w:themeColor="text1"/>
        </w:rPr>
        <w:t xml:space="preserve"> skip logic </w:t>
      </w:r>
      <w:r w:rsidR="00837B3B">
        <w:rPr>
          <w:rFonts w:ascii="Calibri" w:eastAsia="Calibri" w:hAnsi="Calibri" w:cs="Calibri"/>
          <w:color w:val="000000" w:themeColor="text1"/>
        </w:rPr>
        <w:t xml:space="preserve">and design elements that </w:t>
      </w:r>
      <w:r w:rsidR="00AA2C87">
        <w:rPr>
          <w:rFonts w:ascii="Calibri" w:eastAsia="Calibri" w:hAnsi="Calibri" w:cs="Calibri"/>
          <w:color w:val="000000" w:themeColor="text1"/>
        </w:rPr>
        <w:t>allow</w:t>
      </w:r>
      <w:r w:rsidR="00837B3B">
        <w:rPr>
          <w:rFonts w:ascii="Calibri" w:eastAsia="Calibri" w:hAnsi="Calibri" w:cs="Calibri"/>
          <w:color w:val="000000" w:themeColor="text1"/>
        </w:rPr>
        <w:t xml:space="preserve"> participants to effectively move through the survey without answering </w:t>
      </w:r>
      <w:r w:rsidR="00263DD3">
        <w:rPr>
          <w:rFonts w:ascii="Calibri" w:eastAsia="Calibri" w:hAnsi="Calibri" w:cs="Calibri"/>
          <w:color w:val="000000" w:themeColor="text1"/>
        </w:rPr>
        <w:t>irrelevant</w:t>
      </w:r>
      <w:r w:rsidR="00837B3B">
        <w:rPr>
          <w:rFonts w:ascii="Calibri" w:eastAsia="Calibri" w:hAnsi="Calibri" w:cs="Calibri"/>
          <w:color w:val="000000" w:themeColor="text1"/>
        </w:rPr>
        <w:t xml:space="preserve"> questions. </w:t>
      </w:r>
      <w:r w:rsidR="009361EF">
        <w:rPr>
          <w:rFonts w:ascii="Calibri" w:eastAsia="Calibri" w:hAnsi="Calibri" w:cs="Calibri"/>
          <w:color w:val="000000" w:themeColor="text1"/>
        </w:rPr>
        <w:t xml:space="preserve">The web-based survey was pretested with </w:t>
      </w:r>
      <w:r w:rsidR="00484B38">
        <w:rPr>
          <w:rFonts w:ascii="Calibri" w:eastAsia="Calibri" w:hAnsi="Calibri" w:cs="Calibri"/>
          <w:color w:val="000000" w:themeColor="text1"/>
        </w:rPr>
        <w:t>three</w:t>
      </w:r>
      <w:r w:rsidR="009361EF">
        <w:rPr>
          <w:rFonts w:ascii="Calibri" w:eastAsia="Calibri" w:hAnsi="Calibri" w:cs="Calibri"/>
          <w:color w:val="000000" w:themeColor="text1"/>
        </w:rPr>
        <w:t xml:space="preserve"> representatives of the target population to </w:t>
      </w:r>
      <w:r w:rsidR="00484B38">
        <w:rPr>
          <w:rFonts w:ascii="Calibri" w:eastAsia="Calibri" w:hAnsi="Calibri" w:cs="Calibri"/>
          <w:color w:val="000000" w:themeColor="text1"/>
        </w:rPr>
        <w:t>ensure questions resonated</w:t>
      </w:r>
      <w:r w:rsidR="006C3280">
        <w:rPr>
          <w:rFonts w:ascii="Calibri" w:eastAsia="Calibri" w:hAnsi="Calibri" w:cs="Calibri"/>
          <w:color w:val="000000" w:themeColor="text1"/>
        </w:rPr>
        <w:t xml:space="preserve"> and reduce measurement error</w:t>
      </w:r>
      <w:r w:rsidR="00484B38">
        <w:rPr>
          <w:rFonts w:ascii="Calibri" w:eastAsia="Calibri" w:hAnsi="Calibri" w:cs="Calibri"/>
          <w:color w:val="000000" w:themeColor="text1"/>
        </w:rPr>
        <w:t xml:space="preserve">. </w:t>
      </w:r>
      <w:r w:rsidR="00135852">
        <w:rPr>
          <w:rFonts w:ascii="Calibri" w:eastAsia="Calibri" w:hAnsi="Calibri" w:cs="Calibri"/>
          <w:color w:val="000000" w:themeColor="text1"/>
        </w:rPr>
        <w:t>As described in B7, t</w:t>
      </w:r>
      <w:r w:rsidR="00484B38">
        <w:rPr>
          <w:rFonts w:ascii="Calibri" w:eastAsia="Calibri" w:hAnsi="Calibri" w:cs="Calibri"/>
          <w:color w:val="000000" w:themeColor="text1"/>
        </w:rPr>
        <w:t xml:space="preserve">he </w:t>
      </w:r>
      <w:r w:rsidR="00D36B90">
        <w:rPr>
          <w:rFonts w:ascii="Calibri" w:eastAsia="Calibri" w:hAnsi="Calibri" w:cs="Calibri"/>
          <w:color w:val="000000" w:themeColor="text1"/>
        </w:rPr>
        <w:t>C</w:t>
      </w:r>
      <w:r w:rsidR="0081527B">
        <w:rPr>
          <w:rFonts w:ascii="Calibri" w:eastAsia="Calibri" w:hAnsi="Calibri" w:cs="Calibri"/>
          <w:color w:val="000000" w:themeColor="text1"/>
        </w:rPr>
        <w:t>ontractor will also pre-test the</w:t>
      </w:r>
      <w:r w:rsidR="009E55D8">
        <w:rPr>
          <w:rFonts w:ascii="Calibri" w:eastAsia="Calibri" w:hAnsi="Calibri" w:cs="Calibri"/>
          <w:color w:val="000000" w:themeColor="text1"/>
        </w:rPr>
        <w:t xml:space="preserve"> web-based</w:t>
      </w:r>
      <w:r w:rsidR="0081527B">
        <w:rPr>
          <w:rFonts w:ascii="Calibri" w:eastAsia="Calibri" w:hAnsi="Calibri" w:cs="Calibri"/>
          <w:color w:val="000000" w:themeColor="text1"/>
        </w:rPr>
        <w:t xml:space="preserve"> survey to ensure functionalit</w:t>
      </w:r>
      <w:r w:rsidR="009E55D8">
        <w:rPr>
          <w:rFonts w:ascii="Calibri" w:eastAsia="Calibri" w:hAnsi="Calibri" w:cs="Calibri"/>
          <w:color w:val="000000" w:themeColor="text1"/>
        </w:rPr>
        <w:t>y</w:t>
      </w:r>
      <w:r w:rsidR="0081527B">
        <w:rPr>
          <w:rFonts w:ascii="Calibri" w:eastAsia="Calibri" w:hAnsi="Calibri" w:cs="Calibri"/>
          <w:color w:val="000000" w:themeColor="text1"/>
        </w:rPr>
        <w:t xml:space="preserve">. </w:t>
      </w:r>
      <w:r w:rsidR="00484B38">
        <w:rPr>
          <w:rFonts w:ascii="Calibri" w:eastAsia="Calibri" w:hAnsi="Calibri" w:cs="Calibri"/>
          <w:color w:val="000000" w:themeColor="text1"/>
        </w:rPr>
        <w:t xml:space="preserve"> </w:t>
      </w:r>
    </w:p>
    <w:p w:rsidR="008512AB" w:rsidP="67DBE16E" w14:paraId="394013FB" w14:textId="77777777">
      <w:pPr>
        <w:spacing w:after="0" w:line="240" w:lineRule="atLeast"/>
        <w:rPr>
          <w:rFonts w:ascii="Calibri" w:eastAsia="Calibri" w:hAnsi="Calibri" w:cs="Calibri"/>
          <w:color w:val="000000" w:themeColor="text1"/>
        </w:rPr>
      </w:pPr>
    </w:p>
    <w:p w:rsidR="19082033" w:rsidP="67DBE16E" w14:paraId="6C781326" w14:textId="602D0ECB">
      <w:pPr>
        <w:spacing w:after="0" w:line="240" w:lineRule="atLeast"/>
        <w:contextualSpacing/>
        <w:rPr>
          <w:rFonts w:ascii="Calibri" w:eastAsia="Calibri" w:hAnsi="Calibri" w:cs="Calibri"/>
          <w:color w:val="000000" w:themeColor="text1"/>
        </w:rPr>
      </w:pPr>
      <w:r w:rsidRPr="67DBE16E">
        <w:rPr>
          <w:rFonts w:ascii="Calibri" w:eastAsia="Calibri" w:hAnsi="Calibri" w:cs="Calibri"/>
          <w:color w:val="000000" w:themeColor="text1"/>
        </w:rPr>
        <w:t xml:space="preserve">Additionally, only certain modules and questions in </w:t>
      </w:r>
      <w:r w:rsidR="000149DE">
        <w:rPr>
          <w:rFonts w:ascii="Calibri" w:eastAsia="Calibri" w:hAnsi="Calibri" w:cs="Calibri"/>
          <w:color w:val="000000" w:themeColor="text1"/>
        </w:rPr>
        <w:t>Instrument 1</w:t>
      </w:r>
      <w:r w:rsidRPr="67DBE16E">
        <w:rPr>
          <w:rFonts w:ascii="Calibri" w:eastAsia="Calibri" w:hAnsi="Calibri" w:cs="Calibri"/>
          <w:color w:val="000000" w:themeColor="text1"/>
        </w:rPr>
        <w:t xml:space="preserve"> will be asked of </w:t>
      </w:r>
      <w:r w:rsidR="00996832">
        <w:rPr>
          <w:rFonts w:ascii="Calibri" w:eastAsia="Calibri" w:hAnsi="Calibri" w:cs="Calibri"/>
          <w:color w:val="000000" w:themeColor="text1"/>
        </w:rPr>
        <w:t xml:space="preserve">each type of research user, </w:t>
      </w:r>
      <w:r w:rsidR="00303CAF">
        <w:rPr>
          <w:rFonts w:ascii="Calibri" w:eastAsia="Calibri" w:hAnsi="Calibri" w:cs="Calibri"/>
          <w:color w:val="000000" w:themeColor="text1"/>
        </w:rPr>
        <w:t>based on relevance to the group and the guiding questions</w:t>
      </w:r>
      <w:r w:rsidRPr="67DBE16E">
        <w:rPr>
          <w:rFonts w:ascii="Calibri" w:eastAsia="Calibri" w:hAnsi="Calibri" w:cs="Calibri"/>
          <w:color w:val="000000" w:themeColor="text1"/>
        </w:rPr>
        <w:t xml:space="preserve">. </w:t>
      </w:r>
      <w:r w:rsidR="000149DE">
        <w:rPr>
          <w:rFonts w:ascii="Calibri" w:eastAsia="Calibri" w:hAnsi="Calibri" w:cs="Calibri"/>
          <w:color w:val="000000" w:themeColor="text1"/>
        </w:rPr>
        <w:t>Instrument 1</w:t>
      </w:r>
      <w:r w:rsidRPr="67DBE16E">
        <w:rPr>
          <w:rFonts w:ascii="Calibri" w:eastAsia="Calibri" w:hAnsi="Calibri" w:cs="Calibri"/>
          <w:color w:val="000000" w:themeColor="text1"/>
        </w:rPr>
        <w:t xml:space="preserve"> includes </w:t>
      </w:r>
      <w:r w:rsidR="0079010A">
        <w:rPr>
          <w:rFonts w:ascii="Calibri" w:eastAsia="Calibri" w:hAnsi="Calibri" w:cs="Calibri"/>
          <w:color w:val="000000" w:themeColor="text1"/>
        </w:rPr>
        <w:t>guidance directing</w:t>
      </w:r>
      <w:r w:rsidRPr="67DBE16E">
        <w:rPr>
          <w:rFonts w:ascii="Calibri" w:eastAsia="Calibri" w:hAnsi="Calibri" w:cs="Calibri"/>
          <w:color w:val="000000" w:themeColor="text1"/>
        </w:rPr>
        <w:t xml:space="preserve"> interviewers</w:t>
      </w:r>
      <w:r w:rsidR="0079010A">
        <w:rPr>
          <w:rFonts w:ascii="Calibri" w:eastAsia="Calibri" w:hAnsi="Calibri" w:cs="Calibri"/>
          <w:color w:val="000000" w:themeColor="text1"/>
        </w:rPr>
        <w:t xml:space="preserve"> to </w:t>
      </w:r>
      <w:r w:rsidR="00861F5D">
        <w:rPr>
          <w:rFonts w:ascii="Calibri" w:eastAsia="Calibri" w:hAnsi="Calibri" w:cs="Calibri"/>
          <w:color w:val="000000" w:themeColor="text1"/>
        </w:rPr>
        <w:t>the intended questions for each type or research user</w:t>
      </w:r>
      <w:r w:rsidRPr="67DBE16E">
        <w:rPr>
          <w:rFonts w:ascii="Calibri" w:eastAsia="Calibri" w:hAnsi="Calibri" w:cs="Calibri"/>
          <w:color w:val="000000" w:themeColor="text1"/>
        </w:rPr>
        <w:t xml:space="preserve">. The semi-structured nature of </w:t>
      </w:r>
      <w:r w:rsidR="000149DE">
        <w:rPr>
          <w:rFonts w:ascii="Calibri" w:eastAsia="Calibri" w:hAnsi="Calibri" w:cs="Calibri"/>
          <w:color w:val="000000" w:themeColor="text1"/>
        </w:rPr>
        <w:t>Instrument 1</w:t>
      </w:r>
      <w:r w:rsidRPr="67DBE16E">
        <w:rPr>
          <w:rFonts w:ascii="Calibri" w:eastAsia="Calibri" w:hAnsi="Calibri" w:cs="Calibri"/>
          <w:color w:val="000000" w:themeColor="text1"/>
        </w:rPr>
        <w:t xml:space="preserve"> will </w:t>
      </w:r>
      <w:r w:rsidRPr="67DBE16E" w:rsidR="00AA2C87">
        <w:rPr>
          <w:rFonts w:ascii="Calibri" w:eastAsia="Calibri" w:hAnsi="Calibri" w:cs="Calibri"/>
          <w:color w:val="000000" w:themeColor="text1"/>
        </w:rPr>
        <w:t>allow</w:t>
      </w:r>
      <w:r w:rsidRPr="67DBE16E">
        <w:rPr>
          <w:rFonts w:ascii="Calibri" w:eastAsia="Calibri" w:hAnsi="Calibri" w:cs="Calibri"/>
          <w:color w:val="000000" w:themeColor="text1"/>
        </w:rPr>
        <w:t xml:space="preserve"> interviewers to direct discussions </w:t>
      </w:r>
      <w:r w:rsidR="005B629F">
        <w:rPr>
          <w:rFonts w:ascii="Calibri" w:eastAsia="Calibri" w:hAnsi="Calibri" w:cs="Calibri"/>
          <w:color w:val="000000" w:themeColor="text1"/>
        </w:rPr>
        <w:t>to collect the</w:t>
      </w:r>
      <w:r w:rsidR="0089629B">
        <w:rPr>
          <w:rFonts w:ascii="Calibri" w:eastAsia="Calibri" w:hAnsi="Calibri" w:cs="Calibri"/>
          <w:color w:val="000000" w:themeColor="text1"/>
        </w:rPr>
        <w:t xml:space="preserve"> highest-priority </w:t>
      </w:r>
      <w:r w:rsidR="00F01978">
        <w:rPr>
          <w:rFonts w:ascii="Calibri" w:eastAsia="Calibri" w:hAnsi="Calibri" w:cs="Calibri"/>
          <w:color w:val="000000" w:themeColor="text1"/>
        </w:rPr>
        <w:t>information</w:t>
      </w:r>
      <w:r w:rsidR="005B629F">
        <w:rPr>
          <w:rFonts w:ascii="Calibri" w:eastAsia="Calibri" w:hAnsi="Calibri" w:cs="Calibri"/>
          <w:color w:val="000000" w:themeColor="text1"/>
        </w:rPr>
        <w:t xml:space="preserve">. </w:t>
      </w:r>
      <w:r w:rsidRPr="67DBE16E">
        <w:rPr>
          <w:rFonts w:ascii="Calibri" w:eastAsia="Calibri" w:hAnsi="Calibri" w:cs="Calibri"/>
          <w:color w:val="000000" w:themeColor="text1"/>
        </w:rPr>
        <w:t xml:space="preserve"> </w:t>
      </w:r>
    </w:p>
    <w:p w:rsidR="67DBE16E" w:rsidP="67DBE16E" w14:paraId="2E857C73" w14:textId="3DFA8C4C">
      <w:pPr>
        <w:spacing w:after="0" w:line="240" w:lineRule="atLeast"/>
        <w:rPr>
          <w:rFonts w:ascii="Calibri" w:eastAsia="Calibri" w:hAnsi="Calibri" w:cs="Calibri"/>
          <w:color w:val="000000" w:themeColor="text1"/>
        </w:rPr>
      </w:pPr>
    </w:p>
    <w:p w:rsidR="53D20436" w:rsidP="67DBE16E" w14:paraId="5B6C915A" w14:textId="66F34762">
      <w:pPr>
        <w:spacing w:after="0" w:line="240" w:lineRule="atLeast"/>
        <w:rPr>
          <w:rFonts w:ascii="Calibri" w:eastAsia="Calibri" w:hAnsi="Calibri" w:cs="Calibri"/>
          <w:color w:val="000000" w:themeColor="text1"/>
        </w:rPr>
      </w:pPr>
      <w:r w:rsidRPr="67DBE16E">
        <w:rPr>
          <w:rFonts w:ascii="Calibri" w:eastAsia="Calibri" w:hAnsi="Calibri" w:cs="Calibri"/>
          <w:color w:val="000000" w:themeColor="text1"/>
        </w:rPr>
        <w:t xml:space="preserve">Table 1: </w:t>
      </w:r>
      <w:r w:rsidR="004868C1">
        <w:rPr>
          <w:rFonts w:ascii="Calibri" w:eastAsia="Calibri" w:hAnsi="Calibri" w:cs="Calibri"/>
          <w:color w:val="000000" w:themeColor="text1"/>
        </w:rPr>
        <w:t>Learning questions</w:t>
      </w:r>
      <w:r w:rsidR="00A448AB">
        <w:rPr>
          <w:rFonts w:ascii="Calibri" w:eastAsia="Calibri" w:hAnsi="Calibri" w:cs="Calibri"/>
          <w:color w:val="000000" w:themeColor="text1"/>
        </w:rPr>
        <w:t xml:space="preserve"> and </w:t>
      </w:r>
      <w:r w:rsidR="004868C1">
        <w:rPr>
          <w:rFonts w:ascii="Calibri" w:eastAsia="Calibri" w:hAnsi="Calibri" w:cs="Calibri"/>
          <w:color w:val="000000" w:themeColor="text1"/>
        </w:rPr>
        <w:t>associated data collection instrument</w:t>
      </w:r>
      <w:r w:rsidR="00A448AB">
        <w:rPr>
          <w:rFonts w:ascii="Calibri" w:eastAsia="Calibri" w:hAnsi="Calibri" w:cs="Calibri"/>
          <w:color w:val="000000" w:themeColor="text1"/>
        </w:rPr>
        <w:t xml:space="preserve"> modules</w:t>
      </w:r>
      <w:r w:rsidR="004868C1">
        <w:rPr>
          <w:rFonts w:ascii="Calibri" w:eastAsia="Calibri" w:hAnsi="Calibri" w:cs="Calibri"/>
          <w:color w:val="000000" w:themeColor="text1"/>
        </w:rPr>
        <w:t xml:space="preserve"> </w:t>
      </w:r>
    </w:p>
    <w:tbl>
      <w:tblPr>
        <w:tblStyle w:val="TableGrid"/>
        <w:tblW w:w="9360" w:type="dxa"/>
        <w:tblInd w:w="0" w:type="dxa"/>
        <w:tblLayout w:type="fixed"/>
        <w:tblLook w:val="06A0"/>
      </w:tblPr>
      <w:tblGrid>
        <w:gridCol w:w="4680"/>
        <w:gridCol w:w="4680"/>
      </w:tblGrid>
      <w:tr w14:paraId="5D092F01" w14:textId="33B63372" w:rsidTr="002C6724">
        <w:tblPrEx>
          <w:tblW w:w="9360" w:type="dxa"/>
          <w:tblInd w:w="0" w:type="dxa"/>
          <w:tblLayout w:type="fixed"/>
          <w:tblLook w:val="06A0"/>
        </w:tblPrEx>
        <w:trPr>
          <w:trHeight w:val="300"/>
        </w:trPr>
        <w:tc>
          <w:tcPr>
            <w:tcW w:w="4680" w:type="dxa"/>
          </w:tcPr>
          <w:p w:rsidR="00A66CD5" w:rsidP="67DBE16E" w14:paraId="0829CE7A" w14:textId="255F67CD">
            <w:pPr>
              <w:rPr>
                <w:rFonts w:eastAsia="Calibri" w:cstheme="minorHAnsi"/>
                <w:b/>
                <w:color w:val="000000" w:themeColor="text1"/>
              </w:rPr>
            </w:pPr>
            <w:r>
              <w:rPr>
                <w:rFonts w:eastAsia="Calibri" w:asciiTheme="minorHAnsi" w:hAnsiTheme="minorHAnsi" w:cstheme="minorHAnsi"/>
                <w:b/>
                <w:bCs/>
                <w:color w:val="000000" w:themeColor="text1"/>
                <w:sz w:val="22"/>
                <w:szCs w:val="22"/>
              </w:rPr>
              <w:t>Learning question</w:t>
            </w:r>
          </w:p>
        </w:tc>
        <w:tc>
          <w:tcPr>
            <w:tcW w:w="4680" w:type="dxa"/>
          </w:tcPr>
          <w:p w:rsidR="00A66CD5" w:rsidRPr="002C6724" w:rsidP="67DBE16E" w14:paraId="1E79BB10" w14:textId="1E065FD5">
            <w:pPr>
              <w:rPr>
                <w:rFonts w:eastAsia="Calibri" w:asciiTheme="minorHAnsi" w:hAnsiTheme="minorHAnsi" w:cstheme="minorHAnsi"/>
                <w:b/>
                <w:color w:val="000000" w:themeColor="text1"/>
                <w:sz w:val="22"/>
                <w:szCs w:val="22"/>
              </w:rPr>
            </w:pPr>
            <w:r w:rsidRPr="002C6724">
              <w:rPr>
                <w:rFonts w:eastAsia="Calibri" w:asciiTheme="minorHAnsi" w:hAnsiTheme="minorHAnsi" w:cstheme="minorHAnsi"/>
                <w:b/>
                <w:color w:val="000000" w:themeColor="text1"/>
              </w:rPr>
              <w:t>Associated modules</w:t>
            </w:r>
          </w:p>
        </w:tc>
      </w:tr>
      <w:tr w14:paraId="4B761DCB" w14:textId="6BABD3E6" w:rsidTr="002C6724">
        <w:tblPrEx>
          <w:tblW w:w="9360" w:type="dxa"/>
          <w:tblInd w:w="0" w:type="dxa"/>
          <w:tblLayout w:type="fixed"/>
          <w:tblLook w:val="06A0"/>
        </w:tblPrEx>
        <w:trPr>
          <w:trHeight w:val="300"/>
        </w:trPr>
        <w:tc>
          <w:tcPr>
            <w:tcW w:w="4680" w:type="dxa"/>
          </w:tcPr>
          <w:p w:rsidR="00A66CD5" w:rsidRPr="002C6724" w:rsidP="00F939B8" w14:paraId="7D5502CF" w14:textId="2AC6AC6F">
            <w:pPr>
              <w:spacing w:after="60" w:line="257" w:lineRule="auto"/>
              <w:rPr>
                <w:rFonts w:asciiTheme="minorHAnsi" w:hAnsiTheme="minorHAnsi" w:cstheme="minorHAnsi"/>
                <w:sz w:val="22"/>
                <w:szCs w:val="22"/>
              </w:rPr>
            </w:pPr>
            <w:r w:rsidRPr="002C6724">
              <w:rPr>
                <w:rFonts w:eastAsia="Calibri" w:asciiTheme="minorHAnsi" w:hAnsiTheme="minorHAnsi" w:cstheme="minorHAnsi"/>
              </w:rPr>
              <w:t xml:space="preserve">1. What types of information do different user groups need to support their work?  What, if any, are user groups’ perceptions of how well </w:t>
            </w:r>
            <w:r w:rsidR="00480B67">
              <w:rPr>
                <w:rFonts w:eastAsia="Calibri" w:asciiTheme="minorHAnsi" w:hAnsiTheme="minorHAnsi" w:cstheme="minorHAnsi"/>
              </w:rPr>
              <w:t xml:space="preserve">ACF-sponsored </w:t>
            </w:r>
            <w:r w:rsidR="00F0765E">
              <w:rPr>
                <w:rFonts w:eastAsia="Calibri" w:asciiTheme="minorHAnsi" w:hAnsiTheme="minorHAnsi" w:cstheme="minorHAnsi"/>
              </w:rPr>
              <w:t>welfare and</w:t>
            </w:r>
            <w:r w:rsidR="00480B67">
              <w:rPr>
                <w:rFonts w:eastAsia="Calibri" w:asciiTheme="minorHAnsi" w:hAnsiTheme="minorHAnsi" w:cstheme="minorHAnsi"/>
              </w:rPr>
              <w:t xml:space="preserve"> family self-sufficiency</w:t>
            </w:r>
            <w:r w:rsidRPr="002C6724" w:rsidR="00480B67">
              <w:rPr>
                <w:rFonts w:eastAsia="Calibri" w:asciiTheme="minorHAnsi" w:hAnsiTheme="minorHAnsi" w:cstheme="minorHAnsi"/>
              </w:rPr>
              <w:t xml:space="preserve"> </w:t>
            </w:r>
            <w:r w:rsidRPr="002C6724">
              <w:rPr>
                <w:rFonts w:eastAsia="Calibri" w:asciiTheme="minorHAnsi" w:hAnsiTheme="minorHAnsi" w:cstheme="minorHAnsi"/>
              </w:rPr>
              <w:t xml:space="preserve">research meets these needs? </w:t>
            </w:r>
          </w:p>
          <w:p w:rsidR="00A66CD5" w:rsidRPr="00F423C2" w:rsidP="00F939B8" w14:paraId="74FA3F63" w14:textId="77777777">
            <w:pPr>
              <w:spacing w:after="60" w:line="257" w:lineRule="auto"/>
              <w:rPr>
                <w:rFonts w:eastAsia="Calibri" w:cstheme="minorHAnsi"/>
              </w:rPr>
            </w:pPr>
          </w:p>
        </w:tc>
        <w:tc>
          <w:tcPr>
            <w:tcW w:w="4680" w:type="dxa"/>
          </w:tcPr>
          <w:p w:rsidR="00A66CD5" w:rsidRPr="002C6724" w:rsidP="67DBE16E" w14:paraId="76B734A5" w14:textId="77777777">
            <w:pPr>
              <w:rPr>
                <w:rFonts w:eastAsia="Calibri" w:asciiTheme="minorHAnsi" w:hAnsiTheme="minorHAnsi" w:cstheme="minorHAnsi"/>
                <w:b/>
                <w:color w:val="000000" w:themeColor="text1"/>
                <w:sz w:val="22"/>
                <w:szCs w:val="22"/>
              </w:rPr>
            </w:pPr>
            <w:r w:rsidRPr="002C6724">
              <w:rPr>
                <w:rFonts w:eastAsia="Calibri" w:asciiTheme="minorHAnsi" w:hAnsiTheme="minorHAnsi" w:cstheme="minorHAnsi"/>
                <w:b/>
                <w:color w:val="000000" w:themeColor="text1"/>
              </w:rPr>
              <w:t>Instrument 1: Semi-structured focus group discussion guide</w:t>
            </w:r>
          </w:p>
          <w:p w:rsidR="00A66CD5" w:rsidRPr="002C6724" w:rsidP="00317A08" w14:paraId="0BD3755C" w14:textId="77777777">
            <w:pPr>
              <w:pStyle w:val="NoSpacing"/>
              <w:rPr>
                <w:rFonts w:eastAsia="Calibri" w:asciiTheme="minorHAnsi" w:hAnsiTheme="minorHAnsi" w:cstheme="minorHAnsi"/>
                <w:color w:val="000000" w:themeColor="text1"/>
                <w:sz w:val="22"/>
                <w:szCs w:val="22"/>
              </w:rPr>
            </w:pPr>
            <w:r w:rsidRPr="002C6724">
              <w:rPr>
                <w:rFonts w:asciiTheme="minorHAnsi" w:hAnsiTheme="minorHAnsi" w:cstheme="minorHAnsi"/>
              </w:rPr>
              <w:t>Section 1: Research and information needs</w:t>
            </w:r>
          </w:p>
          <w:p w:rsidR="00A66CD5" w:rsidRPr="002C6724" w:rsidP="67DBE16E" w14:paraId="2D79A8E1" w14:textId="77777777">
            <w:pPr>
              <w:rPr>
                <w:rFonts w:eastAsia="Calibri" w:asciiTheme="minorHAnsi" w:hAnsiTheme="minorHAnsi" w:cstheme="minorHAnsi"/>
                <w:color w:val="000000" w:themeColor="text1"/>
                <w:sz w:val="22"/>
                <w:szCs w:val="22"/>
              </w:rPr>
            </w:pPr>
          </w:p>
          <w:p w:rsidR="00A66CD5" w:rsidRPr="002C6724" w:rsidP="67DBE16E" w14:paraId="135EE961" w14:textId="77777777">
            <w:pPr>
              <w:rPr>
                <w:rFonts w:eastAsia="Calibri" w:asciiTheme="minorHAnsi" w:hAnsiTheme="minorHAnsi" w:cstheme="minorHAnsi"/>
                <w:b/>
                <w:color w:val="000000" w:themeColor="text1"/>
                <w:sz w:val="22"/>
                <w:szCs w:val="22"/>
              </w:rPr>
            </w:pPr>
            <w:r w:rsidRPr="002C6724">
              <w:rPr>
                <w:rFonts w:eastAsia="Calibri" w:asciiTheme="minorHAnsi" w:hAnsiTheme="minorHAnsi" w:cstheme="minorHAnsi"/>
                <w:b/>
                <w:bCs/>
                <w:color w:val="000000" w:themeColor="text1"/>
              </w:rPr>
              <w:t>Instrument 2: Web-based survey</w:t>
            </w:r>
          </w:p>
          <w:p w:rsidR="00A66CD5" w:rsidRPr="002C6724" w:rsidP="008C4B46" w14:paraId="49CF8056" w14:textId="33C96E14">
            <w:pPr>
              <w:rPr>
                <w:rFonts w:eastAsia="Calibri" w:asciiTheme="minorHAnsi" w:hAnsiTheme="minorHAnsi" w:cstheme="minorHAnsi"/>
                <w:color w:val="000000" w:themeColor="text1"/>
                <w:sz w:val="22"/>
                <w:szCs w:val="22"/>
              </w:rPr>
            </w:pPr>
            <w:r w:rsidRPr="002C6724">
              <w:rPr>
                <w:rFonts w:eastAsia="Calibri" w:asciiTheme="minorHAnsi" w:hAnsiTheme="minorHAnsi" w:cstheme="minorHAnsi"/>
                <w:color w:val="000000" w:themeColor="text1"/>
              </w:rPr>
              <w:t xml:space="preserve">Section </w:t>
            </w:r>
            <w:r w:rsidRPr="002C6724" w:rsidR="00FE2593">
              <w:rPr>
                <w:rFonts w:eastAsia="Calibri" w:asciiTheme="minorHAnsi" w:hAnsiTheme="minorHAnsi" w:cstheme="minorHAnsi"/>
                <w:color w:val="000000" w:themeColor="text1"/>
              </w:rPr>
              <w:t>A</w:t>
            </w:r>
            <w:r w:rsidRPr="002C6724">
              <w:rPr>
                <w:rFonts w:eastAsia="Calibri" w:asciiTheme="minorHAnsi" w:hAnsiTheme="minorHAnsi" w:cstheme="minorHAnsi"/>
                <w:color w:val="000000" w:themeColor="text1"/>
              </w:rPr>
              <w:t xml:space="preserve">: </w:t>
            </w:r>
            <w:r w:rsidRPr="002C6724">
              <w:rPr>
                <w:rFonts w:eastAsia="Calibri" w:asciiTheme="minorHAnsi" w:hAnsiTheme="minorHAnsi" w:cstheme="minorHAnsi"/>
                <w:color w:val="000000" w:themeColor="text1"/>
              </w:rPr>
              <w:t>Background</w:t>
            </w:r>
          </w:p>
          <w:p w:rsidR="00A66CD5" w:rsidRPr="002C6724" w:rsidP="008C4B46" w14:paraId="3ECC7FA5" w14:textId="7ED820D5">
            <w:pPr>
              <w:rPr>
                <w:rFonts w:eastAsia="Calibri" w:asciiTheme="minorHAnsi" w:hAnsiTheme="minorHAnsi" w:cstheme="minorHAnsi"/>
                <w:color w:val="000000" w:themeColor="text1"/>
                <w:sz w:val="22"/>
                <w:szCs w:val="22"/>
              </w:rPr>
            </w:pPr>
            <w:r w:rsidRPr="002C6724">
              <w:rPr>
                <w:rFonts w:eastAsia="Calibri" w:asciiTheme="minorHAnsi" w:hAnsiTheme="minorHAnsi" w:cstheme="minorHAnsi"/>
                <w:color w:val="000000" w:themeColor="text1"/>
              </w:rPr>
              <w:t xml:space="preserve">Section </w:t>
            </w:r>
            <w:r w:rsidRPr="002C6724" w:rsidR="00FE2593">
              <w:rPr>
                <w:rFonts w:eastAsia="Calibri" w:asciiTheme="minorHAnsi" w:hAnsiTheme="minorHAnsi" w:cstheme="minorHAnsi"/>
                <w:color w:val="000000" w:themeColor="text1"/>
              </w:rPr>
              <w:t>B:</w:t>
            </w:r>
            <w:r w:rsidRPr="002C6724">
              <w:rPr>
                <w:rFonts w:eastAsia="Calibri" w:asciiTheme="minorHAnsi" w:hAnsiTheme="minorHAnsi" w:cstheme="minorHAnsi"/>
                <w:color w:val="000000" w:themeColor="text1"/>
              </w:rPr>
              <w:t xml:space="preserve"> </w:t>
            </w:r>
            <w:r w:rsidRPr="002C6724">
              <w:rPr>
                <w:rFonts w:eastAsia="Calibri" w:asciiTheme="minorHAnsi" w:hAnsiTheme="minorHAnsi" w:cstheme="minorHAnsi"/>
                <w:color w:val="000000" w:themeColor="text1"/>
              </w:rPr>
              <w:t xml:space="preserve">Research use - Patterns </w:t>
            </w:r>
          </w:p>
          <w:p w:rsidR="00A66CD5" w:rsidRPr="002C6724" w:rsidP="008C4B46" w14:paraId="418F436C" w14:textId="341201A8">
            <w:pPr>
              <w:rPr>
                <w:rFonts w:eastAsia="Calibri" w:asciiTheme="minorHAnsi" w:hAnsiTheme="minorHAnsi" w:cstheme="minorHAnsi"/>
                <w:sz w:val="22"/>
                <w:szCs w:val="22"/>
              </w:rPr>
            </w:pPr>
            <w:r w:rsidRPr="002C6724">
              <w:rPr>
                <w:rFonts w:eastAsia="Calibri" w:asciiTheme="minorHAnsi" w:hAnsiTheme="minorHAnsi" w:cstheme="minorHAnsi"/>
                <w:color w:val="000000" w:themeColor="text1"/>
              </w:rPr>
              <w:t xml:space="preserve">Section D: </w:t>
            </w:r>
            <w:r w:rsidRPr="002C6724">
              <w:rPr>
                <w:rFonts w:eastAsia="Calibri" w:asciiTheme="minorHAnsi" w:hAnsiTheme="minorHAnsi" w:cstheme="minorHAnsi"/>
                <w:color w:val="000000" w:themeColor="text1"/>
              </w:rPr>
              <w:t>Information needs and sources</w:t>
            </w:r>
          </w:p>
          <w:p w:rsidR="00A66CD5" w:rsidRPr="002C6724" w:rsidP="67DBE16E" w14:paraId="13FEE266" w14:textId="6D6B8CE8">
            <w:pPr>
              <w:rPr>
                <w:rFonts w:eastAsia="Calibri" w:asciiTheme="minorHAnsi" w:hAnsiTheme="minorHAnsi" w:cstheme="minorHAnsi"/>
                <w:color w:val="000000" w:themeColor="text1"/>
                <w:sz w:val="22"/>
                <w:szCs w:val="22"/>
              </w:rPr>
            </w:pPr>
          </w:p>
        </w:tc>
      </w:tr>
      <w:tr w14:paraId="67001294" w14:textId="77777777" w:rsidTr="002C6724">
        <w:tblPrEx>
          <w:tblW w:w="9360" w:type="dxa"/>
          <w:tblInd w:w="0" w:type="dxa"/>
          <w:tblLayout w:type="fixed"/>
          <w:tblLook w:val="06A0"/>
        </w:tblPrEx>
        <w:trPr>
          <w:trHeight w:val="300"/>
        </w:trPr>
        <w:tc>
          <w:tcPr>
            <w:tcW w:w="4680" w:type="dxa"/>
          </w:tcPr>
          <w:p w:rsidR="00A66CD5" w:rsidRPr="002C6724" w:rsidP="00A448AB" w14:paraId="5D81E5AF" w14:textId="6C5552FD">
            <w:pPr>
              <w:spacing w:after="60" w:line="257" w:lineRule="auto"/>
              <w:rPr>
                <w:rFonts w:asciiTheme="minorHAnsi" w:hAnsiTheme="minorHAnsi" w:cstheme="minorHAnsi"/>
                <w:sz w:val="22"/>
                <w:szCs w:val="22"/>
              </w:rPr>
            </w:pPr>
            <w:r w:rsidRPr="002C6724">
              <w:rPr>
                <w:rFonts w:eastAsia="Calibri" w:asciiTheme="minorHAnsi" w:hAnsiTheme="minorHAnsi" w:cstheme="minorHAnsi"/>
              </w:rPr>
              <w:t xml:space="preserve">2. To what extent are different user groups aware of </w:t>
            </w:r>
            <w:r w:rsidR="00480B67">
              <w:rPr>
                <w:rFonts w:eastAsia="Calibri" w:asciiTheme="minorHAnsi" w:hAnsiTheme="minorHAnsi" w:cstheme="minorHAnsi"/>
              </w:rPr>
              <w:t>ACF-sponsored</w:t>
            </w:r>
            <w:r w:rsidRPr="002C6724" w:rsidR="00480B67">
              <w:rPr>
                <w:rFonts w:eastAsia="Calibri" w:asciiTheme="minorHAnsi" w:hAnsiTheme="minorHAnsi" w:cstheme="minorHAnsi"/>
              </w:rPr>
              <w:t xml:space="preserve"> </w:t>
            </w:r>
            <w:r w:rsidR="00F0765E">
              <w:rPr>
                <w:rFonts w:ascii="Calibri" w:eastAsia="Calibri" w:hAnsi="Calibri" w:cs="Calibri"/>
              </w:rPr>
              <w:t>welfare and family self-sufficiency</w:t>
            </w:r>
            <w:r w:rsidRPr="003C3B91" w:rsidR="00F0765E">
              <w:rPr>
                <w:rFonts w:ascii="Calibri" w:eastAsia="Calibri" w:hAnsi="Calibri" w:cs="Calibri"/>
              </w:rPr>
              <w:t xml:space="preserve"> </w:t>
            </w:r>
            <w:r w:rsidRPr="002C6724">
              <w:rPr>
                <w:rFonts w:eastAsia="Calibri" w:asciiTheme="minorHAnsi" w:hAnsiTheme="minorHAnsi" w:cstheme="minorHAnsi"/>
              </w:rPr>
              <w:t xml:space="preserve">research and what distribution channels have they encountered?  What current </w:t>
            </w:r>
            <w:r w:rsidR="00480B67">
              <w:rPr>
                <w:rFonts w:eastAsia="Calibri" w:asciiTheme="minorHAnsi" w:hAnsiTheme="minorHAnsi" w:cstheme="minorHAnsi"/>
              </w:rPr>
              <w:t>ACF</w:t>
            </w:r>
            <w:r w:rsidRPr="002C6724" w:rsidR="00480B67">
              <w:rPr>
                <w:rFonts w:eastAsia="Calibri" w:asciiTheme="minorHAnsi" w:hAnsiTheme="minorHAnsi" w:cstheme="minorHAnsi"/>
              </w:rPr>
              <w:t xml:space="preserve"> </w:t>
            </w:r>
            <w:r w:rsidRPr="002C6724">
              <w:rPr>
                <w:rFonts w:eastAsia="Calibri" w:asciiTheme="minorHAnsi" w:hAnsiTheme="minorHAnsi" w:cstheme="minorHAnsi"/>
              </w:rPr>
              <w:t xml:space="preserve">dissemination principles, practices, and outlets are most or least effective in supporting research use, from intended users’ perspectives?   </w:t>
            </w:r>
          </w:p>
          <w:p w:rsidR="00A66CD5" w:rsidRPr="002C6724" w:rsidP="00A448AB" w14:paraId="258C0121" w14:textId="77777777">
            <w:pPr>
              <w:spacing w:after="60" w:line="257" w:lineRule="auto"/>
              <w:rPr>
                <w:rFonts w:eastAsia="Calibri" w:asciiTheme="minorHAnsi" w:hAnsiTheme="minorHAnsi" w:cstheme="minorHAnsi"/>
                <w:sz w:val="22"/>
                <w:szCs w:val="22"/>
              </w:rPr>
            </w:pPr>
          </w:p>
        </w:tc>
        <w:tc>
          <w:tcPr>
            <w:tcW w:w="4680" w:type="dxa"/>
          </w:tcPr>
          <w:p w:rsidR="00A66CD5" w:rsidRPr="002C6724" w:rsidP="00A448AB" w14:paraId="7C09A672" w14:textId="77777777">
            <w:pPr>
              <w:rPr>
                <w:rFonts w:eastAsia="Calibri" w:asciiTheme="minorHAnsi" w:hAnsiTheme="minorHAnsi" w:cstheme="minorHAnsi"/>
                <w:b/>
                <w:color w:val="000000" w:themeColor="text1"/>
                <w:sz w:val="22"/>
                <w:szCs w:val="22"/>
              </w:rPr>
            </w:pPr>
            <w:r w:rsidRPr="002C6724">
              <w:rPr>
                <w:rFonts w:eastAsia="Calibri" w:asciiTheme="minorHAnsi" w:hAnsiTheme="minorHAnsi" w:cstheme="minorHAnsi"/>
                <w:b/>
                <w:bCs/>
                <w:color w:val="000000" w:themeColor="text1"/>
              </w:rPr>
              <w:t>Instrument 1: Semi-structured focus group discussion guide</w:t>
            </w:r>
          </w:p>
          <w:p w:rsidR="00A66CD5" w:rsidRPr="002C6724" w:rsidP="00317A08" w14:paraId="58FCEF93" w14:textId="77777777">
            <w:pPr>
              <w:pStyle w:val="NoSpacing"/>
              <w:rPr>
                <w:rFonts w:asciiTheme="minorHAnsi" w:hAnsiTheme="minorHAnsi" w:cstheme="minorHAnsi"/>
                <w:sz w:val="22"/>
                <w:szCs w:val="22"/>
              </w:rPr>
            </w:pPr>
            <w:r w:rsidRPr="002C6724">
              <w:rPr>
                <w:rFonts w:asciiTheme="minorHAnsi" w:hAnsiTheme="minorHAnsi" w:cstheme="minorHAnsi"/>
              </w:rPr>
              <w:t xml:space="preserve">Section 2: Research Use - Processes </w:t>
            </w:r>
          </w:p>
          <w:p w:rsidR="00A66CD5" w:rsidRPr="002C6724" w:rsidP="00317A08" w14:paraId="7A7FADDF" w14:textId="77777777">
            <w:pPr>
              <w:pStyle w:val="NoSpacing"/>
              <w:rPr>
                <w:rFonts w:eastAsia="Calibri" w:asciiTheme="minorHAnsi" w:hAnsiTheme="minorHAnsi" w:cstheme="minorHAnsi"/>
                <w:color w:val="000000" w:themeColor="text1"/>
                <w:sz w:val="22"/>
                <w:szCs w:val="22"/>
              </w:rPr>
            </w:pPr>
            <w:r w:rsidRPr="002C6724">
              <w:rPr>
                <w:rFonts w:asciiTheme="minorHAnsi" w:hAnsiTheme="minorHAnsi" w:cstheme="minorHAnsi"/>
              </w:rPr>
              <w:t>Section 3: Research Use - Awareness &amp; Access</w:t>
            </w:r>
          </w:p>
          <w:p w:rsidR="00A66CD5" w:rsidRPr="002C6724" w:rsidP="00A448AB" w14:paraId="2C9F8792" w14:textId="77777777">
            <w:pPr>
              <w:rPr>
                <w:rFonts w:eastAsia="Calibri" w:asciiTheme="minorHAnsi" w:hAnsiTheme="minorHAnsi" w:cstheme="minorHAnsi"/>
                <w:color w:val="000000" w:themeColor="text1"/>
                <w:sz w:val="22"/>
                <w:szCs w:val="22"/>
              </w:rPr>
            </w:pPr>
          </w:p>
          <w:p w:rsidR="00A66CD5" w:rsidRPr="002C6724" w:rsidP="00A448AB" w14:paraId="6E4C8D9A" w14:textId="77777777">
            <w:pPr>
              <w:rPr>
                <w:rFonts w:eastAsia="Calibri" w:asciiTheme="minorHAnsi" w:hAnsiTheme="minorHAnsi" w:cstheme="minorHAnsi"/>
                <w:b/>
                <w:color w:val="000000" w:themeColor="text1"/>
                <w:sz w:val="22"/>
                <w:szCs w:val="22"/>
              </w:rPr>
            </w:pPr>
            <w:r w:rsidRPr="002C6724">
              <w:rPr>
                <w:rFonts w:eastAsia="Calibri" w:asciiTheme="minorHAnsi" w:hAnsiTheme="minorHAnsi" w:cstheme="minorHAnsi"/>
                <w:b/>
                <w:bCs/>
                <w:color w:val="000000" w:themeColor="text1"/>
              </w:rPr>
              <w:t>Instrument 2: Web-based survey</w:t>
            </w:r>
          </w:p>
          <w:p w:rsidR="00A66CD5" w:rsidRPr="002C6724" w:rsidP="00A66CD5" w14:paraId="31F1C8E0" w14:textId="6FDAC9B8">
            <w:pPr>
              <w:rPr>
                <w:rFonts w:eastAsia="Calibri" w:asciiTheme="minorHAnsi" w:hAnsiTheme="minorHAnsi" w:cstheme="minorHAnsi"/>
                <w:color w:val="000000" w:themeColor="text1"/>
                <w:sz w:val="22"/>
                <w:szCs w:val="22"/>
              </w:rPr>
            </w:pPr>
            <w:r w:rsidRPr="002C6724">
              <w:rPr>
                <w:rFonts w:eastAsia="Calibri" w:asciiTheme="minorHAnsi" w:hAnsiTheme="minorHAnsi" w:cstheme="minorHAnsi"/>
                <w:color w:val="000000" w:themeColor="text1"/>
              </w:rPr>
              <w:t xml:space="preserve">Section B: </w:t>
            </w:r>
            <w:r w:rsidRPr="002C6724">
              <w:rPr>
                <w:rFonts w:eastAsia="Calibri" w:asciiTheme="minorHAnsi" w:hAnsiTheme="minorHAnsi" w:cstheme="minorHAnsi"/>
                <w:color w:val="000000" w:themeColor="text1"/>
              </w:rPr>
              <w:t xml:space="preserve">Research use - Patterns </w:t>
            </w:r>
          </w:p>
          <w:p w:rsidR="00A66CD5" w:rsidRPr="002C6724" w:rsidP="00A66CD5" w14:paraId="340DAB21" w14:textId="2A888900">
            <w:pPr>
              <w:rPr>
                <w:rFonts w:asciiTheme="minorHAnsi" w:hAnsiTheme="minorHAnsi" w:cstheme="minorHAnsi"/>
                <w:sz w:val="22"/>
                <w:szCs w:val="22"/>
              </w:rPr>
            </w:pPr>
            <w:r w:rsidRPr="002C6724">
              <w:rPr>
                <w:rFonts w:eastAsia="Calibri" w:asciiTheme="minorHAnsi" w:hAnsiTheme="minorHAnsi" w:cstheme="minorHAnsi"/>
                <w:color w:val="000000" w:themeColor="text1"/>
              </w:rPr>
              <w:t xml:space="preserve">Section C: </w:t>
            </w:r>
            <w:r w:rsidRPr="002C6724">
              <w:rPr>
                <w:rFonts w:eastAsia="Calibri" w:asciiTheme="minorHAnsi" w:hAnsiTheme="minorHAnsi" w:cstheme="minorHAnsi"/>
                <w:color w:val="000000" w:themeColor="text1"/>
              </w:rPr>
              <w:t>Research use - Awareness and Access</w:t>
            </w:r>
          </w:p>
          <w:p w:rsidR="00A66CD5" w:rsidRPr="002C6724" w:rsidP="00A448AB" w14:paraId="0714095C" w14:textId="19436AE3">
            <w:pPr>
              <w:rPr>
                <w:rFonts w:eastAsia="Calibri" w:asciiTheme="minorHAnsi" w:hAnsiTheme="minorHAnsi" w:cstheme="minorHAnsi"/>
                <w:color w:val="000000" w:themeColor="text1"/>
                <w:sz w:val="22"/>
                <w:szCs w:val="22"/>
              </w:rPr>
            </w:pPr>
          </w:p>
        </w:tc>
      </w:tr>
      <w:tr w14:paraId="1C9C2CE3" w14:textId="50DF934C" w:rsidTr="002C6724">
        <w:tblPrEx>
          <w:tblW w:w="9360" w:type="dxa"/>
          <w:tblInd w:w="0" w:type="dxa"/>
          <w:tblLayout w:type="fixed"/>
          <w:tblLook w:val="06A0"/>
        </w:tblPrEx>
        <w:trPr>
          <w:trHeight w:val="300"/>
        </w:trPr>
        <w:tc>
          <w:tcPr>
            <w:tcW w:w="4680" w:type="dxa"/>
          </w:tcPr>
          <w:p w:rsidR="00A66CD5" w:rsidRPr="002C6724" w:rsidP="00A448AB" w14:paraId="76A08FCB" w14:textId="423E9776">
            <w:pPr>
              <w:spacing w:after="60" w:line="257" w:lineRule="auto"/>
              <w:rPr>
                <w:rFonts w:asciiTheme="minorHAnsi" w:hAnsiTheme="minorHAnsi" w:cstheme="minorHAnsi"/>
                <w:sz w:val="22"/>
                <w:szCs w:val="22"/>
              </w:rPr>
            </w:pPr>
            <w:r w:rsidRPr="002C6724">
              <w:rPr>
                <w:rFonts w:eastAsia="Calibri" w:asciiTheme="minorHAnsi" w:hAnsiTheme="minorHAnsi" w:cstheme="minorHAnsi"/>
              </w:rPr>
              <w:t xml:space="preserve">3. How do different user groups interact with </w:t>
            </w:r>
            <w:r w:rsidR="00480B67">
              <w:rPr>
                <w:rFonts w:eastAsia="Calibri" w:asciiTheme="minorHAnsi" w:hAnsiTheme="minorHAnsi" w:cstheme="minorHAnsi"/>
              </w:rPr>
              <w:t>ACF-sponsored</w:t>
            </w:r>
            <w:r w:rsidRPr="002C6724" w:rsidR="00480B67">
              <w:rPr>
                <w:rFonts w:eastAsia="Calibri" w:asciiTheme="minorHAnsi" w:hAnsiTheme="minorHAnsi" w:cstheme="minorHAnsi"/>
              </w:rPr>
              <w:t xml:space="preserve"> </w:t>
            </w:r>
            <w:r w:rsidR="00F0765E">
              <w:rPr>
                <w:rFonts w:ascii="Calibri" w:eastAsia="Calibri" w:hAnsi="Calibri" w:cs="Calibri"/>
              </w:rPr>
              <w:t>welfare and family self-sufficiency</w:t>
            </w:r>
            <w:r w:rsidRPr="003C3B91" w:rsidR="00F0765E">
              <w:rPr>
                <w:rFonts w:ascii="Calibri" w:eastAsia="Calibri" w:hAnsi="Calibri" w:cs="Calibri"/>
              </w:rPr>
              <w:t xml:space="preserve"> </w:t>
            </w:r>
            <w:r w:rsidRPr="002C6724">
              <w:rPr>
                <w:rFonts w:eastAsia="Calibri" w:asciiTheme="minorHAnsi" w:hAnsiTheme="minorHAnsi" w:cstheme="minorHAnsi"/>
              </w:rPr>
              <w:t xml:space="preserve">research?  How and to what extent do different user groups use </w:t>
            </w:r>
            <w:r w:rsidR="00480B67">
              <w:rPr>
                <w:rFonts w:eastAsia="Calibri" w:asciiTheme="minorHAnsi" w:hAnsiTheme="minorHAnsi" w:cstheme="minorHAnsi"/>
              </w:rPr>
              <w:t>ACF-sponsored</w:t>
            </w:r>
            <w:r w:rsidRPr="002C6724" w:rsidR="00480B67">
              <w:rPr>
                <w:rFonts w:eastAsia="Calibri" w:asciiTheme="minorHAnsi" w:hAnsiTheme="minorHAnsi" w:cstheme="minorHAnsi"/>
              </w:rPr>
              <w:t xml:space="preserve"> </w:t>
            </w:r>
            <w:r w:rsidRPr="002C6724">
              <w:rPr>
                <w:rFonts w:eastAsia="Calibri" w:asciiTheme="minorHAnsi" w:hAnsiTheme="minorHAnsi" w:cstheme="minorHAnsi"/>
              </w:rPr>
              <w:t xml:space="preserve">research in their work?  What types of research use are most common? </w:t>
            </w:r>
          </w:p>
          <w:p w:rsidR="00A66CD5" w:rsidRPr="00F423C2" w:rsidP="00A448AB" w14:paraId="41D2FC63" w14:textId="77777777">
            <w:pPr>
              <w:spacing w:after="60" w:line="257" w:lineRule="auto"/>
              <w:rPr>
                <w:rFonts w:eastAsia="Calibri" w:cstheme="minorHAnsi"/>
              </w:rPr>
            </w:pPr>
          </w:p>
        </w:tc>
        <w:tc>
          <w:tcPr>
            <w:tcW w:w="4680" w:type="dxa"/>
          </w:tcPr>
          <w:p w:rsidR="00A66CD5" w:rsidRPr="002C6724" w:rsidP="00A448AB" w14:paraId="14DCCF80" w14:textId="77777777">
            <w:pPr>
              <w:rPr>
                <w:rFonts w:eastAsia="Calibri" w:asciiTheme="minorHAnsi" w:hAnsiTheme="minorHAnsi" w:cstheme="minorHAnsi"/>
                <w:b/>
                <w:color w:val="000000" w:themeColor="text1"/>
                <w:sz w:val="22"/>
                <w:szCs w:val="22"/>
              </w:rPr>
            </w:pPr>
            <w:r w:rsidRPr="002C6724">
              <w:rPr>
                <w:rFonts w:eastAsia="Calibri" w:asciiTheme="minorHAnsi" w:hAnsiTheme="minorHAnsi" w:cstheme="minorHAnsi"/>
                <w:b/>
                <w:color w:val="000000" w:themeColor="text1"/>
              </w:rPr>
              <w:t>Instrument 1: Semi-structured focus group discussion guide</w:t>
            </w:r>
          </w:p>
          <w:p w:rsidR="00A66CD5" w:rsidRPr="002C6724" w:rsidP="00A07017" w14:paraId="5EAFF387" w14:textId="77777777">
            <w:pPr>
              <w:pStyle w:val="NoSpacing"/>
              <w:rPr>
                <w:rFonts w:eastAsia="Calibri" w:asciiTheme="minorHAnsi" w:hAnsiTheme="minorHAnsi" w:cstheme="minorHAnsi"/>
                <w:color w:val="000000" w:themeColor="text1"/>
                <w:sz w:val="22"/>
                <w:szCs w:val="22"/>
              </w:rPr>
            </w:pPr>
            <w:r w:rsidRPr="002C6724">
              <w:rPr>
                <w:rFonts w:asciiTheme="minorHAnsi" w:hAnsiTheme="minorHAnsi" w:cstheme="minorHAnsi"/>
              </w:rPr>
              <w:t>Section 1: Research and information needs</w:t>
            </w:r>
          </w:p>
          <w:p w:rsidR="00A66CD5" w:rsidRPr="002C6724" w:rsidP="002C6724" w14:paraId="0E41EE19" w14:textId="1F6ADC00">
            <w:pPr>
              <w:pStyle w:val="NoSpacing"/>
              <w:rPr>
                <w:rFonts w:eastAsia="Calibri" w:asciiTheme="minorHAnsi" w:hAnsiTheme="minorHAnsi" w:cstheme="minorHAnsi"/>
                <w:color w:val="000000" w:themeColor="text1"/>
                <w:sz w:val="22"/>
                <w:szCs w:val="22"/>
              </w:rPr>
            </w:pPr>
            <w:r w:rsidRPr="002C6724">
              <w:rPr>
                <w:rFonts w:asciiTheme="minorHAnsi" w:hAnsiTheme="minorHAnsi" w:cstheme="minorHAnsi"/>
              </w:rPr>
              <w:t>Section 3: Research Use - Awareness &amp; Access</w:t>
            </w:r>
          </w:p>
          <w:p w:rsidR="00A66CD5" w:rsidRPr="002C6724" w:rsidP="00A07017" w14:paraId="603FA6A2" w14:textId="77777777">
            <w:pPr>
              <w:pStyle w:val="NoSpacing"/>
              <w:rPr>
                <w:rFonts w:eastAsia="Calibri" w:asciiTheme="minorHAnsi" w:hAnsiTheme="minorHAnsi" w:cstheme="minorHAnsi"/>
                <w:b/>
                <w:sz w:val="22"/>
                <w:szCs w:val="22"/>
              </w:rPr>
            </w:pPr>
            <w:r w:rsidRPr="002C6724">
              <w:rPr>
                <w:rFonts w:asciiTheme="minorHAnsi" w:hAnsiTheme="minorHAnsi" w:cstheme="minorHAnsi"/>
              </w:rPr>
              <w:t xml:space="preserve">Section 4: Barriers, Facilitators &amp; Relationships </w:t>
            </w:r>
          </w:p>
          <w:p w:rsidR="00A66CD5" w:rsidRPr="002C6724" w:rsidP="00A448AB" w14:paraId="67DA7687" w14:textId="77777777">
            <w:pPr>
              <w:rPr>
                <w:rFonts w:eastAsia="Calibri" w:asciiTheme="minorHAnsi" w:hAnsiTheme="minorHAnsi" w:cstheme="minorHAnsi"/>
                <w:color w:val="000000" w:themeColor="text1"/>
                <w:sz w:val="22"/>
                <w:szCs w:val="22"/>
              </w:rPr>
            </w:pPr>
          </w:p>
          <w:p w:rsidR="00A66CD5" w:rsidRPr="002C6724" w:rsidP="00A448AB" w14:paraId="7E9FBE44" w14:textId="75973110">
            <w:pPr>
              <w:rPr>
                <w:rFonts w:eastAsia="Calibri" w:asciiTheme="minorHAnsi" w:hAnsiTheme="minorHAnsi" w:cstheme="minorHAnsi"/>
                <w:b/>
                <w:color w:val="000000" w:themeColor="text1"/>
                <w:sz w:val="22"/>
                <w:szCs w:val="22"/>
              </w:rPr>
            </w:pPr>
            <w:r w:rsidRPr="002C6724">
              <w:rPr>
                <w:rFonts w:eastAsia="Calibri" w:asciiTheme="minorHAnsi" w:hAnsiTheme="minorHAnsi" w:cstheme="minorHAnsi"/>
                <w:b/>
                <w:bCs/>
                <w:color w:val="000000" w:themeColor="text1"/>
              </w:rPr>
              <w:t>Instrument 2: Web-based survey</w:t>
            </w:r>
          </w:p>
          <w:p w:rsidR="00FE2593" w:rsidRPr="002C6724" w:rsidP="00FE2593" w14:paraId="72F00084" w14:textId="77777777">
            <w:pPr>
              <w:rPr>
                <w:rFonts w:eastAsia="Calibri" w:asciiTheme="minorHAnsi" w:hAnsiTheme="minorHAnsi" w:cstheme="minorHAnsi"/>
                <w:sz w:val="22"/>
                <w:szCs w:val="22"/>
              </w:rPr>
            </w:pPr>
            <w:r w:rsidRPr="002C6724">
              <w:rPr>
                <w:rFonts w:eastAsia="Calibri" w:asciiTheme="minorHAnsi" w:hAnsiTheme="minorHAnsi" w:cstheme="minorHAnsi"/>
                <w:color w:val="000000" w:themeColor="text1"/>
              </w:rPr>
              <w:t>Section C: Research use - Awareness and Access</w:t>
            </w:r>
          </w:p>
          <w:p w:rsidR="00A66CD5" w:rsidRPr="002C6724" w:rsidP="00A448AB" w14:paraId="5CF5DE64" w14:textId="32A79705">
            <w:pPr>
              <w:rPr>
                <w:rFonts w:eastAsia="Calibri" w:asciiTheme="minorHAnsi" w:hAnsiTheme="minorHAnsi" w:cstheme="minorHAnsi"/>
                <w:sz w:val="22"/>
                <w:szCs w:val="22"/>
              </w:rPr>
            </w:pPr>
            <w:r w:rsidRPr="002C6724">
              <w:rPr>
                <w:rFonts w:eastAsia="Calibri" w:asciiTheme="minorHAnsi" w:hAnsiTheme="minorHAnsi" w:cstheme="minorHAnsi"/>
                <w:color w:val="000000" w:themeColor="text1"/>
              </w:rPr>
              <w:t xml:space="preserve">Section D: </w:t>
            </w:r>
            <w:r w:rsidRPr="002C6724">
              <w:rPr>
                <w:rFonts w:eastAsia="Calibri" w:asciiTheme="minorHAnsi" w:hAnsiTheme="minorHAnsi" w:cstheme="minorHAnsi"/>
                <w:color w:val="000000" w:themeColor="text1"/>
              </w:rPr>
              <w:t>Information needs and sources</w:t>
            </w:r>
          </w:p>
          <w:p w:rsidR="00A66CD5" w:rsidRPr="002C6724" w:rsidP="00A66CD5" w14:paraId="565264D4" w14:textId="18F05FBF">
            <w:pPr>
              <w:rPr>
                <w:rFonts w:asciiTheme="minorHAnsi" w:hAnsiTheme="minorHAnsi" w:cstheme="minorHAnsi"/>
                <w:sz w:val="22"/>
                <w:szCs w:val="22"/>
              </w:rPr>
            </w:pPr>
            <w:r w:rsidRPr="002C6724">
              <w:rPr>
                <w:rFonts w:eastAsia="Calibri" w:asciiTheme="minorHAnsi" w:hAnsiTheme="minorHAnsi" w:cstheme="minorHAnsi"/>
                <w:color w:val="000000" w:themeColor="text1"/>
              </w:rPr>
              <w:t xml:space="preserve">Section E: </w:t>
            </w:r>
            <w:r w:rsidRPr="002C6724">
              <w:rPr>
                <w:rFonts w:eastAsia="Calibri" w:asciiTheme="minorHAnsi" w:hAnsiTheme="minorHAnsi" w:cstheme="minorHAnsi"/>
                <w:color w:val="000000" w:themeColor="text1"/>
              </w:rPr>
              <w:t>Facilitators and barriers</w:t>
            </w:r>
          </w:p>
          <w:p w:rsidR="00A66CD5" w:rsidRPr="002C6724" w:rsidP="00A448AB" w14:paraId="4BF992F5" w14:textId="76111592">
            <w:pPr>
              <w:rPr>
                <w:rFonts w:eastAsia="Calibri" w:asciiTheme="minorHAnsi" w:hAnsiTheme="minorHAnsi" w:cstheme="minorHAnsi"/>
                <w:color w:val="000000" w:themeColor="text1"/>
                <w:sz w:val="22"/>
                <w:szCs w:val="22"/>
              </w:rPr>
            </w:pPr>
          </w:p>
        </w:tc>
      </w:tr>
      <w:tr w14:paraId="7ED0C3B6" w14:textId="77777777" w:rsidTr="002C6724">
        <w:tblPrEx>
          <w:tblW w:w="9360" w:type="dxa"/>
          <w:tblInd w:w="0" w:type="dxa"/>
          <w:tblLayout w:type="fixed"/>
          <w:tblLook w:val="06A0"/>
        </w:tblPrEx>
        <w:trPr>
          <w:trHeight w:val="300"/>
        </w:trPr>
        <w:tc>
          <w:tcPr>
            <w:tcW w:w="4680" w:type="dxa"/>
          </w:tcPr>
          <w:p w:rsidR="00A66CD5" w:rsidRPr="002C6724" w:rsidP="00A448AB" w14:paraId="47B1E2AD" w14:textId="76456D85">
            <w:pPr>
              <w:spacing w:after="60" w:line="257" w:lineRule="auto"/>
              <w:rPr>
                <w:rFonts w:asciiTheme="minorHAnsi" w:hAnsiTheme="minorHAnsi" w:cstheme="minorHAnsi"/>
                <w:sz w:val="22"/>
                <w:szCs w:val="22"/>
              </w:rPr>
            </w:pPr>
            <w:r w:rsidRPr="002C6724">
              <w:rPr>
                <w:rFonts w:eastAsia="Calibri" w:asciiTheme="minorHAnsi" w:hAnsiTheme="minorHAnsi" w:cstheme="minorHAnsi"/>
              </w:rPr>
              <w:t xml:space="preserve">4. What organizational factors impede or facilitate the use of </w:t>
            </w:r>
            <w:r w:rsidR="00480B67">
              <w:rPr>
                <w:rFonts w:eastAsia="Calibri" w:asciiTheme="minorHAnsi" w:hAnsiTheme="minorHAnsi" w:cstheme="minorHAnsi"/>
              </w:rPr>
              <w:t>ACF-sponsored</w:t>
            </w:r>
            <w:r w:rsidRPr="002C6724" w:rsidR="00480B67">
              <w:rPr>
                <w:rFonts w:eastAsia="Calibri" w:asciiTheme="minorHAnsi" w:hAnsiTheme="minorHAnsi" w:cstheme="minorHAnsi"/>
              </w:rPr>
              <w:t xml:space="preserve"> </w:t>
            </w:r>
            <w:r w:rsidR="00F0765E">
              <w:rPr>
                <w:rFonts w:ascii="Calibri" w:eastAsia="Calibri" w:hAnsi="Calibri" w:cs="Calibri"/>
              </w:rPr>
              <w:t>welfare and family self-sufficiency</w:t>
            </w:r>
            <w:r w:rsidRPr="003C3B91" w:rsidR="00F0765E">
              <w:rPr>
                <w:rFonts w:ascii="Calibri" w:eastAsia="Calibri" w:hAnsi="Calibri" w:cs="Calibri"/>
              </w:rPr>
              <w:t xml:space="preserve"> </w:t>
            </w:r>
            <w:r w:rsidRPr="002C6724">
              <w:rPr>
                <w:rFonts w:eastAsia="Calibri" w:asciiTheme="minorHAnsi" w:hAnsiTheme="minorHAnsi" w:cstheme="minorHAnsi"/>
              </w:rPr>
              <w:t>research among different user groups?</w:t>
            </w:r>
          </w:p>
          <w:p w:rsidR="00A66CD5" w:rsidRPr="002C6724" w:rsidP="00A448AB" w14:paraId="58C3D435" w14:textId="77777777">
            <w:pPr>
              <w:spacing w:after="60" w:line="257" w:lineRule="auto"/>
              <w:rPr>
                <w:rFonts w:eastAsia="Calibri" w:asciiTheme="minorHAnsi" w:hAnsiTheme="minorHAnsi" w:cstheme="minorHAnsi"/>
                <w:sz w:val="22"/>
                <w:szCs w:val="22"/>
              </w:rPr>
            </w:pPr>
          </w:p>
        </w:tc>
        <w:tc>
          <w:tcPr>
            <w:tcW w:w="4680" w:type="dxa"/>
          </w:tcPr>
          <w:p w:rsidR="00A66CD5" w:rsidRPr="002C6724" w:rsidP="00A448AB" w14:paraId="5C8DFD85" w14:textId="77777777">
            <w:pPr>
              <w:rPr>
                <w:rFonts w:eastAsia="Calibri" w:asciiTheme="minorHAnsi" w:hAnsiTheme="minorHAnsi" w:cstheme="minorHAnsi"/>
                <w:b/>
                <w:color w:val="000000" w:themeColor="text1"/>
                <w:sz w:val="22"/>
                <w:szCs w:val="22"/>
              </w:rPr>
            </w:pPr>
            <w:r w:rsidRPr="002C6724">
              <w:rPr>
                <w:rFonts w:eastAsia="Calibri" w:asciiTheme="minorHAnsi" w:hAnsiTheme="minorHAnsi" w:cstheme="minorHAnsi"/>
                <w:b/>
                <w:bCs/>
                <w:color w:val="000000" w:themeColor="text1"/>
              </w:rPr>
              <w:t>Instrument 1: Semi-structured focus group discussion guide</w:t>
            </w:r>
          </w:p>
          <w:p w:rsidR="00A66CD5" w:rsidRPr="002C6724" w:rsidP="00A07017" w14:paraId="691F441F" w14:textId="77777777">
            <w:pPr>
              <w:pStyle w:val="NoSpacing"/>
              <w:rPr>
                <w:rFonts w:eastAsia="Calibri" w:asciiTheme="minorHAnsi" w:hAnsiTheme="minorHAnsi" w:cstheme="minorHAnsi"/>
                <w:b/>
                <w:sz w:val="22"/>
                <w:szCs w:val="22"/>
              </w:rPr>
            </w:pPr>
            <w:r w:rsidRPr="002C6724">
              <w:rPr>
                <w:rFonts w:asciiTheme="minorHAnsi" w:hAnsiTheme="minorHAnsi" w:cstheme="minorHAnsi"/>
              </w:rPr>
              <w:t xml:space="preserve">Section 4: Barriers, Facilitators &amp; Relationships </w:t>
            </w:r>
          </w:p>
          <w:p w:rsidR="00A66CD5" w:rsidRPr="002C6724" w:rsidP="00A07017" w14:paraId="6A27C3EB" w14:textId="6F854BD3">
            <w:pPr>
              <w:rPr>
                <w:rFonts w:asciiTheme="minorHAnsi" w:hAnsiTheme="minorHAnsi" w:cstheme="minorHAnsi"/>
                <w:sz w:val="22"/>
                <w:szCs w:val="22"/>
              </w:rPr>
            </w:pPr>
            <w:r w:rsidRPr="002C6724">
              <w:rPr>
                <w:rFonts w:asciiTheme="minorHAnsi" w:hAnsiTheme="minorHAnsi" w:cstheme="minorHAnsi"/>
              </w:rPr>
              <w:t>Section 5: Future Directions &amp; Recommendations</w:t>
            </w:r>
          </w:p>
          <w:p w:rsidR="00A66CD5" w:rsidRPr="002C6724" w:rsidP="00A07017" w14:paraId="1E7221B1" w14:textId="77777777">
            <w:pPr>
              <w:rPr>
                <w:rFonts w:eastAsia="Calibri" w:asciiTheme="minorHAnsi" w:hAnsiTheme="minorHAnsi" w:cstheme="minorHAnsi"/>
                <w:color w:val="000000" w:themeColor="text1"/>
                <w:sz w:val="22"/>
                <w:szCs w:val="22"/>
              </w:rPr>
            </w:pPr>
          </w:p>
          <w:p w:rsidR="00A66CD5" w:rsidRPr="002C6724" w:rsidP="00A448AB" w14:paraId="2E69374E" w14:textId="77777777">
            <w:pPr>
              <w:rPr>
                <w:rFonts w:eastAsia="Calibri" w:asciiTheme="minorHAnsi" w:hAnsiTheme="minorHAnsi" w:cstheme="minorHAnsi"/>
                <w:b/>
                <w:color w:val="000000" w:themeColor="text1"/>
                <w:sz w:val="22"/>
                <w:szCs w:val="22"/>
              </w:rPr>
            </w:pPr>
            <w:r w:rsidRPr="002C6724">
              <w:rPr>
                <w:rFonts w:eastAsia="Calibri" w:asciiTheme="minorHAnsi" w:hAnsiTheme="minorHAnsi" w:cstheme="minorHAnsi"/>
                <w:b/>
                <w:bCs/>
                <w:color w:val="000000" w:themeColor="text1"/>
              </w:rPr>
              <w:t>Instrument 2: Web-based survey</w:t>
            </w:r>
          </w:p>
          <w:p w:rsidR="00A66CD5" w:rsidRPr="002C6724" w:rsidP="00A66CD5" w14:paraId="41A18E80" w14:textId="189A8639">
            <w:pPr>
              <w:rPr>
                <w:rFonts w:asciiTheme="minorHAnsi" w:hAnsiTheme="minorHAnsi" w:cstheme="minorHAnsi"/>
                <w:sz w:val="22"/>
                <w:szCs w:val="22"/>
              </w:rPr>
            </w:pPr>
            <w:r w:rsidRPr="002C6724">
              <w:rPr>
                <w:rFonts w:eastAsia="Calibri" w:asciiTheme="minorHAnsi" w:hAnsiTheme="minorHAnsi" w:cstheme="minorHAnsi"/>
                <w:color w:val="000000" w:themeColor="text1"/>
              </w:rPr>
              <w:t xml:space="preserve">Section E: </w:t>
            </w:r>
            <w:r w:rsidRPr="002C6724">
              <w:rPr>
                <w:rFonts w:eastAsia="Calibri" w:asciiTheme="minorHAnsi" w:hAnsiTheme="minorHAnsi" w:cstheme="minorHAnsi"/>
                <w:color w:val="000000" w:themeColor="text1"/>
              </w:rPr>
              <w:t>Facilitators and barriers</w:t>
            </w:r>
          </w:p>
          <w:p w:rsidR="00A66CD5" w:rsidRPr="002C6724" w:rsidP="00A66CD5" w14:paraId="6BB0CA72" w14:textId="2D176705">
            <w:pPr>
              <w:rPr>
                <w:rFonts w:eastAsia="Calibri" w:asciiTheme="minorHAnsi" w:hAnsiTheme="minorHAnsi" w:cstheme="minorHAnsi"/>
                <w:color w:val="000000" w:themeColor="text1"/>
                <w:sz w:val="22"/>
                <w:szCs w:val="22"/>
              </w:rPr>
            </w:pPr>
            <w:r w:rsidRPr="002C6724">
              <w:rPr>
                <w:rFonts w:eastAsia="Calibri" w:asciiTheme="minorHAnsi" w:hAnsiTheme="minorHAnsi" w:cstheme="minorHAnsi"/>
                <w:color w:val="000000" w:themeColor="text1"/>
              </w:rPr>
              <w:t xml:space="preserve">Section F: </w:t>
            </w:r>
            <w:r w:rsidRPr="002C6724">
              <w:rPr>
                <w:rFonts w:eastAsia="Calibri" w:asciiTheme="minorHAnsi" w:hAnsiTheme="minorHAnsi" w:cstheme="minorHAnsi"/>
                <w:color w:val="000000" w:themeColor="text1"/>
              </w:rPr>
              <w:t>Future directions</w:t>
            </w:r>
          </w:p>
        </w:tc>
      </w:tr>
    </w:tbl>
    <w:p w:rsidR="00F85D35" w:rsidRPr="00901040" w:rsidP="00901040" w14:paraId="0AB97A4E"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P="00F85D35"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BB2925" w:rsidRPr="00533FC5" w:rsidP="00DF1291" w14:paraId="482B44C1" w14:textId="6087777B">
      <w:pPr>
        <w:autoSpaceDE w:val="0"/>
        <w:autoSpaceDN w:val="0"/>
        <w:adjustRightInd w:val="0"/>
        <w:spacing w:after="0" w:line="240" w:lineRule="atLeast"/>
        <w:rPr>
          <w:rFonts w:cstheme="minorHAnsi"/>
        </w:rPr>
      </w:pPr>
      <w:r w:rsidRPr="67DBE16E">
        <w:rPr>
          <w:rFonts w:ascii="Calibri" w:eastAsia="Calibri" w:hAnsi="Calibri" w:cs="Calibri"/>
          <w:color w:val="000000" w:themeColor="text1"/>
        </w:rPr>
        <w:t xml:space="preserve">Mathematica, an ACF contractor, and its subcontractor, MEF, will collect </w:t>
      </w:r>
      <w:r w:rsidR="00604C29">
        <w:rPr>
          <w:rFonts w:ascii="Calibri" w:eastAsia="Calibri" w:hAnsi="Calibri" w:cs="Calibri"/>
          <w:color w:val="000000" w:themeColor="text1"/>
        </w:rPr>
        <w:t>all</w:t>
      </w:r>
      <w:r w:rsidRPr="67DBE16E">
        <w:rPr>
          <w:rFonts w:ascii="Calibri" w:eastAsia="Calibri" w:hAnsi="Calibri" w:cs="Calibri"/>
          <w:color w:val="000000" w:themeColor="text1"/>
        </w:rPr>
        <w:t xml:space="preserve"> data. </w:t>
      </w:r>
      <w:r w:rsidRPr="00EE0FE0" w:rsidR="008444E1">
        <w:rPr>
          <w:rFonts w:ascii="Segoe UI" w:eastAsia="Segoe UI" w:hAnsi="Segoe UI" w:cs="Segoe UI"/>
          <w:sz w:val="20"/>
          <w:szCs w:val="20"/>
        </w:rPr>
        <w:t>Contractor staff will</w:t>
      </w:r>
      <w:r w:rsidRPr="009370B1" w:rsidR="008444E1">
        <w:rPr>
          <w:rFonts w:ascii="Segoe UI" w:eastAsia="Segoe UI" w:hAnsi="Segoe UI" w:cs="Segoe UI"/>
          <w:sz w:val="20"/>
          <w:szCs w:val="20"/>
        </w:rPr>
        <w:t xml:space="preserve"> lead </w:t>
      </w:r>
      <w:r w:rsidRPr="00B750A4" w:rsidR="008444E1">
        <w:rPr>
          <w:rFonts w:eastAsia="Segoe UI" w:cstheme="minorHAnsi"/>
        </w:rPr>
        <w:t xml:space="preserve">recruitment efforts with support from </w:t>
      </w:r>
      <w:r w:rsidRPr="00B750A4" w:rsidR="00480B67">
        <w:rPr>
          <w:rFonts w:eastAsia="Segoe UI" w:cstheme="minorHAnsi"/>
        </w:rPr>
        <w:t>ACF</w:t>
      </w:r>
      <w:r w:rsidRPr="00B750A4" w:rsidR="008444E1">
        <w:rPr>
          <w:rFonts w:eastAsia="Segoe UI" w:cstheme="minorHAnsi"/>
        </w:rPr>
        <w:t>.</w:t>
      </w:r>
    </w:p>
    <w:p w:rsidR="00BB2925" w:rsidRPr="00B750A4" w:rsidP="67DBE16E" w14:paraId="5ED487F9" w14:textId="0271E4A0">
      <w:pPr>
        <w:autoSpaceDE w:val="0"/>
        <w:autoSpaceDN w:val="0"/>
        <w:adjustRightInd w:val="0"/>
        <w:spacing w:after="0" w:line="240" w:lineRule="atLeast"/>
        <w:rPr>
          <w:rFonts w:eastAsia="Calibri" w:cstheme="minorHAnsi"/>
          <w:color w:val="000000" w:themeColor="text1"/>
        </w:rPr>
      </w:pPr>
    </w:p>
    <w:p w:rsidR="00BB2925" w:rsidRPr="00533FC5" w:rsidP="67DBE16E" w14:paraId="4255192D" w14:textId="3DDBB85B">
      <w:pPr>
        <w:autoSpaceDE w:val="0"/>
        <w:autoSpaceDN w:val="0"/>
        <w:adjustRightInd w:val="0"/>
        <w:spacing w:after="0" w:line="240" w:lineRule="atLeast"/>
        <w:rPr>
          <w:rFonts w:cstheme="minorHAnsi"/>
          <w:b/>
        </w:rPr>
      </w:pPr>
      <w:r w:rsidRPr="00B750A4">
        <w:rPr>
          <w:rFonts w:eastAsia="Calibri" w:cstheme="minorHAnsi"/>
          <w:b/>
          <w:bCs/>
        </w:rPr>
        <w:t>Instrument 1: Semi-structured focus group discussion guide</w:t>
      </w:r>
    </w:p>
    <w:p w:rsidR="009D07DA" w:rsidP="0034531B" w14:paraId="6D57A3C1" w14:textId="22A66EF0">
      <w:pPr>
        <w:spacing w:after="0" w:line="240" w:lineRule="auto"/>
        <w:rPr>
          <w:rFonts w:eastAsia="Segoe UI" w:cstheme="minorHAnsi"/>
        </w:rPr>
      </w:pPr>
      <w:r w:rsidRPr="00B750A4">
        <w:rPr>
          <w:rFonts w:eastAsia="Segoe UI" w:cstheme="minorHAnsi"/>
        </w:rPr>
        <w:t>As described in B</w:t>
      </w:r>
      <w:r w:rsidRPr="00B750A4" w:rsidR="007A168D">
        <w:rPr>
          <w:rFonts w:eastAsia="Segoe UI" w:cstheme="minorHAnsi"/>
        </w:rPr>
        <w:t>2, r</w:t>
      </w:r>
      <w:r w:rsidRPr="00B750A4">
        <w:rPr>
          <w:rFonts w:eastAsia="Segoe UI" w:cstheme="minorHAnsi"/>
        </w:rPr>
        <w:t>ecruitment</w:t>
      </w:r>
      <w:r w:rsidRPr="00B750A4" w:rsidR="4F00EC2E">
        <w:rPr>
          <w:rFonts w:eastAsia="Segoe UI" w:cstheme="minorHAnsi"/>
        </w:rPr>
        <w:t xml:space="preserve"> will occur through personalized email invitations, phone calls, and intermediaries at other organizations. </w:t>
      </w:r>
      <w:r w:rsidRPr="00B750A4">
        <w:rPr>
          <w:rFonts w:eastAsia="Segoe UI" w:cstheme="minorHAnsi"/>
        </w:rPr>
        <w:t xml:space="preserve">The </w:t>
      </w:r>
      <w:r w:rsidRPr="00B750A4" w:rsidR="009D2A31">
        <w:rPr>
          <w:rFonts w:eastAsia="Segoe UI" w:cstheme="minorHAnsi"/>
        </w:rPr>
        <w:t>C</w:t>
      </w:r>
      <w:r w:rsidRPr="00B750A4">
        <w:rPr>
          <w:rFonts w:eastAsia="Segoe UI" w:cstheme="minorHAnsi"/>
        </w:rPr>
        <w:t xml:space="preserve">ontractor </w:t>
      </w:r>
      <w:r w:rsidRPr="00B750A4" w:rsidR="0044770F">
        <w:rPr>
          <w:rFonts w:eastAsia="Segoe UI" w:cstheme="minorHAnsi"/>
        </w:rPr>
        <w:t>has developed</w:t>
      </w:r>
      <w:r w:rsidRPr="00B750A4">
        <w:rPr>
          <w:rFonts w:eastAsia="Segoe UI" w:cstheme="minorHAnsi"/>
        </w:rPr>
        <w:t xml:space="preserve"> an outreach email for distribution to potential virtual focus group participants inviting them to the session. Attachment 1 includes the outreach email language for the focus groups. </w:t>
      </w:r>
    </w:p>
    <w:p w:rsidR="0034531B" w:rsidRPr="00B750A4" w:rsidP="0034531B" w14:paraId="0BB9BCC5" w14:textId="77777777">
      <w:pPr>
        <w:spacing w:after="0" w:line="240" w:lineRule="auto"/>
        <w:rPr>
          <w:rFonts w:eastAsia="Segoe UI" w:cstheme="minorHAnsi"/>
        </w:rPr>
      </w:pPr>
    </w:p>
    <w:p w:rsidR="00442914" w:rsidP="0034531B" w14:paraId="3F5EDDA3" w14:textId="77777777">
      <w:pPr>
        <w:spacing w:after="0" w:line="240" w:lineRule="auto"/>
        <w:rPr>
          <w:rFonts w:eastAsia="Segoe UI" w:cstheme="minorHAnsi"/>
        </w:rPr>
      </w:pPr>
      <w:r w:rsidRPr="00B750A4">
        <w:rPr>
          <w:rFonts w:eastAsia="Segoe UI" w:cstheme="minorHAnsi"/>
        </w:rPr>
        <w:t xml:space="preserve">The </w:t>
      </w:r>
      <w:r w:rsidRPr="00B750A4" w:rsidR="00355E77">
        <w:rPr>
          <w:rFonts w:eastAsia="Segoe UI" w:cstheme="minorHAnsi"/>
        </w:rPr>
        <w:t>C</w:t>
      </w:r>
      <w:r w:rsidRPr="00B750A4" w:rsidR="00D75FB0">
        <w:rPr>
          <w:rFonts w:eastAsia="Segoe UI" w:cstheme="minorHAnsi"/>
        </w:rPr>
        <w:t>ontractor</w:t>
      </w:r>
      <w:r w:rsidRPr="00B750A4">
        <w:rPr>
          <w:rFonts w:eastAsia="Segoe UI" w:cstheme="minorHAnsi"/>
        </w:rPr>
        <w:t xml:space="preserve"> will use the semi-structured focus group discussion guide (Instrument 1) for each group.</w:t>
      </w:r>
      <w:r w:rsidRPr="00B750A4" w:rsidR="00917EE3">
        <w:rPr>
          <w:rFonts w:eastAsia="Segoe UI" w:cstheme="minorHAnsi"/>
        </w:rPr>
        <w:t xml:space="preserve"> </w:t>
      </w:r>
      <w:r w:rsidRPr="00B750A4">
        <w:rPr>
          <w:rFonts w:eastAsia="Segoe UI" w:cstheme="minorHAnsi"/>
        </w:rPr>
        <w:t xml:space="preserve">The </w:t>
      </w:r>
      <w:r w:rsidRPr="00B750A4" w:rsidR="00355E77">
        <w:rPr>
          <w:rFonts w:eastAsia="Segoe UI" w:cstheme="minorHAnsi"/>
        </w:rPr>
        <w:t>C</w:t>
      </w:r>
      <w:r w:rsidRPr="00B750A4">
        <w:rPr>
          <w:rFonts w:eastAsia="Segoe UI" w:cstheme="minorHAnsi"/>
        </w:rPr>
        <w:t>ontractor will conduct four focus groups with up to nine individuals each</w:t>
      </w:r>
      <w:r w:rsidRPr="00B750A4" w:rsidR="00917EE3">
        <w:rPr>
          <w:rFonts w:eastAsia="Segoe UI" w:cstheme="minorHAnsi"/>
        </w:rPr>
        <w:t>.</w:t>
      </w:r>
      <w:r w:rsidRPr="00B750A4">
        <w:rPr>
          <w:rFonts w:eastAsia="Segoe UI" w:cstheme="minorHAnsi"/>
        </w:rPr>
        <w:t xml:space="preserve"> Focus groups will be conducted virtually, using Webex, a video conferencing platform. Contractor staff will set up a convenient time to meet virtually, either over videoconference or telephone. Contractor staff </w:t>
      </w:r>
      <w:r w:rsidRPr="00B750A4" w:rsidR="0036218E">
        <w:rPr>
          <w:rFonts w:eastAsia="Segoe UI" w:cstheme="minorHAnsi"/>
        </w:rPr>
        <w:t xml:space="preserve">who lead focus groups will </w:t>
      </w:r>
      <w:r w:rsidRPr="00B750A4" w:rsidR="00F47D1F">
        <w:rPr>
          <w:rFonts w:eastAsia="Segoe UI" w:cstheme="minorHAnsi"/>
        </w:rPr>
        <w:t>be those who developed and are deeply familiar with the discussion guide or</w:t>
      </w:r>
      <w:r w:rsidRPr="00B750A4">
        <w:rPr>
          <w:rFonts w:eastAsia="Segoe UI" w:cstheme="minorHAnsi"/>
        </w:rPr>
        <w:t xml:space="preserve"> will be trained on how to implement the discussion guide by project leadership before conducting any discussions. </w:t>
      </w:r>
    </w:p>
    <w:p w:rsidR="0034531B" w:rsidP="0034531B" w14:paraId="394B4734" w14:textId="77777777">
      <w:pPr>
        <w:spacing w:after="0" w:line="240" w:lineRule="auto"/>
        <w:rPr>
          <w:rFonts w:eastAsia="Segoe UI" w:cstheme="minorHAnsi"/>
        </w:rPr>
      </w:pPr>
    </w:p>
    <w:p w:rsidR="00675470" w:rsidP="0034531B" w14:paraId="503FEDBE" w14:textId="5B1F7518">
      <w:pPr>
        <w:spacing w:after="0" w:line="240" w:lineRule="auto"/>
        <w:rPr>
          <w:rFonts w:eastAsia="Segoe UI" w:cstheme="minorHAnsi"/>
        </w:rPr>
      </w:pPr>
      <w:r>
        <w:rPr>
          <w:rFonts w:eastAsia="Segoe UI" w:cstheme="minorHAnsi"/>
        </w:rPr>
        <w:t xml:space="preserve">Contractor staff leading focus groups will obtain informed consent from participants. </w:t>
      </w:r>
      <w:r w:rsidR="009E3164">
        <w:rPr>
          <w:rFonts w:eastAsia="Segoe UI" w:cstheme="minorHAnsi"/>
        </w:rPr>
        <w:t>A</w:t>
      </w:r>
      <w:r w:rsidR="0031406F">
        <w:rPr>
          <w:rFonts w:eastAsia="Segoe UI" w:cstheme="minorHAnsi"/>
        </w:rPr>
        <w:t xml:space="preserve"> </w:t>
      </w:r>
      <w:r w:rsidRPr="009E3164" w:rsidR="009E3164">
        <w:rPr>
          <w:rFonts w:eastAsia="Segoe UI" w:cstheme="minorHAnsi"/>
        </w:rPr>
        <w:t xml:space="preserve">copy of the informed consent </w:t>
      </w:r>
      <w:r>
        <w:rPr>
          <w:rFonts w:eastAsia="Segoe UI" w:cstheme="minorHAnsi"/>
        </w:rPr>
        <w:t>will</w:t>
      </w:r>
      <w:r w:rsidRPr="009E3164" w:rsidR="009E3164">
        <w:rPr>
          <w:rFonts w:eastAsia="Segoe UI" w:cstheme="minorHAnsi"/>
        </w:rPr>
        <w:t xml:space="preserve"> be attached to the meeting invitation so participants will have an opportunity to review before the discussion.</w:t>
      </w:r>
      <w:r w:rsidR="00442914">
        <w:rPr>
          <w:rFonts w:eastAsia="Segoe UI" w:cstheme="minorHAnsi"/>
        </w:rPr>
        <w:t xml:space="preserve"> A</w:t>
      </w:r>
      <w:r w:rsidRPr="009E3164" w:rsidR="009E3164">
        <w:rPr>
          <w:rFonts w:eastAsia="Segoe UI" w:cstheme="minorHAnsi"/>
        </w:rPr>
        <w:t>t the start of each focus group,</w:t>
      </w:r>
      <w:r w:rsidR="00442914">
        <w:rPr>
          <w:rFonts w:eastAsia="Segoe UI" w:cstheme="minorHAnsi"/>
        </w:rPr>
        <w:t xml:space="preserve"> contractor</w:t>
      </w:r>
      <w:r w:rsidRPr="009E3164" w:rsidR="009E3164">
        <w:rPr>
          <w:rFonts w:eastAsia="Segoe UI" w:cstheme="minorHAnsi"/>
        </w:rPr>
        <w:t xml:space="preserve"> staff leading the discussion will explain the voluntary nature of the discussion, including the opportunity to not answer a question, and request permission to record the discussion.</w:t>
      </w:r>
      <w:r w:rsidR="00442914">
        <w:rPr>
          <w:rFonts w:eastAsia="Segoe UI" w:cstheme="minorHAnsi"/>
        </w:rPr>
        <w:t xml:space="preserve"> Contractor</w:t>
      </w:r>
      <w:r w:rsidRPr="009E3164" w:rsidR="009E3164">
        <w:rPr>
          <w:rFonts w:eastAsia="Segoe UI" w:cstheme="minorHAnsi"/>
        </w:rPr>
        <w:t xml:space="preserve"> staff will request the participants state for the record that they consent to participate in the discussion and to the recording of the discussion for note-taking purposes. </w:t>
      </w:r>
      <w:r w:rsidR="00442914">
        <w:rPr>
          <w:rFonts w:eastAsia="Segoe UI" w:cstheme="minorHAnsi"/>
        </w:rPr>
        <w:t xml:space="preserve">Contractor </w:t>
      </w:r>
      <w:r w:rsidRPr="009E3164" w:rsidR="009E3164">
        <w:rPr>
          <w:rFonts w:eastAsia="Segoe UI" w:cstheme="minorHAnsi"/>
        </w:rPr>
        <w:t>staff will document consent was given in their written notes.</w:t>
      </w:r>
      <w:r w:rsidR="001C07BB">
        <w:rPr>
          <w:rFonts w:eastAsia="Segoe UI" w:cstheme="minorHAnsi"/>
        </w:rPr>
        <w:t xml:space="preserve"> </w:t>
      </w:r>
      <w:r w:rsidR="00BB5C53">
        <w:rPr>
          <w:rFonts w:eastAsia="Segoe UI" w:cstheme="minorHAnsi"/>
        </w:rPr>
        <w:t xml:space="preserve">Attachment 2 includes the informed consent letter. </w:t>
      </w:r>
    </w:p>
    <w:p w:rsidR="0034531B" w:rsidRPr="00B750A4" w:rsidP="0034531B" w14:paraId="254E48B6" w14:textId="77777777">
      <w:pPr>
        <w:spacing w:after="0" w:line="240" w:lineRule="auto"/>
        <w:rPr>
          <w:rFonts w:eastAsia="Segoe UI" w:cstheme="minorHAnsi"/>
        </w:rPr>
      </w:pPr>
    </w:p>
    <w:p w:rsidR="00BB2925" w:rsidRPr="00533FC5" w:rsidP="67DBE16E" w14:paraId="435BFC6E" w14:textId="39EC4606">
      <w:pPr>
        <w:autoSpaceDE w:val="0"/>
        <w:autoSpaceDN w:val="0"/>
        <w:adjustRightInd w:val="0"/>
        <w:spacing w:after="0" w:line="240" w:lineRule="atLeast"/>
        <w:rPr>
          <w:rFonts w:cstheme="minorHAnsi"/>
        </w:rPr>
      </w:pPr>
      <w:r w:rsidRPr="00B750A4">
        <w:rPr>
          <w:rFonts w:eastAsia="Calibri" w:cstheme="minorHAnsi"/>
          <w:b/>
          <w:bCs/>
        </w:rPr>
        <w:t>Instrument 2: Web-based survey</w:t>
      </w:r>
    </w:p>
    <w:p w:rsidR="00BB2925" w:rsidP="0034531B" w14:paraId="2FA2DF1A" w14:textId="1F2BE4EE">
      <w:pPr>
        <w:autoSpaceDE w:val="0"/>
        <w:autoSpaceDN w:val="0"/>
        <w:adjustRightInd w:val="0"/>
        <w:spacing w:after="0" w:line="240" w:lineRule="atLeast"/>
        <w:rPr>
          <w:rFonts w:ascii="Calibri" w:eastAsia="Calibri" w:hAnsi="Calibri" w:cs="Calibri"/>
          <w:color w:val="000000" w:themeColor="text1"/>
        </w:rPr>
      </w:pPr>
      <w:r w:rsidRPr="00B750A4">
        <w:rPr>
          <w:rFonts w:eastAsia="Segoe UI" w:cstheme="minorHAnsi"/>
        </w:rPr>
        <w:t xml:space="preserve">As described in B2, </w:t>
      </w:r>
      <w:r w:rsidRPr="00B750A4" w:rsidR="00200FC0">
        <w:rPr>
          <w:rFonts w:eastAsia="Segoe UI" w:cstheme="minorHAnsi"/>
        </w:rPr>
        <w:t>C</w:t>
      </w:r>
      <w:r w:rsidRPr="00B750A4">
        <w:rPr>
          <w:rFonts w:eastAsia="Calibri" w:cstheme="minorHAnsi"/>
          <w:color w:val="000000" w:themeColor="text1"/>
        </w:rPr>
        <w:t xml:space="preserve">ontractor staff will distribute the web-based survey through the following channels that include potential research users: OPRE e-blast (pending approval from </w:t>
      </w:r>
      <w:r w:rsidRPr="00B750A4" w:rsidR="0044770F">
        <w:rPr>
          <w:rFonts w:eastAsia="Calibri" w:cstheme="minorHAnsi"/>
          <w:color w:val="000000" w:themeColor="text1"/>
        </w:rPr>
        <w:t>agency leadership</w:t>
      </w:r>
      <w:r w:rsidRPr="00B750A4">
        <w:rPr>
          <w:rFonts w:eastAsia="Calibri" w:cstheme="minorHAnsi"/>
          <w:color w:val="000000" w:themeColor="text1"/>
        </w:rPr>
        <w:t>); asking the Office of Family Assistance to circulate among its staff and partners; and investigating National Association for Welfare Research and Statistics' and American Public Human Services Association’s willingness to circulate it among their networks</w:t>
      </w:r>
      <w:r w:rsidRPr="0014668F">
        <w:rPr>
          <w:rFonts w:ascii="Calibri" w:eastAsia="Calibri" w:hAnsi="Calibri" w:cs="Calibri"/>
          <w:color w:val="000000" w:themeColor="text1"/>
        </w:rPr>
        <w:t>. Attachment 1 includes the outreach email language for the web-based survey</w:t>
      </w:r>
      <w:r w:rsidR="00E879B1">
        <w:rPr>
          <w:rFonts w:ascii="Calibri" w:eastAsia="Calibri" w:hAnsi="Calibri" w:cs="Calibri"/>
          <w:color w:val="000000" w:themeColor="text1"/>
        </w:rPr>
        <w:t xml:space="preserve">. </w:t>
      </w:r>
    </w:p>
    <w:p w:rsidR="0034531B" w:rsidP="0034531B" w14:paraId="18FD45FF" w14:textId="77777777">
      <w:pPr>
        <w:autoSpaceDE w:val="0"/>
        <w:autoSpaceDN w:val="0"/>
        <w:adjustRightInd w:val="0"/>
        <w:spacing w:after="0" w:line="240" w:lineRule="atLeast"/>
        <w:rPr>
          <w:rFonts w:ascii="Calibri" w:eastAsia="Calibri" w:hAnsi="Calibri" w:cs="Calibri"/>
          <w:color w:val="000000" w:themeColor="text1"/>
        </w:rPr>
      </w:pPr>
    </w:p>
    <w:p w:rsidR="005463D1" w:rsidP="0034531B" w14:paraId="1A7544E8" w14:textId="47FFA6BD">
      <w:pPr>
        <w:autoSpaceDE w:val="0"/>
        <w:autoSpaceDN w:val="0"/>
        <w:adjustRightInd w:val="0"/>
        <w:spacing w:after="0" w:line="240" w:lineRule="atLeast"/>
        <w:rPr>
          <w:rFonts w:ascii="Calibri" w:eastAsia="Calibri" w:hAnsi="Calibri" w:cs="Calibri"/>
          <w:color w:val="000000" w:themeColor="text1"/>
        </w:rPr>
      </w:pPr>
      <w:r>
        <w:rPr>
          <w:rFonts w:ascii="Calibri" w:eastAsia="Calibri" w:hAnsi="Calibri" w:cs="Calibri"/>
          <w:color w:val="000000" w:themeColor="text1"/>
        </w:rPr>
        <w:t>The Contractor will develop</w:t>
      </w:r>
      <w:r w:rsidRPr="0009448D">
        <w:rPr>
          <w:rFonts w:ascii="Calibri" w:eastAsia="Calibri" w:hAnsi="Calibri" w:cs="Calibri"/>
          <w:color w:val="000000" w:themeColor="text1"/>
        </w:rPr>
        <w:t xml:space="preserve"> the web-based survey in </w:t>
      </w:r>
      <w:r w:rsidR="0044770F">
        <w:rPr>
          <w:rFonts w:ascii="Calibri" w:eastAsia="Calibri" w:hAnsi="Calibri" w:cs="Calibri"/>
          <w:color w:val="000000" w:themeColor="text1"/>
        </w:rPr>
        <w:t xml:space="preserve">Qualtrics </w:t>
      </w:r>
      <w:r w:rsidRPr="0009448D">
        <w:rPr>
          <w:rFonts w:ascii="Calibri" w:eastAsia="Calibri" w:hAnsi="Calibri" w:cs="Calibri"/>
          <w:color w:val="000000" w:themeColor="text1"/>
        </w:rPr>
        <w:t xml:space="preserve">and field it </w:t>
      </w:r>
      <w:r>
        <w:rPr>
          <w:rFonts w:ascii="Calibri" w:eastAsia="Calibri" w:hAnsi="Calibri" w:cs="Calibri"/>
          <w:color w:val="000000" w:themeColor="text1"/>
        </w:rPr>
        <w:t>as described above</w:t>
      </w:r>
      <w:r w:rsidR="004E1CB2">
        <w:rPr>
          <w:rFonts w:ascii="Calibri" w:eastAsia="Calibri" w:hAnsi="Calibri" w:cs="Calibri"/>
          <w:color w:val="000000" w:themeColor="text1"/>
        </w:rPr>
        <w:t xml:space="preserve">. The </w:t>
      </w:r>
      <w:r w:rsidR="00200FC0">
        <w:rPr>
          <w:rFonts w:ascii="Calibri" w:eastAsia="Calibri" w:hAnsi="Calibri" w:cs="Calibri"/>
          <w:color w:val="000000" w:themeColor="text1"/>
        </w:rPr>
        <w:t>C</w:t>
      </w:r>
      <w:r w:rsidR="004E1CB2">
        <w:rPr>
          <w:rFonts w:ascii="Calibri" w:eastAsia="Calibri" w:hAnsi="Calibri" w:cs="Calibri"/>
          <w:color w:val="000000" w:themeColor="text1"/>
        </w:rPr>
        <w:t>ontractor will</w:t>
      </w:r>
      <w:r w:rsidRPr="0009448D">
        <w:rPr>
          <w:rFonts w:ascii="Calibri" w:eastAsia="Calibri" w:hAnsi="Calibri" w:cs="Calibri"/>
          <w:color w:val="000000" w:themeColor="text1"/>
        </w:rPr>
        <w:t xml:space="preserve"> monitor</w:t>
      </w:r>
      <w:r>
        <w:rPr>
          <w:rFonts w:ascii="Calibri" w:eastAsia="Calibri" w:hAnsi="Calibri" w:cs="Calibri"/>
          <w:color w:val="000000" w:themeColor="text1"/>
        </w:rPr>
        <w:t xml:space="preserve"> </w:t>
      </w:r>
      <w:r w:rsidRPr="0009448D">
        <w:rPr>
          <w:rFonts w:ascii="Calibri" w:eastAsia="Calibri" w:hAnsi="Calibri" w:cs="Calibri"/>
          <w:color w:val="000000" w:themeColor="text1"/>
        </w:rPr>
        <w:t>responses and provi</w:t>
      </w:r>
      <w:r w:rsidR="004E1CB2">
        <w:rPr>
          <w:rFonts w:ascii="Calibri" w:eastAsia="Calibri" w:hAnsi="Calibri" w:cs="Calibri"/>
          <w:color w:val="000000" w:themeColor="text1"/>
        </w:rPr>
        <w:t>de</w:t>
      </w:r>
      <w:r w:rsidRPr="0009448D">
        <w:rPr>
          <w:rFonts w:ascii="Calibri" w:eastAsia="Calibri" w:hAnsi="Calibri" w:cs="Calibri"/>
          <w:color w:val="000000" w:themeColor="text1"/>
        </w:rPr>
        <w:t xml:space="preserve"> regular updates to </w:t>
      </w:r>
      <w:r w:rsidR="005B7514">
        <w:rPr>
          <w:rFonts w:ascii="Calibri" w:eastAsia="Calibri" w:hAnsi="Calibri" w:cs="Calibri"/>
          <w:color w:val="000000" w:themeColor="text1"/>
        </w:rPr>
        <w:t>ACF</w:t>
      </w:r>
      <w:r w:rsidRPr="0009448D">
        <w:rPr>
          <w:rFonts w:ascii="Calibri" w:eastAsia="Calibri" w:hAnsi="Calibri" w:cs="Calibri"/>
          <w:color w:val="000000" w:themeColor="text1"/>
        </w:rPr>
        <w:t xml:space="preserve"> during the survey collection period.</w:t>
      </w:r>
      <w:r>
        <w:rPr>
          <w:rFonts w:ascii="Calibri" w:eastAsia="Calibri" w:hAnsi="Calibri" w:cs="Calibri"/>
          <w:color w:val="000000" w:themeColor="text1"/>
        </w:rPr>
        <w:t xml:space="preserve"> </w:t>
      </w:r>
    </w:p>
    <w:p w:rsidR="0034531B" w:rsidP="0034531B" w14:paraId="7568C039" w14:textId="77777777">
      <w:pPr>
        <w:autoSpaceDE w:val="0"/>
        <w:autoSpaceDN w:val="0"/>
        <w:adjustRightInd w:val="0"/>
        <w:spacing w:after="0" w:line="240" w:lineRule="atLeast"/>
        <w:rPr>
          <w:rFonts w:ascii="Calibri" w:eastAsia="Calibri" w:hAnsi="Calibri" w:cs="Calibri"/>
          <w:color w:val="000000" w:themeColor="text1"/>
        </w:rPr>
      </w:pPr>
    </w:p>
    <w:p w:rsidR="0034531B" w:rsidP="0034531B" w14:paraId="660E05F7" w14:textId="77777777">
      <w:pPr>
        <w:autoSpaceDE w:val="0"/>
        <w:autoSpaceDN w:val="0"/>
        <w:adjustRightInd w:val="0"/>
        <w:spacing w:after="0" w:line="240" w:lineRule="atLeast"/>
      </w:pP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sidRPr="67DBE16E">
        <w:rPr>
          <w:rFonts w:eastAsia="Times New Roman"/>
          <w:i/>
          <w:iCs/>
          <w:color w:val="000000" w:themeColor="text1"/>
        </w:rPr>
        <w:t>Response Rates</w:t>
      </w:r>
    </w:p>
    <w:p w:rsidR="00F917E5" w:rsidP="67DBE16E" w14:paraId="6A69B862" w14:textId="17E6795B">
      <w:pPr>
        <w:autoSpaceDE w:val="0"/>
        <w:autoSpaceDN w:val="0"/>
        <w:adjustRightInd w:val="0"/>
        <w:spacing w:after="0" w:line="240" w:lineRule="atLeast"/>
        <w:rPr>
          <w:rFonts w:ascii="Calibri" w:eastAsia="Calibri" w:hAnsi="Calibri" w:cs="Calibri"/>
        </w:rPr>
      </w:pPr>
      <w:r w:rsidRPr="67DBE16E">
        <w:rPr>
          <w:rFonts w:ascii="Calibri" w:eastAsia="Calibri" w:hAnsi="Calibri" w:cs="Calibri"/>
          <w:color w:val="000000" w:themeColor="text1"/>
        </w:rPr>
        <w:t xml:space="preserve">The survey and </w:t>
      </w:r>
      <w:r w:rsidR="00B030AA">
        <w:rPr>
          <w:rFonts w:ascii="Calibri" w:eastAsia="Calibri" w:hAnsi="Calibri" w:cs="Calibri"/>
          <w:color w:val="000000" w:themeColor="text1"/>
        </w:rPr>
        <w:t>focus groups</w:t>
      </w:r>
      <w:r w:rsidRPr="67DBE16E" w:rsidR="00B030AA">
        <w:rPr>
          <w:rFonts w:ascii="Calibri" w:eastAsia="Calibri" w:hAnsi="Calibri" w:cs="Calibri"/>
          <w:color w:val="000000" w:themeColor="text1"/>
        </w:rPr>
        <w:t xml:space="preserve"> </w:t>
      </w:r>
      <w:r w:rsidRPr="67DBE16E">
        <w:rPr>
          <w:rFonts w:ascii="Calibri" w:eastAsia="Calibri" w:hAnsi="Calibri" w:cs="Calibri"/>
          <w:color w:val="000000" w:themeColor="text1"/>
        </w:rPr>
        <w:t>are not designed to produce statistically generalizable findings and participation is wholly at the respondent’s discretion. Response rates will not be calculated or reported.</w:t>
      </w:r>
    </w:p>
    <w:p w:rsidR="00F917E5" w:rsidP="67DBE16E" w14:paraId="32AF85FE" w14:textId="75240630">
      <w:pPr>
        <w:autoSpaceDE w:val="0"/>
        <w:autoSpaceDN w:val="0"/>
        <w:adjustRightInd w:val="0"/>
        <w:spacing w:after="0" w:line="240" w:lineRule="atLeast"/>
        <w:rPr>
          <w:rFonts w:eastAsia="Times New Roman"/>
          <w:i/>
          <w:iCs/>
          <w:color w:val="000000"/>
        </w:rPr>
      </w:pPr>
    </w:p>
    <w:p w:rsidR="00F917E5" w:rsidRPr="00F917E5" w:rsidP="00F85D35" w14:paraId="14F6FBDC" w14:textId="2701395E">
      <w:pPr>
        <w:autoSpaceDE w:val="0"/>
        <w:autoSpaceDN w:val="0"/>
        <w:adjustRightInd w:val="0"/>
        <w:spacing w:after="60" w:line="240" w:lineRule="atLeast"/>
        <w:rPr>
          <w:rFonts w:eastAsia="Times New Roman" w:cstheme="minorHAnsi"/>
          <w:i/>
          <w:color w:val="000000"/>
        </w:rPr>
      </w:pPr>
      <w:r w:rsidRPr="67DBE16E">
        <w:rPr>
          <w:rFonts w:eastAsia="Times New Roman"/>
          <w:i/>
          <w:iCs/>
          <w:color w:val="000000" w:themeColor="text1"/>
        </w:rPr>
        <w:t>NonResponse</w:t>
      </w:r>
    </w:p>
    <w:p w:rsidR="00901040" w:rsidP="00901040" w14:paraId="6C9EE9FE" w14:textId="22D8DF47">
      <w:pPr>
        <w:autoSpaceDE w:val="0"/>
        <w:autoSpaceDN w:val="0"/>
        <w:adjustRightInd w:val="0"/>
        <w:spacing w:after="0" w:line="240" w:lineRule="atLeast"/>
      </w:pPr>
      <w:r w:rsidRPr="67DBE16E">
        <w:rPr>
          <w:rFonts w:ascii="Calibri" w:eastAsia="Calibri" w:hAnsi="Calibri" w:cs="Calibri"/>
          <w:color w:val="000000" w:themeColor="text1"/>
        </w:rPr>
        <w:t xml:space="preserve">As participants will not be randomly sampled and findings are not intended to be representative, non-response bias will not be calculated.  </w:t>
      </w:r>
      <w:r w:rsidRPr="67DBE16E">
        <w:rPr>
          <w:rFonts w:ascii="Times New Roman" w:eastAsia="Times New Roman" w:hAnsi="Times New Roman" w:cs="Times New Roman"/>
        </w:rPr>
        <w:t xml:space="preserve"> </w:t>
      </w:r>
    </w:p>
    <w:p w:rsidR="00BB2925" w:rsidRPr="00DF1291" w:rsidP="67DBE16E" w14:paraId="0FC57B4D" w14:textId="3C58F820">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85D35" w14:paraId="36E8E8E3" w14:textId="5165B083">
      <w:pPr>
        <w:spacing w:after="120" w:line="240" w:lineRule="auto"/>
        <w:rPr>
          <w:rFonts w:eastAsia="Times New Roman" w:cstheme="minorHAnsi"/>
        </w:rPr>
      </w:pPr>
      <w:r w:rsidRPr="67DBE16E">
        <w:rPr>
          <w:rFonts w:eastAsia="Times New Roman"/>
          <w:b/>
          <w:bCs/>
        </w:rPr>
        <w:t>B6</w:t>
      </w:r>
      <w:r w:rsidRPr="67DBE16E">
        <w:rPr>
          <w:rFonts w:eastAsia="Times New Roman"/>
          <w:b/>
          <w:bCs/>
        </w:rPr>
        <w:t>.   Production of Estimates and Projections</w:t>
      </w:r>
      <w:r w:rsidRPr="67DBE16E">
        <w:rPr>
          <w:rFonts w:eastAsia="Times New Roman"/>
        </w:rPr>
        <w:t xml:space="preserve"> </w:t>
      </w:r>
    </w:p>
    <w:p w:rsidR="00BB2925" w:rsidP="67DBE16E" w14:paraId="1E734C82" w14:textId="7769678B">
      <w:pPr>
        <w:spacing w:after="0" w:line="240" w:lineRule="auto"/>
        <w:rPr>
          <w:rFonts w:ascii="Times New Roman" w:eastAsia="Times New Roman" w:hAnsi="Times New Roman" w:cs="Times New Roman"/>
          <w:sz w:val="24"/>
          <w:szCs w:val="24"/>
        </w:rPr>
      </w:pPr>
      <w:r w:rsidRPr="67DBE16E">
        <w:rPr>
          <w:rFonts w:ascii="Calibri" w:eastAsia="Calibri" w:hAnsi="Calibri" w:cs="Calibri"/>
          <w:color w:val="000000" w:themeColor="text1"/>
        </w:rPr>
        <w:t>Information collected will not be used to generate population estimates, either for internal use or dissemination.</w:t>
      </w:r>
    </w:p>
    <w:p w:rsidR="00BB2925" w:rsidRPr="00901040" w:rsidP="67DBE16E" w14:paraId="1BA3B31C" w14:textId="1C44BFDE">
      <w:pPr>
        <w:spacing w:after="0" w:line="240" w:lineRule="auto"/>
        <w:rPr>
          <w:rFonts w:ascii="Times New Roman" w:eastAsia="Times New Roman" w:hAnsi="Times New Roman" w:cs="Times New Roman"/>
          <w:sz w:val="24"/>
          <w:szCs w:val="24"/>
        </w:rPr>
      </w:pPr>
    </w:p>
    <w:p w:rsidR="007B6CA2" w:rsidRPr="00F85D35" w:rsidP="00F85D35"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67DBE16E">
        <w:rPr>
          <w:rFonts w:eastAsia="Times New Roman"/>
          <w:i/>
          <w:iCs/>
          <w:color w:val="000000" w:themeColor="text1"/>
        </w:rPr>
        <w:t>Data Handling</w:t>
      </w:r>
    </w:p>
    <w:p w:rsidR="00BB2925" w:rsidP="00326914" w14:paraId="56D0C634" w14:textId="6E506A79">
      <w:pPr>
        <w:pStyle w:val="Paragraph"/>
      </w:pPr>
      <w:r w:rsidRPr="67DBE16E">
        <w:rPr>
          <w:rFonts w:ascii="Calibri" w:eastAsia="Calibri" w:hAnsi="Calibri" w:cs="Calibri"/>
          <w:color w:val="000000" w:themeColor="text1"/>
        </w:rPr>
        <w:t xml:space="preserve">Focus group data will be collected using the WebEx meeting platform. A </w:t>
      </w:r>
      <w:r w:rsidR="00FD4D9D">
        <w:rPr>
          <w:rFonts w:ascii="Calibri" w:eastAsia="Calibri" w:hAnsi="Calibri" w:cs="Calibri"/>
          <w:color w:val="000000" w:themeColor="text1"/>
        </w:rPr>
        <w:t>C</w:t>
      </w:r>
      <w:r w:rsidRPr="67DBE16E">
        <w:rPr>
          <w:rFonts w:ascii="Calibri" w:eastAsia="Calibri" w:hAnsi="Calibri" w:cs="Calibri"/>
          <w:color w:val="000000" w:themeColor="text1"/>
        </w:rPr>
        <w:t xml:space="preserve">ontractor staff member will take notes during each focus group. The recordings and notes will be used for reference to ensure discussions are captured accurately. </w:t>
      </w:r>
    </w:p>
    <w:p w:rsidR="00BB2925" w:rsidP="67DBE16E" w14:paraId="797B141F" w14:textId="7D5C5B9F">
      <w:pPr>
        <w:autoSpaceDE w:val="0"/>
        <w:autoSpaceDN w:val="0"/>
        <w:adjustRightInd w:val="0"/>
        <w:spacing w:after="0" w:line="240" w:lineRule="atLeast"/>
      </w:pPr>
      <w:r w:rsidRPr="67DBE16E">
        <w:rPr>
          <w:rFonts w:ascii="Calibri" w:eastAsia="Calibri" w:hAnsi="Calibri" w:cs="Calibri"/>
          <w:color w:val="000000" w:themeColor="text1"/>
        </w:rPr>
        <w:t xml:space="preserve">Web-based survey responses will be collected through </w:t>
      </w:r>
      <w:r w:rsidR="0044770F">
        <w:rPr>
          <w:rFonts w:ascii="Calibri" w:eastAsia="Calibri" w:hAnsi="Calibri" w:cs="Calibri"/>
          <w:color w:val="000000" w:themeColor="text1"/>
        </w:rPr>
        <w:t>Qualtrics</w:t>
      </w:r>
      <w:r w:rsidRPr="67DBE16E">
        <w:rPr>
          <w:rFonts w:ascii="Calibri" w:eastAsia="Calibri" w:hAnsi="Calibri" w:cs="Calibri"/>
          <w:color w:val="000000" w:themeColor="text1"/>
        </w:rPr>
        <w:t>.</w:t>
      </w:r>
      <w:r w:rsidRPr="00E80A8C" w:rsidR="00E80A8C">
        <w:t xml:space="preserve"> </w:t>
      </w:r>
      <w:r w:rsidRPr="00E80A8C" w:rsidR="00E80A8C">
        <w:rPr>
          <w:rFonts w:ascii="Calibri" w:eastAsia="Calibri" w:hAnsi="Calibri" w:cs="Calibri"/>
          <w:color w:val="000000" w:themeColor="text1"/>
        </w:rPr>
        <w:t xml:space="preserve">After programming the instruments into </w:t>
      </w:r>
      <w:r w:rsidR="0044770F">
        <w:rPr>
          <w:rFonts w:ascii="Calibri" w:eastAsia="Calibri" w:hAnsi="Calibri" w:cs="Calibri"/>
          <w:color w:val="000000" w:themeColor="text1"/>
        </w:rPr>
        <w:t>Qualtrics</w:t>
      </w:r>
      <w:r w:rsidRPr="00E80A8C" w:rsidR="00E80A8C">
        <w:rPr>
          <w:rFonts w:ascii="Calibri" w:eastAsia="Calibri" w:hAnsi="Calibri" w:cs="Calibri"/>
          <w:color w:val="000000" w:themeColor="text1"/>
        </w:rPr>
        <w:t xml:space="preserve">, </w:t>
      </w:r>
      <w:r w:rsidR="00E80A8C">
        <w:rPr>
          <w:rFonts w:ascii="Calibri" w:eastAsia="Calibri" w:hAnsi="Calibri" w:cs="Calibri"/>
          <w:color w:val="000000" w:themeColor="text1"/>
        </w:rPr>
        <w:t xml:space="preserve">the </w:t>
      </w:r>
      <w:r w:rsidR="00FD4D9D">
        <w:rPr>
          <w:rFonts w:ascii="Calibri" w:eastAsia="Calibri" w:hAnsi="Calibri" w:cs="Calibri"/>
          <w:color w:val="000000" w:themeColor="text1"/>
        </w:rPr>
        <w:t>C</w:t>
      </w:r>
      <w:r w:rsidR="00E80A8C">
        <w:rPr>
          <w:rFonts w:ascii="Calibri" w:eastAsia="Calibri" w:hAnsi="Calibri" w:cs="Calibri"/>
          <w:color w:val="000000" w:themeColor="text1"/>
        </w:rPr>
        <w:t>ontractor</w:t>
      </w:r>
      <w:r w:rsidRPr="00E80A8C" w:rsidR="00E80A8C">
        <w:rPr>
          <w:rFonts w:ascii="Calibri" w:eastAsia="Calibri" w:hAnsi="Calibri" w:cs="Calibri"/>
          <w:color w:val="000000" w:themeColor="text1"/>
        </w:rPr>
        <w:t xml:space="preserve"> will conduct pretests to verify that skip logic functions correctly and that all responses are recorded accurately.</w:t>
      </w:r>
      <w:r w:rsidRPr="67DBE16E">
        <w:rPr>
          <w:rFonts w:ascii="Calibri" w:eastAsia="Calibri" w:hAnsi="Calibri" w:cs="Calibri"/>
          <w:color w:val="000000" w:themeColor="text1"/>
        </w:rPr>
        <w:t xml:space="preserve"> </w:t>
      </w:r>
    </w:p>
    <w:p w:rsidR="00BB2925" w:rsidP="00901040" w14:paraId="1960E58C" w14:textId="3BF14E25">
      <w:pPr>
        <w:autoSpaceDE w:val="0"/>
        <w:autoSpaceDN w:val="0"/>
        <w:adjustRightInd w:val="0"/>
        <w:spacing w:after="0" w:line="240" w:lineRule="atLeast"/>
        <w:rPr>
          <w:rFonts w:eastAsia="Times New Roman" w:cstheme="minorHAnsi"/>
          <w:bCs/>
          <w:i/>
          <w:color w:val="000000"/>
        </w:rPr>
      </w:pPr>
    </w:p>
    <w:p w:rsidR="007B6CA2" w:rsidP="00F85D35" w14:paraId="4B58405D" w14:textId="784AF053">
      <w:pPr>
        <w:autoSpaceDE w:val="0"/>
        <w:autoSpaceDN w:val="0"/>
        <w:adjustRightInd w:val="0"/>
        <w:spacing w:after="60" w:line="240" w:lineRule="atLeast"/>
        <w:rPr>
          <w:rFonts w:eastAsia="Times New Roman" w:cstheme="minorHAnsi"/>
          <w:bCs/>
          <w:i/>
          <w:color w:val="000000"/>
        </w:rPr>
      </w:pPr>
      <w:r w:rsidRPr="67DBE16E">
        <w:rPr>
          <w:rFonts w:eastAsia="Times New Roman"/>
          <w:i/>
          <w:iCs/>
          <w:color w:val="000000" w:themeColor="text1"/>
        </w:rPr>
        <w:t>Data Analysis</w:t>
      </w:r>
    </w:p>
    <w:p w:rsidR="007B6CA2" w:rsidP="67DBE16E" w14:paraId="6DF28DC5" w14:textId="35AC8092">
      <w:pPr>
        <w:autoSpaceDE w:val="0"/>
        <w:autoSpaceDN w:val="0"/>
        <w:adjustRightInd w:val="0"/>
        <w:spacing w:after="0" w:line="240" w:lineRule="atLeast"/>
      </w:pPr>
      <w:r w:rsidRPr="67DBE16E">
        <w:rPr>
          <w:rFonts w:ascii="Calibri" w:eastAsia="Calibri" w:hAnsi="Calibri" w:cs="Calibri"/>
          <w:color w:val="000000" w:themeColor="text1"/>
        </w:rPr>
        <w:t xml:space="preserve">The </w:t>
      </w:r>
      <w:r w:rsidR="00FD4D9D">
        <w:rPr>
          <w:rFonts w:ascii="Calibri" w:eastAsia="Calibri" w:hAnsi="Calibri" w:cs="Calibri"/>
          <w:color w:val="000000" w:themeColor="text1"/>
        </w:rPr>
        <w:t>C</w:t>
      </w:r>
      <w:r w:rsidRPr="67DBE16E">
        <w:rPr>
          <w:rFonts w:ascii="Calibri" w:eastAsia="Calibri" w:hAnsi="Calibri" w:cs="Calibri"/>
          <w:color w:val="000000" w:themeColor="text1"/>
        </w:rPr>
        <w:t xml:space="preserve">ontractor will use thematic analysis for qualitative data and descriptive statistics to tabulate survey responses. No statistical tests are planned. </w:t>
      </w:r>
      <w:r w:rsidR="00F96574">
        <w:rPr>
          <w:rFonts w:ascii="Calibri" w:eastAsia="Calibri" w:hAnsi="Calibri" w:cs="Calibri"/>
          <w:color w:val="000000" w:themeColor="text1"/>
        </w:rPr>
        <w:t>I</w:t>
      </w:r>
      <w:r w:rsidRPr="67DBE16E" w:rsidR="00F96574">
        <w:rPr>
          <w:rFonts w:ascii="Calibri" w:eastAsia="Calibri" w:hAnsi="Calibri" w:cs="Calibri"/>
          <w:color w:val="000000" w:themeColor="text1"/>
        </w:rPr>
        <w:t xml:space="preserve">n an internal memo for </w:t>
      </w:r>
      <w:r w:rsidR="005B7514">
        <w:rPr>
          <w:rFonts w:ascii="Calibri" w:eastAsia="Calibri" w:hAnsi="Calibri" w:cs="Calibri"/>
          <w:color w:val="000000" w:themeColor="text1"/>
        </w:rPr>
        <w:t>ACF</w:t>
      </w:r>
      <w:r w:rsidRPr="67DBE16E" w:rsidR="005B7514">
        <w:rPr>
          <w:rFonts w:ascii="Calibri" w:eastAsia="Calibri" w:hAnsi="Calibri" w:cs="Calibri"/>
          <w:color w:val="000000" w:themeColor="text1"/>
        </w:rPr>
        <w:t xml:space="preserve"> </w:t>
      </w:r>
      <w:r w:rsidRPr="67DBE16E" w:rsidR="00F96574">
        <w:rPr>
          <w:rFonts w:ascii="Calibri" w:eastAsia="Calibri" w:hAnsi="Calibri" w:cs="Calibri"/>
          <w:color w:val="000000" w:themeColor="text1"/>
        </w:rPr>
        <w:t>staff</w:t>
      </w:r>
      <w:r w:rsidR="00F96574">
        <w:rPr>
          <w:rFonts w:ascii="Calibri" w:eastAsia="Calibri" w:hAnsi="Calibri" w:cs="Calibri"/>
          <w:color w:val="000000" w:themeColor="text1"/>
        </w:rPr>
        <w:t>, t</w:t>
      </w:r>
      <w:r w:rsidRPr="67DBE16E">
        <w:rPr>
          <w:rFonts w:ascii="Calibri" w:eastAsia="Calibri" w:hAnsi="Calibri" w:cs="Calibri"/>
          <w:color w:val="000000" w:themeColor="text1"/>
        </w:rPr>
        <w:t xml:space="preserve">he </w:t>
      </w:r>
      <w:r w:rsidR="00FD4D9D">
        <w:rPr>
          <w:rFonts w:ascii="Calibri" w:eastAsia="Calibri" w:hAnsi="Calibri" w:cs="Calibri"/>
          <w:color w:val="000000" w:themeColor="text1"/>
        </w:rPr>
        <w:t>C</w:t>
      </w:r>
      <w:r w:rsidRPr="67DBE16E" w:rsidR="00DF1F89">
        <w:rPr>
          <w:rFonts w:ascii="Calibri" w:eastAsia="Calibri" w:hAnsi="Calibri" w:cs="Calibri"/>
          <w:color w:val="000000" w:themeColor="text1"/>
        </w:rPr>
        <w:t>ontra</w:t>
      </w:r>
      <w:r w:rsidR="00DF1F89">
        <w:rPr>
          <w:rFonts w:ascii="Calibri" w:eastAsia="Calibri" w:hAnsi="Calibri" w:cs="Calibri"/>
          <w:color w:val="000000" w:themeColor="text1"/>
        </w:rPr>
        <w:t>c</w:t>
      </w:r>
      <w:r w:rsidRPr="67DBE16E" w:rsidR="00DF1F89">
        <w:rPr>
          <w:rFonts w:ascii="Calibri" w:eastAsia="Calibri" w:hAnsi="Calibri" w:cs="Calibri"/>
          <w:color w:val="000000" w:themeColor="text1"/>
        </w:rPr>
        <w:t>tor</w:t>
      </w:r>
      <w:r w:rsidRPr="67DBE16E">
        <w:rPr>
          <w:rFonts w:ascii="Calibri" w:eastAsia="Calibri" w:hAnsi="Calibri" w:cs="Calibri"/>
          <w:color w:val="000000" w:themeColor="text1"/>
        </w:rPr>
        <w:t xml:space="preserve"> will synthesize top-level issues raised and highlight key themes </w:t>
      </w:r>
      <w:r w:rsidR="00F4026D">
        <w:rPr>
          <w:rFonts w:ascii="Calibri" w:eastAsia="Calibri" w:hAnsi="Calibri" w:cs="Calibri"/>
          <w:color w:val="000000" w:themeColor="text1"/>
        </w:rPr>
        <w:t>organized by the guiding questions</w:t>
      </w:r>
      <w:r w:rsidR="004A2B61">
        <w:rPr>
          <w:rFonts w:ascii="Calibri" w:eastAsia="Calibri" w:hAnsi="Calibri" w:cs="Calibri"/>
          <w:color w:val="000000" w:themeColor="text1"/>
        </w:rPr>
        <w:t>.</w:t>
      </w:r>
      <w:r w:rsidR="00F4026D">
        <w:rPr>
          <w:rFonts w:ascii="Calibri" w:eastAsia="Calibri" w:hAnsi="Calibri" w:cs="Calibri"/>
          <w:color w:val="000000" w:themeColor="text1"/>
        </w:rPr>
        <w:t xml:space="preserve"> </w:t>
      </w:r>
    </w:p>
    <w:p w:rsidR="00BB2925" w:rsidP="00901040" w14:paraId="0CF5588E" w14:textId="77777777">
      <w:pPr>
        <w:autoSpaceDE w:val="0"/>
        <w:autoSpaceDN w:val="0"/>
        <w:adjustRightInd w:val="0"/>
        <w:spacing w:after="0" w:line="240" w:lineRule="atLeast"/>
        <w:rPr>
          <w:rFonts w:eastAsia="Times New Roman" w:cstheme="minorHAnsi"/>
          <w:bCs/>
          <w:i/>
          <w:color w:val="000000"/>
        </w:rPr>
      </w:pPr>
    </w:p>
    <w:p w:rsidR="007B6CA2" w:rsidRPr="007B6CA2" w:rsidP="00F85D35" w14:paraId="6115EDAE" w14:textId="3AD922A4">
      <w:pPr>
        <w:autoSpaceDE w:val="0"/>
        <w:autoSpaceDN w:val="0"/>
        <w:adjustRightInd w:val="0"/>
        <w:spacing w:after="60" w:line="240" w:lineRule="atLeast"/>
        <w:rPr>
          <w:rFonts w:eastAsia="Times New Roman" w:cstheme="minorHAnsi"/>
          <w:i/>
          <w:color w:val="000000"/>
        </w:rPr>
      </w:pPr>
      <w:r w:rsidRPr="67DBE16E">
        <w:rPr>
          <w:rFonts w:eastAsia="Times New Roman"/>
          <w:i/>
          <w:iCs/>
          <w:color w:val="000000" w:themeColor="text1"/>
        </w:rPr>
        <w:t>Data Use</w:t>
      </w:r>
    </w:p>
    <w:p w:rsidR="000D1F2E" w:rsidP="000D1F2E" w14:paraId="5B33D819" w14:textId="2BF284FA">
      <w:pPr>
        <w:spacing w:after="0" w:line="240" w:lineRule="auto"/>
      </w:pPr>
      <w:r>
        <w:rPr>
          <w:rFonts w:ascii="Calibri" w:eastAsia="Calibri" w:hAnsi="Calibri" w:cs="Calibri"/>
        </w:rPr>
        <w:t xml:space="preserve">The </w:t>
      </w:r>
      <w:r w:rsidR="00694E8D">
        <w:rPr>
          <w:rFonts w:ascii="Calibri" w:eastAsia="Calibri" w:hAnsi="Calibri" w:cs="Calibri"/>
        </w:rPr>
        <w:t>C</w:t>
      </w:r>
      <w:r>
        <w:rPr>
          <w:rFonts w:ascii="Calibri" w:eastAsia="Calibri" w:hAnsi="Calibri" w:cs="Calibri"/>
        </w:rPr>
        <w:t xml:space="preserve">ontractor will develop a </w:t>
      </w:r>
      <w:r w:rsidRPr="67DBE16E">
        <w:rPr>
          <w:rFonts w:ascii="Calibri" w:eastAsia="Calibri" w:hAnsi="Calibri" w:cs="Calibri"/>
          <w:color w:val="000000" w:themeColor="text1"/>
        </w:rPr>
        <w:t xml:space="preserve">publicly facing report </w:t>
      </w:r>
      <w:r>
        <w:rPr>
          <w:rFonts w:ascii="Calibri" w:eastAsia="Calibri" w:hAnsi="Calibri" w:cs="Calibri"/>
          <w:color w:val="000000" w:themeColor="text1"/>
        </w:rPr>
        <w:t>summarizing this and a series</w:t>
      </w:r>
      <w:r w:rsidRPr="67DBE16E">
        <w:rPr>
          <w:rFonts w:ascii="Calibri" w:eastAsia="Calibri" w:hAnsi="Calibri" w:cs="Calibri"/>
          <w:color w:val="000000" w:themeColor="text1"/>
        </w:rPr>
        <w:t xml:space="preserve"> of</w:t>
      </w:r>
      <w:r>
        <w:rPr>
          <w:rFonts w:ascii="Calibri" w:eastAsia="Calibri" w:hAnsi="Calibri" w:cs="Calibri"/>
          <w:color w:val="000000" w:themeColor="text1"/>
        </w:rPr>
        <w:t xml:space="preserve"> other project activities </w:t>
      </w:r>
      <w:r w:rsidRPr="67DBE16E">
        <w:rPr>
          <w:rFonts w:ascii="Calibri" w:eastAsia="Calibri" w:hAnsi="Calibri" w:cs="Calibri"/>
          <w:color w:val="000000" w:themeColor="text1"/>
        </w:rPr>
        <w:t>related to facilitating use of ACF</w:t>
      </w:r>
      <w:r w:rsidR="005B7514">
        <w:rPr>
          <w:rFonts w:ascii="Calibri" w:eastAsia="Calibri" w:hAnsi="Calibri" w:cs="Calibri"/>
          <w:color w:val="000000" w:themeColor="text1"/>
        </w:rPr>
        <w:t>-sponsored</w:t>
      </w:r>
      <w:r w:rsidRPr="67DBE16E">
        <w:rPr>
          <w:rFonts w:ascii="Calibri" w:eastAsia="Calibri" w:hAnsi="Calibri" w:cs="Calibri"/>
          <w:color w:val="000000" w:themeColor="text1"/>
        </w:rPr>
        <w:t xml:space="preserve"> researc</w:t>
      </w:r>
      <w:r w:rsidR="00854953">
        <w:rPr>
          <w:rFonts w:ascii="Calibri" w:eastAsia="Calibri" w:hAnsi="Calibri" w:cs="Calibri"/>
          <w:color w:val="000000" w:themeColor="text1"/>
        </w:rPr>
        <w:t>h</w:t>
      </w:r>
      <w:r>
        <w:rPr>
          <w:rFonts w:ascii="Calibri" w:eastAsia="Calibri" w:hAnsi="Calibri" w:cs="Calibri"/>
          <w:color w:val="000000" w:themeColor="text1"/>
        </w:rPr>
        <w:t>.</w:t>
      </w:r>
      <w:r>
        <w:rPr>
          <w:rFonts w:cstheme="minorHAnsi"/>
        </w:rPr>
        <w:t xml:space="preserve"> This report may include summarized findings from the focus groups and web-based survey. </w:t>
      </w:r>
      <w:r w:rsidR="00854953">
        <w:rPr>
          <w:rFonts w:ascii="Calibri" w:eastAsia="Calibri" w:hAnsi="Calibri" w:cs="Calibri"/>
          <w:color w:val="000000" w:themeColor="text1"/>
        </w:rPr>
        <w:t>Findings</w:t>
      </w:r>
      <w:r w:rsidRPr="67DBE16E" w:rsidR="50785EB4">
        <w:rPr>
          <w:rFonts w:ascii="Calibri" w:eastAsia="Calibri" w:hAnsi="Calibri" w:cs="Calibri"/>
        </w:rPr>
        <w:t xml:space="preserve"> may also be incorporated into other documents or presentations that are made public such as through conference presentations, websites, or social media. Audiences for products </w:t>
      </w:r>
      <w:r w:rsidR="00664B73">
        <w:rPr>
          <w:rFonts w:ascii="Calibri" w:eastAsia="Calibri" w:hAnsi="Calibri" w:cs="Calibri"/>
        </w:rPr>
        <w:t xml:space="preserve">are likely to </w:t>
      </w:r>
      <w:r w:rsidRPr="67DBE16E" w:rsidR="50785EB4">
        <w:rPr>
          <w:rFonts w:ascii="Calibri" w:eastAsia="Calibri" w:hAnsi="Calibri" w:cs="Calibri"/>
        </w:rPr>
        <w:t>include federal leadership and staff, researchers and research funders, intermediary organizations, technical assistance providers, and TANF program administrators.</w:t>
      </w:r>
    </w:p>
    <w:p w:rsidR="000D1F2E" w:rsidP="000D1F2E" w14:paraId="53042C2F" w14:textId="77777777">
      <w:pPr>
        <w:spacing w:after="0" w:line="240" w:lineRule="auto"/>
      </w:pPr>
    </w:p>
    <w:p w:rsidR="000D1F2E" w:rsidP="0034531B" w14:paraId="37884805" w14:textId="77777777">
      <w:pPr>
        <w:pStyle w:val="Paragraph"/>
        <w:spacing w:after="0"/>
      </w:pPr>
      <w:r>
        <w:t>The Contractor</w:t>
      </w:r>
      <w:r w:rsidRPr="004D2EA1">
        <w:t xml:space="preserve"> will dispose of the primary data and files containing PII or other confidential data created during the course of the study in accordance with specifications provided by ACF. </w:t>
      </w:r>
      <w:r>
        <w:t>The Contractor</w:t>
      </w:r>
      <w:r w:rsidRPr="004D2EA1">
        <w:t xml:space="preserve"> will employ the server’s secure delete features to permanently purge</w:t>
      </w:r>
      <w:r>
        <w:t xml:space="preserve"> </w:t>
      </w:r>
      <w:r w:rsidRPr="004D2EA1">
        <w:t>electronic data</w:t>
      </w:r>
      <w:r>
        <w:t xml:space="preserve"> at the end of the project</w:t>
      </w:r>
      <w:r w:rsidRPr="004D2EA1">
        <w:t>. Any backups will also be securely overwritten 60 days after primary files are purged. De-identified data may be archived for later use</w:t>
      </w:r>
      <w:r>
        <w:t>.</w:t>
      </w:r>
      <w:r w:rsidRPr="67DBE16E">
        <w:rPr>
          <w:rFonts w:ascii="Calibri" w:eastAsia="Calibri" w:hAnsi="Calibri" w:cs="Calibri"/>
          <w:color w:val="000000" w:themeColor="text1"/>
        </w:rPr>
        <w:t xml:space="preserve"> </w:t>
      </w:r>
    </w:p>
    <w:p w:rsidR="00BB2925" w:rsidP="00901040" w14:paraId="32C05314" w14:textId="77777777">
      <w:pPr>
        <w:spacing w:after="0" w:line="240" w:lineRule="auto"/>
        <w:rPr>
          <w:rFonts w:eastAsia="Times New Roman" w:cstheme="minorHAnsi"/>
        </w:rPr>
      </w:pPr>
    </w:p>
    <w:p w:rsidR="0034531B" w:rsidRPr="00DF1291" w:rsidP="00901040" w14:paraId="63544D70" w14:textId="77777777">
      <w:pPr>
        <w:spacing w:after="0" w:line="240" w:lineRule="auto"/>
        <w:rPr>
          <w:rFonts w:eastAsia="Times New Roman" w:cstheme="minorHAnsi"/>
        </w:rPr>
      </w:pPr>
    </w:p>
    <w:p w:rsidR="00901040" w:rsidRPr="00DF1291" w:rsidP="00F85D35" w14:paraId="69EFFF84" w14:textId="79AFC127">
      <w:pPr>
        <w:spacing w:after="120" w:line="240" w:lineRule="auto"/>
        <w:rPr>
          <w:rFonts w:eastAsia="Times New Roman" w:cstheme="minorHAnsi"/>
        </w:rPr>
      </w:pPr>
      <w:r w:rsidRPr="67DBE16E">
        <w:rPr>
          <w:rFonts w:eastAsia="Times New Roman"/>
          <w:b/>
          <w:bCs/>
        </w:rPr>
        <w:t>B8.  Contact Persons</w:t>
      </w:r>
      <w:r w:rsidRPr="67DBE16E">
        <w:rPr>
          <w:rFonts w:eastAsia="Times New Roman"/>
        </w:rPr>
        <w:t xml:space="preserve">  </w:t>
      </w:r>
    </w:p>
    <w:p w:rsidR="00BB2925" w:rsidRPr="00EB6134" w:rsidP="67DBE16E" w14:paraId="4AFB4B0E" w14:textId="26CE4C47">
      <w:pPr>
        <w:spacing w:line="240" w:lineRule="auto"/>
      </w:pPr>
      <w:r w:rsidRPr="67DBE16E">
        <w:rPr>
          <w:rFonts w:ascii="Calibri" w:eastAsia="Calibri" w:hAnsi="Calibri" w:cs="Calibri"/>
        </w:rPr>
        <w:t xml:space="preserve">This study is not intended to produce statistically generalizable findings.  </w:t>
      </w:r>
    </w:p>
    <w:p w:rsidR="00BB2925" w:rsidRPr="00EB6134" w:rsidP="67DBE16E" w14:paraId="3E60AA4B" w14:textId="66920075">
      <w:pPr>
        <w:spacing w:after="0" w:line="240" w:lineRule="auto"/>
        <w:ind w:left="720"/>
      </w:pPr>
      <w:r w:rsidRPr="67DBE16E">
        <w:rPr>
          <w:rFonts w:ascii="Calibri" w:eastAsia="Calibri" w:hAnsi="Calibri" w:cs="Calibri"/>
          <w:color w:val="000000" w:themeColor="text1"/>
        </w:rPr>
        <w:t>Alexandra Stanczyk (</w:t>
      </w:r>
      <w:hyperlink r:id="rId8" w:history="1">
        <w:r w:rsidRPr="00DF10EE" w:rsidR="00DF10EE">
          <w:rPr>
            <w:rStyle w:val="Hyperlink"/>
            <w:rFonts w:ascii="Calibri" w:eastAsia="Calibri" w:hAnsi="Calibri" w:cs="Calibri"/>
          </w:rPr>
          <w:t>AStancyzk@mathematica-mpr.com</w:t>
        </w:r>
      </w:hyperlink>
      <w:r w:rsidRPr="67DBE16E">
        <w:rPr>
          <w:rFonts w:ascii="Calibri" w:eastAsia="Calibri" w:hAnsi="Calibri" w:cs="Calibri"/>
          <w:color w:val="000000" w:themeColor="text1"/>
        </w:rPr>
        <w:t>) can answer questions about the statistical aspects of the information collection. In addition, the following people will collect, process, and/or analyze the resulting information:</w:t>
      </w:r>
    </w:p>
    <w:p w:rsidR="00DF5750" w:rsidP="00DF5750" w14:paraId="2AB7AA58" w14:textId="77777777">
      <w:pPr>
        <w:pStyle w:val="ListParagraph"/>
        <w:numPr>
          <w:ilvl w:val="0"/>
          <w:numId w:val="5"/>
        </w:numPr>
        <w:spacing w:after="0" w:line="240" w:lineRule="auto"/>
        <w:ind w:left="1440"/>
        <w:rPr>
          <w:rFonts w:ascii="Calibri" w:eastAsia="Calibri" w:hAnsi="Calibri" w:cs="Calibri"/>
          <w:color w:val="000000" w:themeColor="text1"/>
        </w:rPr>
      </w:pPr>
      <w:r w:rsidRPr="67DBE16E">
        <w:rPr>
          <w:rFonts w:ascii="Calibri" w:eastAsia="Calibri" w:hAnsi="Calibri" w:cs="Calibri"/>
          <w:color w:val="000000" w:themeColor="text1"/>
        </w:rPr>
        <w:t>Scott Baumgartner (contractor, Mathematica)</w:t>
      </w:r>
    </w:p>
    <w:p w:rsidR="0044770F" w:rsidP="00A238CE" w14:paraId="60DFC100" w14:textId="58A314FC">
      <w:pPr>
        <w:pStyle w:val="ListParagraph"/>
        <w:numPr>
          <w:ilvl w:val="1"/>
          <w:numId w:val="5"/>
        </w:numPr>
        <w:spacing w:after="0" w:line="240" w:lineRule="auto"/>
        <w:contextualSpacing w:val="0"/>
        <w:rPr>
          <w:rFonts w:eastAsia="Times New Roman"/>
        </w:rPr>
      </w:pPr>
      <w:r>
        <w:rPr>
          <w:rFonts w:eastAsia="Times New Roman"/>
        </w:rPr>
        <w:t>Caroline O’Callahan (</w:t>
      </w:r>
      <w:r w:rsidR="00DF5750">
        <w:rPr>
          <w:rFonts w:eastAsia="Times New Roman"/>
        </w:rPr>
        <w:t>contractor, Mathematica)</w:t>
      </w:r>
    </w:p>
    <w:p w:rsidR="00BB2925" w:rsidP="67DBE16E" w14:paraId="43C6C953" w14:textId="076C7E4B">
      <w:pPr>
        <w:pStyle w:val="ListParagraph"/>
        <w:numPr>
          <w:ilvl w:val="0"/>
          <w:numId w:val="5"/>
        </w:numPr>
        <w:spacing w:after="0" w:line="240" w:lineRule="auto"/>
        <w:ind w:left="1440"/>
        <w:rPr>
          <w:rFonts w:ascii="Calibri" w:eastAsia="Calibri" w:hAnsi="Calibri" w:cs="Calibri"/>
          <w:color w:val="000000" w:themeColor="text1"/>
        </w:rPr>
      </w:pPr>
      <w:r w:rsidRPr="67DBE16E">
        <w:rPr>
          <w:rFonts w:ascii="Calibri" w:eastAsia="Calibri" w:hAnsi="Calibri" w:cs="Calibri"/>
          <w:color w:val="000000" w:themeColor="text1"/>
        </w:rPr>
        <w:t>Emily Schmitt (contractor, MEF)</w:t>
      </w:r>
    </w:p>
    <w:p w:rsidR="00DF5750" w:rsidRPr="00A238CE" w:rsidP="00A238CE" w14:paraId="680DD38B" w14:textId="77777777">
      <w:pPr>
        <w:pStyle w:val="ListParagraph"/>
        <w:numPr>
          <w:ilvl w:val="1"/>
          <w:numId w:val="5"/>
        </w:numPr>
        <w:spacing w:after="0" w:line="240" w:lineRule="auto"/>
        <w:contextualSpacing w:val="0"/>
        <w:rPr>
          <w:rFonts w:eastAsia="Times New Roman"/>
        </w:rPr>
      </w:pPr>
      <w:r w:rsidRPr="00A238CE">
        <w:rPr>
          <w:rFonts w:eastAsia="Times New Roman"/>
        </w:rPr>
        <w:t>Brittany Tabora (</w:t>
      </w:r>
      <w:r>
        <w:rPr>
          <w:rFonts w:eastAsia="Times New Roman"/>
        </w:rPr>
        <w:t>contractor, Mathematica)</w:t>
      </w:r>
    </w:p>
    <w:p w:rsidR="00DF5750" w:rsidP="00DF5750" w14:paraId="5EF5A6FB" w14:textId="77777777">
      <w:pPr>
        <w:pStyle w:val="ListParagraph"/>
        <w:numPr>
          <w:ilvl w:val="0"/>
          <w:numId w:val="5"/>
        </w:numPr>
        <w:spacing w:after="0" w:line="240" w:lineRule="auto"/>
        <w:ind w:left="1440"/>
        <w:rPr>
          <w:rFonts w:ascii="Calibri" w:eastAsia="Calibri" w:hAnsi="Calibri" w:cs="Calibri"/>
          <w:color w:val="000000" w:themeColor="text1"/>
        </w:rPr>
      </w:pPr>
      <w:r w:rsidRPr="67DBE16E">
        <w:rPr>
          <w:rFonts w:ascii="Calibri" w:eastAsia="Calibri" w:hAnsi="Calibri" w:cs="Calibri"/>
          <w:color w:val="000000" w:themeColor="text1"/>
        </w:rPr>
        <w:t>Samantha Vance (contractor, Mathematica)</w:t>
      </w:r>
    </w:p>
    <w:p w:rsidR="007B6FFF" w:rsidP="008369BA" w14:paraId="5D97D27E" w14:textId="77777777">
      <w:pPr>
        <w:spacing w:after="0" w:line="240" w:lineRule="auto"/>
        <w:rPr>
          <w:b/>
        </w:rPr>
      </w:pPr>
    </w:p>
    <w:p w:rsidR="00083227" w:rsidRPr="00BB2925" w:rsidP="67DBE16E" w14:paraId="1E574BF6" w14:textId="24463D9C">
      <w:pPr>
        <w:spacing w:after="120" w:line="240" w:lineRule="auto"/>
        <w:rPr>
          <w:b/>
          <w:bCs/>
        </w:rPr>
      </w:pPr>
      <w:r w:rsidRPr="67DBE16E">
        <w:rPr>
          <w:b/>
          <w:bCs/>
        </w:rPr>
        <w:t>Attachments</w:t>
      </w:r>
    </w:p>
    <w:p w:rsidR="3E339338" w:rsidP="67DBE16E" w14:paraId="21EEB434" w14:textId="592D7421">
      <w:pPr>
        <w:pStyle w:val="ListParagraph"/>
        <w:numPr>
          <w:ilvl w:val="0"/>
          <w:numId w:val="6"/>
        </w:numPr>
        <w:spacing w:after="0"/>
        <w:ind w:left="360"/>
        <w:rPr>
          <w:rFonts w:ascii="Calibri" w:eastAsia="Calibri" w:hAnsi="Calibri" w:cs="Calibri"/>
        </w:rPr>
      </w:pPr>
      <w:r w:rsidRPr="67DBE16E">
        <w:rPr>
          <w:rFonts w:ascii="Calibri" w:eastAsia="Calibri" w:hAnsi="Calibri" w:cs="Calibri"/>
        </w:rPr>
        <w:t>Instrument 1: Semi-structured focus group discussion guide</w:t>
      </w:r>
    </w:p>
    <w:p w:rsidR="3E339338" w:rsidP="67DBE16E" w14:paraId="514BAEF5" w14:textId="5CE2131D">
      <w:pPr>
        <w:pStyle w:val="ListParagraph"/>
        <w:numPr>
          <w:ilvl w:val="0"/>
          <w:numId w:val="6"/>
        </w:numPr>
        <w:spacing w:after="0"/>
        <w:ind w:left="360"/>
        <w:rPr>
          <w:rFonts w:ascii="Calibri" w:eastAsia="Calibri" w:hAnsi="Calibri" w:cs="Calibri"/>
        </w:rPr>
      </w:pPr>
      <w:r w:rsidRPr="67DBE16E">
        <w:rPr>
          <w:rFonts w:ascii="Calibri" w:eastAsia="Calibri" w:hAnsi="Calibri" w:cs="Calibri"/>
        </w:rPr>
        <w:t>Instrument 2: Web-based survey</w:t>
      </w:r>
    </w:p>
    <w:p w:rsidR="3E339338" w:rsidP="67DBE16E" w14:paraId="0A0B1AEF" w14:textId="2D7AACB8">
      <w:pPr>
        <w:pStyle w:val="ListParagraph"/>
        <w:numPr>
          <w:ilvl w:val="0"/>
          <w:numId w:val="6"/>
        </w:numPr>
        <w:spacing w:after="0"/>
        <w:ind w:left="360"/>
        <w:rPr>
          <w:rFonts w:ascii="Calibri" w:eastAsia="Calibri" w:hAnsi="Calibri" w:cs="Calibri"/>
        </w:rPr>
      </w:pPr>
      <w:r>
        <w:rPr>
          <w:rFonts w:ascii="Calibri" w:eastAsia="Calibri" w:hAnsi="Calibri" w:cs="Calibri"/>
        </w:rPr>
        <w:t>Appendix</w:t>
      </w:r>
      <w:r w:rsidRPr="67DBE16E">
        <w:rPr>
          <w:rFonts w:ascii="Calibri" w:eastAsia="Calibri" w:hAnsi="Calibri" w:cs="Calibri"/>
        </w:rPr>
        <w:t xml:space="preserve"> </w:t>
      </w:r>
      <w:r w:rsidRPr="67DBE16E">
        <w:rPr>
          <w:rFonts w:ascii="Calibri" w:eastAsia="Calibri" w:hAnsi="Calibri" w:cs="Calibri"/>
        </w:rPr>
        <w:t>1: Outreach materials</w:t>
      </w:r>
    </w:p>
    <w:p w:rsidR="00C06F7B" w:rsidP="67DBE16E" w14:paraId="6B9DAF1D" w14:textId="06E9671C">
      <w:pPr>
        <w:pStyle w:val="ListParagraph"/>
        <w:numPr>
          <w:ilvl w:val="0"/>
          <w:numId w:val="6"/>
        </w:numPr>
        <w:spacing w:after="0"/>
        <w:ind w:left="360"/>
        <w:rPr>
          <w:rFonts w:ascii="Calibri" w:eastAsia="Calibri" w:hAnsi="Calibri" w:cs="Calibri"/>
        </w:rPr>
      </w:pPr>
      <w:r>
        <w:rPr>
          <w:rFonts w:ascii="Calibri" w:eastAsia="Calibri" w:hAnsi="Calibri" w:cs="Calibri"/>
        </w:rPr>
        <w:t>Appendix 2: Informed consent letter</w:t>
      </w:r>
    </w:p>
    <w:p w:rsidR="67DBE16E" w:rsidP="67DBE16E" w14:paraId="6BA8E1DC" w14:textId="345538F8">
      <w:pPr>
        <w:spacing w:after="120" w:line="240" w:lineRule="auto"/>
        <w:rPr>
          <w:b/>
          <w:bCs/>
        </w:rPr>
      </w:pP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E408E2"/>
    <w:multiLevelType w:val="hybridMultilevel"/>
    <w:tmpl w:val="C8ACF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379D39"/>
    <w:multiLevelType w:val="hybridMultilevel"/>
    <w:tmpl w:val="175C7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B4ECB1"/>
    <w:multiLevelType w:val="hybridMultilevel"/>
    <w:tmpl w:val="37948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1D7D2B8"/>
    <w:multiLevelType w:val="hybridMultilevel"/>
    <w:tmpl w:val="2BF82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2958472"/>
    <w:multiLevelType w:val="hybridMultilevel"/>
    <w:tmpl w:val="0DEA1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2C1A508"/>
    <w:multiLevelType w:val="hybridMultilevel"/>
    <w:tmpl w:val="AEB4A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80F52D"/>
    <w:multiLevelType w:val="hybridMultilevel"/>
    <w:tmpl w:val="FA30C7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A758FD"/>
    <w:multiLevelType w:val="hybridMultilevel"/>
    <w:tmpl w:val="44E0A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1DC3194"/>
    <w:multiLevelType w:val="hybridMultilevel"/>
    <w:tmpl w:val="BEA0A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75FB3F9"/>
    <w:multiLevelType w:val="hybridMultilevel"/>
    <w:tmpl w:val="AC469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9DC169F"/>
    <w:multiLevelType w:val="multilevel"/>
    <w:tmpl w:val="FAB82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9F6412"/>
    <w:multiLevelType w:val="hybridMultilevel"/>
    <w:tmpl w:val="81923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20FD66D"/>
    <w:multiLevelType w:val="hybridMultilevel"/>
    <w:tmpl w:val="4D6479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0476444">
    <w:abstractNumId w:val="13"/>
  </w:num>
  <w:num w:numId="2" w16cid:durableId="1489440735">
    <w:abstractNumId w:val="12"/>
  </w:num>
  <w:num w:numId="3" w16cid:durableId="1197474391">
    <w:abstractNumId w:val="24"/>
  </w:num>
  <w:num w:numId="4" w16cid:durableId="2061855948">
    <w:abstractNumId w:val="10"/>
  </w:num>
  <w:num w:numId="5" w16cid:durableId="146675941">
    <w:abstractNumId w:val="17"/>
  </w:num>
  <w:num w:numId="6" w16cid:durableId="2017076040">
    <w:abstractNumId w:val="35"/>
  </w:num>
  <w:num w:numId="7" w16cid:durableId="1364864547">
    <w:abstractNumId w:val="15"/>
  </w:num>
  <w:num w:numId="8" w16cid:durableId="1801803132">
    <w:abstractNumId w:val="22"/>
  </w:num>
  <w:num w:numId="9" w16cid:durableId="629286820">
    <w:abstractNumId w:val="14"/>
  </w:num>
  <w:num w:numId="10" w16cid:durableId="1319071716">
    <w:abstractNumId w:val="6"/>
  </w:num>
  <w:num w:numId="11" w16cid:durableId="1808738444">
    <w:abstractNumId w:val="26"/>
  </w:num>
  <w:num w:numId="12" w16cid:durableId="1312557869">
    <w:abstractNumId w:val="4"/>
  </w:num>
  <w:num w:numId="13" w16cid:durableId="817260852">
    <w:abstractNumId w:val="32"/>
  </w:num>
  <w:num w:numId="14" w16cid:durableId="1521241141">
    <w:abstractNumId w:val="20"/>
  </w:num>
  <w:num w:numId="15" w16cid:durableId="608201745">
    <w:abstractNumId w:val="39"/>
  </w:num>
  <w:num w:numId="16" w16cid:durableId="974093932">
    <w:abstractNumId w:val="3"/>
  </w:num>
  <w:num w:numId="17" w16cid:durableId="1751852249">
    <w:abstractNumId w:val="9"/>
  </w:num>
  <w:num w:numId="18" w16cid:durableId="1170409798">
    <w:abstractNumId w:val="19"/>
  </w:num>
  <w:num w:numId="19" w16cid:durableId="243029567">
    <w:abstractNumId w:val="38"/>
  </w:num>
  <w:num w:numId="20" w16cid:durableId="1534536916">
    <w:abstractNumId w:val="41"/>
  </w:num>
  <w:num w:numId="21" w16cid:durableId="1589464419">
    <w:abstractNumId w:val="36"/>
  </w:num>
  <w:num w:numId="22" w16cid:durableId="265501401">
    <w:abstractNumId w:val="31"/>
  </w:num>
  <w:num w:numId="23" w16cid:durableId="1236745936">
    <w:abstractNumId w:val="37"/>
  </w:num>
  <w:num w:numId="24" w16cid:durableId="1273512461">
    <w:abstractNumId w:val="21"/>
  </w:num>
  <w:num w:numId="25" w16cid:durableId="320744420">
    <w:abstractNumId w:val="29"/>
  </w:num>
  <w:num w:numId="26" w16cid:durableId="764812975">
    <w:abstractNumId w:val="16"/>
  </w:num>
  <w:num w:numId="27" w16cid:durableId="2068450166">
    <w:abstractNumId w:val="8"/>
  </w:num>
  <w:num w:numId="28" w16cid:durableId="499857038">
    <w:abstractNumId w:val="7"/>
  </w:num>
  <w:num w:numId="29" w16cid:durableId="838619769">
    <w:abstractNumId w:val="28"/>
  </w:num>
  <w:num w:numId="30" w16cid:durableId="401880083">
    <w:abstractNumId w:val="0"/>
  </w:num>
  <w:num w:numId="31" w16cid:durableId="1854101873">
    <w:abstractNumId w:val="1"/>
  </w:num>
  <w:num w:numId="32" w16cid:durableId="1875191787">
    <w:abstractNumId w:val="23"/>
  </w:num>
  <w:num w:numId="33" w16cid:durableId="308216992">
    <w:abstractNumId w:val="2"/>
  </w:num>
  <w:num w:numId="34" w16cid:durableId="1751074239">
    <w:abstractNumId w:val="11"/>
  </w:num>
  <w:num w:numId="35" w16cid:durableId="1268122961">
    <w:abstractNumId w:val="27"/>
  </w:num>
  <w:num w:numId="36" w16cid:durableId="179247640">
    <w:abstractNumId w:val="18"/>
  </w:num>
  <w:num w:numId="37" w16cid:durableId="1356686733">
    <w:abstractNumId w:val="40"/>
  </w:num>
  <w:num w:numId="38" w16cid:durableId="667057576">
    <w:abstractNumId w:val="33"/>
  </w:num>
  <w:num w:numId="39" w16cid:durableId="2123258781">
    <w:abstractNumId w:val="25"/>
  </w:num>
  <w:num w:numId="40" w16cid:durableId="1806192495">
    <w:abstractNumId w:val="5"/>
  </w:num>
  <w:num w:numId="41" w16cid:durableId="1028796935">
    <w:abstractNumId w:val="34"/>
  </w:num>
  <w:num w:numId="42" w16cid:durableId="1718582681">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6EDC"/>
    <w:rsid w:val="0001255D"/>
    <w:rsid w:val="000149DE"/>
    <w:rsid w:val="00015914"/>
    <w:rsid w:val="00017937"/>
    <w:rsid w:val="00027841"/>
    <w:rsid w:val="00027E79"/>
    <w:rsid w:val="00035A33"/>
    <w:rsid w:val="0004063C"/>
    <w:rsid w:val="0004247F"/>
    <w:rsid w:val="000450BB"/>
    <w:rsid w:val="00053993"/>
    <w:rsid w:val="00053E18"/>
    <w:rsid w:val="00054A1F"/>
    <w:rsid w:val="00060C59"/>
    <w:rsid w:val="00062284"/>
    <w:rsid w:val="00062AFB"/>
    <w:rsid w:val="000655DD"/>
    <w:rsid w:val="00071F79"/>
    <w:rsid w:val="0007251B"/>
    <w:rsid w:val="000733A5"/>
    <w:rsid w:val="00082C5B"/>
    <w:rsid w:val="00082FF4"/>
    <w:rsid w:val="00083227"/>
    <w:rsid w:val="00086CBE"/>
    <w:rsid w:val="00087BF8"/>
    <w:rsid w:val="0008FCA6"/>
    <w:rsid w:val="00090812"/>
    <w:rsid w:val="000921F0"/>
    <w:rsid w:val="0009448D"/>
    <w:rsid w:val="000A012A"/>
    <w:rsid w:val="000A2278"/>
    <w:rsid w:val="000B0CAA"/>
    <w:rsid w:val="000B4899"/>
    <w:rsid w:val="000B7997"/>
    <w:rsid w:val="000C27DE"/>
    <w:rsid w:val="000C52FA"/>
    <w:rsid w:val="000D1F2E"/>
    <w:rsid w:val="000D4E9A"/>
    <w:rsid w:val="000D61D4"/>
    <w:rsid w:val="000D7942"/>
    <w:rsid w:val="000D7D44"/>
    <w:rsid w:val="000E5E9A"/>
    <w:rsid w:val="000F1E4A"/>
    <w:rsid w:val="000F39D6"/>
    <w:rsid w:val="00100D34"/>
    <w:rsid w:val="00103EFD"/>
    <w:rsid w:val="00107D87"/>
    <w:rsid w:val="001226D3"/>
    <w:rsid w:val="001253F4"/>
    <w:rsid w:val="001258FF"/>
    <w:rsid w:val="00131906"/>
    <w:rsid w:val="00135852"/>
    <w:rsid w:val="0013585C"/>
    <w:rsid w:val="0014668F"/>
    <w:rsid w:val="00155473"/>
    <w:rsid w:val="00157482"/>
    <w:rsid w:val="00164249"/>
    <w:rsid w:val="00165818"/>
    <w:rsid w:val="001707D8"/>
    <w:rsid w:val="001709F5"/>
    <w:rsid w:val="00172639"/>
    <w:rsid w:val="00176F92"/>
    <w:rsid w:val="00197A1C"/>
    <w:rsid w:val="001A6CCB"/>
    <w:rsid w:val="001B0A76"/>
    <w:rsid w:val="001B6330"/>
    <w:rsid w:val="001B6E1A"/>
    <w:rsid w:val="001C07BB"/>
    <w:rsid w:val="001C17AD"/>
    <w:rsid w:val="001C1970"/>
    <w:rsid w:val="001C3523"/>
    <w:rsid w:val="001C55F9"/>
    <w:rsid w:val="001D3B3E"/>
    <w:rsid w:val="001D4C17"/>
    <w:rsid w:val="001D4D97"/>
    <w:rsid w:val="001F57A5"/>
    <w:rsid w:val="001F57F5"/>
    <w:rsid w:val="00200FC0"/>
    <w:rsid w:val="00202DF6"/>
    <w:rsid w:val="0020401C"/>
    <w:rsid w:val="0020629A"/>
    <w:rsid w:val="00206E11"/>
    <w:rsid w:val="00206FE3"/>
    <w:rsid w:val="00207554"/>
    <w:rsid w:val="00211261"/>
    <w:rsid w:val="00242A6A"/>
    <w:rsid w:val="00247EA4"/>
    <w:rsid w:val="00250C4F"/>
    <w:rsid w:val="002517BB"/>
    <w:rsid w:val="00251AE1"/>
    <w:rsid w:val="00256E24"/>
    <w:rsid w:val="00263DD3"/>
    <w:rsid w:val="00265491"/>
    <w:rsid w:val="00270F19"/>
    <w:rsid w:val="00276CE2"/>
    <w:rsid w:val="00281633"/>
    <w:rsid w:val="00282AB3"/>
    <w:rsid w:val="00284A64"/>
    <w:rsid w:val="00285DD4"/>
    <w:rsid w:val="00287091"/>
    <w:rsid w:val="00287AF1"/>
    <w:rsid w:val="00291F82"/>
    <w:rsid w:val="00296A19"/>
    <w:rsid w:val="002974F2"/>
    <w:rsid w:val="002A00E0"/>
    <w:rsid w:val="002A41C6"/>
    <w:rsid w:val="002B785B"/>
    <w:rsid w:val="002C4F75"/>
    <w:rsid w:val="002C6724"/>
    <w:rsid w:val="002D4A96"/>
    <w:rsid w:val="002E5C7C"/>
    <w:rsid w:val="002E623B"/>
    <w:rsid w:val="002E6CCF"/>
    <w:rsid w:val="002F33D0"/>
    <w:rsid w:val="002F5E15"/>
    <w:rsid w:val="002F68E4"/>
    <w:rsid w:val="00300722"/>
    <w:rsid w:val="0030316D"/>
    <w:rsid w:val="00303CAF"/>
    <w:rsid w:val="00303DFB"/>
    <w:rsid w:val="003056A8"/>
    <w:rsid w:val="0031406F"/>
    <w:rsid w:val="00317318"/>
    <w:rsid w:val="00317A08"/>
    <w:rsid w:val="00326914"/>
    <w:rsid w:val="0034531B"/>
    <w:rsid w:val="003535E2"/>
    <w:rsid w:val="00355E77"/>
    <w:rsid w:val="003571A6"/>
    <w:rsid w:val="0036218E"/>
    <w:rsid w:val="00371C7A"/>
    <w:rsid w:val="0037224A"/>
    <w:rsid w:val="00373D2F"/>
    <w:rsid w:val="0037796C"/>
    <w:rsid w:val="00382109"/>
    <w:rsid w:val="003A41E2"/>
    <w:rsid w:val="003A7774"/>
    <w:rsid w:val="003B0287"/>
    <w:rsid w:val="003C3B91"/>
    <w:rsid w:val="003C42D9"/>
    <w:rsid w:val="003C7358"/>
    <w:rsid w:val="003D2D75"/>
    <w:rsid w:val="003D3F04"/>
    <w:rsid w:val="003D4F73"/>
    <w:rsid w:val="003D5B24"/>
    <w:rsid w:val="003E3779"/>
    <w:rsid w:val="003E61F6"/>
    <w:rsid w:val="003E6EFA"/>
    <w:rsid w:val="003F0D93"/>
    <w:rsid w:val="00407537"/>
    <w:rsid w:val="00412D27"/>
    <w:rsid w:val="0041305E"/>
    <w:rsid w:val="00414590"/>
    <w:rsid w:val="004165BD"/>
    <w:rsid w:val="0042220D"/>
    <w:rsid w:val="0043377A"/>
    <w:rsid w:val="00436585"/>
    <w:rsid w:val="004379B6"/>
    <w:rsid w:val="004415B8"/>
    <w:rsid w:val="00442914"/>
    <w:rsid w:val="0044428E"/>
    <w:rsid w:val="00446465"/>
    <w:rsid w:val="00446DC9"/>
    <w:rsid w:val="0044770F"/>
    <w:rsid w:val="0045426B"/>
    <w:rsid w:val="00460D54"/>
    <w:rsid w:val="004611A5"/>
    <w:rsid w:val="00461D3E"/>
    <w:rsid w:val="004630DB"/>
    <w:rsid w:val="004706CC"/>
    <w:rsid w:val="00480B67"/>
    <w:rsid w:val="00481608"/>
    <w:rsid w:val="00484B38"/>
    <w:rsid w:val="004868C1"/>
    <w:rsid w:val="00487441"/>
    <w:rsid w:val="00487654"/>
    <w:rsid w:val="004A0DBF"/>
    <w:rsid w:val="004A2B61"/>
    <w:rsid w:val="004A3B5A"/>
    <w:rsid w:val="004A4C67"/>
    <w:rsid w:val="004B75AC"/>
    <w:rsid w:val="004C308F"/>
    <w:rsid w:val="004C3644"/>
    <w:rsid w:val="004D12DD"/>
    <w:rsid w:val="004D2EA1"/>
    <w:rsid w:val="004E1CB2"/>
    <w:rsid w:val="004E5778"/>
    <w:rsid w:val="004E651D"/>
    <w:rsid w:val="004E7ED8"/>
    <w:rsid w:val="004F0605"/>
    <w:rsid w:val="0050229A"/>
    <w:rsid w:val="0050376D"/>
    <w:rsid w:val="00504552"/>
    <w:rsid w:val="00512C25"/>
    <w:rsid w:val="005260AF"/>
    <w:rsid w:val="005302CB"/>
    <w:rsid w:val="00531337"/>
    <w:rsid w:val="005316E0"/>
    <w:rsid w:val="00533FC5"/>
    <w:rsid w:val="005463D1"/>
    <w:rsid w:val="0055434C"/>
    <w:rsid w:val="0055657A"/>
    <w:rsid w:val="005713C9"/>
    <w:rsid w:val="0057343C"/>
    <w:rsid w:val="00591283"/>
    <w:rsid w:val="00596F29"/>
    <w:rsid w:val="00597073"/>
    <w:rsid w:val="005A162C"/>
    <w:rsid w:val="005A61CE"/>
    <w:rsid w:val="005A7E5A"/>
    <w:rsid w:val="005B1285"/>
    <w:rsid w:val="005B1410"/>
    <w:rsid w:val="005B431B"/>
    <w:rsid w:val="005B629F"/>
    <w:rsid w:val="005B7514"/>
    <w:rsid w:val="005C7E12"/>
    <w:rsid w:val="005D14AB"/>
    <w:rsid w:val="005D4A40"/>
    <w:rsid w:val="005D76F4"/>
    <w:rsid w:val="005E2CA9"/>
    <w:rsid w:val="005E493B"/>
    <w:rsid w:val="005E76A4"/>
    <w:rsid w:val="005F2951"/>
    <w:rsid w:val="00604C29"/>
    <w:rsid w:val="00610320"/>
    <w:rsid w:val="006173D1"/>
    <w:rsid w:val="006234CD"/>
    <w:rsid w:val="00624DDC"/>
    <w:rsid w:val="006253B6"/>
    <w:rsid w:val="006257ED"/>
    <w:rsid w:val="0062686E"/>
    <w:rsid w:val="00630B30"/>
    <w:rsid w:val="006345D7"/>
    <w:rsid w:val="00635EF0"/>
    <w:rsid w:val="00642168"/>
    <w:rsid w:val="00642429"/>
    <w:rsid w:val="00646227"/>
    <w:rsid w:val="00651FF6"/>
    <w:rsid w:val="00662201"/>
    <w:rsid w:val="00663871"/>
    <w:rsid w:val="006644ED"/>
    <w:rsid w:val="00664B73"/>
    <w:rsid w:val="00675470"/>
    <w:rsid w:val="006804B9"/>
    <w:rsid w:val="00680EA2"/>
    <w:rsid w:val="0068303E"/>
    <w:rsid w:val="0068383E"/>
    <w:rsid w:val="00687CB8"/>
    <w:rsid w:val="0069380B"/>
    <w:rsid w:val="00694E8D"/>
    <w:rsid w:val="00696D0B"/>
    <w:rsid w:val="00697184"/>
    <w:rsid w:val="006A4D02"/>
    <w:rsid w:val="006B1909"/>
    <w:rsid w:val="006B1BF9"/>
    <w:rsid w:val="006B31DA"/>
    <w:rsid w:val="006B53F1"/>
    <w:rsid w:val="006B6037"/>
    <w:rsid w:val="006C0E56"/>
    <w:rsid w:val="006C3280"/>
    <w:rsid w:val="006C48E4"/>
    <w:rsid w:val="006C73AE"/>
    <w:rsid w:val="006C7FED"/>
    <w:rsid w:val="006D0E05"/>
    <w:rsid w:val="006D3C83"/>
    <w:rsid w:val="006D45AD"/>
    <w:rsid w:val="006E2992"/>
    <w:rsid w:val="006E4E51"/>
    <w:rsid w:val="006E4F82"/>
    <w:rsid w:val="006E637F"/>
    <w:rsid w:val="007003A2"/>
    <w:rsid w:val="0070090C"/>
    <w:rsid w:val="00713D5C"/>
    <w:rsid w:val="00717BDC"/>
    <w:rsid w:val="0072072F"/>
    <w:rsid w:val="0072186D"/>
    <w:rsid w:val="00723A28"/>
    <w:rsid w:val="00726E13"/>
    <w:rsid w:val="007325B8"/>
    <w:rsid w:val="007339BC"/>
    <w:rsid w:val="00736B62"/>
    <w:rsid w:val="00737F9D"/>
    <w:rsid w:val="00757B06"/>
    <w:rsid w:val="00762E6E"/>
    <w:rsid w:val="00764C85"/>
    <w:rsid w:val="007664D7"/>
    <w:rsid w:val="00775F24"/>
    <w:rsid w:val="00781F84"/>
    <w:rsid w:val="0079010A"/>
    <w:rsid w:val="00793E3E"/>
    <w:rsid w:val="0079653A"/>
    <w:rsid w:val="007A168D"/>
    <w:rsid w:val="007A2653"/>
    <w:rsid w:val="007A29C5"/>
    <w:rsid w:val="007A6D61"/>
    <w:rsid w:val="007B38C9"/>
    <w:rsid w:val="007B6CA2"/>
    <w:rsid w:val="007B6FFF"/>
    <w:rsid w:val="007C2EE0"/>
    <w:rsid w:val="007C77EC"/>
    <w:rsid w:val="007C7B4B"/>
    <w:rsid w:val="007D650B"/>
    <w:rsid w:val="007E4ECC"/>
    <w:rsid w:val="007E58D7"/>
    <w:rsid w:val="00810680"/>
    <w:rsid w:val="0081274B"/>
    <w:rsid w:val="0081527B"/>
    <w:rsid w:val="00823428"/>
    <w:rsid w:val="00825760"/>
    <w:rsid w:val="008320E9"/>
    <w:rsid w:val="008369BA"/>
    <w:rsid w:val="00837B3B"/>
    <w:rsid w:val="00840D32"/>
    <w:rsid w:val="00843906"/>
    <w:rsid w:val="00843933"/>
    <w:rsid w:val="008444E1"/>
    <w:rsid w:val="00850F4C"/>
    <w:rsid w:val="008512AB"/>
    <w:rsid w:val="00854953"/>
    <w:rsid w:val="00861F5D"/>
    <w:rsid w:val="00862367"/>
    <w:rsid w:val="00864C1F"/>
    <w:rsid w:val="00866498"/>
    <w:rsid w:val="00870FA1"/>
    <w:rsid w:val="008725B6"/>
    <w:rsid w:val="00875220"/>
    <w:rsid w:val="00876380"/>
    <w:rsid w:val="0088795B"/>
    <w:rsid w:val="00891CD9"/>
    <w:rsid w:val="00892FB2"/>
    <w:rsid w:val="00895723"/>
    <w:rsid w:val="0089629B"/>
    <w:rsid w:val="008A1412"/>
    <w:rsid w:val="008A2CA7"/>
    <w:rsid w:val="008B390E"/>
    <w:rsid w:val="008C4B46"/>
    <w:rsid w:val="008D105A"/>
    <w:rsid w:val="008D3E97"/>
    <w:rsid w:val="008D60EA"/>
    <w:rsid w:val="008E0239"/>
    <w:rsid w:val="008E4718"/>
    <w:rsid w:val="008F2446"/>
    <w:rsid w:val="008F264E"/>
    <w:rsid w:val="008F68CD"/>
    <w:rsid w:val="008F7083"/>
    <w:rsid w:val="00901040"/>
    <w:rsid w:val="00902522"/>
    <w:rsid w:val="00917EE3"/>
    <w:rsid w:val="00920CB8"/>
    <w:rsid w:val="0092172C"/>
    <w:rsid w:val="00923DAE"/>
    <w:rsid w:val="00923F25"/>
    <w:rsid w:val="00935C5B"/>
    <w:rsid w:val="009361EF"/>
    <w:rsid w:val="009370B1"/>
    <w:rsid w:val="009460A4"/>
    <w:rsid w:val="00953198"/>
    <w:rsid w:val="00955436"/>
    <w:rsid w:val="00963503"/>
    <w:rsid w:val="00963BE5"/>
    <w:rsid w:val="00965DBD"/>
    <w:rsid w:val="00971944"/>
    <w:rsid w:val="009815C6"/>
    <w:rsid w:val="00992583"/>
    <w:rsid w:val="0099277D"/>
    <w:rsid w:val="00995091"/>
    <w:rsid w:val="0099602E"/>
    <w:rsid w:val="00996201"/>
    <w:rsid w:val="0099621B"/>
    <w:rsid w:val="00996832"/>
    <w:rsid w:val="009A39E1"/>
    <w:rsid w:val="009A3AD8"/>
    <w:rsid w:val="009A6EE8"/>
    <w:rsid w:val="009B0F58"/>
    <w:rsid w:val="009B3DFB"/>
    <w:rsid w:val="009C3380"/>
    <w:rsid w:val="009D07DA"/>
    <w:rsid w:val="009D2A31"/>
    <w:rsid w:val="009D4D57"/>
    <w:rsid w:val="009D6273"/>
    <w:rsid w:val="009E3164"/>
    <w:rsid w:val="009E46BB"/>
    <w:rsid w:val="009E55D8"/>
    <w:rsid w:val="009E79BB"/>
    <w:rsid w:val="009E7E38"/>
    <w:rsid w:val="009E7F5A"/>
    <w:rsid w:val="009F265B"/>
    <w:rsid w:val="009F482C"/>
    <w:rsid w:val="009F64E4"/>
    <w:rsid w:val="009F68DB"/>
    <w:rsid w:val="009F6E30"/>
    <w:rsid w:val="00A03E3F"/>
    <w:rsid w:val="00A07017"/>
    <w:rsid w:val="00A1108E"/>
    <w:rsid w:val="00A2041C"/>
    <w:rsid w:val="00A238CE"/>
    <w:rsid w:val="00A27CD0"/>
    <w:rsid w:val="00A362B6"/>
    <w:rsid w:val="00A409F9"/>
    <w:rsid w:val="00A4100D"/>
    <w:rsid w:val="00A448AB"/>
    <w:rsid w:val="00A464DD"/>
    <w:rsid w:val="00A549CF"/>
    <w:rsid w:val="00A57382"/>
    <w:rsid w:val="00A65812"/>
    <w:rsid w:val="00A66CD5"/>
    <w:rsid w:val="00A67DFF"/>
    <w:rsid w:val="00A71475"/>
    <w:rsid w:val="00A714DC"/>
    <w:rsid w:val="00A716AE"/>
    <w:rsid w:val="00A7179C"/>
    <w:rsid w:val="00A761CB"/>
    <w:rsid w:val="00A80961"/>
    <w:rsid w:val="00A85701"/>
    <w:rsid w:val="00A931AA"/>
    <w:rsid w:val="00AA2C87"/>
    <w:rsid w:val="00AA69E4"/>
    <w:rsid w:val="00AB1D42"/>
    <w:rsid w:val="00AC0014"/>
    <w:rsid w:val="00AC05EA"/>
    <w:rsid w:val="00AC6C7A"/>
    <w:rsid w:val="00AD0344"/>
    <w:rsid w:val="00AD3261"/>
    <w:rsid w:val="00AD4355"/>
    <w:rsid w:val="00AD5176"/>
    <w:rsid w:val="00AE383C"/>
    <w:rsid w:val="00AE3F5F"/>
    <w:rsid w:val="00AF04E2"/>
    <w:rsid w:val="00AF781B"/>
    <w:rsid w:val="00B025D8"/>
    <w:rsid w:val="00B030AA"/>
    <w:rsid w:val="00B04973"/>
    <w:rsid w:val="00B05D41"/>
    <w:rsid w:val="00B10736"/>
    <w:rsid w:val="00B13297"/>
    <w:rsid w:val="00B13DC4"/>
    <w:rsid w:val="00B17B7C"/>
    <w:rsid w:val="00B20DD1"/>
    <w:rsid w:val="00B22BC1"/>
    <w:rsid w:val="00B23277"/>
    <w:rsid w:val="00B245AD"/>
    <w:rsid w:val="00B4182B"/>
    <w:rsid w:val="00B55E54"/>
    <w:rsid w:val="00B564A5"/>
    <w:rsid w:val="00B56589"/>
    <w:rsid w:val="00B64D05"/>
    <w:rsid w:val="00B70460"/>
    <w:rsid w:val="00B73EA6"/>
    <w:rsid w:val="00B750A4"/>
    <w:rsid w:val="00B75260"/>
    <w:rsid w:val="00B925E4"/>
    <w:rsid w:val="00B9441B"/>
    <w:rsid w:val="00B96EE7"/>
    <w:rsid w:val="00B97DA3"/>
    <w:rsid w:val="00BA22F8"/>
    <w:rsid w:val="00BA47F5"/>
    <w:rsid w:val="00BA58AC"/>
    <w:rsid w:val="00BB2925"/>
    <w:rsid w:val="00BB4BF8"/>
    <w:rsid w:val="00BB5C53"/>
    <w:rsid w:val="00BB70B6"/>
    <w:rsid w:val="00BC098E"/>
    <w:rsid w:val="00BC1563"/>
    <w:rsid w:val="00BD702B"/>
    <w:rsid w:val="00BD7B78"/>
    <w:rsid w:val="00BE371B"/>
    <w:rsid w:val="00BE4A0B"/>
    <w:rsid w:val="00BE773B"/>
    <w:rsid w:val="00C00DB8"/>
    <w:rsid w:val="00C01686"/>
    <w:rsid w:val="00C05352"/>
    <w:rsid w:val="00C06F7B"/>
    <w:rsid w:val="00C2009C"/>
    <w:rsid w:val="00C32404"/>
    <w:rsid w:val="00C64467"/>
    <w:rsid w:val="00C73360"/>
    <w:rsid w:val="00C764A8"/>
    <w:rsid w:val="00C86CB2"/>
    <w:rsid w:val="00C91C71"/>
    <w:rsid w:val="00C95126"/>
    <w:rsid w:val="00C965C7"/>
    <w:rsid w:val="00C967E6"/>
    <w:rsid w:val="00CA72A5"/>
    <w:rsid w:val="00CC07BF"/>
    <w:rsid w:val="00CC1699"/>
    <w:rsid w:val="00CC35B0"/>
    <w:rsid w:val="00CC4651"/>
    <w:rsid w:val="00CD1D33"/>
    <w:rsid w:val="00CD2805"/>
    <w:rsid w:val="00CD3997"/>
    <w:rsid w:val="00CE018E"/>
    <w:rsid w:val="00CE0629"/>
    <w:rsid w:val="00CE0911"/>
    <w:rsid w:val="00CE7A4A"/>
    <w:rsid w:val="00CF1932"/>
    <w:rsid w:val="00CF315D"/>
    <w:rsid w:val="00CF6620"/>
    <w:rsid w:val="00D04A52"/>
    <w:rsid w:val="00D1343F"/>
    <w:rsid w:val="00D13AA8"/>
    <w:rsid w:val="00D13EB6"/>
    <w:rsid w:val="00D239B5"/>
    <w:rsid w:val="00D31300"/>
    <w:rsid w:val="00D32B72"/>
    <w:rsid w:val="00D36B90"/>
    <w:rsid w:val="00D4033C"/>
    <w:rsid w:val="00D410C2"/>
    <w:rsid w:val="00D4331B"/>
    <w:rsid w:val="00D43E1D"/>
    <w:rsid w:val="00D45504"/>
    <w:rsid w:val="00D51337"/>
    <w:rsid w:val="00D5346A"/>
    <w:rsid w:val="00D55767"/>
    <w:rsid w:val="00D570DF"/>
    <w:rsid w:val="00D71BA0"/>
    <w:rsid w:val="00D743D7"/>
    <w:rsid w:val="00D74873"/>
    <w:rsid w:val="00D749DF"/>
    <w:rsid w:val="00D753FF"/>
    <w:rsid w:val="00D75FB0"/>
    <w:rsid w:val="00D76708"/>
    <w:rsid w:val="00D82755"/>
    <w:rsid w:val="00D82E67"/>
    <w:rsid w:val="00D831AC"/>
    <w:rsid w:val="00D86A59"/>
    <w:rsid w:val="00D95F05"/>
    <w:rsid w:val="00D97926"/>
    <w:rsid w:val="00DA3557"/>
    <w:rsid w:val="00DA4701"/>
    <w:rsid w:val="00DC3C44"/>
    <w:rsid w:val="00DC65F2"/>
    <w:rsid w:val="00DC7876"/>
    <w:rsid w:val="00DC7DD5"/>
    <w:rsid w:val="00DD041F"/>
    <w:rsid w:val="00DD0F4F"/>
    <w:rsid w:val="00DE3B8E"/>
    <w:rsid w:val="00DE3ED7"/>
    <w:rsid w:val="00DE4013"/>
    <w:rsid w:val="00DE4492"/>
    <w:rsid w:val="00DE552F"/>
    <w:rsid w:val="00DF0651"/>
    <w:rsid w:val="00DF0AE1"/>
    <w:rsid w:val="00DF10EE"/>
    <w:rsid w:val="00DF1291"/>
    <w:rsid w:val="00DF15DA"/>
    <w:rsid w:val="00DF1F89"/>
    <w:rsid w:val="00DF5750"/>
    <w:rsid w:val="00E000EC"/>
    <w:rsid w:val="00E02E93"/>
    <w:rsid w:val="00E05ECB"/>
    <w:rsid w:val="00E10596"/>
    <w:rsid w:val="00E1392C"/>
    <w:rsid w:val="00E16F9F"/>
    <w:rsid w:val="00E21BD3"/>
    <w:rsid w:val="00E22AC6"/>
    <w:rsid w:val="00E24830"/>
    <w:rsid w:val="00E27DBF"/>
    <w:rsid w:val="00E318A6"/>
    <w:rsid w:val="00E41C62"/>
    <w:rsid w:val="00E41EE9"/>
    <w:rsid w:val="00E45C11"/>
    <w:rsid w:val="00E461D4"/>
    <w:rsid w:val="00E47E4D"/>
    <w:rsid w:val="00E5492B"/>
    <w:rsid w:val="00E54FC7"/>
    <w:rsid w:val="00E62285"/>
    <w:rsid w:val="00E62819"/>
    <w:rsid w:val="00E71E25"/>
    <w:rsid w:val="00E750F9"/>
    <w:rsid w:val="00E75D57"/>
    <w:rsid w:val="00E77A8F"/>
    <w:rsid w:val="00E80588"/>
    <w:rsid w:val="00E80A8C"/>
    <w:rsid w:val="00E83C7A"/>
    <w:rsid w:val="00E879B1"/>
    <w:rsid w:val="00E9045F"/>
    <w:rsid w:val="00EA0D4F"/>
    <w:rsid w:val="00EA405B"/>
    <w:rsid w:val="00EA728E"/>
    <w:rsid w:val="00EB122B"/>
    <w:rsid w:val="00EB4135"/>
    <w:rsid w:val="00EB4C26"/>
    <w:rsid w:val="00EB6134"/>
    <w:rsid w:val="00EC1A6C"/>
    <w:rsid w:val="00ED7509"/>
    <w:rsid w:val="00EE0FE0"/>
    <w:rsid w:val="00EE38AF"/>
    <w:rsid w:val="00EF06C7"/>
    <w:rsid w:val="00EF254B"/>
    <w:rsid w:val="00EF4FF2"/>
    <w:rsid w:val="00F0176A"/>
    <w:rsid w:val="00F01978"/>
    <w:rsid w:val="00F02DF8"/>
    <w:rsid w:val="00F071DE"/>
    <w:rsid w:val="00F0765E"/>
    <w:rsid w:val="00F12C04"/>
    <w:rsid w:val="00F1546E"/>
    <w:rsid w:val="00F222F2"/>
    <w:rsid w:val="00F30416"/>
    <w:rsid w:val="00F33D94"/>
    <w:rsid w:val="00F400C6"/>
    <w:rsid w:val="00F4026D"/>
    <w:rsid w:val="00F41CAC"/>
    <w:rsid w:val="00F42246"/>
    <w:rsid w:val="00F423C2"/>
    <w:rsid w:val="00F439F7"/>
    <w:rsid w:val="00F46DAE"/>
    <w:rsid w:val="00F47D1F"/>
    <w:rsid w:val="00F625B4"/>
    <w:rsid w:val="00F65A01"/>
    <w:rsid w:val="00F66564"/>
    <w:rsid w:val="00F673EB"/>
    <w:rsid w:val="00F74630"/>
    <w:rsid w:val="00F75A5D"/>
    <w:rsid w:val="00F81C63"/>
    <w:rsid w:val="00F85D35"/>
    <w:rsid w:val="00F862E6"/>
    <w:rsid w:val="00F9122A"/>
    <w:rsid w:val="00F917E5"/>
    <w:rsid w:val="00F939B8"/>
    <w:rsid w:val="00F96574"/>
    <w:rsid w:val="00FA33D4"/>
    <w:rsid w:val="00FA6D2C"/>
    <w:rsid w:val="00FB5BF6"/>
    <w:rsid w:val="00FC5B64"/>
    <w:rsid w:val="00FC779A"/>
    <w:rsid w:val="00FD1E63"/>
    <w:rsid w:val="00FD385F"/>
    <w:rsid w:val="00FD4D9D"/>
    <w:rsid w:val="00FE22F1"/>
    <w:rsid w:val="00FE2570"/>
    <w:rsid w:val="00FE2593"/>
    <w:rsid w:val="00FF5C51"/>
    <w:rsid w:val="011BE4DD"/>
    <w:rsid w:val="01580909"/>
    <w:rsid w:val="038BC8A9"/>
    <w:rsid w:val="055AA480"/>
    <w:rsid w:val="0675D237"/>
    <w:rsid w:val="0765208E"/>
    <w:rsid w:val="07CC9ACF"/>
    <w:rsid w:val="08BB1E12"/>
    <w:rsid w:val="0BAF8F4D"/>
    <w:rsid w:val="0C35D8C3"/>
    <w:rsid w:val="0CC8D6D8"/>
    <w:rsid w:val="0EB7D72F"/>
    <w:rsid w:val="0EB9A93A"/>
    <w:rsid w:val="0F5574BB"/>
    <w:rsid w:val="10A58FF7"/>
    <w:rsid w:val="121DFB00"/>
    <w:rsid w:val="160838C9"/>
    <w:rsid w:val="19082033"/>
    <w:rsid w:val="1AA594C2"/>
    <w:rsid w:val="1D9C3D0F"/>
    <w:rsid w:val="1E25142E"/>
    <w:rsid w:val="1ED4B6D0"/>
    <w:rsid w:val="1F3BC70B"/>
    <w:rsid w:val="20049C41"/>
    <w:rsid w:val="20732375"/>
    <w:rsid w:val="22992FFF"/>
    <w:rsid w:val="249A8FA0"/>
    <w:rsid w:val="251D0AD2"/>
    <w:rsid w:val="296C7C2E"/>
    <w:rsid w:val="2AD458D3"/>
    <w:rsid w:val="2B90CB5B"/>
    <w:rsid w:val="32D0A410"/>
    <w:rsid w:val="34829671"/>
    <w:rsid w:val="3630958C"/>
    <w:rsid w:val="3798774F"/>
    <w:rsid w:val="37AAF408"/>
    <w:rsid w:val="391D96A5"/>
    <w:rsid w:val="3A6B1514"/>
    <w:rsid w:val="3AADB4DD"/>
    <w:rsid w:val="3C779BDD"/>
    <w:rsid w:val="3CD75E3D"/>
    <w:rsid w:val="3CF6F0F3"/>
    <w:rsid w:val="3E339338"/>
    <w:rsid w:val="41E81575"/>
    <w:rsid w:val="451F5902"/>
    <w:rsid w:val="46AB312F"/>
    <w:rsid w:val="4752F1D3"/>
    <w:rsid w:val="4B0F51CC"/>
    <w:rsid w:val="4DB83466"/>
    <w:rsid w:val="4EE7A2EF"/>
    <w:rsid w:val="4F00EC2E"/>
    <w:rsid w:val="4F9BF1D6"/>
    <w:rsid w:val="50785EB4"/>
    <w:rsid w:val="52190559"/>
    <w:rsid w:val="53D20436"/>
    <w:rsid w:val="5418B598"/>
    <w:rsid w:val="55EC4B9D"/>
    <w:rsid w:val="5AC3F818"/>
    <w:rsid w:val="5AD1D224"/>
    <w:rsid w:val="5B1E55D6"/>
    <w:rsid w:val="5C781BD0"/>
    <w:rsid w:val="5D2719CA"/>
    <w:rsid w:val="6607688A"/>
    <w:rsid w:val="662E9793"/>
    <w:rsid w:val="67A91C16"/>
    <w:rsid w:val="67DBE16E"/>
    <w:rsid w:val="694C1B5A"/>
    <w:rsid w:val="6BE6BFBE"/>
    <w:rsid w:val="6C119054"/>
    <w:rsid w:val="6CF481AE"/>
    <w:rsid w:val="6FDE4D0B"/>
    <w:rsid w:val="73678263"/>
    <w:rsid w:val="743DCCE7"/>
    <w:rsid w:val="7B6894FB"/>
    <w:rsid w:val="7CA742E6"/>
    <w:rsid w:val="7F7006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rsid w:val="000D1F2E"/>
    <w:pPr>
      <w:widowControl w:val="0"/>
      <w:spacing w:after="160" w:line="259" w:lineRule="auto"/>
    </w:pPr>
  </w:style>
  <w:style w:type="character" w:styleId="UnresolvedMention">
    <w:name w:val="Unresolved Mention"/>
    <w:basedOn w:val="DefaultParagraphFont"/>
    <w:uiPriority w:val="99"/>
    <w:semiHidden/>
    <w:unhideWhenUsed/>
    <w:rsid w:val="00DF1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tancyzk@mathematica-mpr.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90d81b-6a5e-410d-abb8-67733e3f98eb">
      <Terms xmlns="http://schemas.microsoft.com/office/infopath/2007/PartnerControls"/>
    </lcf76f155ced4ddcb4097134ff3c332f>
    <TaxCatchAll xmlns="f995ca37-62e3-4d38-b241-f599fdaf50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10702C3F01284896E6404B68145623" ma:contentTypeVersion="12" ma:contentTypeDescription="Create a new document." ma:contentTypeScope="" ma:versionID="5340e8aff7cdd376ec078bc485f76902">
  <xsd:schema xmlns:xsd="http://www.w3.org/2001/XMLSchema" xmlns:xs="http://www.w3.org/2001/XMLSchema" xmlns:p="http://schemas.microsoft.com/office/2006/metadata/properties" xmlns:ns2="6990d81b-6a5e-410d-abb8-67733e3f98eb" xmlns:ns3="f995ca37-62e3-4d38-b241-f599fdaf50bf" targetNamespace="http://schemas.microsoft.com/office/2006/metadata/properties" ma:root="true" ma:fieldsID="ed58249f859fbd870d79647c3bec75c2" ns2:_="" ns3:_="">
    <xsd:import namespace="6990d81b-6a5e-410d-abb8-67733e3f98eb"/>
    <xsd:import namespace="f995ca37-62e3-4d38-b241-f599fdaf5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0d81b-6a5e-410d-abb8-67733e3f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95ca37-62e3-4d38-b241-f599fdaf50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4b722d-5822-4be4-b24d-b3d4ce2ce72c}" ma:internalName="TaxCatchAll" ma:showField="CatchAllData" ma:web="f995ca37-62e3-4d38-b241-f599fdaf5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2.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6990d81b-6a5e-410d-abb8-67733e3f98eb"/>
    <ds:schemaRef ds:uri="f995ca37-62e3-4d38-b241-f599fdaf50bf"/>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9073F300-3A31-4E64-A559-D03ED62BF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0d81b-6a5e-410d-abb8-67733e3f98eb"/>
    <ds:schemaRef ds:uri="f995ca37-62e3-4d38-b241-f599fdaf5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2304</Words>
  <Characters>13505</Characters>
  <Application>Microsoft Office Word</Application>
  <DocSecurity>0</DocSecurity>
  <Lines>365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O'Callahan</dc:creator>
  <cp:lastModifiedBy>ACF PRA</cp:lastModifiedBy>
  <cp:revision>6</cp:revision>
  <dcterms:created xsi:type="dcterms:W3CDTF">2026-04-01T17:32:00Z</dcterms:created>
  <dcterms:modified xsi:type="dcterms:W3CDTF">2026-04-09T12:29:00Z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0x0101005810702C3F01284896E6404B68145623</vt:lpwstr>
  </property>
  <property fmtid="{D5CDD505-2E9C-101B-9397-08002B2CF9AE}" pid="3" name="MediaServiceImageTags">
    <vt:lpwstr/>
  </property>
</Properties>
</file>