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0621" w:rsidRPr="00160621" w:rsidP="00160621" w14:paraId="670B57C7" w14:textId="220648BA">
      <w:pPr>
        <w:pStyle w:val="ReportCover-Title"/>
        <w:jc w:val="center"/>
        <w:rPr>
          <w:rFonts w:ascii="Arial" w:hAnsi="Arial" w:cs="Arial"/>
          <w:color w:val="auto"/>
        </w:rPr>
      </w:pPr>
      <w:r w:rsidRPr="004F7B95">
        <w:rPr>
          <w:rFonts w:ascii="Times New Roman" w:hAnsi="Times New Roman"/>
          <w:sz w:val="24"/>
          <w:szCs w:val="24"/>
        </w:rPr>
        <w:tab/>
      </w:r>
      <w:r w:rsidR="00730D3F">
        <w:rPr>
          <w:rFonts w:ascii="Arial" w:eastAsia="Arial Unicode MS" w:hAnsi="Arial" w:cs="Arial"/>
          <w:noProof/>
          <w:color w:val="auto"/>
        </w:rPr>
        <w:t>State Personal Responsibility Education Program (PREP)</w:t>
      </w:r>
    </w:p>
    <w:p w:rsidR="00160621" w:rsidRPr="00160621" w:rsidP="00160621" w14:paraId="39336BB3" w14:textId="77777777">
      <w:pPr>
        <w:pStyle w:val="ReportCover-Title"/>
        <w:rPr>
          <w:rFonts w:ascii="Arial" w:hAnsi="Arial" w:cs="Arial"/>
          <w:color w:val="auto"/>
        </w:rPr>
      </w:pPr>
    </w:p>
    <w:p w:rsidR="00160621" w:rsidRPr="00160621" w:rsidP="00160621" w14:paraId="04B775EB" w14:textId="77777777">
      <w:pPr>
        <w:pStyle w:val="ReportCover-Title"/>
        <w:rPr>
          <w:rFonts w:ascii="Arial" w:hAnsi="Arial" w:cs="Arial"/>
          <w:color w:val="auto"/>
        </w:rPr>
      </w:pPr>
    </w:p>
    <w:p w:rsidR="00160621" w:rsidRPr="00160621" w:rsidP="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 xml:space="preserve">OMB Information Collection </w:t>
      </w:r>
      <w:bookmarkStart w:id="0" w:name="_Hlk158091421"/>
      <w:r w:rsidRPr="00160621">
        <w:rPr>
          <w:rFonts w:ascii="Arial" w:hAnsi="Arial" w:cs="Arial"/>
          <w:color w:val="auto"/>
          <w:sz w:val="32"/>
          <w:szCs w:val="32"/>
        </w:rPr>
        <w:t>Request</w:t>
      </w:r>
      <w:bookmarkEnd w:id="0"/>
    </w:p>
    <w:p w:rsidR="00160621" w:rsidRPr="00160621" w:rsidP="00160621" w14:paraId="063F1238" w14:textId="7E1C9601">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730D3F">
        <w:rPr>
          <w:rFonts w:ascii="Arial" w:hAnsi="Arial" w:cs="Arial"/>
          <w:color w:val="auto"/>
          <w:sz w:val="32"/>
          <w:szCs w:val="32"/>
        </w:rPr>
        <w:t>0380</w:t>
      </w:r>
    </w:p>
    <w:p w:rsidR="00160621" w:rsidRPr="00160621" w:rsidP="00160621" w14:paraId="3CAA9B87" w14:textId="77777777">
      <w:pPr>
        <w:rPr>
          <w:rFonts w:ascii="Arial" w:hAnsi="Arial" w:cs="Arial"/>
          <w:szCs w:val="22"/>
        </w:rPr>
      </w:pPr>
    </w:p>
    <w:p w:rsidR="00160621" w:rsidRPr="00160621" w:rsidP="00160621" w14:paraId="781D51D2" w14:textId="77777777">
      <w:pPr>
        <w:pStyle w:val="ReportCover-Date"/>
        <w:jc w:val="center"/>
        <w:rPr>
          <w:rFonts w:ascii="Arial" w:hAnsi="Arial" w:cs="Arial"/>
          <w:color w:val="auto"/>
        </w:rPr>
      </w:pPr>
    </w:p>
    <w:p w:rsidR="00160621" w:rsidRPr="00160621" w:rsidP="00597E7F"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w:t>
      </w:r>
      <w:r w:rsidRPr="00160621">
        <w:rPr>
          <w:rFonts w:ascii="Arial" w:hAnsi="Arial" w:cs="Arial"/>
          <w:color w:val="auto"/>
          <w:sz w:val="48"/>
          <w:szCs w:val="48"/>
        </w:rPr>
        <w:t xml:space="preserve"> A</w:t>
      </w:r>
      <w:r>
        <w:rPr>
          <w:rFonts w:ascii="Arial" w:hAnsi="Arial" w:cs="Arial"/>
          <w:color w:val="auto"/>
          <w:sz w:val="48"/>
          <w:szCs w:val="48"/>
        </w:rPr>
        <w:t xml:space="preserve"> - Justification</w:t>
      </w:r>
    </w:p>
    <w:p w:rsidR="00160621" w:rsidRPr="00160621" w:rsidP="00160621" w14:paraId="76FA23BE" w14:textId="3403FEDF">
      <w:pPr>
        <w:pStyle w:val="ReportCover-Date"/>
        <w:jc w:val="center"/>
        <w:rPr>
          <w:rFonts w:ascii="Arial" w:hAnsi="Arial" w:cs="Arial"/>
          <w:color w:val="auto"/>
        </w:rPr>
      </w:pPr>
      <w:r>
        <w:rPr>
          <w:rFonts w:ascii="Arial" w:hAnsi="Arial" w:cs="Arial"/>
          <w:color w:val="auto"/>
        </w:rPr>
        <w:t>February</w:t>
      </w:r>
      <w:r w:rsidR="00402D24">
        <w:rPr>
          <w:rFonts w:ascii="Arial" w:hAnsi="Arial" w:cs="Arial"/>
          <w:color w:val="auto"/>
        </w:rPr>
        <w:t xml:space="preserve"> </w:t>
      </w:r>
      <w:r>
        <w:rPr>
          <w:rFonts w:ascii="Arial" w:hAnsi="Arial" w:cs="Arial"/>
          <w:color w:val="auto"/>
        </w:rPr>
        <w:t>2024</w:t>
      </w:r>
    </w:p>
    <w:p w:rsidR="00160621" w:rsidP="00160621" w14:paraId="753A1E04" w14:textId="77777777">
      <w:pPr>
        <w:jc w:val="center"/>
        <w:rPr>
          <w:rFonts w:ascii="Arial" w:hAnsi="Arial" w:cs="Arial"/>
        </w:rPr>
      </w:pPr>
    </w:p>
    <w:p w:rsidR="00597E7F" w:rsidP="00160621" w14:paraId="519E722B" w14:textId="54464D11">
      <w:pPr>
        <w:jc w:val="center"/>
        <w:rPr>
          <w:rFonts w:ascii="Arial" w:hAnsi="Arial" w:cs="Arial"/>
        </w:rPr>
      </w:pPr>
      <w:r w:rsidRPr="00D71CA2">
        <w:rPr>
          <w:rFonts w:ascii="Arial" w:hAnsi="Arial" w:cs="Arial"/>
          <w:b/>
          <w:bCs/>
          <w:sz w:val="32"/>
          <w:szCs w:val="32"/>
        </w:rPr>
        <w:t>Type of Request:</w:t>
      </w:r>
      <w:r>
        <w:rPr>
          <w:rFonts w:ascii="Arial" w:hAnsi="Arial" w:cs="Arial"/>
          <w:sz w:val="32"/>
          <w:szCs w:val="32"/>
        </w:rPr>
        <w:t xml:space="preserve"> Re</w:t>
      </w:r>
      <w:r w:rsidR="00F04A3D">
        <w:rPr>
          <w:rFonts w:ascii="Arial" w:hAnsi="Arial" w:cs="Arial"/>
          <w:sz w:val="32"/>
          <w:szCs w:val="32"/>
        </w:rPr>
        <w:t>instatement with Changes</w:t>
      </w:r>
    </w:p>
    <w:p w:rsidR="00597E7F" w:rsidP="00160621" w14:paraId="468EB90E" w14:textId="77777777">
      <w:pPr>
        <w:jc w:val="center"/>
        <w:rPr>
          <w:rFonts w:ascii="Arial" w:hAnsi="Arial" w:cs="Arial"/>
        </w:rPr>
      </w:pPr>
    </w:p>
    <w:p w:rsidR="00597E7F" w:rsidP="00160621" w14:paraId="6C5E3B54" w14:textId="77777777">
      <w:pPr>
        <w:jc w:val="center"/>
        <w:rPr>
          <w:rFonts w:ascii="Arial" w:hAnsi="Arial" w:cs="Arial"/>
        </w:rPr>
      </w:pPr>
    </w:p>
    <w:p w:rsidR="00597E7F" w:rsidP="00160621" w14:paraId="7616FF45" w14:textId="77777777">
      <w:pPr>
        <w:jc w:val="center"/>
        <w:rPr>
          <w:rFonts w:ascii="Arial" w:hAnsi="Arial" w:cs="Arial"/>
        </w:rPr>
      </w:pP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P="00160621" w14:paraId="7AAAF468" w14:textId="77777777">
      <w:pPr>
        <w:jc w:val="center"/>
        <w:rPr>
          <w:rFonts w:ascii="Arial" w:hAnsi="Arial" w:cs="Arial"/>
        </w:rPr>
      </w:pPr>
    </w:p>
    <w:p w:rsidR="00597E7F" w:rsidP="00160621" w14:paraId="0B6F308C" w14:textId="77777777">
      <w:pPr>
        <w:jc w:val="center"/>
        <w:rPr>
          <w:rFonts w:ascii="Arial" w:hAnsi="Arial" w:cs="Arial"/>
        </w:rPr>
      </w:pPr>
    </w:p>
    <w:p w:rsidR="00597E7F" w:rsidP="00160621" w14:paraId="43A61A97" w14:textId="77777777">
      <w:pPr>
        <w:jc w:val="center"/>
        <w:rPr>
          <w:rFonts w:ascii="Arial" w:hAnsi="Arial" w:cs="Arial"/>
        </w:rPr>
      </w:pPr>
    </w:p>
    <w:p w:rsidR="00597E7F" w:rsidRPr="00160621" w:rsidP="00160621" w14:paraId="5656E161" w14:textId="77777777">
      <w:pPr>
        <w:jc w:val="center"/>
        <w:rPr>
          <w:rFonts w:ascii="Arial" w:hAnsi="Arial" w:cs="Arial"/>
        </w:rPr>
      </w:pPr>
    </w:p>
    <w:p w:rsidR="00160621" w:rsidRPr="00160621" w:rsidP="00160621" w14:paraId="5E112DDD" w14:textId="77777777">
      <w:pPr>
        <w:jc w:val="center"/>
        <w:rPr>
          <w:rFonts w:ascii="Arial" w:hAnsi="Arial" w:cs="Arial"/>
        </w:rPr>
      </w:pPr>
      <w:r w:rsidRPr="00160621">
        <w:rPr>
          <w:rFonts w:ascii="Arial" w:hAnsi="Arial" w:cs="Arial"/>
        </w:rPr>
        <w:t>Submitted By:</w:t>
      </w:r>
    </w:p>
    <w:p w:rsidR="00160621" w:rsidRPr="00160621" w:rsidP="00160621" w14:paraId="54195924" w14:textId="2CAE3F5C">
      <w:pPr>
        <w:jc w:val="center"/>
        <w:rPr>
          <w:rFonts w:ascii="Arial" w:hAnsi="Arial" w:cs="Arial"/>
        </w:rPr>
      </w:pPr>
      <w:r>
        <w:rPr>
          <w:rFonts w:ascii="Arial" w:hAnsi="Arial" w:cs="Arial"/>
        </w:rPr>
        <w:t>Family and Youth Services Bureau</w:t>
      </w:r>
    </w:p>
    <w:p w:rsidR="00160621" w:rsidRPr="00160621" w:rsidP="00160621" w14:paraId="6B7D9C75"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4CE8214D" w14:textId="77777777">
      <w:pPr>
        <w:jc w:val="center"/>
        <w:rPr>
          <w:rFonts w:ascii="Arial" w:hAnsi="Arial" w:cs="Arial"/>
        </w:rPr>
      </w:pPr>
      <w:r w:rsidRPr="00160621">
        <w:rPr>
          <w:rFonts w:ascii="Arial" w:hAnsi="Arial" w:cs="Arial"/>
        </w:rPr>
        <w:t>U.S. Department of Health and Human Services</w:t>
      </w:r>
    </w:p>
    <w:p w:rsidR="00160621" w:rsidRPr="00160621" w:rsidP="00160621" w14:paraId="005256ED" w14:textId="77777777">
      <w:pPr>
        <w:jc w:val="center"/>
        <w:rPr>
          <w:rFonts w:ascii="Arial" w:hAnsi="Arial" w:cs="Arial"/>
        </w:rPr>
      </w:pPr>
    </w:p>
    <w:p w:rsidR="00160621" w:rsidP="00160621" w14:paraId="71DD6E4D" w14:textId="77777777">
      <w:pPr>
        <w:jc w:val="center"/>
        <w:rPr>
          <w:rFonts w:ascii="Arial" w:hAnsi="Arial" w:cs="Arial"/>
        </w:rPr>
      </w:pPr>
    </w:p>
    <w:p w:rsidR="00160621" w:rsidP="00160621" w14:paraId="56DD869F" w14:textId="77777777">
      <w:pPr>
        <w:jc w:val="center"/>
        <w:rPr>
          <w:rFonts w:ascii="Arial" w:hAnsi="Arial" w:cs="Arial"/>
        </w:rPr>
      </w:pPr>
    </w:p>
    <w:p w:rsidR="00160621" w:rsidP="00160621" w14:paraId="0B82535D" w14:textId="77777777">
      <w:pPr>
        <w:jc w:val="center"/>
        <w:rPr>
          <w:rFonts w:ascii="Arial" w:hAnsi="Arial" w:cs="Arial"/>
        </w:rPr>
      </w:pPr>
    </w:p>
    <w:p w:rsidR="00160621" w:rsidP="00160621" w14:paraId="21C4C2D8" w14:textId="77777777">
      <w:pPr>
        <w:jc w:val="center"/>
        <w:rPr>
          <w:rFonts w:ascii="Arial" w:hAnsi="Arial" w:cs="Arial"/>
        </w:rPr>
      </w:pPr>
    </w:p>
    <w:p w:rsidR="00160621" w:rsidP="00160621" w14:paraId="1473AAD1" w14:textId="77777777">
      <w:pPr>
        <w:jc w:val="center"/>
        <w:rPr>
          <w:rFonts w:ascii="Arial" w:hAnsi="Arial" w:cs="Arial"/>
        </w:rPr>
      </w:pPr>
    </w:p>
    <w:p w:rsidR="00160621" w:rsidRPr="002C4F75" w:rsidP="00160621" w14:paraId="346CDF4E" w14:textId="77777777">
      <w:pPr>
        <w:jc w:val="center"/>
        <w:rPr>
          <w:rFonts w:ascii="Arial" w:hAnsi="Arial" w:cs="Arial"/>
        </w:rPr>
      </w:pPr>
    </w:p>
    <w:p w:rsidR="002C3C4F" w:rsidRPr="00075889" w:rsidP="00075889"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00730D3F" w:rsidP="00EC4FD1" w14:paraId="72861A04" w14:textId="190AF2A3">
      <w:pPr>
        <w:pStyle w:val="NormalWeb"/>
        <w:spacing w:before="0" w:beforeAutospacing="0" w:after="0" w:afterAutospacing="0"/>
        <w:ind w:left="360"/>
      </w:pPr>
      <w:r w:rsidRPr="009D662E">
        <w:t xml:space="preserve">The </w:t>
      </w:r>
      <w:r>
        <w:t xml:space="preserve">Administration on Children, Youth and Families' (ACYF) </w:t>
      </w:r>
      <w:r w:rsidRPr="009D662E">
        <w:t>Family and Youth Services Bureau (FYSB)</w:t>
      </w:r>
      <w:r>
        <w:t xml:space="preserve"> </w:t>
      </w:r>
      <w:r w:rsidR="0084553B">
        <w:t xml:space="preserve">administers </w:t>
      </w:r>
      <w:r w:rsidRPr="009D662E">
        <w:t xml:space="preserve">the </w:t>
      </w:r>
      <w:r>
        <w:t>Personal Responsibility Education Program (PREP)</w:t>
      </w:r>
      <w:r w:rsidR="0084553B">
        <w:t>, which</w:t>
      </w:r>
      <w:r w:rsidRPr="00A37628">
        <w:t xml:space="preserve"> </w:t>
      </w:r>
      <w:r>
        <w:t>fund</w:t>
      </w:r>
      <w:r w:rsidR="0084553B">
        <w:t>s</w:t>
      </w:r>
      <w:r>
        <w:t xml:space="preserve"> s</w:t>
      </w:r>
      <w:r w:rsidRPr="00A37628">
        <w:t>tates</w:t>
      </w:r>
      <w:r w:rsidR="006519AF">
        <w:t xml:space="preserve"> and </w:t>
      </w:r>
      <w:r>
        <w:t>territories</w:t>
      </w:r>
      <w:r w:rsidRPr="00A37628">
        <w:t xml:space="preserve"> to</w:t>
      </w:r>
      <w:r>
        <w:t xml:space="preserve"> implement</w:t>
      </w:r>
      <w:r w:rsidRPr="00A37628">
        <w:t xml:space="preserve"> personal responsibility education programs that </w:t>
      </w:r>
      <w:r w:rsidR="006519AF">
        <w:t>educate adolescents on both abstinence and contraception for the prevention of pregnancy and sexually transmitted infections, including HIV/AIDS.  PREP projects must also implement at least three adulthood preparation subjects</w:t>
      </w:r>
      <w:r w:rsidR="000815CE">
        <w:t xml:space="preserve"> and </w:t>
      </w:r>
      <w:r w:rsidRPr="00A37628">
        <w:t>replicate evidence-based effective program</w:t>
      </w:r>
      <w:r w:rsidR="000815CE">
        <w:t>s</w:t>
      </w:r>
      <w:r w:rsidRPr="00A37628">
        <w:t xml:space="preserve"> or substantially incorporate elements of effective programs that have been proven </w:t>
      </w:r>
      <w:r w:rsidRPr="00A37628">
        <w:t>on the basis of</w:t>
      </w:r>
      <w:r w:rsidRPr="00A37628">
        <w:t xml:space="preserve"> scientific research to change behavior</w:t>
      </w:r>
      <w:r w:rsidR="000815CE">
        <w:t xml:space="preserve">. </w:t>
      </w:r>
      <w:r w:rsidRPr="00A37628">
        <w:t xml:space="preserve"> </w:t>
      </w:r>
      <w:r w:rsidR="000815CE">
        <w:t>This</w:t>
      </w:r>
      <w:r w:rsidRPr="00A37628">
        <w:t xml:space="preserve"> means delaying sexual activity, increasing condom or contraceptive use for sexually active youth, or reducing pregnancy among youth.</w:t>
      </w:r>
    </w:p>
    <w:p w:rsidR="00EC4FD1" w:rsidRPr="00EC4FD1" w:rsidP="00EC4FD1" w14:paraId="060DEDE8" w14:textId="77777777">
      <w:pPr>
        <w:pStyle w:val="NormalWeb"/>
        <w:spacing w:before="0" w:beforeAutospacing="0" w:after="0" w:afterAutospacing="0"/>
        <w:ind w:left="360"/>
      </w:pPr>
    </w:p>
    <w:p w:rsidR="00730D3F" w:rsidP="00173401" w14:paraId="1DA0F8DA" w14:textId="5234FC63">
      <w:pPr>
        <w:pStyle w:val="NormalWeb"/>
        <w:spacing w:before="0" w:beforeAutospacing="0" w:after="0" w:afterAutospacing="0"/>
        <w:ind w:left="360"/>
        <w:rPr>
          <w:color w:val="000000"/>
        </w:rPr>
      </w:pPr>
      <w:r w:rsidRPr="006D300F">
        <w:rPr>
          <w:color w:val="000000"/>
        </w:rPr>
        <w:t>States and territories are</w:t>
      </w:r>
      <w:r>
        <w:rPr>
          <w:color w:val="000000"/>
        </w:rPr>
        <w:t xml:space="preserve"> required to submit plans for the implementation of personal responsibility education</w:t>
      </w:r>
      <w:r w:rsidR="0084553B">
        <w:rPr>
          <w:color w:val="000000"/>
        </w:rPr>
        <w:t>. The plans</w:t>
      </w:r>
      <w:r w:rsidR="00EC4FD1">
        <w:rPr>
          <w:color w:val="000000"/>
        </w:rPr>
        <w:t xml:space="preserve"> provide information about </w:t>
      </w:r>
      <w:r w:rsidR="00463E63">
        <w:rPr>
          <w:color w:val="000000"/>
        </w:rPr>
        <w:t xml:space="preserve">how </w:t>
      </w:r>
      <w:r w:rsidR="00EC4FD1">
        <w:rPr>
          <w:color w:val="000000"/>
        </w:rPr>
        <w:t xml:space="preserve">the state </w:t>
      </w:r>
      <w:r w:rsidR="00463E63">
        <w:rPr>
          <w:color w:val="000000"/>
        </w:rPr>
        <w:t>or territory plans to</w:t>
      </w:r>
      <w:r w:rsidR="00EC3574">
        <w:rPr>
          <w:color w:val="000000"/>
        </w:rPr>
        <w:t xml:space="preserve"> use their state allotment for the development and implementation of education programs aimed to</w:t>
      </w:r>
      <w:r w:rsidR="0084553B">
        <w:rPr>
          <w:color w:val="000000"/>
        </w:rPr>
        <w:t xml:space="preserve"> </w:t>
      </w:r>
      <w:r>
        <w:rPr>
          <w:color w:val="000000"/>
        </w:rPr>
        <w:t>reduce</w:t>
      </w:r>
      <w:r w:rsidRPr="00A37628">
        <w:rPr>
          <w:color w:val="000000"/>
        </w:rPr>
        <w:t xml:space="preserve"> the pregnancy rates and birth rates for youth populations, especially youth populations that are the most high-risk or vulnerable for pregnancies or otherwise have special circumstances, including youth in foster care, homeless youth, youth with HIV/AIDS, pregnant youth who are under 21 years of age, mothers who are under 21 years of age, and youth residing in areas with high birth rates for youth.</w:t>
      </w:r>
      <w:r w:rsidR="00F04A3D">
        <w:rPr>
          <w:color w:val="000000"/>
        </w:rPr>
        <w:t xml:space="preserve"> No changes are proposed to the state plan. </w:t>
      </w:r>
    </w:p>
    <w:p w:rsidR="00463E63" w:rsidP="00730D3F" w14:paraId="4743F8F5" w14:textId="15B29BA9">
      <w:pPr>
        <w:pStyle w:val="NormalWeb"/>
        <w:spacing w:before="0" w:beforeAutospacing="0" w:after="0" w:afterAutospacing="0"/>
        <w:ind w:left="360"/>
        <w:rPr>
          <w:color w:val="000000"/>
        </w:rPr>
      </w:pPr>
    </w:p>
    <w:p w:rsidR="00463E63" w:rsidP="00730D3F" w14:paraId="000A4EE8" w14:textId="5F79A69C">
      <w:pPr>
        <w:pStyle w:val="NormalWeb"/>
        <w:spacing w:before="0" w:beforeAutospacing="0" w:after="0" w:afterAutospacing="0"/>
        <w:ind w:left="360"/>
      </w:pPr>
      <w:r>
        <w:rPr>
          <w:color w:val="000000"/>
        </w:rPr>
        <w:t xml:space="preserve">States and territories must also submit a performance progress report </w:t>
      </w:r>
      <w:r w:rsidR="00173401">
        <w:rPr>
          <w:color w:val="000000"/>
        </w:rPr>
        <w:t xml:space="preserve">(PPR) </w:t>
      </w:r>
      <w:r>
        <w:rPr>
          <w:color w:val="000000"/>
        </w:rPr>
        <w:t xml:space="preserve">on a semi-annual basis that informs the monitoring of </w:t>
      </w:r>
      <w:r w:rsidR="00173401">
        <w:rPr>
          <w:color w:val="000000"/>
        </w:rPr>
        <w:t xml:space="preserve">their </w:t>
      </w:r>
      <w:r w:rsidRPr="004A0B72" w:rsidR="00173401">
        <w:t>program design, program evaluation, management improvement, service quality</w:t>
      </w:r>
      <w:r w:rsidR="00173401">
        <w:t>,</w:t>
      </w:r>
      <w:r w:rsidRPr="004A0B72" w:rsidR="00173401">
        <w:t xml:space="preserve"> </w:t>
      </w:r>
      <w:r w:rsidR="00173401">
        <w:t xml:space="preserve">and </w:t>
      </w:r>
      <w:r w:rsidRPr="004A0B72" w:rsidR="00173401">
        <w:t xml:space="preserve">compliance with agreed upon goals.  </w:t>
      </w:r>
      <w:r w:rsidR="00EC3574">
        <w:t>T</w:t>
      </w:r>
      <w:r w:rsidRPr="004A0B72" w:rsidR="00173401">
        <w:t xml:space="preserve">he </w:t>
      </w:r>
      <w:r w:rsidR="00173401">
        <w:t>PPR</w:t>
      </w:r>
      <w:r w:rsidR="00EC3574">
        <w:t>s</w:t>
      </w:r>
      <w:r w:rsidR="00173401">
        <w:t xml:space="preserve"> </w:t>
      </w:r>
      <w:r w:rsidR="00EC3574">
        <w:t xml:space="preserve">provide FYSB with information </w:t>
      </w:r>
      <w:r w:rsidRPr="004A0B72" w:rsidR="00173401">
        <w:t xml:space="preserve">to assure effective service delivery for </w:t>
      </w:r>
      <w:r w:rsidR="00173401">
        <w:t>youth</w:t>
      </w:r>
      <w:r w:rsidRPr="004A0B72" w:rsidR="00173401">
        <w:t xml:space="preserve"> participants</w:t>
      </w:r>
      <w:r w:rsidR="00173401">
        <w:t xml:space="preserve">, </w:t>
      </w:r>
      <w:r w:rsidRPr="004A0B72" w:rsidR="00173401">
        <w:t>report outcomes and efficiencies</w:t>
      </w:r>
      <w:r w:rsidR="00173401">
        <w:t>,</w:t>
      </w:r>
      <w:r w:rsidRPr="004A0B72" w:rsidR="00173401">
        <w:t xml:space="preserve"> and provide valuable information to policy makers and key stakeholders in the development of program and research efforts.</w:t>
      </w:r>
      <w:r w:rsidR="00F04A3D">
        <w:t xml:space="preserve"> </w:t>
      </w:r>
      <w:r w:rsidR="001E496B">
        <w:t xml:space="preserve"> </w:t>
      </w:r>
      <w:r w:rsidR="00F04A3D">
        <w:t>FYSB propose</w:t>
      </w:r>
      <w:r w:rsidR="00094402">
        <w:t xml:space="preserve">s updates to the PPR to include a request for information related to equity activities and strategies to mitigate challenges. </w:t>
      </w:r>
      <w:r w:rsidR="001E496B">
        <w:t xml:space="preserve"> The inclusion of information on equity activities will support the FYSB Equity Action Plan objectives and identify opportunities to inform the development of T&amp;TA resources, as needed.  The inclusion of strategies to mitigate challenges will allow grant recipients to demonstrate how they overcome challenges which can inform peer to peer sharing.</w:t>
      </w:r>
    </w:p>
    <w:p w:rsidR="00E81315" w:rsidP="00730D3F" w14:paraId="084761F6" w14:textId="3585BFC2">
      <w:pPr>
        <w:pStyle w:val="NormalWeb"/>
        <w:spacing w:before="0" w:beforeAutospacing="0" w:after="0" w:afterAutospacing="0"/>
        <w:ind w:left="360"/>
      </w:pPr>
    </w:p>
    <w:p w:rsidR="00E81315" w:rsidRPr="00D26C43" w:rsidP="00E81315" w14:paraId="754DE005" w14:textId="77777777">
      <w:pPr>
        <w:ind w:left="360"/>
        <w:rPr>
          <w:rFonts w:ascii="Times New Roman" w:hAnsi="Times New Roman"/>
          <w:sz w:val="24"/>
          <w:szCs w:val="24"/>
        </w:rPr>
      </w:pPr>
      <w:r w:rsidRPr="00D26C43">
        <w:rPr>
          <w:rFonts w:ascii="Times New Roman" w:hAnsi="Times New Roman"/>
          <w:sz w:val="24"/>
          <w:szCs w:val="24"/>
        </w:rPr>
        <w:t>PREP is authorized and funded by section 513 of the Social Security Act (42 U.S.C. § 713), as amended by section 50503 of the Bipartisan Budget Act of 2018 (Pub. L. No. 115-123) extended by Division CC, Title III, Section 302 of the Consolidated Appropriations Act, 2021 (Pub. L. No. 116-260).</w:t>
      </w:r>
    </w:p>
    <w:p w:rsidR="00DE529D" w:rsidRPr="004F7B95" w:rsidP="00D7443D" w14:paraId="5548F0DE" w14:textId="77777777">
      <w:pPr>
        <w:widowControl/>
        <w:tabs>
          <w:tab w:val="num" w:pos="360"/>
        </w:tabs>
        <w:ind w:left="360"/>
        <w:rPr>
          <w:rFonts w:ascii="Times New Roman" w:hAnsi="Times New Roman"/>
          <w:snapToGrid/>
          <w:sz w:val="24"/>
          <w:szCs w:val="24"/>
        </w:rPr>
      </w:pPr>
    </w:p>
    <w:p w:rsidR="00790D2C" w:rsidP="00D7443D" w14:paraId="6A4D4BDD" w14:textId="161DBADE">
      <w:pPr>
        <w:widowControl/>
        <w:tabs>
          <w:tab w:val="num" w:pos="360"/>
        </w:tabs>
        <w:ind w:left="360"/>
        <w:rPr>
          <w:rFonts w:ascii="Times New Roman" w:hAnsi="Times New Roman"/>
          <w:snapToGrid/>
          <w:sz w:val="24"/>
          <w:szCs w:val="24"/>
        </w:rPr>
      </w:pPr>
    </w:p>
    <w:p w:rsidR="0098090F" w:rsidRPr="004F7B95" w:rsidP="00D7443D" w14:paraId="0D969C2F" w14:textId="77777777">
      <w:pPr>
        <w:widowControl/>
        <w:tabs>
          <w:tab w:val="num" w:pos="360"/>
        </w:tabs>
        <w:ind w:left="360"/>
        <w:rPr>
          <w:rFonts w:ascii="Times New Roman" w:hAnsi="Times New Roman"/>
          <w:snapToGrid/>
          <w:sz w:val="24"/>
          <w:szCs w:val="24"/>
        </w:rPr>
      </w:pPr>
    </w:p>
    <w:p w:rsidR="002C3C4F" w:rsidRPr="00075889" w:rsidP="00075889" w14:paraId="3264479C" w14:textId="77777777">
      <w:pPr>
        <w:widowControl/>
        <w:numPr>
          <w:ilvl w:val="0"/>
          <w:numId w:val="3"/>
        </w:numPr>
        <w:tabs>
          <w:tab w:val="num" w:pos="0"/>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P</w:t>
      </w:r>
      <w:r w:rsidRPr="00075889">
        <w:rPr>
          <w:rFonts w:ascii="Times New Roman" w:hAnsi="Times New Roman"/>
          <w:b/>
          <w:snapToGrid/>
          <w:sz w:val="24"/>
          <w:szCs w:val="24"/>
        </w:rPr>
        <w:t xml:space="preserve">urpose and Use of the Information Collection </w:t>
      </w:r>
    </w:p>
    <w:p w:rsidR="00EC3574" w:rsidP="00D26C43" w14:paraId="12D22C92" w14:textId="2631FD7F">
      <w:pPr>
        <w:widowControl/>
        <w:ind w:left="360"/>
        <w:rPr>
          <w:rFonts w:ascii="Times New Roman" w:hAnsi="Times New Roman"/>
          <w:sz w:val="24"/>
          <w:szCs w:val="24"/>
        </w:rPr>
      </w:pPr>
      <w:r>
        <w:rPr>
          <w:rFonts w:ascii="Times New Roman" w:hAnsi="Times New Roman"/>
          <w:sz w:val="24"/>
          <w:szCs w:val="24"/>
        </w:rPr>
        <w:t xml:space="preserve">FYSB requires that each State PREP grant recipient submit a State Plan and a PPR.  </w:t>
      </w:r>
    </w:p>
    <w:p w:rsidR="00EC3574" w:rsidP="00D26C43" w14:paraId="5A888FFE" w14:textId="77777777">
      <w:pPr>
        <w:widowControl/>
        <w:ind w:left="360"/>
        <w:rPr>
          <w:rFonts w:ascii="Times New Roman" w:hAnsi="Times New Roman"/>
          <w:sz w:val="24"/>
          <w:szCs w:val="24"/>
        </w:rPr>
      </w:pPr>
    </w:p>
    <w:p w:rsidR="00EC3574" w:rsidRPr="001E496B" w:rsidP="001E496B" w14:paraId="432790E1" w14:textId="77777777">
      <w:pPr>
        <w:widowControl/>
        <w:spacing w:after="60"/>
        <w:ind w:left="360"/>
        <w:rPr>
          <w:rFonts w:ascii="Times New Roman" w:hAnsi="Times New Roman"/>
          <w:b/>
          <w:bCs/>
          <w:i/>
          <w:iCs/>
          <w:sz w:val="24"/>
          <w:szCs w:val="24"/>
        </w:rPr>
      </w:pPr>
      <w:r w:rsidRPr="001E496B">
        <w:rPr>
          <w:rFonts w:ascii="Times New Roman" w:hAnsi="Times New Roman"/>
          <w:b/>
          <w:bCs/>
          <w:i/>
          <w:iCs/>
          <w:sz w:val="24"/>
          <w:szCs w:val="24"/>
        </w:rPr>
        <w:t>State Plans</w:t>
      </w:r>
    </w:p>
    <w:p w:rsidR="00D26C43" w:rsidP="00D26C43" w14:paraId="54BD377D" w14:textId="40E44FB8">
      <w:pPr>
        <w:widowControl/>
        <w:ind w:left="360"/>
        <w:rPr>
          <w:rFonts w:ascii="Times New Roman" w:hAnsi="Times New Roman"/>
          <w:sz w:val="24"/>
          <w:szCs w:val="24"/>
        </w:rPr>
      </w:pPr>
      <w:r>
        <w:rPr>
          <w:rFonts w:ascii="Times New Roman" w:hAnsi="Times New Roman"/>
          <w:sz w:val="24"/>
          <w:szCs w:val="24"/>
        </w:rPr>
        <w:t>State Plan</w:t>
      </w:r>
      <w:r w:rsidR="003B73B9">
        <w:rPr>
          <w:rFonts w:ascii="Times New Roman" w:hAnsi="Times New Roman"/>
          <w:sz w:val="24"/>
          <w:szCs w:val="24"/>
        </w:rPr>
        <w:t>s</w:t>
      </w:r>
      <w:r>
        <w:rPr>
          <w:rFonts w:ascii="Times New Roman" w:hAnsi="Times New Roman"/>
          <w:sz w:val="24"/>
          <w:szCs w:val="24"/>
        </w:rPr>
        <w:t xml:space="preserve"> provide a detailed description of the </w:t>
      </w:r>
      <w:r w:rsidRPr="00F75144">
        <w:rPr>
          <w:rFonts w:ascii="Times New Roman" w:hAnsi="Times New Roman"/>
          <w:sz w:val="24"/>
          <w:szCs w:val="24"/>
        </w:rPr>
        <w:t xml:space="preserve">activities </w:t>
      </w:r>
      <w:r w:rsidR="00EC3574">
        <w:rPr>
          <w:rFonts w:ascii="Times New Roman" w:hAnsi="Times New Roman"/>
          <w:sz w:val="24"/>
          <w:szCs w:val="24"/>
        </w:rPr>
        <w:t xml:space="preserve">the State PREP awardees plan </w:t>
      </w:r>
      <w:r w:rsidRPr="00F75144">
        <w:rPr>
          <w:rFonts w:ascii="Times New Roman" w:hAnsi="Times New Roman"/>
          <w:sz w:val="24"/>
          <w:szCs w:val="24"/>
        </w:rPr>
        <w:t xml:space="preserve">to implement throughout the project period. </w:t>
      </w:r>
      <w:r w:rsidR="003B6FE1">
        <w:rPr>
          <w:rFonts w:ascii="Times New Roman" w:hAnsi="Times New Roman"/>
          <w:sz w:val="24"/>
          <w:szCs w:val="24"/>
        </w:rPr>
        <w:t>FYSB</w:t>
      </w:r>
      <w:r>
        <w:rPr>
          <w:rFonts w:ascii="Times New Roman" w:hAnsi="Times New Roman"/>
          <w:sz w:val="24"/>
          <w:szCs w:val="24"/>
        </w:rPr>
        <w:t xml:space="preserve"> will review and approve the State Plan</w:t>
      </w:r>
      <w:r w:rsidR="00FE5FB8">
        <w:rPr>
          <w:rFonts w:ascii="Times New Roman" w:hAnsi="Times New Roman"/>
          <w:sz w:val="24"/>
          <w:szCs w:val="24"/>
        </w:rPr>
        <w:t>s</w:t>
      </w:r>
      <w:r>
        <w:rPr>
          <w:rFonts w:ascii="Times New Roman" w:hAnsi="Times New Roman"/>
          <w:sz w:val="24"/>
          <w:szCs w:val="24"/>
        </w:rPr>
        <w:t xml:space="preserve"> </w:t>
      </w:r>
      <w:r w:rsidR="00FE5FB8">
        <w:rPr>
          <w:rFonts w:ascii="Times New Roman" w:hAnsi="Times New Roman"/>
          <w:sz w:val="24"/>
          <w:szCs w:val="24"/>
        </w:rPr>
        <w:t>t</w:t>
      </w:r>
      <w:r w:rsidRPr="00D26C43" w:rsidR="0017495B">
        <w:rPr>
          <w:rFonts w:ascii="Times New Roman" w:hAnsi="Times New Roman"/>
          <w:sz w:val="24"/>
          <w:szCs w:val="24"/>
        </w:rPr>
        <w:t>o provide guidance and approval to the grantees prior to the implementation of the</w:t>
      </w:r>
      <w:r w:rsidR="00FE5FB8">
        <w:rPr>
          <w:rFonts w:ascii="Times New Roman" w:hAnsi="Times New Roman"/>
          <w:sz w:val="24"/>
          <w:szCs w:val="24"/>
        </w:rPr>
        <w:t>ir</w:t>
      </w:r>
      <w:r w:rsidRPr="00D26C43" w:rsidR="0017495B">
        <w:rPr>
          <w:rFonts w:ascii="Times New Roman" w:hAnsi="Times New Roman"/>
          <w:sz w:val="24"/>
          <w:szCs w:val="24"/>
        </w:rPr>
        <w:t xml:space="preserve"> project</w:t>
      </w:r>
      <w:r w:rsidR="00FE5FB8">
        <w:rPr>
          <w:rFonts w:ascii="Times New Roman" w:hAnsi="Times New Roman"/>
          <w:sz w:val="24"/>
          <w:szCs w:val="24"/>
        </w:rPr>
        <w:t>s</w:t>
      </w:r>
      <w:r w:rsidRPr="00D26C43" w:rsidR="0017495B">
        <w:rPr>
          <w:rFonts w:ascii="Times New Roman" w:hAnsi="Times New Roman"/>
          <w:sz w:val="24"/>
          <w:szCs w:val="24"/>
        </w:rPr>
        <w:t xml:space="preserve"> to ensure compliance with authorizing legislation and program announcement guidelines for PREP</w:t>
      </w:r>
      <w:r w:rsidR="00FE5FB8">
        <w:rPr>
          <w:rFonts w:ascii="Times New Roman" w:hAnsi="Times New Roman"/>
          <w:sz w:val="24"/>
          <w:szCs w:val="24"/>
        </w:rPr>
        <w:t xml:space="preserve">.  </w:t>
      </w:r>
    </w:p>
    <w:p w:rsidR="00F56D5A" w:rsidP="00D26C43" w14:paraId="1ADFCB5B" w14:textId="77777777">
      <w:pPr>
        <w:widowControl/>
        <w:ind w:left="360"/>
        <w:rPr>
          <w:rFonts w:ascii="Times New Roman" w:hAnsi="Times New Roman"/>
          <w:sz w:val="24"/>
          <w:szCs w:val="24"/>
        </w:rPr>
      </w:pPr>
    </w:p>
    <w:p w:rsidR="00D26C43" w:rsidRPr="00D26C43" w:rsidP="00D26C43" w14:paraId="1D8EF6B8" w14:textId="61FFC7DA">
      <w:pPr>
        <w:widowControl/>
        <w:ind w:left="360"/>
        <w:rPr>
          <w:rFonts w:ascii="Times New Roman" w:hAnsi="Times New Roman"/>
          <w:sz w:val="24"/>
          <w:szCs w:val="24"/>
        </w:rPr>
      </w:pPr>
      <w:r w:rsidRPr="00D26C43">
        <w:rPr>
          <w:rFonts w:ascii="Times New Roman" w:hAnsi="Times New Roman"/>
          <w:sz w:val="24"/>
          <w:szCs w:val="24"/>
        </w:rPr>
        <w:t>Federal staff review and negotiate necessary modifications to the state plan</w:t>
      </w:r>
      <w:r w:rsidR="00FE5FB8">
        <w:rPr>
          <w:rFonts w:ascii="Times New Roman" w:hAnsi="Times New Roman"/>
          <w:sz w:val="24"/>
          <w:szCs w:val="24"/>
        </w:rPr>
        <w:t>s</w:t>
      </w:r>
      <w:r w:rsidRPr="00D26C43">
        <w:rPr>
          <w:rFonts w:ascii="Times New Roman" w:hAnsi="Times New Roman"/>
          <w:sz w:val="24"/>
          <w:szCs w:val="24"/>
        </w:rPr>
        <w:t xml:space="preserve"> within two months of receipt of the planning document from the applicant. </w:t>
      </w:r>
      <w:r w:rsidR="00FE5FB8">
        <w:rPr>
          <w:rFonts w:ascii="Times New Roman" w:hAnsi="Times New Roman"/>
          <w:sz w:val="24"/>
          <w:szCs w:val="24"/>
        </w:rPr>
        <w:t xml:space="preserve"> </w:t>
      </w:r>
      <w:r w:rsidRPr="00D26C43">
        <w:rPr>
          <w:rFonts w:ascii="Times New Roman" w:hAnsi="Times New Roman"/>
          <w:sz w:val="24"/>
          <w:szCs w:val="24"/>
        </w:rPr>
        <w:t xml:space="preserve">Funded </w:t>
      </w:r>
      <w:r w:rsidR="00FE5FB8">
        <w:rPr>
          <w:rFonts w:ascii="Times New Roman" w:hAnsi="Times New Roman"/>
          <w:sz w:val="24"/>
          <w:szCs w:val="24"/>
        </w:rPr>
        <w:t xml:space="preserve">grant </w:t>
      </w:r>
      <w:r w:rsidRPr="00D26C43">
        <w:rPr>
          <w:rFonts w:ascii="Times New Roman" w:hAnsi="Times New Roman"/>
          <w:sz w:val="24"/>
          <w:szCs w:val="24"/>
        </w:rPr>
        <w:t xml:space="preserve">recipients will document final plans for program implementation; indicate the selected </w:t>
      </w:r>
      <w:r w:rsidR="00FE5FB8">
        <w:rPr>
          <w:rFonts w:ascii="Times New Roman" w:hAnsi="Times New Roman"/>
          <w:sz w:val="24"/>
          <w:szCs w:val="24"/>
        </w:rPr>
        <w:t xml:space="preserve">intervention </w:t>
      </w:r>
      <w:r w:rsidRPr="00D26C43">
        <w:rPr>
          <w:rFonts w:ascii="Times New Roman" w:hAnsi="Times New Roman"/>
          <w:sz w:val="24"/>
          <w:szCs w:val="24"/>
        </w:rPr>
        <w:t xml:space="preserve">model(s) to be replicated; </w:t>
      </w:r>
      <w:r w:rsidR="00FE5FB8">
        <w:rPr>
          <w:rFonts w:ascii="Times New Roman" w:hAnsi="Times New Roman"/>
          <w:sz w:val="24"/>
          <w:szCs w:val="24"/>
        </w:rPr>
        <w:t xml:space="preserve">identify at least three of six Adulthood Preparation Subject to implement; </w:t>
      </w:r>
      <w:r w:rsidRPr="00D26C43">
        <w:rPr>
          <w:rFonts w:ascii="Times New Roman" w:hAnsi="Times New Roman"/>
          <w:sz w:val="24"/>
          <w:szCs w:val="24"/>
        </w:rPr>
        <w:t xml:space="preserve">solidify evaluation plans and procedures that include both process and outcomes; demonstrate adherence to requirements for providing medically accurate and age and culturally appropriate services; and document performance </w:t>
      </w:r>
      <w:r w:rsidR="00FE5FB8">
        <w:rPr>
          <w:rFonts w:ascii="Times New Roman" w:hAnsi="Times New Roman"/>
          <w:sz w:val="24"/>
          <w:szCs w:val="24"/>
        </w:rPr>
        <w:t xml:space="preserve">measures </w:t>
      </w:r>
      <w:r w:rsidRPr="00D26C43">
        <w:rPr>
          <w:rFonts w:ascii="Times New Roman" w:hAnsi="Times New Roman"/>
          <w:sz w:val="24"/>
          <w:szCs w:val="24"/>
        </w:rPr>
        <w:t xml:space="preserve">data tracking and </w:t>
      </w:r>
      <w:r w:rsidR="00FE5FB8">
        <w:rPr>
          <w:rFonts w:ascii="Times New Roman" w:hAnsi="Times New Roman"/>
          <w:sz w:val="24"/>
          <w:szCs w:val="24"/>
        </w:rPr>
        <w:t>subrecipients</w:t>
      </w:r>
      <w:r w:rsidRPr="00D26C43">
        <w:rPr>
          <w:rFonts w:ascii="Times New Roman" w:hAnsi="Times New Roman"/>
          <w:sz w:val="24"/>
          <w:szCs w:val="24"/>
        </w:rPr>
        <w:t xml:space="preserve"> and partner involvement.</w:t>
      </w:r>
    </w:p>
    <w:p w:rsidR="00D26C43" w:rsidRPr="00D26C43" w:rsidP="00D26C43" w14:paraId="109BB6D4" w14:textId="77777777">
      <w:pPr>
        <w:pStyle w:val="NormalWeb"/>
        <w:spacing w:before="0" w:beforeAutospacing="0" w:after="0" w:afterAutospacing="0"/>
      </w:pPr>
    </w:p>
    <w:p w:rsidR="00D26C43" w:rsidRPr="00292177" w:rsidP="00B86109" w14:paraId="40C1AF85" w14:textId="044EDA6F">
      <w:pPr>
        <w:pStyle w:val="NormalWeb"/>
        <w:spacing w:before="0" w:beforeAutospacing="0" w:after="120" w:afterAutospacing="0"/>
        <w:ind w:left="360"/>
      </w:pPr>
      <w:r w:rsidRPr="00292177">
        <w:t xml:space="preserve">The components of the State Plans are as follows:  </w:t>
      </w:r>
    </w:p>
    <w:p w:rsidR="00D26C43" w:rsidP="00094402" w14:paraId="37CEE349" w14:textId="77777777">
      <w:pPr>
        <w:widowControl/>
        <w:ind w:left="720"/>
        <w:rPr>
          <w:rFonts w:ascii="Times New Roman" w:hAnsi="Times New Roman"/>
          <w:color w:val="000000"/>
          <w:sz w:val="24"/>
          <w:szCs w:val="24"/>
        </w:rPr>
      </w:pPr>
      <w:r w:rsidRPr="00F75144">
        <w:rPr>
          <w:rFonts w:ascii="Times New Roman" w:hAnsi="Times New Roman"/>
          <w:color w:val="000000"/>
          <w:sz w:val="24"/>
          <w:szCs w:val="24"/>
        </w:rPr>
        <w:t>1)</w:t>
      </w:r>
      <w:r>
        <w:rPr>
          <w:rFonts w:ascii="Times New Roman" w:hAnsi="Times New Roman"/>
          <w:color w:val="000000"/>
          <w:sz w:val="24"/>
          <w:szCs w:val="24"/>
        </w:rPr>
        <w:t xml:space="preserve">  State Plan Cover Page </w:t>
      </w:r>
    </w:p>
    <w:p w:rsidR="00D26C43" w:rsidRPr="00113238" w:rsidP="00D26C43" w14:paraId="16F23FCA" w14:textId="2CA2DA27">
      <w:pPr>
        <w:widowControl/>
        <w:numPr>
          <w:ilvl w:val="0"/>
          <w:numId w:val="21"/>
        </w:numPr>
        <w:autoSpaceDE w:val="0"/>
        <w:autoSpaceDN w:val="0"/>
        <w:adjustRightInd w:val="0"/>
        <w:rPr>
          <w:rFonts w:ascii="Times New Roman" w:hAnsi="Times New Roman"/>
          <w:sz w:val="24"/>
          <w:szCs w:val="24"/>
        </w:rPr>
      </w:pPr>
      <w:r w:rsidRPr="00EF3AAC">
        <w:rPr>
          <w:rFonts w:ascii="Times New Roman" w:hAnsi="Times New Roman"/>
          <w:color w:val="000000"/>
          <w:sz w:val="24"/>
          <w:szCs w:val="24"/>
        </w:rPr>
        <w:t xml:space="preserve">The cover page </w:t>
      </w:r>
      <w:r>
        <w:rPr>
          <w:rFonts w:ascii="Times New Roman" w:hAnsi="Times New Roman"/>
          <w:color w:val="000000"/>
          <w:sz w:val="24"/>
          <w:szCs w:val="24"/>
        </w:rPr>
        <w:t>request</w:t>
      </w:r>
      <w:r w:rsidR="00EC3574">
        <w:rPr>
          <w:rFonts w:ascii="Times New Roman" w:hAnsi="Times New Roman"/>
          <w:color w:val="000000"/>
          <w:sz w:val="24"/>
          <w:szCs w:val="24"/>
        </w:rPr>
        <w:t>s</w:t>
      </w:r>
      <w:r w:rsidRPr="00EF3AAC">
        <w:rPr>
          <w:rFonts w:ascii="Times New Roman" w:hAnsi="Times New Roman"/>
          <w:color w:val="000000"/>
          <w:sz w:val="24"/>
          <w:szCs w:val="24"/>
        </w:rPr>
        <w:t xml:space="preserve"> the followin</w:t>
      </w:r>
      <w:r>
        <w:rPr>
          <w:rFonts w:ascii="Times New Roman" w:hAnsi="Times New Roman"/>
          <w:color w:val="000000"/>
          <w:sz w:val="24"/>
          <w:szCs w:val="24"/>
        </w:rPr>
        <w:t xml:space="preserve">g information:  </w:t>
      </w:r>
    </w:p>
    <w:p w:rsidR="00D26C43" w:rsidRPr="00113238" w:rsidP="00D26C43" w14:paraId="6685DACF" w14:textId="77777777">
      <w:pPr>
        <w:widowControl/>
        <w:numPr>
          <w:ilvl w:val="1"/>
          <w:numId w:val="21"/>
        </w:numPr>
        <w:autoSpaceDE w:val="0"/>
        <w:autoSpaceDN w:val="0"/>
        <w:adjustRightInd w:val="0"/>
        <w:rPr>
          <w:rFonts w:ascii="Times New Roman" w:hAnsi="Times New Roman"/>
          <w:sz w:val="24"/>
          <w:szCs w:val="24"/>
        </w:rPr>
      </w:pPr>
      <w:r>
        <w:rPr>
          <w:rFonts w:ascii="Times New Roman" w:hAnsi="Times New Roman"/>
          <w:color w:val="000000"/>
          <w:sz w:val="24"/>
          <w:szCs w:val="24"/>
        </w:rPr>
        <w:t xml:space="preserve">applicant </w:t>
      </w:r>
      <w:r>
        <w:rPr>
          <w:rFonts w:ascii="Times New Roman" w:hAnsi="Times New Roman"/>
          <w:color w:val="000000"/>
          <w:sz w:val="24"/>
          <w:szCs w:val="24"/>
        </w:rPr>
        <w:t>name;</w:t>
      </w:r>
      <w:r>
        <w:rPr>
          <w:rFonts w:ascii="Times New Roman" w:hAnsi="Times New Roman"/>
          <w:color w:val="000000"/>
          <w:sz w:val="24"/>
          <w:szCs w:val="24"/>
        </w:rPr>
        <w:t xml:space="preserve"> </w:t>
      </w:r>
    </w:p>
    <w:p w:rsidR="00D26C43" w:rsidRPr="00B86109" w:rsidP="00D26C43" w14:paraId="38281A68" w14:textId="77777777">
      <w:pPr>
        <w:widowControl/>
        <w:numPr>
          <w:ilvl w:val="1"/>
          <w:numId w:val="21"/>
        </w:numPr>
        <w:autoSpaceDE w:val="0"/>
        <w:autoSpaceDN w:val="0"/>
        <w:adjustRightInd w:val="0"/>
        <w:rPr>
          <w:rFonts w:ascii="Times New Roman" w:hAnsi="Times New Roman"/>
          <w:sz w:val="24"/>
          <w:szCs w:val="24"/>
        </w:rPr>
      </w:pPr>
      <w:r w:rsidRPr="003826B0">
        <w:rPr>
          <w:rStyle w:val="CommentReference"/>
          <w:rFonts w:ascii="Times New Roman" w:hAnsi="Times New Roman"/>
          <w:sz w:val="24"/>
          <w:szCs w:val="24"/>
        </w:rPr>
        <w:t>s</w:t>
      </w:r>
      <w:r w:rsidRPr="003826B0">
        <w:rPr>
          <w:rFonts w:ascii="Times New Roman" w:hAnsi="Times New Roman"/>
          <w:sz w:val="24"/>
          <w:szCs w:val="24"/>
        </w:rPr>
        <w:t xml:space="preserve">ervice area </w:t>
      </w:r>
      <w:r w:rsidRPr="00B86109">
        <w:rPr>
          <w:rFonts w:ascii="Times New Roman" w:hAnsi="Times New Roman"/>
          <w:sz w:val="24"/>
          <w:szCs w:val="24"/>
        </w:rPr>
        <w:t xml:space="preserve">included in the application, described by county and USPS zip </w:t>
      </w:r>
      <w:r w:rsidRPr="00B86109">
        <w:rPr>
          <w:rFonts w:ascii="Times New Roman" w:hAnsi="Times New Roman"/>
          <w:sz w:val="24"/>
          <w:szCs w:val="24"/>
        </w:rPr>
        <w:t>codes;</w:t>
      </w:r>
    </w:p>
    <w:p w:rsidR="00D26C43" w:rsidRPr="00B86109" w:rsidP="00D26C43" w14:paraId="7589CE23" w14:textId="77777777">
      <w:pPr>
        <w:widowControl/>
        <w:numPr>
          <w:ilvl w:val="1"/>
          <w:numId w:val="21"/>
        </w:numPr>
        <w:autoSpaceDE w:val="0"/>
        <w:autoSpaceDN w:val="0"/>
        <w:adjustRightInd w:val="0"/>
        <w:rPr>
          <w:rFonts w:ascii="Times New Roman" w:hAnsi="Times New Roman"/>
          <w:sz w:val="24"/>
          <w:szCs w:val="24"/>
        </w:rPr>
      </w:pPr>
      <w:r w:rsidRPr="00B86109">
        <w:rPr>
          <w:rFonts w:ascii="Times New Roman" w:hAnsi="Times New Roman"/>
          <w:sz w:val="24"/>
          <w:szCs w:val="24"/>
        </w:rPr>
        <w:t xml:space="preserve">fiscal </w:t>
      </w:r>
      <w:r w:rsidRPr="00B86109">
        <w:rPr>
          <w:rFonts w:ascii="Times New Roman" w:hAnsi="Times New Roman"/>
          <w:sz w:val="24"/>
          <w:szCs w:val="24"/>
        </w:rPr>
        <w:t>year;</w:t>
      </w:r>
      <w:r w:rsidRPr="00B86109">
        <w:rPr>
          <w:rFonts w:ascii="Times New Roman" w:hAnsi="Times New Roman"/>
          <w:sz w:val="24"/>
          <w:szCs w:val="24"/>
        </w:rPr>
        <w:t xml:space="preserve"> </w:t>
      </w:r>
    </w:p>
    <w:p w:rsidR="00D26C43" w:rsidRPr="00B86109" w:rsidP="00D26C43" w14:paraId="42B6040F" w14:textId="77777777">
      <w:pPr>
        <w:widowControl/>
        <w:numPr>
          <w:ilvl w:val="1"/>
          <w:numId w:val="21"/>
        </w:numPr>
        <w:autoSpaceDE w:val="0"/>
        <w:autoSpaceDN w:val="0"/>
        <w:adjustRightInd w:val="0"/>
        <w:rPr>
          <w:rFonts w:ascii="Times New Roman" w:hAnsi="Times New Roman"/>
          <w:sz w:val="24"/>
          <w:szCs w:val="24"/>
        </w:rPr>
      </w:pPr>
      <w:r w:rsidRPr="00B86109">
        <w:rPr>
          <w:rFonts w:ascii="Times New Roman" w:hAnsi="Times New Roman"/>
          <w:sz w:val="24"/>
          <w:szCs w:val="24"/>
        </w:rPr>
        <w:t xml:space="preserve">grant allocation </w:t>
      </w:r>
      <w:r w:rsidRPr="00B86109">
        <w:rPr>
          <w:rFonts w:ascii="Times New Roman" w:hAnsi="Times New Roman"/>
          <w:sz w:val="24"/>
          <w:szCs w:val="24"/>
        </w:rPr>
        <w:t>amount;</w:t>
      </w:r>
      <w:r w:rsidRPr="00B86109">
        <w:rPr>
          <w:rFonts w:ascii="Times New Roman" w:hAnsi="Times New Roman"/>
          <w:sz w:val="24"/>
          <w:szCs w:val="24"/>
        </w:rPr>
        <w:t xml:space="preserve"> </w:t>
      </w:r>
    </w:p>
    <w:p w:rsidR="00D26C43" w:rsidRPr="00B86109" w:rsidP="00D26C43" w14:paraId="5BC68A4A" w14:textId="77777777">
      <w:pPr>
        <w:widowControl/>
        <w:numPr>
          <w:ilvl w:val="1"/>
          <w:numId w:val="21"/>
        </w:numPr>
        <w:autoSpaceDE w:val="0"/>
        <w:autoSpaceDN w:val="0"/>
        <w:adjustRightInd w:val="0"/>
        <w:rPr>
          <w:rFonts w:ascii="Times New Roman" w:hAnsi="Times New Roman"/>
          <w:sz w:val="24"/>
          <w:szCs w:val="24"/>
        </w:rPr>
      </w:pPr>
      <w:r w:rsidRPr="00B86109">
        <w:rPr>
          <w:rFonts w:ascii="Times New Roman" w:hAnsi="Times New Roman"/>
          <w:sz w:val="24"/>
          <w:szCs w:val="24"/>
        </w:rPr>
        <w:t>address;</w:t>
      </w:r>
      <w:r w:rsidRPr="00B86109">
        <w:rPr>
          <w:rFonts w:ascii="Times New Roman" w:hAnsi="Times New Roman"/>
          <w:sz w:val="24"/>
          <w:szCs w:val="24"/>
        </w:rPr>
        <w:t xml:space="preserve"> </w:t>
      </w:r>
    </w:p>
    <w:p w:rsidR="00D26C43" w:rsidRPr="00B86109" w:rsidP="00D26C43" w14:paraId="6AB426BA" w14:textId="77777777">
      <w:pPr>
        <w:widowControl/>
        <w:numPr>
          <w:ilvl w:val="1"/>
          <w:numId w:val="21"/>
        </w:numPr>
        <w:autoSpaceDE w:val="0"/>
        <w:autoSpaceDN w:val="0"/>
        <w:adjustRightInd w:val="0"/>
        <w:rPr>
          <w:rFonts w:ascii="Times New Roman" w:hAnsi="Times New Roman"/>
          <w:sz w:val="24"/>
          <w:szCs w:val="24"/>
        </w:rPr>
      </w:pPr>
      <w:r w:rsidRPr="00B86109">
        <w:rPr>
          <w:rFonts w:ascii="Times New Roman" w:hAnsi="Times New Roman"/>
          <w:sz w:val="24"/>
          <w:szCs w:val="24"/>
        </w:rPr>
        <w:t xml:space="preserve">contact </w:t>
      </w:r>
      <w:r w:rsidRPr="00B86109">
        <w:rPr>
          <w:rFonts w:ascii="Times New Roman" w:hAnsi="Times New Roman"/>
          <w:sz w:val="24"/>
          <w:szCs w:val="24"/>
        </w:rPr>
        <w:t>name;</w:t>
      </w:r>
      <w:r w:rsidRPr="00B86109">
        <w:rPr>
          <w:rFonts w:ascii="Times New Roman" w:hAnsi="Times New Roman"/>
          <w:sz w:val="24"/>
          <w:szCs w:val="24"/>
        </w:rPr>
        <w:t xml:space="preserve"> </w:t>
      </w:r>
    </w:p>
    <w:p w:rsidR="00D26C43" w:rsidRPr="00B86109" w:rsidP="00D26C43" w14:paraId="1C3E925A" w14:textId="77777777">
      <w:pPr>
        <w:widowControl/>
        <w:numPr>
          <w:ilvl w:val="1"/>
          <w:numId w:val="21"/>
        </w:numPr>
        <w:autoSpaceDE w:val="0"/>
        <w:autoSpaceDN w:val="0"/>
        <w:adjustRightInd w:val="0"/>
        <w:rPr>
          <w:rFonts w:ascii="Times New Roman" w:hAnsi="Times New Roman"/>
          <w:sz w:val="24"/>
          <w:szCs w:val="24"/>
        </w:rPr>
      </w:pPr>
      <w:r w:rsidRPr="00B86109">
        <w:rPr>
          <w:rFonts w:ascii="Times New Roman" w:hAnsi="Times New Roman"/>
          <w:sz w:val="24"/>
          <w:szCs w:val="24"/>
        </w:rPr>
        <w:t xml:space="preserve">contact phone numbers (voice and fax); and </w:t>
      </w:r>
    </w:p>
    <w:p w:rsidR="00D26C43" w:rsidRPr="00B86109" w:rsidP="00D26C43" w14:paraId="278145F0" w14:textId="77777777">
      <w:pPr>
        <w:widowControl/>
        <w:numPr>
          <w:ilvl w:val="1"/>
          <w:numId w:val="21"/>
        </w:numPr>
        <w:autoSpaceDE w:val="0"/>
        <w:autoSpaceDN w:val="0"/>
        <w:adjustRightInd w:val="0"/>
        <w:rPr>
          <w:rFonts w:ascii="Times New Roman" w:hAnsi="Times New Roman"/>
          <w:sz w:val="24"/>
          <w:szCs w:val="24"/>
        </w:rPr>
      </w:pPr>
      <w:r w:rsidRPr="00B86109">
        <w:rPr>
          <w:rFonts w:ascii="Times New Roman" w:hAnsi="Times New Roman"/>
          <w:sz w:val="24"/>
          <w:szCs w:val="24"/>
        </w:rPr>
        <w:t>email address and web site address, if applicable.</w:t>
      </w:r>
    </w:p>
    <w:p w:rsidR="00D26C43" w:rsidRPr="00B86109" w:rsidP="00D26C43" w14:paraId="2640A642" w14:textId="77777777">
      <w:pPr>
        <w:widowControl/>
        <w:ind w:left="1440"/>
        <w:rPr>
          <w:rFonts w:ascii="Times New Roman" w:hAnsi="Times New Roman"/>
          <w:sz w:val="24"/>
          <w:szCs w:val="24"/>
        </w:rPr>
      </w:pPr>
    </w:p>
    <w:p w:rsidR="00D26C43" w:rsidRPr="00B86109" w:rsidP="00094402" w14:paraId="1936EE4C" w14:textId="77777777">
      <w:pPr>
        <w:widowControl/>
        <w:ind w:left="720"/>
        <w:rPr>
          <w:rFonts w:ascii="Times New Roman" w:hAnsi="Times New Roman"/>
          <w:sz w:val="24"/>
          <w:szCs w:val="24"/>
        </w:rPr>
      </w:pPr>
      <w:r w:rsidRPr="00B86109">
        <w:rPr>
          <w:rFonts w:ascii="Times New Roman" w:hAnsi="Times New Roman"/>
          <w:sz w:val="24"/>
          <w:szCs w:val="24"/>
        </w:rPr>
        <w:t>2)  Program Narrative</w:t>
      </w:r>
    </w:p>
    <w:p w:rsidR="00D26C43" w:rsidRPr="00B86109" w:rsidP="00D26C43" w14:paraId="6B60958D" w14:textId="77777777">
      <w:pPr>
        <w:widowControl/>
        <w:numPr>
          <w:ilvl w:val="0"/>
          <w:numId w:val="21"/>
        </w:numPr>
        <w:rPr>
          <w:rFonts w:ascii="Times New Roman" w:hAnsi="Times New Roman"/>
          <w:sz w:val="24"/>
          <w:szCs w:val="24"/>
        </w:rPr>
      </w:pPr>
      <w:r w:rsidRPr="00B86109">
        <w:rPr>
          <w:rFonts w:ascii="Times New Roman" w:hAnsi="Times New Roman"/>
          <w:sz w:val="24"/>
          <w:szCs w:val="24"/>
        </w:rPr>
        <w:t>The program narrative requests a detailed description of the following:</w:t>
      </w:r>
    </w:p>
    <w:p w:rsidR="00D26C43" w:rsidRPr="00B86109" w:rsidP="00D26C43" w14:paraId="7356280C" w14:textId="77777777">
      <w:pPr>
        <w:widowControl/>
        <w:numPr>
          <w:ilvl w:val="0"/>
          <w:numId w:val="23"/>
        </w:numPr>
        <w:tabs>
          <w:tab w:val="num" w:pos="2160"/>
          <w:tab w:val="clear" w:pos="3240"/>
        </w:tabs>
        <w:ind w:left="1800" w:firstLine="0"/>
        <w:rPr>
          <w:rFonts w:ascii="Times New Roman" w:hAnsi="Times New Roman"/>
          <w:sz w:val="24"/>
          <w:szCs w:val="24"/>
        </w:rPr>
      </w:pPr>
      <w:r w:rsidRPr="00B86109">
        <w:rPr>
          <w:rFonts w:ascii="Times New Roman" w:hAnsi="Times New Roman"/>
          <w:sz w:val="24"/>
          <w:szCs w:val="24"/>
        </w:rPr>
        <w:t>Description of the Problem and Need</w:t>
      </w:r>
    </w:p>
    <w:p w:rsidR="00D26C43" w:rsidRPr="00B86109" w:rsidP="00D26C43" w14:paraId="4B4B4EDE" w14:textId="77777777">
      <w:pPr>
        <w:widowControl/>
        <w:numPr>
          <w:ilvl w:val="0"/>
          <w:numId w:val="23"/>
        </w:numPr>
        <w:tabs>
          <w:tab w:val="num" w:pos="1440"/>
          <w:tab w:val="num" w:pos="2160"/>
          <w:tab w:val="clear" w:pos="3240"/>
        </w:tabs>
        <w:ind w:left="1440" w:firstLine="360"/>
        <w:rPr>
          <w:rFonts w:ascii="Times New Roman" w:hAnsi="Times New Roman"/>
          <w:sz w:val="24"/>
          <w:szCs w:val="24"/>
        </w:rPr>
      </w:pPr>
      <w:r w:rsidRPr="00B86109">
        <w:rPr>
          <w:rFonts w:ascii="Times New Roman" w:hAnsi="Times New Roman"/>
          <w:sz w:val="24"/>
          <w:szCs w:val="24"/>
        </w:rPr>
        <w:t>Implementation Plan, to include logic model(s)</w:t>
      </w:r>
    </w:p>
    <w:p w:rsidR="00D26C43" w:rsidRPr="00B86109" w:rsidP="00D26C43" w14:paraId="231D73E4" w14:textId="77777777">
      <w:pPr>
        <w:widowControl/>
        <w:numPr>
          <w:ilvl w:val="0"/>
          <w:numId w:val="23"/>
        </w:numPr>
        <w:tabs>
          <w:tab w:val="num" w:pos="1440"/>
          <w:tab w:val="num" w:pos="2160"/>
          <w:tab w:val="clear" w:pos="3240"/>
        </w:tabs>
        <w:ind w:left="1440" w:firstLine="360"/>
        <w:rPr>
          <w:rFonts w:ascii="Times New Roman" w:hAnsi="Times New Roman"/>
          <w:sz w:val="24"/>
          <w:szCs w:val="24"/>
        </w:rPr>
      </w:pPr>
      <w:r w:rsidRPr="00B86109">
        <w:rPr>
          <w:rFonts w:ascii="Times New Roman" w:hAnsi="Times New Roman"/>
          <w:sz w:val="24"/>
          <w:szCs w:val="24"/>
        </w:rPr>
        <w:t>Objective Performance Measures and Efficiency Measures</w:t>
      </w:r>
    </w:p>
    <w:p w:rsidR="00D26C43" w:rsidRPr="00B86109" w:rsidP="00D26C43" w14:paraId="3BF3B21E" w14:textId="77777777">
      <w:pPr>
        <w:widowControl/>
        <w:numPr>
          <w:ilvl w:val="0"/>
          <w:numId w:val="23"/>
        </w:numPr>
        <w:tabs>
          <w:tab w:val="num" w:pos="1440"/>
          <w:tab w:val="num" w:pos="2160"/>
          <w:tab w:val="clear" w:pos="3240"/>
        </w:tabs>
        <w:ind w:left="1440" w:firstLine="360"/>
        <w:rPr>
          <w:rFonts w:ascii="Times New Roman" w:hAnsi="Times New Roman"/>
          <w:sz w:val="24"/>
          <w:szCs w:val="24"/>
        </w:rPr>
      </w:pPr>
      <w:r w:rsidRPr="00B86109">
        <w:rPr>
          <w:rFonts w:ascii="Times New Roman" w:hAnsi="Times New Roman"/>
          <w:sz w:val="24"/>
          <w:szCs w:val="24"/>
        </w:rPr>
        <w:t>Description of Programmatic Assurances</w:t>
      </w:r>
    </w:p>
    <w:p w:rsidR="00D26C43" w:rsidRPr="00B86109" w:rsidP="00D26C43" w14:paraId="0F04FCE5" w14:textId="77777777">
      <w:pPr>
        <w:widowControl/>
        <w:numPr>
          <w:ilvl w:val="0"/>
          <w:numId w:val="23"/>
        </w:numPr>
        <w:tabs>
          <w:tab w:val="num" w:pos="1440"/>
          <w:tab w:val="num" w:pos="2160"/>
          <w:tab w:val="clear" w:pos="3240"/>
        </w:tabs>
        <w:ind w:left="1440" w:firstLine="360"/>
        <w:rPr>
          <w:rFonts w:ascii="Times New Roman" w:hAnsi="Times New Roman"/>
          <w:sz w:val="24"/>
          <w:szCs w:val="24"/>
        </w:rPr>
      </w:pPr>
      <w:r w:rsidRPr="00B86109">
        <w:rPr>
          <w:rFonts w:ascii="Times New Roman" w:hAnsi="Times New Roman"/>
          <w:sz w:val="24"/>
          <w:szCs w:val="24"/>
        </w:rPr>
        <w:t>Sustainability Plan.</w:t>
      </w:r>
    </w:p>
    <w:p w:rsidR="00D26C43" w:rsidRPr="00B86109" w:rsidP="00D26C43" w14:paraId="4D66A86B" w14:textId="77777777">
      <w:pPr>
        <w:widowControl/>
        <w:tabs>
          <w:tab w:val="num" w:pos="3240"/>
        </w:tabs>
        <w:ind w:left="1800"/>
        <w:rPr>
          <w:rFonts w:ascii="Times New Roman" w:hAnsi="Times New Roman"/>
          <w:sz w:val="24"/>
          <w:szCs w:val="24"/>
        </w:rPr>
      </w:pPr>
    </w:p>
    <w:p w:rsidR="00D26C43" w:rsidRPr="00B86109" w:rsidP="00094402" w14:paraId="7657F8CB" w14:textId="77777777">
      <w:pPr>
        <w:widowControl/>
        <w:ind w:left="720"/>
        <w:rPr>
          <w:rFonts w:ascii="Times New Roman" w:hAnsi="Times New Roman"/>
          <w:sz w:val="24"/>
          <w:szCs w:val="24"/>
        </w:rPr>
      </w:pPr>
      <w:r w:rsidRPr="00B86109">
        <w:rPr>
          <w:rFonts w:ascii="Times New Roman" w:hAnsi="Times New Roman"/>
          <w:sz w:val="24"/>
          <w:szCs w:val="24"/>
        </w:rPr>
        <w:t xml:space="preserve">3) Appendices – that include: </w:t>
      </w:r>
    </w:p>
    <w:p w:rsidR="00D26C43" w:rsidRPr="00B86109" w:rsidP="00D26C43" w14:paraId="27F0817A" w14:textId="74D281FE">
      <w:pPr>
        <w:widowControl/>
        <w:numPr>
          <w:ilvl w:val="0"/>
          <w:numId w:val="22"/>
        </w:numPr>
        <w:rPr>
          <w:rFonts w:ascii="Times New Roman" w:hAnsi="Times New Roman"/>
          <w:sz w:val="24"/>
          <w:szCs w:val="24"/>
        </w:rPr>
      </w:pPr>
      <w:r w:rsidRPr="00B86109">
        <w:rPr>
          <w:rFonts w:ascii="Times New Roman" w:hAnsi="Times New Roman"/>
          <w:sz w:val="24"/>
          <w:szCs w:val="24"/>
        </w:rPr>
        <w:t xml:space="preserve">Budget </w:t>
      </w:r>
      <w:r w:rsidRPr="00B86109" w:rsidR="00A7110A">
        <w:rPr>
          <w:rFonts w:ascii="Times New Roman" w:hAnsi="Times New Roman"/>
          <w:sz w:val="24"/>
          <w:szCs w:val="24"/>
        </w:rPr>
        <w:t>n</w:t>
      </w:r>
      <w:r w:rsidRPr="00B86109">
        <w:rPr>
          <w:rFonts w:ascii="Times New Roman" w:hAnsi="Times New Roman"/>
          <w:sz w:val="24"/>
          <w:szCs w:val="24"/>
        </w:rPr>
        <w:t>arrative;</w:t>
      </w:r>
    </w:p>
    <w:p w:rsidR="00D26C43" w:rsidRPr="00F75144" w:rsidP="00D26C43" w14:paraId="50A3F75E" w14:textId="77777777">
      <w:pPr>
        <w:widowControl/>
        <w:numPr>
          <w:ilvl w:val="0"/>
          <w:numId w:val="22"/>
        </w:numPr>
        <w:rPr>
          <w:rFonts w:ascii="Times New Roman" w:hAnsi="Times New Roman"/>
          <w:sz w:val="24"/>
          <w:szCs w:val="24"/>
        </w:rPr>
      </w:pPr>
      <w:r w:rsidRPr="00F75144">
        <w:rPr>
          <w:rFonts w:ascii="Times New Roman" w:hAnsi="Times New Roman"/>
          <w:sz w:val="24"/>
          <w:szCs w:val="24"/>
        </w:rPr>
        <w:t xml:space="preserve">Logic </w:t>
      </w:r>
      <w:r w:rsidRPr="00F75144">
        <w:rPr>
          <w:rFonts w:ascii="Times New Roman" w:hAnsi="Times New Roman"/>
          <w:sz w:val="24"/>
          <w:szCs w:val="24"/>
        </w:rPr>
        <w:t>model;</w:t>
      </w:r>
    </w:p>
    <w:p w:rsidR="00D26C43" w:rsidP="00D26C43" w14:paraId="3D55A704" w14:textId="2CCA948D">
      <w:pPr>
        <w:widowControl/>
        <w:numPr>
          <w:ilvl w:val="0"/>
          <w:numId w:val="22"/>
        </w:numPr>
        <w:rPr>
          <w:rFonts w:ascii="Times New Roman" w:hAnsi="Times New Roman"/>
          <w:sz w:val="24"/>
          <w:szCs w:val="24"/>
        </w:rPr>
      </w:pPr>
      <w:r w:rsidRPr="00F75144">
        <w:rPr>
          <w:rFonts w:ascii="Times New Roman" w:hAnsi="Times New Roman"/>
          <w:sz w:val="24"/>
          <w:szCs w:val="24"/>
        </w:rPr>
        <w:t xml:space="preserve">Memoranda of Understanding for all participating sites and </w:t>
      </w:r>
      <w:r w:rsidR="00F320F2">
        <w:rPr>
          <w:rFonts w:ascii="Times New Roman" w:hAnsi="Times New Roman"/>
          <w:sz w:val="24"/>
          <w:szCs w:val="24"/>
        </w:rPr>
        <w:t>subrecipients</w:t>
      </w:r>
      <w:r w:rsidRPr="00F75144">
        <w:rPr>
          <w:rFonts w:ascii="Times New Roman" w:hAnsi="Times New Roman"/>
          <w:sz w:val="24"/>
          <w:szCs w:val="24"/>
        </w:rPr>
        <w:t>;</w:t>
      </w:r>
    </w:p>
    <w:p w:rsidR="00D26C43" w:rsidP="00D26C43" w14:paraId="19F52470" w14:textId="77777777">
      <w:pPr>
        <w:widowControl/>
        <w:numPr>
          <w:ilvl w:val="0"/>
          <w:numId w:val="22"/>
        </w:numPr>
        <w:rPr>
          <w:rFonts w:ascii="Times New Roman" w:hAnsi="Times New Roman"/>
          <w:sz w:val="24"/>
          <w:szCs w:val="24"/>
        </w:rPr>
      </w:pPr>
      <w:r w:rsidRPr="00F75144">
        <w:rPr>
          <w:rFonts w:ascii="Times New Roman" w:hAnsi="Times New Roman"/>
          <w:sz w:val="24"/>
          <w:szCs w:val="24"/>
        </w:rPr>
        <w:t xml:space="preserve">Organizational chart; and </w:t>
      </w:r>
    </w:p>
    <w:p w:rsidR="00D26C43" w:rsidRPr="002A10D9" w:rsidP="00D26C43" w14:paraId="6C83AA50" w14:textId="77777777">
      <w:pPr>
        <w:widowControl/>
        <w:numPr>
          <w:ilvl w:val="0"/>
          <w:numId w:val="22"/>
        </w:numPr>
        <w:rPr>
          <w:rFonts w:ascii="Times New Roman" w:hAnsi="Times New Roman"/>
          <w:sz w:val="24"/>
          <w:szCs w:val="24"/>
        </w:rPr>
      </w:pPr>
      <w:r>
        <w:rPr>
          <w:rFonts w:ascii="Times New Roman" w:hAnsi="Times New Roman"/>
          <w:sz w:val="24"/>
          <w:szCs w:val="24"/>
        </w:rPr>
        <w:t xml:space="preserve">Other documents necessary to support the application, such as </w:t>
      </w:r>
      <w:r>
        <w:rPr>
          <w:rFonts w:ascii="Times New Roman" w:hAnsi="Times New Roman"/>
          <w:sz w:val="24"/>
          <w:szCs w:val="24"/>
        </w:rPr>
        <w:t>subcontractors</w:t>
      </w:r>
      <w:r>
        <w:rPr>
          <w:rFonts w:ascii="Times New Roman" w:hAnsi="Times New Roman"/>
          <w:sz w:val="24"/>
          <w:szCs w:val="24"/>
        </w:rPr>
        <w:t xml:space="preserve"> scope of work, formal agreements and compliance with legislative priority documents.</w:t>
      </w:r>
    </w:p>
    <w:p w:rsidR="00D26C43" w:rsidP="00D26C43" w14:paraId="12299FCC" w14:textId="77777777">
      <w:pPr>
        <w:widowControl/>
        <w:rPr>
          <w:rFonts w:ascii="Times New Roman" w:hAnsi="Times New Roman"/>
          <w:snapToGrid/>
          <w:sz w:val="24"/>
          <w:szCs w:val="24"/>
        </w:rPr>
      </w:pPr>
    </w:p>
    <w:p w:rsidR="00B86109" w:rsidRPr="001E496B" w:rsidP="00B86109" w14:paraId="1CA5CAA8" w14:textId="615F040E">
      <w:pPr>
        <w:widowControl/>
        <w:spacing w:after="60"/>
        <w:ind w:left="360"/>
        <w:rPr>
          <w:rFonts w:ascii="Times New Roman" w:hAnsi="Times New Roman"/>
          <w:b/>
          <w:bCs/>
          <w:i/>
          <w:iCs/>
          <w:sz w:val="24"/>
          <w:szCs w:val="24"/>
        </w:rPr>
      </w:pPr>
      <w:r>
        <w:rPr>
          <w:rFonts w:ascii="Times New Roman" w:hAnsi="Times New Roman"/>
          <w:b/>
          <w:bCs/>
          <w:i/>
          <w:iCs/>
          <w:sz w:val="24"/>
          <w:szCs w:val="24"/>
        </w:rPr>
        <w:t>PPRs</w:t>
      </w:r>
    </w:p>
    <w:p w:rsidR="00D26C43" w:rsidRPr="00B8033F" w:rsidP="001E496B" w14:paraId="070A130F" w14:textId="6DB3B59E">
      <w:pPr>
        <w:widowControl/>
        <w:ind w:left="360"/>
        <w:rPr>
          <w:rFonts w:ascii="Times New Roman" w:hAnsi="Times New Roman"/>
          <w:sz w:val="24"/>
          <w:szCs w:val="24"/>
        </w:rPr>
      </w:pPr>
      <w:r>
        <w:rPr>
          <w:rFonts w:ascii="Times New Roman" w:hAnsi="Times New Roman"/>
          <w:sz w:val="24"/>
          <w:szCs w:val="24"/>
        </w:rPr>
        <w:t xml:space="preserve">PPRs are submitted semi-annually to report on the </w:t>
      </w:r>
      <w:r w:rsidR="004E2F19">
        <w:rPr>
          <w:rFonts w:ascii="Times New Roman" w:hAnsi="Times New Roman"/>
          <w:sz w:val="24"/>
          <w:szCs w:val="24"/>
        </w:rPr>
        <w:t xml:space="preserve">implementation </w:t>
      </w:r>
      <w:r>
        <w:rPr>
          <w:rFonts w:ascii="Times New Roman" w:hAnsi="Times New Roman"/>
          <w:sz w:val="24"/>
          <w:szCs w:val="24"/>
        </w:rPr>
        <w:t>activities</w:t>
      </w:r>
      <w:r w:rsidR="004E2F19">
        <w:rPr>
          <w:rFonts w:ascii="Times New Roman" w:hAnsi="Times New Roman"/>
          <w:sz w:val="24"/>
          <w:szCs w:val="24"/>
        </w:rPr>
        <w:t>,</w:t>
      </w:r>
      <w:r>
        <w:rPr>
          <w:rFonts w:ascii="Times New Roman" w:hAnsi="Times New Roman"/>
          <w:sz w:val="24"/>
          <w:szCs w:val="24"/>
        </w:rPr>
        <w:t xml:space="preserve"> youth served during the reporting periods, the status of the </w:t>
      </w:r>
      <w:r w:rsidR="004E2F19">
        <w:rPr>
          <w:rFonts w:ascii="Times New Roman" w:hAnsi="Times New Roman"/>
          <w:sz w:val="24"/>
          <w:szCs w:val="24"/>
        </w:rPr>
        <w:t xml:space="preserve">budget and funds used, engagement of youth in programming, training needs, outputs and </w:t>
      </w:r>
      <w:r>
        <w:rPr>
          <w:rFonts w:ascii="Times New Roman" w:hAnsi="Times New Roman"/>
          <w:sz w:val="24"/>
          <w:szCs w:val="24"/>
        </w:rPr>
        <w:t xml:space="preserve">outcome measures, </w:t>
      </w:r>
      <w:r w:rsidR="004E2F19">
        <w:rPr>
          <w:rFonts w:ascii="Times New Roman" w:hAnsi="Times New Roman"/>
          <w:sz w:val="24"/>
          <w:szCs w:val="24"/>
        </w:rPr>
        <w:t xml:space="preserve">number of </w:t>
      </w:r>
      <w:r w:rsidR="004E2F19">
        <w:rPr>
          <w:rFonts w:ascii="Times New Roman" w:hAnsi="Times New Roman"/>
          <w:sz w:val="24"/>
          <w:szCs w:val="24"/>
        </w:rPr>
        <w:t>youth</w:t>
      </w:r>
      <w:r w:rsidR="004E2F19">
        <w:rPr>
          <w:rFonts w:ascii="Times New Roman" w:hAnsi="Times New Roman"/>
          <w:sz w:val="24"/>
          <w:szCs w:val="24"/>
        </w:rPr>
        <w:t xml:space="preserve"> served, communities served, and challenges experienced. </w:t>
      </w:r>
      <w:r w:rsidR="00B93823">
        <w:rPr>
          <w:rFonts w:ascii="Times New Roman" w:hAnsi="Times New Roman"/>
          <w:sz w:val="24"/>
          <w:szCs w:val="24"/>
        </w:rPr>
        <w:t xml:space="preserve"> </w:t>
      </w:r>
      <w:r w:rsidRPr="00B93823" w:rsidR="00B93823">
        <w:rPr>
          <w:rFonts w:ascii="Times New Roman" w:hAnsi="Times New Roman"/>
          <w:sz w:val="24"/>
          <w:szCs w:val="24"/>
        </w:rPr>
        <w:t xml:space="preserve">Changes are proposed to the </w:t>
      </w:r>
      <w:r w:rsidR="00B93823">
        <w:rPr>
          <w:rFonts w:ascii="Times New Roman" w:hAnsi="Times New Roman"/>
          <w:sz w:val="24"/>
          <w:szCs w:val="24"/>
        </w:rPr>
        <w:t>PPRs</w:t>
      </w:r>
      <w:r w:rsidRPr="00B93823" w:rsidR="00B93823">
        <w:rPr>
          <w:rFonts w:ascii="Times New Roman" w:hAnsi="Times New Roman"/>
          <w:sz w:val="24"/>
          <w:szCs w:val="24"/>
        </w:rPr>
        <w:t xml:space="preserve"> and include </w:t>
      </w:r>
      <w:r w:rsidRPr="00B93823" w:rsidR="00B93823">
        <w:rPr>
          <w:rFonts w:ascii="Times New Roman" w:hAnsi="Times New Roman"/>
          <w:iCs/>
          <w:sz w:val="24"/>
          <w:szCs w:val="24"/>
        </w:rPr>
        <w:t>the addition of information related to equity activities and strategies to mitigate challen</w:t>
      </w:r>
      <w:r w:rsidRPr="00B8033F" w:rsidR="00B93823">
        <w:rPr>
          <w:rFonts w:ascii="Times New Roman" w:hAnsi="Times New Roman"/>
          <w:iCs/>
          <w:sz w:val="24"/>
          <w:szCs w:val="24"/>
        </w:rPr>
        <w:t>ges.</w:t>
      </w:r>
      <w:r w:rsidRPr="00B8033F" w:rsidR="00B8033F">
        <w:rPr>
          <w:rFonts w:ascii="Times New Roman" w:hAnsi="Times New Roman"/>
          <w:iCs/>
          <w:sz w:val="24"/>
          <w:szCs w:val="24"/>
        </w:rPr>
        <w:t xml:space="preserve">  </w:t>
      </w:r>
      <w:r w:rsidR="00D7272B">
        <w:rPr>
          <w:rFonts w:ascii="Times New Roman" w:hAnsi="Times New Roman"/>
          <w:iCs/>
          <w:sz w:val="24"/>
          <w:szCs w:val="24"/>
        </w:rPr>
        <w:t xml:space="preserve">Information on equity activities will be used </w:t>
      </w:r>
      <w:r w:rsidR="00D7272B">
        <w:rPr>
          <w:rFonts w:ascii="Times New Roman" w:hAnsi="Times New Roman"/>
          <w:sz w:val="24"/>
          <w:szCs w:val="24"/>
        </w:rPr>
        <w:t>to</w:t>
      </w:r>
      <w:r w:rsidRPr="00B8033F" w:rsidR="00B8033F">
        <w:rPr>
          <w:rFonts w:ascii="Times New Roman" w:hAnsi="Times New Roman"/>
          <w:sz w:val="24"/>
          <w:szCs w:val="24"/>
        </w:rPr>
        <w:t xml:space="preserve"> support the FYSB Equity Action Plan objectives and to inform the development of T&amp;TA resources, as needed.  </w:t>
      </w:r>
      <w:r w:rsidR="00D7272B">
        <w:rPr>
          <w:rFonts w:ascii="Times New Roman" w:hAnsi="Times New Roman"/>
          <w:sz w:val="24"/>
          <w:szCs w:val="24"/>
        </w:rPr>
        <w:t xml:space="preserve">The purpose of including </w:t>
      </w:r>
      <w:r w:rsidRPr="00B8033F" w:rsidR="00B8033F">
        <w:rPr>
          <w:rFonts w:ascii="Times New Roman" w:hAnsi="Times New Roman"/>
          <w:sz w:val="24"/>
          <w:szCs w:val="24"/>
        </w:rPr>
        <w:t xml:space="preserve">strategies to mitigate challenges </w:t>
      </w:r>
      <w:r w:rsidR="00D7272B">
        <w:rPr>
          <w:rFonts w:ascii="Times New Roman" w:hAnsi="Times New Roman"/>
          <w:sz w:val="24"/>
          <w:szCs w:val="24"/>
        </w:rPr>
        <w:t xml:space="preserve">is to </w:t>
      </w:r>
      <w:r w:rsidRPr="00B8033F" w:rsidR="00B8033F">
        <w:rPr>
          <w:rFonts w:ascii="Times New Roman" w:hAnsi="Times New Roman"/>
          <w:sz w:val="24"/>
          <w:szCs w:val="24"/>
        </w:rPr>
        <w:t>allow grant recipients to demonstrate how they overcome challenges</w:t>
      </w:r>
      <w:r w:rsidR="00D7272B">
        <w:rPr>
          <w:rFonts w:ascii="Times New Roman" w:hAnsi="Times New Roman"/>
          <w:sz w:val="24"/>
          <w:szCs w:val="24"/>
        </w:rPr>
        <w:t>. This information can be used to</w:t>
      </w:r>
      <w:r w:rsidRPr="00B8033F" w:rsidR="00B8033F">
        <w:rPr>
          <w:rFonts w:ascii="Times New Roman" w:hAnsi="Times New Roman"/>
          <w:sz w:val="24"/>
          <w:szCs w:val="24"/>
        </w:rPr>
        <w:t xml:space="preserve"> inform peer to peer sharing.</w:t>
      </w:r>
    </w:p>
    <w:p w:rsidR="00D26C43" w:rsidRPr="002C3C4F" w:rsidP="00D26C43" w14:paraId="4E48CA70" w14:textId="77777777">
      <w:pPr>
        <w:widowControl/>
        <w:rPr>
          <w:rFonts w:ascii="Times New Roman" w:hAnsi="Times New Roman"/>
          <w:snapToGrid/>
          <w:sz w:val="24"/>
          <w:szCs w:val="24"/>
        </w:rPr>
      </w:pPr>
    </w:p>
    <w:p w:rsidR="00D26C43" w:rsidP="001E496B" w14:paraId="598B099F" w14:textId="088B9F27">
      <w:pPr>
        <w:widowControl/>
        <w:ind w:left="360"/>
        <w:rPr>
          <w:rFonts w:ascii="Times New Roman" w:hAnsi="Times New Roman"/>
          <w:snapToGrid/>
          <w:sz w:val="24"/>
          <w:szCs w:val="24"/>
        </w:rPr>
      </w:pPr>
      <w:r w:rsidRPr="004070B9">
        <w:rPr>
          <w:rFonts w:ascii="Times New Roman" w:hAnsi="Times New Roman"/>
          <w:snapToGrid/>
          <w:sz w:val="24"/>
          <w:szCs w:val="24"/>
        </w:rPr>
        <w:t xml:space="preserve">FYSB </w:t>
      </w:r>
      <w:r>
        <w:rPr>
          <w:rFonts w:ascii="Times New Roman" w:hAnsi="Times New Roman"/>
          <w:snapToGrid/>
          <w:sz w:val="24"/>
          <w:szCs w:val="24"/>
        </w:rPr>
        <w:t>use</w:t>
      </w:r>
      <w:r w:rsidR="00094402">
        <w:rPr>
          <w:rFonts w:ascii="Times New Roman" w:hAnsi="Times New Roman"/>
          <w:snapToGrid/>
          <w:sz w:val="24"/>
          <w:szCs w:val="24"/>
        </w:rPr>
        <w:t>s</w:t>
      </w:r>
      <w:r w:rsidRPr="004070B9">
        <w:rPr>
          <w:rFonts w:ascii="Times New Roman" w:hAnsi="Times New Roman"/>
          <w:snapToGrid/>
          <w:sz w:val="24"/>
          <w:szCs w:val="24"/>
        </w:rPr>
        <w:t xml:space="preserve"> information</w:t>
      </w:r>
      <w:r>
        <w:rPr>
          <w:rFonts w:ascii="Times New Roman" w:hAnsi="Times New Roman"/>
          <w:snapToGrid/>
          <w:sz w:val="24"/>
          <w:szCs w:val="24"/>
        </w:rPr>
        <w:t xml:space="preserve"> from t</w:t>
      </w:r>
      <w:r>
        <w:rPr>
          <w:rFonts w:ascii="Times New Roman" w:hAnsi="Times New Roman"/>
          <w:snapToGrid/>
          <w:sz w:val="24"/>
          <w:szCs w:val="24"/>
        </w:rPr>
        <w:t xml:space="preserve">he </w:t>
      </w:r>
      <w:r>
        <w:rPr>
          <w:rFonts w:ascii="Times New Roman" w:hAnsi="Times New Roman"/>
          <w:snapToGrid/>
          <w:sz w:val="24"/>
          <w:szCs w:val="24"/>
        </w:rPr>
        <w:t xml:space="preserve">PPRs to </w:t>
      </w:r>
      <w:r w:rsidRPr="004070B9">
        <w:rPr>
          <w:rFonts w:ascii="Times New Roman" w:hAnsi="Times New Roman"/>
          <w:snapToGrid/>
          <w:sz w:val="24"/>
          <w:szCs w:val="24"/>
        </w:rPr>
        <w:t xml:space="preserve">inform the </w:t>
      </w:r>
      <w:r>
        <w:rPr>
          <w:rFonts w:ascii="Times New Roman" w:hAnsi="Times New Roman"/>
          <w:snapToGrid/>
          <w:sz w:val="24"/>
          <w:szCs w:val="24"/>
        </w:rPr>
        <w:t xml:space="preserve">regular </w:t>
      </w:r>
      <w:r w:rsidRPr="004070B9">
        <w:rPr>
          <w:rFonts w:ascii="Times New Roman" w:hAnsi="Times New Roman"/>
          <w:snapToGrid/>
          <w:sz w:val="24"/>
          <w:szCs w:val="24"/>
        </w:rPr>
        <w:t xml:space="preserve">monitoring of </w:t>
      </w:r>
      <w:r>
        <w:rPr>
          <w:rFonts w:ascii="Times New Roman" w:hAnsi="Times New Roman"/>
          <w:snapToGrid/>
          <w:sz w:val="24"/>
          <w:szCs w:val="24"/>
        </w:rPr>
        <w:t>grant recipients</w:t>
      </w:r>
      <w:r w:rsidRPr="004070B9">
        <w:rPr>
          <w:rFonts w:ascii="Times New Roman" w:hAnsi="Times New Roman"/>
          <w:snapToGrid/>
          <w:sz w:val="24"/>
          <w:szCs w:val="24"/>
        </w:rPr>
        <w:t xml:space="preserve"> for effective service delivery</w:t>
      </w:r>
      <w:r>
        <w:rPr>
          <w:rFonts w:ascii="Times New Roman" w:hAnsi="Times New Roman"/>
          <w:snapToGrid/>
          <w:sz w:val="24"/>
          <w:szCs w:val="24"/>
        </w:rPr>
        <w:t>,</w:t>
      </w:r>
      <w:r w:rsidRPr="004070B9">
        <w:rPr>
          <w:rFonts w:ascii="Times New Roman" w:hAnsi="Times New Roman"/>
          <w:snapToGrid/>
          <w:sz w:val="24"/>
          <w:szCs w:val="24"/>
        </w:rPr>
        <w:t xml:space="preserve"> program management</w:t>
      </w:r>
      <w:r>
        <w:rPr>
          <w:rFonts w:ascii="Times New Roman" w:hAnsi="Times New Roman"/>
          <w:snapToGrid/>
          <w:sz w:val="24"/>
          <w:szCs w:val="24"/>
        </w:rPr>
        <w:t>,</w:t>
      </w:r>
      <w:r w:rsidRPr="004070B9">
        <w:rPr>
          <w:rFonts w:ascii="Times New Roman" w:hAnsi="Times New Roman"/>
          <w:snapToGrid/>
          <w:sz w:val="24"/>
          <w:szCs w:val="24"/>
        </w:rPr>
        <w:t xml:space="preserve"> to guide the development of national monitoring and technical assistance</w:t>
      </w:r>
      <w:r>
        <w:rPr>
          <w:rFonts w:ascii="Times New Roman" w:hAnsi="Times New Roman"/>
          <w:snapToGrid/>
          <w:sz w:val="24"/>
          <w:szCs w:val="24"/>
        </w:rPr>
        <w:t xml:space="preserve"> </w:t>
      </w:r>
      <w:r w:rsidR="00343C5C">
        <w:rPr>
          <w:rFonts w:ascii="Times New Roman" w:hAnsi="Times New Roman"/>
          <w:snapToGrid/>
          <w:sz w:val="24"/>
          <w:szCs w:val="24"/>
        </w:rPr>
        <w:t xml:space="preserve">resources, </w:t>
      </w:r>
      <w:r>
        <w:rPr>
          <w:rFonts w:ascii="Times New Roman" w:hAnsi="Times New Roman"/>
          <w:snapToGrid/>
          <w:sz w:val="24"/>
          <w:szCs w:val="24"/>
        </w:rPr>
        <w:t>and performance measurement</w:t>
      </w:r>
      <w:r w:rsidRPr="004070B9">
        <w:rPr>
          <w:rFonts w:ascii="Times New Roman" w:hAnsi="Times New Roman"/>
          <w:snapToGrid/>
          <w:sz w:val="24"/>
          <w:szCs w:val="24"/>
        </w:rPr>
        <w:t xml:space="preserve"> systems. </w:t>
      </w:r>
      <w:r w:rsidR="00343C5C">
        <w:rPr>
          <w:rFonts w:ascii="Times New Roman" w:hAnsi="Times New Roman"/>
          <w:snapToGrid/>
          <w:sz w:val="24"/>
          <w:szCs w:val="24"/>
        </w:rPr>
        <w:t xml:space="preserve"> </w:t>
      </w:r>
      <w:r w:rsidRPr="004070B9">
        <w:rPr>
          <w:rFonts w:ascii="Times New Roman" w:hAnsi="Times New Roman"/>
          <w:snapToGrid/>
          <w:sz w:val="24"/>
          <w:szCs w:val="24"/>
        </w:rPr>
        <w:t xml:space="preserve">Finally, </w:t>
      </w:r>
      <w:r w:rsidR="00343C5C">
        <w:rPr>
          <w:rFonts w:ascii="Times New Roman" w:hAnsi="Times New Roman"/>
          <w:snapToGrid/>
          <w:sz w:val="24"/>
          <w:szCs w:val="24"/>
        </w:rPr>
        <w:t>the PPRs</w:t>
      </w:r>
      <w:r w:rsidRPr="004070B9">
        <w:rPr>
          <w:rFonts w:ascii="Times New Roman" w:hAnsi="Times New Roman"/>
          <w:snapToGrid/>
          <w:sz w:val="24"/>
          <w:szCs w:val="24"/>
        </w:rPr>
        <w:t xml:space="preserve"> will </w:t>
      </w:r>
      <w:r w:rsidR="00094402">
        <w:rPr>
          <w:rFonts w:ascii="Times New Roman" w:hAnsi="Times New Roman"/>
          <w:snapToGrid/>
          <w:sz w:val="24"/>
          <w:szCs w:val="24"/>
        </w:rPr>
        <w:t xml:space="preserve">continue to </w:t>
      </w:r>
      <w:r w:rsidRPr="004070B9">
        <w:rPr>
          <w:rFonts w:ascii="Times New Roman" w:hAnsi="Times New Roman"/>
          <w:snapToGrid/>
          <w:sz w:val="24"/>
          <w:szCs w:val="24"/>
        </w:rPr>
        <w:t>provide valuable information for policymakers and key stakeholders in the development of programs and research efforts.</w:t>
      </w:r>
    </w:p>
    <w:p w:rsidR="00D60543" w:rsidRPr="004F7B95" w:rsidP="00D7443D" w14:paraId="3C8C4501" w14:textId="77777777">
      <w:pPr>
        <w:widowControl/>
        <w:tabs>
          <w:tab w:val="num" w:pos="360"/>
        </w:tabs>
        <w:ind w:left="360"/>
        <w:rPr>
          <w:rFonts w:ascii="Times New Roman" w:hAnsi="Times New Roman"/>
          <w:snapToGrid/>
          <w:sz w:val="24"/>
          <w:szCs w:val="24"/>
        </w:rPr>
      </w:pPr>
    </w:p>
    <w:p w:rsidR="00790D2C" w:rsidRPr="004F7B95" w:rsidP="00D7443D" w14:paraId="6C3FFD0B" w14:textId="77777777">
      <w:pPr>
        <w:widowControl/>
        <w:tabs>
          <w:tab w:val="num" w:pos="360"/>
        </w:tabs>
        <w:ind w:left="360"/>
        <w:rPr>
          <w:rFonts w:ascii="Times New Roman" w:hAnsi="Times New Roman"/>
          <w:snapToGrid/>
          <w:sz w:val="24"/>
          <w:szCs w:val="24"/>
        </w:rPr>
      </w:pPr>
    </w:p>
    <w:p w:rsidR="002C3C4F" w:rsidRPr="00075889" w:rsidP="00075889"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00343C5C" w:rsidRPr="00343C5C" w:rsidP="00343C5C" w14:paraId="32B98015" w14:textId="5BAEF6B0">
      <w:pPr>
        <w:widowControl/>
        <w:ind w:left="360"/>
        <w:rPr>
          <w:rFonts w:ascii="Times New Roman" w:hAnsi="Times New Roman"/>
          <w:snapToGrid/>
          <w:sz w:val="24"/>
          <w:szCs w:val="24"/>
        </w:rPr>
      </w:pPr>
      <w:r>
        <w:rPr>
          <w:rFonts w:ascii="Times New Roman" w:hAnsi="Times New Roman"/>
          <w:sz w:val="24"/>
          <w:szCs w:val="24"/>
        </w:rPr>
        <w:t>State PREP grant recipients</w:t>
      </w:r>
      <w:r w:rsidRPr="00343C5C">
        <w:rPr>
          <w:rFonts w:ascii="Times New Roman" w:hAnsi="Times New Roman"/>
          <w:sz w:val="24"/>
          <w:szCs w:val="24"/>
        </w:rPr>
        <w:t xml:space="preserve"> </w:t>
      </w:r>
      <w:r w:rsidRPr="00343C5C">
        <w:rPr>
          <w:rFonts w:ascii="Times New Roman" w:hAnsi="Times New Roman"/>
          <w:bCs/>
          <w:sz w:val="24"/>
          <w:szCs w:val="24"/>
        </w:rPr>
        <w:t>must</w:t>
      </w:r>
      <w:r w:rsidRPr="00343C5C">
        <w:rPr>
          <w:rFonts w:ascii="Times New Roman" w:hAnsi="Times New Roman"/>
          <w:sz w:val="24"/>
          <w:szCs w:val="24"/>
        </w:rPr>
        <w:t xml:space="preserve"> submit their</w:t>
      </w:r>
      <w:r w:rsidRPr="00343C5C">
        <w:rPr>
          <w:rFonts w:ascii="Times New Roman" w:hAnsi="Times New Roman"/>
          <w:snapToGrid/>
          <w:sz w:val="24"/>
          <w:szCs w:val="24"/>
        </w:rPr>
        <w:t xml:space="preserve"> </w:t>
      </w:r>
      <w:r>
        <w:rPr>
          <w:rFonts w:ascii="Times New Roman" w:hAnsi="Times New Roman"/>
          <w:snapToGrid/>
          <w:sz w:val="24"/>
          <w:szCs w:val="24"/>
        </w:rPr>
        <w:t>S</w:t>
      </w:r>
      <w:r w:rsidRPr="00343C5C">
        <w:rPr>
          <w:rFonts w:ascii="Times New Roman" w:hAnsi="Times New Roman"/>
          <w:snapToGrid/>
          <w:sz w:val="24"/>
          <w:szCs w:val="24"/>
        </w:rPr>
        <w:t xml:space="preserve">tate </w:t>
      </w:r>
      <w:r>
        <w:rPr>
          <w:rFonts w:ascii="Times New Roman" w:hAnsi="Times New Roman"/>
          <w:snapToGrid/>
          <w:sz w:val="24"/>
          <w:szCs w:val="24"/>
        </w:rPr>
        <w:t>P</w:t>
      </w:r>
      <w:r w:rsidRPr="00343C5C">
        <w:rPr>
          <w:rFonts w:ascii="Times New Roman" w:hAnsi="Times New Roman"/>
          <w:snapToGrid/>
          <w:sz w:val="24"/>
          <w:szCs w:val="24"/>
        </w:rPr>
        <w:t>lan</w:t>
      </w:r>
      <w:r>
        <w:rPr>
          <w:rFonts w:ascii="Times New Roman" w:hAnsi="Times New Roman"/>
          <w:snapToGrid/>
          <w:sz w:val="24"/>
          <w:szCs w:val="24"/>
        </w:rPr>
        <w:t>s</w:t>
      </w:r>
      <w:r w:rsidRPr="00343C5C">
        <w:rPr>
          <w:rFonts w:ascii="Times New Roman" w:hAnsi="Times New Roman"/>
          <w:snapToGrid/>
          <w:sz w:val="24"/>
          <w:szCs w:val="24"/>
        </w:rPr>
        <w:t xml:space="preserve"> and PPRs</w:t>
      </w:r>
      <w:r w:rsidRPr="00343C5C">
        <w:rPr>
          <w:rFonts w:ascii="Times New Roman" w:hAnsi="Times New Roman"/>
          <w:sz w:val="24"/>
          <w:szCs w:val="24"/>
        </w:rPr>
        <w:t xml:space="preserve"> online through the </w:t>
      </w:r>
      <w:r w:rsidRPr="00343C5C">
        <w:rPr>
          <w:rFonts w:ascii="Times New Roman" w:hAnsi="Times New Roman"/>
          <w:sz w:val="24"/>
          <w:szCs w:val="24"/>
        </w:rPr>
        <w:t>GrantSolutions</w:t>
      </w:r>
      <w:r w:rsidRPr="00343C5C">
        <w:rPr>
          <w:rFonts w:ascii="Times New Roman" w:hAnsi="Times New Roman"/>
          <w:sz w:val="24"/>
          <w:szCs w:val="24"/>
        </w:rPr>
        <w:t xml:space="preserve"> Online Data Collection (OLDC) system</w:t>
      </w:r>
      <w:r>
        <w:rPr>
          <w:rFonts w:ascii="Times New Roman" w:hAnsi="Times New Roman"/>
          <w:sz w:val="24"/>
          <w:szCs w:val="24"/>
        </w:rPr>
        <w:t xml:space="preserve">, which is the only system available for </w:t>
      </w:r>
      <w:r w:rsidR="00094402">
        <w:rPr>
          <w:rFonts w:ascii="Times New Roman" w:hAnsi="Times New Roman"/>
          <w:sz w:val="24"/>
          <w:szCs w:val="24"/>
        </w:rPr>
        <w:t xml:space="preserve">ACF </w:t>
      </w:r>
      <w:r>
        <w:rPr>
          <w:rFonts w:ascii="Times New Roman" w:hAnsi="Times New Roman"/>
          <w:sz w:val="24"/>
          <w:szCs w:val="24"/>
        </w:rPr>
        <w:t>formula grant programs.</w:t>
      </w:r>
    </w:p>
    <w:p w:rsidR="009C2DE1" w:rsidP="00022586" w14:paraId="64C47E67" w14:textId="77777777">
      <w:pPr>
        <w:widowControl/>
        <w:tabs>
          <w:tab w:val="num" w:pos="360"/>
        </w:tabs>
        <w:ind w:left="360"/>
        <w:rPr>
          <w:rFonts w:ascii="Times New Roman" w:hAnsi="Times New Roman"/>
          <w:snapToGrid/>
          <w:sz w:val="24"/>
          <w:szCs w:val="24"/>
        </w:rPr>
      </w:pPr>
    </w:p>
    <w:p w:rsidR="00D60543" w:rsidRPr="004F7B95" w:rsidP="00022586" w14:paraId="61323458" w14:textId="77777777">
      <w:pPr>
        <w:widowControl/>
        <w:tabs>
          <w:tab w:val="num" w:pos="360"/>
        </w:tabs>
        <w:ind w:left="360"/>
        <w:rPr>
          <w:rFonts w:ascii="Times New Roman" w:hAnsi="Times New Roman"/>
          <w:snapToGrid/>
          <w:sz w:val="24"/>
          <w:szCs w:val="24"/>
        </w:rPr>
      </w:pPr>
    </w:p>
    <w:p w:rsidR="002C3C4F" w:rsidRPr="00075889" w:rsidP="00075889"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009F5543" w:rsidRPr="004F7B95" w:rsidP="00022586" w14:paraId="01CB0194" w14:textId="5BEF2CF6">
      <w:pPr>
        <w:widowControl/>
        <w:tabs>
          <w:tab w:val="num" w:pos="360"/>
        </w:tabs>
        <w:ind w:left="360"/>
        <w:rPr>
          <w:rFonts w:ascii="Times New Roman" w:hAnsi="Times New Roman"/>
          <w:snapToGrid/>
          <w:sz w:val="24"/>
          <w:szCs w:val="24"/>
        </w:rPr>
      </w:pPr>
      <w:r w:rsidRPr="00F75144">
        <w:rPr>
          <w:rFonts w:ascii="Times New Roman" w:hAnsi="Times New Roman"/>
          <w:snapToGrid/>
          <w:sz w:val="24"/>
          <w:szCs w:val="24"/>
        </w:rPr>
        <w:t>T</w:t>
      </w:r>
      <w:r>
        <w:rPr>
          <w:rFonts w:ascii="Times New Roman" w:hAnsi="Times New Roman"/>
          <w:snapToGrid/>
          <w:sz w:val="24"/>
          <w:szCs w:val="24"/>
        </w:rPr>
        <w:t>he submission of the described</w:t>
      </w:r>
      <w:r w:rsidRPr="00F75144">
        <w:rPr>
          <w:rFonts w:ascii="Times New Roman" w:hAnsi="Times New Roman"/>
          <w:snapToGrid/>
          <w:sz w:val="24"/>
          <w:szCs w:val="24"/>
        </w:rPr>
        <w:t xml:space="preserve"> </w:t>
      </w:r>
      <w:r>
        <w:rPr>
          <w:rFonts w:ascii="Times New Roman" w:hAnsi="Times New Roman"/>
          <w:snapToGrid/>
          <w:sz w:val="24"/>
          <w:szCs w:val="24"/>
        </w:rPr>
        <w:t>the state plan</w:t>
      </w:r>
      <w:r w:rsidRPr="00F75144">
        <w:rPr>
          <w:rFonts w:ascii="Times New Roman" w:hAnsi="Times New Roman"/>
          <w:snapToGrid/>
          <w:sz w:val="24"/>
          <w:szCs w:val="24"/>
        </w:rPr>
        <w:t xml:space="preserve"> components are not duplicative of any other sources of information available for </w:t>
      </w:r>
      <w:r>
        <w:rPr>
          <w:rFonts w:ascii="Times New Roman" w:hAnsi="Times New Roman"/>
          <w:snapToGrid/>
          <w:sz w:val="24"/>
          <w:szCs w:val="24"/>
        </w:rPr>
        <w:t>State PREP.  States only develop state plans as a response to the program guidelines for review and approval prior to the awarding of funds.  The PP</w:t>
      </w:r>
      <w:r w:rsidR="002B4507">
        <w:rPr>
          <w:rFonts w:ascii="Times New Roman" w:hAnsi="Times New Roman"/>
          <w:snapToGrid/>
          <w:sz w:val="24"/>
          <w:szCs w:val="24"/>
        </w:rPr>
        <w:t xml:space="preserve">Rs have been tailored to PREP grant recipients and are not duplicative of any other sources collected from PREP recipients.  </w:t>
      </w:r>
      <w:r w:rsidRPr="00113238">
        <w:rPr>
          <w:rFonts w:ascii="Times New Roman" w:hAnsi="Times New Roman"/>
          <w:sz w:val="24"/>
          <w:szCs w:val="24"/>
        </w:rPr>
        <w:t xml:space="preserve">No similar data are gathered or maintained by </w:t>
      </w:r>
      <w:r>
        <w:rPr>
          <w:rFonts w:ascii="Times New Roman" w:hAnsi="Times New Roman"/>
          <w:sz w:val="24"/>
          <w:szCs w:val="24"/>
        </w:rPr>
        <w:t>FYSB</w:t>
      </w:r>
      <w:r w:rsidRPr="00113238">
        <w:rPr>
          <w:rFonts w:ascii="Times New Roman" w:hAnsi="Times New Roman"/>
          <w:sz w:val="24"/>
          <w:szCs w:val="24"/>
        </w:rPr>
        <w:t xml:space="preserve"> or are available from other sources known to </w:t>
      </w:r>
      <w:r>
        <w:rPr>
          <w:rFonts w:ascii="Times New Roman" w:hAnsi="Times New Roman"/>
          <w:sz w:val="24"/>
          <w:szCs w:val="24"/>
        </w:rPr>
        <w:t>FYSB</w:t>
      </w:r>
      <w:r w:rsidRPr="00113238">
        <w:rPr>
          <w:rFonts w:ascii="Times New Roman" w:hAnsi="Times New Roman"/>
          <w:sz w:val="24"/>
          <w:szCs w:val="24"/>
        </w:rPr>
        <w:t>.</w:t>
      </w:r>
    </w:p>
    <w:p w:rsidR="00022586" w:rsidRPr="004F7B95" w:rsidP="00022586" w14:paraId="3A8002CC" w14:textId="77777777">
      <w:pPr>
        <w:widowControl/>
        <w:tabs>
          <w:tab w:val="num" w:pos="360"/>
        </w:tabs>
        <w:ind w:left="360"/>
        <w:rPr>
          <w:rFonts w:ascii="Times New Roman" w:hAnsi="Times New Roman"/>
          <w:snapToGrid/>
          <w:sz w:val="24"/>
          <w:szCs w:val="24"/>
        </w:rPr>
      </w:pPr>
    </w:p>
    <w:p w:rsidR="009C2DE1" w:rsidP="00022586" w14:paraId="5BF82A71" w14:textId="352B0972">
      <w:pPr>
        <w:widowControl/>
        <w:tabs>
          <w:tab w:val="num" w:pos="360"/>
        </w:tabs>
        <w:ind w:left="360"/>
        <w:rPr>
          <w:rFonts w:ascii="Times New Roman" w:hAnsi="Times New Roman"/>
          <w:snapToGrid/>
          <w:sz w:val="24"/>
          <w:szCs w:val="24"/>
        </w:rPr>
      </w:pPr>
    </w:p>
    <w:p w:rsidR="00B86109" w:rsidRPr="004F7B95" w:rsidP="00022586" w14:paraId="4F163946" w14:textId="77777777">
      <w:pPr>
        <w:widowControl/>
        <w:tabs>
          <w:tab w:val="num" w:pos="360"/>
        </w:tabs>
        <w:ind w:left="360"/>
        <w:rPr>
          <w:rFonts w:ascii="Times New Roman" w:hAnsi="Times New Roman"/>
          <w:snapToGrid/>
          <w:sz w:val="24"/>
          <w:szCs w:val="24"/>
        </w:rPr>
      </w:pPr>
    </w:p>
    <w:p w:rsidR="002C3C4F" w:rsidRPr="00075889" w:rsidP="00075889"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2B4507" w:rsidRPr="002B4507" w:rsidP="002B4507" w14:paraId="54324A02" w14:textId="1FEFE93F">
      <w:pPr>
        <w:widowControl/>
        <w:tabs>
          <w:tab w:val="num" w:pos="360"/>
        </w:tabs>
        <w:rPr>
          <w:rFonts w:ascii="Times New Roman" w:hAnsi="Times New Roman"/>
          <w:snapToGrid/>
          <w:sz w:val="24"/>
          <w:szCs w:val="24"/>
        </w:rPr>
      </w:pPr>
      <w:r>
        <w:rPr>
          <w:rFonts w:ascii="Times New Roman" w:hAnsi="Times New Roman"/>
          <w:snapToGrid/>
          <w:sz w:val="24"/>
          <w:szCs w:val="24"/>
        </w:rPr>
        <w:tab/>
      </w:r>
      <w:r w:rsidRPr="002B4507">
        <w:rPr>
          <w:rFonts w:ascii="Times New Roman" w:hAnsi="Times New Roman"/>
          <w:snapToGrid/>
          <w:sz w:val="24"/>
          <w:szCs w:val="24"/>
        </w:rPr>
        <w:t>No small businesses or entities will be involved in this collection of information.</w:t>
      </w:r>
    </w:p>
    <w:p w:rsidR="00D60543" w:rsidP="00022586" w14:paraId="3417396F" w14:textId="77777777">
      <w:pPr>
        <w:widowControl/>
        <w:tabs>
          <w:tab w:val="num" w:pos="360"/>
        </w:tabs>
        <w:ind w:left="360"/>
        <w:rPr>
          <w:rFonts w:ascii="Times New Roman" w:hAnsi="Times New Roman"/>
          <w:snapToGrid/>
          <w:sz w:val="24"/>
          <w:szCs w:val="24"/>
        </w:rPr>
      </w:pPr>
    </w:p>
    <w:p w:rsidR="00D60543" w:rsidRPr="004F7B95" w:rsidP="00022586" w14:paraId="7A03161C" w14:textId="77777777">
      <w:pPr>
        <w:widowControl/>
        <w:tabs>
          <w:tab w:val="num" w:pos="360"/>
        </w:tabs>
        <w:ind w:left="360"/>
        <w:rPr>
          <w:rFonts w:ascii="Times New Roman" w:hAnsi="Times New Roman"/>
          <w:snapToGrid/>
          <w:sz w:val="24"/>
          <w:szCs w:val="24"/>
        </w:rPr>
      </w:pPr>
    </w:p>
    <w:p w:rsidR="002C3C4F" w:rsidRPr="00075889" w:rsidP="00075889"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009F5543" w:rsidP="00022586" w14:paraId="7CACD664" w14:textId="3BA2F5E0">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The </w:t>
      </w:r>
      <w:r w:rsidR="00620CA6">
        <w:rPr>
          <w:rFonts w:ascii="Times New Roman" w:hAnsi="Times New Roman"/>
          <w:snapToGrid/>
          <w:sz w:val="24"/>
          <w:szCs w:val="24"/>
        </w:rPr>
        <w:t>PREP S</w:t>
      </w:r>
      <w:r>
        <w:rPr>
          <w:rFonts w:ascii="Times New Roman" w:hAnsi="Times New Roman"/>
          <w:snapToGrid/>
          <w:sz w:val="24"/>
          <w:szCs w:val="24"/>
        </w:rPr>
        <w:t xml:space="preserve">tate </w:t>
      </w:r>
      <w:r w:rsidR="00620CA6">
        <w:rPr>
          <w:rFonts w:ascii="Times New Roman" w:hAnsi="Times New Roman"/>
          <w:snapToGrid/>
          <w:sz w:val="24"/>
          <w:szCs w:val="24"/>
        </w:rPr>
        <w:t>P</w:t>
      </w:r>
      <w:r>
        <w:rPr>
          <w:rFonts w:ascii="Times New Roman" w:hAnsi="Times New Roman"/>
          <w:snapToGrid/>
          <w:sz w:val="24"/>
          <w:szCs w:val="24"/>
        </w:rPr>
        <w:t>lan will be submitted once</w:t>
      </w:r>
      <w:r w:rsidR="00620CA6">
        <w:rPr>
          <w:rFonts w:ascii="Times New Roman" w:hAnsi="Times New Roman"/>
          <w:snapToGrid/>
          <w:sz w:val="24"/>
          <w:szCs w:val="24"/>
        </w:rPr>
        <w:t xml:space="preserve"> each year to document details of planned activities</w:t>
      </w:r>
      <w:r>
        <w:rPr>
          <w:rFonts w:ascii="Times New Roman" w:hAnsi="Times New Roman"/>
          <w:snapToGrid/>
          <w:sz w:val="24"/>
          <w:szCs w:val="24"/>
        </w:rPr>
        <w:t>.</w:t>
      </w:r>
      <w:r w:rsidR="00620CA6">
        <w:rPr>
          <w:rFonts w:ascii="Times New Roman" w:hAnsi="Times New Roman"/>
          <w:snapToGrid/>
          <w:sz w:val="24"/>
          <w:szCs w:val="24"/>
        </w:rPr>
        <w:t xml:space="preserve"> </w:t>
      </w:r>
      <w:r>
        <w:rPr>
          <w:rFonts w:ascii="Times New Roman" w:hAnsi="Times New Roman"/>
          <w:snapToGrid/>
          <w:sz w:val="24"/>
          <w:szCs w:val="24"/>
        </w:rPr>
        <w:t xml:space="preserve"> </w:t>
      </w:r>
      <w:r w:rsidRPr="00F75144">
        <w:rPr>
          <w:rFonts w:ascii="Times New Roman" w:hAnsi="Times New Roman"/>
          <w:snapToGrid/>
          <w:sz w:val="24"/>
          <w:szCs w:val="24"/>
        </w:rPr>
        <w:t xml:space="preserve">The </w:t>
      </w:r>
      <w:r>
        <w:rPr>
          <w:rFonts w:ascii="Times New Roman" w:hAnsi="Times New Roman"/>
          <w:snapToGrid/>
          <w:sz w:val="24"/>
          <w:szCs w:val="24"/>
        </w:rPr>
        <w:t xml:space="preserve">PPRs will be submitted semi- annually throughout the project period. FYSB will be unable to exercise appropriate oversight and stewardship if collection </w:t>
      </w:r>
      <w:r w:rsidR="00620CA6">
        <w:rPr>
          <w:rFonts w:ascii="Times New Roman" w:hAnsi="Times New Roman"/>
          <w:snapToGrid/>
          <w:sz w:val="24"/>
          <w:szCs w:val="24"/>
        </w:rPr>
        <w:t xml:space="preserve">of this information </w:t>
      </w:r>
      <w:r>
        <w:rPr>
          <w:rFonts w:ascii="Times New Roman" w:hAnsi="Times New Roman"/>
          <w:snapToGrid/>
          <w:sz w:val="24"/>
          <w:szCs w:val="24"/>
        </w:rPr>
        <w:t xml:space="preserve">is not conducted.  If the </w:t>
      </w:r>
      <w:r w:rsidR="00620CA6">
        <w:rPr>
          <w:rFonts w:ascii="Times New Roman" w:hAnsi="Times New Roman"/>
          <w:snapToGrid/>
          <w:sz w:val="24"/>
          <w:szCs w:val="24"/>
        </w:rPr>
        <w:t xml:space="preserve">PPRs are </w:t>
      </w:r>
      <w:r>
        <w:rPr>
          <w:rFonts w:ascii="Times New Roman" w:hAnsi="Times New Roman"/>
          <w:snapToGrid/>
          <w:sz w:val="24"/>
          <w:szCs w:val="24"/>
        </w:rPr>
        <w:t>not collected semi-annually, the program office will be unable to determine program impacts.</w:t>
      </w:r>
    </w:p>
    <w:p w:rsidR="00D60543" w:rsidP="00022586" w14:paraId="2A0F47DE" w14:textId="77777777">
      <w:pPr>
        <w:widowControl/>
        <w:tabs>
          <w:tab w:val="num" w:pos="360"/>
        </w:tabs>
        <w:ind w:left="360"/>
        <w:rPr>
          <w:rFonts w:ascii="Times New Roman" w:hAnsi="Times New Roman"/>
          <w:snapToGrid/>
          <w:sz w:val="24"/>
          <w:szCs w:val="24"/>
        </w:rPr>
      </w:pPr>
    </w:p>
    <w:p w:rsidR="00DE529D" w:rsidRPr="004F7B95" w:rsidP="00022586" w14:paraId="2744D4F5" w14:textId="77777777">
      <w:pPr>
        <w:widowControl/>
        <w:tabs>
          <w:tab w:val="num" w:pos="360"/>
        </w:tabs>
        <w:ind w:left="360"/>
        <w:rPr>
          <w:rFonts w:ascii="Times New Roman" w:hAnsi="Times New Roman"/>
          <w:snapToGrid/>
          <w:sz w:val="24"/>
          <w:szCs w:val="24"/>
        </w:rPr>
      </w:pPr>
    </w:p>
    <w:p w:rsidR="002C3C4F" w:rsidRPr="00075889" w:rsidP="00075889"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009C2DE1" w:rsidP="00022586" w14:paraId="2936D2FA" w14:textId="001B114C">
      <w:pPr>
        <w:widowControl/>
        <w:tabs>
          <w:tab w:val="num" w:pos="360"/>
        </w:tabs>
        <w:ind w:left="360"/>
        <w:rPr>
          <w:rFonts w:ascii="Times New Roman" w:hAnsi="Times New Roman"/>
          <w:snapToGrid/>
          <w:sz w:val="24"/>
          <w:szCs w:val="24"/>
        </w:rPr>
      </w:pPr>
      <w:r>
        <w:rPr>
          <w:rFonts w:ascii="Times New Roman" w:hAnsi="Times New Roman"/>
          <w:snapToGrid/>
          <w:sz w:val="24"/>
          <w:szCs w:val="24"/>
        </w:rPr>
        <w:t>Not applicable.</w:t>
      </w:r>
    </w:p>
    <w:p w:rsidR="00DE529D" w:rsidP="00022586" w14:paraId="46224D5D" w14:textId="77777777">
      <w:pPr>
        <w:widowControl/>
        <w:tabs>
          <w:tab w:val="num" w:pos="360"/>
        </w:tabs>
        <w:ind w:left="360"/>
        <w:rPr>
          <w:rFonts w:ascii="Times New Roman" w:hAnsi="Times New Roman"/>
          <w:snapToGrid/>
          <w:sz w:val="24"/>
          <w:szCs w:val="24"/>
        </w:rPr>
      </w:pPr>
    </w:p>
    <w:p w:rsidR="00DE529D" w:rsidRPr="004F7B95" w:rsidP="00022586" w14:paraId="2CFEBB22" w14:textId="77777777">
      <w:pPr>
        <w:widowControl/>
        <w:tabs>
          <w:tab w:val="num" w:pos="360"/>
        </w:tabs>
        <w:ind w:left="360"/>
        <w:rPr>
          <w:rFonts w:ascii="Times New Roman" w:hAnsi="Times New Roman"/>
          <w:snapToGrid/>
          <w:sz w:val="24"/>
          <w:szCs w:val="24"/>
        </w:rPr>
      </w:pPr>
    </w:p>
    <w:p w:rsidR="0051278C" w:rsidRPr="00C96D3F" w:rsidP="00075889"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Com</w:t>
      </w:r>
      <w:r w:rsidRPr="00C96D3F">
        <w:rPr>
          <w:rFonts w:ascii="Times New Roman" w:hAnsi="Times New Roman"/>
          <w:b/>
          <w:snapToGrid/>
          <w:sz w:val="24"/>
          <w:szCs w:val="24"/>
        </w:rPr>
        <w:t xml:space="preserve">ments in Response to the Federal Register Notice and Efforts to Consult Outside the Agency </w:t>
      </w:r>
    </w:p>
    <w:p w:rsidR="0084609A" w:rsidRPr="004F7B95" w:rsidP="00022586" w14:paraId="016A1F70" w14:textId="0FDD16E8">
      <w:pPr>
        <w:tabs>
          <w:tab w:val="num" w:pos="360"/>
        </w:tabs>
        <w:ind w:left="360"/>
        <w:rPr>
          <w:rFonts w:ascii="Times New Roman" w:hAnsi="Times New Roman"/>
          <w:sz w:val="24"/>
          <w:szCs w:val="24"/>
        </w:rPr>
      </w:pPr>
      <w:r w:rsidRPr="00C96D3F">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Pr="00C96D3F" w:rsidR="00C96D3F">
        <w:rPr>
          <w:rFonts w:ascii="Times New Roman" w:hAnsi="Times New Roman"/>
          <w:sz w:val="24"/>
          <w:szCs w:val="24"/>
        </w:rPr>
        <w:t>December 5, 2023</w:t>
      </w:r>
      <w:r w:rsidRPr="00C96D3F">
        <w:rPr>
          <w:rFonts w:ascii="Times New Roman" w:hAnsi="Times New Roman"/>
          <w:sz w:val="24"/>
          <w:szCs w:val="24"/>
        </w:rPr>
        <w:t>, Volume</w:t>
      </w:r>
      <w:r w:rsidRPr="00C96D3F" w:rsidR="00C96D3F">
        <w:rPr>
          <w:rFonts w:ascii="Times New Roman" w:hAnsi="Times New Roman"/>
          <w:sz w:val="24"/>
          <w:szCs w:val="24"/>
        </w:rPr>
        <w:t xml:space="preserve"> 88</w:t>
      </w:r>
      <w:r w:rsidRPr="00C96D3F">
        <w:rPr>
          <w:rFonts w:ascii="Times New Roman" w:hAnsi="Times New Roman"/>
          <w:sz w:val="24"/>
          <w:szCs w:val="24"/>
        </w:rPr>
        <w:t xml:space="preserve">, Number </w:t>
      </w:r>
      <w:r w:rsidRPr="00C96D3F" w:rsidR="00C96D3F">
        <w:rPr>
          <w:rFonts w:ascii="Times New Roman" w:hAnsi="Times New Roman"/>
          <w:sz w:val="24"/>
          <w:szCs w:val="24"/>
        </w:rPr>
        <w:t>232</w:t>
      </w:r>
      <w:r w:rsidRPr="00C96D3F">
        <w:rPr>
          <w:rFonts w:ascii="Times New Roman" w:hAnsi="Times New Roman"/>
          <w:sz w:val="24"/>
          <w:szCs w:val="24"/>
        </w:rPr>
        <w:t xml:space="preserve">, page </w:t>
      </w:r>
      <w:r w:rsidRPr="00C96D3F" w:rsidR="00C96D3F">
        <w:rPr>
          <w:rFonts w:ascii="Times New Roman" w:hAnsi="Times New Roman"/>
          <w:sz w:val="24"/>
          <w:szCs w:val="24"/>
        </w:rPr>
        <w:t>84334</w:t>
      </w:r>
      <w:r w:rsidRPr="00C96D3F">
        <w:rPr>
          <w:rFonts w:ascii="Times New Roman" w:hAnsi="Times New Roman"/>
          <w:sz w:val="24"/>
          <w:szCs w:val="24"/>
        </w:rPr>
        <w:t xml:space="preserve">, and provided a sixty-day period for public comment.  We did not receive comments. </w:t>
      </w:r>
    </w:p>
    <w:p w:rsidR="00022586" w:rsidP="00022586" w14:paraId="1992C6A4" w14:textId="77777777">
      <w:pPr>
        <w:widowControl/>
        <w:tabs>
          <w:tab w:val="num" w:pos="360"/>
        </w:tabs>
        <w:ind w:left="360"/>
        <w:rPr>
          <w:rFonts w:ascii="Times New Roman" w:hAnsi="Times New Roman"/>
          <w:snapToGrid/>
          <w:sz w:val="24"/>
          <w:szCs w:val="24"/>
        </w:rPr>
      </w:pPr>
    </w:p>
    <w:p w:rsidR="00022586" w:rsidRPr="004F7B95" w:rsidP="00022586" w14:paraId="2EDB417E" w14:textId="77777777">
      <w:pPr>
        <w:widowControl/>
        <w:tabs>
          <w:tab w:val="num" w:pos="360"/>
        </w:tabs>
        <w:ind w:left="360"/>
        <w:rPr>
          <w:rFonts w:ascii="Times New Roman" w:hAnsi="Times New Roman"/>
          <w:snapToGrid/>
          <w:sz w:val="24"/>
          <w:szCs w:val="24"/>
        </w:rPr>
      </w:pPr>
    </w:p>
    <w:p w:rsidR="002C3C4F" w:rsidRPr="00075889" w:rsidP="00075889"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C96D3F" w:rsidP="00C96D3F" w14:paraId="158FED12" w14:textId="0F751548">
      <w:pPr>
        <w:widowControl/>
        <w:ind w:firstLine="360"/>
        <w:rPr>
          <w:rFonts w:ascii="Times New Roman" w:hAnsi="Times New Roman"/>
          <w:snapToGrid/>
          <w:sz w:val="24"/>
          <w:szCs w:val="24"/>
        </w:rPr>
      </w:pPr>
      <w:r w:rsidRPr="00F75144">
        <w:rPr>
          <w:rFonts w:ascii="Times New Roman" w:hAnsi="Times New Roman"/>
          <w:snapToGrid/>
          <w:sz w:val="24"/>
          <w:szCs w:val="24"/>
        </w:rPr>
        <w:t>There is no remuneration of any kind for respondents</w:t>
      </w:r>
      <w:r>
        <w:rPr>
          <w:rFonts w:ascii="Times New Roman" w:hAnsi="Times New Roman"/>
          <w:snapToGrid/>
          <w:sz w:val="24"/>
          <w:szCs w:val="24"/>
        </w:rPr>
        <w:t xml:space="preserve"> outside of PREP grant funding</w:t>
      </w:r>
      <w:r w:rsidRPr="00F75144">
        <w:rPr>
          <w:rFonts w:ascii="Times New Roman" w:hAnsi="Times New Roman"/>
          <w:snapToGrid/>
          <w:sz w:val="24"/>
          <w:szCs w:val="24"/>
        </w:rPr>
        <w:t>.</w:t>
      </w:r>
    </w:p>
    <w:p w:rsidR="00D60543" w:rsidP="00022586" w14:paraId="4915BD6F" w14:textId="77777777">
      <w:pPr>
        <w:widowControl/>
        <w:tabs>
          <w:tab w:val="num" w:pos="360"/>
        </w:tabs>
        <w:ind w:left="360"/>
        <w:rPr>
          <w:rFonts w:ascii="Times New Roman" w:hAnsi="Times New Roman"/>
          <w:snapToGrid/>
          <w:sz w:val="24"/>
          <w:szCs w:val="24"/>
        </w:rPr>
      </w:pPr>
    </w:p>
    <w:p w:rsidR="00D60543" w:rsidRPr="004F7B95" w:rsidP="00DE529D" w14:paraId="62113040" w14:textId="77777777">
      <w:pPr>
        <w:widowControl/>
        <w:tabs>
          <w:tab w:val="num" w:pos="360"/>
        </w:tabs>
        <w:ind w:left="360"/>
        <w:rPr>
          <w:rFonts w:ascii="Times New Roman" w:hAnsi="Times New Roman"/>
          <w:snapToGrid/>
          <w:sz w:val="24"/>
          <w:szCs w:val="24"/>
        </w:rPr>
      </w:pPr>
    </w:p>
    <w:p w:rsidR="002C3C4F" w:rsidRPr="00075889" w:rsidP="0051278C" w14:paraId="4874FACA" w14:textId="77777777">
      <w:pPr>
        <w:widowControl/>
        <w:numPr>
          <w:ilvl w:val="0"/>
          <w:numId w:val="3"/>
        </w:numPr>
        <w:tabs>
          <w:tab w:val="num" w:pos="360"/>
        </w:tabs>
        <w:ind w:left="360"/>
        <w:rPr>
          <w:rFonts w:ascii="Times New Roman" w:hAnsi="Times New Roman"/>
          <w:b/>
          <w:snapToGrid/>
          <w:sz w:val="24"/>
          <w:szCs w:val="24"/>
        </w:rPr>
      </w:pPr>
      <w:r w:rsidRPr="00075889">
        <w:rPr>
          <w:rFonts w:ascii="Times New Roman" w:hAnsi="Times New Roman"/>
          <w:b/>
          <w:snapToGrid/>
          <w:sz w:val="24"/>
          <w:szCs w:val="24"/>
        </w:rPr>
        <w:t xml:space="preserve">Assurance of Confidentiality Provided to Respondents </w:t>
      </w:r>
    </w:p>
    <w:p w:rsidR="00C96D3F" w:rsidRPr="00C96D3F" w:rsidP="00C96D3F" w14:paraId="66E43DB4" w14:textId="08D1723E">
      <w:pPr>
        <w:widowControl/>
        <w:tabs>
          <w:tab w:val="num" w:pos="360"/>
        </w:tabs>
        <w:ind w:left="360"/>
        <w:rPr>
          <w:rFonts w:ascii="Times New Roman" w:hAnsi="Times New Roman"/>
          <w:snapToGrid/>
          <w:sz w:val="24"/>
          <w:szCs w:val="24"/>
        </w:rPr>
      </w:pPr>
      <w:r w:rsidRPr="00124542">
        <w:rPr>
          <w:rFonts w:ascii="Times New Roman" w:hAnsi="Times New Roman"/>
          <w:sz w:val="24"/>
          <w:szCs w:val="24"/>
        </w:rPr>
        <w:t xml:space="preserve">There are no assurances of confidentiality provided.  The State Plans will collect program information only, and no personally identifiable information will be collected as part of the </w:t>
      </w:r>
      <w:r w:rsidRPr="00124542" w:rsidR="00124542">
        <w:rPr>
          <w:rFonts w:ascii="Times New Roman" w:hAnsi="Times New Roman"/>
          <w:sz w:val="24"/>
          <w:szCs w:val="24"/>
        </w:rPr>
        <w:t xml:space="preserve">State </w:t>
      </w:r>
      <w:r w:rsidRPr="00124542">
        <w:rPr>
          <w:rFonts w:ascii="Times New Roman" w:hAnsi="Times New Roman"/>
          <w:sz w:val="24"/>
          <w:szCs w:val="24"/>
        </w:rPr>
        <w:t>Plans</w:t>
      </w:r>
      <w:r w:rsidRPr="00124542" w:rsidR="00124542">
        <w:rPr>
          <w:rFonts w:ascii="Times New Roman" w:hAnsi="Times New Roman"/>
          <w:sz w:val="24"/>
          <w:szCs w:val="24"/>
        </w:rPr>
        <w:t xml:space="preserve"> or PPRs</w:t>
      </w:r>
      <w:r w:rsidRPr="00124542">
        <w:rPr>
          <w:rFonts w:ascii="Times New Roman" w:hAnsi="Times New Roman"/>
          <w:sz w:val="24"/>
          <w:szCs w:val="24"/>
        </w:rPr>
        <w:t>.</w:t>
      </w:r>
    </w:p>
    <w:p w:rsidR="00D60543" w:rsidP="00022586" w14:paraId="0630E30B" w14:textId="77777777">
      <w:pPr>
        <w:widowControl/>
        <w:tabs>
          <w:tab w:val="num" w:pos="360"/>
        </w:tabs>
        <w:ind w:left="360"/>
        <w:rPr>
          <w:rFonts w:ascii="Times New Roman" w:hAnsi="Times New Roman"/>
          <w:snapToGrid/>
          <w:sz w:val="24"/>
          <w:szCs w:val="24"/>
        </w:rPr>
      </w:pPr>
    </w:p>
    <w:p w:rsidR="00D60543" w:rsidRPr="004F7B95" w:rsidP="00DE529D" w14:paraId="1C82E036" w14:textId="77777777">
      <w:pPr>
        <w:widowControl/>
        <w:tabs>
          <w:tab w:val="num" w:pos="360"/>
        </w:tabs>
        <w:ind w:left="360"/>
        <w:rPr>
          <w:rFonts w:ascii="Times New Roman" w:hAnsi="Times New Roman"/>
          <w:snapToGrid/>
          <w:sz w:val="24"/>
          <w:szCs w:val="24"/>
        </w:rPr>
      </w:pPr>
    </w:p>
    <w:p w:rsidR="002C3C4F" w:rsidRPr="00075889" w:rsidP="0051278C" w14:paraId="63E02878" w14:textId="77777777">
      <w:pPr>
        <w:widowControl/>
        <w:numPr>
          <w:ilvl w:val="0"/>
          <w:numId w:val="3"/>
        </w:numPr>
        <w:tabs>
          <w:tab w:val="num" w:pos="360"/>
        </w:tabs>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00CB1A12" w:rsidRPr="004F7B95" w:rsidP="00022586" w14:paraId="297D6DEB" w14:textId="5F540D6B">
      <w:pPr>
        <w:widowControl/>
        <w:tabs>
          <w:tab w:val="num" w:pos="360"/>
        </w:tabs>
        <w:ind w:left="360"/>
        <w:rPr>
          <w:rFonts w:ascii="Times New Roman" w:hAnsi="Times New Roman"/>
          <w:snapToGrid/>
          <w:sz w:val="24"/>
          <w:szCs w:val="24"/>
        </w:rPr>
      </w:pPr>
      <w:r>
        <w:rPr>
          <w:rFonts w:ascii="Times New Roman" w:hAnsi="Times New Roman"/>
          <w:snapToGrid/>
          <w:sz w:val="24"/>
          <w:szCs w:val="24"/>
        </w:rPr>
        <w:t>There are no sensitive questions included with this information collection.</w:t>
      </w:r>
    </w:p>
    <w:p w:rsidR="00DE529D" w:rsidP="0051278C" w14:paraId="597B7A37" w14:textId="22A00A9F">
      <w:pPr>
        <w:widowControl/>
        <w:tabs>
          <w:tab w:val="num" w:pos="360"/>
        </w:tabs>
        <w:ind w:left="720" w:hanging="360"/>
        <w:rPr>
          <w:rFonts w:ascii="Times New Roman" w:hAnsi="Times New Roman"/>
          <w:snapToGrid/>
          <w:sz w:val="24"/>
          <w:szCs w:val="24"/>
        </w:rPr>
      </w:pPr>
    </w:p>
    <w:p w:rsidR="00B86109" w:rsidP="0051278C" w14:paraId="70C44795" w14:textId="77777777">
      <w:pPr>
        <w:widowControl/>
        <w:tabs>
          <w:tab w:val="num" w:pos="360"/>
        </w:tabs>
        <w:ind w:left="720" w:hanging="360"/>
        <w:rPr>
          <w:rFonts w:ascii="Times New Roman" w:hAnsi="Times New Roman"/>
          <w:snapToGrid/>
          <w:sz w:val="24"/>
          <w:szCs w:val="24"/>
        </w:rPr>
      </w:pPr>
    </w:p>
    <w:p w:rsidR="00DE529D" w:rsidRPr="004F7B95" w:rsidP="0051278C" w14:paraId="710C7355" w14:textId="77777777">
      <w:pPr>
        <w:widowControl/>
        <w:tabs>
          <w:tab w:val="num" w:pos="360"/>
        </w:tabs>
        <w:ind w:left="720" w:hanging="360"/>
        <w:rPr>
          <w:rFonts w:ascii="Times New Roman" w:hAnsi="Times New Roman"/>
          <w:snapToGrid/>
          <w:sz w:val="24"/>
          <w:szCs w:val="24"/>
        </w:rPr>
      </w:pPr>
    </w:p>
    <w:p w:rsidR="002C3C4F" w:rsidRPr="00075889" w:rsidP="00DE529D" w14:paraId="05B17E8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Annualized Burden Hours and Costs </w:t>
      </w:r>
    </w:p>
    <w:p w:rsidR="00E41127" w:rsidRPr="00E41127" w:rsidP="00E41127" w14:paraId="418D4D6B" w14:textId="77777777">
      <w:pPr>
        <w:spacing w:after="60"/>
        <w:ind w:firstLine="360"/>
        <w:rPr>
          <w:rFonts w:ascii="Times New Roman" w:hAnsi="Times New Roman"/>
          <w:b/>
          <w:bCs/>
          <w:i/>
          <w:iCs/>
          <w:sz w:val="24"/>
          <w:szCs w:val="24"/>
        </w:rPr>
      </w:pPr>
      <w:r w:rsidRPr="00E41127">
        <w:rPr>
          <w:rFonts w:ascii="Times New Roman" w:hAnsi="Times New Roman"/>
          <w:b/>
          <w:bCs/>
          <w:i/>
          <w:iCs/>
          <w:sz w:val="24"/>
          <w:szCs w:val="24"/>
        </w:rPr>
        <w:t>Burden Estimates</w:t>
      </w:r>
    </w:p>
    <w:p w:rsidR="00E41127" w:rsidRPr="00E41127" w:rsidP="00E41127" w14:paraId="64DFC887" w14:textId="6BDB629B">
      <w:pPr>
        <w:ind w:left="360"/>
        <w:rPr>
          <w:rFonts w:ascii="Times New Roman" w:hAnsi="Times New Roman"/>
          <w:sz w:val="24"/>
          <w:szCs w:val="24"/>
        </w:rPr>
      </w:pPr>
      <w:r w:rsidRPr="008241D3">
        <w:rPr>
          <w:rFonts w:ascii="Times New Roman" w:hAnsi="Times New Roman"/>
          <w:sz w:val="24"/>
          <w:szCs w:val="24"/>
        </w:rPr>
        <w:t>State PREP grant recipients will use the State Plans to develop a comprehensive and detailed description of the activities to be implemented throughout the project period</w:t>
      </w:r>
      <w:r w:rsidRPr="008241D3" w:rsidR="008241D3">
        <w:rPr>
          <w:rFonts w:ascii="Times New Roman" w:hAnsi="Times New Roman"/>
          <w:sz w:val="24"/>
          <w:szCs w:val="24"/>
        </w:rPr>
        <w:t>, and the PPRs to report on all project activities</w:t>
      </w:r>
      <w:r w:rsidRPr="008241D3">
        <w:rPr>
          <w:rFonts w:ascii="Times New Roman" w:hAnsi="Times New Roman"/>
          <w:sz w:val="24"/>
          <w:szCs w:val="24"/>
        </w:rPr>
        <w:t xml:space="preserve">.  There are currently 52 funded State PREP.  Estimated respondents is based on this assumption. It is estimated the time to develop the State Plans is 40 hours estimated time to complete the PPRs will be about </w:t>
      </w:r>
      <w:r w:rsidR="009B0471">
        <w:rPr>
          <w:rFonts w:ascii="Times New Roman" w:hAnsi="Times New Roman"/>
          <w:sz w:val="24"/>
          <w:szCs w:val="24"/>
        </w:rPr>
        <w:t>16</w:t>
      </w:r>
      <w:r w:rsidRPr="008241D3" w:rsidR="009B0471">
        <w:rPr>
          <w:rFonts w:ascii="Times New Roman" w:hAnsi="Times New Roman"/>
          <w:sz w:val="24"/>
          <w:szCs w:val="24"/>
        </w:rPr>
        <w:t xml:space="preserve"> </w:t>
      </w:r>
      <w:r w:rsidRPr="008241D3">
        <w:rPr>
          <w:rFonts w:ascii="Times New Roman" w:hAnsi="Times New Roman"/>
          <w:sz w:val="24"/>
          <w:szCs w:val="24"/>
        </w:rPr>
        <w:t>hours per grant recipient.</w:t>
      </w:r>
      <w:r w:rsidRPr="00E41127">
        <w:rPr>
          <w:rFonts w:ascii="Times New Roman" w:hAnsi="Times New Roman"/>
          <w:sz w:val="24"/>
          <w:szCs w:val="24"/>
        </w:rPr>
        <w:t xml:space="preserve">  </w:t>
      </w:r>
    </w:p>
    <w:p w:rsidR="00E41127" w:rsidP="00DE529D" w14:paraId="31D41507" w14:textId="30378DE7">
      <w:pPr>
        <w:widowControl/>
        <w:ind w:left="360"/>
        <w:rPr>
          <w:rFonts w:ascii="Times New Roman" w:hAnsi="Times New Roman"/>
          <w:snapToGrid/>
          <w:sz w:val="24"/>
          <w:szCs w:val="24"/>
        </w:rPr>
      </w:pPr>
    </w:p>
    <w:p w:rsidR="00E41127" w:rsidRPr="00A43692" w:rsidP="00E41127" w14:paraId="166D2F4F" w14:textId="77777777">
      <w:pPr>
        <w:ind w:left="360"/>
        <w:rPr>
          <w:rFonts w:ascii="Times New Roman" w:hAnsi="Times New Roman"/>
          <w:b/>
          <w:bCs/>
          <w:sz w:val="24"/>
          <w:szCs w:val="24"/>
        </w:rPr>
      </w:pPr>
      <w:r w:rsidRPr="00A43692">
        <w:rPr>
          <w:rFonts w:ascii="Times New Roman" w:hAnsi="Times New Roman"/>
          <w:b/>
          <w:bCs/>
          <w:sz w:val="24"/>
          <w:szCs w:val="24"/>
        </w:rPr>
        <w:t>Cost Estimates</w:t>
      </w:r>
    </w:p>
    <w:p w:rsidR="00E41127" w:rsidRPr="00EC26A5" w:rsidP="00E41127" w14:paraId="75BCB227" w14:textId="250185A8">
      <w:pPr>
        <w:widowControl/>
        <w:ind w:left="360"/>
        <w:rPr>
          <w:rFonts w:ascii="Times New Roman" w:hAnsi="Times New Roman"/>
          <w:snapToGrid/>
          <w:sz w:val="24"/>
          <w:szCs w:val="24"/>
        </w:rPr>
      </w:pPr>
      <w:r w:rsidRPr="00EC26A5">
        <w:rPr>
          <w:rFonts w:ascii="Times New Roman" w:hAnsi="Times New Roman"/>
          <w:sz w:val="24"/>
          <w:szCs w:val="24"/>
        </w:rPr>
        <w:t xml:space="preserve">The cost to respondents was calculated using the Bureau of Labor Statistics (BLS) </w:t>
      </w:r>
      <w:r w:rsidRPr="00EC26A5">
        <w:rPr>
          <w:rFonts w:ascii="Times New Roman" w:hAnsi="Times New Roman"/>
          <w:snapToGrid/>
          <w:sz w:val="24"/>
          <w:szCs w:val="24"/>
        </w:rPr>
        <w:t xml:space="preserve">job code for Social and </w:t>
      </w:r>
      <w:r>
        <w:rPr>
          <w:rFonts w:ascii="Times New Roman" w:hAnsi="Times New Roman"/>
          <w:snapToGrid/>
          <w:sz w:val="24"/>
          <w:szCs w:val="24"/>
        </w:rPr>
        <w:t>Community Service Managers</w:t>
      </w:r>
      <w:r w:rsidRPr="00EC26A5">
        <w:rPr>
          <w:rFonts w:ascii="Times New Roman" w:hAnsi="Times New Roman"/>
          <w:snapToGrid/>
          <w:sz w:val="24"/>
          <w:szCs w:val="24"/>
        </w:rPr>
        <w:t xml:space="preserve"> [</w:t>
      </w:r>
      <w:r>
        <w:rPr>
          <w:rFonts w:ascii="Times New Roman" w:hAnsi="Times New Roman"/>
          <w:snapToGrid/>
          <w:sz w:val="24"/>
          <w:szCs w:val="24"/>
        </w:rPr>
        <w:t>11</w:t>
      </w:r>
      <w:r w:rsidRPr="00EC26A5">
        <w:rPr>
          <w:rFonts w:ascii="Times New Roman" w:hAnsi="Times New Roman"/>
          <w:snapToGrid/>
          <w:sz w:val="24"/>
          <w:szCs w:val="24"/>
        </w:rPr>
        <w:t>-</w:t>
      </w:r>
      <w:r>
        <w:rPr>
          <w:rFonts w:ascii="Times New Roman" w:hAnsi="Times New Roman"/>
          <w:snapToGrid/>
          <w:sz w:val="24"/>
          <w:szCs w:val="24"/>
        </w:rPr>
        <w:t>9151</w:t>
      </w:r>
      <w:r w:rsidRPr="00EC26A5">
        <w:rPr>
          <w:rFonts w:ascii="Times New Roman" w:hAnsi="Times New Roman"/>
          <w:snapToGrid/>
          <w:sz w:val="24"/>
          <w:szCs w:val="24"/>
        </w:rPr>
        <w:t>] and wage data from May 2</w:t>
      </w:r>
      <w:r>
        <w:rPr>
          <w:rFonts w:ascii="Times New Roman" w:hAnsi="Times New Roman"/>
          <w:snapToGrid/>
          <w:sz w:val="24"/>
          <w:szCs w:val="24"/>
        </w:rPr>
        <w:t>022</w:t>
      </w:r>
      <w:r w:rsidRPr="00EC26A5">
        <w:rPr>
          <w:rFonts w:ascii="Times New Roman" w:hAnsi="Times New Roman"/>
          <w:snapToGrid/>
          <w:sz w:val="24"/>
          <w:szCs w:val="24"/>
        </w:rPr>
        <w:t>, which is $</w:t>
      </w:r>
      <w:r>
        <w:rPr>
          <w:rFonts w:ascii="Times New Roman" w:hAnsi="Times New Roman"/>
          <w:snapToGrid/>
          <w:sz w:val="24"/>
          <w:szCs w:val="24"/>
        </w:rPr>
        <w:t>34.91</w:t>
      </w:r>
      <w:r w:rsidRPr="00EC26A5">
        <w:rPr>
          <w:rFonts w:ascii="Times New Roman" w:hAnsi="Times New Roman"/>
          <w:snapToGrid/>
          <w:sz w:val="24"/>
          <w:szCs w:val="24"/>
        </w:rPr>
        <w:t xml:space="preserve"> per hour. To account for fringe benefits and overhead the rate was multiplied by two which is $</w:t>
      </w:r>
      <w:r>
        <w:rPr>
          <w:rFonts w:ascii="Times New Roman" w:hAnsi="Times New Roman"/>
          <w:snapToGrid/>
          <w:sz w:val="24"/>
          <w:szCs w:val="24"/>
        </w:rPr>
        <w:t>69.82</w:t>
      </w:r>
      <w:r w:rsidRPr="00EC26A5">
        <w:rPr>
          <w:rFonts w:ascii="Times New Roman" w:hAnsi="Times New Roman"/>
          <w:snapToGrid/>
          <w:sz w:val="24"/>
          <w:szCs w:val="24"/>
        </w:rPr>
        <w:t xml:space="preserve">.  </w:t>
      </w:r>
    </w:p>
    <w:p w:rsidR="00E41127" w:rsidRPr="00EC26A5" w:rsidP="00E41127" w14:paraId="630B74CE" w14:textId="77777777">
      <w:pPr>
        <w:widowControl/>
        <w:ind w:left="360"/>
        <w:rPr>
          <w:rFonts w:ascii="Times New Roman" w:hAnsi="Times New Roman"/>
          <w:snapToGrid/>
          <w:sz w:val="32"/>
          <w:szCs w:val="24"/>
        </w:rPr>
      </w:pPr>
      <w:hyperlink r:id="rId10" w:history="1">
        <w:r w:rsidRPr="00EC26A5">
          <w:rPr>
            <w:rStyle w:val="Hyperlink"/>
            <w:rFonts w:ascii="Times New Roman" w:hAnsi="Times New Roman"/>
            <w:sz w:val="24"/>
          </w:rPr>
          <w:t>https://www.bls.gov/oes/current/oes_stru.htm</w:t>
        </w:r>
      </w:hyperlink>
      <w:r w:rsidRPr="00EC26A5">
        <w:rPr>
          <w:rFonts w:ascii="Times New Roman" w:hAnsi="Times New Roman"/>
          <w:sz w:val="24"/>
        </w:rPr>
        <w:t xml:space="preserve"> </w:t>
      </w:r>
    </w:p>
    <w:p w:rsidR="00E41127" w:rsidP="00DE529D" w14:paraId="5E4BA105" w14:textId="77777777">
      <w:pPr>
        <w:widowControl/>
        <w:ind w:left="360"/>
        <w:rPr>
          <w:rFonts w:ascii="Times New Roman" w:hAnsi="Times New Roman"/>
          <w:snapToGrid/>
          <w:sz w:val="24"/>
          <w:szCs w:val="24"/>
        </w:rPr>
      </w:pPr>
    </w:p>
    <w:p w:rsidR="00E41127" w:rsidRPr="004F7B95" w:rsidP="00DE529D" w14:paraId="798A167A" w14:textId="77777777">
      <w:pPr>
        <w:widowControl/>
        <w:ind w:left="360"/>
        <w:rPr>
          <w:rFonts w:ascii="Times New Roman" w:hAnsi="Times New Roman"/>
          <w:snapToGrid/>
          <w:sz w:val="24"/>
          <w:szCs w:val="24"/>
        </w:rPr>
      </w:pPr>
    </w:p>
    <w:tbl>
      <w:tblPr>
        <w:tblW w:w="100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31"/>
        <w:gridCol w:w="1494"/>
        <w:gridCol w:w="1530"/>
        <w:gridCol w:w="1447"/>
        <w:gridCol w:w="1485"/>
        <w:gridCol w:w="1083"/>
        <w:gridCol w:w="1216"/>
      </w:tblGrid>
      <w:tr w14:paraId="230FE56D" w14:textId="77777777" w:rsidTr="00D7272B">
        <w:tblPrEx>
          <w:tblW w:w="100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1831" w:type="dxa"/>
            <w:shd w:val="clear" w:color="auto" w:fill="BFBFBF"/>
            <w:vAlign w:val="center"/>
          </w:tcPr>
          <w:p w:rsidR="00E44607" w:rsidRPr="001E496B" w:rsidP="004110F5" w14:paraId="710C0652" w14:textId="77777777">
            <w:pPr>
              <w:jc w:val="center"/>
              <w:rPr>
                <w:rFonts w:ascii="Times New Roman" w:hAnsi="Times New Roman"/>
                <w:b/>
                <w:bCs/>
                <w:szCs w:val="24"/>
              </w:rPr>
            </w:pPr>
            <w:r w:rsidRPr="001E496B">
              <w:rPr>
                <w:rFonts w:ascii="Times New Roman" w:hAnsi="Times New Roman"/>
                <w:b/>
                <w:bCs/>
                <w:szCs w:val="24"/>
              </w:rPr>
              <w:t>Information Collection Title</w:t>
            </w:r>
          </w:p>
        </w:tc>
        <w:tc>
          <w:tcPr>
            <w:tcW w:w="1494" w:type="dxa"/>
            <w:shd w:val="clear" w:color="auto" w:fill="BFBFBF"/>
            <w:vAlign w:val="center"/>
          </w:tcPr>
          <w:p w:rsidR="00E44607" w:rsidRPr="001E496B" w:rsidP="004F7B95" w14:paraId="755B72E5" w14:textId="77777777">
            <w:pPr>
              <w:jc w:val="center"/>
              <w:rPr>
                <w:rFonts w:ascii="Times New Roman" w:hAnsi="Times New Roman"/>
                <w:b/>
                <w:bCs/>
                <w:szCs w:val="24"/>
              </w:rPr>
            </w:pPr>
            <w:r w:rsidRPr="001E496B">
              <w:rPr>
                <w:rFonts w:ascii="Times New Roman" w:hAnsi="Times New Roman"/>
                <w:b/>
                <w:bCs/>
                <w:szCs w:val="24"/>
              </w:rPr>
              <w:t>Total Number of Respondents</w:t>
            </w:r>
          </w:p>
        </w:tc>
        <w:tc>
          <w:tcPr>
            <w:tcW w:w="1530" w:type="dxa"/>
            <w:shd w:val="clear" w:color="auto" w:fill="BFBFBF"/>
            <w:vAlign w:val="center"/>
          </w:tcPr>
          <w:p w:rsidR="00E44607" w:rsidRPr="001E496B" w:rsidP="004F7B95" w14:paraId="5053A5D0" w14:textId="6F6557DB">
            <w:pPr>
              <w:jc w:val="center"/>
              <w:rPr>
                <w:rFonts w:ascii="Times New Roman" w:hAnsi="Times New Roman"/>
                <w:b/>
                <w:bCs/>
                <w:szCs w:val="24"/>
              </w:rPr>
            </w:pPr>
            <w:r w:rsidRPr="001E496B">
              <w:rPr>
                <w:rFonts w:ascii="Times New Roman" w:hAnsi="Times New Roman"/>
                <w:b/>
                <w:bCs/>
                <w:szCs w:val="24"/>
              </w:rPr>
              <w:t>Annual Number of Responses Per Respondent</w:t>
            </w:r>
          </w:p>
        </w:tc>
        <w:tc>
          <w:tcPr>
            <w:tcW w:w="1447" w:type="dxa"/>
            <w:shd w:val="clear" w:color="auto" w:fill="BFBFBF"/>
            <w:vAlign w:val="center"/>
          </w:tcPr>
          <w:p w:rsidR="00E44607" w:rsidRPr="001E496B" w:rsidP="004F7B95" w14:paraId="340D08AF" w14:textId="77777777">
            <w:pPr>
              <w:jc w:val="center"/>
              <w:rPr>
                <w:rFonts w:ascii="Times New Roman" w:hAnsi="Times New Roman"/>
                <w:b/>
                <w:bCs/>
                <w:szCs w:val="24"/>
              </w:rPr>
            </w:pPr>
            <w:r w:rsidRPr="001E496B">
              <w:rPr>
                <w:rFonts w:ascii="Times New Roman" w:hAnsi="Times New Roman"/>
                <w:b/>
                <w:bCs/>
                <w:szCs w:val="24"/>
              </w:rPr>
              <w:t>Average Burden Hours Per Response</w:t>
            </w:r>
          </w:p>
        </w:tc>
        <w:tc>
          <w:tcPr>
            <w:tcW w:w="1485" w:type="dxa"/>
            <w:shd w:val="clear" w:color="auto" w:fill="BFBFBF"/>
            <w:vAlign w:val="center"/>
          </w:tcPr>
          <w:p w:rsidR="00E44607" w:rsidRPr="001E496B" w:rsidP="004F7B95" w14:paraId="11CF5BF8" w14:textId="77777777">
            <w:pPr>
              <w:jc w:val="center"/>
              <w:rPr>
                <w:rFonts w:ascii="Times New Roman" w:hAnsi="Times New Roman"/>
                <w:b/>
                <w:bCs/>
                <w:szCs w:val="24"/>
              </w:rPr>
            </w:pPr>
          </w:p>
          <w:p w:rsidR="00E44607" w:rsidRPr="001E496B" w:rsidP="004F7B95" w14:paraId="3AE1FC11" w14:textId="3B5D9FFC">
            <w:pPr>
              <w:jc w:val="center"/>
              <w:rPr>
                <w:rFonts w:ascii="Times New Roman" w:hAnsi="Times New Roman"/>
                <w:b/>
                <w:bCs/>
                <w:szCs w:val="24"/>
              </w:rPr>
            </w:pPr>
            <w:r w:rsidRPr="001E496B">
              <w:rPr>
                <w:rFonts w:ascii="Times New Roman" w:hAnsi="Times New Roman"/>
                <w:b/>
                <w:bCs/>
                <w:szCs w:val="24"/>
              </w:rPr>
              <w:t>Annual Burden Hours</w:t>
            </w:r>
          </w:p>
        </w:tc>
        <w:tc>
          <w:tcPr>
            <w:tcW w:w="1083" w:type="dxa"/>
            <w:shd w:val="clear" w:color="auto" w:fill="BFBFBF"/>
            <w:vAlign w:val="center"/>
          </w:tcPr>
          <w:p w:rsidR="00E44607" w:rsidRPr="001E496B" w:rsidP="004F7B95" w14:paraId="0A8FF52A" w14:textId="77777777">
            <w:pPr>
              <w:jc w:val="center"/>
              <w:rPr>
                <w:rFonts w:ascii="Times New Roman" w:hAnsi="Times New Roman"/>
                <w:b/>
                <w:bCs/>
                <w:szCs w:val="24"/>
              </w:rPr>
            </w:pPr>
            <w:r w:rsidRPr="001E496B">
              <w:rPr>
                <w:rFonts w:ascii="Times New Roman" w:hAnsi="Times New Roman"/>
                <w:b/>
                <w:bCs/>
                <w:szCs w:val="24"/>
              </w:rPr>
              <w:t>Average Hourly Wage</w:t>
            </w:r>
          </w:p>
        </w:tc>
        <w:tc>
          <w:tcPr>
            <w:tcW w:w="1216" w:type="dxa"/>
            <w:shd w:val="clear" w:color="auto" w:fill="BFBFBF"/>
            <w:vAlign w:val="center"/>
          </w:tcPr>
          <w:p w:rsidR="00E44607" w:rsidRPr="001E496B" w:rsidP="004F7B95" w14:paraId="4FBD0FB1" w14:textId="77777777">
            <w:pPr>
              <w:jc w:val="center"/>
              <w:rPr>
                <w:rFonts w:ascii="Times New Roman" w:hAnsi="Times New Roman"/>
                <w:b/>
                <w:bCs/>
                <w:szCs w:val="24"/>
              </w:rPr>
            </w:pPr>
            <w:r w:rsidRPr="001E496B">
              <w:rPr>
                <w:rFonts w:ascii="Times New Roman" w:hAnsi="Times New Roman"/>
                <w:b/>
                <w:bCs/>
                <w:szCs w:val="24"/>
              </w:rPr>
              <w:t>Total Annual Cost</w:t>
            </w:r>
          </w:p>
        </w:tc>
      </w:tr>
      <w:tr w14:paraId="5140B154" w14:textId="77777777" w:rsidTr="00D7272B">
        <w:tblPrEx>
          <w:tblW w:w="10086" w:type="dxa"/>
          <w:jc w:val="center"/>
          <w:tblLook w:val="00A0"/>
        </w:tblPrEx>
        <w:trPr>
          <w:trHeight w:val="432"/>
          <w:jc w:val="center"/>
        </w:trPr>
        <w:tc>
          <w:tcPr>
            <w:tcW w:w="1831" w:type="dxa"/>
            <w:vAlign w:val="center"/>
          </w:tcPr>
          <w:p w:rsidR="00E44607" w:rsidRPr="00405C10" w:rsidP="004F7B95" w14:paraId="33E13E32" w14:textId="29DA6220">
            <w:pPr>
              <w:tabs>
                <w:tab w:val="center" w:pos="4320"/>
                <w:tab w:val="right" w:pos="8640"/>
              </w:tabs>
              <w:rPr>
                <w:rFonts w:ascii="Times New Roman" w:hAnsi="Times New Roman"/>
                <w:szCs w:val="24"/>
              </w:rPr>
            </w:pPr>
            <w:r>
              <w:rPr>
                <w:rFonts w:ascii="Times New Roman" w:hAnsi="Times New Roman"/>
                <w:szCs w:val="24"/>
              </w:rPr>
              <w:t>State Plans</w:t>
            </w:r>
          </w:p>
        </w:tc>
        <w:tc>
          <w:tcPr>
            <w:tcW w:w="1494" w:type="dxa"/>
            <w:vAlign w:val="center"/>
          </w:tcPr>
          <w:p w:rsidR="00E44607" w:rsidRPr="005D5267" w:rsidP="004F7B95" w14:paraId="631BD576" w14:textId="403EB349">
            <w:pPr>
              <w:tabs>
                <w:tab w:val="center" w:pos="4320"/>
                <w:tab w:val="right" w:pos="8640"/>
              </w:tabs>
              <w:jc w:val="center"/>
              <w:rPr>
                <w:rFonts w:ascii="Times New Roman" w:hAnsi="Times New Roman"/>
                <w:szCs w:val="24"/>
              </w:rPr>
            </w:pPr>
            <w:r w:rsidRPr="005D5267">
              <w:rPr>
                <w:rFonts w:ascii="Times New Roman" w:hAnsi="Times New Roman"/>
                <w:szCs w:val="24"/>
              </w:rPr>
              <w:t>52</w:t>
            </w:r>
          </w:p>
        </w:tc>
        <w:tc>
          <w:tcPr>
            <w:tcW w:w="1530" w:type="dxa"/>
            <w:vAlign w:val="center"/>
          </w:tcPr>
          <w:p w:rsidR="00E44607" w:rsidRPr="00405C10" w:rsidP="00A74A1E" w14:paraId="3DD8ECC7" w14:textId="795EFE0C">
            <w:pPr>
              <w:tabs>
                <w:tab w:val="center" w:pos="4320"/>
                <w:tab w:val="right" w:pos="8640"/>
              </w:tabs>
              <w:jc w:val="center"/>
              <w:rPr>
                <w:rFonts w:ascii="Times New Roman" w:hAnsi="Times New Roman"/>
                <w:szCs w:val="24"/>
              </w:rPr>
            </w:pPr>
            <w:r>
              <w:rPr>
                <w:rFonts w:ascii="Times New Roman" w:hAnsi="Times New Roman"/>
                <w:szCs w:val="24"/>
              </w:rPr>
              <w:t>1</w:t>
            </w:r>
          </w:p>
        </w:tc>
        <w:tc>
          <w:tcPr>
            <w:tcW w:w="1447" w:type="dxa"/>
            <w:vAlign w:val="center"/>
          </w:tcPr>
          <w:p w:rsidR="00E44607" w:rsidRPr="00405C10" w:rsidP="004F7B95" w14:paraId="46007120" w14:textId="6C8308DF">
            <w:pPr>
              <w:tabs>
                <w:tab w:val="center" w:pos="4320"/>
                <w:tab w:val="right" w:pos="8640"/>
              </w:tabs>
              <w:jc w:val="center"/>
              <w:rPr>
                <w:rFonts w:ascii="Times New Roman" w:hAnsi="Times New Roman"/>
                <w:szCs w:val="24"/>
              </w:rPr>
            </w:pPr>
            <w:r>
              <w:rPr>
                <w:rFonts w:ascii="Times New Roman" w:hAnsi="Times New Roman"/>
                <w:szCs w:val="24"/>
              </w:rPr>
              <w:t>40</w:t>
            </w:r>
          </w:p>
        </w:tc>
        <w:tc>
          <w:tcPr>
            <w:tcW w:w="1485" w:type="dxa"/>
            <w:vAlign w:val="center"/>
          </w:tcPr>
          <w:p w:rsidR="00E44607" w:rsidRPr="00405C10" w:rsidP="00A74A1E" w14:paraId="25670C73" w14:textId="41667866">
            <w:pPr>
              <w:tabs>
                <w:tab w:val="center" w:pos="4320"/>
                <w:tab w:val="right" w:pos="8640"/>
              </w:tabs>
              <w:jc w:val="center"/>
              <w:rPr>
                <w:rFonts w:ascii="Times New Roman" w:hAnsi="Times New Roman"/>
                <w:szCs w:val="24"/>
              </w:rPr>
            </w:pPr>
            <w:r>
              <w:rPr>
                <w:rFonts w:ascii="Times New Roman" w:hAnsi="Times New Roman"/>
                <w:szCs w:val="24"/>
              </w:rPr>
              <w:t>2,080</w:t>
            </w:r>
          </w:p>
        </w:tc>
        <w:tc>
          <w:tcPr>
            <w:tcW w:w="1083" w:type="dxa"/>
            <w:vAlign w:val="center"/>
          </w:tcPr>
          <w:p w:rsidR="00E44607" w:rsidRPr="00405C10" w:rsidP="004F7B95" w14:paraId="7D556C98" w14:textId="355ECCA3">
            <w:pPr>
              <w:tabs>
                <w:tab w:val="center" w:pos="4320"/>
                <w:tab w:val="right" w:pos="8640"/>
              </w:tabs>
              <w:jc w:val="center"/>
              <w:rPr>
                <w:rFonts w:ascii="Times New Roman" w:hAnsi="Times New Roman"/>
                <w:szCs w:val="24"/>
              </w:rPr>
            </w:pPr>
            <w:r>
              <w:rPr>
                <w:rFonts w:ascii="Times New Roman" w:hAnsi="Times New Roman"/>
                <w:szCs w:val="24"/>
              </w:rPr>
              <w:t>$69.82</w:t>
            </w:r>
          </w:p>
        </w:tc>
        <w:tc>
          <w:tcPr>
            <w:tcW w:w="1216" w:type="dxa"/>
            <w:vAlign w:val="center"/>
          </w:tcPr>
          <w:p w:rsidR="00E44607" w:rsidRPr="00405C10" w:rsidP="004F7B95" w14:paraId="5133F4BC" w14:textId="115BCAAF">
            <w:pPr>
              <w:tabs>
                <w:tab w:val="center" w:pos="4320"/>
                <w:tab w:val="right" w:pos="8640"/>
              </w:tabs>
              <w:jc w:val="center"/>
              <w:rPr>
                <w:rFonts w:ascii="Times New Roman" w:hAnsi="Times New Roman"/>
                <w:szCs w:val="24"/>
              </w:rPr>
            </w:pPr>
            <w:r>
              <w:rPr>
                <w:rFonts w:ascii="Times New Roman" w:hAnsi="Times New Roman"/>
                <w:szCs w:val="24"/>
              </w:rPr>
              <w:t>$145,225.60</w:t>
            </w:r>
          </w:p>
        </w:tc>
      </w:tr>
      <w:tr w14:paraId="66E3DD67" w14:textId="77777777" w:rsidTr="00D7272B">
        <w:tblPrEx>
          <w:tblW w:w="10086" w:type="dxa"/>
          <w:jc w:val="center"/>
          <w:tblLook w:val="00A0"/>
        </w:tblPrEx>
        <w:trPr>
          <w:trHeight w:val="432"/>
          <w:jc w:val="center"/>
        </w:trPr>
        <w:tc>
          <w:tcPr>
            <w:tcW w:w="1831" w:type="dxa"/>
            <w:vAlign w:val="center"/>
          </w:tcPr>
          <w:p w:rsidR="00E44607" w:rsidRPr="00405C10" w:rsidP="004F7B95" w14:paraId="39DFC5F9" w14:textId="5BF58ED2">
            <w:pPr>
              <w:tabs>
                <w:tab w:val="center" w:pos="4320"/>
                <w:tab w:val="right" w:pos="8640"/>
              </w:tabs>
              <w:rPr>
                <w:rFonts w:ascii="Times New Roman" w:hAnsi="Times New Roman"/>
                <w:szCs w:val="24"/>
              </w:rPr>
            </w:pPr>
            <w:r>
              <w:rPr>
                <w:rFonts w:ascii="Times New Roman" w:hAnsi="Times New Roman"/>
                <w:szCs w:val="24"/>
              </w:rPr>
              <w:t>Performance Progress Reports</w:t>
            </w:r>
          </w:p>
        </w:tc>
        <w:tc>
          <w:tcPr>
            <w:tcW w:w="1494" w:type="dxa"/>
            <w:vAlign w:val="center"/>
          </w:tcPr>
          <w:p w:rsidR="00E44607" w:rsidRPr="005D5267" w:rsidP="004F7B95" w14:paraId="58BAAEDB" w14:textId="00C5CB76">
            <w:pPr>
              <w:tabs>
                <w:tab w:val="center" w:pos="4320"/>
                <w:tab w:val="right" w:pos="8640"/>
              </w:tabs>
              <w:jc w:val="center"/>
              <w:rPr>
                <w:rFonts w:ascii="Times New Roman" w:hAnsi="Times New Roman"/>
                <w:szCs w:val="24"/>
              </w:rPr>
            </w:pPr>
            <w:r w:rsidRPr="005D5267">
              <w:rPr>
                <w:rFonts w:ascii="Times New Roman" w:hAnsi="Times New Roman"/>
                <w:szCs w:val="24"/>
              </w:rPr>
              <w:t>52</w:t>
            </w:r>
          </w:p>
        </w:tc>
        <w:tc>
          <w:tcPr>
            <w:tcW w:w="1530" w:type="dxa"/>
            <w:vAlign w:val="center"/>
          </w:tcPr>
          <w:p w:rsidR="00E44607" w:rsidRPr="00405C10" w:rsidP="00A74A1E" w14:paraId="0CD2F9C1" w14:textId="097B6575">
            <w:pPr>
              <w:tabs>
                <w:tab w:val="center" w:pos="4320"/>
                <w:tab w:val="right" w:pos="8640"/>
              </w:tabs>
              <w:jc w:val="center"/>
              <w:rPr>
                <w:rFonts w:ascii="Times New Roman" w:hAnsi="Times New Roman"/>
                <w:szCs w:val="24"/>
              </w:rPr>
            </w:pPr>
            <w:r>
              <w:rPr>
                <w:rFonts w:ascii="Times New Roman" w:hAnsi="Times New Roman"/>
                <w:szCs w:val="24"/>
              </w:rPr>
              <w:t>2</w:t>
            </w:r>
          </w:p>
        </w:tc>
        <w:tc>
          <w:tcPr>
            <w:tcW w:w="1447" w:type="dxa"/>
            <w:vAlign w:val="center"/>
          </w:tcPr>
          <w:p w:rsidR="00E44607" w:rsidRPr="00405C10" w:rsidP="004F7B95" w14:paraId="14C40DB3" w14:textId="766F5FA8">
            <w:pPr>
              <w:tabs>
                <w:tab w:val="center" w:pos="4320"/>
                <w:tab w:val="right" w:pos="8640"/>
              </w:tabs>
              <w:jc w:val="center"/>
              <w:rPr>
                <w:rFonts w:ascii="Times New Roman" w:hAnsi="Times New Roman"/>
                <w:szCs w:val="24"/>
              </w:rPr>
            </w:pPr>
            <w:r>
              <w:rPr>
                <w:rFonts w:ascii="Times New Roman" w:hAnsi="Times New Roman"/>
                <w:szCs w:val="24"/>
              </w:rPr>
              <w:t>16</w:t>
            </w:r>
          </w:p>
        </w:tc>
        <w:tc>
          <w:tcPr>
            <w:tcW w:w="1485" w:type="dxa"/>
            <w:vAlign w:val="center"/>
          </w:tcPr>
          <w:p w:rsidR="00E44607" w:rsidRPr="00405C10" w:rsidP="00A74A1E" w14:paraId="1557247F" w14:textId="41C5145A">
            <w:pPr>
              <w:tabs>
                <w:tab w:val="center" w:pos="4320"/>
                <w:tab w:val="right" w:pos="8640"/>
              </w:tabs>
              <w:jc w:val="center"/>
              <w:rPr>
                <w:rFonts w:ascii="Times New Roman" w:hAnsi="Times New Roman"/>
                <w:szCs w:val="24"/>
              </w:rPr>
            </w:pPr>
            <w:r>
              <w:rPr>
                <w:rFonts w:ascii="Times New Roman" w:hAnsi="Times New Roman"/>
                <w:szCs w:val="24"/>
              </w:rPr>
              <w:t>1,664</w:t>
            </w:r>
          </w:p>
        </w:tc>
        <w:tc>
          <w:tcPr>
            <w:tcW w:w="1083" w:type="dxa"/>
            <w:vAlign w:val="center"/>
          </w:tcPr>
          <w:p w:rsidR="00E44607" w:rsidRPr="00405C10" w:rsidP="004F7B95" w14:paraId="4B1FC7E5" w14:textId="6E32EB44">
            <w:pPr>
              <w:tabs>
                <w:tab w:val="center" w:pos="4320"/>
                <w:tab w:val="right" w:pos="8640"/>
              </w:tabs>
              <w:jc w:val="center"/>
              <w:rPr>
                <w:rFonts w:ascii="Times New Roman" w:hAnsi="Times New Roman"/>
                <w:szCs w:val="24"/>
              </w:rPr>
            </w:pPr>
            <w:r>
              <w:rPr>
                <w:rFonts w:ascii="Times New Roman" w:hAnsi="Times New Roman"/>
                <w:szCs w:val="24"/>
              </w:rPr>
              <w:t>$69.82</w:t>
            </w:r>
          </w:p>
        </w:tc>
        <w:tc>
          <w:tcPr>
            <w:tcW w:w="1216" w:type="dxa"/>
            <w:vAlign w:val="center"/>
          </w:tcPr>
          <w:p w:rsidR="00E44607" w:rsidRPr="00405C10" w:rsidP="004F7B95" w14:paraId="1D447908" w14:textId="4671492F">
            <w:pPr>
              <w:tabs>
                <w:tab w:val="center" w:pos="4320"/>
                <w:tab w:val="right" w:pos="8640"/>
              </w:tabs>
              <w:jc w:val="center"/>
              <w:rPr>
                <w:rFonts w:ascii="Times New Roman" w:hAnsi="Times New Roman"/>
                <w:szCs w:val="24"/>
              </w:rPr>
            </w:pPr>
            <w:r>
              <w:rPr>
                <w:rFonts w:ascii="Times New Roman" w:hAnsi="Times New Roman"/>
                <w:szCs w:val="24"/>
              </w:rPr>
              <w:t>$</w:t>
            </w:r>
            <w:r w:rsidR="005D5267">
              <w:rPr>
                <w:rFonts w:ascii="Times New Roman" w:hAnsi="Times New Roman"/>
                <w:szCs w:val="24"/>
              </w:rPr>
              <w:t>116,180.48</w:t>
            </w:r>
          </w:p>
        </w:tc>
      </w:tr>
      <w:tr w14:paraId="68F71184" w14:textId="77777777" w:rsidTr="00D7272B">
        <w:tblPrEx>
          <w:tblW w:w="10086" w:type="dxa"/>
          <w:jc w:val="center"/>
          <w:tblLook w:val="00A0"/>
        </w:tblPrEx>
        <w:trPr>
          <w:jc w:val="center"/>
        </w:trPr>
        <w:tc>
          <w:tcPr>
            <w:tcW w:w="6302" w:type="dxa"/>
            <w:gridSpan w:val="4"/>
            <w:vAlign w:val="center"/>
          </w:tcPr>
          <w:p w:rsidR="00957799" w:rsidRPr="00405C10" w:rsidP="004F7B95" w14:paraId="5ECE420A" w14:textId="77777777">
            <w:pPr>
              <w:tabs>
                <w:tab w:val="center" w:pos="4320"/>
                <w:tab w:val="right" w:pos="8640"/>
              </w:tabs>
              <w:jc w:val="right"/>
              <w:rPr>
                <w:rFonts w:ascii="Times New Roman" w:hAnsi="Times New Roman"/>
                <w:b/>
                <w:szCs w:val="24"/>
              </w:rPr>
            </w:pPr>
            <w:r w:rsidRPr="00405C10">
              <w:rPr>
                <w:rFonts w:ascii="Times New Roman" w:hAnsi="Times New Roman"/>
                <w:b/>
                <w:szCs w:val="24"/>
              </w:rPr>
              <w:t>Estimated Annual Burden T</w:t>
            </w:r>
            <w:r w:rsidRPr="00405C10" w:rsidR="00F210CA">
              <w:rPr>
                <w:rFonts w:ascii="Times New Roman" w:hAnsi="Times New Roman"/>
                <w:b/>
                <w:szCs w:val="24"/>
              </w:rPr>
              <w:t xml:space="preserve">otal: </w:t>
            </w:r>
            <w:r w:rsidRPr="00405C10">
              <w:rPr>
                <w:rFonts w:ascii="Times New Roman" w:hAnsi="Times New Roman"/>
                <w:b/>
                <w:szCs w:val="24"/>
              </w:rPr>
              <w:t xml:space="preserve"> </w:t>
            </w:r>
          </w:p>
        </w:tc>
        <w:tc>
          <w:tcPr>
            <w:tcW w:w="1485" w:type="dxa"/>
            <w:vAlign w:val="center"/>
          </w:tcPr>
          <w:p w:rsidR="00957799" w:rsidRPr="00405C10" w:rsidP="00A74A1E" w14:paraId="29C85233" w14:textId="30413484">
            <w:pPr>
              <w:tabs>
                <w:tab w:val="center" w:pos="4320"/>
                <w:tab w:val="right" w:pos="8640"/>
              </w:tabs>
              <w:jc w:val="center"/>
              <w:rPr>
                <w:rFonts w:ascii="Times New Roman" w:hAnsi="Times New Roman"/>
                <w:b/>
                <w:szCs w:val="24"/>
              </w:rPr>
            </w:pPr>
            <w:r>
              <w:rPr>
                <w:rFonts w:ascii="Times New Roman" w:hAnsi="Times New Roman"/>
                <w:b/>
                <w:szCs w:val="24"/>
              </w:rPr>
              <w:t>3,744</w:t>
            </w:r>
          </w:p>
        </w:tc>
        <w:tc>
          <w:tcPr>
            <w:tcW w:w="1083" w:type="dxa"/>
          </w:tcPr>
          <w:p w:rsidR="00957799" w:rsidRPr="00405C10" w:rsidP="004F7B95" w14:paraId="05063CD5" w14:textId="77777777">
            <w:pPr>
              <w:tabs>
                <w:tab w:val="center" w:pos="4320"/>
                <w:tab w:val="right" w:pos="8640"/>
              </w:tabs>
              <w:jc w:val="center"/>
              <w:rPr>
                <w:rFonts w:ascii="Times New Roman" w:hAnsi="Times New Roman"/>
                <w:b/>
                <w:szCs w:val="24"/>
              </w:rPr>
            </w:pPr>
            <w:r w:rsidRPr="00405C10">
              <w:rPr>
                <w:rFonts w:ascii="Times New Roman" w:hAnsi="Times New Roman"/>
                <w:b/>
                <w:szCs w:val="24"/>
              </w:rPr>
              <w:t xml:space="preserve">Estimated Annual Cost Total: </w:t>
            </w:r>
          </w:p>
        </w:tc>
        <w:tc>
          <w:tcPr>
            <w:tcW w:w="1216" w:type="dxa"/>
            <w:vAlign w:val="center"/>
          </w:tcPr>
          <w:p w:rsidR="00957799" w:rsidRPr="00405C10" w:rsidP="00A74A1E" w14:paraId="5B5863BC" w14:textId="03117109">
            <w:pPr>
              <w:tabs>
                <w:tab w:val="center" w:pos="4320"/>
                <w:tab w:val="right" w:pos="8640"/>
              </w:tabs>
              <w:jc w:val="center"/>
              <w:rPr>
                <w:rFonts w:ascii="Times New Roman" w:hAnsi="Times New Roman"/>
                <w:b/>
                <w:szCs w:val="24"/>
              </w:rPr>
            </w:pPr>
            <w:r>
              <w:rPr>
                <w:rFonts w:ascii="Times New Roman" w:hAnsi="Times New Roman"/>
                <w:b/>
                <w:szCs w:val="24"/>
              </w:rPr>
              <w:t>$</w:t>
            </w:r>
            <w:r w:rsidR="005D5267">
              <w:rPr>
                <w:rFonts w:ascii="Times New Roman" w:hAnsi="Times New Roman"/>
                <w:b/>
                <w:szCs w:val="24"/>
              </w:rPr>
              <w:t>261,406.08</w:t>
            </w:r>
          </w:p>
        </w:tc>
      </w:tr>
    </w:tbl>
    <w:p w:rsidR="00CB1A12" w:rsidP="00DE529D" w14:paraId="6967D635" w14:textId="77777777">
      <w:pPr>
        <w:widowControl/>
        <w:ind w:left="360"/>
        <w:rPr>
          <w:rFonts w:ascii="Times New Roman" w:hAnsi="Times New Roman"/>
          <w:snapToGrid/>
          <w:sz w:val="24"/>
          <w:szCs w:val="24"/>
        </w:rPr>
      </w:pPr>
    </w:p>
    <w:p w:rsidR="004602FE" w:rsidRPr="004F7B95" w:rsidP="00DE529D" w14:paraId="4F91A69D" w14:textId="77777777">
      <w:pPr>
        <w:widowControl/>
        <w:ind w:left="360"/>
        <w:rPr>
          <w:rFonts w:ascii="Times New Roman" w:hAnsi="Times New Roman"/>
          <w:snapToGrid/>
          <w:sz w:val="24"/>
          <w:szCs w:val="24"/>
        </w:rPr>
      </w:pPr>
    </w:p>
    <w:p w:rsidR="00D60543" w:rsidRPr="00075889" w:rsidP="00075889"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D60543" w:rsidP="00DE529D" w14:paraId="2FEAF873" w14:textId="2014AA87">
      <w:pPr>
        <w:widowControl/>
        <w:ind w:left="360"/>
        <w:rPr>
          <w:rFonts w:ascii="Times New Roman" w:hAnsi="Times New Roman"/>
          <w:snapToGrid/>
          <w:sz w:val="24"/>
          <w:szCs w:val="24"/>
        </w:rPr>
      </w:pPr>
      <w:r>
        <w:rPr>
          <w:rFonts w:ascii="Times New Roman" w:hAnsi="Times New Roman"/>
          <w:snapToGrid/>
          <w:sz w:val="24"/>
          <w:szCs w:val="24"/>
        </w:rPr>
        <w:t>There are no other costs to respondents and record keepers.</w:t>
      </w:r>
    </w:p>
    <w:p w:rsidR="00D60543" w:rsidP="00DE529D" w14:paraId="00DF26E5" w14:textId="77777777">
      <w:pPr>
        <w:widowControl/>
        <w:ind w:left="360"/>
        <w:rPr>
          <w:rFonts w:ascii="Times New Roman" w:hAnsi="Times New Roman"/>
          <w:snapToGrid/>
          <w:sz w:val="24"/>
          <w:szCs w:val="24"/>
        </w:rPr>
      </w:pPr>
    </w:p>
    <w:p w:rsidR="00D60543" w:rsidP="00DE529D" w14:paraId="0BE3C51C" w14:textId="77777777">
      <w:pPr>
        <w:widowControl/>
        <w:ind w:left="360"/>
        <w:rPr>
          <w:rFonts w:ascii="Times New Roman" w:hAnsi="Times New Roman"/>
          <w:snapToGrid/>
          <w:sz w:val="24"/>
          <w:szCs w:val="24"/>
        </w:rPr>
      </w:pPr>
    </w:p>
    <w:p w:rsidR="002C3C4F" w:rsidRPr="00075889" w:rsidP="00817E2B"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A</w:t>
      </w:r>
      <w:r w:rsidRPr="00075889">
        <w:rPr>
          <w:rFonts w:ascii="Times New Roman" w:hAnsi="Times New Roman"/>
          <w:b/>
          <w:snapToGrid/>
          <w:sz w:val="24"/>
          <w:szCs w:val="24"/>
        </w:rPr>
        <w:t xml:space="preserve">nnualized Cost to the Federal Government </w:t>
      </w:r>
    </w:p>
    <w:p w:rsidR="001D0600" w:rsidRPr="001D0600" w:rsidP="001D0600" w14:paraId="3A8CF6C6" w14:textId="6F3343E3">
      <w:pPr>
        <w:widowControl/>
        <w:ind w:left="360"/>
        <w:rPr>
          <w:rFonts w:ascii="Times New Roman" w:hAnsi="Times New Roman"/>
          <w:snapToGrid/>
          <w:sz w:val="24"/>
          <w:szCs w:val="24"/>
        </w:rPr>
      </w:pPr>
      <w:r w:rsidRPr="001D0600">
        <w:rPr>
          <w:rFonts w:ascii="Times New Roman" w:hAnsi="Times New Roman"/>
          <w:snapToGrid/>
          <w:sz w:val="24"/>
          <w:szCs w:val="24"/>
        </w:rPr>
        <w:t xml:space="preserve">The anticipated average costs associated </w:t>
      </w:r>
      <w:r w:rsidR="00AB22B3">
        <w:rPr>
          <w:rFonts w:ascii="Times New Roman" w:hAnsi="Times New Roman"/>
          <w:snapToGrid/>
          <w:sz w:val="24"/>
          <w:szCs w:val="24"/>
        </w:rPr>
        <w:t xml:space="preserve">for nine Federal Project Officers </w:t>
      </w:r>
      <w:r w:rsidR="00E47EE4">
        <w:rPr>
          <w:rFonts w:ascii="Times New Roman" w:hAnsi="Times New Roman"/>
          <w:snapToGrid/>
          <w:sz w:val="24"/>
          <w:szCs w:val="24"/>
        </w:rPr>
        <w:t xml:space="preserve">(FPOs) </w:t>
      </w:r>
      <w:r w:rsidR="00AB22B3">
        <w:rPr>
          <w:rFonts w:ascii="Times New Roman" w:hAnsi="Times New Roman"/>
          <w:snapToGrid/>
          <w:sz w:val="24"/>
          <w:szCs w:val="24"/>
        </w:rPr>
        <w:t xml:space="preserve">to </w:t>
      </w:r>
      <w:r w:rsidRPr="001D0600">
        <w:rPr>
          <w:rFonts w:ascii="Times New Roman" w:hAnsi="Times New Roman"/>
          <w:snapToGrid/>
          <w:sz w:val="24"/>
          <w:szCs w:val="24"/>
        </w:rPr>
        <w:t>receiv</w:t>
      </w:r>
      <w:r w:rsidR="00AB22B3">
        <w:rPr>
          <w:rFonts w:ascii="Times New Roman" w:hAnsi="Times New Roman"/>
          <w:snapToGrid/>
          <w:sz w:val="24"/>
          <w:szCs w:val="24"/>
        </w:rPr>
        <w:t>e</w:t>
      </w:r>
      <w:r w:rsidRPr="001D0600">
        <w:rPr>
          <w:rFonts w:ascii="Times New Roman" w:hAnsi="Times New Roman"/>
          <w:snapToGrid/>
          <w:sz w:val="24"/>
          <w:szCs w:val="24"/>
        </w:rPr>
        <w:t>, review, and approv</w:t>
      </w:r>
      <w:r w:rsidR="00AB22B3">
        <w:rPr>
          <w:rFonts w:ascii="Times New Roman" w:hAnsi="Times New Roman"/>
          <w:snapToGrid/>
          <w:sz w:val="24"/>
          <w:szCs w:val="24"/>
        </w:rPr>
        <w:t>e</w:t>
      </w:r>
      <w:r w:rsidRPr="001D0600">
        <w:rPr>
          <w:rFonts w:ascii="Times New Roman" w:hAnsi="Times New Roman"/>
          <w:snapToGrid/>
          <w:sz w:val="24"/>
          <w:szCs w:val="24"/>
        </w:rPr>
        <w:t xml:space="preserve"> the </w:t>
      </w:r>
      <w:r>
        <w:rPr>
          <w:rFonts w:ascii="Times New Roman" w:hAnsi="Times New Roman"/>
          <w:snapToGrid/>
          <w:sz w:val="24"/>
          <w:szCs w:val="24"/>
        </w:rPr>
        <w:t>S</w:t>
      </w:r>
      <w:r w:rsidRPr="001D0600">
        <w:rPr>
          <w:rFonts w:ascii="Times New Roman" w:hAnsi="Times New Roman"/>
          <w:snapToGrid/>
          <w:sz w:val="24"/>
          <w:szCs w:val="24"/>
        </w:rPr>
        <w:t xml:space="preserve">tate </w:t>
      </w:r>
      <w:r>
        <w:rPr>
          <w:rFonts w:ascii="Times New Roman" w:hAnsi="Times New Roman"/>
          <w:snapToGrid/>
          <w:sz w:val="24"/>
          <w:szCs w:val="24"/>
        </w:rPr>
        <w:t>P</w:t>
      </w:r>
      <w:r w:rsidRPr="001D0600">
        <w:rPr>
          <w:rFonts w:ascii="Times New Roman" w:hAnsi="Times New Roman"/>
          <w:snapToGrid/>
          <w:sz w:val="24"/>
          <w:szCs w:val="24"/>
        </w:rPr>
        <w:t xml:space="preserve">lans over a </w:t>
      </w:r>
      <w:r w:rsidRPr="001D0600" w:rsidR="004969C8">
        <w:rPr>
          <w:rFonts w:ascii="Times New Roman" w:hAnsi="Times New Roman"/>
          <w:snapToGrid/>
          <w:sz w:val="24"/>
          <w:szCs w:val="24"/>
        </w:rPr>
        <w:t>three-year</w:t>
      </w:r>
      <w:r w:rsidRPr="001D0600">
        <w:rPr>
          <w:rFonts w:ascii="Times New Roman" w:hAnsi="Times New Roman"/>
          <w:snapToGrid/>
          <w:sz w:val="24"/>
          <w:szCs w:val="24"/>
        </w:rPr>
        <w:t xml:space="preserve"> period is $</w:t>
      </w:r>
      <w:r w:rsidR="004969C8">
        <w:rPr>
          <w:rFonts w:ascii="Times New Roman" w:hAnsi="Times New Roman"/>
          <w:snapToGrid/>
          <w:sz w:val="24"/>
          <w:szCs w:val="24"/>
        </w:rPr>
        <w:t>105,104.79</w:t>
      </w:r>
      <w:r w:rsidRPr="001D0600">
        <w:rPr>
          <w:rFonts w:ascii="Times New Roman" w:hAnsi="Times New Roman"/>
          <w:snapToGrid/>
          <w:sz w:val="24"/>
          <w:szCs w:val="24"/>
        </w:rPr>
        <w:t xml:space="preserve">.  The anticipated average costs associated </w:t>
      </w:r>
      <w:r w:rsidR="00E47EE4">
        <w:rPr>
          <w:rFonts w:ascii="Times New Roman" w:hAnsi="Times New Roman"/>
          <w:snapToGrid/>
          <w:sz w:val="24"/>
          <w:szCs w:val="24"/>
        </w:rPr>
        <w:t>for eleven FPOs to</w:t>
      </w:r>
      <w:r w:rsidRPr="001D0600">
        <w:rPr>
          <w:rFonts w:ascii="Times New Roman" w:hAnsi="Times New Roman"/>
          <w:snapToGrid/>
          <w:sz w:val="24"/>
          <w:szCs w:val="24"/>
        </w:rPr>
        <w:t xml:space="preserve"> monitor activities and document efforts </w:t>
      </w:r>
      <w:r w:rsidR="005C1E47">
        <w:rPr>
          <w:rFonts w:ascii="Times New Roman" w:hAnsi="Times New Roman"/>
          <w:snapToGrid/>
          <w:sz w:val="24"/>
          <w:szCs w:val="24"/>
        </w:rPr>
        <w:t xml:space="preserve">grant recipients used to </w:t>
      </w:r>
      <w:r w:rsidRPr="001D0600">
        <w:rPr>
          <w:rFonts w:ascii="Times New Roman" w:hAnsi="Times New Roman"/>
          <w:snapToGrid/>
          <w:sz w:val="24"/>
          <w:szCs w:val="24"/>
        </w:rPr>
        <w:t xml:space="preserve">achieve project goals </w:t>
      </w:r>
      <w:r w:rsidR="005C1E47">
        <w:rPr>
          <w:rFonts w:ascii="Times New Roman" w:hAnsi="Times New Roman"/>
          <w:snapToGrid/>
          <w:sz w:val="24"/>
          <w:szCs w:val="24"/>
        </w:rPr>
        <w:t xml:space="preserve">included in the </w:t>
      </w:r>
      <w:r w:rsidR="004969C8">
        <w:rPr>
          <w:rFonts w:ascii="Times New Roman" w:hAnsi="Times New Roman"/>
          <w:snapToGrid/>
          <w:sz w:val="24"/>
          <w:szCs w:val="24"/>
        </w:rPr>
        <w:t>PPRs</w:t>
      </w:r>
      <w:r w:rsidRPr="001D0600">
        <w:rPr>
          <w:rFonts w:ascii="Times New Roman" w:hAnsi="Times New Roman"/>
          <w:snapToGrid/>
          <w:sz w:val="24"/>
          <w:szCs w:val="24"/>
        </w:rPr>
        <w:t xml:space="preserve"> is $</w:t>
      </w:r>
      <w:r w:rsidR="00E47EE4">
        <w:rPr>
          <w:rFonts w:ascii="Times New Roman" w:hAnsi="Times New Roman"/>
          <w:snapToGrid/>
          <w:sz w:val="24"/>
          <w:szCs w:val="24"/>
        </w:rPr>
        <w:t>385,384.23</w:t>
      </w:r>
      <w:r w:rsidRPr="001D0600">
        <w:rPr>
          <w:rFonts w:ascii="Times New Roman" w:hAnsi="Times New Roman"/>
          <w:snapToGrid/>
          <w:sz w:val="24"/>
          <w:szCs w:val="24"/>
        </w:rPr>
        <w:t xml:space="preserve"> over a </w:t>
      </w:r>
      <w:r w:rsidRPr="001D0600" w:rsidR="00862812">
        <w:rPr>
          <w:rFonts w:ascii="Times New Roman" w:hAnsi="Times New Roman"/>
          <w:snapToGrid/>
          <w:sz w:val="24"/>
          <w:szCs w:val="24"/>
        </w:rPr>
        <w:t>three-year</w:t>
      </w:r>
      <w:r w:rsidRPr="001D0600">
        <w:rPr>
          <w:rFonts w:ascii="Times New Roman" w:hAnsi="Times New Roman"/>
          <w:snapToGrid/>
          <w:sz w:val="24"/>
          <w:szCs w:val="24"/>
        </w:rPr>
        <w:t xml:space="preserve"> period.</w:t>
      </w:r>
      <w:r w:rsidR="00862812">
        <w:rPr>
          <w:rFonts w:ascii="Times New Roman" w:hAnsi="Times New Roman"/>
          <w:snapToGrid/>
          <w:sz w:val="24"/>
          <w:szCs w:val="24"/>
        </w:rPr>
        <w:t xml:space="preserve"> </w:t>
      </w:r>
      <w:r w:rsidRPr="001D0600">
        <w:rPr>
          <w:rFonts w:ascii="Times New Roman" w:hAnsi="Times New Roman"/>
          <w:snapToGrid/>
          <w:sz w:val="24"/>
          <w:szCs w:val="24"/>
        </w:rPr>
        <w:t xml:space="preserve"> </w:t>
      </w:r>
      <w:r w:rsidR="00A14D80">
        <w:rPr>
          <w:rFonts w:ascii="Times New Roman" w:hAnsi="Times New Roman"/>
          <w:snapToGrid/>
          <w:sz w:val="24"/>
          <w:szCs w:val="24"/>
        </w:rPr>
        <w:t xml:space="preserve">The total estimated cost over a three-year period is $490,489. </w:t>
      </w:r>
      <w:r w:rsidR="00B151B9">
        <w:rPr>
          <w:rFonts w:ascii="Times New Roman" w:hAnsi="Times New Roman"/>
          <w:snapToGrid/>
          <w:sz w:val="24"/>
          <w:szCs w:val="24"/>
        </w:rPr>
        <w:t xml:space="preserve"> </w:t>
      </w:r>
      <w:r w:rsidR="00A14D80">
        <w:rPr>
          <w:rFonts w:ascii="Times New Roman" w:hAnsi="Times New Roman"/>
          <w:snapToGrid/>
          <w:sz w:val="24"/>
          <w:szCs w:val="24"/>
        </w:rPr>
        <w:t>Annualized over three years, the average annual cost is $163,496.</w:t>
      </w:r>
    </w:p>
    <w:p w:rsidR="00405C10" w:rsidP="00DE529D" w14:paraId="1C0CE52C" w14:textId="77777777">
      <w:pPr>
        <w:widowControl/>
        <w:ind w:left="360"/>
        <w:rPr>
          <w:rFonts w:ascii="Times New Roman" w:hAnsi="Times New Roman"/>
          <w:snapToGrid/>
          <w:sz w:val="24"/>
          <w:szCs w:val="24"/>
        </w:rPr>
      </w:pPr>
    </w:p>
    <w:p w:rsidR="00DE529D" w:rsidRPr="004F7B95" w:rsidP="00DE529D" w14:paraId="35C07DCF" w14:textId="77777777">
      <w:pPr>
        <w:widowControl/>
        <w:ind w:left="360"/>
        <w:rPr>
          <w:rFonts w:ascii="Times New Roman" w:hAnsi="Times New Roman"/>
          <w:snapToGrid/>
          <w:sz w:val="24"/>
          <w:szCs w:val="24"/>
        </w:rPr>
      </w:pPr>
    </w:p>
    <w:p w:rsidR="002C3C4F" w:rsidRPr="00817E2B" w:rsidP="00817E2B"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00A14D80" w:rsidP="004F7B95" w14:paraId="02AB9256" w14:textId="77777777">
      <w:pPr>
        <w:widowControl/>
        <w:ind w:left="360"/>
        <w:rPr>
          <w:rFonts w:ascii="Times New Roman" w:hAnsi="Times New Roman"/>
          <w:sz w:val="24"/>
          <w:szCs w:val="24"/>
        </w:rPr>
      </w:pPr>
      <w:r>
        <w:rPr>
          <w:rFonts w:ascii="Times New Roman" w:hAnsi="Times New Roman"/>
          <w:sz w:val="24"/>
          <w:szCs w:val="24"/>
        </w:rPr>
        <w:t xml:space="preserve">The previous approval included the application for State PREP. These have been completed and there are no requests for applications planned over the next three years. </w:t>
      </w:r>
    </w:p>
    <w:p w:rsidR="00A14D80" w:rsidP="004F7B95" w14:paraId="2833D67E" w14:textId="77777777">
      <w:pPr>
        <w:widowControl/>
        <w:ind w:left="360"/>
        <w:rPr>
          <w:rFonts w:ascii="Times New Roman" w:hAnsi="Times New Roman"/>
          <w:sz w:val="24"/>
          <w:szCs w:val="24"/>
        </w:rPr>
      </w:pPr>
    </w:p>
    <w:p w:rsidR="00A14D80" w:rsidP="004F7B95" w14:paraId="673187B9" w14:textId="77777777">
      <w:pPr>
        <w:widowControl/>
        <w:ind w:left="360"/>
        <w:rPr>
          <w:rFonts w:ascii="Times New Roman" w:hAnsi="Times New Roman"/>
          <w:sz w:val="24"/>
          <w:szCs w:val="24"/>
        </w:rPr>
      </w:pPr>
      <w:r w:rsidRPr="00C82910">
        <w:rPr>
          <w:rFonts w:ascii="Times New Roman" w:hAnsi="Times New Roman"/>
          <w:sz w:val="24"/>
          <w:szCs w:val="24"/>
        </w:rPr>
        <w:t xml:space="preserve">There are no changes to the </w:t>
      </w:r>
      <w:r w:rsidRPr="00C82910" w:rsidR="00B93823">
        <w:rPr>
          <w:rFonts w:ascii="Times New Roman" w:hAnsi="Times New Roman"/>
          <w:sz w:val="24"/>
          <w:szCs w:val="24"/>
        </w:rPr>
        <w:t xml:space="preserve">State PREP State Plan </w:t>
      </w:r>
      <w:r w:rsidRPr="00C82910">
        <w:rPr>
          <w:rFonts w:ascii="Times New Roman" w:hAnsi="Times New Roman"/>
          <w:sz w:val="24"/>
          <w:szCs w:val="24"/>
        </w:rPr>
        <w:t>information collection since the last OMB approval.</w:t>
      </w:r>
      <w:r w:rsidRPr="00C82910" w:rsidR="00C82910">
        <w:rPr>
          <w:rFonts w:ascii="Times New Roman" w:hAnsi="Times New Roman"/>
          <w:sz w:val="24"/>
          <w:szCs w:val="24"/>
        </w:rPr>
        <w:t xml:space="preserve">  </w:t>
      </w:r>
    </w:p>
    <w:p w:rsidR="00A14D80" w:rsidP="004F7B95" w14:paraId="043B9B49" w14:textId="77777777">
      <w:pPr>
        <w:widowControl/>
        <w:ind w:left="360"/>
        <w:rPr>
          <w:rFonts w:ascii="Times New Roman" w:hAnsi="Times New Roman"/>
          <w:sz w:val="24"/>
          <w:szCs w:val="24"/>
        </w:rPr>
      </w:pPr>
    </w:p>
    <w:p w:rsidR="00A14D80" w:rsidP="004F7B95" w14:paraId="73F064CA" w14:textId="2506EF79">
      <w:pPr>
        <w:widowControl/>
        <w:ind w:left="360"/>
        <w:rPr>
          <w:rFonts w:ascii="Times New Roman" w:hAnsi="Times New Roman"/>
          <w:iCs/>
          <w:sz w:val="24"/>
          <w:szCs w:val="24"/>
        </w:rPr>
      </w:pPr>
      <w:r w:rsidRPr="00C82910">
        <w:rPr>
          <w:rFonts w:ascii="Times New Roman" w:hAnsi="Times New Roman"/>
          <w:sz w:val="24"/>
          <w:szCs w:val="24"/>
        </w:rPr>
        <w:t xml:space="preserve">Changes are proposed to the </w:t>
      </w:r>
      <w:r>
        <w:rPr>
          <w:rFonts w:ascii="Times New Roman" w:hAnsi="Times New Roman"/>
          <w:sz w:val="24"/>
          <w:szCs w:val="24"/>
        </w:rPr>
        <w:t>PPRs</w:t>
      </w:r>
      <w:r w:rsidRPr="00C82910">
        <w:rPr>
          <w:rFonts w:ascii="Times New Roman" w:hAnsi="Times New Roman"/>
          <w:sz w:val="24"/>
          <w:szCs w:val="24"/>
        </w:rPr>
        <w:t xml:space="preserve"> and include </w:t>
      </w:r>
      <w:r w:rsidRPr="00C82910">
        <w:rPr>
          <w:rFonts w:ascii="Times New Roman" w:hAnsi="Times New Roman"/>
          <w:iCs/>
          <w:sz w:val="24"/>
          <w:szCs w:val="24"/>
        </w:rPr>
        <w:t>the addition of information related to equity activities and strategies to mitigate challenges.</w:t>
      </w:r>
      <w:r>
        <w:rPr>
          <w:rFonts w:ascii="Times New Roman" w:hAnsi="Times New Roman"/>
          <w:iCs/>
          <w:sz w:val="24"/>
          <w:szCs w:val="24"/>
        </w:rPr>
        <w:t xml:space="preserve"> </w:t>
      </w:r>
      <w:r w:rsidR="0004486E">
        <w:rPr>
          <w:rFonts w:ascii="Times New Roman" w:hAnsi="Times New Roman"/>
          <w:iCs/>
          <w:sz w:val="24"/>
          <w:szCs w:val="24"/>
        </w:rPr>
        <w:t xml:space="preserve"> </w:t>
      </w:r>
      <w:r>
        <w:rPr>
          <w:rFonts w:ascii="Times New Roman" w:hAnsi="Times New Roman"/>
          <w:iCs/>
          <w:sz w:val="24"/>
          <w:szCs w:val="24"/>
        </w:rPr>
        <w:t>The additional requests in the PPR</w:t>
      </w:r>
      <w:r w:rsidR="006A2487">
        <w:rPr>
          <w:rFonts w:ascii="Times New Roman" w:hAnsi="Times New Roman"/>
          <w:iCs/>
          <w:sz w:val="24"/>
          <w:szCs w:val="24"/>
        </w:rPr>
        <w:t>s</w:t>
      </w:r>
      <w:r>
        <w:rPr>
          <w:rFonts w:ascii="Times New Roman" w:hAnsi="Times New Roman"/>
          <w:iCs/>
          <w:sz w:val="24"/>
          <w:szCs w:val="24"/>
        </w:rPr>
        <w:t xml:space="preserve"> </w:t>
      </w:r>
      <w:r w:rsidR="005D5267">
        <w:rPr>
          <w:rFonts w:ascii="Times New Roman" w:hAnsi="Times New Roman"/>
          <w:iCs/>
          <w:sz w:val="24"/>
          <w:szCs w:val="24"/>
        </w:rPr>
        <w:t xml:space="preserve">are not expected to change the estimated average time to complete a PPR. </w:t>
      </w:r>
    </w:p>
    <w:p w:rsidR="00A14D80" w:rsidP="004F7B95" w14:paraId="63FE5117" w14:textId="77777777">
      <w:pPr>
        <w:widowControl/>
        <w:ind w:left="360"/>
        <w:rPr>
          <w:rFonts w:ascii="Times New Roman" w:hAnsi="Times New Roman"/>
          <w:iCs/>
          <w:sz w:val="24"/>
          <w:szCs w:val="24"/>
        </w:rPr>
      </w:pPr>
    </w:p>
    <w:p w:rsidR="00A04EF3" w:rsidRPr="00C82910" w:rsidP="004F7B95" w14:paraId="10D6D58F" w14:textId="7CF837FE">
      <w:pPr>
        <w:widowControl/>
        <w:ind w:left="360"/>
        <w:rPr>
          <w:rFonts w:ascii="Times New Roman" w:hAnsi="Times New Roman"/>
          <w:snapToGrid/>
          <w:sz w:val="24"/>
          <w:szCs w:val="24"/>
        </w:rPr>
      </w:pPr>
      <w:r>
        <w:rPr>
          <w:rFonts w:ascii="Times New Roman" w:hAnsi="Times New Roman"/>
          <w:iCs/>
          <w:sz w:val="24"/>
          <w:szCs w:val="24"/>
        </w:rPr>
        <w:t xml:space="preserve">Finally, we have updated the number of respondents to reflect the current number of </w:t>
      </w:r>
      <w:r w:rsidRPr="008241D3">
        <w:rPr>
          <w:rFonts w:ascii="Times New Roman" w:hAnsi="Times New Roman"/>
          <w:sz w:val="24"/>
          <w:szCs w:val="24"/>
        </w:rPr>
        <w:t>funded State PREP</w:t>
      </w:r>
      <w:r>
        <w:rPr>
          <w:rFonts w:ascii="Times New Roman" w:hAnsi="Times New Roman"/>
          <w:sz w:val="24"/>
          <w:szCs w:val="24"/>
        </w:rPr>
        <w:t xml:space="preserve"> programs.</w:t>
      </w:r>
    </w:p>
    <w:p w:rsidR="00D60543" w:rsidP="004F7B95" w14:paraId="215A8A91" w14:textId="77777777">
      <w:pPr>
        <w:widowControl/>
        <w:ind w:left="360"/>
        <w:rPr>
          <w:rFonts w:ascii="Times New Roman" w:hAnsi="Times New Roman"/>
          <w:snapToGrid/>
          <w:sz w:val="24"/>
          <w:szCs w:val="24"/>
        </w:rPr>
      </w:pPr>
    </w:p>
    <w:p w:rsidR="00D60543" w:rsidRPr="004F7B95" w:rsidP="004F7B95" w14:paraId="2982928D" w14:textId="77777777">
      <w:pPr>
        <w:widowControl/>
        <w:ind w:left="360"/>
        <w:rPr>
          <w:rFonts w:ascii="Times New Roman" w:hAnsi="Times New Roman"/>
          <w:snapToGrid/>
          <w:sz w:val="24"/>
          <w:szCs w:val="24"/>
        </w:rPr>
      </w:pPr>
    </w:p>
    <w:p w:rsidR="002C3C4F" w:rsidRPr="00817E2B" w:rsidP="00817E2B"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7935D5" w:rsidP="00DE529D" w14:paraId="6AAAC2FE" w14:textId="73EAE27F">
      <w:pPr>
        <w:widowControl/>
        <w:ind w:left="360"/>
        <w:rPr>
          <w:rFonts w:ascii="Times New Roman" w:hAnsi="Times New Roman"/>
          <w:snapToGrid/>
          <w:sz w:val="24"/>
          <w:szCs w:val="24"/>
        </w:rPr>
      </w:pPr>
      <w:r>
        <w:rPr>
          <w:rFonts w:ascii="Times New Roman" w:hAnsi="Times New Roman"/>
          <w:snapToGrid/>
          <w:sz w:val="24"/>
          <w:szCs w:val="24"/>
        </w:rPr>
        <w:t xml:space="preserve">There is no need or requirement to tabulate and publish the PREP State documents.  Information will be used for FYSB’s internal purposes. </w:t>
      </w:r>
    </w:p>
    <w:p w:rsidR="00D60543" w:rsidP="00DE529D" w14:paraId="1B626A1E" w14:textId="77777777">
      <w:pPr>
        <w:widowControl/>
        <w:ind w:left="360"/>
        <w:rPr>
          <w:rFonts w:ascii="Times New Roman" w:hAnsi="Times New Roman"/>
          <w:snapToGrid/>
          <w:sz w:val="24"/>
          <w:szCs w:val="24"/>
        </w:rPr>
      </w:pPr>
    </w:p>
    <w:p w:rsidR="007935D5" w:rsidRPr="004F7B95" w:rsidP="00DE529D" w14:paraId="298DD100" w14:textId="77777777">
      <w:pPr>
        <w:widowControl/>
        <w:ind w:left="360"/>
        <w:rPr>
          <w:rFonts w:ascii="Times New Roman" w:hAnsi="Times New Roman"/>
          <w:snapToGrid/>
          <w:sz w:val="24"/>
          <w:szCs w:val="24"/>
        </w:rPr>
      </w:pPr>
    </w:p>
    <w:p w:rsidR="002C3C4F" w:rsidRPr="00817E2B" w:rsidP="00817E2B"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A04EF3" w:rsidP="00DE529D" w14:paraId="14F40E7C" w14:textId="2D3E8B23">
      <w:pPr>
        <w:widowControl/>
        <w:ind w:left="360" w:hanging="90"/>
        <w:rPr>
          <w:rFonts w:ascii="Times New Roman" w:hAnsi="Times New Roman"/>
          <w:snapToGrid/>
          <w:sz w:val="24"/>
          <w:szCs w:val="24"/>
        </w:rPr>
      </w:pPr>
      <w:r>
        <w:rPr>
          <w:rFonts w:ascii="Times New Roman" w:hAnsi="Times New Roman"/>
          <w:snapToGrid/>
          <w:sz w:val="24"/>
          <w:szCs w:val="24"/>
        </w:rPr>
        <w:t>The OMB expiration date will be displayed on the first page of each instrument</w:t>
      </w:r>
      <w:r w:rsidR="00772A93">
        <w:rPr>
          <w:rFonts w:ascii="Times New Roman" w:hAnsi="Times New Roman"/>
          <w:snapToGrid/>
          <w:sz w:val="24"/>
          <w:szCs w:val="24"/>
        </w:rPr>
        <w:t>.</w:t>
      </w:r>
    </w:p>
    <w:p w:rsidR="00D60543" w:rsidP="00DE529D" w14:paraId="71DC6EEE" w14:textId="77777777">
      <w:pPr>
        <w:widowControl/>
        <w:ind w:left="360" w:hanging="90"/>
        <w:rPr>
          <w:rFonts w:ascii="Times New Roman" w:hAnsi="Times New Roman"/>
          <w:snapToGrid/>
          <w:sz w:val="24"/>
          <w:szCs w:val="24"/>
        </w:rPr>
      </w:pPr>
    </w:p>
    <w:p w:rsidR="00D60543" w:rsidRPr="004F7B95" w:rsidP="00DE529D" w14:paraId="3C11407F" w14:textId="77777777">
      <w:pPr>
        <w:widowControl/>
        <w:ind w:left="360" w:hanging="90"/>
        <w:rPr>
          <w:rFonts w:ascii="Times New Roman" w:hAnsi="Times New Roman"/>
          <w:snapToGrid/>
          <w:sz w:val="24"/>
          <w:szCs w:val="24"/>
        </w:rPr>
      </w:pPr>
    </w:p>
    <w:p w:rsidR="002C3C4F" w:rsidRPr="00817E2B" w:rsidP="00817E2B"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007935D5" w:rsidRPr="002C509F" w:rsidP="00DE529D" w14:paraId="53A56BC6" w14:textId="1E57EADA">
      <w:pPr>
        <w:widowControl/>
        <w:ind w:left="360"/>
        <w:rPr>
          <w:rFonts w:ascii="Times New Roman" w:hAnsi="Times New Roman"/>
          <w:b/>
          <w:bCs/>
          <w:snapToGrid/>
          <w:sz w:val="24"/>
          <w:szCs w:val="24"/>
        </w:rPr>
      </w:pPr>
      <w:r w:rsidRPr="002C509F">
        <w:rPr>
          <w:rFonts w:ascii="Times New Roman" w:hAnsi="Times New Roman"/>
          <w:sz w:val="24"/>
          <w:szCs w:val="24"/>
        </w:rPr>
        <w:t>No exceptions are necessary for this information collection.</w:t>
      </w:r>
    </w:p>
    <w:p w:rsidR="007935D5" w:rsidRPr="004F7B95" w:rsidP="00DE529D" w14:paraId="0C245CAE" w14:textId="77777777">
      <w:pPr>
        <w:widowControl/>
        <w:ind w:left="360"/>
        <w:rPr>
          <w:rFonts w:ascii="Times New Roman" w:hAnsi="Times New Roman"/>
          <w:b/>
          <w:bCs/>
          <w:snapToGrid/>
          <w:sz w:val="24"/>
          <w:szCs w:val="24"/>
        </w:rPr>
      </w:pPr>
    </w:p>
    <w:p w:rsidR="007935D5" w:rsidRPr="004F7B95" w:rsidP="00DE529D" w14:paraId="6A043934" w14:textId="77777777">
      <w:pPr>
        <w:widowControl/>
        <w:ind w:left="360"/>
        <w:rPr>
          <w:rFonts w:ascii="Times New Roman" w:hAnsi="Times New Roman"/>
          <w:b/>
          <w:bCs/>
          <w:snapToGrid/>
          <w:sz w:val="24"/>
          <w:szCs w:val="24"/>
        </w:rPr>
      </w:pPr>
    </w:p>
    <w:p w:rsidR="00597E7F" w:rsidP="004753BB" w14:paraId="67CA458C" w14:textId="406BC832">
      <w:pPr>
        <w:pStyle w:val="ReportCover-Title"/>
        <w:rPr>
          <w:rFonts w:ascii="Times New Roman" w:hAnsi="Times New Roman"/>
          <w:b w:val="0"/>
          <w:bCs/>
          <w:sz w:val="24"/>
          <w:szCs w:val="24"/>
        </w:rPr>
      </w:pPr>
    </w:p>
    <w:sectPr w:rsidSect="00A918E4">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9960E7" w14:paraId="41E33DCD" w14:textId="77777777">
      <w:pPr>
        <w:spacing w:line="20" w:lineRule="exact"/>
        <w:rPr>
          <w:sz w:val="24"/>
        </w:rPr>
      </w:pPr>
    </w:p>
  </w:endnote>
  <w:endnote w:type="continuationSeparator" w:id="1">
    <w:p w:rsidR="009960E7" w14:paraId="74715934" w14:textId="77777777">
      <w:r>
        <w:rPr>
          <w:sz w:val="24"/>
        </w:rPr>
        <w:t xml:space="preserve"> </w:t>
      </w:r>
    </w:p>
  </w:endnote>
  <w:endnote w:type="continuationNotice" w:id="2">
    <w:p w:rsidR="009960E7" w14:paraId="0BC45B43"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3FD20E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43B7DF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960E7" w14:paraId="4BC06ADD" w14:textId="77777777">
      <w:r>
        <w:rPr>
          <w:sz w:val="24"/>
        </w:rPr>
        <w:separator/>
      </w:r>
    </w:p>
  </w:footnote>
  <w:footnote w:type="continuationSeparator" w:id="1">
    <w:p w:rsidR="009960E7" w14:paraId="6B0119C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10D7DC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5C522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4BF9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B4C02B8"/>
    <w:multiLevelType w:val="hybridMultilevel"/>
    <w:tmpl w:val="D2DAA63A"/>
    <w:lvl w:ilvl="0">
      <w:start w:val="1"/>
      <w:numFmt w:val="bullet"/>
      <w:lvlText w:val="o"/>
      <w:lvlJc w:val="left"/>
      <w:pPr>
        <w:tabs>
          <w:tab w:val="num" w:pos="3240"/>
        </w:tabs>
        <w:ind w:left="3240" w:hanging="360"/>
      </w:pPr>
      <w:rPr>
        <w:rFonts w:ascii="Courier New" w:hAnsi="Courier New" w:cs="Courier New" w:hint="default"/>
        <w:color w:val="auto"/>
      </w:rPr>
    </w:lvl>
    <w:lvl w:ilvl="1">
      <w:start w:val="1"/>
      <w:numFmt w:val="bullet"/>
      <w:lvlText w:val="o"/>
      <w:lvlJc w:val="left"/>
      <w:pPr>
        <w:tabs>
          <w:tab w:val="num" w:pos="3240"/>
        </w:tabs>
        <w:ind w:left="3240" w:hanging="360"/>
      </w:pPr>
      <w:rPr>
        <w:rFonts w:ascii="Courier New" w:hAnsi="Courier New" w:cs="Courier New" w:hint="default"/>
        <w:color w:val="auto"/>
      </w:rPr>
    </w:lvl>
    <w:lvl w:ilvl="2">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cs="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cs="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4">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2545692"/>
    <w:multiLevelType w:val="hybridMultilevel"/>
    <w:tmpl w:val="B4E2C99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Symbol" w:hAnsi="Symbol" w:hint="default"/>
        <w:color w:val="auto"/>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B1C1D16"/>
    <w:multiLevelType w:val="hybridMultilevel"/>
    <w:tmpl w:val="2F8201A0"/>
    <w:lvl w:ilvl="0">
      <w:start w:val="1"/>
      <w:numFmt w:val="bullet"/>
      <w:lvlText w:val=""/>
      <w:lvlJc w:val="left"/>
      <w:pPr>
        <w:ind w:left="1492" w:hanging="360"/>
      </w:pPr>
      <w:rPr>
        <w:rFonts w:ascii="Symbol" w:hAnsi="Symbol" w:hint="default"/>
      </w:rPr>
    </w:lvl>
    <w:lvl w:ilvl="1" w:tentative="1">
      <w:start w:val="1"/>
      <w:numFmt w:val="bullet"/>
      <w:lvlText w:val="o"/>
      <w:lvlJc w:val="left"/>
      <w:pPr>
        <w:ind w:left="2212" w:hanging="360"/>
      </w:pPr>
      <w:rPr>
        <w:rFonts w:ascii="Courier New" w:hAnsi="Courier New" w:cs="Courier New" w:hint="default"/>
      </w:rPr>
    </w:lvl>
    <w:lvl w:ilvl="2" w:tentative="1">
      <w:start w:val="1"/>
      <w:numFmt w:val="bullet"/>
      <w:lvlText w:val=""/>
      <w:lvlJc w:val="left"/>
      <w:pPr>
        <w:ind w:left="2932" w:hanging="360"/>
      </w:pPr>
      <w:rPr>
        <w:rFonts w:ascii="Wingdings" w:hAnsi="Wingdings" w:hint="default"/>
      </w:rPr>
    </w:lvl>
    <w:lvl w:ilvl="3" w:tentative="1">
      <w:start w:val="1"/>
      <w:numFmt w:val="bullet"/>
      <w:lvlText w:val=""/>
      <w:lvlJc w:val="left"/>
      <w:pPr>
        <w:ind w:left="3652" w:hanging="360"/>
      </w:pPr>
      <w:rPr>
        <w:rFonts w:ascii="Symbol" w:hAnsi="Symbol" w:hint="default"/>
      </w:rPr>
    </w:lvl>
    <w:lvl w:ilvl="4" w:tentative="1">
      <w:start w:val="1"/>
      <w:numFmt w:val="bullet"/>
      <w:lvlText w:val="o"/>
      <w:lvlJc w:val="left"/>
      <w:pPr>
        <w:ind w:left="4372" w:hanging="360"/>
      </w:pPr>
      <w:rPr>
        <w:rFonts w:ascii="Courier New" w:hAnsi="Courier New" w:cs="Courier New" w:hint="default"/>
      </w:rPr>
    </w:lvl>
    <w:lvl w:ilvl="5" w:tentative="1">
      <w:start w:val="1"/>
      <w:numFmt w:val="bullet"/>
      <w:lvlText w:val=""/>
      <w:lvlJc w:val="left"/>
      <w:pPr>
        <w:ind w:left="5092" w:hanging="360"/>
      </w:pPr>
      <w:rPr>
        <w:rFonts w:ascii="Wingdings" w:hAnsi="Wingdings" w:hint="default"/>
      </w:rPr>
    </w:lvl>
    <w:lvl w:ilvl="6" w:tentative="1">
      <w:start w:val="1"/>
      <w:numFmt w:val="bullet"/>
      <w:lvlText w:val=""/>
      <w:lvlJc w:val="left"/>
      <w:pPr>
        <w:ind w:left="5812" w:hanging="360"/>
      </w:pPr>
      <w:rPr>
        <w:rFonts w:ascii="Symbol" w:hAnsi="Symbol" w:hint="default"/>
      </w:rPr>
    </w:lvl>
    <w:lvl w:ilvl="7" w:tentative="1">
      <w:start w:val="1"/>
      <w:numFmt w:val="bullet"/>
      <w:lvlText w:val="o"/>
      <w:lvlJc w:val="left"/>
      <w:pPr>
        <w:ind w:left="6532" w:hanging="360"/>
      </w:pPr>
      <w:rPr>
        <w:rFonts w:ascii="Courier New" w:hAnsi="Courier New" w:cs="Courier New" w:hint="default"/>
      </w:rPr>
    </w:lvl>
    <w:lvl w:ilvl="8" w:tentative="1">
      <w:start w:val="1"/>
      <w:numFmt w:val="bullet"/>
      <w:lvlText w:val=""/>
      <w:lvlJc w:val="left"/>
      <w:pPr>
        <w:ind w:left="7252" w:hanging="360"/>
      </w:pPr>
      <w:rPr>
        <w:rFonts w:ascii="Wingdings" w:hAnsi="Wingdings" w:hint="default"/>
      </w:rPr>
    </w:lvl>
  </w:abstractNum>
  <w:abstractNum w:abstractNumId="18">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2065984326">
    <w:abstractNumId w:val="13"/>
  </w:num>
  <w:num w:numId="2" w16cid:durableId="1748191828">
    <w:abstractNumId w:val="14"/>
  </w:num>
  <w:num w:numId="3" w16cid:durableId="1257058956">
    <w:abstractNumId w:val="16"/>
  </w:num>
  <w:num w:numId="4" w16cid:durableId="1031876550">
    <w:abstractNumId w:val="6"/>
  </w:num>
  <w:num w:numId="5" w16cid:durableId="525867865">
    <w:abstractNumId w:val="9"/>
  </w:num>
  <w:num w:numId="6" w16cid:durableId="2031643017">
    <w:abstractNumId w:val="12"/>
  </w:num>
  <w:num w:numId="7" w16cid:durableId="1451825636">
    <w:abstractNumId w:val="2"/>
  </w:num>
  <w:num w:numId="8" w16cid:durableId="1747796198">
    <w:abstractNumId w:val="11"/>
  </w:num>
  <w:num w:numId="9" w16cid:durableId="465895760">
    <w:abstractNumId w:val="18"/>
  </w:num>
  <w:num w:numId="10" w16cid:durableId="374816701">
    <w:abstractNumId w:val="10"/>
  </w:num>
  <w:num w:numId="11" w16cid:durableId="1968509751">
    <w:abstractNumId w:val="8"/>
  </w:num>
  <w:num w:numId="12" w16cid:durableId="971253808">
    <w:abstractNumId w:val="0"/>
  </w:num>
  <w:num w:numId="13" w16cid:durableId="1833063759">
    <w:abstractNumId w:val="20"/>
  </w:num>
  <w:num w:numId="14" w16cid:durableId="285161151">
    <w:abstractNumId w:val="1"/>
  </w:num>
  <w:num w:numId="15" w16cid:durableId="1430586724">
    <w:abstractNumId w:val="4"/>
  </w:num>
  <w:num w:numId="16" w16cid:durableId="1883321575">
    <w:abstractNumId w:val="15"/>
  </w:num>
  <w:num w:numId="17" w16cid:durableId="20671044">
    <w:abstractNumId w:val="21"/>
  </w:num>
  <w:num w:numId="18" w16cid:durableId="158737872">
    <w:abstractNumId w:val="5"/>
  </w:num>
  <w:num w:numId="19" w16cid:durableId="461076482">
    <w:abstractNumId w:val="22"/>
  </w:num>
  <w:num w:numId="20" w16cid:durableId="935870464">
    <w:abstractNumId w:val="19"/>
  </w:num>
  <w:num w:numId="21" w16cid:durableId="2087191771">
    <w:abstractNumId w:val="7"/>
  </w:num>
  <w:num w:numId="22" w16cid:durableId="58748819">
    <w:abstractNumId w:val="17"/>
  </w:num>
  <w:num w:numId="23" w16cid:durableId="5288385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22586"/>
    <w:rsid w:val="0004486E"/>
    <w:rsid w:val="00056C4B"/>
    <w:rsid w:val="00075889"/>
    <w:rsid w:val="000815CE"/>
    <w:rsid w:val="00083830"/>
    <w:rsid w:val="0009007E"/>
    <w:rsid w:val="00094402"/>
    <w:rsid w:val="0009665E"/>
    <w:rsid w:val="000F069F"/>
    <w:rsid w:val="00102200"/>
    <w:rsid w:val="00113238"/>
    <w:rsid w:val="00124542"/>
    <w:rsid w:val="001337B5"/>
    <w:rsid w:val="0014145B"/>
    <w:rsid w:val="00160621"/>
    <w:rsid w:val="00173401"/>
    <w:rsid w:val="0017495B"/>
    <w:rsid w:val="00186385"/>
    <w:rsid w:val="001C483C"/>
    <w:rsid w:val="001C7FFE"/>
    <w:rsid w:val="001D0600"/>
    <w:rsid w:val="001D1651"/>
    <w:rsid w:val="001E496B"/>
    <w:rsid w:val="00222C7F"/>
    <w:rsid w:val="002247B6"/>
    <w:rsid w:val="00226C42"/>
    <w:rsid w:val="00234235"/>
    <w:rsid w:val="002464EB"/>
    <w:rsid w:val="002509BD"/>
    <w:rsid w:val="00290A1C"/>
    <w:rsid w:val="00292177"/>
    <w:rsid w:val="0029589B"/>
    <w:rsid w:val="00296738"/>
    <w:rsid w:val="002A10D9"/>
    <w:rsid w:val="002B4507"/>
    <w:rsid w:val="002C3C4F"/>
    <w:rsid w:val="002C4F75"/>
    <w:rsid w:val="002C509F"/>
    <w:rsid w:val="002E10D1"/>
    <w:rsid w:val="002F6622"/>
    <w:rsid w:val="003405A4"/>
    <w:rsid w:val="00343C5C"/>
    <w:rsid w:val="00354319"/>
    <w:rsid w:val="0038209B"/>
    <w:rsid w:val="003826B0"/>
    <w:rsid w:val="003B6FE1"/>
    <w:rsid w:val="003B73B9"/>
    <w:rsid w:val="003B7A50"/>
    <w:rsid w:val="003C1D6E"/>
    <w:rsid w:val="003E6EA3"/>
    <w:rsid w:val="00402D24"/>
    <w:rsid w:val="00405C10"/>
    <w:rsid w:val="004070B9"/>
    <w:rsid w:val="004110F5"/>
    <w:rsid w:val="00422E1D"/>
    <w:rsid w:val="004602FE"/>
    <w:rsid w:val="00463E63"/>
    <w:rsid w:val="00467954"/>
    <w:rsid w:val="004753BB"/>
    <w:rsid w:val="00476C1F"/>
    <w:rsid w:val="00480072"/>
    <w:rsid w:val="00490457"/>
    <w:rsid w:val="0049119A"/>
    <w:rsid w:val="004943E0"/>
    <w:rsid w:val="004969C8"/>
    <w:rsid w:val="004A0B72"/>
    <w:rsid w:val="004A6F6F"/>
    <w:rsid w:val="004E2F19"/>
    <w:rsid w:val="004F45CE"/>
    <w:rsid w:val="004F7B95"/>
    <w:rsid w:val="0051278C"/>
    <w:rsid w:val="00522C18"/>
    <w:rsid w:val="00541E51"/>
    <w:rsid w:val="005520C3"/>
    <w:rsid w:val="00556056"/>
    <w:rsid w:val="005824BD"/>
    <w:rsid w:val="00597E7F"/>
    <w:rsid w:val="005A6D3E"/>
    <w:rsid w:val="005B00FC"/>
    <w:rsid w:val="005B22D4"/>
    <w:rsid w:val="005C1E47"/>
    <w:rsid w:val="005C60F1"/>
    <w:rsid w:val="005D1B7E"/>
    <w:rsid w:val="005D274E"/>
    <w:rsid w:val="005D5267"/>
    <w:rsid w:val="005D61DB"/>
    <w:rsid w:val="005E0B35"/>
    <w:rsid w:val="005E47E3"/>
    <w:rsid w:val="005F0ED4"/>
    <w:rsid w:val="005F18DB"/>
    <w:rsid w:val="00603498"/>
    <w:rsid w:val="00620CA6"/>
    <w:rsid w:val="00634E1D"/>
    <w:rsid w:val="00640565"/>
    <w:rsid w:val="006519AF"/>
    <w:rsid w:val="00651F0F"/>
    <w:rsid w:val="006555DB"/>
    <w:rsid w:val="00656DB3"/>
    <w:rsid w:val="00681E38"/>
    <w:rsid w:val="006A2487"/>
    <w:rsid w:val="006B1006"/>
    <w:rsid w:val="006B2726"/>
    <w:rsid w:val="006D1643"/>
    <w:rsid w:val="006D300F"/>
    <w:rsid w:val="006E5106"/>
    <w:rsid w:val="006E6629"/>
    <w:rsid w:val="006F589F"/>
    <w:rsid w:val="006F68BE"/>
    <w:rsid w:val="00707AFB"/>
    <w:rsid w:val="00730D3F"/>
    <w:rsid w:val="00762C40"/>
    <w:rsid w:val="00771139"/>
    <w:rsid w:val="00772A93"/>
    <w:rsid w:val="00786793"/>
    <w:rsid w:val="00790D2C"/>
    <w:rsid w:val="007935D5"/>
    <w:rsid w:val="007A0FBE"/>
    <w:rsid w:val="007D5319"/>
    <w:rsid w:val="007E48CC"/>
    <w:rsid w:val="0080325F"/>
    <w:rsid w:val="00817E2B"/>
    <w:rsid w:val="008241D3"/>
    <w:rsid w:val="00835BAD"/>
    <w:rsid w:val="00841BDF"/>
    <w:rsid w:val="0084553B"/>
    <w:rsid w:val="0084609A"/>
    <w:rsid w:val="00846E18"/>
    <w:rsid w:val="00862812"/>
    <w:rsid w:val="008900A8"/>
    <w:rsid w:val="008955AC"/>
    <w:rsid w:val="008F7221"/>
    <w:rsid w:val="009113FF"/>
    <w:rsid w:val="00936A53"/>
    <w:rsid w:val="009451B1"/>
    <w:rsid w:val="00945B72"/>
    <w:rsid w:val="00957799"/>
    <w:rsid w:val="00962045"/>
    <w:rsid w:val="00966622"/>
    <w:rsid w:val="0098090F"/>
    <w:rsid w:val="009960E7"/>
    <w:rsid w:val="009B0471"/>
    <w:rsid w:val="009B20CF"/>
    <w:rsid w:val="009C2DE1"/>
    <w:rsid w:val="009C5213"/>
    <w:rsid w:val="009D662E"/>
    <w:rsid w:val="009D789F"/>
    <w:rsid w:val="009E6157"/>
    <w:rsid w:val="009F5543"/>
    <w:rsid w:val="009F58E1"/>
    <w:rsid w:val="00A04EF3"/>
    <w:rsid w:val="00A05B31"/>
    <w:rsid w:val="00A14D80"/>
    <w:rsid w:val="00A160B5"/>
    <w:rsid w:val="00A37628"/>
    <w:rsid w:val="00A43692"/>
    <w:rsid w:val="00A573F0"/>
    <w:rsid w:val="00A61AC0"/>
    <w:rsid w:val="00A7110A"/>
    <w:rsid w:val="00A74A1E"/>
    <w:rsid w:val="00A77AC0"/>
    <w:rsid w:val="00A918E4"/>
    <w:rsid w:val="00AA7B9B"/>
    <w:rsid w:val="00AB22B3"/>
    <w:rsid w:val="00AB7133"/>
    <w:rsid w:val="00AD5ED7"/>
    <w:rsid w:val="00AF399C"/>
    <w:rsid w:val="00AF4347"/>
    <w:rsid w:val="00AF5FE7"/>
    <w:rsid w:val="00B14349"/>
    <w:rsid w:val="00B151B9"/>
    <w:rsid w:val="00B27347"/>
    <w:rsid w:val="00B8033F"/>
    <w:rsid w:val="00B84243"/>
    <w:rsid w:val="00B86109"/>
    <w:rsid w:val="00B93823"/>
    <w:rsid w:val="00BD378C"/>
    <w:rsid w:val="00C02282"/>
    <w:rsid w:val="00C13BA6"/>
    <w:rsid w:val="00C22D3C"/>
    <w:rsid w:val="00C82910"/>
    <w:rsid w:val="00C96D3F"/>
    <w:rsid w:val="00CB1A12"/>
    <w:rsid w:val="00CE53AB"/>
    <w:rsid w:val="00CE6182"/>
    <w:rsid w:val="00CE6913"/>
    <w:rsid w:val="00D02EF1"/>
    <w:rsid w:val="00D176EB"/>
    <w:rsid w:val="00D203FE"/>
    <w:rsid w:val="00D26C43"/>
    <w:rsid w:val="00D344B2"/>
    <w:rsid w:val="00D60543"/>
    <w:rsid w:val="00D67D80"/>
    <w:rsid w:val="00D71CA2"/>
    <w:rsid w:val="00D7272B"/>
    <w:rsid w:val="00D7443D"/>
    <w:rsid w:val="00D806D3"/>
    <w:rsid w:val="00D9648C"/>
    <w:rsid w:val="00D9720E"/>
    <w:rsid w:val="00DB2443"/>
    <w:rsid w:val="00DC1C23"/>
    <w:rsid w:val="00DD4131"/>
    <w:rsid w:val="00DE529D"/>
    <w:rsid w:val="00E01B4E"/>
    <w:rsid w:val="00E368FB"/>
    <w:rsid w:val="00E41127"/>
    <w:rsid w:val="00E4274E"/>
    <w:rsid w:val="00E4383A"/>
    <w:rsid w:val="00E44607"/>
    <w:rsid w:val="00E47EE4"/>
    <w:rsid w:val="00E76968"/>
    <w:rsid w:val="00E81315"/>
    <w:rsid w:val="00EC26A5"/>
    <w:rsid w:val="00EC3574"/>
    <w:rsid w:val="00EC4FD1"/>
    <w:rsid w:val="00EC698B"/>
    <w:rsid w:val="00ED782E"/>
    <w:rsid w:val="00EF3AAC"/>
    <w:rsid w:val="00F02021"/>
    <w:rsid w:val="00F04A3D"/>
    <w:rsid w:val="00F10B17"/>
    <w:rsid w:val="00F210CA"/>
    <w:rsid w:val="00F22163"/>
    <w:rsid w:val="00F320F2"/>
    <w:rsid w:val="00F56D5A"/>
    <w:rsid w:val="00F75144"/>
    <w:rsid w:val="00F83116"/>
    <w:rsid w:val="00FA5092"/>
    <w:rsid w:val="00FB4221"/>
    <w:rsid w:val="00FB7547"/>
    <w:rsid w:val="00FE0FDC"/>
    <w:rsid w:val="00FE5FB8"/>
    <w:rsid w:val="00FF7C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FollowedHyperlink">
    <w:name w:val="FollowedHyperlink"/>
    <w:basedOn w:val="DefaultParagraphFont"/>
    <w:rsid w:val="00E411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stru.htm"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4" ma:contentTypeDescription="Create a new document." ma:contentTypeScope="" ma:versionID="c89e24a5d450660e153ef0923be5bf49">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cd5852d7f42fa5e780a4c6529a6cfd0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3.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4.xml><?xml version="1.0" encoding="utf-8"?>
<ds:datastoreItem xmlns:ds="http://schemas.openxmlformats.org/officeDocument/2006/customXml" ds:itemID="{BE35FA16-FF5C-4FB4-A694-75C1840B7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1852</Words>
  <Characters>10664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2</cp:revision>
  <dcterms:created xsi:type="dcterms:W3CDTF">2024-02-06T18:48:00Z</dcterms:created>
  <dcterms:modified xsi:type="dcterms:W3CDTF">2024-02-06T18:48:00Z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ies>
</file>