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671B0A64" w14:paraId="670B57C7" w14:textId="31AC92B5">
      <w:pPr>
        <w:pStyle w:val="ReportCover-Title"/>
        <w:jc w:val="center"/>
        <w:rPr>
          <w:rFonts w:ascii="Arial" w:eastAsia="Arial Unicode MS" w:hAnsi="Arial" w:cs="Arial"/>
          <w:noProof/>
          <w:color w:val="auto"/>
        </w:rPr>
      </w:pPr>
      <w:r w:rsidRPr="004F7B95">
        <w:rPr>
          <w:rFonts w:ascii="Times New Roman" w:hAnsi="Times New Roman"/>
          <w:sz w:val="24"/>
          <w:szCs w:val="24"/>
        </w:rPr>
        <w:tab/>
      </w:r>
      <w:r w:rsidR="5B62CAAA">
        <w:rPr>
          <w:rFonts w:ascii="Arial" w:eastAsia="Arial Unicode MS" w:hAnsi="Arial" w:cs="Arial"/>
          <w:noProof/>
          <w:color w:val="auto"/>
        </w:rPr>
        <w:t>ACF: 800 Child Care and Development Fund (CCDF) Annual Aggregate Report</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241758D6">
      <w:pPr>
        <w:pStyle w:val="ReportCover-Title"/>
        <w:jc w:val="center"/>
        <w:rPr>
          <w:rFonts w:ascii="Arial" w:hAnsi="Arial" w:cs="Arial"/>
          <w:color w:val="auto"/>
          <w:sz w:val="32"/>
          <w:szCs w:val="32"/>
        </w:rPr>
      </w:pPr>
      <w:r w:rsidRPr="671B0A64">
        <w:rPr>
          <w:rFonts w:ascii="Arial" w:hAnsi="Arial" w:cs="Arial"/>
          <w:color w:val="auto"/>
          <w:sz w:val="32"/>
          <w:szCs w:val="32"/>
        </w:rPr>
        <w:t xml:space="preserve">0970 - </w:t>
      </w:r>
      <w:r w:rsidRPr="671B0A64" w:rsidR="67BCD20F">
        <w:rPr>
          <w:rFonts w:ascii="Arial" w:hAnsi="Arial" w:cs="Arial"/>
          <w:color w:val="auto"/>
          <w:sz w:val="32"/>
          <w:szCs w:val="32"/>
        </w:rPr>
        <w:t>0150</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34AC83C2">
      <w:pPr>
        <w:pStyle w:val="ReportCover-Date"/>
        <w:jc w:val="center"/>
        <w:rPr>
          <w:rFonts w:ascii="Arial" w:hAnsi="Arial" w:cs="Arial"/>
          <w:color w:val="auto"/>
        </w:rPr>
      </w:pPr>
      <w:r>
        <w:rPr>
          <w:rFonts w:ascii="Arial" w:hAnsi="Arial" w:cs="Arial"/>
          <w:color w:val="auto"/>
        </w:rPr>
        <w:t>April</w:t>
      </w:r>
      <w:r w:rsidRPr="61C0F6C3" w:rsidR="7C1C4BE6">
        <w:rPr>
          <w:rFonts w:ascii="Arial" w:hAnsi="Arial" w:cs="Arial"/>
          <w:color w:val="auto"/>
        </w:rPr>
        <w:t xml:space="preserve"> 2025</w:t>
      </w:r>
    </w:p>
    <w:p w:rsidR="00160621" w:rsidP="7B0E0B3A" w14:paraId="753A1E04" w14:textId="1A11BE37">
      <w:pPr>
        <w:jc w:val="center"/>
        <w:rPr>
          <w:rFonts w:ascii="Arial" w:hAnsi="Arial" w:cs="Arial"/>
          <w:b/>
          <w:bCs/>
          <w:sz w:val="32"/>
          <w:szCs w:val="32"/>
        </w:rPr>
      </w:pPr>
      <w:r w:rsidRPr="7B0E0B3A">
        <w:rPr>
          <w:rFonts w:ascii="Arial" w:hAnsi="Arial" w:cs="Arial"/>
          <w:b/>
          <w:bCs/>
          <w:sz w:val="32"/>
          <w:szCs w:val="32"/>
        </w:rPr>
        <w:t xml:space="preserve">Type of Request: </w:t>
      </w:r>
      <w:r w:rsidRPr="7B0E0B3A" w:rsidR="00A3027B">
        <w:rPr>
          <w:rFonts w:ascii="Arial" w:hAnsi="Arial" w:cs="Arial"/>
          <w:sz w:val="32"/>
          <w:szCs w:val="32"/>
        </w:rPr>
        <w:t>Re</w:t>
      </w:r>
      <w:r w:rsidR="00A3027B">
        <w:rPr>
          <w:rFonts w:ascii="Arial" w:hAnsi="Arial" w:cs="Arial"/>
          <w:sz w:val="32"/>
          <w:szCs w:val="32"/>
        </w:rPr>
        <w:t>instatement with Changes</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50318D1B">
      <w:pPr>
        <w:jc w:val="center"/>
        <w:rPr>
          <w:rFonts w:ascii="Arial" w:hAnsi="Arial" w:cs="Arial"/>
        </w:rPr>
      </w:pPr>
      <w:r w:rsidRPr="61C0F6C3">
        <w:rPr>
          <w:rFonts w:ascii="Arial" w:hAnsi="Arial" w:cs="Arial"/>
        </w:rPr>
        <w:t>Offic</w:t>
      </w:r>
      <w:r w:rsidRPr="61C0F6C3" w:rsidR="00402D24">
        <w:rPr>
          <w:rFonts w:ascii="Arial" w:hAnsi="Arial" w:cs="Arial"/>
        </w:rPr>
        <w:t>e</w:t>
      </w:r>
      <w:r w:rsidRPr="61C0F6C3" w:rsidR="3FF29105">
        <w:rPr>
          <w:rFonts w:ascii="Arial" w:hAnsi="Arial" w:cs="Arial"/>
        </w:rPr>
        <w:t xml:space="preserve"> of Child Care</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6A53BD" w:rsidP="00160621" w14:paraId="19E46BFC" w14:textId="77777777">
      <w:pPr>
        <w:jc w:val="center"/>
        <w:rPr>
          <w:rFonts w:ascii="Arial" w:hAnsi="Arial" w:cs="Arial"/>
        </w:rPr>
      </w:pPr>
    </w:p>
    <w:p w:rsidR="006A53BD" w:rsidP="00160621" w14:paraId="4638D7CB"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CE6182" w:rsidP="00160621" w14:paraId="3C29E980" w14:textId="77777777">
      <w:pPr>
        <w:widowControl/>
        <w:ind w:left="360"/>
        <w:rPr>
          <w:rFonts w:ascii="Times New Roman" w:hAnsi="Times New Roman"/>
          <w:snapToGrid/>
          <w:sz w:val="24"/>
          <w:szCs w:val="24"/>
        </w:rPr>
      </w:pPr>
    </w:p>
    <w:p w:rsidR="002C3C4F" w:rsidRPr="00075889" w:rsidP="003373C4" w14:paraId="2EEF9E04" w14:textId="77777777">
      <w:pPr>
        <w:widowControl/>
        <w:numPr>
          <w:ilvl w:val="0"/>
          <w:numId w:val="3"/>
        </w:numPr>
        <w:tabs>
          <w:tab w:val="num" w:pos="360"/>
        </w:tabs>
        <w:spacing w:after="120"/>
        <w:ind w:left="360"/>
        <w:rPr>
          <w:rFonts w:ascii="Times New Roman" w:hAnsi="Times New Roman"/>
          <w:b/>
          <w:bCs/>
          <w:snapToGrid/>
          <w:sz w:val="24"/>
          <w:szCs w:val="24"/>
        </w:rPr>
      </w:pPr>
      <w:r w:rsidRPr="3C31DA1E">
        <w:rPr>
          <w:rFonts w:ascii="Times New Roman" w:hAnsi="Times New Roman"/>
          <w:b/>
          <w:bCs/>
          <w:snapToGrid/>
          <w:sz w:val="24"/>
          <w:szCs w:val="24"/>
        </w:rPr>
        <w:t xml:space="preserve">Circumstances Making the Collection of Information Necessary </w:t>
      </w:r>
    </w:p>
    <w:p w:rsidR="33046082" w:rsidP="3C31DA1E" w14:paraId="28C274B2" w14:textId="12EEC893">
      <w:pPr>
        <w:widowControl/>
        <w:tabs>
          <w:tab w:val="num" w:pos="360"/>
        </w:tabs>
        <w:ind w:left="360"/>
        <w:rPr>
          <w:rFonts w:ascii="Times New Roman" w:hAnsi="Times New Roman"/>
          <w:sz w:val="24"/>
          <w:szCs w:val="24"/>
        </w:rPr>
      </w:pPr>
      <w:r w:rsidRPr="3C31DA1E">
        <w:rPr>
          <w:rFonts w:ascii="Times New Roman" w:hAnsi="Times New Roman"/>
          <w:sz w:val="24"/>
          <w:szCs w:val="24"/>
        </w:rPr>
        <w:t xml:space="preserve">Section 658K of the Child Care and Development Block Grant (CCDBG) Act (42 U.S.C. 9858, as amended) requires that states and territories submit annual aggregate data on the children and families receiving direct services under the Child Care and Development Fund (CCDF).  The implementing regulations for the statutorily required reporting are at 45 CFR 98.70 and 98.71.  The ACF-800 includes data elements reflecting the scope, type, and methods of child care delivery, which are represented in annual aggregate reports to meet these requirements.    </w:t>
      </w:r>
    </w:p>
    <w:p w:rsidR="00790D2C" w:rsidRPr="004F7B95" w:rsidP="00D7443D" w14:paraId="6A4D4BDD" w14:textId="77777777">
      <w:pPr>
        <w:widowControl/>
        <w:tabs>
          <w:tab w:val="num" w:pos="360"/>
        </w:tabs>
        <w:ind w:left="360"/>
        <w:rPr>
          <w:rFonts w:ascii="Times New Roman" w:hAnsi="Times New Roman"/>
          <w:snapToGrid/>
          <w:sz w:val="24"/>
          <w:szCs w:val="24"/>
        </w:rPr>
      </w:pPr>
    </w:p>
    <w:p w:rsidR="002C3C4F" w:rsidRPr="00075889" w:rsidP="003373C4" w14:paraId="3264479C" w14:textId="77777777">
      <w:pPr>
        <w:widowControl/>
        <w:numPr>
          <w:ilvl w:val="0"/>
          <w:numId w:val="3"/>
        </w:numPr>
        <w:tabs>
          <w:tab w:val="num" w:pos="360"/>
        </w:tabs>
        <w:spacing w:after="120"/>
        <w:ind w:left="360"/>
        <w:rPr>
          <w:rFonts w:ascii="Times New Roman" w:hAnsi="Times New Roman"/>
          <w:b/>
          <w:bCs/>
          <w:snapToGrid/>
          <w:sz w:val="24"/>
          <w:szCs w:val="24"/>
        </w:rPr>
      </w:pPr>
      <w:r w:rsidRPr="3C31DA1E">
        <w:rPr>
          <w:rFonts w:ascii="Times New Roman" w:hAnsi="Times New Roman"/>
          <w:b/>
          <w:bCs/>
          <w:snapToGrid/>
          <w:sz w:val="24"/>
          <w:szCs w:val="24"/>
        </w:rPr>
        <w:t>P</w:t>
      </w:r>
      <w:r w:rsidRPr="3C31DA1E">
        <w:rPr>
          <w:rFonts w:ascii="Times New Roman" w:hAnsi="Times New Roman"/>
          <w:b/>
          <w:bCs/>
          <w:snapToGrid/>
          <w:sz w:val="24"/>
          <w:szCs w:val="24"/>
        </w:rPr>
        <w:t xml:space="preserve">urpose and Use of the Information Collection </w:t>
      </w:r>
    </w:p>
    <w:p w:rsidR="28B7E137" w:rsidP="3C31DA1E" w14:paraId="52E34DE5" w14:textId="09E0EED4">
      <w:pPr>
        <w:widowControl/>
        <w:tabs>
          <w:tab w:val="num" w:pos="360"/>
        </w:tabs>
        <w:ind w:left="360"/>
        <w:rPr>
          <w:rFonts w:ascii="Times New Roman" w:hAnsi="Times New Roman"/>
          <w:sz w:val="24"/>
          <w:szCs w:val="24"/>
        </w:rPr>
      </w:pPr>
      <w:r w:rsidRPr="3C31DA1E">
        <w:rPr>
          <w:rFonts w:ascii="Times New Roman" w:hAnsi="Times New Roman"/>
          <w:sz w:val="24"/>
          <w:szCs w:val="24"/>
        </w:rPr>
        <w:t xml:space="preserve">The aggregate administrative information received through this collection provides the means to analyze and evaluate the CCDF program and the extent to which states and territories are assisting families in addressing child care needs.  This collection provides ACF with the information necessary to make reports to Congress (available at </w:t>
      </w:r>
      <w:hyperlink r:id="rId10">
        <w:r w:rsidRPr="3C31DA1E">
          <w:rPr>
            <w:rStyle w:val="Hyperlink"/>
            <w:rFonts w:ascii="Times New Roman" w:hAnsi="Times New Roman"/>
            <w:sz w:val="24"/>
            <w:szCs w:val="24"/>
          </w:rPr>
          <w:t>https://www.acf.hhs.gov/occ/resource/reports-to-congress</w:t>
        </w:r>
      </w:hyperlink>
      <w:r w:rsidRPr="3C31DA1E">
        <w:rPr>
          <w:rFonts w:ascii="Times New Roman" w:hAnsi="Times New Roman"/>
          <w:sz w:val="24"/>
          <w:szCs w:val="24"/>
        </w:rPr>
        <w:t>), address national child care needs, offer technical assistance to grantees, meet performance measures, and conduct research.</w:t>
      </w:r>
    </w:p>
    <w:p w:rsidR="00790D2C" w:rsidRPr="004F7B95" w:rsidP="00D7443D" w14:paraId="6C3FFD0B" w14:textId="77777777">
      <w:pPr>
        <w:widowControl/>
        <w:tabs>
          <w:tab w:val="num" w:pos="360"/>
        </w:tabs>
        <w:ind w:left="360"/>
        <w:rPr>
          <w:rFonts w:ascii="Times New Roman" w:hAnsi="Times New Roman"/>
          <w:snapToGrid/>
          <w:sz w:val="24"/>
          <w:szCs w:val="24"/>
        </w:rPr>
      </w:pPr>
    </w:p>
    <w:p w:rsidR="002C3C4F" w:rsidRPr="00075889" w:rsidP="003373C4" w14:paraId="6DDB8C59" w14:textId="77777777">
      <w:pPr>
        <w:widowControl/>
        <w:numPr>
          <w:ilvl w:val="0"/>
          <w:numId w:val="3"/>
        </w:numPr>
        <w:tabs>
          <w:tab w:val="num" w:pos="360"/>
        </w:tabs>
        <w:spacing w:after="120"/>
        <w:ind w:left="360"/>
        <w:rPr>
          <w:rFonts w:ascii="Times New Roman" w:hAnsi="Times New Roman"/>
          <w:b/>
          <w:bCs/>
          <w:snapToGrid/>
          <w:sz w:val="24"/>
          <w:szCs w:val="24"/>
        </w:rPr>
      </w:pPr>
      <w:r w:rsidRPr="3C31DA1E">
        <w:rPr>
          <w:rFonts w:ascii="Times New Roman" w:hAnsi="Times New Roman"/>
          <w:b/>
          <w:bCs/>
          <w:snapToGrid/>
          <w:sz w:val="24"/>
          <w:szCs w:val="24"/>
        </w:rPr>
        <w:t xml:space="preserve">Use of Improved Information Technology and Burden Reduction </w:t>
      </w:r>
    </w:p>
    <w:p w:rsidR="41BE388C" w:rsidP="3C31DA1E" w14:paraId="27973876" w14:textId="751BA96B">
      <w:pPr>
        <w:widowControl/>
        <w:tabs>
          <w:tab w:val="num" w:pos="360"/>
        </w:tabs>
        <w:ind w:left="360"/>
        <w:rPr>
          <w:rFonts w:ascii="Times New Roman" w:hAnsi="Times New Roman"/>
          <w:sz w:val="24"/>
          <w:szCs w:val="24"/>
        </w:rPr>
      </w:pPr>
      <w:r w:rsidRPr="3C31DA1E">
        <w:rPr>
          <w:rFonts w:ascii="Times New Roman" w:hAnsi="Times New Roman"/>
          <w:sz w:val="24"/>
          <w:szCs w:val="24"/>
        </w:rPr>
        <w:t>States and territories submit ACF-800 reports via the Child Care Automated Reporting System (CARS), which is a web-based data collection system through a secure internet web site.  System edit checks provide immediate feedback concerning the accuracy of the submitted data.  ACF provides technical assistance to states and territories in the use of the electronic system toward improved data accuracy and reliability.</w:t>
      </w:r>
    </w:p>
    <w:p w:rsidR="00D60543" w:rsidRPr="004F7B95" w:rsidP="00022586" w14:paraId="61323458" w14:textId="77777777">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9F5543" w:rsidRPr="004F7B95" w:rsidP="3C31DA1E" w14:paraId="441F6109" w14:textId="3A12E37B">
      <w:pPr>
        <w:widowControl/>
        <w:tabs>
          <w:tab w:val="num" w:pos="360"/>
        </w:tabs>
        <w:ind w:left="360"/>
        <w:rPr>
          <w:rFonts w:ascii="Times New Roman" w:hAnsi="Times New Roman"/>
          <w:sz w:val="24"/>
          <w:szCs w:val="24"/>
        </w:rPr>
      </w:pPr>
      <w:r w:rsidRPr="3C31DA1E">
        <w:rPr>
          <w:rFonts w:ascii="Times New Roman" w:hAnsi="Times New Roman"/>
          <w:sz w:val="24"/>
          <w:szCs w:val="24"/>
        </w:rPr>
        <w:t>This data collection is required by section 658K of the Child Care and Development Block Grant (CCDBG) Act (42 U.S.C. 9858, as amended) and does not duplicate any other reporting or record-keeping requirements. The implementing regulations for the statutorily required reporting are at 45 CFR 98.70 and 98.71.  No similar information is being collected on CCDF program participants and related child care services.  Collection of the information specified on the ACF-800 is necessary to comply with the Federal statute and regulations, and to ensure the availability of data to respond to inquiries regarding the progress of the CCDF program and related issues.</w:t>
      </w:r>
    </w:p>
    <w:p w:rsidR="009C2DE1" w:rsidRPr="004F7B95" w:rsidP="00CB726F" w14:paraId="5BF82A71" w14:textId="77777777">
      <w:pPr>
        <w:widowControl/>
        <w:tabs>
          <w:tab w:val="num" w:pos="360"/>
        </w:tabs>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8388A45" w:rsidP="003373C4" w14:paraId="4572393F" w14:textId="115B7139">
      <w:pPr>
        <w:widowControl/>
        <w:tabs>
          <w:tab w:val="num" w:pos="360"/>
        </w:tabs>
        <w:ind w:left="360"/>
        <w:rPr>
          <w:rFonts w:ascii="Times New Roman" w:hAnsi="Times New Roman"/>
          <w:sz w:val="24"/>
          <w:szCs w:val="24"/>
        </w:rPr>
      </w:pPr>
      <w:r w:rsidRPr="3C31DA1E">
        <w:rPr>
          <w:rFonts w:ascii="Times New Roman" w:hAnsi="Times New Roman"/>
          <w:sz w:val="24"/>
          <w:szCs w:val="24"/>
        </w:rPr>
        <w:t>This data collection effort does not involve small business or other small entities.</w:t>
      </w:r>
    </w:p>
    <w:p w:rsidR="00D60543" w:rsidRPr="004F7B95" w:rsidP="003373C4" w14:paraId="7A03161C"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D60543" w:rsidP="00A3027B" w14:paraId="2A0F47DE" w14:textId="1865F41C">
      <w:pPr>
        <w:widowControl/>
        <w:tabs>
          <w:tab w:val="num" w:pos="360"/>
        </w:tabs>
        <w:ind w:left="360"/>
        <w:rPr>
          <w:rFonts w:ascii="Times New Roman" w:hAnsi="Times New Roman"/>
          <w:snapToGrid/>
          <w:sz w:val="24"/>
          <w:szCs w:val="24"/>
        </w:rPr>
      </w:pPr>
      <w:r w:rsidRPr="3C31DA1E">
        <w:rPr>
          <w:rFonts w:ascii="Times New Roman" w:hAnsi="Times New Roman"/>
          <w:sz w:val="24"/>
          <w:szCs w:val="24"/>
        </w:rPr>
        <w:t xml:space="preserve">Section 658K of the Child Care and Development Block Grant (CCDBG) Act (42 U.S.C. 9858) requires states and territories to transmit information collected on the ACF-800 on an </w:t>
      </w:r>
      <w:r w:rsidRPr="3C31DA1E">
        <w:rPr>
          <w:rFonts w:ascii="Times New Roman" w:hAnsi="Times New Roman"/>
          <w:sz w:val="24"/>
          <w:szCs w:val="24"/>
        </w:rPr>
        <w:t xml:space="preserve">annual basis.  The data is submitted annually on the last day of the calendar year and covers the most recent Federal fiscal year (October through September).  </w:t>
      </w:r>
    </w:p>
    <w:p w:rsidR="00DE529D" w:rsidRPr="004F7B95" w:rsidP="003373C4" w14:paraId="2744D4F5"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022586" w14:paraId="7781B5A4" w14:textId="29215114">
      <w:pPr>
        <w:widowControl/>
        <w:tabs>
          <w:tab w:val="num" w:pos="360"/>
        </w:tabs>
        <w:ind w:left="360"/>
        <w:rPr>
          <w:rFonts w:ascii="Times New Roman" w:hAnsi="Times New Roman"/>
          <w:snapToGrid/>
          <w:sz w:val="24"/>
          <w:szCs w:val="24"/>
        </w:rPr>
      </w:pPr>
      <w:r w:rsidRPr="3C31DA1E">
        <w:rPr>
          <w:rFonts w:ascii="Times New Roman" w:hAnsi="Times New Roman"/>
          <w:sz w:val="24"/>
          <w:szCs w:val="24"/>
        </w:rPr>
        <w:t xml:space="preserve">The collection of this information </w:t>
      </w:r>
      <w:r w:rsidRPr="3C31DA1E" w:rsidR="7A4E2E79">
        <w:rPr>
          <w:rFonts w:ascii="Times New Roman" w:hAnsi="Times New Roman"/>
          <w:sz w:val="24"/>
          <w:szCs w:val="24"/>
        </w:rPr>
        <w:t xml:space="preserve">does not involve any special circumstances related to the guidelines of </w:t>
      </w:r>
      <w:r w:rsidRPr="3C31DA1E">
        <w:rPr>
          <w:rFonts w:ascii="Times New Roman" w:hAnsi="Times New Roman"/>
          <w:sz w:val="24"/>
          <w:szCs w:val="24"/>
        </w:rPr>
        <w:t>5 CFR 1320.</w:t>
      </w:r>
      <w:r w:rsidRPr="3C31DA1E" w:rsidR="58B0B9D8">
        <w:rPr>
          <w:rFonts w:ascii="Times New Roman" w:hAnsi="Times New Roman"/>
          <w:sz w:val="24"/>
          <w:szCs w:val="24"/>
        </w:rPr>
        <w:t>5.</w:t>
      </w:r>
    </w:p>
    <w:p w:rsidR="00DE529D" w:rsidRPr="004F7B95" w:rsidP="003373C4" w14:paraId="2CFEBB22"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4609A" w:rsidRPr="004F7B95" w:rsidP="00022586" w14:paraId="016A1F70" w14:textId="4CFAF2C7">
      <w:pPr>
        <w:tabs>
          <w:tab w:val="num" w:pos="360"/>
        </w:tabs>
        <w:ind w:left="360"/>
        <w:rPr>
          <w:rFonts w:ascii="Times New Roman" w:hAnsi="Times New Roman"/>
          <w:sz w:val="24"/>
          <w:szCs w:val="24"/>
        </w:rPr>
      </w:pPr>
      <w:r w:rsidRPr="3C31DA1E">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3C31DA1E" w:rsidR="59461A3B">
        <w:rPr>
          <w:rFonts w:ascii="Times New Roman" w:hAnsi="Times New Roman"/>
          <w:sz w:val="24"/>
          <w:szCs w:val="24"/>
        </w:rPr>
        <w:t>November 5, 2024</w:t>
      </w:r>
      <w:r w:rsidRPr="3C31DA1E">
        <w:rPr>
          <w:rFonts w:ascii="Times New Roman" w:hAnsi="Times New Roman"/>
          <w:sz w:val="24"/>
          <w:szCs w:val="24"/>
        </w:rPr>
        <w:t xml:space="preserve"> </w:t>
      </w:r>
      <w:r w:rsidR="00A3027B">
        <w:rPr>
          <w:rFonts w:ascii="Times New Roman" w:hAnsi="Times New Roman"/>
          <w:sz w:val="24"/>
          <w:szCs w:val="24"/>
        </w:rPr>
        <w:t>(</w:t>
      </w:r>
      <w:r w:rsidRPr="3C31DA1E" w:rsidR="362A62D9">
        <w:rPr>
          <w:rFonts w:ascii="Times New Roman" w:hAnsi="Times New Roman"/>
          <w:sz w:val="24"/>
          <w:szCs w:val="24"/>
        </w:rPr>
        <w:t>89</w:t>
      </w:r>
      <w:r w:rsidR="00A3027B">
        <w:rPr>
          <w:rFonts w:ascii="Times New Roman" w:hAnsi="Times New Roman"/>
          <w:sz w:val="24"/>
          <w:szCs w:val="24"/>
        </w:rPr>
        <w:t xml:space="preserve"> FR</w:t>
      </w:r>
      <w:r w:rsidRPr="3C31DA1E">
        <w:rPr>
          <w:rFonts w:ascii="Times New Roman" w:hAnsi="Times New Roman"/>
          <w:sz w:val="24"/>
          <w:szCs w:val="24"/>
        </w:rPr>
        <w:t xml:space="preserve"> </w:t>
      </w:r>
      <w:r w:rsidRPr="3C31DA1E" w:rsidR="5528DE17">
        <w:rPr>
          <w:rFonts w:ascii="Times New Roman" w:hAnsi="Times New Roman"/>
          <w:sz w:val="24"/>
          <w:szCs w:val="24"/>
        </w:rPr>
        <w:t>87880</w:t>
      </w:r>
      <w:r w:rsidR="00A3027B">
        <w:rPr>
          <w:rFonts w:ascii="Times New Roman" w:hAnsi="Times New Roman"/>
          <w:sz w:val="24"/>
          <w:szCs w:val="24"/>
        </w:rPr>
        <w:t>)</w:t>
      </w:r>
      <w:r w:rsidRPr="3C31DA1E" w:rsidR="5528DE17">
        <w:rPr>
          <w:rFonts w:ascii="Times New Roman" w:hAnsi="Times New Roman"/>
          <w:sz w:val="24"/>
          <w:szCs w:val="24"/>
        </w:rPr>
        <w:t xml:space="preserve"> </w:t>
      </w:r>
      <w:r w:rsidRPr="3C31DA1E">
        <w:rPr>
          <w:rFonts w:ascii="Times New Roman" w:hAnsi="Times New Roman"/>
          <w:sz w:val="24"/>
          <w:szCs w:val="24"/>
        </w:rPr>
        <w:t xml:space="preserve">and provided a sixty-day period for public comment.  </w:t>
      </w:r>
      <w:r w:rsidRPr="3C31DA1E" w:rsidR="33312401">
        <w:rPr>
          <w:rFonts w:ascii="Times New Roman" w:hAnsi="Times New Roman"/>
          <w:sz w:val="24"/>
          <w:szCs w:val="24"/>
        </w:rPr>
        <w:t xml:space="preserve">As part of the renewal of this information collection, the ACF Office of Child Care </w:t>
      </w:r>
      <w:r w:rsidRPr="3C31DA1E" w:rsidR="0A52FC08">
        <w:rPr>
          <w:rFonts w:ascii="Times New Roman" w:hAnsi="Times New Roman"/>
          <w:sz w:val="24"/>
          <w:szCs w:val="24"/>
        </w:rPr>
        <w:t xml:space="preserve">(OCC) </w:t>
      </w:r>
      <w:r w:rsidRPr="3C31DA1E" w:rsidR="33312401">
        <w:rPr>
          <w:rFonts w:ascii="Times New Roman" w:hAnsi="Times New Roman"/>
          <w:sz w:val="24"/>
          <w:szCs w:val="24"/>
        </w:rPr>
        <w:t>proposed</w:t>
      </w:r>
      <w:r w:rsidRPr="3C31DA1E" w:rsidR="35ADA37D">
        <w:rPr>
          <w:rFonts w:ascii="Times New Roman" w:hAnsi="Times New Roman"/>
          <w:sz w:val="24"/>
          <w:szCs w:val="24"/>
        </w:rPr>
        <w:t xml:space="preserve"> new data elements on presumptive eligibility and additional information about lead agencies using grants and contracts for direct services.</w:t>
      </w:r>
      <w:r w:rsidRPr="3C31DA1E" w:rsidR="33312401">
        <w:rPr>
          <w:rFonts w:ascii="Times New Roman" w:hAnsi="Times New Roman"/>
          <w:sz w:val="24"/>
          <w:szCs w:val="24"/>
        </w:rPr>
        <w:t xml:space="preserve"> </w:t>
      </w:r>
      <w:r w:rsidRPr="3C31DA1E">
        <w:rPr>
          <w:rFonts w:ascii="Times New Roman" w:hAnsi="Times New Roman"/>
          <w:sz w:val="24"/>
          <w:szCs w:val="24"/>
        </w:rPr>
        <w:t xml:space="preserve">During the notice and comment period, </w:t>
      </w:r>
      <w:r w:rsidR="004F3B5D">
        <w:rPr>
          <w:rFonts w:ascii="Times New Roman" w:hAnsi="Times New Roman"/>
          <w:sz w:val="24"/>
          <w:szCs w:val="24"/>
        </w:rPr>
        <w:t>6</w:t>
      </w:r>
      <w:r w:rsidRPr="3C31DA1E">
        <w:rPr>
          <w:rFonts w:ascii="Times New Roman" w:hAnsi="Times New Roman"/>
          <w:sz w:val="24"/>
          <w:szCs w:val="24"/>
        </w:rPr>
        <w:t xml:space="preserve"> comments were received. </w:t>
      </w:r>
      <w:r w:rsidRPr="3C31DA1E" w:rsidR="687F3477">
        <w:rPr>
          <w:rFonts w:ascii="Times New Roman" w:hAnsi="Times New Roman"/>
          <w:sz w:val="24"/>
          <w:szCs w:val="24"/>
        </w:rPr>
        <w:t>The comm</w:t>
      </w:r>
      <w:r w:rsidRPr="3C31DA1E" w:rsidR="4EC28D66">
        <w:rPr>
          <w:rFonts w:ascii="Times New Roman" w:hAnsi="Times New Roman"/>
          <w:sz w:val="24"/>
          <w:szCs w:val="24"/>
        </w:rPr>
        <w:t xml:space="preserve">ents were from </w:t>
      </w:r>
      <w:r w:rsidRPr="3C31DA1E" w:rsidR="621964E5">
        <w:rPr>
          <w:rFonts w:ascii="Times New Roman" w:hAnsi="Times New Roman"/>
          <w:sz w:val="24"/>
          <w:szCs w:val="24"/>
        </w:rPr>
        <w:t xml:space="preserve">3 state CCDF lead agencies (CA, MD, NY) and </w:t>
      </w:r>
      <w:r w:rsidRPr="3C31DA1E" w:rsidR="003373C4">
        <w:rPr>
          <w:rFonts w:ascii="Times New Roman" w:hAnsi="Times New Roman"/>
          <w:sz w:val="24"/>
          <w:szCs w:val="24"/>
        </w:rPr>
        <w:t>t</w:t>
      </w:r>
      <w:r w:rsidR="003373C4">
        <w:rPr>
          <w:rFonts w:ascii="Times New Roman" w:hAnsi="Times New Roman"/>
          <w:sz w:val="24"/>
          <w:szCs w:val="24"/>
        </w:rPr>
        <w:t>hree</w:t>
      </w:r>
      <w:r w:rsidRPr="3C31DA1E" w:rsidR="003373C4">
        <w:rPr>
          <w:rFonts w:ascii="Times New Roman" w:hAnsi="Times New Roman"/>
          <w:sz w:val="24"/>
          <w:szCs w:val="24"/>
        </w:rPr>
        <w:t xml:space="preserve"> </w:t>
      </w:r>
      <w:r w:rsidRPr="3C31DA1E" w:rsidR="621964E5">
        <w:rPr>
          <w:rFonts w:ascii="Times New Roman" w:hAnsi="Times New Roman"/>
          <w:sz w:val="24"/>
          <w:szCs w:val="24"/>
        </w:rPr>
        <w:t>national organizations (Afterschool Alliance, CLASP</w:t>
      </w:r>
      <w:r w:rsidR="003373C4">
        <w:rPr>
          <w:rFonts w:ascii="Times New Roman" w:hAnsi="Times New Roman"/>
          <w:sz w:val="24"/>
          <w:szCs w:val="24"/>
        </w:rPr>
        <w:t>, FFYF</w:t>
      </w:r>
      <w:r w:rsidRPr="3C31DA1E" w:rsidR="621964E5">
        <w:rPr>
          <w:rFonts w:ascii="Times New Roman" w:hAnsi="Times New Roman"/>
          <w:sz w:val="24"/>
          <w:szCs w:val="24"/>
        </w:rPr>
        <w:t xml:space="preserve">).  </w:t>
      </w:r>
      <w:r w:rsidRPr="3C31DA1E" w:rsidR="1D0C10D7">
        <w:rPr>
          <w:rFonts w:ascii="Times New Roman" w:hAnsi="Times New Roman"/>
          <w:sz w:val="24"/>
          <w:szCs w:val="24"/>
        </w:rPr>
        <w:t xml:space="preserve">The state CCDF lead agencies indicated that it would take time and resources to implement the proposed changes, and they raised some other concerns and questions.  </w:t>
      </w:r>
      <w:r w:rsidRPr="3C31DA1E" w:rsidR="73F93B11">
        <w:rPr>
          <w:rFonts w:ascii="Times New Roman" w:hAnsi="Times New Roman"/>
          <w:sz w:val="24"/>
          <w:szCs w:val="24"/>
        </w:rPr>
        <w:t xml:space="preserve">In light of these comments, and in an effort to minimize administrative burden, the ACF </w:t>
      </w:r>
      <w:r w:rsidRPr="3C31DA1E" w:rsidR="6E122112">
        <w:rPr>
          <w:rFonts w:ascii="Times New Roman" w:hAnsi="Times New Roman"/>
          <w:sz w:val="24"/>
          <w:szCs w:val="24"/>
        </w:rPr>
        <w:t>OCC</w:t>
      </w:r>
      <w:r w:rsidRPr="3C31DA1E" w:rsidR="3F6BF15D">
        <w:rPr>
          <w:rFonts w:ascii="Times New Roman" w:hAnsi="Times New Roman"/>
          <w:sz w:val="24"/>
          <w:szCs w:val="24"/>
        </w:rPr>
        <w:t xml:space="preserve"> </w:t>
      </w:r>
      <w:r w:rsidRPr="3C31DA1E" w:rsidR="4054B2B8">
        <w:rPr>
          <w:rFonts w:ascii="Times New Roman" w:hAnsi="Times New Roman"/>
          <w:sz w:val="24"/>
          <w:szCs w:val="24"/>
        </w:rPr>
        <w:t>requests to move forward with renewal of the ACF-800 without the proposed new data elements.  However, ACF</w:t>
      </w:r>
      <w:r w:rsidRPr="3C31DA1E" w:rsidR="3CCABB96">
        <w:rPr>
          <w:rFonts w:ascii="Times New Roman" w:hAnsi="Times New Roman"/>
          <w:sz w:val="24"/>
          <w:szCs w:val="24"/>
        </w:rPr>
        <w:t xml:space="preserve"> OCC still proposes to delete data elements related to the supplemental COVID-19 child care funding that are no longer relevant</w:t>
      </w:r>
      <w:r w:rsidRPr="3C31DA1E" w:rsidR="73F93B11">
        <w:rPr>
          <w:rFonts w:ascii="Times New Roman" w:hAnsi="Times New Roman"/>
          <w:sz w:val="24"/>
          <w:szCs w:val="24"/>
        </w:rPr>
        <w:t xml:space="preserve">.  </w:t>
      </w:r>
    </w:p>
    <w:p w:rsidR="00022586" w:rsidRPr="004F7B95" w:rsidP="00022586" w14:paraId="2EDB417E" w14:textId="77777777">
      <w:pPr>
        <w:widowControl/>
        <w:tabs>
          <w:tab w:val="num" w:pos="360"/>
        </w:tabs>
        <w:ind w:left="360"/>
        <w:rPr>
          <w:rFonts w:ascii="Times New Roman" w:hAnsi="Times New Roman"/>
          <w:snapToGrid/>
          <w:sz w:val="24"/>
          <w:szCs w:val="24"/>
        </w:rPr>
      </w:pPr>
    </w:p>
    <w:p w:rsidR="002C3C4F" w:rsidRPr="00075889" w:rsidP="3C31DA1E" w14:paraId="103D4854" w14:textId="6A8AEA8F">
      <w:pPr>
        <w:widowControl/>
        <w:numPr>
          <w:ilvl w:val="0"/>
          <w:numId w:val="3"/>
        </w:numPr>
        <w:tabs>
          <w:tab w:val="num" w:pos="360"/>
        </w:tabs>
        <w:spacing w:after="120"/>
        <w:ind w:left="360"/>
        <w:rPr>
          <w:rFonts w:ascii="Times New Roman" w:hAnsi="Times New Roman"/>
          <w:b/>
          <w:bCs/>
          <w:snapToGrid/>
          <w:sz w:val="24"/>
          <w:szCs w:val="24"/>
        </w:rPr>
      </w:pPr>
      <w:r w:rsidRPr="3C31DA1E">
        <w:rPr>
          <w:rFonts w:ascii="Times New Roman" w:hAnsi="Times New Roman"/>
          <w:b/>
          <w:bCs/>
          <w:snapToGrid/>
          <w:sz w:val="24"/>
          <w:szCs w:val="24"/>
        </w:rPr>
        <w:t xml:space="preserve">Explanation of Any Payment or Gift to Respondents </w:t>
      </w:r>
    </w:p>
    <w:p w:rsidR="00D60543" w:rsidRPr="00841AF6" w:rsidP="003373C4" w14:paraId="4915BD6F" w14:textId="07F22DDC">
      <w:pPr>
        <w:widowControl/>
        <w:tabs>
          <w:tab w:val="num" w:pos="360"/>
        </w:tabs>
        <w:ind w:left="360"/>
        <w:rPr>
          <w:rFonts w:ascii="Times New Roman" w:hAnsi="Times New Roman"/>
          <w:b/>
          <w:bCs/>
          <w:snapToGrid/>
          <w:sz w:val="24"/>
          <w:szCs w:val="24"/>
        </w:rPr>
      </w:pPr>
      <w:r w:rsidRPr="3C31DA1E">
        <w:rPr>
          <w:rFonts w:ascii="Times New Roman" w:hAnsi="Times New Roman"/>
          <w:sz w:val="24"/>
          <w:szCs w:val="24"/>
        </w:rPr>
        <w:t>Not applicable.</w:t>
      </w:r>
    </w:p>
    <w:p w:rsidR="00D60543" w:rsidRPr="004F7B95" w:rsidP="00DE529D" w14:paraId="62113040" w14:textId="77777777">
      <w:pPr>
        <w:widowControl/>
        <w:tabs>
          <w:tab w:val="num" w:pos="360"/>
        </w:tabs>
        <w:ind w:left="360"/>
        <w:rPr>
          <w:rFonts w:ascii="Times New Roman" w:hAnsi="Times New Roman"/>
          <w:snapToGrid/>
          <w:sz w:val="24"/>
          <w:szCs w:val="24"/>
        </w:rPr>
      </w:pPr>
    </w:p>
    <w:p w:rsidR="002C3C4F" w:rsidRPr="00075889" w:rsidP="003373C4" w14:paraId="4874FACA" w14:textId="77777777">
      <w:pPr>
        <w:widowControl/>
        <w:numPr>
          <w:ilvl w:val="0"/>
          <w:numId w:val="3"/>
        </w:numPr>
        <w:tabs>
          <w:tab w:val="num" w:pos="360"/>
        </w:tabs>
        <w:spacing w:after="120"/>
        <w:ind w:left="360"/>
        <w:rPr>
          <w:rFonts w:ascii="Times New Roman" w:hAnsi="Times New Roman"/>
          <w:b/>
          <w:snapToGrid/>
          <w:sz w:val="24"/>
          <w:szCs w:val="24"/>
        </w:rPr>
      </w:pPr>
      <w:r w:rsidRPr="0EF57BEA">
        <w:rPr>
          <w:rFonts w:ascii="Times New Roman" w:hAnsi="Times New Roman"/>
          <w:b/>
          <w:bCs/>
          <w:snapToGrid/>
          <w:sz w:val="24"/>
          <w:szCs w:val="24"/>
        </w:rPr>
        <w:t xml:space="preserve">Assurance of Confidentiality Provided to Respondents </w:t>
      </w:r>
    </w:p>
    <w:p w:rsidR="00D60543" w:rsidP="00022586" w14:paraId="2748236F" w14:textId="59CF90CB">
      <w:pPr>
        <w:widowControl/>
        <w:tabs>
          <w:tab w:val="num" w:pos="360"/>
        </w:tabs>
        <w:ind w:left="360"/>
        <w:rPr>
          <w:rFonts w:ascii="Times New Roman" w:hAnsi="Times New Roman"/>
          <w:snapToGrid/>
          <w:sz w:val="24"/>
          <w:szCs w:val="24"/>
        </w:rPr>
      </w:pPr>
      <w:r w:rsidRPr="3C31DA1E">
        <w:rPr>
          <w:rFonts w:ascii="Times New Roman" w:hAnsi="Times New Roman"/>
          <w:sz w:val="24"/>
          <w:szCs w:val="24"/>
        </w:rPr>
        <w:t>This information collection does not require any assurance of confidentiality.</w:t>
      </w:r>
    </w:p>
    <w:p w:rsidR="00D60543" w:rsidRPr="004F7B95" w:rsidP="00DE529D" w14:paraId="1C82E036" w14:textId="77777777">
      <w:pPr>
        <w:widowControl/>
        <w:tabs>
          <w:tab w:val="num" w:pos="360"/>
        </w:tabs>
        <w:ind w:left="360"/>
        <w:rPr>
          <w:rFonts w:ascii="Times New Roman" w:hAnsi="Times New Roman"/>
          <w:snapToGrid/>
          <w:sz w:val="24"/>
          <w:szCs w:val="24"/>
        </w:rPr>
      </w:pPr>
    </w:p>
    <w:p w:rsidR="002C3C4F" w:rsidRPr="00075889" w:rsidP="003373C4"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CB1A12" w:rsidRPr="004F7B95" w:rsidP="00022586" w14:paraId="4BEEA08B" w14:textId="2CB91C17">
      <w:pPr>
        <w:widowControl/>
        <w:tabs>
          <w:tab w:val="num" w:pos="360"/>
        </w:tabs>
        <w:ind w:left="360"/>
        <w:rPr>
          <w:rFonts w:ascii="Times New Roman" w:hAnsi="Times New Roman"/>
          <w:snapToGrid/>
          <w:sz w:val="24"/>
          <w:szCs w:val="24"/>
        </w:rPr>
      </w:pPr>
      <w:r w:rsidRPr="3C31DA1E">
        <w:rPr>
          <w:rFonts w:ascii="Times New Roman" w:hAnsi="Times New Roman"/>
          <w:sz w:val="24"/>
          <w:szCs w:val="24"/>
        </w:rPr>
        <w:t>This information collection does not require any assurance of confidentiality.</w:t>
      </w:r>
    </w:p>
    <w:p w:rsidR="00DE529D" w:rsidRPr="004F7B95" w:rsidP="0051278C" w14:paraId="710C7355" w14:textId="77777777">
      <w:pPr>
        <w:widowControl/>
        <w:tabs>
          <w:tab w:val="num" w:pos="360"/>
        </w:tabs>
        <w:ind w:left="720" w:hanging="360"/>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5A42027D">
        <w:rPr>
          <w:rFonts w:ascii="Times New Roman" w:hAnsi="Times New Roman"/>
          <w:b/>
          <w:bCs/>
          <w:snapToGrid/>
          <w:sz w:val="24"/>
          <w:szCs w:val="24"/>
        </w:rPr>
        <w:t xml:space="preserve">Estimates of Annualized Burden Hours and Costs </w:t>
      </w:r>
    </w:p>
    <w:p w:rsidR="00CB1A12" w:rsidP="5A42027D" w14:paraId="55C33B29" w14:textId="207480E7">
      <w:pPr>
        <w:widowControl/>
        <w:spacing w:after="60"/>
        <w:ind w:left="360"/>
        <w:rPr>
          <w:rFonts w:ascii="Times New Roman" w:hAnsi="Times New Roman"/>
          <w:i/>
          <w:iCs/>
          <w:sz w:val="24"/>
          <w:szCs w:val="24"/>
        </w:rPr>
      </w:pPr>
      <w:r w:rsidRPr="5A42027D">
        <w:rPr>
          <w:rFonts w:ascii="Times New Roman" w:hAnsi="Times New Roman"/>
          <w:i/>
          <w:iCs/>
          <w:sz w:val="24"/>
          <w:szCs w:val="24"/>
        </w:rPr>
        <w:t>Estimated Burden Hours</w:t>
      </w:r>
    </w:p>
    <w:p w:rsidR="00131AE3" w:rsidP="5A42027D" w14:paraId="25389E20" w14:textId="0418A3DD">
      <w:pPr>
        <w:widowControl/>
        <w:spacing w:after="60"/>
        <w:ind w:left="360"/>
        <w:rPr>
          <w:rFonts w:ascii="Times New Roman" w:hAnsi="Times New Roman"/>
          <w:sz w:val="24"/>
          <w:szCs w:val="24"/>
        </w:rPr>
      </w:pPr>
      <w:r>
        <w:rPr>
          <w:rFonts w:ascii="Times New Roman" w:hAnsi="Times New Roman"/>
          <w:sz w:val="24"/>
          <w:szCs w:val="24"/>
        </w:rPr>
        <w:t xml:space="preserve">The estimated burden hours are based on prior burden estimates and </w:t>
      </w:r>
      <w:r w:rsidR="00E46038">
        <w:rPr>
          <w:rFonts w:ascii="Times New Roman" w:hAnsi="Times New Roman"/>
          <w:sz w:val="24"/>
          <w:szCs w:val="24"/>
        </w:rPr>
        <w:t>experience</w:t>
      </w:r>
      <w:r>
        <w:rPr>
          <w:rFonts w:ascii="Times New Roman" w:hAnsi="Times New Roman"/>
          <w:sz w:val="24"/>
          <w:szCs w:val="24"/>
        </w:rPr>
        <w:t xml:space="preserve"> with </w:t>
      </w:r>
      <w:r w:rsidR="002C506B">
        <w:rPr>
          <w:rFonts w:ascii="Times New Roman" w:hAnsi="Times New Roman"/>
          <w:sz w:val="24"/>
          <w:szCs w:val="24"/>
        </w:rPr>
        <w:t xml:space="preserve">CARS technical assistance working with states and territories on the </w:t>
      </w:r>
      <w:r w:rsidR="0030016B">
        <w:rPr>
          <w:rFonts w:ascii="Times New Roman" w:hAnsi="Times New Roman"/>
          <w:sz w:val="24"/>
          <w:szCs w:val="24"/>
        </w:rPr>
        <w:t xml:space="preserve">annual aggregate report. In </w:t>
      </w:r>
      <w:r w:rsidR="0030016B">
        <w:rPr>
          <w:rFonts w:ascii="Times New Roman" w:hAnsi="Times New Roman"/>
          <w:sz w:val="24"/>
          <w:szCs w:val="24"/>
        </w:rPr>
        <w:t xml:space="preserve">addition, there were </w:t>
      </w:r>
      <w:r w:rsidR="008B42F1">
        <w:rPr>
          <w:rFonts w:ascii="Times New Roman" w:hAnsi="Times New Roman"/>
          <w:sz w:val="24"/>
          <w:szCs w:val="24"/>
        </w:rPr>
        <w:t>no comments</w:t>
      </w:r>
      <w:r w:rsidR="00002EE1">
        <w:rPr>
          <w:rFonts w:ascii="Times New Roman" w:hAnsi="Times New Roman"/>
          <w:sz w:val="24"/>
          <w:szCs w:val="24"/>
        </w:rPr>
        <w:t xml:space="preserve"> provided</w:t>
      </w:r>
      <w:r w:rsidR="008B42F1">
        <w:rPr>
          <w:rFonts w:ascii="Times New Roman" w:hAnsi="Times New Roman"/>
          <w:sz w:val="24"/>
          <w:szCs w:val="24"/>
        </w:rPr>
        <w:t xml:space="preserve"> regarding burden estimates </w:t>
      </w:r>
      <w:r w:rsidR="00302534">
        <w:rPr>
          <w:rFonts w:ascii="Times New Roman" w:hAnsi="Times New Roman"/>
          <w:sz w:val="24"/>
          <w:szCs w:val="24"/>
        </w:rPr>
        <w:t>during the sixty</w:t>
      </w:r>
      <w:r w:rsidR="00002EE1">
        <w:rPr>
          <w:rFonts w:ascii="Times New Roman" w:hAnsi="Times New Roman"/>
          <w:sz w:val="24"/>
          <w:szCs w:val="24"/>
        </w:rPr>
        <w:t>-day</w:t>
      </w:r>
      <w:r w:rsidR="00302534">
        <w:rPr>
          <w:rFonts w:ascii="Times New Roman" w:hAnsi="Times New Roman"/>
          <w:sz w:val="24"/>
          <w:szCs w:val="24"/>
        </w:rPr>
        <w:t xml:space="preserve"> period for</w:t>
      </w:r>
      <w:r w:rsidR="00002EE1">
        <w:rPr>
          <w:rFonts w:ascii="Times New Roman" w:hAnsi="Times New Roman"/>
          <w:sz w:val="24"/>
          <w:szCs w:val="24"/>
        </w:rPr>
        <w:t xml:space="preserve"> public</w:t>
      </w:r>
      <w:r w:rsidR="00302534">
        <w:rPr>
          <w:rFonts w:ascii="Times New Roman" w:hAnsi="Times New Roman"/>
          <w:sz w:val="24"/>
          <w:szCs w:val="24"/>
        </w:rPr>
        <w:t xml:space="preserve"> comment. </w:t>
      </w:r>
    </w:p>
    <w:p w:rsidR="004F3B5D" w:rsidRPr="00CB44B7" w:rsidP="5A42027D" w14:paraId="144AB6D3" w14:textId="77777777">
      <w:pPr>
        <w:widowControl/>
        <w:spacing w:after="60"/>
        <w:ind w:left="360"/>
        <w:rPr>
          <w:rFonts w:ascii="Times New Roman" w:hAnsi="Times New Roman"/>
          <w:sz w:val="24"/>
          <w:szCs w:val="24"/>
        </w:rPr>
      </w:pPr>
    </w:p>
    <w:tbl>
      <w:tblPr>
        <w:tblW w:w="901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1909"/>
        <w:gridCol w:w="1239"/>
        <w:gridCol w:w="1484"/>
        <w:gridCol w:w="1559"/>
        <w:gridCol w:w="899"/>
        <w:gridCol w:w="1010"/>
        <w:gridCol w:w="916"/>
      </w:tblGrid>
      <w:tr w14:paraId="04D47004" w14:textId="77777777" w:rsidTr="003373C4">
        <w:tblPrEx>
          <w:tblW w:w="901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Ex>
        <w:trPr>
          <w:jc w:val="center"/>
        </w:trPr>
        <w:tc>
          <w:tcPr>
            <w:tcW w:w="1909" w:type="dxa"/>
            <w:shd w:val="clear" w:color="auto" w:fill="BFBFBF" w:themeFill="background1" w:themeFillShade="BF"/>
            <w:vAlign w:val="center"/>
          </w:tcPr>
          <w:p w:rsidR="003373C4" w:rsidP="001F54F1" w14:paraId="6646B764" w14:textId="77777777">
            <w:pPr>
              <w:jc w:val="center"/>
              <w:rPr>
                <w:rFonts w:ascii="Times New Roman" w:hAnsi="Times New Roman"/>
              </w:rPr>
            </w:pPr>
          </w:p>
          <w:p w:rsidR="003373C4" w:rsidRPr="00405C10" w:rsidP="00CB44B7" w14:paraId="2C571854" w14:textId="18C2E1C5">
            <w:pPr>
              <w:rPr>
                <w:rFonts w:ascii="Times New Roman" w:hAnsi="Times New Roman"/>
              </w:rPr>
            </w:pPr>
            <w:r w:rsidRPr="662E7714">
              <w:rPr>
                <w:rFonts w:ascii="Times New Roman" w:hAnsi="Times New Roman"/>
              </w:rPr>
              <w:t>Information Collection Title</w:t>
            </w:r>
          </w:p>
        </w:tc>
        <w:tc>
          <w:tcPr>
            <w:tcW w:w="1239" w:type="dxa"/>
            <w:shd w:val="clear" w:color="auto" w:fill="BFBFBF" w:themeFill="background1" w:themeFillShade="BF"/>
            <w:vAlign w:val="center"/>
          </w:tcPr>
          <w:p w:rsidR="003373C4" w:rsidRPr="00405C10" w:rsidP="001F54F1" w14:paraId="244D0810" w14:textId="77777777">
            <w:pPr>
              <w:jc w:val="center"/>
              <w:rPr>
                <w:rFonts w:ascii="Times New Roman" w:hAnsi="Times New Roman"/>
                <w:szCs w:val="24"/>
              </w:rPr>
            </w:pPr>
            <w:r w:rsidRPr="00405C10">
              <w:rPr>
                <w:rFonts w:ascii="Times New Roman" w:hAnsi="Times New Roman"/>
                <w:szCs w:val="24"/>
              </w:rPr>
              <w:t>Total Number of Respondents</w:t>
            </w:r>
          </w:p>
        </w:tc>
        <w:tc>
          <w:tcPr>
            <w:tcW w:w="1484" w:type="dxa"/>
            <w:shd w:val="clear" w:color="auto" w:fill="BFBFBF" w:themeFill="background1" w:themeFillShade="BF"/>
            <w:vAlign w:val="center"/>
          </w:tcPr>
          <w:p w:rsidR="003373C4" w:rsidRPr="00405C10" w:rsidP="001F54F1" w14:paraId="3A3B1478" w14:textId="63BBA855">
            <w:pPr>
              <w:jc w:val="center"/>
              <w:rPr>
                <w:rFonts w:ascii="Times New Roman" w:hAnsi="Times New Roman"/>
                <w:szCs w:val="24"/>
              </w:rPr>
            </w:pPr>
            <w:r w:rsidRPr="00405C10">
              <w:rPr>
                <w:rFonts w:ascii="Times New Roman" w:hAnsi="Times New Roman"/>
                <w:szCs w:val="24"/>
              </w:rPr>
              <w:t xml:space="preserve">Total </w:t>
            </w:r>
            <w:r>
              <w:rPr>
                <w:rFonts w:ascii="Times New Roman" w:hAnsi="Times New Roman"/>
                <w:szCs w:val="24"/>
              </w:rPr>
              <w:t xml:space="preserve">Annual </w:t>
            </w:r>
            <w:r w:rsidRPr="00405C10">
              <w:rPr>
                <w:rFonts w:ascii="Times New Roman" w:hAnsi="Times New Roman"/>
                <w:szCs w:val="24"/>
              </w:rPr>
              <w:t>Number of Responses Per Respondent</w:t>
            </w:r>
          </w:p>
        </w:tc>
        <w:tc>
          <w:tcPr>
            <w:tcW w:w="1559" w:type="dxa"/>
            <w:shd w:val="clear" w:color="auto" w:fill="BFBFBF" w:themeFill="background1" w:themeFillShade="BF"/>
            <w:vAlign w:val="center"/>
          </w:tcPr>
          <w:p w:rsidR="003373C4" w:rsidRPr="00405C10" w:rsidP="001F54F1" w14:paraId="078D2473" w14:textId="77777777">
            <w:pPr>
              <w:jc w:val="center"/>
              <w:rPr>
                <w:rFonts w:ascii="Times New Roman" w:hAnsi="Times New Roman"/>
                <w:szCs w:val="24"/>
              </w:rPr>
            </w:pPr>
            <w:r w:rsidRPr="00405C10">
              <w:rPr>
                <w:rFonts w:ascii="Times New Roman" w:hAnsi="Times New Roman"/>
                <w:szCs w:val="24"/>
              </w:rPr>
              <w:t>Average Burden Hours Per Response</w:t>
            </w:r>
          </w:p>
        </w:tc>
        <w:tc>
          <w:tcPr>
            <w:tcW w:w="899" w:type="dxa"/>
            <w:shd w:val="clear" w:color="auto" w:fill="BFBFBF" w:themeFill="background1" w:themeFillShade="BF"/>
            <w:vAlign w:val="center"/>
          </w:tcPr>
          <w:p w:rsidR="003373C4" w:rsidRPr="00405C10" w:rsidP="001F54F1" w14:paraId="66A445F4" w14:textId="77777777">
            <w:pPr>
              <w:jc w:val="center"/>
              <w:rPr>
                <w:rFonts w:ascii="Times New Roman" w:hAnsi="Times New Roman"/>
                <w:bCs/>
                <w:szCs w:val="24"/>
              </w:rPr>
            </w:pPr>
            <w:r w:rsidRPr="00405C10">
              <w:rPr>
                <w:rFonts w:ascii="Times New Roman" w:hAnsi="Times New Roman"/>
                <w:bCs/>
                <w:szCs w:val="24"/>
              </w:rPr>
              <w:t>Annual Burden Hours</w:t>
            </w:r>
          </w:p>
        </w:tc>
        <w:tc>
          <w:tcPr>
            <w:tcW w:w="1010" w:type="dxa"/>
            <w:shd w:val="clear" w:color="auto" w:fill="BFBFBF" w:themeFill="background1" w:themeFillShade="BF"/>
            <w:vAlign w:val="center"/>
          </w:tcPr>
          <w:p w:rsidR="003373C4" w:rsidRPr="00405C10" w:rsidP="001F54F1" w14:paraId="471C8093" w14:textId="77777777">
            <w:pPr>
              <w:jc w:val="center"/>
              <w:rPr>
                <w:rFonts w:ascii="Times New Roman" w:hAnsi="Times New Roman"/>
                <w:szCs w:val="24"/>
              </w:rPr>
            </w:pPr>
            <w:r w:rsidRPr="00405C10">
              <w:rPr>
                <w:rFonts w:ascii="Times New Roman" w:hAnsi="Times New Roman"/>
                <w:bCs/>
                <w:szCs w:val="24"/>
              </w:rPr>
              <w:t>Average Hourly Wage</w:t>
            </w:r>
          </w:p>
        </w:tc>
        <w:tc>
          <w:tcPr>
            <w:tcW w:w="916" w:type="dxa"/>
            <w:shd w:val="clear" w:color="auto" w:fill="BFBFBF" w:themeFill="background1" w:themeFillShade="BF"/>
            <w:vAlign w:val="center"/>
          </w:tcPr>
          <w:p w:rsidR="003373C4" w:rsidRPr="00405C10" w:rsidP="001F54F1" w14:paraId="2B7D6690" w14:textId="77777777">
            <w:pPr>
              <w:jc w:val="center"/>
              <w:rPr>
                <w:rFonts w:ascii="Times New Roman" w:hAnsi="Times New Roman"/>
                <w:szCs w:val="24"/>
              </w:rPr>
            </w:pPr>
            <w:r w:rsidRPr="00405C10">
              <w:rPr>
                <w:rFonts w:ascii="Times New Roman" w:hAnsi="Times New Roman"/>
                <w:bCs/>
                <w:szCs w:val="24"/>
              </w:rPr>
              <w:t>Total Annual Cost</w:t>
            </w:r>
          </w:p>
        </w:tc>
      </w:tr>
      <w:tr w14:paraId="15D6C284" w14:textId="77777777" w:rsidTr="003373C4">
        <w:tblPrEx>
          <w:tblW w:w="9016" w:type="dxa"/>
          <w:jc w:val="center"/>
          <w:tblLook w:val="00A0"/>
        </w:tblPrEx>
        <w:trPr>
          <w:trHeight w:val="432"/>
          <w:jc w:val="center"/>
        </w:trPr>
        <w:tc>
          <w:tcPr>
            <w:tcW w:w="1909" w:type="dxa"/>
            <w:vAlign w:val="center"/>
          </w:tcPr>
          <w:p w:rsidR="003373C4" w:rsidRPr="00405C10" w:rsidP="001F54F1" w14:paraId="64DA0ACA" w14:textId="77777777">
            <w:pPr>
              <w:tabs>
                <w:tab w:val="center" w:pos="4320"/>
                <w:tab w:val="right" w:pos="8640"/>
              </w:tabs>
              <w:rPr>
                <w:rFonts w:ascii="Times New Roman" w:hAnsi="Times New Roman"/>
              </w:rPr>
            </w:pPr>
            <w:r w:rsidRPr="3C31DA1E">
              <w:rPr>
                <w:rFonts w:ascii="Times New Roman" w:hAnsi="Times New Roman"/>
              </w:rPr>
              <w:t>ACF-800: Child Care and Development Fund (CCDF) Annual Aggregate Report</w:t>
            </w:r>
          </w:p>
        </w:tc>
        <w:tc>
          <w:tcPr>
            <w:tcW w:w="1239" w:type="dxa"/>
            <w:vAlign w:val="center"/>
          </w:tcPr>
          <w:p w:rsidR="003373C4" w:rsidRPr="00405C10" w:rsidP="001F54F1" w14:paraId="1BDCD036" w14:textId="77777777">
            <w:pPr>
              <w:tabs>
                <w:tab w:val="center" w:pos="4320"/>
                <w:tab w:val="right" w:pos="8640"/>
              </w:tabs>
              <w:jc w:val="center"/>
              <w:rPr>
                <w:rFonts w:ascii="Times New Roman" w:hAnsi="Times New Roman"/>
              </w:rPr>
            </w:pPr>
            <w:r w:rsidRPr="3C31DA1E">
              <w:rPr>
                <w:rFonts w:ascii="Times New Roman" w:hAnsi="Times New Roman"/>
              </w:rPr>
              <w:t>56</w:t>
            </w:r>
          </w:p>
        </w:tc>
        <w:tc>
          <w:tcPr>
            <w:tcW w:w="1484" w:type="dxa"/>
            <w:vAlign w:val="center"/>
          </w:tcPr>
          <w:p w:rsidR="003373C4" w:rsidRPr="00405C10" w:rsidP="001F54F1" w14:paraId="012C5F85" w14:textId="77777777">
            <w:pPr>
              <w:tabs>
                <w:tab w:val="center" w:pos="4320"/>
                <w:tab w:val="right" w:pos="8640"/>
              </w:tabs>
              <w:jc w:val="center"/>
              <w:rPr>
                <w:rFonts w:ascii="Times New Roman" w:hAnsi="Times New Roman"/>
              </w:rPr>
            </w:pPr>
            <w:r w:rsidRPr="3C31DA1E">
              <w:rPr>
                <w:rFonts w:ascii="Times New Roman" w:hAnsi="Times New Roman"/>
              </w:rPr>
              <w:t>1</w:t>
            </w:r>
          </w:p>
        </w:tc>
        <w:tc>
          <w:tcPr>
            <w:tcW w:w="1559" w:type="dxa"/>
            <w:vAlign w:val="center"/>
          </w:tcPr>
          <w:p w:rsidR="003373C4" w:rsidRPr="00405C10" w:rsidP="001F54F1" w14:paraId="1E5911C3" w14:textId="77777777">
            <w:pPr>
              <w:tabs>
                <w:tab w:val="center" w:pos="4320"/>
                <w:tab w:val="right" w:pos="8640"/>
              </w:tabs>
              <w:jc w:val="center"/>
              <w:rPr>
                <w:rFonts w:ascii="Times New Roman" w:hAnsi="Times New Roman"/>
              </w:rPr>
            </w:pPr>
            <w:r w:rsidRPr="3C31DA1E">
              <w:rPr>
                <w:rFonts w:ascii="Times New Roman" w:hAnsi="Times New Roman"/>
              </w:rPr>
              <w:t>40</w:t>
            </w:r>
          </w:p>
        </w:tc>
        <w:tc>
          <w:tcPr>
            <w:tcW w:w="899" w:type="dxa"/>
            <w:vAlign w:val="center"/>
          </w:tcPr>
          <w:p w:rsidR="003373C4" w:rsidRPr="00405C10" w:rsidP="001F54F1" w14:paraId="7A944A88" w14:textId="77777777">
            <w:pPr>
              <w:tabs>
                <w:tab w:val="center" w:pos="4320"/>
                <w:tab w:val="right" w:pos="8640"/>
              </w:tabs>
              <w:jc w:val="center"/>
              <w:rPr>
                <w:rFonts w:ascii="Times New Roman" w:hAnsi="Times New Roman"/>
              </w:rPr>
            </w:pPr>
            <w:r w:rsidRPr="3C31DA1E">
              <w:rPr>
                <w:rFonts w:ascii="Times New Roman" w:hAnsi="Times New Roman"/>
              </w:rPr>
              <w:t>2,240</w:t>
            </w:r>
          </w:p>
        </w:tc>
        <w:tc>
          <w:tcPr>
            <w:tcW w:w="1010" w:type="dxa"/>
            <w:vAlign w:val="center"/>
          </w:tcPr>
          <w:p w:rsidR="003373C4" w:rsidRPr="00405C10" w:rsidP="001F54F1" w14:paraId="25FC3440" w14:textId="6CE418F2">
            <w:pPr>
              <w:tabs>
                <w:tab w:val="center" w:pos="4320"/>
                <w:tab w:val="right" w:pos="8640"/>
              </w:tabs>
              <w:jc w:val="center"/>
              <w:rPr>
                <w:rFonts w:ascii="Times New Roman" w:hAnsi="Times New Roman"/>
              </w:rPr>
            </w:pPr>
            <w:r>
              <w:rPr>
                <w:rFonts w:ascii="Times New Roman" w:hAnsi="Times New Roman"/>
              </w:rPr>
              <w:t>22.64</w:t>
            </w:r>
          </w:p>
        </w:tc>
        <w:tc>
          <w:tcPr>
            <w:tcW w:w="916" w:type="dxa"/>
            <w:vAlign w:val="center"/>
          </w:tcPr>
          <w:p w:rsidR="003373C4" w:rsidRPr="00405C10" w:rsidP="001F54F1" w14:paraId="576D4401" w14:textId="3FD6B053">
            <w:pPr>
              <w:tabs>
                <w:tab w:val="center" w:pos="4320"/>
                <w:tab w:val="right" w:pos="8640"/>
              </w:tabs>
              <w:jc w:val="center"/>
              <w:rPr>
                <w:rFonts w:ascii="Times New Roman" w:hAnsi="Times New Roman"/>
              </w:rPr>
            </w:pPr>
            <w:r>
              <w:rPr>
                <w:rFonts w:ascii="Times New Roman" w:hAnsi="Times New Roman"/>
              </w:rPr>
              <w:t>101,427</w:t>
            </w:r>
          </w:p>
        </w:tc>
      </w:tr>
    </w:tbl>
    <w:p w:rsidR="00CB1A12" w:rsidRPr="004F7B95" w:rsidP="5A42027D" w14:paraId="491EE3AF" w14:textId="360F17F2">
      <w:pPr>
        <w:widowControl/>
        <w:ind w:left="360"/>
      </w:pPr>
      <w:r w:rsidRPr="5A42027D">
        <w:rPr>
          <w:rFonts w:ascii="Times New Roman" w:hAnsi="Times New Roman"/>
          <w:i/>
          <w:iCs/>
          <w:sz w:val="24"/>
          <w:szCs w:val="24"/>
        </w:rPr>
        <w:t xml:space="preserve"> </w:t>
      </w:r>
    </w:p>
    <w:p w:rsidR="00CB1A12" w:rsidRPr="004F7B95" w:rsidP="006A53BD" w14:paraId="00BF9A14" w14:textId="20417381">
      <w:pPr>
        <w:widowControl/>
        <w:spacing w:after="60"/>
        <w:rPr>
          <w:rFonts w:ascii="Times New Roman" w:hAnsi="Times New Roman"/>
          <w:i/>
          <w:iCs/>
          <w:sz w:val="24"/>
          <w:szCs w:val="24"/>
        </w:rPr>
      </w:pPr>
      <w:r w:rsidRPr="5A42027D">
        <w:rPr>
          <w:rFonts w:ascii="Times New Roman" w:hAnsi="Times New Roman"/>
          <w:i/>
          <w:iCs/>
          <w:sz w:val="24"/>
          <w:szCs w:val="24"/>
        </w:rPr>
        <w:t>Estimated Cost to Respondents</w:t>
      </w:r>
    </w:p>
    <w:p w:rsidR="004602FE" w:rsidRPr="004F7B95" w:rsidP="3C31DA1E" w14:paraId="6BA190CE" w14:textId="121BAFE9">
      <w:pPr>
        <w:widowControl/>
        <w:rPr>
          <w:rFonts w:ascii="Times New Roman" w:hAnsi="Times New Roman"/>
          <w:sz w:val="24"/>
          <w:szCs w:val="24"/>
        </w:rPr>
      </w:pPr>
      <w:r w:rsidRPr="3C31DA1E">
        <w:rPr>
          <w:rFonts w:ascii="Times New Roman" w:hAnsi="Times New Roman"/>
          <w:sz w:val="24"/>
          <w:szCs w:val="24"/>
        </w:rPr>
        <w:t xml:space="preserve">The cost to respondents was calculated using the Bureau of Labor Statistics (BLS) job code for Social and Human Services Assistants [21-1093] and wage data from May </w:t>
      </w:r>
      <w:r w:rsidRPr="3C31DA1E" w:rsidR="003373C4">
        <w:rPr>
          <w:rFonts w:ascii="Times New Roman" w:hAnsi="Times New Roman"/>
          <w:sz w:val="24"/>
          <w:szCs w:val="24"/>
        </w:rPr>
        <w:t>202</w:t>
      </w:r>
      <w:r w:rsidR="003373C4">
        <w:rPr>
          <w:rFonts w:ascii="Times New Roman" w:hAnsi="Times New Roman"/>
          <w:sz w:val="24"/>
          <w:szCs w:val="24"/>
        </w:rPr>
        <w:t>4</w:t>
      </w:r>
      <w:r w:rsidRPr="3C31DA1E">
        <w:rPr>
          <w:rFonts w:ascii="Times New Roman" w:hAnsi="Times New Roman"/>
          <w:sz w:val="24"/>
          <w:szCs w:val="24"/>
        </w:rPr>
        <w:t>, which is $</w:t>
      </w:r>
      <w:r w:rsidRPr="3C31DA1E" w:rsidR="14C13008">
        <w:rPr>
          <w:rFonts w:ascii="Times New Roman" w:hAnsi="Times New Roman"/>
          <w:sz w:val="24"/>
          <w:szCs w:val="24"/>
        </w:rPr>
        <w:t>2</w:t>
      </w:r>
      <w:r w:rsidR="003373C4">
        <w:rPr>
          <w:rFonts w:ascii="Times New Roman" w:hAnsi="Times New Roman"/>
          <w:sz w:val="24"/>
          <w:szCs w:val="24"/>
        </w:rPr>
        <w:t>2</w:t>
      </w:r>
      <w:r w:rsidRPr="3C31DA1E" w:rsidR="14C13008">
        <w:rPr>
          <w:rFonts w:ascii="Times New Roman" w:hAnsi="Times New Roman"/>
          <w:sz w:val="24"/>
          <w:szCs w:val="24"/>
        </w:rPr>
        <w:t>.</w:t>
      </w:r>
      <w:r w:rsidR="003373C4">
        <w:rPr>
          <w:rFonts w:ascii="Times New Roman" w:hAnsi="Times New Roman"/>
          <w:sz w:val="24"/>
          <w:szCs w:val="24"/>
        </w:rPr>
        <w:t>64</w:t>
      </w:r>
      <w:r w:rsidRPr="3C31DA1E">
        <w:rPr>
          <w:rFonts w:ascii="Times New Roman" w:hAnsi="Times New Roman"/>
          <w:sz w:val="24"/>
          <w:szCs w:val="24"/>
        </w:rPr>
        <w:t xml:space="preserve"> per hour. To account for fringe benefits and overhead the rate was multiplied by two which is $</w:t>
      </w:r>
      <w:r w:rsidR="003373C4">
        <w:rPr>
          <w:rFonts w:ascii="Times New Roman" w:hAnsi="Times New Roman"/>
          <w:sz w:val="24"/>
          <w:szCs w:val="24"/>
        </w:rPr>
        <w:t>45.28</w:t>
      </w:r>
      <w:r w:rsidRPr="3C31DA1E">
        <w:rPr>
          <w:rFonts w:ascii="Times New Roman" w:hAnsi="Times New Roman"/>
          <w:sz w:val="24"/>
          <w:szCs w:val="24"/>
        </w:rPr>
        <w:t>.  The estimate of annualized cost for all states and territories (56) for $</w:t>
      </w:r>
      <w:r w:rsidRPr="3C31DA1E" w:rsidR="01E8E8F2">
        <w:rPr>
          <w:rFonts w:ascii="Times New Roman" w:hAnsi="Times New Roman"/>
          <w:sz w:val="24"/>
          <w:szCs w:val="24"/>
        </w:rPr>
        <w:t>4</w:t>
      </w:r>
      <w:r w:rsidR="003373C4">
        <w:rPr>
          <w:rFonts w:ascii="Times New Roman" w:hAnsi="Times New Roman"/>
          <w:sz w:val="24"/>
          <w:szCs w:val="24"/>
        </w:rPr>
        <w:t>5</w:t>
      </w:r>
      <w:r w:rsidRPr="3C31DA1E" w:rsidR="01E8E8F2">
        <w:rPr>
          <w:rFonts w:ascii="Times New Roman" w:hAnsi="Times New Roman"/>
          <w:sz w:val="24"/>
          <w:szCs w:val="24"/>
        </w:rPr>
        <w:t>.</w:t>
      </w:r>
      <w:r w:rsidR="003373C4">
        <w:rPr>
          <w:rFonts w:ascii="Times New Roman" w:hAnsi="Times New Roman"/>
          <w:sz w:val="24"/>
          <w:szCs w:val="24"/>
        </w:rPr>
        <w:t>28</w:t>
      </w:r>
      <w:r w:rsidRPr="3C31DA1E">
        <w:rPr>
          <w:rFonts w:ascii="Times New Roman" w:hAnsi="Times New Roman"/>
          <w:sz w:val="24"/>
          <w:szCs w:val="24"/>
        </w:rPr>
        <w:t xml:space="preserve"> times 40 hours is $</w:t>
      </w:r>
      <w:r w:rsidR="003373C4">
        <w:rPr>
          <w:rFonts w:ascii="Times New Roman" w:hAnsi="Times New Roman"/>
          <w:sz w:val="24"/>
          <w:szCs w:val="24"/>
        </w:rPr>
        <w:t>101,427</w:t>
      </w:r>
      <w:r w:rsidRPr="3C31DA1E">
        <w:rPr>
          <w:rFonts w:ascii="Times New Roman" w:hAnsi="Times New Roman"/>
          <w:sz w:val="24"/>
          <w:szCs w:val="24"/>
        </w:rPr>
        <w:t>.</w:t>
      </w:r>
    </w:p>
    <w:p w:rsidR="00D60543" w:rsidRPr="001C6016" w:rsidP="00DE529D" w14:paraId="77D4A871" w14:textId="5D0BCAF7">
      <w:pPr>
        <w:widowControl/>
        <w:ind w:left="360"/>
        <w:rPr>
          <w:rStyle w:val="cf01"/>
          <w:rFonts w:ascii="Times New Roman" w:hAnsi="Times New Roman" w:cs="Times New Roman"/>
          <w:color w:val="0000FF"/>
          <w:u w:val="single"/>
        </w:rPr>
      </w:pPr>
      <w:hyperlink r:id="rId11" w:history="1">
        <w:r w:rsidRPr="001C6016" w:rsidR="003373C4">
          <w:rPr>
            <w:rStyle w:val="cf01"/>
            <w:rFonts w:ascii="Times New Roman" w:hAnsi="Times New Roman" w:cs="Times New Roman"/>
            <w:color w:val="0000FF"/>
            <w:u w:val="single"/>
          </w:rPr>
          <w:t>https://www.bls.gov/oes/tables.htm</w:t>
        </w:r>
      </w:hyperlink>
    </w:p>
    <w:p w:rsidR="001C6016" w:rsidP="00DE529D" w14:paraId="24315184" w14:textId="77777777">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6A128B" w:rsidP="00DE529D" w14:paraId="24ECAAEB" w14:textId="3586BB1A">
      <w:pPr>
        <w:widowControl/>
        <w:ind w:left="360"/>
        <w:rPr>
          <w:rFonts w:ascii="Times New Roman" w:hAnsi="Times New Roman"/>
          <w:snapToGrid/>
          <w:sz w:val="24"/>
          <w:szCs w:val="24"/>
        </w:rPr>
      </w:pPr>
      <w:r>
        <w:rPr>
          <w:rFonts w:ascii="Times New Roman" w:hAnsi="Times New Roman"/>
          <w:snapToGrid/>
          <w:sz w:val="24"/>
          <w:szCs w:val="24"/>
        </w:rPr>
        <w:t xml:space="preserve">Operational costs for </w:t>
      </w:r>
      <w:r w:rsidR="00394CDA">
        <w:rPr>
          <w:rFonts w:ascii="Times New Roman" w:hAnsi="Times New Roman"/>
          <w:snapToGrid/>
          <w:sz w:val="24"/>
          <w:szCs w:val="24"/>
        </w:rPr>
        <w:t>systems</w:t>
      </w:r>
      <w:r w:rsidR="0071106C">
        <w:rPr>
          <w:rFonts w:ascii="Times New Roman" w:hAnsi="Times New Roman"/>
          <w:snapToGrid/>
          <w:sz w:val="24"/>
          <w:szCs w:val="24"/>
        </w:rPr>
        <w:t>/reporting</w:t>
      </w:r>
      <w:r w:rsidR="00394CDA">
        <w:rPr>
          <w:rFonts w:ascii="Times New Roman" w:hAnsi="Times New Roman"/>
          <w:snapToGrid/>
          <w:sz w:val="24"/>
          <w:szCs w:val="24"/>
        </w:rPr>
        <w:t xml:space="preserve"> software </w:t>
      </w:r>
      <w:r w:rsidR="003373C4">
        <w:rPr>
          <w:rFonts w:ascii="Times New Roman" w:hAnsi="Times New Roman"/>
          <w:snapToGrid/>
          <w:sz w:val="24"/>
          <w:szCs w:val="24"/>
        </w:rPr>
        <w:t>licenses will</w:t>
      </w:r>
      <w:r w:rsidR="00394CDA">
        <w:rPr>
          <w:rFonts w:ascii="Times New Roman" w:hAnsi="Times New Roman"/>
          <w:snapToGrid/>
          <w:sz w:val="24"/>
          <w:szCs w:val="24"/>
        </w:rPr>
        <w:t xml:space="preserve"> average about </w:t>
      </w:r>
      <w:r w:rsidR="0020484D">
        <w:rPr>
          <w:rFonts w:ascii="Times New Roman" w:hAnsi="Times New Roman"/>
          <w:snapToGrid/>
          <w:sz w:val="24"/>
          <w:szCs w:val="24"/>
        </w:rPr>
        <w:t>$4,000</w:t>
      </w:r>
      <w:r w:rsidR="00F576BA">
        <w:rPr>
          <w:rFonts w:ascii="Times New Roman" w:hAnsi="Times New Roman"/>
          <w:snapToGrid/>
          <w:sz w:val="24"/>
          <w:szCs w:val="24"/>
        </w:rPr>
        <w:t xml:space="preserve"> a year per state and territory (respondent), i.e., $224,000 per year.</w:t>
      </w:r>
    </w:p>
    <w:p w:rsidR="006A53BD" w:rsidP="00DE529D" w14:paraId="120FBEF5" w14:textId="77777777">
      <w:pPr>
        <w:widowControl/>
        <w:ind w:left="360"/>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F576BA" w:rsidRPr="0059436E" w:rsidP="00DE529D" w14:paraId="4ECA571D" w14:textId="68231E86">
      <w:pPr>
        <w:widowControl/>
        <w:ind w:left="360"/>
        <w:rPr>
          <w:rFonts w:ascii="Times New Roman" w:hAnsi="Times New Roman"/>
          <w:sz w:val="24"/>
          <w:szCs w:val="24"/>
        </w:rPr>
      </w:pPr>
      <w:r w:rsidRPr="0059436E">
        <w:rPr>
          <w:rFonts w:ascii="Times New Roman" w:hAnsi="Times New Roman"/>
          <w:sz w:val="24"/>
          <w:szCs w:val="24"/>
        </w:rPr>
        <w:t>ACF accepts ACF-800 reports via the Child Care Automated Reporting System (CARS), a web-based data collection system. The estimated annual Federal cost is $300,000. This includes CARS costs, including code and data base maintenance. As users enter data into CARS, edit checks provide immediate data validation feedback identifying format issues. This amount also includes staff costs of program analysts who review the data and contact grantees as necessary when information is incomplete or questionable. </w:t>
      </w:r>
    </w:p>
    <w:p w:rsidR="00DE529D" w:rsidRPr="004F7B95" w:rsidP="00DE529D" w14:paraId="35C07DCF" w14:textId="77777777">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D60543" w:rsidP="004F7B95" w14:paraId="1CCB7D8F" w14:textId="37DC3440">
      <w:pPr>
        <w:widowControl/>
        <w:ind w:left="360"/>
        <w:rPr>
          <w:rFonts w:ascii="Times New Roman" w:hAnsi="Times New Roman"/>
          <w:snapToGrid/>
          <w:sz w:val="24"/>
          <w:szCs w:val="24"/>
        </w:rPr>
      </w:pPr>
      <w:r>
        <w:rPr>
          <w:rFonts w:ascii="Times New Roman" w:hAnsi="Times New Roman"/>
          <w:snapToGrid/>
          <w:sz w:val="24"/>
          <w:szCs w:val="24"/>
        </w:rPr>
        <w:t>ACF made minor updates to the ACF-800</w:t>
      </w:r>
      <w:r w:rsidR="00D46D7C">
        <w:rPr>
          <w:rFonts w:ascii="Times New Roman" w:hAnsi="Times New Roman"/>
          <w:snapToGrid/>
          <w:sz w:val="24"/>
          <w:szCs w:val="24"/>
        </w:rPr>
        <w:t xml:space="preserve">. </w:t>
      </w:r>
      <w:r w:rsidR="00910F65">
        <w:rPr>
          <w:rFonts w:ascii="Times New Roman" w:hAnsi="Times New Roman"/>
          <w:snapToGrid/>
          <w:sz w:val="24"/>
          <w:szCs w:val="24"/>
        </w:rPr>
        <w:t xml:space="preserve">The changes to the form include the following: </w:t>
      </w:r>
    </w:p>
    <w:p w:rsidR="00910F65" w:rsidP="00910F65" w14:paraId="34EC7C31" w14:textId="479DDD88">
      <w:pPr>
        <w:pStyle w:val="ListParagraph"/>
        <w:widowControl/>
        <w:numPr>
          <w:ilvl w:val="0"/>
          <w:numId w:val="21"/>
        </w:numPr>
        <w:rPr>
          <w:rFonts w:ascii="Times New Roman" w:hAnsi="Times New Roman"/>
          <w:snapToGrid/>
          <w:sz w:val="24"/>
          <w:szCs w:val="24"/>
        </w:rPr>
      </w:pPr>
      <w:r>
        <w:rPr>
          <w:rFonts w:ascii="Times New Roman" w:hAnsi="Times New Roman"/>
          <w:snapToGrid/>
          <w:sz w:val="24"/>
          <w:szCs w:val="24"/>
        </w:rPr>
        <w:t>Removing the questions related to specif</w:t>
      </w:r>
      <w:r w:rsidR="00FC3E26">
        <w:rPr>
          <w:rFonts w:ascii="Times New Roman" w:hAnsi="Times New Roman"/>
          <w:snapToGrid/>
          <w:sz w:val="24"/>
          <w:szCs w:val="24"/>
        </w:rPr>
        <w:t xml:space="preserve">ying how the COVID-19 supplemental funds were used for the population of families, children, and providers </w:t>
      </w:r>
    </w:p>
    <w:p w:rsidR="005B4981" w:rsidRPr="00CB44B7" w:rsidP="00CB44B7" w14:paraId="64F9F953" w14:textId="0DA8C8D5">
      <w:pPr>
        <w:pStyle w:val="ListParagraph"/>
        <w:widowControl/>
        <w:numPr>
          <w:ilvl w:val="0"/>
          <w:numId w:val="21"/>
        </w:numPr>
        <w:rPr>
          <w:rFonts w:ascii="Times New Roman" w:hAnsi="Times New Roman"/>
          <w:snapToGrid/>
          <w:sz w:val="24"/>
          <w:szCs w:val="24"/>
        </w:rPr>
      </w:pPr>
      <w:r>
        <w:rPr>
          <w:rFonts w:ascii="Times New Roman" w:hAnsi="Times New Roman"/>
          <w:snapToGrid/>
          <w:sz w:val="24"/>
          <w:szCs w:val="24"/>
        </w:rPr>
        <w:t xml:space="preserve">Removing questions related to provide annual estimates to help </w:t>
      </w:r>
      <w:r w:rsidR="00C60790">
        <w:rPr>
          <w:rFonts w:ascii="Times New Roman" w:hAnsi="Times New Roman"/>
          <w:snapToGrid/>
          <w:sz w:val="24"/>
          <w:szCs w:val="24"/>
        </w:rPr>
        <w:t>understand how COVID-19 supplemental funds were used</w:t>
      </w:r>
    </w:p>
    <w:p w:rsidR="00D60543" w:rsidP="004F7B95" w14:paraId="215A8A91" w14:textId="77777777">
      <w:pPr>
        <w:widowControl/>
        <w:ind w:left="360"/>
        <w:rPr>
          <w:rFonts w:ascii="Times New Roman" w:hAnsi="Times New Roman"/>
          <w:snapToGrid/>
          <w:sz w:val="24"/>
          <w:szCs w:val="24"/>
        </w:rPr>
      </w:pPr>
    </w:p>
    <w:p w:rsidR="004F3B5D" w:rsidP="004F7B95" w14:paraId="7366653B" w14:textId="77777777">
      <w:pPr>
        <w:widowControl/>
        <w:ind w:left="360"/>
        <w:rPr>
          <w:rFonts w:ascii="Times New Roman" w:hAnsi="Times New Roman"/>
          <w:snapToGrid/>
          <w:sz w:val="24"/>
          <w:szCs w:val="24"/>
        </w:rPr>
      </w:pPr>
    </w:p>
    <w:p w:rsidR="004F3B5D" w:rsidP="004F7B95" w14:paraId="3BA4AD0A" w14:textId="77777777">
      <w:pPr>
        <w:widowControl/>
        <w:ind w:left="360"/>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D60543" w:rsidP="00DE529D" w14:paraId="34078ADA" w14:textId="5E5A1437">
      <w:pPr>
        <w:widowControl/>
        <w:ind w:left="360"/>
        <w:rPr>
          <w:rFonts w:ascii="Times New Roman" w:hAnsi="Times New Roman"/>
          <w:snapToGrid/>
          <w:sz w:val="24"/>
          <w:szCs w:val="24"/>
        </w:rPr>
      </w:pPr>
      <w:r>
        <w:rPr>
          <w:rFonts w:ascii="Times New Roman" w:hAnsi="Times New Roman"/>
          <w:snapToGrid/>
          <w:sz w:val="24"/>
          <w:szCs w:val="24"/>
        </w:rPr>
        <w:t xml:space="preserve">Fiscal Year </w:t>
      </w:r>
      <w:r w:rsidR="00A6311C">
        <w:rPr>
          <w:rFonts w:ascii="Times New Roman" w:hAnsi="Times New Roman"/>
          <w:snapToGrid/>
          <w:sz w:val="24"/>
          <w:szCs w:val="24"/>
        </w:rPr>
        <w:t xml:space="preserve">1998 through </w:t>
      </w:r>
      <w:r w:rsidR="00B329DA">
        <w:rPr>
          <w:rFonts w:ascii="Times New Roman" w:hAnsi="Times New Roman"/>
          <w:snapToGrid/>
          <w:sz w:val="24"/>
          <w:szCs w:val="24"/>
        </w:rPr>
        <w:t>202</w:t>
      </w:r>
      <w:r w:rsidR="00E3008B">
        <w:rPr>
          <w:rFonts w:ascii="Times New Roman" w:hAnsi="Times New Roman"/>
          <w:snapToGrid/>
          <w:sz w:val="24"/>
          <w:szCs w:val="24"/>
        </w:rPr>
        <w:t xml:space="preserve">2 </w:t>
      </w:r>
      <w:r w:rsidR="00B329DA">
        <w:rPr>
          <w:rFonts w:ascii="Times New Roman" w:hAnsi="Times New Roman"/>
          <w:snapToGrid/>
          <w:sz w:val="24"/>
          <w:szCs w:val="24"/>
        </w:rPr>
        <w:t>data from the ACF-800 has been processed and reported in a variety of places. Specifically, data has been incorporated into the OCC Report to Congress, used by ACF to respond to requests from Congress, track ACF’s performance under the Government Performance and Results Act</w:t>
      </w:r>
      <w:r w:rsidR="00893CD2">
        <w:rPr>
          <w:rFonts w:ascii="Times New Roman" w:hAnsi="Times New Roman"/>
          <w:snapToGrid/>
          <w:sz w:val="24"/>
          <w:szCs w:val="24"/>
        </w:rPr>
        <w:t xml:space="preserve">, and respond to inquiries regarding the progress and effectiveness of the CCDF program as well as posted on the </w:t>
      </w:r>
      <w:r w:rsidR="00712138">
        <w:rPr>
          <w:rFonts w:ascii="Times New Roman" w:hAnsi="Times New Roman"/>
          <w:snapToGrid/>
          <w:sz w:val="24"/>
          <w:szCs w:val="24"/>
        </w:rPr>
        <w:t>OCC</w:t>
      </w:r>
      <w:r w:rsidR="00893CD2">
        <w:rPr>
          <w:rFonts w:ascii="Times New Roman" w:hAnsi="Times New Roman"/>
          <w:snapToGrid/>
          <w:sz w:val="24"/>
          <w:szCs w:val="24"/>
        </w:rPr>
        <w:t xml:space="preserve"> website. ACF plans to continue similar reporting of data</w:t>
      </w:r>
      <w:r w:rsidR="00D46A3D">
        <w:rPr>
          <w:rFonts w:ascii="Times New Roman" w:hAnsi="Times New Roman"/>
          <w:snapToGrid/>
          <w:sz w:val="24"/>
          <w:szCs w:val="24"/>
        </w:rPr>
        <w:t xml:space="preserve">. </w:t>
      </w:r>
    </w:p>
    <w:p w:rsidR="00D46A3D" w:rsidP="00DE529D" w14:paraId="71D5264B" w14:textId="77777777">
      <w:pPr>
        <w:widowControl/>
        <w:ind w:left="360"/>
        <w:rPr>
          <w:rFonts w:ascii="Times New Roman" w:hAnsi="Times New Roman"/>
          <w:snapToGrid/>
          <w:sz w:val="24"/>
          <w:szCs w:val="24"/>
        </w:rPr>
      </w:pPr>
    </w:p>
    <w:p w:rsidR="00D46A3D" w:rsidP="00DE529D" w14:paraId="301E3264" w14:textId="5B34DB75">
      <w:pPr>
        <w:widowControl/>
        <w:ind w:left="360"/>
        <w:rPr>
          <w:rFonts w:ascii="Times New Roman" w:hAnsi="Times New Roman"/>
          <w:snapToGrid/>
          <w:sz w:val="24"/>
          <w:szCs w:val="24"/>
        </w:rPr>
      </w:pPr>
      <w:r>
        <w:rPr>
          <w:rFonts w:ascii="Times New Roman" w:hAnsi="Times New Roman"/>
          <w:snapToGrid/>
          <w:sz w:val="24"/>
          <w:szCs w:val="24"/>
        </w:rPr>
        <w:t>Data is typically published six to nine months after data submission deadline first on the OCC website and subsequently in the OCC Report to Congress.</w:t>
      </w:r>
    </w:p>
    <w:p w:rsidR="007935D5" w:rsidRPr="004F7B95" w:rsidP="00DE529D" w14:paraId="298DD100"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DE529D" w14:paraId="71DC6EEE" w14:textId="3E28BEA0">
      <w:pPr>
        <w:widowControl/>
        <w:ind w:left="360" w:hanging="90"/>
        <w:rPr>
          <w:rFonts w:ascii="Times New Roman" w:hAnsi="Times New Roman"/>
          <w:snapToGrid/>
          <w:sz w:val="24"/>
          <w:szCs w:val="24"/>
        </w:rPr>
      </w:pPr>
      <w:r>
        <w:rPr>
          <w:rFonts w:ascii="Times New Roman" w:hAnsi="Times New Roman"/>
          <w:snapToGrid/>
          <w:sz w:val="24"/>
          <w:szCs w:val="24"/>
        </w:rPr>
        <w:t xml:space="preserve">The expiration date is currently </w:t>
      </w:r>
      <w:r w:rsidR="001143E5">
        <w:rPr>
          <w:rFonts w:ascii="Times New Roman" w:hAnsi="Times New Roman"/>
          <w:snapToGrid/>
          <w:sz w:val="24"/>
          <w:szCs w:val="24"/>
        </w:rPr>
        <w:t xml:space="preserve">and will continue to be displayed at the top corner of the ACF-800 Form. </w:t>
      </w:r>
    </w:p>
    <w:p w:rsidR="00D60543" w:rsidRPr="004F7B95" w:rsidP="00DE529D" w14:paraId="3C11407F"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597E7F" w:rsidRPr="006A53BD" w:rsidP="006A53BD" w14:paraId="67CA458C" w14:textId="011D652B">
      <w:pPr>
        <w:widowControl/>
        <w:ind w:left="360"/>
        <w:rPr>
          <w:rFonts w:ascii="Times New Roman" w:hAnsi="Times New Roman"/>
          <w:snapToGrid/>
          <w:sz w:val="24"/>
          <w:szCs w:val="24"/>
        </w:rPr>
      </w:pPr>
      <w:r w:rsidRPr="00CB44B7">
        <w:rPr>
          <w:rFonts w:ascii="Times New Roman" w:hAnsi="Times New Roman"/>
          <w:snapToGrid/>
          <w:sz w:val="24"/>
          <w:szCs w:val="24"/>
        </w:rPr>
        <w:t xml:space="preserve">There </w:t>
      </w:r>
      <w:r>
        <w:rPr>
          <w:rFonts w:ascii="Times New Roman" w:hAnsi="Times New Roman"/>
          <w:snapToGrid/>
          <w:sz w:val="24"/>
          <w:szCs w:val="24"/>
        </w:rPr>
        <w:t>are no exceptions to this form.</w:t>
      </w:r>
    </w:p>
    <w:sectPr w:rsidSect="00A918E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C3FE4" w14:paraId="5B95A129" w14:textId="77777777">
      <w:pPr>
        <w:spacing w:line="20" w:lineRule="exact"/>
        <w:rPr>
          <w:sz w:val="24"/>
        </w:rPr>
      </w:pPr>
    </w:p>
  </w:endnote>
  <w:endnote w:type="continuationSeparator" w:id="1">
    <w:p w:rsidR="006C3FE4" w14:paraId="4457B33C" w14:textId="77777777">
      <w:r>
        <w:rPr>
          <w:sz w:val="24"/>
        </w:rPr>
        <w:t xml:space="preserve"> </w:t>
      </w:r>
    </w:p>
  </w:endnote>
  <w:endnote w:type="continuationNotice" w:id="2">
    <w:p w:rsidR="006C3FE4" w14:paraId="22C4DEA0"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C3FE4" w14:paraId="5CEC2662" w14:textId="77777777">
      <w:r>
        <w:rPr>
          <w:sz w:val="24"/>
        </w:rPr>
        <w:separator/>
      </w:r>
    </w:p>
  </w:footnote>
  <w:footnote w:type="continuationSeparator" w:id="1">
    <w:p w:rsidR="006C3FE4" w14:paraId="34E059B6" w14:textId="77777777">
      <w:r>
        <w:continuationSeparator/>
      </w:r>
    </w:p>
  </w:footnote>
  <w:footnote w:type="continuationNotice" w:id="2">
    <w:p w:rsidR="006C3FE4" w14:paraId="78B59E2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7803A35"/>
    <w:multiLevelType w:val="hybridMultilevel"/>
    <w:tmpl w:val="6F6E44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21720767">
    <w:abstractNumId w:val="11"/>
  </w:num>
  <w:num w:numId="2" w16cid:durableId="711661445">
    <w:abstractNumId w:val="12"/>
  </w:num>
  <w:num w:numId="3" w16cid:durableId="985551620">
    <w:abstractNumId w:val="14"/>
  </w:num>
  <w:num w:numId="4" w16cid:durableId="658121198">
    <w:abstractNumId w:val="5"/>
  </w:num>
  <w:num w:numId="5" w16cid:durableId="960460889">
    <w:abstractNumId w:val="7"/>
  </w:num>
  <w:num w:numId="6" w16cid:durableId="871723820">
    <w:abstractNumId w:val="10"/>
  </w:num>
  <w:num w:numId="7" w16cid:durableId="2036885041">
    <w:abstractNumId w:val="2"/>
  </w:num>
  <w:num w:numId="8" w16cid:durableId="300771521">
    <w:abstractNumId w:val="9"/>
  </w:num>
  <w:num w:numId="9" w16cid:durableId="417018208">
    <w:abstractNumId w:val="15"/>
  </w:num>
  <w:num w:numId="10" w16cid:durableId="1228803631">
    <w:abstractNumId w:val="8"/>
  </w:num>
  <w:num w:numId="11" w16cid:durableId="1205293185">
    <w:abstractNumId w:val="6"/>
  </w:num>
  <w:num w:numId="12" w16cid:durableId="1812554668">
    <w:abstractNumId w:val="0"/>
  </w:num>
  <w:num w:numId="13" w16cid:durableId="1229223857">
    <w:abstractNumId w:val="17"/>
  </w:num>
  <w:num w:numId="14" w16cid:durableId="1916621634">
    <w:abstractNumId w:val="1"/>
  </w:num>
  <w:num w:numId="15" w16cid:durableId="223762645">
    <w:abstractNumId w:val="3"/>
  </w:num>
  <w:num w:numId="16" w16cid:durableId="1105345406">
    <w:abstractNumId w:val="13"/>
  </w:num>
  <w:num w:numId="17" w16cid:durableId="574902747">
    <w:abstractNumId w:val="18"/>
  </w:num>
  <w:num w:numId="18" w16cid:durableId="840125007">
    <w:abstractNumId w:val="4"/>
  </w:num>
  <w:num w:numId="19" w16cid:durableId="1966276681">
    <w:abstractNumId w:val="19"/>
  </w:num>
  <w:num w:numId="20" w16cid:durableId="954603979">
    <w:abstractNumId w:val="16"/>
  </w:num>
  <w:num w:numId="21" w16cid:durableId="12619173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2EE1"/>
    <w:rsid w:val="000128E7"/>
    <w:rsid w:val="00022586"/>
    <w:rsid w:val="000406E1"/>
    <w:rsid w:val="00056C4B"/>
    <w:rsid w:val="00075889"/>
    <w:rsid w:val="0009007E"/>
    <w:rsid w:val="000B57D8"/>
    <w:rsid w:val="000E1855"/>
    <w:rsid w:val="000F069F"/>
    <w:rsid w:val="00102200"/>
    <w:rsid w:val="00105019"/>
    <w:rsid w:val="001066F4"/>
    <w:rsid w:val="001143E5"/>
    <w:rsid w:val="0012404F"/>
    <w:rsid w:val="00131AE3"/>
    <w:rsid w:val="001337B5"/>
    <w:rsid w:val="0014145B"/>
    <w:rsid w:val="00160621"/>
    <w:rsid w:val="00162631"/>
    <w:rsid w:val="00186385"/>
    <w:rsid w:val="00197FBE"/>
    <w:rsid w:val="001A0652"/>
    <w:rsid w:val="001C2CE4"/>
    <w:rsid w:val="001C483C"/>
    <w:rsid w:val="001C59F6"/>
    <w:rsid w:val="001C6016"/>
    <w:rsid w:val="001C7FFE"/>
    <w:rsid w:val="001D1651"/>
    <w:rsid w:val="001F54F1"/>
    <w:rsid w:val="00200C86"/>
    <w:rsid w:val="0020484D"/>
    <w:rsid w:val="00205A4D"/>
    <w:rsid w:val="002104B8"/>
    <w:rsid w:val="00213913"/>
    <w:rsid w:val="00222C7F"/>
    <w:rsid w:val="00226C42"/>
    <w:rsid w:val="00234235"/>
    <w:rsid w:val="002464EB"/>
    <w:rsid w:val="002509BD"/>
    <w:rsid w:val="0027103F"/>
    <w:rsid w:val="00281984"/>
    <w:rsid w:val="00290A1C"/>
    <w:rsid w:val="0029589B"/>
    <w:rsid w:val="00296738"/>
    <w:rsid w:val="002C3B4F"/>
    <w:rsid w:val="002C3C4F"/>
    <w:rsid w:val="002C506B"/>
    <w:rsid w:val="002E10D1"/>
    <w:rsid w:val="002F6622"/>
    <w:rsid w:val="0030016B"/>
    <w:rsid w:val="00302534"/>
    <w:rsid w:val="00320D88"/>
    <w:rsid w:val="003373C4"/>
    <w:rsid w:val="003405A4"/>
    <w:rsid w:val="00354319"/>
    <w:rsid w:val="00356235"/>
    <w:rsid w:val="0038209B"/>
    <w:rsid w:val="00394CDA"/>
    <w:rsid w:val="003B7A50"/>
    <w:rsid w:val="003C1D6E"/>
    <w:rsid w:val="003E6EA3"/>
    <w:rsid w:val="00402D24"/>
    <w:rsid w:val="00405C10"/>
    <w:rsid w:val="004110F5"/>
    <w:rsid w:val="00417877"/>
    <w:rsid w:val="00422E1D"/>
    <w:rsid w:val="004602FE"/>
    <w:rsid w:val="00467954"/>
    <w:rsid w:val="004753BB"/>
    <w:rsid w:val="00476C1F"/>
    <w:rsid w:val="00480072"/>
    <w:rsid w:val="004857A4"/>
    <w:rsid w:val="00490457"/>
    <w:rsid w:val="0049119A"/>
    <w:rsid w:val="004943E0"/>
    <w:rsid w:val="004E1475"/>
    <w:rsid w:val="004F3B5D"/>
    <w:rsid w:val="004F45CE"/>
    <w:rsid w:val="004F7AE6"/>
    <w:rsid w:val="004F7B95"/>
    <w:rsid w:val="0051278C"/>
    <w:rsid w:val="00522933"/>
    <w:rsid w:val="00522C18"/>
    <w:rsid w:val="00537EB0"/>
    <w:rsid w:val="00541E51"/>
    <w:rsid w:val="005520C3"/>
    <w:rsid w:val="00554625"/>
    <w:rsid w:val="00556056"/>
    <w:rsid w:val="005703C6"/>
    <w:rsid w:val="005824BD"/>
    <w:rsid w:val="0059436E"/>
    <w:rsid w:val="00597E7F"/>
    <w:rsid w:val="005A6D3E"/>
    <w:rsid w:val="005A7AEB"/>
    <w:rsid w:val="005B00FC"/>
    <w:rsid w:val="005B22D4"/>
    <w:rsid w:val="005B4981"/>
    <w:rsid w:val="005C60F1"/>
    <w:rsid w:val="005D1B7E"/>
    <w:rsid w:val="005D274E"/>
    <w:rsid w:val="005D443D"/>
    <w:rsid w:val="005D61DB"/>
    <w:rsid w:val="005D711E"/>
    <w:rsid w:val="005E0B35"/>
    <w:rsid w:val="005F0ED4"/>
    <w:rsid w:val="00603498"/>
    <w:rsid w:val="00617CA8"/>
    <w:rsid w:val="00634E1D"/>
    <w:rsid w:val="00640565"/>
    <w:rsid w:val="00651F0F"/>
    <w:rsid w:val="00666B89"/>
    <w:rsid w:val="00675FDA"/>
    <w:rsid w:val="00681E38"/>
    <w:rsid w:val="006A128B"/>
    <w:rsid w:val="006A53BD"/>
    <w:rsid w:val="006B1006"/>
    <w:rsid w:val="006B2726"/>
    <w:rsid w:val="006C3FE4"/>
    <w:rsid w:val="006C6318"/>
    <w:rsid w:val="006D1643"/>
    <w:rsid w:val="006D284D"/>
    <w:rsid w:val="006E6629"/>
    <w:rsid w:val="006F589F"/>
    <w:rsid w:val="006F6070"/>
    <w:rsid w:val="006F68BE"/>
    <w:rsid w:val="00707AFB"/>
    <w:rsid w:val="0071106C"/>
    <w:rsid w:val="00712138"/>
    <w:rsid w:val="00762C40"/>
    <w:rsid w:val="007840A8"/>
    <w:rsid w:val="00786793"/>
    <w:rsid w:val="00790D2C"/>
    <w:rsid w:val="007935D5"/>
    <w:rsid w:val="007A0FBE"/>
    <w:rsid w:val="007E48CC"/>
    <w:rsid w:val="007E6E61"/>
    <w:rsid w:val="007F2D40"/>
    <w:rsid w:val="0080325F"/>
    <w:rsid w:val="00817E2B"/>
    <w:rsid w:val="00841AF6"/>
    <w:rsid w:val="00841BDF"/>
    <w:rsid w:val="0084609A"/>
    <w:rsid w:val="00846E18"/>
    <w:rsid w:val="00865AA4"/>
    <w:rsid w:val="0088163F"/>
    <w:rsid w:val="008900A8"/>
    <w:rsid w:val="00893CD2"/>
    <w:rsid w:val="008955AC"/>
    <w:rsid w:val="008B42F1"/>
    <w:rsid w:val="008F7221"/>
    <w:rsid w:val="00910F65"/>
    <w:rsid w:val="009113FF"/>
    <w:rsid w:val="00933A15"/>
    <w:rsid w:val="00936A53"/>
    <w:rsid w:val="009451B1"/>
    <w:rsid w:val="00945B72"/>
    <w:rsid w:val="00957799"/>
    <w:rsid w:val="0096157A"/>
    <w:rsid w:val="00962045"/>
    <w:rsid w:val="009655EC"/>
    <w:rsid w:val="00966622"/>
    <w:rsid w:val="009837AB"/>
    <w:rsid w:val="009C2DE1"/>
    <w:rsid w:val="009C5213"/>
    <w:rsid w:val="009D789F"/>
    <w:rsid w:val="009E6157"/>
    <w:rsid w:val="009F5543"/>
    <w:rsid w:val="009F58E1"/>
    <w:rsid w:val="00A0241F"/>
    <w:rsid w:val="00A04EF3"/>
    <w:rsid w:val="00A05B31"/>
    <w:rsid w:val="00A13D7E"/>
    <w:rsid w:val="00A160B5"/>
    <w:rsid w:val="00A3027B"/>
    <w:rsid w:val="00A54ED6"/>
    <w:rsid w:val="00A61AC0"/>
    <w:rsid w:val="00A6311C"/>
    <w:rsid w:val="00A65844"/>
    <w:rsid w:val="00A65ECB"/>
    <w:rsid w:val="00A77AC0"/>
    <w:rsid w:val="00A77F8C"/>
    <w:rsid w:val="00A8249C"/>
    <w:rsid w:val="00A918E4"/>
    <w:rsid w:val="00AA7B9B"/>
    <w:rsid w:val="00AC7ABE"/>
    <w:rsid w:val="00AD5ED7"/>
    <w:rsid w:val="00AF399C"/>
    <w:rsid w:val="00AF4347"/>
    <w:rsid w:val="00AF5FE7"/>
    <w:rsid w:val="00B1407F"/>
    <w:rsid w:val="00B14349"/>
    <w:rsid w:val="00B27347"/>
    <w:rsid w:val="00B329DA"/>
    <w:rsid w:val="00B84243"/>
    <w:rsid w:val="00BA6B88"/>
    <w:rsid w:val="00BB2727"/>
    <w:rsid w:val="00BD378C"/>
    <w:rsid w:val="00C02282"/>
    <w:rsid w:val="00C13BA6"/>
    <w:rsid w:val="00C22D3C"/>
    <w:rsid w:val="00C41387"/>
    <w:rsid w:val="00C4157E"/>
    <w:rsid w:val="00C53541"/>
    <w:rsid w:val="00C60790"/>
    <w:rsid w:val="00C75C8B"/>
    <w:rsid w:val="00C80C78"/>
    <w:rsid w:val="00CB1A12"/>
    <w:rsid w:val="00CB44B7"/>
    <w:rsid w:val="00CB726F"/>
    <w:rsid w:val="00CE53AB"/>
    <w:rsid w:val="00CE6182"/>
    <w:rsid w:val="00CF04D7"/>
    <w:rsid w:val="00CF18DB"/>
    <w:rsid w:val="00D02EF1"/>
    <w:rsid w:val="00D14D83"/>
    <w:rsid w:val="00D176EB"/>
    <w:rsid w:val="00D203FE"/>
    <w:rsid w:val="00D344B2"/>
    <w:rsid w:val="00D35F61"/>
    <w:rsid w:val="00D46A3D"/>
    <w:rsid w:val="00D46D7C"/>
    <w:rsid w:val="00D60543"/>
    <w:rsid w:val="00D67D80"/>
    <w:rsid w:val="00D7443D"/>
    <w:rsid w:val="00D806D3"/>
    <w:rsid w:val="00D9648C"/>
    <w:rsid w:val="00D9720E"/>
    <w:rsid w:val="00DA538C"/>
    <w:rsid w:val="00DB2443"/>
    <w:rsid w:val="00DB41B8"/>
    <w:rsid w:val="00DC1C23"/>
    <w:rsid w:val="00DD256E"/>
    <w:rsid w:val="00DE529D"/>
    <w:rsid w:val="00E01B4E"/>
    <w:rsid w:val="00E3008B"/>
    <w:rsid w:val="00E368FB"/>
    <w:rsid w:val="00E4105A"/>
    <w:rsid w:val="00E4383A"/>
    <w:rsid w:val="00E46038"/>
    <w:rsid w:val="00EC26A5"/>
    <w:rsid w:val="00EC698B"/>
    <w:rsid w:val="00ED782E"/>
    <w:rsid w:val="00F02021"/>
    <w:rsid w:val="00F10B17"/>
    <w:rsid w:val="00F210CA"/>
    <w:rsid w:val="00F26DB9"/>
    <w:rsid w:val="00F35612"/>
    <w:rsid w:val="00F576BA"/>
    <w:rsid w:val="00F65B2D"/>
    <w:rsid w:val="00F77AE0"/>
    <w:rsid w:val="00F824B9"/>
    <w:rsid w:val="00F83116"/>
    <w:rsid w:val="00FA5092"/>
    <w:rsid w:val="00FB4221"/>
    <w:rsid w:val="00FB7547"/>
    <w:rsid w:val="00FC3E26"/>
    <w:rsid w:val="00FE0FDC"/>
    <w:rsid w:val="00FE106F"/>
    <w:rsid w:val="00FF7CE7"/>
    <w:rsid w:val="01486663"/>
    <w:rsid w:val="01E8E8F2"/>
    <w:rsid w:val="02E9EC7F"/>
    <w:rsid w:val="03C80AF9"/>
    <w:rsid w:val="03CF46CA"/>
    <w:rsid w:val="040E9660"/>
    <w:rsid w:val="049BC524"/>
    <w:rsid w:val="05F8D3D6"/>
    <w:rsid w:val="068FB9BC"/>
    <w:rsid w:val="076FF14E"/>
    <w:rsid w:val="0782AF92"/>
    <w:rsid w:val="08388A45"/>
    <w:rsid w:val="0A52FC08"/>
    <w:rsid w:val="0AE8758F"/>
    <w:rsid w:val="0D633055"/>
    <w:rsid w:val="0E3D1D3E"/>
    <w:rsid w:val="0E3DEA65"/>
    <w:rsid w:val="0EF422A2"/>
    <w:rsid w:val="0EF57BEA"/>
    <w:rsid w:val="10A5F641"/>
    <w:rsid w:val="12D97BF7"/>
    <w:rsid w:val="149DD672"/>
    <w:rsid w:val="14C13008"/>
    <w:rsid w:val="16747785"/>
    <w:rsid w:val="197670CE"/>
    <w:rsid w:val="1BA3A479"/>
    <w:rsid w:val="1CFD498B"/>
    <w:rsid w:val="1D0C10D7"/>
    <w:rsid w:val="1EB51DD2"/>
    <w:rsid w:val="1EEDC583"/>
    <w:rsid w:val="224A3E0D"/>
    <w:rsid w:val="2349D81C"/>
    <w:rsid w:val="26F384B5"/>
    <w:rsid w:val="275CFEDC"/>
    <w:rsid w:val="2852A407"/>
    <w:rsid w:val="28B7E137"/>
    <w:rsid w:val="28CE150C"/>
    <w:rsid w:val="29C1FE14"/>
    <w:rsid w:val="2A6FE676"/>
    <w:rsid w:val="2D8B6F7F"/>
    <w:rsid w:val="2E05F445"/>
    <w:rsid w:val="2E0E12B4"/>
    <w:rsid w:val="2EF090D1"/>
    <w:rsid w:val="33046082"/>
    <w:rsid w:val="33312401"/>
    <w:rsid w:val="35784258"/>
    <w:rsid w:val="35ADA37D"/>
    <w:rsid w:val="362A62D9"/>
    <w:rsid w:val="365CBB0B"/>
    <w:rsid w:val="37C3EA71"/>
    <w:rsid w:val="37D71B45"/>
    <w:rsid w:val="3B216873"/>
    <w:rsid w:val="3C16D1C5"/>
    <w:rsid w:val="3C31DA1E"/>
    <w:rsid w:val="3CCABB96"/>
    <w:rsid w:val="3DAA35A4"/>
    <w:rsid w:val="3F6BF15D"/>
    <w:rsid w:val="3FC1241B"/>
    <w:rsid w:val="3FF29105"/>
    <w:rsid w:val="401E15A5"/>
    <w:rsid w:val="4054B2B8"/>
    <w:rsid w:val="41BE388C"/>
    <w:rsid w:val="420BA39C"/>
    <w:rsid w:val="43DCFA87"/>
    <w:rsid w:val="44727602"/>
    <w:rsid w:val="46E63B86"/>
    <w:rsid w:val="4981314A"/>
    <w:rsid w:val="4B280ABE"/>
    <w:rsid w:val="4C9DEA5A"/>
    <w:rsid w:val="4DF5B611"/>
    <w:rsid w:val="4E61F405"/>
    <w:rsid w:val="4EC28D66"/>
    <w:rsid w:val="4F481CA5"/>
    <w:rsid w:val="50331253"/>
    <w:rsid w:val="50B8BF9D"/>
    <w:rsid w:val="5528DE17"/>
    <w:rsid w:val="57F59516"/>
    <w:rsid w:val="580AADCA"/>
    <w:rsid w:val="58B0B9D8"/>
    <w:rsid w:val="59461A3B"/>
    <w:rsid w:val="5A42027D"/>
    <w:rsid w:val="5B62CAAA"/>
    <w:rsid w:val="5C3B5F29"/>
    <w:rsid w:val="5C9F7FFC"/>
    <w:rsid w:val="5F3F6133"/>
    <w:rsid w:val="60477147"/>
    <w:rsid w:val="61C0F6C3"/>
    <w:rsid w:val="621964E5"/>
    <w:rsid w:val="626FC2BD"/>
    <w:rsid w:val="6291B90A"/>
    <w:rsid w:val="64463B7C"/>
    <w:rsid w:val="65D56E8D"/>
    <w:rsid w:val="662E7714"/>
    <w:rsid w:val="671B0A64"/>
    <w:rsid w:val="67379026"/>
    <w:rsid w:val="6767AFBF"/>
    <w:rsid w:val="6790FCC5"/>
    <w:rsid w:val="67BCD20F"/>
    <w:rsid w:val="6814232C"/>
    <w:rsid w:val="681B9DFE"/>
    <w:rsid w:val="687F3477"/>
    <w:rsid w:val="689C7571"/>
    <w:rsid w:val="689E69F9"/>
    <w:rsid w:val="69C37F96"/>
    <w:rsid w:val="6AC88EE4"/>
    <w:rsid w:val="6B67A70A"/>
    <w:rsid w:val="6E122112"/>
    <w:rsid w:val="6F54690B"/>
    <w:rsid w:val="6FDBFC79"/>
    <w:rsid w:val="7260860E"/>
    <w:rsid w:val="72F008A4"/>
    <w:rsid w:val="73F93B11"/>
    <w:rsid w:val="75928772"/>
    <w:rsid w:val="77C5AD30"/>
    <w:rsid w:val="784A1317"/>
    <w:rsid w:val="79ED8C4D"/>
    <w:rsid w:val="7A4E2E79"/>
    <w:rsid w:val="7B0E0B3A"/>
    <w:rsid w:val="7C1C4BE6"/>
    <w:rsid w:val="7E3AE64A"/>
    <w:rsid w:val="7EE9CD26"/>
    <w:rsid w:val="7F140CF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089A34D1-7504-48D0-84EF-D028F0ED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4E1475"/>
    <w:rPr>
      <w:color w:val="954F72" w:themeColor="followedHyperlink"/>
      <w:u w:val="single"/>
    </w:rPr>
  </w:style>
  <w:style w:type="character" w:customStyle="1" w:styleId="normaltextrun">
    <w:name w:val="normaltextrun"/>
    <w:basedOn w:val="DefaultParagraphFont"/>
    <w:rsid w:val="0059436E"/>
  </w:style>
  <w:style w:type="character" w:styleId="UnresolvedMention">
    <w:name w:val="Unresolved Mention"/>
    <w:basedOn w:val="DefaultParagraphFont"/>
    <w:uiPriority w:val="99"/>
    <w:semiHidden/>
    <w:unhideWhenUsed/>
    <w:rsid w:val="00865AA4"/>
    <w:rPr>
      <w:color w:val="605E5C"/>
      <w:shd w:val="clear" w:color="auto" w:fill="E1DFDD"/>
    </w:rPr>
  </w:style>
  <w:style w:type="character" w:customStyle="1" w:styleId="cf01">
    <w:name w:val="cf01"/>
    <w:basedOn w:val="DefaultParagraphFont"/>
    <w:rsid w:val="003373C4"/>
    <w:rPr>
      <w:rFonts w:ascii="Segoe UI" w:hAnsi="Segoe UI" w:cs="Segoe UI"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acf.hhs.gov/occ/resource/reports-to-congress" TargetMode="External" /><Relationship Id="rId11" Type="http://schemas.openxmlformats.org/officeDocument/2006/relationships/hyperlink" Target="https://www.bls.gov/oes/tables.ht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B2E1DCCCF86A4DAE3841CD11B8F980" ma:contentTypeVersion="15" ma:contentTypeDescription="Create a new document." ma:contentTypeScope="" ma:versionID="91494e21c571daaba423f1f5731f224e">
  <xsd:schema xmlns:xsd="http://www.w3.org/2001/XMLSchema" xmlns:xs="http://www.w3.org/2001/XMLSchema" xmlns:p="http://schemas.microsoft.com/office/2006/metadata/properties" xmlns:ns2="e5fc0b33-1b27-49a5-b053-9260eb7300eb" xmlns:ns3="16e0b1d4-6348-4246-b98d-6af75349639b" targetNamespace="http://schemas.microsoft.com/office/2006/metadata/properties" ma:root="true" ma:fieldsID="fceebb29ebd9b03410a8795700f9e584" ns2:_="" ns3:_="">
    <xsd:import namespace="e5fc0b33-1b27-49a5-b053-9260eb7300eb"/>
    <xsd:import namespace="16e0b1d4-6348-4246-b98d-6af7534963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Ruthreview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c0b33-1b27-49a5-b053-9260eb730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uthreviewed" ma:index="12" nillable="true" ma:displayName="Status" ma:format="Dropdown" ma:internalName="Ruthreviewed">
      <xsd:simpleType>
        <xsd:restriction base="dms:Choice">
          <xsd:enumeration value="Ruth reviewed"/>
          <xsd:enumeration value="Internal Review"/>
          <xsd:enumeration value="For Clearance"/>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0b1d4-6348-4246-b98d-6af7534963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1d690e8-f901-4f4e-84e3-8965e1a4a323}" ma:internalName="TaxCatchAll" ma:showField="CatchAllData" ma:web="16e0b1d4-6348-4246-b98d-6af7534963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uthreviewed xmlns="e5fc0b33-1b27-49a5-b053-9260eb7300eb" xsi:nil="true"/>
    <lcf76f155ced4ddcb4097134ff3c332f xmlns="e5fc0b33-1b27-49a5-b053-9260eb7300eb">
      <Terms xmlns="http://schemas.microsoft.com/office/infopath/2007/PartnerControls"/>
    </lcf76f155ced4ddcb4097134ff3c332f>
    <TaxCatchAll xmlns="16e0b1d4-6348-4246-b98d-6af75349639b" xsi:nil="true"/>
  </documentManagement>
</p:properties>
</file>

<file path=customXml/itemProps1.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4DF6B7F5-720B-43CE-AF19-F319FFC97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c0b33-1b27-49a5-b053-9260eb7300eb"/>
    <ds:schemaRef ds:uri="16e0b1d4-6348-4246-b98d-6af753496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e5fc0b33-1b27-49a5-b053-9260eb7300eb"/>
    <ds:schemaRef ds:uri="16e0b1d4-6348-4246-b98d-6af75349639b"/>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1288</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cp:revision>
  <dcterms:created xsi:type="dcterms:W3CDTF">2025-04-11T19:35:00Z</dcterms:created>
  <dcterms:modified xsi:type="dcterms:W3CDTF">2025-04-11T19:35:00Z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0x0101000AB2E1DCCCF86A4DAE3841CD11B8F980</vt:lpwstr>
  </property>
  <property fmtid="{D5CDD505-2E9C-101B-9397-08002B2CF9AE}" pid="3" name="MediaServiceImageTags">
    <vt:lpwstr/>
  </property>
</Properties>
</file>