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1C" w:rsidRPr="00C47669" w14:paraId="12C43A6D" w14:textId="77777777">
      <w:pPr>
        <w:rPr>
          <w:rFonts w:ascii="Calibri" w:hAnsi="Calibri" w:cs="Calibri"/>
          <w:sz w:val="22"/>
          <w:szCs w:val="22"/>
        </w:rPr>
      </w:pPr>
    </w:p>
    <w:p w:rsidR="00776BE3" w14:paraId="4D6D5788" w14:textId="431D794C">
      <w:pPr>
        <w:rPr>
          <w:rFonts w:ascii="Calibri" w:hAnsi="Calibri" w:cs="Calibri"/>
          <w:sz w:val="22"/>
          <w:szCs w:val="22"/>
        </w:rPr>
      </w:pPr>
      <w:r>
        <w:rPr>
          <w:rFonts w:ascii="Calibri" w:hAnsi="Calibri" w:cs="Calibri"/>
          <w:sz w:val="22"/>
          <w:szCs w:val="22"/>
        </w:rPr>
        <w:t xml:space="preserve">TO:  </w:t>
      </w:r>
      <w:r w:rsidR="00D73F21">
        <w:rPr>
          <w:rFonts w:ascii="Calibri" w:hAnsi="Calibri" w:cs="Calibri"/>
          <w:sz w:val="22"/>
          <w:szCs w:val="22"/>
        </w:rPr>
        <w:tab/>
      </w:r>
      <w:r>
        <w:rPr>
          <w:rFonts w:ascii="Calibri" w:hAnsi="Calibri" w:cs="Calibri"/>
          <w:sz w:val="22"/>
          <w:szCs w:val="22"/>
        </w:rPr>
        <w:t>Administration of Children and Families</w:t>
      </w:r>
    </w:p>
    <w:p w:rsidR="00776BE3" w14:paraId="2B39753E" w14:textId="4639E58C">
      <w:pPr>
        <w:rPr>
          <w:rFonts w:ascii="Calibri" w:hAnsi="Calibri" w:cs="Calibri"/>
          <w:sz w:val="22"/>
          <w:szCs w:val="22"/>
        </w:rPr>
      </w:pPr>
      <w:r>
        <w:rPr>
          <w:rFonts w:ascii="Calibri" w:hAnsi="Calibri" w:cs="Calibri"/>
          <w:sz w:val="22"/>
          <w:szCs w:val="22"/>
        </w:rPr>
        <w:t xml:space="preserve">FROM: </w:t>
      </w:r>
      <w:r w:rsidR="00D73F21">
        <w:rPr>
          <w:rFonts w:ascii="Calibri" w:hAnsi="Calibri" w:cs="Calibri"/>
          <w:sz w:val="22"/>
          <w:szCs w:val="22"/>
        </w:rPr>
        <w:tab/>
      </w:r>
      <w:r>
        <w:rPr>
          <w:rFonts w:ascii="Calibri" w:hAnsi="Calibri" w:cs="Calibri"/>
          <w:sz w:val="22"/>
          <w:szCs w:val="22"/>
        </w:rPr>
        <w:t>Jillian Luchner, Afterschool Alliance</w:t>
      </w:r>
    </w:p>
    <w:p w:rsidR="00D73F21" w14:paraId="4F41662E" w14:textId="2A013F56">
      <w:pPr>
        <w:rPr>
          <w:rFonts w:ascii="Calibri" w:hAnsi="Calibri" w:cs="Calibri"/>
          <w:sz w:val="22"/>
          <w:szCs w:val="22"/>
        </w:rPr>
      </w:pPr>
      <w:r>
        <w:rPr>
          <w:rFonts w:ascii="Calibri" w:hAnsi="Calibri" w:cs="Calibri"/>
          <w:sz w:val="22"/>
          <w:szCs w:val="22"/>
        </w:rPr>
        <w:t xml:space="preserve">DATE: </w:t>
      </w:r>
      <w:r>
        <w:rPr>
          <w:rFonts w:ascii="Calibri" w:hAnsi="Calibri" w:cs="Calibri"/>
          <w:sz w:val="22"/>
          <w:szCs w:val="22"/>
        </w:rPr>
        <w:tab/>
        <w:t>12-19-24</w:t>
      </w:r>
    </w:p>
    <w:p w:rsidR="00D73F21" w:rsidRPr="00D73F21" w:rsidP="00D73F21" w14:paraId="49414D7C" w14:textId="7688CF9D">
      <w:pPr>
        <w:rPr>
          <w:rFonts w:ascii="Calibri" w:hAnsi="Calibri" w:cs="Calibri"/>
          <w:b/>
          <w:bCs/>
          <w:i/>
          <w:iCs/>
          <w:sz w:val="22"/>
          <w:szCs w:val="22"/>
        </w:rPr>
      </w:pPr>
      <w:r w:rsidRPr="00D73F21">
        <w:rPr>
          <w:rFonts w:ascii="Calibri" w:hAnsi="Calibri" w:cs="Calibri"/>
          <w:sz w:val="22"/>
          <w:szCs w:val="22"/>
        </w:rPr>
        <w:t>RE:</w:t>
      </w:r>
      <w:r w:rsidRPr="00D73F21">
        <w:rPr>
          <w:rFonts w:ascii="Calibri" w:hAnsi="Calibri" w:cs="Calibri"/>
          <w:b/>
          <w:bCs/>
          <w:i/>
          <w:iCs/>
          <w:sz w:val="22"/>
          <w:szCs w:val="22"/>
        </w:rPr>
        <w:tab/>
      </w:r>
      <w:hyperlink r:id="rId6" w:history="1">
        <w:r w:rsidRPr="00D73F21">
          <w:rPr>
            <w:rStyle w:val="Hyperlink"/>
            <w:rFonts w:ascii="Calibri" w:hAnsi="Calibri" w:cs="Calibri"/>
            <w:b/>
            <w:bCs/>
            <w:i/>
            <w:iCs/>
            <w:sz w:val="22"/>
            <w:szCs w:val="22"/>
          </w:rPr>
          <w:t>FR Doc. 2024-25690</w:t>
        </w:r>
      </w:hyperlink>
      <w:r w:rsidRPr="00D73F21">
        <w:rPr>
          <w:rFonts w:ascii="Calibri" w:hAnsi="Calibri" w:cs="Calibri"/>
          <w:b/>
          <w:bCs/>
          <w:i/>
          <w:iCs/>
          <w:sz w:val="22"/>
          <w:szCs w:val="22"/>
        </w:rPr>
        <w:t>; ACF Form 800</w:t>
      </w:r>
      <w:r w:rsidR="00335CEA">
        <w:rPr>
          <w:rFonts w:ascii="Calibri" w:hAnsi="Calibri" w:cs="Calibri"/>
          <w:b/>
          <w:bCs/>
          <w:i/>
          <w:iCs/>
          <w:sz w:val="22"/>
          <w:szCs w:val="22"/>
        </w:rPr>
        <w:t xml:space="preserve">; </w:t>
      </w:r>
      <w:r w:rsidRPr="00335CEA" w:rsidR="00335CEA">
        <w:rPr>
          <w:rFonts w:ascii="Calibri" w:hAnsi="Calibri" w:cs="Calibri"/>
          <w:b/>
          <w:bCs/>
          <w:i/>
          <w:iCs/>
          <w:sz w:val="22"/>
          <w:szCs w:val="22"/>
        </w:rPr>
        <w:t>Office of Management and Budget #0970-0150)</w:t>
      </w:r>
    </w:p>
    <w:p w:rsidR="00776BE3" w14:paraId="30D3B1BC" w14:textId="77777777">
      <w:pPr>
        <w:rPr>
          <w:rFonts w:ascii="Calibri" w:hAnsi="Calibri" w:cs="Calibri"/>
          <w:sz w:val="22"/>
          <w:szCs w:val="22"/>
        </w:rPr>
      </w:pPr>
    </w:p>
    <w:p w:rsidR="00776BE3" w:rsidP="00776BE3" w14:paraId="6029CDF7" w14:textId="28326047">
      <w:pPr>
        <w:rPr>
          <w:rFonts w:ascii="Calibri" w:hAnsi="Calibri" w:cs="Calibri"/>
          <w:sz w:val="22"/>
          <w:szCs w:val="22"/>
        </w:rPr>
      </w:pPr>
      <w:r>
        <w:rPr>
          <w:rFonts w:ascii="Calibri" w:hAnsi="Calibri" w:cs="Calibri"/>
          <w:sz w:val="22"/>
          <w:szCs w:val="22"/>
        </w:rPr>
        <w:t xml:space="preserve">Dear </w:t>
      </w:r>
      <w:r>
        <w:rPr>
          <w:rFonts w:ascii="Calibri" w:hAnsi="Calibri" w:cs="Calibri"/>
          <w:sz w:val="22"/>
          <w:szCs w:val="22"/>
        </w:rPr>
        <w:t xml:space="preserve">Mary C. Jones, </w:t>
      </w:r>
      <w:r w:rsidRPr="00776BE3">
        <w:rPr>
          <w:rFonts w:ascii="Calibri" w:hAnsi="Calibri" w:cs="Calibri"/>
          <w:sz w:val="22"/>
          <w:szCs w:val="22"/>
        </w:rPr>
        <w:t>ACF/OPRE Certifying Office</w:t>
      </w:r>
      <w:r>
        <w:rPr>
          <w:rFonts w:ascii="Calibri" w:hAnsi="Calibri" w:cs="Calibri"/>
          <w:sz w:val="22"/>
          <w:szCs w:val="22"/>
        </w:rPr>
        <w:t>r,</w:t>
      </w:r>
    </w:p>
    <w:p w:rsidR="00776BE3" w14:paraId="4777F61F" w14:textId="77777777">
      <w:pPr>
        <w:rPr>
          <w:rFonts w:ascii="Calibri" w:hAnsi="Calibri" w:cs="Calibri"/>
          <w:sz w:val="22"/>
          <w:szCs w:val="22"/>
        </w:rPr>
      </w:pPr>
    </w:p>
    <w:p w:rsidR="0005681C" w:rsidRPr="00C47669" w14:paraId="630220D9" w14:textId="3C48EDC7">
      <w:pPr>
        <w:rPr>
          <w:rFonts w:ascii="Calibri" w:hAnsi="Calibri" w:cs="Calibri"/>
          <w:sz w:val="22"/>
          <w:szCs w:val="22"/>
        </w:rPr>
      </w:pPr>
      <w:r w:rsidRPr="00C47669">
        <w:rPr>
          <w:rFonts w:ascii="Calibri" w:hAnsi="Calibri" w:cs="Calibri"/>
          <w:sz w:val="22"/>
          <w:szCs w:val="22"/>
        </w:rPr>
        <w:t xml:space="preserve">Thank you for the opportunity to comment on the new questions for </w:t>
      </w:r>
      <w:r w:rsidRPr="00C47669" w:rsidR="00F6367B">
        <w:rPr>
          <w:rFonts w:ascii="Calibri" w:hAnsi="Calibri" w:cs="Calibri"/>
          <w:sz w:val="22"/>
          <w:szCs w:val="22"/>
        </w:rPr>
        <w:t>ACF F</w:t>
      </w:r>
      <w:r w:rsidRPr="00C47669">
        <w:rPr>
          <w:rFonts w:ascii="Calibri" w:hAnsi="Calibri" w:cs="Calibri"/>
          <w:sz w:val="22"/>
          <w:szCs w:val="22"/>
        </w:rPr>
        <w:t xml:space="preserve">orm 800. The Afterschool Alliance is a national non-profit organization with the mission to connect an affordable, </w:t>
      </w:r>
      <w:r w:rsidRPr="00C47669" w:rsidR="00B1372B">
        <w:rPr>
          <w:rFonts w:ascii="Calibri" w:hAnsi="Calibri" w:cs="Calibri"/>
          <w:sz w:val="22"/>
          <w:szCs w:val="22"/>
        </w:rPr>
        <w:t>high-quality</w:t>
      </w:r>
      <w:r w:rsidRPr="00C47669">
        <w:rPr>
          <w:rFonts w:ascii="Calibri" w:hAnsi="Calibri" w:cs="Calibri"/>
          <w:sz w:val="22"/>
          <w:szCs w:val="22"/>
        </w:rPr>
        <w:t xml:space="preserve"> afterschool or summer program that meets their needs with every child or youth who wants one. Currently 25 million families and 11 million </w:t>
      </w:r>
      <w:r w:rsidRPr="00C47669" w:rsidR="00B1372B">
        <w:rPr>
          <w:rFonts w:ascii="Calibri" w:hAnsi="Calibri" w:cs="Calibri"/>
          <w:sz w:val="22"/>
          <w:szCs w:val="22"/>
        </w:rPr>
        <w:t>low-income</w:t>
      </w:r>
      <w:r w:rsidRPr="00C47669">
        <w:rPr>
          <w:rFonts w:ascii="Calibri" w:hAnsi="Calibri" w:cs="Calibri"/>
          <w:sz w:val="22"/>
          <w:szCs w:val="22"/>
        </w:rPr>
        <w:t xml:space="preserve"> families do not have opportunities to access the programs they want and need. </w:t>
      </w:r>
      <w:r w:rsidR="00BC0ECD">
        <w:rPr>
          <w:rFonts w:ascii="Calibri" w:hAnsi="Calibri" w:cs="Calibri"/>
          <w:sz w:val="22"/>
          <w:szCs w:val="22"/>
        </w:rPr>
        <w:t>The demand for these programs continues to grow.</w:t>
      </w:r>
    </w:p>
    <w:p w:rsidR="0005681C" w:rsidRPr="00C47669" w14:paraId="66E08722" w14:textId="77777777">
      <w:pPr>
        <w:rPr>
          <w:rFonts w:ascii="Calibri" w:hAnsi="Calibri" w:cs="Calibri"/>
          <w:sz w:val="22"/>
          <w:szCs w:val="22"/>
        </w:rPr>
      </w:pPr>
    </w:p>
    <w:p w:rsidR="0005681C" w:rsidRPr="00C47669" w14:paraId="2736DE29" w14:textId="36E199C3">
      <w:pPr>
        <w:rPr>
          <w:rFonts w:ascii="Calibri" w:hAnsi="Calibri" w:cs="Calibri"/>
          <w:sz w:val="22"/>
          <w:szCs w:val="22"/>
        </w:rPr>
      </w:pPr>
      <w:r>
        <w:rPr>
          <w:rFonts w:ascii="Calibri" w:hAnsi="Calibri" w:cs="Calibri"/>
          <w:sz w:val="22"/>
          <w:szCs w:val="22"/>
        </w:rPr>
        <w:t xml:space="preserve">Federal funds support some of this need. </w:t>
      </w:r>
      <w:r w:rsidRPr="00C47669">
        <w:rPr>
          <w:rFonts w:ascii="Calibri" w:hAnsi="Calibri" w:cs="Calibri"/>
          <w:sz w:val="22"/>
          <w:szCs w:val="22"/>
        </w:rPr>
        <w:t xml:space="preserve">44% of children and youth served with the Child Care and Development Block Grant are </w:t>
      </w:r>
      <w:r w:rsidRPr="00C47669">
        <w:rPr>
          <w:rFonts w:ascii="Calibri" w:hAnsi="Calibri" w:cs="Calibri"/>
          <w:sz w:val="22"/>
          <w:szCs w:val="22"/>
        </w:rPr>
        <w:t>school-age</w:t>
      </w:r>
      <w:r w:rsidRPr="00C47669">
        <w:rPr>
          <w:rFonts w:ascii="Calibri" w:hAnsi="Calibri" w:cs="Calibri"/>
          <w:sz w:val="22"/>
          <w:szCs w:val="22"/>
        </w:rPr>
        <w:t xml:space="preserve">. Working and training parents need school-age care for their children </w:t>
      </w:r>
      <w:r>
        <w:rPr>
          <w:rFonts w:ascii="Calibri" w:hAnsi="Calibri" w:cs="Calibri"/>
          <w:sz w:val="22"/>
          <w:szCs w:val="22"/>
        </w:rPr>
        <w:t>as the</w:t>
      </w:r>
      <w:r w:rsidR="007313D0">
        <w:rPr>
          <w:rFonts w:ascii="Calibri" w:hAnsi="Calibri" w:cs="Calibri"/>
          <w:sz w:val="22"/>
          <w:szCs w:val="22"/>
        </w:rPr>
        <w:t>y</w:t>
      </w:r>
      <w:r>
        <w:rPr>
          <w:rFonts w:ascii="Calibri" w:hAnsi="Calibri" w:cs="Calibri"/>
          <w:sz w:val="22"/>
          <w:szCs w:val="22"/>
        </w:rPr>
        <w:t xml:space="preserve"> develop from early learners through the ages of </w:t>
      </w:r>
      <w:r w:rsidRPr="00C47669">
        <w:rPr>
          <w:rFonts w:ascii="Calibri" w:hAnsi="Calibri" w:cs="Calibri"/>
          <w:sz w:val="22"/>
          <w:szCs w:val="22"/>
        </w:rPr>
        <w:t xml:space="preserve">5-13. </w:t>
      </w:r>
      <w:r w:rsidR="00D73F21">
        <w:rPr>
          <w:rFonts w:ascii="Calibri" w:hAnsi="Calibri" w:cs="Calibri"/>
          <w:sz w:val="22"/>
          <w:szCs w:val="22"/>
        </w:rPr>
        <w:t xml:space="preserve">Below we offer a few suggestions for how Form 800 can ensure it is not overlooking information pertinent to parents and programs supporting school-age children. </w:t>
      </w:r>
    </w:p>
    <w:p w:rsidR="009F4FD9" w:rsidRPr="00C47669" w14:paraId="312123E0" w14:textId="77777777">
      <w:pPr>
        <w:rPr>
          <w:rFonts w:ascii="Calibri" w:hAnsi="Calibri" w:cs="Calibri"/>
          <w:sz w:val="22"/>
          <w:szCs w:val="22"/>
        </w:rPr>
      </w:pPr>
    </w:p>
    <w:p w:rsidR="009F4FD9" w:rsidRPr="00C47669" w:rsidP="009F4FD9" w14:paraId="4C9602AD" w14:textId="741430B5">
      <w:pPr>
        <w:rPr>
          <w:rFonts w:ascii="Calibri" w:hAnsi="Calibri" w:cs="Calibri"/>
          <w:b/>
          <w:bCs/>
          <w:sz w:val="22"/>
          <w:szCs w:val="22"/>
        </w:rPr>
      </w:pPr>
      <w:r w:rsidRPr="00C47669">
        <w:rPr>
          <w:rFonts w:ascii="Calibri" w:hAnsi="Calibri" w:cs="Calibri"/>
          <w:b/>
          <w:bCs/>
          <w:sz w:val="22"/>
          <w:szCs w:val="22"/>
        </w:rPr>
        <w:t xml:space="preserve">For Form 800 –– Excel Sheet - We recommend the following: </w:t>
      </w:r>
    </w:p>
    <w:p w:rsidR="009F4FD9" w:rsidRPr="00C47669" w:rsidP="009F4FD9" w14:paraId="60AF4B72" w14:textId="77777777">
      <w:pPr>
        <w:rPr>
          <w:rFonts w:ascii="Calibri" w:hAnsi="Calibri" w:cs="Calibri"/>
          <w:b/>
          <w:bCs/>
          <w:sz w:val="22"/>
          <w:szCs w:val="22"/>
        </w:rPr>
      </w:pPr>
    </w:p>
    <w:p w:rsidR="00BC0ECD" w:rsidRPr="00BC0ECD" w:rsidP="004B4318" w14:paraId="5E655654" w14:textId="77777777">
      <w:pPr>
        <w:pStyle w:val="ListParagraph"/>
        <w:numPr>
          <w:ilvl w:val="0"/>
          <w:numId w:val="2"/>
        </w:numPr>
        <w:rPr>
          <w:rFonts w:ascii="Calibri" w:hAnsi="Calibri" w:cs="Calibri"/>
          <w:sz w:val="22"/>
          <w:szCs w:val="22"/>
        </w:rPr>
      </w:pPr>
      <w:r w:rsidRPr="00C47669">
        <w:rPr>
          <w:rFonts w:ascii="Calibri" w:hAnsi="Calibri" w:cs="Calibri"/>
          <w:b/>
          <w:bCs/>
          <w:sz w:val="22"/>
          <w:szCs w:val="22"/>
        </w:rPr>
        <w:t xml:space="preserve">For all questions: </w:t>
      </w:r>
      <w:r w:rsidRPr="00C47669" w:rsidR="00D02499">
        <w:rPr>
          <w:rFonts w:ascii="Calibri" w:hAnsi="Calibri" w:cs="Calibri"/>
          <w:b/>
          <w:bCs/>
          <w:sz w:val="22"/>
          <w:szCs w:val="22"/>
        </w:rPr>
        <w:t xml:space="preserve"> </w:t>
      </w:r>
    </w:p>
    <w:p w:rsidR="00BC0ECD" w:rsidP="00BC0ECD" w14:paraId="0C5060F9" w14:textId="54D6AEE1">
      <w:pPr>
        <w:pStyle w:val="ListParagraph"/>
        <w:numPr>
          <w:ilvl w:val="1"/>
          <w:numId w:val="2"/>
        </w:numPr>
        <w:rPr>
          <w:rFonts w:ascii="Calibri" w:hAnsi="Calibri" w:cs="Calibri"/>
          <w:sz w:val="22"/>
          <w:szCs w:val="22"/>
        </w:rPr>
      </w:pPr>
      <w:r w:rsidRPr="00C47669">
        <w:rPr>
          <w:rFonts w:ascii="Calibri" w:hAnsi="Calibri" w:cs="Calibri"/>
          <w:b/>
          <w:bCs/>
          <w:i/>
          <w:iCs/>
          <w:sz w:val="22"/>
          <w:szCs w:val="22"/>
        </w:rPr>
        <w:t>Recommendation:</w:t>
      </w:r>
      <w:r w:rsidRPr="00C47669">
        <w:rPr>
          <w:rFonts w:ascii="Calibri" w:hAnsi="Calibri" w:cs="Calibri"/>
          <w:sz w:val="22"/>
          <w:szCs w:val="22"/>
        </w:rPr>
        <w:t xml:space="preserve"> </w:t>
      </w:r>
      <w:r w:rsidRPr="00BC0ECD">
        <w:rPr>
          <w:rFonts w:ascii="Calibri" w:hAnsi="Calibri" w:cs="Calibri"/>
          <w:sz w:val="22"/>
          <w:szCs w:val="22"/>
        </w:rPr>
        <w:t>Add a new column (F) after the option in column E for “Center” to include “School-age only center”</w:t>
      </w:r>
      <w:r w:rsidRPr="00BC0ECD" w:rsidR="00E001DE">
        <w:rPr>
          <w:rFonts w:ascii="Calibri" w:hAnsi="Calibri" w:cs="Calibri"/>
          <w:sz w:val="22"/>
          <w:szCs w:val="22"/>
        </w:rPr>
        <w:t xml:space="preserve"> and define these as mutually exclusive</w:t>
      </w:r>
      <w:r w:rsidRPr="00BC0ECD">
        <w:rPr>
          <w:rFonts w:ascii="Calibri" w:hAnsi="Calibri" w:cs="Calibri"/>
          <w:sz w:val="22"/>
          <w:szCs w:val="22"/>
        </w:rPr>
        <w:t xml:space="preserve"> from other “Center” responses.</w:t>
      </w:r>
    </w:p>
    <w:p w:rsidR="009F4FD9" w:rsidRPr="00BC0ECD" w:rsidP="00BC0ECD" w14:paraId="5AE10C98" w14:textId="1D8A5114">
      <w:pPr>
        <w:pStyle w:val="ListParagraph"/>
        <w:numPr>
          <w:ilvl w:val="1"/>
          <w:numId w:val="2"/>
        </w:numPr>
        <w:rPr>
          <w:rFonts w:ascii="Calibri" w:hAnsi="Calibri" w:cs="Calibri"/>
          <w:sz w:val="22"/>
          <w:szCs w:val="22"/>
        </w:rPr>
      </w:pPr>
      <w:r w:rsidRPr="00BC0ECD">
        <w:rPr>
          <w:rFonts w:ascii="Calibri" w:hAnsi="Calibri" w:cs="Calibri"/>
          <w:i/>
          <w:iCs/>
          <w:sz w:val="22"/>
          <w:szCs w:val="22"/>
          <w:u w:val="single"/>
        </w:rPr>
        <w:t>Rationale</w:t>
      </w:r>
      <w:r w:rsidRPr="00BC0ECD">
        <w:rPr>
          <w:rFonts w:ascii="Calibri" w:hAnsi="Calibri" w:cs="Calibri"/>
          <w:sz w:val="22"/>
          <w:szCs w:val="22"/>
        </w:rPr>
        <w:t xml:space="preserve">: School-age only centers operate as a somewhat unique subset of providers, often requiring a different set of licensing standards, staff training and requirements, and quality systems. Adding this column will help the Federal Government, states and researchers know how many children are served in these settings, </w:t>
      </w:r>
      <w:r w:rsidR="00905887">
        <w:rPr>
          <w:rFonts w:ascii="Calibri" w:hAnsi="Calibri" w:cs="Calibri"/>
          <w:sz w:val="22"/>
          <w:szCs w:val="22"/>
        </w:rPr>
        <w:t xml:space="preserve">understand </w:t>
      </w:r>
      <w:r w:rsidRPr="00BC0ECD">
        <w:rPr>
          <w:rFonts w:ascii="Calibri" w:hAnsi="Calibri" w:cs="Calibri"/>
          <w:sz w:val="22"/>
          <w:szCs w:val="22"/>
        </w:rPr>
        <w:t>how families receive information about these settings</w:t>
      </w:r>
      <w:r w:rsidRPr="00BC0ECD" w:rsidR="00C03FBA">
        <w:rPr>
          <w:rFonts w:ascii="Calibri" w:hAnsi="Calibri" w:cs="Calibri"/>
          <w:sz w:val="22"/>
          <w:szCs w:val="22"/>
        </w:rPr>
        <w:t xml:space="preserve"> in consumer education</w:t>
      </w:r>
      <w:r w:rsidRPr="00BC0ECD">
        <w:rPr>
          <w:rFonts w:ascii="Calibri" w:hAnsi="Calibri" w:cs="Calibri"/>
          <w:sz w:val="22"/>
          <w:szCs w:val="22"/>
        </w:rPr>
        <w:t xml:space="preserve">, as well as </w:t>
      </w:r>
      <w:r w:rsidR="00905887">
        <w:rPr>
          <w:rFonts w:ascii="Calibri" w:hAnsi="Calibri" w:cs="Calibri"/>
          <w:sz w:val="22"/>
          <w:szCs w:val="22"/>
        </w:rPr>
        <w:t xml:space="preserve">identify the </w:t>
      </w:r>
      <w:r w:rsidRPr="00BC0ECD">
        <w:rPr>
          <w:rFonts w:ascii="Calibri" w:hAnsi="Calibri" w:cs="Calibri"/>
          <w:sz w:val="22"/>
          <w:szCs w:val="22"/>
        </w:rPr>
        <w:t>allocation</w:t>
      </w:r>
      <w:r w:rsidR="00905887">
        <w:rPr>
          <w:rFonts w:ascii="Calibri" w:hAnsi="Calibri" w:cs="Calibri"/>
          <w:sz w:val="22"/>
          <w:szCs w:val="22"/>
        </w:rPr>
        <w:t xml:space="preserve"> (or lack thereof)</w:t>
      </w:r>
      <w:r w:rsidRPr="00BC0ECD">
        <w:rPr>
          <w:rFonts w:ascii="Calibri" w:hAnsi="Calibri" w:cs="Calibri"/>
          <w:sz w:val="22"/>
          <w:szCs w:val="22"/>
        </w:rPr>
        <w:t xml:space="preserve"> of grants and contracts to these settings. </w:t>
      </w:r>
    </w:p>
    <w:p w:rsidR="009F4FD9" w:rsidRPr="00C47669" w:rsidP="00D02499" w14:paraId="41589BC9" w14:textId="77777777">
      <w:pPr>
        <w:rPr>
          <w:rFonts w:ascii="Calibri" w:hAnsi="Calibri" w:cs="Calibri"/>
          <w:sz w:val="22"/>
          <w:szCs w:val="22"/>
        </w:rPr>
      </w:pPr>
    </w:p>
    <w:p w:rsidR="009F4FD9" w:rsidRPr="00C47669" w:rsidP="009F4FD9" w14:paraId="075D0DCD" w14:textId="0FD0C116">
      <w:pPr>
        <w:rPr>
          <w:rFonts w:ascii="Calibri" w:hAnsi="Calibri" w:cs="Calibri"/>
          <w:b/>
          <w:bCs/>
          <w:sz w:val="22"/>
          <w:szCs w:val="22"/>
        </w:rPr>
      </w:pPr>
      <w:r w:rsidRPr="00C47669">
        <w:rPr>
          <w:rFonts w:ascii="Calibri" w:hAnsi="Calibri" w:cs="Calibri"/>
          <w:b/>
          <w:bCs/>
          <w:sz w:val="22"/>
          <w:szCs w:val="22"/>
        </w:rPr>
        <w:t>For Form 800-–Instruction Sheet</w:t>
      </w:r>
      <w:r w:rsidR="00267BA1">
        <w:rPr>
          <w:rFonts w:ascii="Calibri" w:hAnsi="Calibri" w:cs="Calibri"/>
          <w:b/>
          <w:bCs/>
          <w:sz w:val="22"/>
          <w:szCs w:val="22"/>
        </w:rPr>
        <w:t xml:space="preserve"> – We recommend the following: </w:t>
      </w:r>
    </w:p>
    <w:p w:rsidR="009F4FD9" w:rsidRPr="00C47669" w:rsidP="009F4FD9" w14:paraId="17E71C8F" w14:textId="77777777">
      <w:pPr>
        <w:rPr>
          <w:rFonts w:ascii="Calibri" w:hAnsi="Calibri" w:cs="Calibri"/>
          <w:sz w:val="22"/>
          <w:szCs w:val="22"/>
        </w:rPr>
      </w:pPr>
    </w:p>
    <w:p w:rsidR="004B4318" w:rsidRPr="00C47669" w:rsidP="004B4318" w14:paraId="0DA4B329" w14:textId="44F8BF87">
      <w:pPr>
        <w:pStyle w:val="ListParagraph"/>
        <w:numPr>
          <w:ilvl w:val="0"/>
          <w:numId w:val="2"/>
        </w:numPr>
        <w:rPr>
          <w:rFonts w:ascii="Calibri" w:hAnsi="Calibri" w:cs="Calibri"/>
          <w:b/>
          <w:bCs/>
          <w:i/>
          <w:iCs/>
          <w:sz w:val="22"/>
          <w:szCs w:val="22"/>
        </w:rPr>
      </w:pPr>
      <w:r w:rsidRPr="00C47669">
        <w:rPr>
          <w:rFonts w:ascii="Calibri" w:hAnsi="Calibri" w:cs="Calibri"/>
          <w:b/>
          <w:bCs/>
          <w:sz w:val="22"/>
          <w:szCs w:val="22"/>
        </w:rPr>
        <w:t xml:space="preserve">For Question 5. Number of children served through grants and contracts with providers. </w:t>
      </w:r>
      <w:r w:rsidR="00905887">
        <w:rPr>
          <w:rFonts w:ascii="Calibri" w:hAnsi="Calibri" w:cs="Calibri"/>
          <w:b/>
          <w:bCs/>
          <w:sz w:val="22"/>
          <w:szCs w:val="22"/>
        </w:rPr>
        <w:t xml:space="preserve">Current language states: </w:t>
      </w:r>
      <w:r w:rsidRPr="00C47669">
        <w:rPr>
          <w:rFonts w:ascii="Calibri" w:hAnsi="Calibri" w:cs="Calibri"/>
          <w:sz w:val="22"/>
          <w:szCs w:val="22"/>
        </w:rPr>
        <w:t xml:space="preserve">Report the total unduplicated number of children served through grants or contracts with providers for direct services (for slots) during the reporting period. </w:t>
      </w:r>
      <w:r w:rsidRPr="00C47669">
        <w:rPr>
          <w:rFonts w:ascii="Calibri" w:hAnsi="Calibri" w:cs="Calibri"/>
          <w:sz w:val="22"/>
          <w:szCs w:val="22"/>
          <w:u w:val="single"/>
        </w:rPr>
        <w:t>Count each child only once</w:t>
      </w:r>
      <w:r w:rsidRPr="00C47669">
        <w:rPr>
          <w:rFonts w:ascii="Calibri" w:hAnsi="Calibri" w:cs="Calibri"/>
          <w:sz w:val="22"/>
          <w:szCs w:val="22"/>
        </w:rPr>
        <w:t xml:space="preserve">. </w:t>
      </w:r>
      <w:r w:rsidRPr="00C47669">
        <w:rPr>
          <w:rFonts w:ascii="Calibri" w:hAnsi="Calibri" w:cs="Calibri"/>
          <w:sz w:val="22"/>
          <w:szCs w:val="22"/>
          <w:u w:val="single"/>
        </w:rPr>
        <w:t>If the child has had more than one provider type during the reporting period,</w:t>
      </w:r>
      <w:r w:rsidRPr="00C47669">
        <w:rPr>
          <w:rFonts w:ascii="Calibri" w:hAnsi="Calibri" w:cs="Calibri"/>
          <w:sz w:val="22"/>
          <w:szCs w:val="22"/>
        </w:rPr>
        <w:t xml:space="preserve"> </w:t>
      </w:r>
      <w:r w:rsidRPr="00C47669">
        <w:rPr>
          <w:rFonts w:ascii="Calibri" w:hAnsi="Calibri" w:cs="Calibri"/>
          <w:sz w:val="22"/>
          <w:szCs w:val="22"/>
          <w:u w:val="single"/>
        </w:rPr>
        <w:t>select the last known provider type</w:t>
      </w:r>
      <w:r w:rsidRPr="00C47669">
        <w:rPr>
          <w:rFonts w:ascii="Calibri" w:hAnsi="Calibri" w:cs="Calibri"/>
          <w:sz w:val="22"/>
          <w:szCs w:val="22"/>
        </w:rPr>
        <w:t>. On line 5, columns (B) through (L) across the page, indicate the number of children served by type of provider (see definitions below) who received services through grants or contracts with providers. The sum of columns (B) through (L) should equal the number in column (A).</w:t>
      </w:r>
    </w:p>
    <w:p w:rsidR="004B4318" w:rsidRPr="00C47669" w:rsidP="004B4318" w14:paraId="205086C2" w14:textId="5B652869">
      <w:pPr>
        <w:pStyle w:val="ListParagraph"/>
        <w:numPr>
          <w:ilvl w:val="1"/>
          <w:numId w:val="2"/>
        </w:numPr>
        <w:rPr>
          <w:rFonts w:ascii="Calibri" w:hAnsi="Calibri" w:cs="Calibri"/>
          <w:b/>
          <w:bCs/>
          <w:i/>
          <w:iCs/>
          <w:sz w:val="22"/>
          <w:szCs w:val="22"/>
        </w:rPr>
      </w:pPr>
      <w:r w:rsidRPr="00C47669">
        <w:rPr>
          <w:rFonts w:ascii="Calibri" w:hAnsi="Calibri" w:cs="Calibri"/>
          <w:b/>
          <w:bCs/>
          <w:i/>
          <w:iCs/>
          <w:sz w:val="22"/>
          <w:szCs w:val="22"/>
        </w:rPr>
        <w:t>We recommend addition additional explanatory text</w:t>
      </w:r>
      <w:r w:rsidRPr="00C47669" w:rsidR="00D56ECA">
        <w:rPr>
          <w:rFonts w:ascii="Calibri" w:hAnsi="Calibri" w:cs="Calibri"/>
          <w:b/>
          <w:bCs/>
          <w:i/>
          <w:iCs/>
          <w:sz w:val="22"/>
          <w:szCs w:val="22"/>
        </w:rPr>
        <w:t xml:space="preserve"> after the final line above</w:t>
      </w:r>
      <w:r w:rsidRPr="00C47669">
        <w:rPr>
          <w:rFonts w:ascii="Calibri" w:hAnsi="Calibri" w:cs="Calibri"/>
          <w:b/>
          <w:bCs/>
          <w:i/>
          <w:iCs/>
          <w:sz w:val="22"/>
          <w:szCs w:val="22"/>
        </w:rPr>
        <w:t>:</w:t>
      </w:r>
      <w:r w:rsidRPr="00C47669">
        <w:rPr>
          <w:rFonts w:ascii="Calibri" w:hAnsi="Calibri" w:cs="Calibri"/>
          <w:b/>
          <w:bCs/>
          <w:i/>
          <w:iCs/>
          <w:sz w:val="22"/>
          <w:szCs w:val="22"/>
        </w:rPr>
        <w:t xml:space="preserve"> </w:t>
      </w:r>
      <w:r w:rsidRPr="00C47669" w:rsidR="00D56ECA">
        <w:rPr>
          <w:rFonts w:ascii="Calibri" w:hAnsi="Calibri" w:cs="Calibri"/>
          <w:i/>
          <w:iCs/>
          <w:sz w:val="22"/>
          <w:szCs w:val="22"/>
        </w:rPr>
        <w:t>“</w:t>
      </w:r>
      <w:r w:rsidR="00BC0ECD">
        <w:rPr>
          <w:rFonts w:ascii="Calibri" w:hAnsi="Calibri" w:cs="Calibri"/>
          <w:i/>
          <w:iCs/>
          <w:sz w:val="22"/>
          <w:szCs w:val="22"/>
        </w:rPr>
        <w:t>As</w:t>
      </w:r>
      <w:r w:rsidRPr="00C47669" w:rsidR="00D56ECA">
        <w:rPr>
          <w:rFonts w:ascii="Calibri" w:hAnsi="Calibri" w:cs="Calibri"/>
          <w:i/>
          <w:iCs/>
          <w:sz w:val="22"/>
          <w:szCs w:val="22"/>
        </w:rPr>
        <w:t xml:space="preserve"> emphasized in the publication of the 2024 CCDF Final Rule</w:t>
      </w:r>
      <w:r>
        <w:rPr>
          <w:rStyle w:val="FootnoteReference"/>
          <w:rFonts w:ascii="Calibri" w:hAnsi="Calibri" w:cs="Calibri"/>
          <w:i/>
          <w:iCs/>
          <w:sz w:val="22"/>
          <w:szCs w:val="22"/>
        </w:rPr>
        <w:footnoteReference w:id="2"/>
      </w:r>
      <w:r w:rsidRPr="00C47669" w:rsidR="00D56ECA">
        <w:rPr>
          <w:rFonts w:ascii="Calibri" w:hAnsi="Calibri" w:cs="Calibri"/>
          <w:i/>
          <w:iCs/>
          <w:sz w:val="22"/>
          <w:szCs w:val="22"/>
        </w:rPr>
        <w:t xml:space="preserve">, a </w:t>
      </w:r>
      <w:r w:rsidRPr="00C47669" w:rsidR="00D56ECA">
        <w:rPr>
          <w:rFonts w:ascii="Calibri" w:hAnsi="Calibri" w:cs="Calibri"/>
          <w:sz w:val="22"/>
          <w:szCs w:val="22"/>
        </w:rPr>
        <w:t>l</w:t>
      </w:r>
      <w:r w:rsidRPr="00C47669" w:rsidR="00D02499">
        <w:rPr>
          <w:rFonts w:ascii="Calibri" w:hAnsi="Calibri" w:cs="Calibri"/>
          <w:sz w:val="22"/>
          <w:szCs w:val="22"/>
        </w:rPr>
        <w:t>ead agency is encouraged to provide grants and contracts not just to the prioritized populations listed in 5i through 5</w:t>
      </w:r>
      <w:r w:rsidRPr="00C47669">
        <w:rPr>
          <w:rFonts w:ascii="Calibri" w:hAnsi="Calibri" w:cs="Calibri"/>
          <w:sz w:val="22"/>
          <w:szCs w:val="22"/>
        </w:rPr>
        <w:t>iii, but to other populations based on assessed need (</w:t>
      </w:r>
      <w:r w:rsidRPr="00C47669">
        <w:rPr>
          <w:rFonts w:ascii="Calibri" w:hAnsi="Calibri" w:cs="Calibri"/>
          <w:sz w:val="22"/>
          <w:szCs w:val="22"/>
        </w:rPr>
        <w:t>ie</w:t>
      </w:r>
      <w:r w:rsidRPr="00C47669">
        <w:rPr>
          <w:rFonts w:ascii="Calibri" w:hAnsi="Calibri" w:cs="Calibri"/>
          <w:sz w:val="22"/>
          <w:szCs w:val="22"/>
        </w:rPr>
        <w:t xml:space="preserve"> school-age populations, English Language Learners, </w:t>
      </w:r>
      <w:r w:rsidRPr="00C47669">
        <w:rPr>
          <w:rFonts w:ascii="Calibri" w:hAnsi="Calibri" w:cs="Calibri"/>
          <w:sz w:val="22"/>
          <w:szCs w:val="22"/>
        </w:rPr>
        <w:t>etc</w:t>
      </w:r>
      <w:r w:rsidRPr="00C47669">
        <w:rPr>
          <w:rFonts w:ascii="Calibri" w:hAnsi="Calibri" w:cs="Calibri"/>
          <w:sz w:val="22"/>
          <w:szCs w:val="22"/>
        </w:rPr>
        <w:t>)</w:t>
      </w:r>
      <w:r w:rsidRPr="00C47669" w:rsidR="00D56ECA">
        <w:rPr>
          <w:rFonts w:ascii="Calibri" w:hAnsi="Calibri" w:cs="Calibri"/>
          <w:sz w:val="22"/>
          <w:szCs w:val="22"/>
        </w:rPr>
        <w:t>”</w:t>
      </w:r>
      <w:r w:rsidRPr="00C47669">
        <w:rPr>
          <w:rFonts w:ascii="Calibri" w:hAnsi="Calibri" w:cs="Calibri"/>
          <w:b/>
          <w:bCs/>
          <w:i/>
          <w:iCs/>
          <w:sz w:val="22"/>
          <w:szCs w:val="22"/>
        </w:rPr>
        <w:t xml:space="preserve"> </w:t>
      </w:r>
    </w:p>
    <w:p w:rsidR="00D56ECA" w:rsidRPr="00C47669" w:rsidP="004B4318" w14:paraId="44A26819" w14:textId="01F3CB90">
      <w:pPr>
        <w:pStyle w:val="ListParagraph"/>
        <w:numPr>
          <w:ilvl w:val="1"/>
          <w:numId w:val="2"/>
        </w:numPr>
        <w:rPr>
          <w:rFonts w:ascii="Calibri" w:hAnsi="Calibri" w:cs="Calibri"/>
          <w:b/>
          <w:bCs/>
          <w:i/>
          <w:iCs/>
          <w:sz w:val="22"/>
          <w:szCs w:val="22"/>
        </w:rPr>
      </w:pPr>
      <w:r w:rsidRPr="00BC0ECD">
        <w:rPr>
          <w:rFonts w:ascii="Calibri" w:hAnsi="Calibri" w:cs="Calibri"/>
          <w:b/>
          <w:bCs/>
          <w:i/>
          <w:iCs/>
          <w:sz w:val="22"/>
          <w:szCs w:val="22"/>
        </w:rPr>
        <w:t>Rationale:</w:t>
      </w:r>
      <w:r w:rsidRPr="00C47669">
        <w:rPr>
          <w:rFonts w:ascii="Calibri" w:hAnsi="Calibri" w:cs="Calibri"/>
          <w:sz w:val="22"/>
          <w:szCs w:val="22"/>
        </w:rPr>
        <w:t xml:space="preserve"> States sometimes read required lists as exhaustive lists</w:t>
      </w:r>
      <w:r w:rsidR="00905887">
        <w:rPr>
          <w:rFonts w:ascii="Calibri" w:hAnsi="Calibri" w:cs="Calibri"/>
          <w:sz w:val="22"/>
          <w:szCs w:val="22"/>
        </w:rPr>
        <w:t xml:space="preserve">. </w:t>
      </w:r>
      <w:r w:rsidRPr="00C47669">
        <w:rPr>
          <w:rFonts w:ascii="Calibri" w:hAnsi="Calibri" w:cs="Calibri"/>
          <w:sz w:val="22"/>
          <w:szCs w:val="22"/>
        </w:rPr>
        <w:t xml:space="preserve">Currently, a small but important number of states are offering grants and contracts to school-age providers based on a defined need in their states. We hope this work continues to be seen as valuable both to the state and the federal government. We </w:t>
      </w:r>
      <w:r w:rsidR="00905887">
        <w:rPr>
          <w:rFonts w:ascii="Calibri" w:hAnsi="Calibri" w:cs="Calibri"/>
          <w:sz w:val="22"/>
          <w:szCs w:val="22"/>
        </w:rPr>
        <w:t xml:space="preserve">therefore </w:t>
      </w:r>
      <w:r w:rsidRPr="00C47669">
        <w:rPr>
          <w:rFonts w:ascii="Calibri" w:hAnsi="Calibri" w:cs="Calibri"/>
          <w:sz w:val="22"/>
          <w:szCs w:val="22"/>
        </w:rPr>
        <w:t xml:space="preserve">want states to both report on and prioritize the key areas in the final rule </w:t>
      </w:r>
      <w:r w:rsidRPr="00905887">
        <w:rPr>
          <w:rFonts w:ascii="Calibri" w:hAnsi="Calibri" w:cs="Calibri"/>
          <w:i/>
          <w:iCs/>
          <w:sz w:val="22"/>
          <w:szCs w:val="22"/>
          <w:u w:val="single"/>
        </w:rPr>
        <w:t xml:space="preserve">as well as </w:t>
      </w:r>
      <w:r w:rsidRPr="00C47669">
        <w:rPr>
          <w:rFonts w:ascii="Calibri" w:hAnsi="Calibri" w:cs="Calibri"/>
          <w:sz w:val="22"/>
          <w:szCs w:val="22"/>
        </w:rPr>
        <w:t xml:space="preserve">continue to </w:t>
      </w:r>
      <w:r w:rsidRPr="00C47669" w:rsidR="004B4318">
        <w:rPr>
          <w:rFonts w:ascii="Calibri" w:hAnsi="Calibri" w:cs="Calibri"/>
          <w:sz w:val="22"/>
          <w:szCs w:val="22"/>
        </w:rPr>
        <w:t>feel</w:t>
      </w:r>
      <w:r w:rsidR="00905887">
        <w:rPr>
          <w:rFonts w:ascii="Calibri" w:hAnsi="Calibri" w:cs="Calibri"/>
          <w:sz w:val="22"/>
          <w:szCs w:val="22"/>
        </w:rPr>
        <w:t xml:space="preserve"> that</w:t>
      </w:r>
      <w:r w:rsidRPr="00C47669" w:rsidR="004B4318">
        <w:rPr>
          <w:rFonts w:ascii="Calibri" w:hAnsi="Calibri" w:cs="Calibri"/>
          <w:sz w:val="22"/>
          <w:szCs w:val="22"/>
        </w:rPr>
        <w:t xml:space="preserve"> </w:t>
      </w:r>
      <w:r w:rsidR="00905887">
        <w:rPr>
          <w:rFonts w:ascii="Calibri" w:hAnsi="Calibri" w:cs="Calibri"/>
          <w:sz w:val="22"/>
          <w:szCs w:val="22"/>
        </w:rPr>
        <w:t>providing specific attention to additional</w:t>
      </w:r>
      <w:r w:rsidRPr="00C47669" w:rsidR="004B4318">
        <w:rPr>
          <w:rFonts w:ascii="Calibri" w:hAnsi="Calibri" w:cs="Calibri"/>
          <w:sz w:val="22"/>
          <w:szCs w:val="22"/>
        </w:rPr>
        <w:t xml:space="preserve"> populations is permissible and even encouraged. </w:t>
      </w:r>
      <w:r w:rsidRPr="00C47669">
        <w:rPr>
          <w:rFonts w:ascii="Calibri" w:hAnsi="Calibri" w:cs="Calibri"/>
          <w:sz w:val="22"/>
          <w:szCs w:val="22"/>
        </w:rPr>
        <w:t xml:space="preserve"> </w:t>
      </w:r>
    </w:p>
    <w:p w:rsidR="004B4318" w:rsidRPr="00C47669" w:rsidP="00D02499" w14:paraId="79196FCF" w14:textId="77777777">
      <w:pPr>
        <w:pStyle w:val="TableParagraph"/>
        <w:ind w:left="720" w:right="204"/>
        <w:rPr>
          <w:rFonts w:ascii="Calibri" w:hAnsi="Calibri" w:cs="Calibri"/>
        </w:rPr>
      </w:pPr>
    </w:p>
    <w:p w:rsidR="004B4318" w:rsidRPr="00C47669" w:rsidP="004B4318" w14:paraId="753C8A7F" w14:textId="01EAF4BF">
      <w:pPr>
        <w:pStyle w:val="TableParagraph"/>
        <w:numPr>
          <w:ilvl w:val="0"/>
          <w:numId w:val="2"/>
        </w:numPr>
        <w:ind w:right="204"/>
        <w:rPr>
          <w:rFonts w:ascii="Calibri" w:hAnsi="Calibri" w:cs="Calibri"/>
        </w:rPr>
      </w:pPr>
      <w:r w:rsidRPr="00BC0ECD">
        <w:rPr>
          <w:rFonts w:ascii="Calibri" w:hAnsi="Calibri" w:cs="Calibri"/>
          <w:b/>
          <w:bCs/>
        </w:rPr>
        <w:t>For Question 5.iii Of children served through grants or contracts with providers, number of children in underserved geographic areas.</w:t>
      </w:r>
      <w:r w:rsidRPr="00C47669">
        <w:rPr>
          <w:rFonts w:ascii="Calibri" w:hAnsi="Calibri" w:cs="Calibri"/>
        </w:rPr>
        <w:t xml:space="preserve"> </w:t>
      </w:r>
      <w:r w:rsidR="00905887">
        <w:rPr>
          <w:rFonts w:ascii="Calibri" w:hAnsi="Calibri" w:cs="Calibri"/>
          <w:b/>
          <w:bCs/>
        </w:rPr>
        <w:t xml:space="preserve">Current language reads: </w:t>
      </w:r>
      <w:r w:rsidRPr="00C47669">
        <w:rPr>
          <w:rFonts w:ascii="Calibri" w:hAnsi="Calibri" w:cs="Calibri"/>
        </w:rPr>
        <w:t xml:space="preserve">Of the children served through grants or contracts with providers for direct services (for slots) during the reporting period reported on line 5, report the total number of children in underserved geographic areas, as defined by the lead agency.   </w:t>
      </w:r>
    </w:p>
    <w:p w:rsidR="004B4318" w:rsidRPr="00C47669" w:rsidP="004B4318" w14:paraId="2E9A2DB6" w14:textId="77777777">
      <w:pPr>
        <w:pStyle w:val="ListParagraph"/>
        <w:rPr>
          <w:rFonts w:ascii="Calibri" w:hAnsi="Calibri" w:cs="Calibri"/>
          <w:sz w:val="22"/>
          <w:szCs w:val="22"/>
        </w:rPr>
      </w:pPr>
    </w:p>
    <w:p w:rsidR="004B4318" w:rsidRPr="00C47669" w:rsidP="004B4318" w14:paraId="5C757AD5" w14:textId="21518164">
      <w:pPr>
        <w:pStyle w:val="TableParagraph"/>
        <w:numPr>
          <w:ilvl w:val="1"/>
          <w:numId w:val="2"/>
        </w:numPr>
        <w:ind w:right="204"/>
        <w:rPr>
          <w:rFonts w:ascii="Calibri" w:hAnsi="Calibri" w:cs="Calibri"/>
        </w:rPr>
      </w:pPr>
      <w:r w:rsidRPr="00BC0ECD">
        <w:rPr>
          <w:rFonts w:ascii="Calibri" w:hAnsi="Calibri" w:cs="Calibri"/>
          <w:b/>
          <w:bCs/>
        </w:rPr>
        <w:t>We recommend</w:t>
      </w:r>
      <w:r w:rsidRPr="00C47669">
        <w:rPr>
          <w:rFonts w:ascii="Calibri" w:hAnsi="Calibri" w:cs="Calibri"/>
        </w:rPr>
        <w:t xml:space="preserve"> after the above</w:t>
      </w:r>
      <w:r w:rsidR="00BC0ECD">
        <w:rPr>
          <w:rFonts w:ascii="Calibri" w:hAnsi="Calibri" w:cs="Calibri"/>
        </w:rPr>
        <w:t xml:space="preserve"> statement</w:t>
      </w:r>
      <w:r w:rsidR="00905887">
        <w:rPr>
          <w:rFonts w:ascii="Calibri" w:hAnsi="Calibri" w:cs="Calibri"/>
        </w:rPr>
        <w:t xml:space="preserve"> ending in </w:t>
      </w:r>
      <w:r w:rsidRPr="00C47669">
        <w:rPr>
          <w:rFonts w:ascii="Calibri" w:hAnsi="Calibri" w:cs="Calibri"/>
        </w:rPr>
        <w:t>“as defined by the lead agency” the addition of “with thorough consideration of the full span of ages served in the state’s CCDF implementation”.</w:t>
      </w:r>
    </w:p>
    <w:p w:rsidR="004B4318" w:rsidRPr="00C47669" w:rsidP="00E001DE" w14:paraId="767E3ACD" w14:textId="6186850E">
      <w:pPr>
        <w:pStyle w:val="TableParagraph"/>
        <w:numPr>
          <w:ilvl w:val="1"/>
          <w:numId w:val="2"/>
        </w:numPr>
        <w:ind w:right="204"/>
        <w:rPr>
          <w:rFonts w:ascii="Calibri" w:hAnsi="Calibri" w:cs="Calibri"/>
        </w:rPr>
      </w:pPr>
      <w:r w:rsidRPr="00C47669">
        <w:rPr>
          <w:rFonts w:ascii="Calibri" w:hAnsi="Calibri" w:cs="Calibri"/>
          <w:b/>
          <w:bCs/>
          <w:i/>
          <w:iCs/>
        </w:rPr>
        <w:t xml:space="preserve">Rationale: </w:t>
      </w:r>
      <w:r w:rsidRPr="00BC0ECD">
        <w:rPr>
          <w:rFonts w:ascii="Calibri" w:hAnsi="Calibri" w:cs="Calibri"/>
        </w:rPr>
        <w:t xml:space="preserve">A subset of states seems to have begun to identify “underserved areas” and “child care deserts” as synonymous. However, </w:t>
      </w:r>
      <w:r w:rsidRPr="00BC0ECD" w:rsidR="00D56ECA">
        <w:rPr>
          <w:rFonts w:ascii="Calibri" w:hAnsi="Calibri" w:cs="Calibri"/>
        </w:rPr>
        <w:t xml:space="preserve">frequently </w:t>
      </w:r>
      <w:r w:rsidRPr="00BC0ECD">
        <w:rPr>
          <w:rFonts w:ascii="Calibri" w:hAnsi="Calibri" w:cs="Calibri"/>
        </w:rPr>
        <w:t xml:space="preserve">“child care </w:t>
      </w:r>
      <w:r w:rsidRPr="00BC0ECD">
        <w:rPr>
          <w:rFonts w:ascii="Calibri" w:hAnsi="Calibri" w:cs="Calibri"/>
        </w:rPr>
        <w:t xml:space="preserve">deserts”  </w:t>
      </w:r>
      <w:r w:rsidR="00BC0ECD">
        <w:rPr>
          <w:rFonts w:ascii="Calibri" w:hAnsi="Calibri" w:cs="Calibri"/>
        </w:rPr>
        <w:t>are</w:t>
      </w:r>
      <w:r w:rsidR="00BC0ECD">
        <w:rPr>
          <w:rFonts w:ascii="Calibri" w:hAnsi="Calibri" w:cs="Calibri"/>
        </w:rPr>
        <w:t xml:space="preserve"> </w:t>
      </w:r>
      <w:r w:rsidRPr="00BC0ECD" w:rsidR="00D56ECA">
        <w:rPr>
          <w:rFonts w:ascii="Calibri" w:hAnsi="Calibri" w:cs="Calibri"/>
        </w:rPr>
        <w:t xml:space="preserve">defined as </w:t>
      </w:r>
      <w:r w:rsidRPr="00BC0ECD">
        <w:rPr>
          <w:rFonts w:ascii="Calibri" w:hAnsi="Calibri" w:cs="Calibri"/>
        </w:rPr>
        <w:t xml:space="preserve">the ratio of licensed care to the number of children </w:t>
      </w:r>
      <w:r w:rsidRPr="00BC0ECD">
        <w:rPr>
          <w:rFonts w:ascii="Calibri" w:hAnsi="Calibri" w:cs="Calibri"/>
          <w:i/>
          <w:iCs/>
          <w:u w:val="single"/>
        </w:rPr>
        <w:t>ages birth to 5</w:t>
      </w:r>
      <w:r w:rsidR="00905887">
        <w:rPr>
          <w:rFonts w:ascii="Calibri" w:hAnsi="Calibri" w:cs="Calibri"/>
        </w:rPr>
        <w:t xml:space="preserve"> only. </w:t>
      </w:r>
      <w:r w:rsidRPr="00BC0ECD">
        <w:rPr>
          <w:rFonts w:ascii="Calibri" w:hAnsi="Calibri" w:cs="Calibri"/>
        </w:rPr>
        <w:t xml:space="preserve"> </w:t>
      </w:r>
      <w:r w:rsidRPr="00BC0ECD" w:rsidR="00D56ECA">
        <w:rPr>
          <w:rFonts w:ascii="Calibri" w:hAnsi="Calibri" w:cs="Calibri"/>
        </w:rPr>
        <w:t>While this age group is important, it is not the only population served by CCDBG funds. Working families with children ages 5-13 also need access to care and states have a role to play in identifying any underserved areas for this population as well. Given the focus on infants and toddlers, special populations and underserved areas, if the Federal Agency does not highlight for lead agencies to ensure consideration of older children, they are likely to be overlooked, leaving many families and children in need</w:t>
      </w:r>
      <w:r w:rsidR="00905887">
        <w:rPr>
          <w:rFonts w:ascii="Calibri" w:hAnsi="Calibri" w:cs="Calibri"/>
        </w:rPr>
        <w:t xml:space="preserve"> truly underserved</w:t>
      </w:r>
      <w:r w:rsidRPr="00BC0ECD" w:rsidR="00D56ECA">
        <w:rPr>
          <w:rFonts w:ascii="Calibri" w:hAnsi="Calibri" w:cs="Calibri"/>
        </w:rPr>
        <w:t>.</w:t>
      </w:r>
    </w:p>
    <w:p w:rsidR="004B4318" w:rsidRPr="00C47669" w:rsidP="004B4318" w14:paraId="75A55345" w14:textId="77777777">
      <w:pPr>
        <w:pStyle w:val="TableParagraph"/>
        <w:ind w:left="2160" w:right="204"/>
        <w:rPr>
          <w:rFonts w:ascii="Calibri" w:hAnsi="Calibri" w:cs="Calibri"/>
        </w:rPr>
      </w:pPr>
    </w:p>
    <w:p w:rsidR="004B4318" w:rsidRPr="00BC0ECD" w:rsidP="004B4318" w14:paraId="15600885" w14:textId="77777777">
      <w:pPr>
        <w:pStyle w:val="TableParagraph"/>
        <w:numPr>
          <w:ilvl w:val="0"/>
          <w:numId w:val="2"/>
        </w:numPr>
        <w:ind w:right="204"/>
        <w:rPr>
          <w:rFonts w:ascii="Calibri" w:hAnsi="Calibri" w:cs="Calibri"/>
          <w:b/>
          <w:bCs/>
        </w:rPr>
      </w:pPr>
      <w:r w:rsidRPr="00BC0ECD">
        <w:rPr>
          <w:rFonts w:ascii="Calibri" w:hAnsi="Calibri" w:cs="Calibri"/>
          <w:b/>
          <w:bCs/>
        </w:rPr>
        <w:t xml:space="preserve">For “Types of Providers/ Definitions”. </w:t>
      </w:r>
    </w:p>
    <w:p w:rsidR="004B4318" w:rsidRPr="00C47669" w:rsidP="004B4318" w14:paraId="6F4D066E" w14:textId="3037BBF5">
      <w:pPr>
        <w:pStyle w:val="TableParagraph"/>
        <w:numPr>
          <w:ilvl w:val="1"/>
          <w:numId w:val="2"/>
        </w:numPr>
        <w:ind w:right="204"/>
        <w:rPr>
          <w:rFonts w:ascii="Calibri" w:hAnsi="Calibri" w:cs="Calibri"/>
        </w:rPr>
      </w:pPr>
      <w:r w:rsidRPr="00BC0ECD">
        <w:rPr>
          <w:rFonts w:ascii="Calibri" w:hAnsi="Calibri" w:cs="Calibri"/>
          <w:b/>
          <w:bCs/>
        </w:rPr>
        <w:t>We recommend</w:t>
      </w:r>
      <w:r w:rsidRPr="00C47669">
        <w:rPr>
          <w:rFonts w:ascii="Calibri" w:hAnsi="Calibri" w:cs="Calibri"/>
        </w:rPr>
        <w:t xml:space="preserve"> </w:t>
      </w:r>
      <w:r w:rsidRPr="00C47669" w:rsidR="00E001DE">
        <w:rPr>
          <w:rFonts w:ascii="Calibri" w:hAnsi="Calibri" w:cs="Calibri"/>
        </w:rPr>
        <w:t>to add</w:t>
      </w:r>
      <w:r w:rsidRPr="00C47669">
        <w:rPr>
          <w:rFonts w:ascii="Calibri" w:hAnsi="Calibri" w:cs="Calibri"/>
        </w:rPr>
        <w:t xml:space="preserve"> a definition for “School-age only provider”</w:t>
      </w:r>
      <w:r w:rsidR="00905887">
        <w:rPr>
          <w:rFonts w:ascii="Calibri" w:hAnsi="Calibri" w:cs="Calibri"/>
        </w:rPr>
        <w:t>. The definition could define this new category as:</w:t>
      </w:r>
      <w:r w:rsidRPr="00C47669">
        <w:rPr>
          <w:rFonts w:ascii="Calibri" w:hAnsi="Calibri" w:cs="Calibri"/>
        </w:rPr>
        <w:t xml:space="preserve"> “Center based care provided to children defined by the state as being </w:t>
      </w:r>
      <w:r w:rsidRPr="00C47669">
        <w:rPr>
          <w:rFonts w:ascii="Calibri" w:hAnsi="Calibri" w:cs="Calibri"/>
        </w:rPr>
        <w:t>school-age</w:t>
      </w:r>
      <w:r w:rsidRPr="00C47669">
        <w:rPr>
          <w:rFonts w:ascii="Calibri" w:hAnsi="Calibri" w:cs="Calibri"/>
        </w:rPr>
        <w:t xml:space="preserve"> only, may be licensed, license exempt CCDF eligible, or regulated</w:t>
      </w:r>
      <w:r w:rsidRPr="00C47669" w:rsidR="00C03FBA">
        <w:rPr>
          <w:rFonts w:ascii="Calibri" w:hAnsi="Calibri" w:cs="Calibri"/>
        </w:rPr>
        <w:t xml:space="preserve">. Providers </w:t>
      </w:r>
      <w:r w:rsidR="00905887">
        <w:rPr>
          <w:rFonts w:ascii="Calibri" w:hAnsi="Calibri" w:cs="Calibri"/>
        </w:rPr>
        <w:t>of</w:t>
      </w:r>
      <w:r w:rsidRPr="00C47669" w:rsidR="00C03FBA">
        <w:rPr>
          <w:rFonts w:ascii="Calibri" w:hAnsi="Calibri" w:cs="Calibri"/>
        </w:rPr>
        <w:t xml:space="preserve"> early care or mixed age care will not be included in this definition.”</w:t>
      </w:r>
    </w:p>
    <w:p w:rsidR="00BC0ECD" w:rsidP="00BC0ECD" w14:paraId="042661E1" w14:textId="10D2D11C">
      <w:pPr>
        <w:pStyle w:val="TableParagraph"/>
        <w:numPr>
          <w:ilvl w:val="1"/>
          <w:numId w:val="2"/>
        </w:numPr>
        <w:ind w:right="204"/>
        <w:rPr>
          <w:rFonts w:ascii="Calibri" w:hAnsi="Calibri" w:cs="Calibri"/>
        </w:rPr>
      </w:pPr>
      <w:r w:rsidRPr="00905887">
        <w:rPr>
          <w:rFonts w:ascii="Calibri" w:hAnsi="Calibri" w:cs="Calibri"/>
          <w:b/>
          <w:bCs/>
          <w:i/>
          <w:iCs/>
        </w:rPr>
        <w:t>Rationale:</w:t>
      </w:r>
      <w:r w:rsidRPr="00905887">
        <w:rPr>
          <w:rFonts w:ascii="Calibri" w:hAnsi="Calibri" w:cs="Calibri"/>
        </w:rPr>
        <w:t xml:space="preserve"> These </w:t>
      </w:r>
      <w:r w:rsidR="00905887">
        <w:rPr>
          <w:rFonts w:ascii="Calibri" w:hAnsi="Calibri" w:cs="Calibri"/>
        </w:rPr>
        <w:t xml:space="preserve">school-age only </w:t>
      </w:r>
      <w:r w:rsidRPr="00905887">
        <w:rPr>
          <w:rFonts w:ascii="Calibri" w:hAnsi="Calibri" w:cs="Calibri"/>
        </w:rPr>
        <w:t xml:space="preserve">providers perform a similar but distinct </w:t>
      </w:r>
      <w:r w:rsidRPr="00905887">
        <w:rPr>
          <w:rFonts w:ascii="Calibri" w:hAnsi="Calibri" w:cs="Calibri"/>
        </w:rPr>
        <w:t>function from early care and mixed age center based care, often both in how they support children who are already enrolled in education settings during the traditional school day and how and where they are available to families</w:t>
      </w:r>
      <w:r w:rsidRPr="00905887" w:rsidR="00905887">
        <w:rPr>
          <w:rFonts w:ascii="Calibri" w:hAnsi="Calibri" w:cs="Calibri"/>
        </w:rPr>
        <w:t xml:space="preserve"> – for example </w:t>
      </w:r>
      <w:r w:rsidR="00905887">
        <w:rPr>
          <w:rFonts w:ascii="Calibri" w:hAnsi="Calibri" w:cs="Calibri"/>
        </w:rPr>
        <w:t xml:space="preserve">the educators may not have education degrees because the students are already with certified teachers during the main school-day, or the setting may be in a school-building rather than a stand-alone center. Given the high demand, and often low use of subsidy for the school-age age group in many cases due to lack of supply, this is an important category of provider to understand. We therefore believe this is best done through creation of a new, and mutually exclusive category from the more general category of “Center”. </w:t>
      </w:r>
    </w:p>
    <w:p w:rsidR="00905887" w:rsidRPr="00905887" w:rsidP="00905887" w14:paraId="2E264274" w14:textId="77777777">
      <w:pPr>
        <w:pStyle w:val="TableParagraph"/>
        <w:ind w:left="2160" w:right="204"/>
        <w:rPr>
          <w:rFonts w:ascii="Calibri" w:hAnsi="Calibri" w:cs="Calibri"/>
        </w:rPr>
      </w:pPr>
    </w:p>
    <w:p w:rsidR="00BC0ECD" w:rsidRPr="00C47669" w:rsidP="00BC0ECD" w14:paraId="7086AD29" w14:textId="696A13FF">
      <w:pPr>
        <w:pStyle w:val="TableParagraph"/>
        <w:ind w:right="204"/>
        <w:rPr>
          <w:rFonts w:ascii="Calibri" w:hAnsi="Calibri" w:cs="Calibri"/>
        </w:rPr>
      </w:pPr>
      <w:r>
        <w:rPr>
          <w:rFonts w:ascii="Calibri" w:hAnsi="Calibri" w:cs="Calibri"/>
        </w:rPr>
        <w:t xml:space="preserve">Thank you for your consideration of the above as </w:t>
      </w:r>
      <w:r w:rsidR="008278D0">
        <w:rPr>
          <w:rFonts w:ascii="Calibri" w:hAnsi="Calibri" w:cs="Calibri"/>
        </w:rPr>
        <w:t xml:space="preserve">a means to ensure that the needs of all families across the continuum continue to be centered in the implementation of these new important priorities and reporting mechanisms. </w:t>
      </w:r>
      <w:r w:rsidR="00D73F21">
        <w:rPr>
          <w:rFonts w:ascii="Calibri" w:hAnsi="Calibri" w:cs="Calibri"/>
        </w:rPr>
        <w:t xml:space="preserve">Please reach out for any reason </w:t>
      </w:r>
      <w:r w:rsidR="00365D0F">
        <w:rPr>
          <w:rFonts w:ascii="Calibri" w:hAnsi="Calibri" w:cs="Calibri"/>
        </w:rPr>
        <w:t xml:space="preserve">to Jillian Luchner, Policy Director, </w:t>
      </w:r>
      <w:r w:rsidR="00D73F21">
        <w:rPr>
          <w:rFonts w:ascii="Calibri" w:hAnsi="Calibri" w:cs="Calibri"/>
        </w:rPr>
        <w:t xml:space="preserve">at </w:t>
      </w:r>
      <w:hyperlink r:id="rId7" w:history="1">
        <w:r w:rsidRPr="00BD4321" w:rsidR="00D73F21">
          <w:rPr>
            <w:rStyle w:val="Hyperlink"/>
            <w:rFonts w:ascii="Calibri" w:hAnsi="Calibri" w:cs="Calibri"/>
          </w:rPr>
          <w:t>jluchner@afterschoolalliance.org</w:t>
        </w:r>
      </w:hyperlink>
      <w:r w:rsidR="00D73F21">
        <w:rPr>
          <w:rFonts w:ascii="Calibri" w:hAnsi="Calibri" w:cs="Calibri"/>
        </w:rPr>
        <w:t xml:space="preserve">. </w:t>
      </w:r>
    </w:p>
    <w:p w:rsidR="004B4318" w:rsidP="00E001DE" w14:paraId="63D7A1ED" w14:textId="77777777"/>
    <w:p w:rsidR="004B4318" w:rsidP="00E001DE" w14:paraId="638663A3" w14:textId="77777777"/>
    <w:p w:rsidR="00E001DE" w:rsidRPr="00E001DE" w:rsidP="00E001DE" w14:paraId="6EA3FA6D" w14:textId="77777777"/>
    <w:p w:rsidR="00D02499" w:rsidRPr="00D02499" w:rsidP="00D02499" w14:paraId="653A3AF1" w14:textId="77777777">
      <w:pPr>
        <w:ind w:left="720"/>
        <w:rPr>
          <w:b/>
          <w:bCs/>
        </w:rPr>
      </w:pPr>
    </w:p>
    <w:p w:rsidR="00D02499" w:rsidP="009F4FD9" w14:paraId="7A5CA006" w14:textId="77777777"/>
    <w:p w:rsidR="009F4FD9" w14:paraId="04F1B231" w14:textId="77777777"/>
    <w:p w:rsidR="0005681C" w14:paraId="146637D9" w14:textId="77777777"/>
    <w:p w:rsidR="0005681C" w14:paraId="3F594094" w14:textId="77777777"/>
    <w:p w:rsidR="0005681C" w14:paraId="6F4C625D" w14:textId="77777777"/>
    <w:p w:rsidR="00AE307A" w14:paraId="6AAB795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69B7" w:rsidP="0009114C" w14:paraId="5F440C3E" w14:textId="77777777">
      <w:r>
        <w:separator/>
      </w:r>
    </w:p>
  </w:footnote>
  <w:footnote w:type="continuationSeparator" w:id="1">
    <w:p w:rsidR="00C469B7" w:rsidP="0009114C" w14:paraId="3AC40A91" w14:textId="77777777">
      <w:r>
        <w:continuationSeparator/>
      </w:r>
    </w:p>
  </w:footnote>
  <w:footnote w:id="2">
    <w:p w:rsidR="0009114C" w:rsidP="0009114C" w14:paraId="3E8BFC13" w14:textId="6F9BD330">
      <w:r>
        <w:rPr>
          <w:rStyle w:val="FootnoteReference"/>
        </w:rPr>
        <w:footnoteRef/>
      </w:r>
      <w:r>
        <w:t xml:space="preserve"> “A</w:t>
      </w:r>
      <w:r w:rsidRPr="0092398F">
        <w:t>CF further encourages Lead Agencies use data collected through supply analysis to direct grants or contracts towards identified areas of need.</w:t>
      </w:r>
      <w:r>
        <w:t xml:space="preserve">” </w:t>
      </w:r>
      <w:hyperlink r:id="rId1" w:history="1">
        <w:r w:rsidRPr="00BD4321">
          <w:rPr>
            <w:rStyle w:val="Hyperlink"/>
          </w:rPr>
          <w:t>https://www.federalregister.gov/documents/2024/03/01/2024-04139/improving-child-care-access-affordability-and-stability-in-the-child-care-and-development-fund-ccdf</w:t>
        </w:r>
      </w:hyperlink>
      <w:r>
        <w:t xml:space="preserve"> </w:t>
      </w:r>
    </w:p>
    <w:p w:rsidR="0009114C" w14:paraId="6632868C" w14:textId="1B52369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FC22B4"/>
    <w:multiLevelType w:val="hybridMultilevel"/>
    <w:tmpl w:val="DD3CF614"/>
    <w:lvl w:ilvl="0">
      <w:start w:val="1"/>
      <w:numFmt w:val="upp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3E796DAD"/>
    <w:multiLevelType w:val="hybridMultilevel"/>
    <w:tmpl w:val="B7DE5852"/>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A9D34B0"/>
    <w:multiLevelType w:val="hybridMultilevel"/>
    <w:tmpl w:val="12AE1FEC"/>
    <w:lvl w:ilvl="0">
      <w:start w:val="1"/>
      <w:numFmt w:val="upperLetter"/>
      <w:lvlText w:val="%1."/>
      <w:lvlJc w:val="left"/>
      <w:pPr>
        <w:ind w:left="832" w:hanging="360"/>
      </w:pPr>
    </w:lvl>
    <w:lvl w:ilvl="1" w:tentative="1">
      <w:start w:val="1"/>
      <w:numFmt w:val="lowerLetter"/>
      <w:lvlText w:val="%2."/>
      <w:lvlJc w:val="left"/>
      <w:pPr>
        <w:ind w:left="1552" w:hanging="360"/>
      </w:pPr>
    </w:lvl>
    <w:lvl w:ilvl="2" w:tentative="1">
      <w:start w:val="1"/>
      <w:numFmt w:val="lowerRoman"/>
      <w:lvlText w:val="%3."/>
      <w:lvlJc w:val="right"/>
      <w:pPr>
        <w:ind w:left="2272" w:hanging="180"/>
      </w:pPr>
    </w:lvl>
    <w:lvl w:ilvl="3" w:tentative="1">
      <w:start w:val="1"/>
      <w:numFmt w:val="decimal"/>
      <w:lvlText w:val="%4."/>
      <w:lvlJc w:val="left"/>
      <w:pPr>
        <w:ind w:left="2992" w:hanging="360"/>
      </w:pPr>
    </w:lvl>
    <w:lvl w:ilvl="4" w:tentative="1">
      <w:start w:val="1"/>
      <w:numFmt w:val="lowerLetter"/>
      <w:lvlText w:val="%5."/>
      <w:lvlJc w:val="left"/>
      <w:pPr>
        <w:ind w:left="3712" w:hanging="360"/>
      </w:pPr>
    </w:lvl>
    <w:lvl w:ilvl="5" w:tentative="1">
      <w:start w:val="1"/>
      <w:numFmt w:val="lowerRoman"/>
      <w:lvlText w:val="%6."/>
      <w:lvlJc w:val="right"/>
      <w:pPr>
        <w:ind w:left="4432" w:hanging="180"/>
      </w:pPr>
    </w:lvl>
    <w:lvl w:ilvl="6" w:tentative="1">
      <w:start w:val="1"/>
      <w:numFmt w:val="decimal"/>
      <w:lvlText w:val="%7."/>
      <w:lvlJc w:val="left"/>
      <w:pPr>
        <w:ind w:left="5152" w:hanging="360"/>
      </w:pPr>
    </w:lvl>
    <w:lvl w:ilvl="7" w:tentative="1">
      <w:start w:val="1"/>
      <w:numFmt w:val="lowerLetter"/>
      <w:lvlText w:val="%8."/>
      <w:lvlJc w:val="left"/>
      <w:pPr>
        <w:ind w:left="5872" w:hanging="360"/>
      </w:pPr>
    </w:lvl>
    <w:lvl w:ilvl="8" w:tentative="1">
      <w:start w:val="1"/>
      <w:numFmt w:val="lowerRoman"/>
      <w:lvlText w:val="%9."/>
      <w:lvlJc w:val="right"/>
      <w:pPr>
        <w:ind w:left="6592" w:hanging="180"/>
      </w:pPr>
    </w:lvl>
  </w:abstractNum>
  <w:abstractNum w:abstractNumId="3">
    <w:nsid w:val="5D6C304F"/>
    <w:multiLevelType w:val="hybridMultilevel"/>
    <w:tmpl w:val="F0E64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9563878">
    <w:abstractNumId w:val="3"/>
  </w:num>
  <w:num w:numId="2" w16cid:durableId="881479806">
    <w:abstractNumId w:val="0"/>
  </w:num>
  <w:num w:numId="3" w16cid:durableId="738989125">
    <w:abstractNumId w:val="1"/>
  </w:num>
  <w:num w:numId="4" w16cid:durableId="162327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1C"/>
    <w:rsid w:val="0004632F"/>
    <w:rsid w:val="0005681C"/>
    <w:rsid w:val="0009114C"/>
    <w:rsid w:val="00267BA1"/>
    <w:rsid w:val="002B128A"/>
    <w:rsid w:val="00335CEA"/>
    <w:rsid w:val="00365D0F"/>
    <w:rsid w:val="004B4318"/>
    <w:rsid w:val="005244A2"/>
    <w:rsid w:val="007313D0"/>
    <w:rsid w:val="00776BE3"/>
    <w:rsid w:val="007D31F3"/>
    <w:rsid w:val="008278D0"/>
    <w:rsid w:val="00905887"/>
    <w:rsid w:val="0092398F"/>
    <w:rsid w:val="009F4FD9"/>
    <w:rsid w:val="00AE307A"/>
    <w:rsid w:val="00B1372B"/>
    <w:rsid w:val="00B73881"/>
    <w:rsid w:val="00BB5A4D"/>
    <w:rsid w:val="00BC0ECD"/>
    <w:rsid w:val="00BD4321"/>
    <w:rsid w:val="00C03FBA"/>
    <w:rsid w:val="00C469B7"/>
    <w:rsid w:val="00C47669"/>
    <w:rsid w:val="00D02499"/>
    <w:rsid w:val="00D56ECA"/>
    <w:rsid w:val="00D73F21"/>
    <w:rsid w:val="00DB7E7E"/>
    <w:rsid w:val="00E001DE"/>
    <w:rsid w:val="00E56393"/>
    <w:rsid w:val="00F636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FD4806"/>
  <w15:chartTrackingRefBased/>
  <w15:docId w15:val="{CAFA2F29-9F4B-DF49-84F3-7631E395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8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8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8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8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8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8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8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8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8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8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8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8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81C"/>
    <w:rPr>
      <w:rFonts w:eastAsiaTheme="majorEastAsia" w:cstheme="majorBidi"/>
      <w:color w:val="272727" w:themeColor="text1" w:themeTint="D8"/>
    </w:rPr>
  </w:style>
  <w:style w:type="paragraph" w:styleId="Title">
    <w:name w:val="Title"/>
    <w:basedOn w:val="Normal"/>
    <w:next w:val="Normal"/>
    <w:link w:val="TitleChar"/>
    <w:uiPriority w:val="10"/>
    <w:qFormat/>
    <w:rsid w:val="000568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8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8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681C"/>
    <w:rPr>
      <w:i/>
      <w:iCs/>
      <w:color w:val="404040" w:themeColor="text1" w:themeTint="BF"/>
    </w:rPr>
  </w:style>
  <w:style w:type="paragraph" w:styleId="ListParagraph">
    <w:name w:val="List Paragraph"/>
    <w:basedOn w:val="Normal"/>
    <w:uiPriority w:val="34"/>
    <w:qFormat/>
    <w:rsid w:val="0005681C"/>
    <w:pPr>
      <w:ind w:left="720"/>
      <w:contextualSpacing/>
    </w:pPr>
  </w:style>
  <w:style w:type="character" w:styleId="IntenseEmphasis">
    <w:name w:val="Intense Emphasis"/>
    <w:basedOn w:val="DefaultParagraphFont"/>
    <w:uiPriority w:val="21"/>
    <w:qFormat/>
    <w:rsid w:val="0005681C"/>
    <w:rPr>
      <w:i/>
      <w:iCs/>
      <w:color w:val="0F4761" w:themeColor="accent1" w:themeShade="BF"/>
    </w:rPr>
  </w:style>
  <w:style w:type="paragraph" w:styleId="IntenseQuote">
    <w:name w:val="Intense Quote"/>
    <w:basedOn w:val="Normal"/>
    <w:next w:val="Normal"/>
    <w:link w:val="IntenseQuoteChar"/>
    <w:uiPriority w:val="30"/>
    <w:qFormat/>
    <w:rsid w:val="00056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81C"/>
    <w:rPr>
      <w:i/>
      <w:iCs/>
      <w:color w:val="0F4761" w:themeColor="accent1" w:themeShade="BF"/>
    </w:rPr>
  </w:style>
  <w:style w:type="character" w:styleId="IntenseReference">
    <w:name w:val="Intense Reference"/>
    <w:basedOn w:val="DefaultParagraphFont"/>
    <w:uiPriority w:val="32"/>
    <w:qFormat/>
    <w:rsid w:val="0005681C"/>
    <w:rPr>
      <w:b/>
      <w:bCs/>
      <w:smallCaps/>
      <w:color w:val="0F4761" w:themeColor="accent1" w:themeShade="BF"/>
      <w:spacing w:val="5"/>
    </w:rPr>
  </w:style>
  <w:style w:type="character" w:styleId="Hyperlink">
    <w:name w:val="Hyperlink"/>
    <w:basedOn w:val="DefaultParagraphFont"/>
    <w:uiPriority w:val="99"/>
    <w:unhideWhenUsed/>
    <w:rsid w:val="0005681C"/>
    <w:rPr>
      <w:color w:val="467886" w:themeColor="hyperlink"/>
      <w:u w:val="single"/>
    </w:rPr>
  </w:style>
  <w:style w:type="character" w:styleId="UnresolvedMention">
    <w:name w:val="Unresolved Mention"/>
    <w:basedOn w:val="DefaultParagraphFont"/>
    <w:uiPriority w:val="99"/>
    <w:semiHidden/>
    <w:unhideWhenUsed/>
    <w:rsid w:val="0005681C"/>
    <w:rPr>
      <w:color w:val="605E5C"/>
      <w:shd w:val="clear" w:color="auto" w:fill="E1DFDD"/>
    </w:rPr>
  </w:style>
  <w:style w:type="paragraph" w:customStyle="1" w:styleId="TableParagraph">
    <w:name w:val="Table Paragraph"/>
    <w:basedOn w:val="Normal"/>
    <w:uiPriority w:val="1"/>
    <w:qFormat/>
    <w:rsid w:val="00D02499"/>
    <w:pPr>
      <w:widowControl w:val="0"/>
      <w:autoSpaceDE w:val="0"/>
      <w:autoSpaceDN w:val="0"/>
      <w:spacing w:before="2"/>
      <w:ind w:left="112"/>
    </w:pPr>
    <w:rPr>
      <w:rFonts w:ascii="Arial" w:eastAsia="Arial" w:hAnsi="Arial" w:cs="Arial"/>
      <w:kern w:val="0"/>
      <w:sz w:val="22"/>
      <w:szCs w:val="22"/>
      <w:lang w:bidi="en-US"/>
      <w14:ligatures w14:val="none"/>
    </w:rPr>
  </w:style>
  <w:style w:type="table" w:styleId="TableGrid">
    <w:name w:val="Table Grid"/>
    <w:basedOn w:val="TableNormal"/>
    <w:uiPriority w:val="39"/>
    <w:rsid w:val="00E00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114C"/>
    <w:rPr>
      <w:sz w:val="20"/>
      <w:szCs w:val="20"/>
    </w:rPr>
  </w:style>
  <w:style w:type="character" w:customStyle="1" w:styleId="FootnoteTextChar">
    <w:name w:val="Footnote Text Char"/>
    <w:basedOn w:val="DefaultParagraphFont"/>
    <w:link w:val="FootnoteText"/>
    <w:uiPriority w:val="99"/>
    <w:semiHidden/>
    <w:rsid w:val="0009114C"/>
    <w:rPr>
      <w:sz w:val="20"/>
      <w:szCs w:val="20"/>
    </w:rPr>
  </w:style>
  <w:style w:type="character" w:styleId="FootnoteReference">
    <w:name w:val="footnote reference"/>
    <w:basedOn w:val="DefaultParagraphFont"/>
    <w:uiPriority w:val="99"/>
    <w:semiHidden/>
    <w:unhideWhenUsed/>
    <w:rsid w:val="0009114C"/>
    <w:rPr>
      <w:vertAlign w:val="superscript"/>
    </w:rPr>
  </w:style>
  <w:style w:type="character" w:styleId="FollowedHyperlink">
    <w:name w:val="FollowedHyperlink"/>
    <w:basedOn w:val="DefaultParagraphFont"/>
    <w:uiPriority w:val="99"/>
    <w:semiHidden/>
    <w:unhideWhenUsed/>
    <w:rsid w:val="00776B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ederalregister.gov/d/2024-25690" TargetMode="External" /><Relationship Id="rId7" Type="http://schemas.openxmlformats.org/officeDocument/2006/relationships/hyperlink" Target="mailto:jluchner@afterschoolalliance.org"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4/03/01/2024-04139/improving-child-care-access-affordability-and-stability-in-the-child-care-and-development-fund-cc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DC409-7F7D-9242-8C18-A87CDC9F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Luchner</dc:creator>
  <cp:lastModifiedBy>ACF PRA</cp:lastModifiedBy>
  <cp:revision>2</cp:revision>
  <dcterms:created xsi:type="dcterms:W3CDTF">2024-12-19T20:09:00Z</dcterms:created>
  <dcterms:modified xsi:type="dcterms:W3CDTF">2024-12-19T20:09:00Z</dcterms:modified>
</cp:coreProperties>
</file>