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96" w14:paraId="3D559092" w14:textId="77777777">
      <w:pPr>
        <w:spacing w:before="73"/>
        <w:ind w:left="5402" w:right="4478" w:hanging="661"/>
        <w:rPr>
          <w:b/>
          <w:sz w:val="36"/>
        </w:rPr>
      </w:pPr>
      <w:r>
        <w:rPr>
          <w:b/>
          <w:sz w:val="36"/>
        </w:rPr>
        <w:t>Child Care and Development Fund Annual Aggregate Report</w:t>
      </w:r>
    </w:p>
    <w:p w:rsidR="00DC0196" w14:paraId="16981286" w14:textId="77777777">
      <w:pPr>
        <w:pStyle w:val="BodyText"/>
        <w:rPr>
          <w:b/>
          <w:sz w:val="40"/>
        </w:rPr>
      </w:pPr>
    </w:p>
    <w:p w:rsidR="00DC0196" w14:paraId="630B5E38" w14:textId="0E65A7EA">
      <w:pPr>
        <w:pStyle w:val="BodyText"/>
        <w:spacing w:before="232"/>
        <w:ind w:left="235" w:right="209"/>
      </w:pPr>
      <w:r>
        <w:t xml:space="preserve">The state-level aggregate report, or ACF-800, is one of two data collections undertaken by the Office of Child Care (OCC) pursuant to the requirements of the Child Care and Development Block Grant Act. The other data collection is accomplished through the ACF-801 Report, which requires detailed, case-level data on families served through the Child Care and Development Fund (CCDF). All CCDF lead agencies in the States, the District of Columbia, and Territories (including Puerto Rico, American Samoa, Guam, Northern Marianna Islands, and the US Virgin Islands) are responsible for completing the ACF-800. For more information, please </w:t>
      </w:r>
      <w:r>
        <w:rPr>
          <w:spacing w:val="-3"/>
        </w:rPr>
        <w:t xml:space="preserve">see </w:t>
      </w:r>
      <w:r>
        <w:t>the OCC website at:</w:t>
      </w:r>
      <w:r>
        <w:rPr>
          <w:spacing w:val="53"/>
        </w:rPr>
        <w:t xml:space="preserve"> </w:t>
      </w:r>
      <w:r w:rsidRPr="236CB5FF" w:rsidR="693012AD">
        <w:rPr>
          <w:color w:val="000080"/>
        </w:rPr>
        <w:t>https://www.acf.hhs.gov/occ/report/acf-800-annual-aggregate-child-care-data-report</w:t>
      </w:r>
    </w:p>
    <w:p w:rsidR="00DC0196" w14:paraId="462A6562" w14:textId="502DFA5C">
      <w:pPr>
        <w:pStyle w:val="BodyText"/>
      </w:pPr>
      <w:r>
        <w:t>.</w:t>
      </w:r>
    </w:p>
    <w:p w:rsidR="00DC0196" w14:paraId="63802EAD" w14:textId="77777777">
      <w:pPr>
        <w:pStyle w:val="BodyText"/>
        <w:spacing w:before="1"/>
      </w:pPr>
    </w:p>
    <w:p w:rsidR="00DC0196" w14:paraId="478B8707" w14:textId="1617DA0C">
      <w:pPr>
        <w:pStyle w:val="BodyText"/>
        <w:ind w:left="235" w:right="209"/>
      </w:pPr>
      <w:r>
        <w:t xml:space="preserve">As always, when submitting the ACF-800 report, data must include all families, children, and providers served by the CCDF, regardless of funding stream (Discretionary, Mandatory, Matching, State Match, Maintenance of Effort, and Transfers from Temporary Assistance for Needy Families Program). </w:t>
      </w:r>
      <w:r w:rsidR="007421C3">
        <w:t xml:space="preserve"> </w:t>
      </w:r>
      <w:r>
        <w:t>For States that pool CCDF and non-CCDF Funds, the data also must include all children funded by these sources. The ACF-800 and ACF-801 reports should be based on the same population. Therefore, all families, children, and providers included in the monthly ACF-801 data files should also be included in this report. All counts should reflect the period that begins October 1 and ends September 30. Each State and Territory must submit the ACF-800 by December 31, reporting on services provided during the preceding Federal Fiscal Year.</w:t>
      </w:r>
    </w:p>
    <w:p w:rsidR="00CB1314" w14:paraId="3B1A9D0E" w14:textId="77777777">
      <w:pPr>
        <w:pStyle w:val="BodyText"/>
        <w:ind w:left="235" w:right="209"/>
      </w:pPr>
    </w:p>
    <w:p w:rsidR="00CB1314" w:rsidRPr="00184692" w14:paraId="25B5E94B" w14:textId="17B73604">
      <w:pPr>
        <w:pStyle w:val="BodyText"/>
        <w:ind w:left="235" w:right="209"/>
      </w:pPr>
      <w:r w:rsidRPr="00184692">
        <w:rPr>
          <w:rStyle w:val="normaltextrun"/>
        </w:rPr>
        <w:t>T</w:t>
      </w:r>
      <w:r w:rsidRPr="00184692" w:rsidR="002004D7">
        <w:rPr>
          <w:rStyle w:val="normaltextrun"/>
        </w:rPr>
        <w:t>h</w:t>
      </w:r>
      <w:r w:rsidRPr="00184692" w:rsidR="00640009">
        <w:rPr>
          <w:rStyle w:val="normaltextrun"/>
        </w:rPr>
        <w:t>is</w:t>
      </w:r>
      <w:r w:rsidRPr="00184692" w:rsidR="002004D7">
        <w:rPr>
          <w:rStyle w:val="normaltextrun"/>
        </w:rPr>
        <w:t xml:space="preserve"> updated version </w:t>
      </w:r>
      <w:r w:rsidRPr="00184692" w:rsidR="46919A3E">
        <w:rPr>
          <w:rStyle w:val="normaltextrun"/>
        </w:rPr>
        <w:t xml:space="preserve">of the ACF-800 </w:t>
      </w:r>
      <w:r w:rsidRPr="00184692" w:rsidR="002004D7">
        <w:rPr>
          <w:rStyle w:val="normaltextrun"/>
        </w:rPr>
        <w:t>del</w:t>
      </w:r>
      <w:r w:rsidRPr="00184692" w:rsidR="00640009">
        <w:rPr>
          <w:rStyle w:val="normaltextrun"/>
        </w:rPr>
        <w:t xml:space="preserve">etes </w:t>
      </w:r>
      <w:r w:rsidRPr="00184692" w:rsidR="003128CB">
        <w:rPr>
          <w:rStyle w:val="normaltextrun"/>
        </w:rPr>
        <w:t>questions related to COVID-19 supplemental CCDF funding</w:t>
      </w:r>
      <w:r w:rsidRPr="00184692" w:rsidR="002D34BA">
        <w:rPr>
          <w:rStyle w:val="normaltextrun"/>
        </w:rPr>
        <w:t xml:space="preserve"> appropriated in FY</w:t>
      </w:r>
      <w:r w:rsidRPr="00184692" w:rsidR="005962DA">
        <w:rPr>
          <w:rStyle w:val="normaltextrun"/>
        </w:rPr>
        <w:t>20 and FY21</w:t>
      </w:r>
      <w:r w:rsidRPr="00184692" w:rsidR="00CE0420">
        <w:rPr>
          <w:rStyle w:val="normaltextrun"/>
        </w:rPr>
        <w:t>.</w:t>
      </w:r>
    </w:p>
    <w:p w:rsidR="00DC0196" w14:paraId="4EC7EBC3" w14:textId="77777777">
      <w:pPr>
        <w:pStyle w:val="BodyText"/>
        <w:spacing w:before="9" w:after="1"/>
        <w:rPr>
          <w:sz w:val="19"/>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524"/>
      </w:tblGrid>
      <w:tr w14:paraId="01836706"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
        </w:trPr>
        <w:tc>
          <w:tcPr>
            <w:tcW w:w="14875" w:type="dxa"/>
            <w:gridSpan w:val="2"/>
            <w:shd w:val="clear" w:color="auto" w:fill="BEBEBE"/>
          </w:tcPr>
          <w:p w:rsidR="00DC0196" w14:paraId="66AC77F9" w14:textId="77777777">
            <w:pPr>
              <w:pStyle w:val="TableParagraph"/>
              <w:spacing w:line="208" w:lineRule="exact"/>
              <w:ind w:left="6665" w:right="6654"/>
              <w:jc w:val="center"/>
              <w:rPr>
                <w:b/>
                <w:sz w:val="20"/>
              </w:rPr>
            </w:pPr>
            <w:r>
              <w:rPr>
                <w:b/>
                <w:sz w:val="20"/>
              </w:rPr>
              <w:t>INSTRUCTIONS</w:t>
            </w:r>
          </w:p>
        </w:tc>
      </w:tr>
      <w:tr w14:paraId="5E60D640" w14:textId="77777777">
        <w:tblPrEx>
          <w:tblW w:w="0" w:type="auto"/>
          <w:tblInd w:w="130" w:type="dxa"/>
          <w:tblLayout w:type="fixed"/>
          <w:tblCellMar>
            <w:left w:w="0" w:type="dxa"/>
            <w:right w:w="0" w:type="dxa"/>
          </w:tblCellMar>
          <w:tblLook w:val="01E0"/>
        </w:tblPrEx>
        <w:trPr>
          <w:trHeight w:val="230"/>
        </w:trPr>
        <w:tc>
          <w:tcPr>
            <w:tcW w:w="3351" w:type="dxa"/>
            <w:shd w:val="clear" w:color="auto" w:fill="BEBEBE"/>
          </w:tcPr>
          <w:p w:rsidR="00DC0196" w14:paraId="2914034F" w14:textId="77777777">
            <w:pPr>
              <w:pStyle w:val="TableParagraph"/>
              <w:spacing w:before="3" w:line="208" w:lineRule="exact"/>
              <w:rPr>
                <w:b/>
                <w:sz w:val="20"/>
              </w:rPr>
            </w:pPr>
            <w:r>
              <w:rPr>
                <w:b/>
                <w:sz w:val="20"/>
              </w:rPr>
              <w:t>Number Served</w:t>
            </w:r>
          </w:p>
        </w:tc>
        <w:tc>
          <w:tcPr>
            <w:tcW w:w="11524" w:type="dxa"/>
            <w:shd w:val="clear" w:color="auto" w:fill="BEBEBE"/>
          </w:tcPr>
          <w:p w:rsidR="00DC0196" w14:paraId="7FCFB507" w14:textId="77777777">
            <w:pPr>
              <w:pStyle w:val="TableParagraph"/>
              <w:spacing w:before="0"/>
              <w:ind w:left="0"/>
              <w:rPr>
                <w:rFonts w:ascii="Times New Roman"/>
                <w:sz w:val="16"/>
              </w:rPr>
            </w:pPr>
          </w:p>
        </w:tc>
      </w:tr>
      <w:tr w14:paraId="32FAA62F" w14:textId="77777777">
        <w:tblPrEx>
          <w:tblW w:w="0" w:type="auto"/>
          <w:tblInd w:w="130" w:type="dxa"/>
          <w:tblLayout w:type="fixed"/>
          <w:tblCellMar>
            <w:left w:w="0" w:type="dxa"/>
            <w:right w:w="0" w:type="dxa"/>
          </w:tblCellMar>
          <w:tblLook w:val="01E0"/>
        </w:tblPrEx>
        <w:trPr>
          <w:trHeight w:val="690"/>
        </w:trPr>
        <w:tc>
          <w:tcPr>
            <w:tcW w:w="3351" w:type="dxa"/>
          </w:tcPr>
          <w:p w:rsidR="00DC0196" w14:paraId="44082B7E" w14:textId="77777777">
            <w:pPr>
              <w:pStyle w:val="TableParagraph"/>
              <w:rPr>
                <w:sz w:val="20"/>
              </w:rPr>
            </w:pPr>
            <w:r>
              <w:rPr>
                <w:sz w:val="20"/>
              </w:rPr>
              <w:t>1. Number of Families</w:t>
            </w:r>
          </w:p>
        </w:tc>
        <w:tc>
          <w:tcPr>
            <w:tcW w:w="11524" w:type="dxa"/>
          </w:tcPr>
          <w:p w:rsidR="00DC0196" w14:paraId="08795D3D" w14:textId="77777777">
            <w:pPr>
              <w:pStyle w:val="TableParagraph"/>
              <w:ind w:right="78"/>
              <w:rPr>
                <w:sz w:val="20"/>
              </w:rPr>
            </w:pPr>
            <w:r>
              <w:rPr>
                <w:sz w:val="20"/>
              </w:rPr>
              <w:t>Report the total unduplicated number of families assisted during the reporting period, counting each family assisted only once (even if a family has exited and re-entered the program).</w:t>
            </w:r>
          </w:p>
        </w:tc>
      </w:tr>
      <w:tr w14:paraId="20F9E5CA" w14:textId="77777777">
        <w:tblPrEx>
          <w:tblW w:w="0" w:type="auto"/>
          <w:tblInd w:w="130" w:type="dxa"/>
          <w:tblLayout w:type="fixed"/>
          <w:tblCellMar>
            <w:left w:w="0" w:type="dxa"/>
            <w:right w:w="0" w:type="dxa"/>
          </w:tblCellMar>
          <w:tblLook w:val="01E0"/>
        </w:tblPrEx>
        <w:trPr>
          <w:trHeight w:val="1150"/>
        </w:trPr>
        <w:tc>
          <w:tcPr>
            <w:tcW w:w="3351" w:type="dxa"/>
          </w:tcPr>
          <w:p w:rsidR="00DC0196" w14:paraId="54C61551" w14:textId="77777777">
            <w:pPr>
              <w:pStyle w:val="TableParagraph"/>
              <w:rPr>
                <w:sz w:val="20"/>
              </w:rPr>
            </w:pPr>
            <w:r>
              <w:rPr>
                <w:sz w:val="20"/>
              </w:rPr>
              <w:t>2. Number of Children</w:t>
            </w:r>
          </w:p>
        </w:tc>
        <w:tc>
          <w:tcPr>
            <w:tcW w:w="11524" w:type="dxa"/>
          </w:tcPr>
          <w:p w:rsidR="00DC0196" w14:paraId="4E2C9FC3" w14:textId="77777777">
            <w:pPr>
              <w:pStyle w:val="TableParagraph"/>
              <w:ind w:right="78"/>
              <w:rPr>
                <w:sz w:val="20"/>
              </w:rPr>
            </w:pPr>
            <w:r>
              <w:rPr>
                <w:sz w:val="20"/>
              </w:rPr>
              <w:t>Report the total unduplicated number of children assisted during the reporting period, counting each child assisted only once (even if a child has exited and re-entered the program).</w:t>
            </w:r>
            <w:r>
              <w:rPr>
                <w:sz w:val="20"/>
                <w:u w:val="single"/>
              </w:rPr>
              <w:t xml:space="preserve"> If the child has had more than one provider type during the reporting</w:t>
            </w:r>
            <w:r>
              <w:rPr>
                <w:sz w:val="20"/>
              </w:rPr>
              <w:t xml:space="preserve"> </w:t>
            </w:r>
            <w:r>
              <w:rPr>
                <w:sz w:val="20"/>
                <w:u w:val="single"/>
              </w:rPr>
              <w:t>period, select the last known provider.</w:t>
            </w:r>
            <w:r>
              <w:rPr>
                <w:sz w:val="20"/>
              </w:rPr>
              <w:t xml:space="preserve"> On line 2, columns (B) through (L) across the page, indicate the number of children served by the type of provider (see definitions below). The sum of the columns should equal the number in column (A).</w:t>
            </w:r>
          </w:p>
        </w:tc>
      </w:tr>
      <w:tr w14:paraId="7F19A415" w14:textId="77777777">
        <w:tblPrEx>
          <w:tblW w:w="0" w:type="auto"/>
          <w:tblInd w:w="130" w:type="dxa"/>
          <w:tblLayout w:type="fixed"/>
          <w:tblCellMar>
            <w:left w:w="0" w:type="dxa"/>
            <w:right w:w="0" w:type="dxa"/>
          </w:tblCellMar>
          <w:tblLook w:val="01E0"/>
        </w:tblPrEx>
        <w:trPr>
          <w:trHeight w:val="920"/>
        </w:trPr>
        <w:tc>
          <w:tcPr>
            <w:tcW w:w="3351" w:type="dxa"/>
          </w:tcPr>
          <w:p w:rsidR="00DC0196" w14:paraId="2DF14A14" w14:textId="77777777">
            <w:pPr>
              <w:pStyle w:val="TableParagraph"/>
              <w:rPr>
                <w:sz w:val="20"/>
              </w:rPr>
            </w:pPr>
            <w:r>
              <w:rPr>
                <w:sz w:val="20"/>
              </w:rPr>
              <w:t>2a. Number of Child Fatalities</w:t>
            </w:r>
          </w:p>
        </w:tc>
        <w:tc>
          <w:tcPr>
            <w:tcW w:w="11524" w:type="dxa"/>
          </w:tcPr>
          <w:p w:rsidR="00DC0196" w14:paraId="1CB3B6FC" w14:textId="77777777">
            <w:pPr>
              <w:pStyle w:val="TableParagraph"/>
              <w:ind w:right="78"/>
              <w:rPr>
                <w:sz w:val="20"/>
              </w:rPr>
            </w:pPr>
            <w:r>
              <w:rPr>
                <w:sz w:val="20"/>
              </w:rPr>
              <w:t xml:space="preserve">Report the total number of child fatalities that occurred as the result of an accident or injury while the child was in the care and facility of a child care provider that received CCDF subsidy payments (regardless of whether the child received a CCDF subsidy). On line 2a, columns (B) through (L) across the page, indicate the number of child deaths that took place in each </w:t>
            </w:r>
            <w:r>
              <w:rPr>
                <w:sz w:val="20"/>
              </w:rPr>
              <w:t>type</w:t>
            </w:r>
          </w:p>
          <w:p w:rsidR="00DC0196" w14:paraId="357FB398" w14:textId="77777777">
            <w:pPr>
              <w:pStyle w:val="TableParagraph"/>
              <w:spacing w:before="1" w:line="208" w:lineRule="exact"/>
              <w:rPr>
                <w:sz w:val="20"/>
              </w:rPr>
            </w:pPr>
            <w:r>
              <w:rPr>
                <w:sz w:val="20"/>
              </w:rPr>
              <w:t>of care (see provider definitions below). The sum of columns (B) through (L) should equal the number in column (A).</w:t>
            </w:r>
          </w:p>
        </w:tc>
      </w:tr>
    </w:tbl>
    <w:p w:rsidR="00DC0196" w14:paraId="15B8BFFA" w14:textId="77777777">
      <w:pPr>
        <w:spacing w:line="208" w:lineRule="exact"/>
        <w:rPr>
          <w:sz w:val="20"/>
        </w:rPr>
        <w:sectPr>
          <w:footerReference w:type="default" r:id="rId7"/>
          <w:type w:val="continuous"/>
          <w:pgSz w:w="15840" w:h="12240" w:orient="landscape"/>
          <w:pgMar w:top="360" w:right="380" w:bottom="1080" w:left="340" w:header="720" w:footer="889" w:gutter="0"/>
          <w:pgNumType w:start="1"/>
          <w:cols w:space="720"/>
        </w:sectPr>
      </w:pPr>
    </w:p>
    <w:tbl>
      <w:tblPr>
        <w:tblW w:w="0" w:type="auto"/>
        <w:tblInd w:w="13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1E0"/>
      </w:tblPr>
      <w:tblGrid>
        <w:gridCol w:w="3372"/>
        <w:gridCol w:w="11503"/>
        <w:gridCol w:w="99"/>
      </w:tblGrid>
      <w:tr w14:paraId="310D2A99" w14:textId="77777777" w:rsidTr="4C1E9AFA">
        <w:tblPrEx>
          <w:tblW w:w="0" w:type="auto"/>
          <w:tblInd w:w="13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1E0"/>
        </w:tblPrEx>
        <w:trPr>
          <w:trHeight w:val="2761"/>
        </w:trPr>
        <w:tc>
          <w:tcPr>
            <w:tcW w:w="3372" w:type="dxa"/>
          </w:tcPr>
          <w:p w:rsidR="00DC0196" w14:paraId="6BA9A785" w14:textId="77777777">
            <w:pPr>
              <w:pStyle w:val="TableParagraph"/>
              <w:ind w:left="332" w:right="105" w:hanging="220"/>
              <w:rPr>
                <w:sz w:val="20"/>
              </w:rPr>
            </w:pPr>
            <w:r>
              <w:rPr>
                <w:sz w:val="20"/>
              </w:rPr>
              <w:t>3. Does the State use public pre- kindergarten expenditures on CCDF eligible children to meet the CCDF Match or MOE requirement?</w:t>
            </w:r>
          </w:p>
        </w:tc>
        <w:tc>
          <w:tcPr>
            <w:tcW w:w="11602" w:type="dxa"/>
            <w:gridSpan w:val="2"/>
          </w:tcPr>
          <w:p w:rsidR="00DC0196" w14:paraId="668C8104" w14:textId="77777777">
            <w:pPr>
              <w:pStyle w:val="TableParagraph"/>
              <w:ind w:right="78"/>
              <w:rPr>
                <w:b/>
                <w:sz w:val="20"/>
              </w:rPr>
            </w:pPr>
            <w:r>
              <w:rPr>
                <w:b/>
                <w:sz w:val="20"/>
              </w:rPr>
              <w:t xml:space="preserve">Mark “Yes” or “No” for items 3a and 3b, “Match” and “MOE”. If the answer is “Yes” to either of these items question 4 must be answered. If the answer is no to both of these </w:t>
            </w:r>
            <w:r>
              <w:rPr>
                <w:b/>
                <w:sz w:val="20"/>
              </w:rPr>
              <w:t>items</w:t>
            </w:r>
            <w:r>
              <w:rPr>
                <w:b/>
                <w:sz w:val="20"/>
              </w:rPr>
              <w:t xml:space="preserve"> then question 4 should be skipped.</w:t>
            </w:r>
          </w:p>
          <w:p w:rsidR="00DC0196" w14:paraId="373E5F47" w14:textId="77777777">
            <w:pPr>
              <w:pStyle w:val="TableParagraph"/>
              <w:spacing w:before="0"/>
              <w:ind w:left="0"/>
              <w:rPr>
                <w:sz w:val="20"/>
              </w:rPr>
            </w:pPr>
          </w:p>
          <w:p w:rsidR="00DC0196" w14:paraId="6EDA050D" w14:textId="77777777">
            <w:pPr>
              <w:pStyle w:val="TableParagraph"/>
              <w:spacing w:before="0"/>
              <w:ind w:right="271"/>
              <w:rPr>
                <w:sz w:val="20"/>
              </w:rPr>
            </w:pPr>
            <w:r>
              <w:rPr>
                <w:sz w:val="20"/>
              </w:rPr>
              <w:t>Public pre-kindergarten (Pre-K) expenditures may be used to meet up to 30% of the State’s share of the CCDF Matching fund requirement and up to 20% of the State’s Maintenance-of-Effort (MOE) requirement in the CCDF program. (45 CFR 98.53(h)(3)).</w:t>
            </w:r>
          </w:p>
          <w:p w:rsidR="00DC0196" w14:paraId="3D00B0E5" w14:textId="77777777">
            <w:pPr>
              <w:pStyle w:val="TableParagraph"/>
              <w:spacing w:before="0"/>
              <w:ind w:left="0"/>
              <w:rPr>
                <w:sz w:val="20"/>
              </w:rPr>
            </w:pPr>
          </w:p>
          <w:p w:rsidR="00DC0196" w14:paraId="5E8F0DB1" w14:textId="77777777">
            <w:pPr>
              <w:pStyle w:val="TableParagraph"/>
              <w:spacing w:before="1"/>
              <w:ind w:right="204"/>
              <w:rPr>
                <w:sz w:val="20"/>
              </w:rPr>
            </w:pPr>
            <w:r>
              <w:rPr>
                <w:sz w:val="20"/>
              </w:rPr>
              <w:t xml:space="preserve">The Lead Agency should only mark “Yes” to this item if it also reports for the same federal fiscal year a State Share of expenditures of Pre-K funds [Line 2(c), Columns B and D on the ACF-696 Financial Report]. The Lead Agency also is required to indicate in their approved Plan whether it intends to use public Pre-K funds </w:t>
            </w:r>
            <w:r>
              <w:rPr>
                <w:sz w:val="20"/>
              </w:rPr>
              <w:t>in excess of</w:t>
            </w:r>
            <w:r>
              <w:rPr>
                <w:sz w:val="20"/>
              </w:rPr>
              <w:t xml:space="preserve"> 10% to meet the CCDF Match or MOE requirement.</w:t>
            </w:r>
          </w:p>
        </w:tc>
      </w:tr>
      <w:tr w14:paraId="40FBC909" w14:textId="77777777" w:rsidTr="4C1E9AFA">
        <w:tblPrEx>
          <w:tblW w:w="0" w:type="auto"/>
          <w:tblInd w:w="130" w:type="dxa"/>
          <w:tblCellMar>
            <w:left w:w="0" w:type="dxa"/>
            <w:right w:w="0" w:type="dxa"/>
          </w:tblCellMar>
          <w:tblLook w:val="01E0"/>
        </w:tblPrEx>
        <w:trPr>
          <w:trHeight w:val="3681"/>
        </w:trPr>
        <w:tc>
          <w:tcPr>
            <w:tcW w:w="3372" w:type="dxa"/>
          </w:tcPr>
          <w:p w:rsidR="00DC0196" w14:paraId="61280D9E" w14:textId="77777777">
            <w:pPr>
              <w:pStyle w:val="TableParagraph"/>
              <w:ind w:left="292" w:right="105" w:hanging="180"/>
              <w:rPr>
                <w:sz w:val="20"/>
              </w:rPr>
            </w:pPr>
            <w:r>
              <w:rPr>
                <w:sz w:val="20"/>
              </w:rPr>
              <w:t>4. Indicate the estimated number of CCDF eligible children receiving public pre-Kindergarten services for which CCDF Match or MOE is</w:t>
            </w:r>
            <w:r>
              <w:rPr>
                <w:spacing w:val="-3"/>
                <w:sz w:val="20"/>
              </w:rPr>
              <w:t xml:space="preserve"> </w:t>
            </w:r>
            <w:r>
              <w:rPr>
                <w:sz w:val="20"/>
              </w:rPr>
              <w:t>claimed</w:t>
            </w:r>
          </w:p>
          <w:p w:rsidR="00DC0196" w14:paraId="589F3EAA" w14:textId="77777777">
            <w:pPr>
              <w:pStyle w:val="TableParagraph"/>
              <w:spacing w:before="1"/>
              <w:rPr>
                <w:sz w:val="20"/>
              </w:rPr>
            </w:pPr>
            <w:r>
              <w:rPr>
                <w:sz w:val="20"/>
              </w:rPr>
              <w:t>.</w:t>
            </w:r>
          </w:p>
        </w:tc>
        <w:tc>
          <w:tcPr>
            <w:tcW w:w="11602" w:type="dxa"/>
            <w:gridSpan w:val="2"/>
          </w:tcPr>
          <w:p w:rsidR="00DC0196" w14:paraId="7033D88C" w14:textId="77777777">
            <w:pPr>
              <w:pStyle w:val="TableParagraph"/>
              <w:ind w:right="196"/>
              <w:rPr>
                <w:sz w:val="20"/>
              </w:rPr>
            </w:pPr>
            <w:r>
              <w:rPr>
                <w:sz w:val="20"/>
              </w:rPr>
              <w:t>In this data element, the Lead Agency is asked to report on the total unduplicated number of children served through the public Pre-K program who were determined to be CCDF eligible and for which CCDF Match and MOE expenditures were claimed.</w:t>
            </w:r>
          </w:p>
          <w:p w:rsidR="00DC0196" w14:paraId="10075611" w14:textId="77777777">
            <w:pPr>
              <w:pStyle w:val="TableParagraph"/>
              <w:spacing w:before="0"/>
              <w:rPr>
                <w:sz w:val="20"/>
              </w:rPr>
            </w:pPr>
            <w:r>
              <w:rPr>
                <w:sz w:val="20"/>
              </w:rPr>
              <w:t xml:space="preserve">This estimated number of children reported in this data element is distinct from the number of children reported in data </w:t>
            </w:r>
            <w:r>
              <w:rPr>
                <w:sz w:val="20"/>
              </w:rPr>
              <w:t>element</w:t>
            </w:r>
          </w:p>
          <w:p w:rsidR="00DC0196" w14:paraId="047D908A" w14:textId="77777777">
            <w:pPr>
              <w:pStyle w:val="TableParagraph"/>
              <w:spacing w:before="1"/>
              <w:rPr>
                <w:sz w:val="20"/>
              </w:rPr>
            </w:pPr>
            <w:r>
              <w:rPr>
                <w:sz w:val="20"/>
              </w:rPr>
              <w:t xml:space="preserve">2. These children should </w:t>
            </w:r>
            <w:r>
              <w:rPr>
                <w:b/>
                <w:sz w:val="20"/>
                <w:u w:val="single"/>
              </w:rPr>
              <w:t>not</w:t>
            </w:r>
            <w:r>
              <w:rPr>
                <w:b/>
                <w:sz w:val="20"/>
              </w:rPr>
              <w:t xml:space="preserve"> </w:t>
            </w:r>
            <w:r>
              <w:rPr>
                <w:sz w:val="20"/>
              </w:rPr>
              <w:t>be reported as part of other data elements on the ACF-800.</w:t>
            </w:r>
          </w:p>
          <w:p w:rsidR="00DC0196" w14:paraId="601EA0C0" w14:textId="77777777">
            <w:pPr>
              <w:pStyle w:val="TableParagraph"/>
              <w:spacing w:before="11"/>
              <w:ind w:left="0"/>
              <w:rPr>
                <w:sz w:val="19"/>
              </w:rPr>
            </w:pPr>
          </w:p>
          <w:p w:rsidR="00DC0196" w14:paraId="1209BC72" w14:textId="77777777">
            <w:pPr>
              <w:pStyle w:val="TableParagraph"/>
              <w:spacing w:before="0"/>
              <w:ind w:right="73"/>
              <w:rPr>
                <w:b/>
                <w:sz w:val="20"/>
              </w:rPr>
            </w:pPr>
            <w:r>
              <w:rPr>
                <w:sz w:val="20"/>
              </w:rPr>
              <w:t xml:space="preserve">Expenditures from State-funded public Pre-K services claimed as CCDF Match or MOE </w:t>
            </w:r>
            <w:r>
              <w:rPr>
                <w:b/>
                <w:sz w:val="20"/>
              </w:rPr>
              <w:t>must be for services to children from families who meet CCDF eligibility criteria.</w:t>
            </w:r>
          </w:p>
          <w:p w:rsidR="00DC0196" w14:paraId="1A8F1AF6" w14:textId="77777777">
            <w:pPr>
              <w:pStyle w:val="TableParagraph"/>
              <w:spacing w:before="0"/>
              <w:ind w:left="0"/>
              <w:rPr>
                <w:sz w:val="20"/>
              </w:rPr>
            </w:pPr>
          </w:p>
          <w:p w:rsidR="00DC0196" w14:paraId="7F0A1605" w14:textId="77777777">
            <w:pPr>
              <w:pStyle w:val="TableParagraph"/>
              <w:spacing w:before="0"/>
              <w:rPr>
                <w:sz w:val="20"/>
              </w:rPr>
            </w:pPr>
            <w:r>
              <w:rPr>
                <w:sz w:val="20"/>
              </w:rPr>
              <w:t>A Lead Agency may report an estimate for this element if a precise child count is not available. This estimate should correspond to the level of Pre-K services claimed as CCDF Match or MOE on the ACF-696 Report. Lead Agencies that do not have child- specific information may develop a methodology for calculating Pre-K expenditures for purposes of claiming Match and MOE by estimating the proportion of children served in the public Pre-K program who are also CCDF eligible. (63 FR 39966). The methodology should take into consideration the number of children served by the Pre-K program who are from families who would be eligible for CCDF based on State income eligibility limits, participation in employment, training, or education activities, etc.</w:t>
            </w:r>
          </w:p>
        </w:tc>
      </w:tr>
      <w:tr w14:paraId="6309BB49" w14:textId="77777777" w:rsidTr="4C1E9AFA">
        <w:tblPrEx>
          <w:tblW w:w="0" w:type="auto"/>
          <w:tblInd w:w="130" w:type="dxa"/>
          <w:tblCellMar>
            <w:left w:w="0" w:type="dxa"/>
            <w:right w:w="0" w:type="dxa"/>
          </w:tblCellMar>
          <w:tblLook w:val="01E0"/>
        </w:tblPrEx>
        <w:trPr>
          <w:trHeight w:val="460"/>
        </w:trPr>
        <w:tc>
          <w:tcPr>
            <w:tcW w:w="3372" w:type="dxa"/>
            <w:shd w:val="clear" w:color="auto" w:fill="CCCCCC"/>
          </w:tcPr>
          <w:p w:rsidR="00DC0196" w14:paraId="165C24A1" w14:textId="77777777">
            <w:pPr>
              <w:pStyle w:val="TableParagraph"/>
              <w:rPr>
                <w:b/>
                <w:sz w:val="20"/>
              </w:rPr>
            </w:pPr>
            <w:r>
              <w:rPr>
                <w:b/>
                <w:sz w:val="20"/>
              </w:rPr>
              <w:t>Payment Methods</w:t>
            </w:r>
          </w:p>
        </w:tc>
        <w:tc>
          <w:tcPr>
            <w:tcW w:w="11602" w:type="dxa"/>
            <w:gridSpan w:val="2"/>
            <w:shd w:val="clear" w:color="auto" w:fill="CCCCCC"/>
          </w:tcPr>
          <w:p w:rsidR="00DC0196" w:rsidP="00A40039" w14:paraId="75FBBCF2" w14:textId="644DAED0">
            <w:pPr>
              <w:pStyle w:val="TableParagraph"/>
              <w:spacing w:before="0"/>
              <w:ind w:left="144"/>
              <w:rPr>
                <w:sz w:val="20"/>
                <w:szCs w:val="20"/>
              </w:rPr>
            </w:pPr>
            <w:r w:rsidRPr="00685DF6">
              <w:rPr>
                <w:sz w:val="20"/>
                <w:szCs w:val="20"/>
              </w:rPr>
              <w:t xml:space="preserve">Items </w:t>
            </w:r>
            <w:r w:rsidRPr="00685DF6" w:rsidR="00FA6CE1">
              <w:rPr>
                <w:sz w:val="20"/>
                <w:szCs w:val="20"/>
              </w:rPr>
              <w:t>5 through</w:t>
            </w:r>
            <w:r w:rsidRPr="00685DF6" w:rsidR="003A5E41">
              <w:rPr>
                <w:sz w:val="20"/>
                <w:szCs w:val="20"/>
              </w:rPr>
              <w:t xml:space="preserve"> </w:t>
            </w:r>
            <w:r w:rsidRPr="00685DF6" w:rsidR="00BF7D07">
              <w:rPr>
                <w:sz w:val="20"/>
                <w:szCs w:val="20"/>
              </w:rPr>
              <w:t>7</w:t>
            </w:r>
            <w:r w:rsidRPr="00685DF6" w:rsidR="002170BD">
              <w:rPr>
                <w:sz w:val="20"/>
                <w:szCs w:val="20"/>
              </w:rPr>
              <w:t xml:space="preserve"> relate to payment methods</w:t>
            </w:r>
            <w:r w:rsidRPr="00685DF6" w:rsidR="000439FB">
              <w:rPr>
                <w:sz w:val="20"/>
                <w:szCs w:val="20"/>
              </w:rPr>
              <w:t xml:space="preserve"> (</w:t>
            </w:r>
            <w:r w:rsidRPr="00685DF6" w:rsidR="00732903">
              <w:rPr>
                <w:sz w:val="20"/>
                <w:szCs w:val="20"/>
              </w:rPr>
              <w:t xml:space="preserve">grants/contracts, </w:t>
            </w:r>
            <w:r w:rsidRPr="00685DF6" w:rsidR="00266439">
              <w:rPr>
                <w:sz w:val="20"/>
                <w:szCs w:val="20"/>
              </w:rPr>
              <w:t>certificates, cash</w:t>
            </w:r>
            <w:r w:rsidRPr="00685DF6" w:rsidR="00BF53CA">
              <w:rPr>
                <w:sz w:val="20"/>
                <w:szCs w:val="20"/>
              </w:rPr>
              <w:t xml:space="preserve">) for direct </w:t>
            </w:r>
            <w:r w:rsidRPr="00685DF6" w:rsidR="0043020C">
              <w:rPr>
                <w:sz w:val="20"/>
                <w:szCs w:val="20"/>
              </w:rPr>
              <w:t>service</w:t>
            </w:r>
            <w:r w:rsidRPr="00685DF6" w:rsidR="00F25266">
              <w:rPr>
                <w:sz w:val="20"/>
                <w:szCs w:val="20"/>
              </w:rPr>
              <w:t>s</w:t>
            </w:r>
            <w:r w:rsidRPr="00685DF6" w:rsidR="00ED2805">
              <w:rPr>
                <w:sz w:val="20"/>
                <w:szCs w:val="20"/>
              </w:rPr>
              <w:t>.  New items</w:t>
            </w:r>
            <w:r w:rsidRPr="00685DF6" w:rsidR="003556B0">
              <w:rPr>
                <w:sz w:val="20"/>
                <w:szCs w:val="20"/>
              </w:rPr>
              <w:t xml:space="preserve"> 5.i through </w:t>
            </w:r>
            <w:r w:rsidRPr="00685DF6" w:rsidR="00BF7D07">
              <w:rPr>
                <w:sz w:val="20"/>
                <w:szCs w:val="20"/>
              </w:rPr>
              <w:t xml:space="preserve">5.a.iii. </w:t>
            </w:r>
            <w:r w:rsidRPr="00685DF6" w:rsidR="0057709D">
              <w:rPr>
                <w:sz w:val="20"/>
                <w:szCs w:val="20"/>
              </w:rPr>
              <w:t>relate to</w:t>
            </w:r>
            <w:r w:rsidRPr="00685DF6" w:rsidR="00346418">
              <w:rPr>
                <w:sz w:val="20"/>
                <w:szCs w:val="20"/>
              </w:rPr>
              <w:t xml:space="preserve"> </w:t>
            </w:r>
            <w:r w:rsidRPr="00685DF6" w:rsidR="0057709D">
              <w:rPr>
                <w:sz w:val="20"/>
                <w:szCs w:val="20"/>
              </w:rPr>
              <w:t>service</w:t>
            </w:r>
            <w:r w:rsidRPr="00685DF6" w:rsidR="00BE7442">
              <w:rPr>
                <w:sz w:val="20"/>
                <w:szCs w:val="20"/>
              </w:rPr>
              <w:t>s/slots all</w:t>
            </w:r>
            <w:r w:rsidRPr="00685DF6" w:rsidR="00346418">
              <w:rPr>
                <w:sz w:val="20"/>
                <w:szCs w:val="20"/>
              </w:rPr>
              <w:t xml:space="preserve">ocated through grants or contracts.  The </w:t>
            </w:r>
            <w:hyperlink r:id="rId8" w:history="1">
              <w:r w:rsidRPr="00F742CE" w:rsidR="00123E9D">
                <w:rPr>
                  <w:rStyle w:val="Hyperlink"/>
                  <w:szCs w:val="20"/>
                </w:rPr>
                <w:t>2024 CC</w:t>
              </w:r>
              <w:r w:rsidR="0099493B">
                <w:rPr>
                  <w:rStyle w:val="Hyperlink"/>
                  <w:szCs w:val="20"/>
                </w:rPr>
                <w:t>D</w:t>
              </w:r>
              <w:r w:rsidRPr="00F742CE" w:rsidR="00123E9D">
                <w:rPr>
                  <w:rStyle w:val="Hyperlink"/>
                  <w:szCs w:val="20"/>
                </w:rPr>
                <w:t>F final rule</w:t>
              </w:r>
            </w:hyperlink>
            <w:r w:rsidRPr="00685DF6" w:rsidR="00123E9D">
              <w:rPr>
                <w:sz w:val="20"/>
                <w:szCs w:val="20"/>
              </w:rPr>
              <w:t xml:space="preserve"> </w:t>
            </w:r>
            <w:r w:rsidRPr="00685DF6" w:rsidR="00206B9B">
              <w:rPr>
                <w:sz w:val="20"/>
                <w:szCs w:val="20"/>
              </w:rPr>
              <w:t xml:space="preserve">requires </w:t>
            </w:r>
            <w:r w:rsidRPr="00685DF6" w:rsidR="00D75A76">
              <w:rPr>
                <w:sz w:val="20"/>
                <w:szCs w:val="20"/>
              </w:rPr>
              <w:t xml:space="preserve">state and territory lead agencies to </w:t>
            </w:r>
            <w:r w:rsidRPr="00685DF6" w:rsidR="001E6719">
              <w:rPr>
                <w:sz w:val="20"/>
                <w:szCs w:val="20"/>
              </w:rPr>
              <w:t>provide</w:t>
            </w:r>
            <w:r w:rsidRPr="00685DF6" w:rsidR="00D2701E">
              <w:rPr>
                <w:sz w:val="20"/>
                <w:szCs w:val="20"/>
              </w:rPr>
              <w:t xml:space="preserve"> some portion of the delivery of direct services</w:t>
            </w:r>
            <w:r w:rsidRPr="00685DF6" w:rsidR="00C43ACC">
              <w:rPr>
                <w:sz w:val="20"/>
                <w:szCs w:val="20"/>
              </w:rPr>
              <w:t xml:space="preserve"> via grants or contracts, including at a minimum for children in underserved geographic</w:t>
            </w:r>
            <w:r w:rsidRPr="00685DF6" w:rsidR="00B63444">
              <w:rPr>
                <w:sz w:val="20"/>
                <w:szCs w:val="20"/>
              </w:rPr>
              <w:t xml:space="preserve"> areas, infants and toddlers</w:t>
            </w:r>
            <w:r w:rsidRPr="00685DF6" w:rsidR="0092724D">
              <w:rPr>
                <w:sz w:val="20"/>
                <w:szCs w:val="20"/>
              </w:rPr>
              <w:t>, and children with disabilities.</w:t>
            </w:r>
          </w:p>
          <w:p w:rsidR="000E06B6" w:rsidRPr="00685DF6" w:rsidP="00A40039" w14:paraId="67F5FD77" w14:textId="32C05F99">
            <w:pPr>
              <w:pStyle w:val="TableParagraph"/>
              <w:spacing w:before="0"/>
              <w:ind w:left="144"/>
              <w:rPr>
                <w:sz w:val="20"/>
                <w:szCs w:val="20"/>
              </w:rPr>
            </w:pPr>
          </w:p>
        </w:tc>
      </w:tr>
      <w:tr w14:paraId="011C8342" w14:textId="77777777" w:rsidTr="4C1E9AFA">
        <w:tblPrEx>
          <w:tblW w:w="0" w:type="auto"/>
          <w:tblInd w:w="130" w:type="dxa"/>
          <w:tblCellMar>
            <w:left w:w="0" w:type="dxa"/>
            <w:right w:w="0" w:type="dxa"/>
          </w:tblCellMar>
          <w:tblLook w:val="01E0"/>
        </w:tblPrEx>
        <w:trPr>
          <w:trHeight w:val="1380"/>
        </w:trPr>
        <w:tc>
          <w:tcPr>
            <w:tcW w:w="3372" w:type="dxa"/>
          </w:tcPr>
          <w:p w:rsidR="00DC0196" w14:paraId="0762BF6E" w14:textId="77777777">
            <w:pPr>
              <w:pStyle w:val="TableParagraph"/>
              <w:ind w:left="388" w:right="126" w:hanging="276"/>
              <w:rPr>
                <w:sz w:val="20"/>
              </w:rPr>
            </w:pPr>
            <w:r>
              <w:rPr>
                <w:sz w:val="20"/>
              </w:rPr>
              <w:t>5. Number of children served through grants or contracts with providers</w:t>
            </w:r>
          </w:p>
        </w:tc>
        <w:tc>
          <w:tcPr>
            <w:tcW w:w="11602" w:type="dxa"/>
            <w:gridSpan w:val="2"/>
          </w:tcPr>
          <w:p w:rsidR="00DC0196" w:rsidP="3977A32C" w14:paraId="759A3D16" w14:textId="588AFAA9">
            <w:pPr>
              <w:pStyle w:val="TableParagraph"/>
              <w:ind w:right="204"/>
              <w:rPr>
                <w:sz w:val="20"/>
                <w:szCs w:val="20"/>
              </w:rPr>
            </w:pPr>
            <w:r w:rsidRPr="3977A32C">
              <w:rPr>
                <w:sz w:val="20"/>
                <w:szCs w:val="20"/>
              </w:rPr>
              <w:t xml:space="preserve">Report the total unduplicated number of children served through grants </w:t>
            </w:r>
            <w:r w:rsidRPr="3977A32C" w:rsidR="00D46362">
              <w:rPr>
                <w:sz w:val="20"/>
                <w:szCs w:val="20"/>
              </w:rPr>
              <w:t xml:space="preserve">or </w:t>
            </w:r>
            <w:r w:rsidRPr="3977A32C">
              <w:rPr>
                <w:sz w:val="20"/>
                <w:szCs w:val="20"/>
              </w:rPr>
              <w:t>contracts with providers</w:t>
            </w:r>
            <w:r w:rsidRPr="3977A32C" w:rsidR="00B312B2">
              <w:rPr>
                <w:sz w:val="20"/>
                <w:szCs w:val="20"/>
              </w:rPr>
              <w:t xml:space="preserve"> for direct services</w:t>
            </w:r>
            <w:r w:rsidRPr="3977A32C">
              <w:rPr>
                <w:sz w:val="20"/>
                <w:szCs w:val="20"/>
              </w:rPr>
              <w:t xml:space="preserve"> (for slots) during the reporting period. </w:t>
            </w:r>
            <w:r w:rsidRPr="3977A32C">
              <w:rPr>
                <w:sz w:val="20"/>
                <w:szCs w:val="20"/>
                <w:u w:val="single"/>
              </w:rPr>
              <w:t>Count each child only once</w:t>
            </w:r>
            <w:r w:rsidRPr="3977A32C">
              <w:rPr>
                <w:sz w:val="20"/>
                <w:szCs w:val="20"/>
              </w:rPr>
              <w:t xml:space="preserve">. </w:t>
            </w:r>
            <w:r w:rsidRPr="3977A32C">
              <w:rPr>
                <w:sz w:val="20"/>
                <w:szCs w:val="20"/>
                <w:u w:val="single"/>
              </w:rPr>
              <w:t>If the child has had more than one provider type during the reporting period,</w:t>
            </w:r>
            <w:r w:rsidRPr="3977A32C">
              <w:rPr>
                <w:sz w:val="20"/>
                <w:szCs w:val="20"/>
              </w:rPr>
              <w:t xml:space="preserve"> </w:t>
            </w:r>
            <w:r w:rsidRPr="3977A32C">
              <w:rPr>
                <w:sz w:val="20"/>
                <w:szCs w:val="20"/>
                <w:u w:val="single"/>
              </w:rPr>
              <w:t>select the last known provider type</w:t>
            </w:r>
            <w:r w:rsidRPr="3977A32C">
              <w:rPr>
                <w:sz w:val="20"/>
                <w:szCs w:val="20"/>
              </w:rPr>
              <w:t xml:space="preserve">. On line 5, columns (B) through (L) across the page, indicate the number of children served by type of provider (see definitions below) who received </w:t>
            </w:r>
            <w:r w:rsidRPr="3977A32C" w:rsidR="00B312B2">
              <w:rPr>
                <w:sz w:val="20"/>
                <w:szCs w:val="20"/>
              </w:rPr>
              <w:t xml:space="preserve">services through </w:t>
            </w:r>
            <w:r w:rsidRPr="3977A32C">
              <w:rPr>
                <w:sz w:val="20"/>
                <w:szCs w:val="20"/>
              </w:rPr>
              <w:t xml:space="preserve">grants </w:t>
            </w:r>
            <w:r w:rsidRPr="3977A32C" w:rsidR="00904663">
              <w:rPr>
                <w:sz w:val="20"/>
                <w:szCs w:val="20"/>
              </w:rPr>
              <w:t xml:space="preserve">or </w:t>
            </w:r>
            <w:r w:rsidRPr="3977A32C">
              <w:rPr>
                <w:sz w:val="20"/>
                <w:szCs w:val="20"/>
              </w:rPr>
              <w:t>contracts</w:t>
            </w:r>
            <w:r w:rsidRPr="3977A32C" w:rsidR="00B312B2">
              <w:rPr>
                <w:sz w:val="20"/>
                <w:szCs w:val="20"/>
              </w:rPr>
              <w:t xml:space="preserve"> with providers</w:t>
            </w:r>
            <w:r w:rsidRPr="3977A32C">
              <w:rPr>
                <w:sz w:val="20"/>
                <w:szCs w:val="20"/>
              </w:rPr>
              <w:t>. The sum of columns (B) through (L) should equal the number in column (A).</w:t>
            </w:r>
          </w:p>
          <w:p w:rsidR="00A977DC" w14:paraId="7256A59E" w14:textId="6D6B9EE3">
            <w:pPr>
              <w:pStyle w:val="TableParagraph"/>
              <w:ind w:right="204"/>
              <w:rPr>
                <w:sz w:val="20"/>
              </w:rPr>
            </w:pPr>
          </w:p>
        </w:tc>
      </w:tr>
      <w:tr w14:paraId="515129D8" w14:textId="77777777" w:rsidTr="4C1E9AFA">
        <w:tblPrEx>
          <w:tblW w:w="0" w:type="auto"/>
          <w:tblInd w:w="130" w:type="dxa"/>
          <w:tblCellMar>
            <w:left w:w="0" w:type="dxa"/>
            <w:right w:w="0" w:type="dxa"/>
          </w:tblCellMar>
          <w:tblLook w:val="01E0"/>
        </w:tblPrEx>
        <w:trPr>
          <w:trHeight w:val="1380"/>
        </w:trPr>
        <w:tc>
          <w:tcPr>
            <w:tcW w:w="3372" w:type="dxa"/>
          </w:tcPr>
          <w:p w:rsidR="00D94509" w:rsidP="4C1E9AFA" w14:paraId="3DE41AF9" w14:textId="77777777">
            <w:pPr>
              <w:pStyle w:val="TableParagraph"/>
              <w:ind w:left="388" w:right="105" w:hanging="276"/>
              <w:rPr>
                <w:sz w:val="20"/>
                <w:szCs w:val="20"/>
              </w:rPr>
            </w:pPr>
            <w:bookmarkStart w:id="0" w:name="_Hlk169793739"/>
            <w:bookmarkEnd w:id="0"/>
            <w:r w:rsidRPr="4C1E9AFA">
              <w:rPr>
                <w:sz w:val="20"/>
                <w:szCs w:val="20"/>
              </w:rPr>
              <w:t>6. Number of children receiving child care services through certificates (to parents, to parents and providers, or to providers) and/or cash</w:t>
            </w:r>
          </w:p>
        </w:tc>
        <w:tc>
          <w:tcPr>
            <w:tcW w:w="11602" w:type="dxa"/>
            <w:gridSpan w:val="2"/>
          </w:tcPr>
          <w:p w:rsidR="00D94509" w:rsidP="00D94509" w14:paraId="72EB8B70" w14:textId="77777777">
            <w:pPr>
              <w:pStyle w:val="TableParagraph"/>
              <w:ind w:right="271"/>
              <w:rPr>
                <w:sz w:val="20"/>
              </w:rPr>
            </w:pPr>
            <w:r>
              <w:rPr>
                <w:sz w:val="20"/>
              </w:rPr>
              <w:t xml:space="preserve">Report the total unduplicated number of children served through certificates (including cash) to parents, providers, or parents and providers during the reporting period. </w:t>
            </w:r>
            <w:r>
              <w:rPr>
                <w:sz w:val="20"/>
                <w:u w:val="single"/>
              </w:rPr>
              <w:t>Count each child only once</w:t>
            </w:r>
            <w:r>
              <w:rPr>
                <w:sz w:val="20"/>
              </w:rPr>
              <w:t xml:space="preserve">. </w:t>
            </w:r>
            <w:r>
              <w:rPr>
                <w:sz w:val="20"/>
                <w:u w:val="single"/>
              </w:rPr>
              <w:t>If the child had more than one type of provider during</w:t>
            </w:r>
            <w:r>
              <w:rPr>
                <w:sz w:val="20"/>
              </w:rPr>
              <w:t xml:space="preserve"> </w:t>
            </w:r>
            <w:r>
              <w:rPr>
                <w:sz w:val="20"/>
                <w:u w:val="single"/>
              </w:rPr>
              <w:t>the reporting period, select the last known type of provider</w:t>
            </w:r>
            <w:r>
              <w:rPr>
                <w:sz w:val="20"/>
              </w:rPr>
              <w:t>. On line 6, columns (B) through (L) across the page, indicate according to type of provider (see definitions below), the number of children served through certificates and/or cash. The sum of columns (B) through (L) should equal the number in column (A).</w:t>
            </w:r>
          </w:p>
        </w:tc>
      </w:tr>
      <w:tr w14:paraId="0FDCF587" w14:textId="77777777" w:rsidTr="4C1E9AFA">
        <w:tblPrEx>
          <w:tblW w:w="0" w:type="auto"/>
          <w:tblInd w:w="130" w:type="dxa"/>
          <w:tblCellMar>
            <w:left w:w="0" w:type="dxa"/>
            <w:right w:w="0" w:type="dxa"/>
          </w:tblCellMar>
          <w:tblLook w:val="01E0"/>
        </w:tblPrEx>
        <w:trPr>
          <w:trHeight w:val="460"/>
        </w:trPr>
        <w:tc>
          <w:tcPr>
            <w:tcW w:w="3372" w:type="dxa"/>
          </w:tcPr>
          <w:p w:rsidR="00D94509" w:rsidP="00D94509" w14:paraId="31BF1B83" w14:textId="60054400">
            <w:pPr>
              <w:pStyle w:val="TableParagraph"/>
              <w:spacing w:before="3" w:line="230" w:lineRule="atLeast"/>
              <w:ind w:left="388" w:right="204" w:hanging="276"/>
              <w:rPr>
                <w:sz w:val="20"/>
              </w:rPr>
            </w:pPr>
            <w:r>
              <w:rPr>
                <w:sz w:val="20"/>
              </w:rPr>
              <w:t xml:space="preserve">7. </w:t>
            </w:r>
            <w:r>
              <w:rPr>
                <w:sz w:val="20"/>
                <w:u w:val="single"/>
              </w:rPr>
              <w:t>Of the children served through certificates</w:t>
            </w:r>
            <w:r>
              <w:rPr>
                <w:sz w:val="20"/>
              </w:rPr>
              <w:t>, number of children</w:t>
            </w:r>
            <w:r w:rsidR="00934F8A">
              <w:rPr>
                <w:sz w:val="20"/>
              </w:rPr>
              <w:t xml:space="preserve"> served through cash payments directly to parents (only)</w:t>
            </w:r>
          </w:p>
        </w:tc>
        <w:tc>
          <w:tcPr>
            <w:tcW w:w="11602" w:type="dxa"/>
            <w:gridSpan w:val="2"/>
          </w:tcPr>
          <w:p w:rsidR="00934F8A" w:rsidP="006B6DBC" w14:paraId="0B8F347A" w14:textId="6402A242">
            <w:pPr>
              <w:pStyle w:val="TableParagraph"/>
              <w:spacing w:before="0" w:line="230" w:lineRule="atLeast"/>
              <w:ind w:right="78"/>
              <w:rPr>
                <w:sz w:val="20"/>
              </w:rPr>
            </w:pPr>
            <w:r>
              <w:rPr>
                <w:sz w:val="20"/>
              </w:rPr>
              <w:t xml:space="preserve">Indicate the total number of children served during the reporting period whose families received direct cash payments. (This does not include two-party checks to parents and providers, or cash to providers). </w:t>
            </w:r>
            <w:r>
              <w:rPr>
                <w:sz w:val="20"/>
                <w:u w:val="single"/>
              </w:rPr>
              <w:t>Count each child only once.</w:t>
            </w:r>
            <w:r>
              <w:rPr>
                <w:sz w:val="20"/>
              </w:rPr>
              <w:t xml:space="preserve"> </w:t>
            </w:r>
            <w:r>
              <w:rPr>
                <w:sz w:val="20"/>
                <w:u w:val="single"/>
              </w:rPr>
              <w:t>If the child had</w:t>
            </w:r>
            <w:r w:rsidR="004661F4">
              <w:rPr>
                <w:sz w:val="20"/>
                <w:u w:val="single"/>
              </w:rPr>
              <w:t xml:space="preserve"> more than one type of provider during the reporting period, select the last known type of provider</w:t>
            </w:r>
            <w:r w:rsidR="004661F4">
              <w:rPr>
                <w:sz w:val="20"/>
              </w:rPr>
              <w:t>. On line 7, columns (B) through (L) across the page, indicate according to the type of providers (see definitions below), the number of children served through cash payments directly to parents. The sum of columns (B) through (L) should equal the number in column (A).</w:t>
            </w:r>
          </w:p>
        </w:tc>
      </w:tr>
      <w:tr w14:paraId="5182AF2F" w14:textId="77777777" w:rsidTr="4C1E9AFA">
        <w:tblPrEx>
          <w:tblW w:w="0" w:type="auto"/>
          <w:tblInd w:w="130" w:type="dxa"/>
          <w:tblCellMar>
            <w:left w:w="0" w:type="dxa"/>
            <w:right w:w="0" w:type="dxa"/>
          </w:tblCellMar>
          <w:tblLook w:val="01E0"/>
        </w:tblPrEx>
        <w:trPr>
          <w:gridAfter w:val="1"/>
          <w:wAfter w:w="99" w:type="dxa"/>
          <w:trHeight w:val="230"/>
        </w:trPr>
        <w:tc>
          <w:tcPr>
            <w:tcW w:w="3372" w:type="dxa"/>
            <w:shd w:val="clear" w:color="auto" w:fill="CCCCCC"/>
          </w:tcPr>
          <w:p w:rsidR="00DC0196" w14:paraId="70BB2FE7" w14:textId="77777777">
            <w:pPr>
              <w:pStyle w:val="TableParagraph"/>
              <w:spacing w:line="208" w:lineRule="exact"/>
              <w:rPr>
                <w:b/>
                <w:sz w:val="20"/>
              </w:rPr>
            </w:pPr>
            <w:r>
              <w:rPr>
                <w:b/>
                <w:sz w:val="20"/>
              </w:rPr>
              <w:t>Provider Information</w:t>
            </w:r>
          </w:p>
        </w:tc>
        <w:tc>
          <w:tcPr>
            <w:tcW w:w="11503" w:type="dxa"/>
            <w:shd w:val="clear" w:color="auto" w:fill="CCCCCC"/>
          </w:tcPr>
          <w:p w:rsidR="00DC0196" w14:paraId="5829AA9A" w14:textId="77777777">
            <w:pPr>
              <w:pStyle w:val="TableParagraph"/>
              <w:spacing w:before="0"/>
              <w:ind w:left="0"/>
              <w:rPr>
                <w:rFonts w:ascii="Times New Roman"/>
                <w:sz w:val="16"/>
              </w:rPr>
            </w:pPr>
          </w:p>
        </w:tc>
      </w:tr>
      <w:tr w14:paraId="3B5830E8" w14:textId="77777777" w:rsidTr="4C1E9AFA">
        <w:tblPrEx>
          <w:tblW w:w="0" w:type="auto"/>
          <w:tblInd w:w="130" w:type="dxa"/>
          <w:tblCellMar>
            <w:left w:w="0" w:type="dxa"/>
            <w:right w:w="0" w:type="dxa"/>
          </w:tblCellMar>
          <w:tblLook w:val="01E0"/>
        </w:tblPrEx>
        <w:trPr>
          <w:gridAfter w:val="1"/>
          <w:wAfter w:w="99" w:type="dxa"/>
          <w:trHeight w:val="1230"/>
        </w:trPr>
        <w:tc>
          <w:tcPr>
            <w:tcW w:w="3372" w:type="dxa"/>
          </w:tcPr>
          <w:p w:rsidR="00DC0196" w14:paraId="1D8784BA" w14:textId="77777777">
            <w:pPr>
              <w:pStyle w:val="TableParagraph"/>
              <w:ind w:left="388" w:right="204" w:hanging="276"/>
              <w:rPr>
                <w:sz w:val="20"/>
              </w:rPr>
            </w:pPr>
            <w:r>
              <w:rPr>
                <w:sz w:val="20"/>
              </w:rPr>
              <w:t>8. Number of child care providers receiving CCDF funding by type of care</w:t>
            </w:r>
          </w:p>
        </w:tc>
        <w:tc>
          <w:tcPr>
            <w:tcW w:w="11503" w:type="dxa"/>
          </w:tcPr>
          <w:p w:rsidR="00DC0196" w14:paraId="4698CE3E" w14:textId="77777777">
            <w:pPr>
              <w:pStyle w:val="TableParagraph"/>
              <w:ind w:right="150"/>
              <w:rPr>
                <w:sz w:val="20"/>
              </w:rPr>
            </w:pPr>
            <w:r>
              <w:rPr>
                <w:sz w:val="20"/>
              </w:rPr>
              <w:t xml:space="preserve">Report the total unduplicated number of child care providers that served subsidized families during the report year. </w:t>
            </w:r>
            <w:r>
              <w:rPr>
                <w:sz w:val="20"/>
                <w:u w:val="single"/>
              </w:rPr>
              <w:t>Count each</w:t>
            </w:r>
            <w:r>
              <w:rPr>
                <w:sz w:val="20"/>
              </w:rPr>
              <w:t xml:space="preserve"> </w:t>
            </w:r>
            <w:r>
              <w:rPr>
                <w:sz w:val="20"/>
                <w:u w:val="single"/>
              </w:rPr>
              <w:t>provider only once</w:t>
            </w:r>
            <w:r>
              <w:rPr>
                <w:sz w:val="20"/>
              </w:rPr>
              <w:t>. If a provider operates in multiple locations, each location should be counted as a unique provider. If child care providers delivered more than one type of care (</w:t>
            </w:r>
            <w:r>
              <w:rPr>
                <w:sz w:val="20"/>
              </w:rPr>
              <w:t>i.e.</w:t>
            </w:r>
            <w:r>
              <w:rPr>
                <w:sz w:val="20"/>
              </w:rPr>
              <w:t xml:space="preserve"> in-home and family child care) count them in the category in which they delivered the most hours of service. If they delivered an equal number of hours in each category, the State has discretion as to which category to use. On line 8, the sum of columns (B) through (L) should equal the number in column (A).</w:t>
            </w:r>
          </w:p>
          <w:p w:rsidR="007D21CC" w14:paraId="72FBA790" w14:textId="77777777">
            <w:pPr>
              <w:pStyle w:val="TableParagraph"/>
              <w:ind w:right="150"/>
              <w:rPr>
                <w:sz w:val="20"/>
              </w:rPr>
            </w:pPr>
          </w:p>
        </w:tc>
      </w:tr>
      <w:tr w14:paraId="773081A3" w14:textId="77777777" w:rsidTr="4C1E9AFA">
        <w:tblPrEx>
          <w:tblW w:w="0" w:type="auto"/>
          <w:tblInd w:w="130" w:type="dxa"/>
          <w:tblCellMar>
            <w:left w:w="0" w:type="dxa"/>
            <w:right w:w="0" w:type="dxa"/>
          </w:tblCellMar>
          <w:tblLook w:val="01E0"/>
        </w:tblPrEx>
        <w:trPr>
          <w:gridAfter w:val="1"/>
          <w:wAfter w:w="99" w:type="dxa"/>
          <w:trHeight w:val="230"/>
        </w:trPr>
        <w:tc>
          <w:tcPr>
            <w:tcW w:w="3372" w:type="dxa"/>
            <w:shd w:val="clear" w:color="auto" w:fill="CCCCCC"/>
          </w:tcPr>
          <w:p w:rsidR="00DC0196" w14:paraId="4158F5D8" w14:textId="77777777">
            <w:pPr>
              <w:pStyle w:val="TableParagraph"/>
              <w:spacing w:line="208" w:lineRule="exact"/>
              <w:rPr>
                <w:b/>
                <w:sz w:val="20"/>
              </w:rPr>
            </w:pPr>
            <w:r>
              <w:rPr>
                <w:b/>
                <w:sz w:val="20"/>
              </w:rPr>
              <w:t>Consumer Education</w:t>
            </w:r>
          </w:p>
        </w:tc>
        <w:tc>
          <w:tcPr>
            <w:tcW w:w="11503" w:type="dxa"/>
            <w:shd w:val="clear" w:color="auto" w:fill="CCCCCC"/>
          </w:tcPr>
          <w:p w:rsidR="00DC0196" w14:paraId="0CDC36D7" w14:textId="77777777">
            <w:pPr>
              <w:pStyle w:val="TableParagraph"/>
              <w:spacing w:before="0"/>
              <w:ind w:left="0"/>
              <w:rPr>
                <w:rFonts w:ascii="Times New Roman"/>
                <w:sz w:val="16"/>
              </w:rPr>
            </w:pPr>
          </w:p>
        </w:tc>
      </w:tr>
      <w:tr w14:paraId="19D21E05" w14:textId="77777777" w:rsidTr="4C1E9AFA">
        <w:tblPrEx>
          <w:tblW w:w="0" w:type="auto"/>
          <w:tblInd w:w="130" w:type="dxa"/>
          <w:tblCellMar>
            <w:left w:w="0" w:type="dxa"/>
            <w:right w:w="0" w:type="dxa"/>
          </w:tblCellMar>
          <w:tblLook w:val="01E0"/>
        </w:tblPrEx>
        <w:trPr>
          <w:gridAfter w:val="1"/>
          <w:wAfter w:w="99" w:type="dxa"/>
          <w:trHeight w:val="460"/>
        </w:trPr>
        <w:tc>
          <w:tcPr>
            <w:tcW w:w="3372" w:type="dxa"/>
          </w:tcPr>
          <w:p w:rsidR="00DC0196" w14:paraId="626BD9B4" w14:textId="77777777">
            <w:pPr>
              <w:pStyle w:val="TableParagraph"/>
              <w:spacing w:line="230" w:lineRule="atLeast"/>
              <w:ind w:left="473" w:hanging="361"/>
              <w:rPr>
                <w:sz w:val="20"/>
              </w:rPr>
            </w:pPr>
            <w:r>
              <w:rPr>
                <w:sz w:val="20"/>
              </w:rPr>
              <w:t xml:space="preserve">9a. Estimated number of families receiving consumer </w:t>
            </w:r>
            <w:r>
              <w:rPr>
                <w:sz w:val="20"/>
              </w:rPr>
              <w:t>education</w:t>
            </w:r>
          </w:p>
          <w:p w:rsidR="0025044F" w14:paraId="1AEA3883" w14:textId="77777777">
            <w:pPr>
              <w:pStyle w:val="TableParagraph"/>
              <w:spacing w:line="230" w:lineRule="atLeast"/>
              <w:ind w:left="473" w:hanging="361"/>
              <w:rPr>
                <w:sz w:val="20"/>
              </w:rPr>
            </w:pPr>
          </w:p>
        </w:tc>
        <w:tc>
          <w:tcPr>
            <w:tcW w:w="11503" w:type="dxa"/>
          </w:tcPr>
          <w:p w:rsidR="00DC0196" w14:paraId="2686BB74" w14:textId="77777777">
            <w:pPr>
              <w:pStyle w:val="TableParagraph"/>
              <w:rPr>
                <w:sz w:val="20"/>
              </w:rPr>
            </w:pPr>
            <w:r>
              <w:rPr>
                <w:sz w:val="20"/>
              </w:rPr>
              <w:t>Report an estimated number of families that received consumer education that promotes informed child care choices.</w:t>
            </w:r>
          </w:p>
        </w:tc>
      </w:tr>
      <w:tr w14:paraId="2E62D7C8" w14:textId="77777777" w:rsidTr="4C1E9AFA">
        <w:tblPrEx>
          <w:tblW w:w="0" w:type="auto"/>
          <w:tblInd w:w="130" w:type="dxa"/>
          <w:tblCellMar>
            <w:left w:w="0" w:type="dxa"/>
            <w:right w:w="0" w:type="dxa"/>
          </w:tblCellMar>
          <w:tblLook w:val="01E0"/>
        </w:tblPrEx>
        <w:trPr>
          <w:gridAfter w:val="1"/>
          <w:wAfter w:w="99" w:type="dxa"/>
          <w:trHeight w:val="918"/>
        </w:trPr>
        <w:tc>
          <w:tcPr>
            <w:tcW w:w="3372" w:type="dxa"/>
          </w:tcPr>
          <w:p w:rsidR="00DC0196" w14:paraId="2CD6673B" w14:textId="77777777">
            <w:pPr>
              <w:pStyle w:val="TableParagraph"/>
              <w:spacing w:before="0"/>
              <w:ind w:left="443" w:right="373" w:hanging="331"/>
              <w:jc w:val="both"/>
              <w:rPr>
                <w:sz w:val="20"/>
              </w:rPr>
            </w:pPr>
            <w:r>
              <w:rPr>
                <w:sz w:val="20"/>
              </w:rPr>
              <w:t>9b. Explanation of Methodology for calculating the number</w:t>
            </w:r>
            <w:r>
              <w:rPr>
                <w:spacing w:val="-16"/>
                <w:sz w:val="20"/>
              </w:rPr>
              <w:t xml:space="preserve"> </w:t>
            </w:r>
            <w:r>
              <w:rPr>
                <w:sz w:val="20"/>
              </w:rPr>
              <w:t>of families</w:t>
            </w:r>
          </w:p>
        </w:tc>
        <w:tc>
          <w:tcPr>
            <w:tcW w:w="11503" w:type="dxa"/>
          </w:tcPr>
          <w:p w:rsidR="00DC0196" w14:paraId="38430BDD" w14:textId="77777777">
            <w:pPr>
              <w:pStyle w:val="TableParagraph"/>
              <w:spacing w:before="0"/>
              <w:ind w:right="271"/>
              <w:rPr>
                <w:sz w:val="20"/>
              </w:rPr>
            </w:pPr>
            <w:r>
              <w:rPr>
                <w:sz w:val="20"/>
              </w:rPr>
              <w:t>Explain the methodology for calculating the number of families that received consumer education. If the Lead Agency used data collected through its consumer education website to estimate the number of families receiving consumer education, this explanation should include the information used to estimate the number of families, such as number of unique visitors or</w:t>
            </w:r>
          </w:p>
          <w:p w:rsidR="00DC0196" w14:paraId="426123AC" w14:textId="77777777">
            <w:pPr>
              <w:pStyle w:val="TableParagraph"/>
              <w:spacing w:before="1" w:line="208" w:lineRule="exact"/>
              <w:rPr>
                <w:sz w:val="20"/>
              </w:rPr>
            </w:pPr>
            <w:r>
              <w:rPr>
                <w:sz w:val="20"/>
              </w:rPr>
              <w:t>number of page views during the reporting period.</w:t>
            </w:r>
          </w:p>
          <w:p w:rsidR="0025044F" w14:paraId="7F2AF76C" w14:textId="77777777">
            <w:pPr>
              <w:pStyle w:val="TableParagraph"/>
              <w:spacing w:before="1" w:line="208" w:lineRule="exact"/>
              <w:rPr>
                <w:sz w:val="20"/>
              </w:rPr>
            </w:pPr>
          </w:p>
        </w:tc>
      </w:tr>
      <w:tr w14:paraId="1FAC0FC8" w14:textId="77777777" w:rsidTr="4C1E9AFA">
        <w:tblPrEx>
          <w:tblW w:w="0" w:type="auto"/>
          <w:tblInd w:w="130" w:type="dxa"/>
          <w:tblCellMar>
            <w:left w:w="0" w:type="dxa"/>
            <w:right w:w="0" w:type="dxa"/>
          </w:tblCellMar>
          <w:tblLook w:val="01E0"/>
        </w:tblPrEx>
        <w:trPr>
          <w:gridAfter w:val="1"/>
          <w:wAfter w:w="99" w:type="dxa"/>
          <w:trHeight w:val="460"/>
        </w:trPr>
        <w:tc>
          <w:tcPr>
            <w:tcW w:w="14875" w:type="dxa"/>
            <w:gridSpan w:val="2"/>
          </w:tcPr>
          <w:p w:rsidR="00DC0196" w14:paraId="57A60EC3" w14:textId="77777777">
            <w:pPr>
              <w:pStyle w:val="TableParagraph"/>
              <w:spacing w:line="230" w:lineRule="atLeast"/>
              <w:ind w:right="274"/>
              <w:rPr>
                <w:sz w:val="20"/>
              </w:rPr>
            </w:pPr>
            <w:r>
              <w:rPr>
                <w:sz w:val="20"/>
              </w:rPr>
              <w:t>10. No longer collected effective FFY2016 (</w:t>
            </w:r>
            <w:r>
              <w:rPr>
                <w:i/>
                <w:sz w:val="20"/>
              </w:rPr>
              <w:t>OCC is not changing the numbering of the questions, so that users of the data are not confused when they analyze data across fiscal years.</w:t>
            </w:r>
            <w:r>
              <w:rPr>
                <w:sz w:val="20"/>
              </w:rPr>
              <w:t>)</w:t>
            </w:r>
          </w:p>
          <w:p w:rsidR="0025044F" w14:paraId="20FCDCB7" w14:textId="77777777">
            <w:pPr>
              <w:pStyle w:val="TableParagraph"/>
              <w:spacing w:line="230" w:lineRule="atLeast"/>
              <w:ind w:right="274"/>
              <w:rPr>
                <w:sz w:val="20"/>
              </w:rPr>
            </w:pPr>
          </w:p>
        </w:tc>
      </w:tr>
      <w:tr w14:paraId="5D03D9BA" w14:textId="77777777" w:rsidTr="4C1E9AFA">
        <w:tblPrEx>
          <w:tblW w:w="0" w:type="auto"/>
          <w:tblInd w:w="130" w:type="dxa"/>
          <w:tblCellMar>
            <w:left w:w="0" w:type="dxa"/>
            <w:right w:w="0" w:type="dxa"/>
          </w:tblCellMar>
          <w:tblLook w:val="01E0"/>
        </w:tblPrEx>
        <w:trPr>
          <w:gridAfter w:val="1"/>
          <w:wAfter w:w="99" w:type="dxa"/>
          <w:trHeight w:val="918"/>
        </w:trPr>
        <w:tc>
          <w:tcPr>
            <w:tcW w:w="3372" w:type="dxa"/>
          </w:tcPr>
          <w:p w:rsidR="00DC0196" w14:paraId="26E62115" w14:textId="77777777">
            <w:pPr>
              <w:pStyle w:val="TableParagraph"/>
              <w:spacing w:before="0"/>
              <w:rPr>
                <w:sz w:val="20"/>
              </w:rPr>
            </w:pPr>
            <w:r>
              <w:rPr>
                <w:sz w:val="20"/>
              </w:rPr>
              <w:t>11. Consumer Education Methods</w:t>
            </w:r>
          </w:p>
        </w:tc>
        <w:tc>
          <w:tcPr>
            <w:tcW w:w="11503" w:type="dxa"/>
          </w:tcPr>
          <w:p w:rsidR="00DC0196" w14:paraId="658FE9A9" w14:textId="78EFBEF1">
            <w:pPr>
              <w:pStyle w:val="TableParagraph"/>
              <w:spacing w:before="0"/>
              <w:ind w:right="78"/>
              <w:rPr>
                <w:sz w:val="20"/>
              </w:rPr>
            </w:pPr>
            <w:r>
              <w:rPr>
                <w:sz w:val="20"/>
              </w:rPr>
              <w:t xml:space="preserve">For Items 11a-11e, </w:t>
            </w:r>
            <w:r w:rsidR="00C812F9">
              <w:rPr>
                <w:sz w:val="20"/>
              </w:rPr>
              <w:t xml:space="preserve">mark </w:t>
            </w:r>
            <w:r>
              <w:rPr>
                <w:sz w:val="20"/>
              </w:rPr>
              <w:t>“Yes” if the Lead Agency uses this method or media on a regular basis to provide consumer education as established in the State’s child care policy. Mark “No” if the State does not use this method or media to provide consumer education on a regular basis.</w:t>
            </w:r>
          </w:p>
        </w:tc>
      </w:tr>
      <w:tr w14:paraId="04C28B21" w14:textId="77777777" w:rsidTr="4C1E9AFA">
        <w:tblPrEx>
          <w:tblW w:w="0" w:type="auto"/>
          <w:tblInd w:w="130" w:type="dxa"/>
          <w:tblCellMar>
            <w:left w:w="0" w:type="dxa"/>
            <w:right w:w="0" w:type="dxa"/>
          </w:tblCellMar>
          <w:tblLook w:val="01E0"/>
        </w:tblPrEx>
        <w:trPr>
          <w:gridAfter w:val="1"/>
          <w:wAfter w:w="99" w:type="dxa"/>
          <w:trHeight w:val="230"/>
        </w:trPr>
        <w:tc>
          <w:tcPr>
            <w:tcW w:w="3372" w:type="dxa"/>
            <w:shd w:val="clear" w:color="auto" w:fill="CCCCCC"/>
          </w:tcPr>
          <w:p w:rsidR="00DC0196" w14:paraId="77C48C88" w14:textId="77777777">
            <w:pPr>
              <w:pStyle w:val="TableParagraph"/>
              <w:spacing w:line="208" w:lineRule="exact"/>
              <w:rPr>
                <w:b/>
                <w:sz w:val="20"/>
              </w:rPr>
            </w:pPr>
            <w:r>
              <w:rPr>
                <w:b/>
                <w:sz w:val="20"/>
              </w:rPr>
              <w:t>Pooling Factor</w:t>
            </w:r>
          </w:p>
        </w:tc>
        <w:tc>
          <w:tcPr>
            <w:tcW w:w="11503" w:type="dxa"/>
            <w:shd w:val="clear" w:color="auto" w:fill="CCCCCC"/>
          </w:tcPr>
          <w:p w:rsidR="00DC0196" w14:paraId="4A50470D" w14:textId="77777777">
            <w:pPr>
              <w:pStyle w:val="TableParagraph"/>
              <w:spacing w:before="0"/>
              <w:ind w:left="0"/>
              <w:rPr>
                <w:rFonts w:ascii="Times New Roman"/>
                <w:sz w:val="16"/>
              </w:rPr>
            </w:pPr>
          </w:p>
        </w:tc>
      </w:tr>
      <w:tr w14:paraId="106CF650" w14:textId="77777777" w:rsidTr="4C1E9AFA">
        <w:tblPrEx>
          <w:tblW w:w="0" w:type="auto"/>
          <w:tblInd w:w="130" w:type="dxa"/>
          <w:tblCellMar>
            <w:left w:w="0" w:type="dxa"/>
            <w:right w:w="0" w:type="dxa"/>
          </w:tblCellMar>
          <w:tblLook w:val="01E0"/>
        </w:tblPrEx>
        <w:trPr>
          <w:gridAfter w:val="1"/>
          <w:wAfter w:w="99" w:type="dxa"/>
          <w:trHeight w:val="4602"/>
        </w:trPr>
        <w:tc>
          <w:tcPr>
            <w:tcW w:w="3372" w:type="dxa"/>
          </w:tcPr>
          <w:p w:rsidR="00DC0196" w14:paraId="36601674" w14:textId="77777777">
            <w:pPr>
              <w:pStyle w:val="TableParagraph"/>
              <w:ind w:left="443" w:right="204" w:hanging="331"/>
              <w:rPr>
                <w:sz w:val="20"/>
              </w:rPr>
            </w:pPr>
            <w:r>
              <w:rPr>
                <w:sz w:val="20"/>
              </w:rPr>
              <w:t>12. Is this ACF-800 report based on pooled CCDF and non- CCDF funds?</w:t>
            </w:r>
          </w:p>
        </w:tc>
        <w:tc>
          <w:tcPr>
            <w:tcW w:w="11503" w:type="dxa"/>
          </w:tcPr>
          <w:p w:rsidR="00DC0196" w14:paraId="1F4A3317" w14:textId="77777777">
            <w:pPr>
              <w:pStyle w:val="TableParagraph"/>
              <w:ind w:right="78"/>
              <w:rPr>
                <w:sz w:val="20"/>
              </w:rPr>
            </w:pPr>
            <w:r>
              <w:rPr>
                <w:sz w:val="20"/>
              </w:rPr>
              <w:t>Mark "Yes" or "No" to indicate whether the ACF-800 data is based on pooled funds. If the answer is "Yes," questions 13 and 14 must be answered. If the answer is "No," please proceed to question 15.</w:t>
            </w:r>
          </w:p>
          <w:p w:rsidR="00DC0196" w14:paraId="7C96AFC0" w14:textId="77777777">
            <w:pPr>
              <w:pStyle w:val="TableParagraph"/>
              <w:spacing w:before="1"/>
              <w:ind w:left="0"/>
              <w:rPr>
                <w:sz w:val="20"/>
              </w:rPr>
            </w:pPr>
          </w:p>
          <w:p w:rsidR="00DC0196" w:rsidP="3977A32C" w14:paraId="3BE15402" w14:textId="30C0E1C1">
            <w:pPr>
              <w:pStyle w:val="TableParagraph"/>
              <w:spacing w:before="0"/>
              <w:ind w:right="78"/>
              <w:rPr>
                <w:sz w:val="20"/>
                <w:szCs w:val="20"/>
              </w:rPr>
            </w:pPr>
            <w:r w:rsidRPr="3977A32C">
              <w:rPr>
                <w:sz w:val="20"/>
                <w:szCs w:val="20"/>
              </w:rPr>
              <w:t>Many Lead Agencies combine their CCDF funds with funds from other sources to serve the child care needs of children</w:t>
            </w:r>
            <w:r w:rsidRPr="3977A32C" w:rsidR="003548B5">
              <w:rPr>
                <w:sz w:val="20"/>
                <w:szCs w:val="20"/>
              </w:rPr>
              <w:t xml:space="preserve"> and </w:t>
            </w:r>
            <w:r w:rsidRPr="3977A32C" w:rsidR="005118EF">
              <w:rPr>
                <w:sz w:val="20"/>
                <w:szCs w:val="20"/>
              </w:rPr>
              <w:t>families</w:t>
            </w:r>
            <w:r w:rsidRPr="3977A32C">
              <w:rPr>
                <w:sz w:val="20"/>
                <w:szCs w:val="20"/>
              </w:rPr>
              <w:t>. This is called "pooling." States and Territories pool funds from other sources including additional State funds (</w:t>
            </w:r>
            <w:r w:rsidRPr="3977A32C">
              <w:rPr>
                <w:sz w:val="20"/>
                <w:szCs w:val="20"/>
              </w:rPr>
              <w:t>in excess of</w:t>
            </w:r>
            <w:r w:rsidRPr="3977A32C">
              <w:rPr>
                <w:sz w:val="20"/>
                <w:szCs w:val="20"/>
              </w:rPr>
              <w:t xml:space="preserve"> State funds used to meet the CCDF Match and MOE requirements), Title XX - the Social Services Block Grant (SSBG) funds, and TANF direct funds for child care not transferred to CCDF. These are flexible funding sources that can be used to supplement CCDF dollars to serve additional children and families. (TANF funds transferred to CCDF are considered CCDF Discretionary funds and thus should be considered CCDF funds when determining the pooling factor.)</w:t>
            </w:r>
          </w:p>
          <w:p w:rsidR="00DC0196" w14:paraId="4E60A2EC" w14:textId="77777777">
            <w:pPr>
              <w:pStyle w:val="TableParagraph"/>
              <w:spacing w:before="0"/>
              <w:ind w:left="0"/>
              <w:rPr>
                <w:sz w:val="20"/>
              </w:rPr>
            </w:pPr>
          </w:p>
          <w:p w:rsidR="00DC0196" w14:paraId="6C571B89" w14:textId="77777777">
            <w:pPr>
              <w:pStyle w:val="TableParagraph"/>
              <w:spacing w:before="0"/>
              <w:ind w:right="371"/>
              <w:rPr>
                <w:sz w:val="20"/>
              </w:rPr>
            </w:pPr>
            <w:r>
              <w:rPr>
                <w:sz w:val="20"/>
              </w:rPr>
              <w:t xml:space="preserve">For reporting purposes, ACF needs to know the number of children and families served </w:t>
            </w:r>
            <w:r>
              <w:rPr>
                <w:sz w:val="20"/>
                <w:u w:val="single"/>
              </w:rPr>
              <w:t>only through the CCDF program</w:t>
            </w:r>
            <w:r>
              <w:rPr>
                <w:sz w:val="20"/>
              </w:rPr>
              <w:t xml:space="preserve"> </w:t>
            </w:r>
            <w:r>
              <w:rPr>
                <w:sz w:val="20"/>
                <w:u w:val="single"/>
              </w:rPr>
              <w:t>(including TANF transfer)</w:t>
            </w:r>
            <w:r>
              <w:rPr>
                <w:sz w:val="20"/>
              </w:rPr>
              <w:t>. Therefore, ACF applies the pooling factor reported in Item #13 to the State’s ACF-800 (aggregate, unduplicated count of children and families) and the ACF-801 (case-level, average monthly count of children and families) to calculate and report on the number of children and families served by CCDF funds alone.</w:t>
            </w:r>
          </w:p>
          <w:p w:rsidR="00DC0196" w14:paraId="64C854DF" w14:textId="77777777">
            <w:pPr>
              <w:pStyle w:val="TableParagraph"/>
              <w:spacing w:before="1"/>
              <w:ind w:left="0"/>
              <w:rPr>
                <w:sz w:val="20"/>
              </w:rPr>
            </w:pPr>
          </w:p>
          <w:p w:rsidR="00DC0196" w14:paraId="746CE3D2" w14:textId="77777777">
            <w:pPr>
              <w:pStyle w:val="TableParagraph"/>
              <w:spacing w:before="0"/>
              <w:ind w:right="105"/>
              <w:rPr>
                <w:sz w:val="20"/>
              </w:rPr>
            </w:pPr>
            <w:r>
              <w:rPr>
                <w:b/>
                <w:sz w:val="20"/>
              </w:rPr>
              <w:t>NOTE</w:t>
            </w:r>
            <w:r>
              <w:rPr>
                <w:sz w:val="20"/>
              </w:rPr>
              <w:t xml:space="preserve">: While ACF allows States to report data on all children and families served by pooled funds </w:t>
            </w:r>
            <w:r>
              <w:rPr>
                <w:sz w:val="20"/>
              </w:rPr>
              <w:t>in order to</w:t>
            </w:r>
            <w:r>
              <w:rPr>
                <w:sz w:val="20"/>
              </w:rPr>
              <w:t xml:space="preserve"> ease administrative burden, all children and families served by pooled funds </w:t>
            </w:r>
            <w:r>
              <w:rPr>
                <w:sz w:val="20"/>
                <w:u w:val="single"/>
              </w:rPr>
              <w:t>must meet Federal CCDF eligibility requirements</w:t>
            </w:r>
            <w:r>
              <w:rPr>
                <w:sz w:val="20"/>
              </w:rPr>
              <w:t xml:space="preserve">. States that use non-CCDF funding sources to serve targeted or special populations of children and families who are not eligible for CCDF services should </w:t>
            </w:r>
            <w:r>
              <w:rPr>
                <w:sz w:val="20"/>
                <w:u w:val="single"/>
              </w:rPr>
              <w:t>not</w:t>
            </w:r>
            <w:r>
              <w:rPr>
                <w:sz w:val="20"/>
              </w:rPr>
              <w:t xml:space="preserve"> report administrative data on those children and families on the ACF-800 or ACF-801 reports.</w:t>
            </w:r>
          </w:p>
        </w:tc>
      </w:tr>
    </w:tbl>
    <w:p w:rsidR="00DC0196" w14:paraId="3F321AD4" w14:textId="77777777">
      <w:pPr>
        <w:rPr>
          <w:sz w:val="20"/>
        </w:rPr>
        <w:sectPr>
          <w:pgSz w:w="15840" w:h="12240" w:orient="landscape"/>
          <w:pgMar w:top="420" w:right="380" w:bottom="1080" w:left="340" w:header="0" w:footer="889" w:gutter="0"/>
          <w:cols w:space="720"/>
        </w:sectPr>
      </w:pPr>
    </w:p>
    <w:tbl>
      <w:tblPr>
        <w:tblW w:w="14983" w:type="dxa"/>
        <w:tblInd w:w="13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
      <w:tblGrid>
        <w:gridCol w:w="3345"/>
        <w:gridCol w:w="11530"/>
        <w:gridCol w:w="108"/>
      </w:tblGrid>
      <w:tr w14:paraId="648D699E" w14:textId="77777777" w:rsidTr="00252EFE">
        <w:tblPrEx>
          <w:tblW w:w="14983" w:type="dxa"/>
          <w:tblInd w:w="13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Ex>
        <w:trPr>
          <w:gridAfter w:val="1"/>
          <w:wAfter w:w="108" w:type="dxa"/>
          <w:trHeight w:val="4141"/>
        </w:trPr>
        <w:tc>
          <w:tcPr>
            <w:tcW w:w="3345" w:type="dxa"/>
          </w:tcPr>
          <w:p w:rsidR="00DC0196" w14:paraId="003C0099" w14:textId="77777777">
            <w:pPr>
              <w:pStyle w:val="TableParagraph"/>
              <w:ind w:left="388" w:right="55" w:hanging="276"/>
              <w:rPr>
                <w:sz w:val="20"/>
              </w:rPr>
            </w:pPr>
            <w:r>
              <w:rPr>
                <w:sz w:val="20"/>
              </w:rPr>
              <w:t>13. If this report is based on pooled CCDF and non-CCDF funds, what is the percent of funds which are CCDF?</w:t>
            </w:r>
          </w:p>
        </w:tc>
        <w:tc>
          <w:tcPr>
            <w:tcW w:w="11530" w:type="dxa"/>
          </w:tcPr>
          <w:p w:rsidR="00DC0196" w14:paraId="18EFAF4C" w14:textId="77777777">
            <w:pPr>
              <w:pStyle w:val="TableParagraph"/>
              <w:ind w:right="105"/>
              <w:rPr>
                <w:sz w:val="20"/>
              </w:rPr>
            </w:pPr>
            <w:r>
              <w:rPr>
                <w:sz w:val="20"/>
              </w:rPr>
              <w:t>If a State or Territory pools non-CCDF funds with CCDF funds to provide child care subsidies to families, the Lead Agency needs to report in this section the percentage of funds in the direct services budget pool that are CCDF funds. To determine the budget pool only include sources of funding used to provide direct services to eligible children and families as reported in data elements 1, 2, 5, 6, and 7 on the ACF-800 and the case-level data on the ACF-801. Funding sources used for any other purposes, such as for child care quality improvement activities, non-direct services and child care administrative costs should not be included in the pool for the determination of the pooling factor.</w:t>
            </w:r>
          </w:p>
          <w:p w:rsidR="00DC0196" w14:paraId="3E24B58D" w14:textId="77777777">
            <w:pPr>
              <w:pStyle w:val="TableParagraph"/>
              <w:spacing w:before="0"/>
              <w:ind w:left="0"/>
              <w:rPr>
                <w:sz w:val="20"/>
              </w:rPr>
            </w:pPr>
          </w:p>
          <w:p w:rsidR="00DC0196" w14:paraId="2155BA3F" w14:textId="77777777">
            <w:pPr>
              <w:pStyle w:val="TableParagraph"/>
              <w:spacing w:before="1"/>
              <w:ind w:right="78"/>
              <w:rPr>
                <w:sz w:val="20"/>
              </w:rPr>
            </w:pPr>
            <w:r>
              <w:rPr>
                <w:sz w:val="20"/>
              </w:rPr>
              <w:t xml:space="preserve">Note that the CCDF block grant consists of three component funding streams: the Discretionary Fund which are 100% Federal funds, the Mandatory funds which are 100% Federal funds, and the Matching Fund. </w:t>
            </w:r>
            <w:r>
              <w:rPr>
                <w:sz w:val="20"/>
              </w:rPr>
              <w:t>In order to</w:t>
            </w:r>
            <w:r>
              <w:rPr>
                <w:sz w:val="20"/>
              </w:rPr>
              <w:t xml:space="preserve"> receive their full Federal share allotment of the Matching Fund, States must expend their Maintenance-of-Effort (MOE) requirement and expend the State’s share of the Matching fund. </w:t>
            </w:r>
            <w:r>
              <w:rPr>
                <w:sz w:val="20"/>
              </w:rPr>
              <w:t>All of</w:t>
            </w:r>
            <w:r>
              <w:rPr>
                <w:sz w:val="20"/>
              </w:rPr>
              <w:t xml:space="preserve"> these component funding streams comprise the CCDF block grant and should be considered “CCDF funds” when calculating the pooling factor. See the latest version of </w:t>
            </w:r>
            <w:r>
              <w:rPr>
                <w:i/>
                <w:sz w:val="20"/>
              </w:rPr>
              <w:t xml:space="preserve">Technical Bulletin # 1: ACF-800 State-Level Data Standards </w:t>
            </w:r>
            <w:r>
              <w:rPr>
                <w:sz w:val="20"/>
              </w:rPr>
              <w:t>(</w:t>
            </w:r>
            <w:hyperlink r:id="rId9">
              <w:r>
                <w:rPr>
                  <w:color w:val="0000FF"/>
                  <w:sz w:val="20"/>
                  <w:u w:val="single" w:color="0000FF"/>
                </w:rPr>
                <w:t>http://www.acf.hhs.gov/occ/resource/current-technical-bulletins</w:t>
              </w:r>
            </w:hyperlink>
            <w:r>
              <w:rPr>
                <w:sz w:val="20"/>
              </w:rPr>
              <w:t>) and attached “Pooling Factor Calculation Spreadsheet” for further guidance.</w:t>
            </w:r>
          </w:p>
          <w:p w:rsidR="00DC0196" w14:paraId="70D6CEA3" w14:textId="77777777">
            <w:pPr>
              <w:pStyle w:val="TableParagraph"/>
              <w:spacing w:before="0"/>
              <w:ind w:left="0"/>
              <w:rPr>
                <w:sz w:val="20"/>
              </w:rPr>
            </w:pPr>
          </w:p>
          <w:p w:rsidR="00DC0196" w14:paraId="7BC2358D" w14:textId="77777777">
            <w:pPr>
              <w:pStyle w:val="TableParagraph"/>
              <w:spacing w:before="0"/>
              <w:ind w:right="1162"/>
              <w:rPr>
                <w:sz w:val="20"/>
              </w:rPr>
            </w:pPr>
            <w:r>
              <w:rPr>
                <w:b/>
                <w:sz w:val="20"/>
              </w:rPr>
              <w:t xml:space="preserve">NOTE: </w:t>
            </w:r>
            <w:r>
              <w:rPr>
                <w:sz w:val="20"/>
              </w:rPr>
              <w:t>Funds transferred from Temporary Assistance for Needy Families (TANF) block grant are considered CCDF Discretionary Funds.</w:t>
            </w:r>
          </w:p>
        </w:tc>
      </w:tr>
      <w:tr w14:paraId="55BFDB4C" w14:textId="77777777" w:rsidTr="00252EFE">
        <w:tblPrEx>
          <w:tblW w:w="14983" w:type="dxa"/>
          <w:tblInd w:w="130" w:type="dxa"/>
          <w:tblLayout w:type="fixed"/>
          <w:tblCellMar>
            <w:left w:w="0" w:type="dxa"/>
            <w:right w:w="0" w:type="dxa"/>
          </w:tblCellMar>
          <w:tblLook w:val="01E0"/>
        </w:tblPrEx>
        <w:trPr>
          <w:gridAfter w:val="1"/>
          <w:wAfter w:w="108" w:type="dxa"/>
          <w:trHeight w:val="1150"/>
        </w:trPr>
        <w:tc>
          <w:tcPr>
            <w:tcW w:w="3345" w:type="dxa"/>
          </w:tcPr>
          <w:p w:rsidR="377E0CFB" w:rsidP="236CB5FF" w14:paraId="00D666A5" w14:textId="3FDD8137">
            <w:pPr>
              <w:pStyle w:val="TableParagraph"/>
              <w:rPr>
                <w:sz w:val="20"/>
                <w:szCs w:val="20"/>
              </w:rPr>
            </w:pPr>
            <w:r w:rsidRPr="3977A32C">
              <w:rPr>
                <w:sz w:val="20"/>
                <w:szCs w:val="20"/>
              </w:rPr>
              <w:t>13a. If this year's pooling factor has changed more than +/- 5% since last year, please explain what led to the change.</w:t>
            </w:r>
          </w:p>
        </w:tc>
        <w:tc>
          <w:tcPr>
            <w:tcW w:w="11530" w:type="dxa"/>
          </w:tcPr>
          <w:p w:rsidR="377E0CFB" w:rsidRPr="0085762F" w:rsidP="0085762F" w14:paraId="2B6DE934" w14:textId="188999FD">
            <w:pPr>
              <w:pStyle w:val="TableParagraph"/>
              <w:rPr>
                <w:sz w:val="20"/>
                <w:szCs w:val="20"/>
              </w:rPr>
            </w:pPr>
            <w:r w:rsidRPr="0085762F">
              <w:rPr>
                <w:rFonts w:eastAsiaTheme="minorEastAsia"/>
                <w:sz w:val="20"/>
                <w:szCs w:val="20"/>
              </w:rPr>
              <w:t xml:space="preserve">For states who pool funds, explanation is required only if this year’s pooling factor has changed more than +/- 5% since last year. </w:t>
            </w:r>
          </w:p>
          <w:p w:rsidR="377E0CFB" w:rsidRPr="0085762F" w:rsidP="236CB5FF" w14:paraId="546D9DBA" w14:textId="6AD992B0">
            <w:pPr>
              <w:pStyle w:val="TableParagraph"/>
              <w:rPr>
                <w:sz w:val="20"/>
                <w:szCs w:val="20"/>
              </w:rPr>
            </w:pPr>
            <w:r w:rsidRPr="3977A32C">
              <w:rPr>
                <w:rFonts w:eastAsiaTheme="minorEastAsia"/>
                <w:sz w:val="20"/>
                <w:szCs w:val="20"/>
              </w:rPr>
              <w:t>Note: If a State/Territory has adjusted last year’s pooling factor since it was last reported, please go to last year’s ACF-800 form and update last year’s pooling factor, before continuing with this year’s ACF-800 form.</w:t>
            </w:r>
          </w:p>
        </w:tc>
      </w:tr>
      <w:tr w14:paraId="4C6986A0" w14:textId="77777777" w:rsidTr="00252EFE">
        <w:tblPrEx>
          <w:tblW w:w="14983" w:type="dxa"/>
          <w:tblInd w:w="130" w:type="dxa"/>
          <w:tblLayout w:type="fixed"/>
          <w:tblCellMar>
            <w:left w:w="0" w:type="dxa"/>
            <w:right w:w="0" w:type="dxa"/>
          </w:tblCellMar>
          <w:tblLook w:val="01E0"/>
        </w:tblPrEx>
        <w:trPr>
          <w:trHeight w:val="1335"/>
        </w:trPr>
        <w:tc>
          <w:tcPr>
            <w:tcW w:w="3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C0196" w14:paraId="2019B4EE" w14:textId="77777777">
            <w:pPr>
              <w:pStyle w:val="TableParagraph"/>
              <w:ind w:left="388" w:right="55" w:hanging="276"/>
              <w:rPr>
                <w:sz w:val="20"/>
              </w:rPr>
            </w:pPr>
            <w:r>
              <w:rPr>
                <w:sz w:val="20"/>
              </w:rPr>
              <w:t>14. If this report is based on pooled CCDF and non-CCDF funds, please indicate which non- CCDF funds are included in the</w:t>
            </w:r>
          </w:p>
          <w:p w:rsidR="00DC0196" w14:paraId="153EE2D5" w14:textId="77777777">
            <w:pPr>
              <w:pStyle w:val="TableParagraph"/>
              <w:spacing w:before="1" w:line="208" w:lineRule="exact"/>
              <w:ind w:left="388"/>
              <w:rPr>
                <w:sz w:val="20"/>
              </w:rPr>
            </w:pPr>
            <w:r>
              <w:rPr>
                <w:sz w:val="20"/>
              </w:rPr>
              <w:t>pool.</w:t>
            </w:r>
          </w:p>
        </w:tc>
        <w:tc>
          <w:tcPr>
            <w:tcW w:w="116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C0196" w14:paraId="2890CD16" w14:textId="77777777">
            <w:pPr>
              <w:pStyle w:val="TableParagraph"/>
              <w:ind w:right="74"/>
              <w:rPr>
                <w:b/>
                <w:sz w:val="20"/>
              </w:rPr>
            </w:pPr>
            <w:r>
              <w:rPr>
                <w:b/>
                <w:sz w:val="20"/>
              </w:rPr>
              <w:t>For items 14a – 14f, mark "Yes" or "No" to indicate whether the non-CCDF funding source is included in the pool of the State or Territory.</w:t>
            </w:r>
          </w:p>
          <w:p w:rsidR="00DC0196" w14:paraId="56189850" w14:textId="77777777">
            <w:pPr>
              <w:pStyle w:val="TableParagraph"/>
              <w:spacing w:before="0"/>
              <w:ind w:left="0"/>
              <w:rPr>
                <w:sz w:val="20"/>
              </w:rPr>
            </w:pPr>
          </w:p>
          <w:p w:rsidR="00DC0196" w14:paraId="08980E4E" w14:textId="77777777">
            <w:pPr>
              <w:pStyle w:val="TableParagraph"/>
              <w:spacing w:before="1"/>
              <w:rPr>
                <w:sz w:val="20"/>
              </w:rPr>
            </w:pPr>
            <w:r>
              <w:rPr>
                <w:sz w:val="20"/>
              </w:rPr>
              <w:t>Please specify for item 14f any additional sources of non-CCDF funds in the pool (not included in the list) in the space provided.</w:t>
            </w:r>
          </w:p>
        </w:tc>
      </w:tr>
      <w:tr w14:paraId="15D0AF57" w14:textId="77777777" w:rsidTr="00252EFE">
        <w:tblPrEx>
          <w:tblW w:w="14983" w:type="dxa"/>
          <w:tblInd w:w="130" w:type="dxa"/>
          <w:tblLayout w:type="fixed"/>
          <w:tblCellMar>
            <w:left w:w="0" w:type="dxa"/>
            <w:right w:w="0" w:type="dxa"/>
          </w:tblCellMar>
          <w:tblLook w:val="01E0"/>
        </w:tblPrEx>
        <w:trPr>
          <w:gridAfter w:val="1"/>
          <w:wAfter w:w="108" w:type="dxa"/>
          <w:trHeight w:val="342"/>
        </w:trPr>
        <w:tc>
          <w:tcPr>
            <w:tcW w:w="3345" w:type="dxa"/>
            <w:shd w:val="clear" w:color="auto" w:fill="CCCCCC"/>
          </w:tcPr>
          <w:p w:rsidR="001F67E4" w14:paraId="075E7C20" w14:textId="71F613E2">
            <w:pPr>
              <w:pStyle w:val="TableParagraph"/>
              <w:spacing w:line="208" w:lineRule="exact"/>
              <w:rPr>
                <w:b/>
                <w:sz w:val="20"/>
              </w:rPr>
            </w:pPr>
            <w:r w:rsidRPr="236CB5FF">
              <w:rPr>
                <w:b/>
                <w:sz w:val="20"/>
                <w:szCs w:val="20"/>
              </w:rPr>
              <w:t>COVID-19 Supplemental Funding</w:t>
            </w:r>
            <w:r w:rsidR="00CB693C">
              <w:rPr>
                <w:b/>
                <w:sz w:val="20"/>
                <w:szCs w:val="20"/>
              </w:rPr>
              <w:t xml:space="preserve"> </w:t>
            </w:r>
            <w:r w:rsidRPr="236CB5FF" w:rsidR="00674C42">
              <w:rPr>
                <w:b/>
                <w:sz w:val="20"/>
                <w:szCs w:val="20"/>
              </w:rPr>
              <w:t>Questions</w:t>
            </w:r>
          </w:p>
        </w:tc>
        <w:tc>
          <w:tcPr>
            <w:tcW w:w="11530" w:type="dxa"/>
            <w:shd w:val="clear" w:color="auto" w:fill="CCCCCC"/>
          </w:tcPr>
          <w:p w:rsidR="00DC0196" w:rsidRPr="00C353FB" w:rsidP="236CB5FF" w14:paraId="21720735" w14:textId="369FB040">
            <w:pPr>
              <w:pStyle w:val="TableParagraph"/>
              <w:spacing w:before="0" w:line="230" w:lineRule="atLeast"/>
              <w:ind w:right="274"/>
              <w:rPr>
                <w:sz w:val="20"/>
                <w:szCs w:val="20"/>
              </w:rPr>
            </w:pPr>
            <w:r w:rsidRPr="236CB5FF">
              <w:rPr>
                <w:sz w:val="20"/>
                <w:szCs w:val="20"/>
              </w:rPr>
              <w:t xml:space="preserve">No longer collected effective </w:t>
            </w:r>
            <w:r w:rsidRPr="236CB5FF">
              <w:rPr>
                <w:sz w:val="20"/>
                <w:szCs w:val="20"/>
              </w:rPr>
              <w:t>FFY2025</w:t>
            </w:r>
            <w:r w:rsidRPr="236CB5FF">
              <w:rPr>
                <w:sz w:val="20"/>
                <w:szCs w:val="20"/>
              </w:rPr>
              <w:t xml:space="preserve"> </w:t>
            </w:r>
          </w:p>
          <w:p w:rsidR="00DC0196" w:rsidRPr="00C353FB" w:rsidP="00196E6F" w14:paraId="4ECC7C7D" w14:textId="4989D760">
            <w:pPr>
              <w:pStyle w:val="TableParagraph"/>
              <w:spacing w:before="0"/>
              <w:ind w:left="144"/>
              <w:rPr>
                <w:sz w:val="20"/>
                <w:szCs w:val="20"/>
              </w:rPr>
            </w:pPr>
            <w:r w:rsidRPr="236CB5FF">
              <w:rPr>
                <w:sz w:val="20"/>
                <w:szCs w:val="20"/>
              </w:rPr>
              <w:t xml:space="preserve"> </w:t>
            </w:r>
          </w:p>
        </w:tc>
      </w:tr>
      <w:tr w14:paraId="46DA06BA" w14:textId="77777777" w:rsidTr="00252EFE">
        <w:tblPrEx>
          <w:tblW w:w="14983" w:type="dxa"/>
          <w:tblInd w:w="130" w:type="dxa"/>
          <w:tblLayout w:type="fixed"/>
          <w:tblCellMar>
            <w:left w:w="0" w:type="dxa"/>
            <w:right w:w="0" w:type="dxa"/>
          </w:tblCellMar>
          <w:tblLook w:val="01E0"/>
        </w:tblPrEx>
        <w:trPr>
          <w:gridAfter w:val="1"/>
          <w:wAfter w:w="108" w:type="dxa"/>
          <w:trHeight w:val="460"/>
        </w:trPr>
        <w:tc>
          <w:tcPr>
            <w:tcW w:w="3345" w:type="dxa"/>
          </w:tcPr>
          <w:p w:rsidR="00DC0196" w14:paraId="01E34D9D" w14:textId="48275469">
            <w:pPr>
              <w:pStyle w:val="TableParagraph"/>
              <w:rPr>
                <w:sz w:val="20"/>
              </w:rPr>
            </w:pPr>
          </w:p>
        </w:tc>
        <w:tc>
          <w:tcPr>
            <w:tcW w:w="11530" w:type="dxa"/>
          </w:tcPr>
          <w:p w:rsidR="00F34F14" w:rsidRPr="005A2F3F" w:rsidP="00F34F14" w14:paraId="552D531B" w14:textId="77631BDA">
            <w:pPr>
              <w:pStyle w:val="TableParagraph"/>
              <w:rPr>
                <w:sz w:val="20"/>
              </w:rPr>
            </w:pPr>
          </w:p>
        </w:tc>
      </w:tr>
    </w:tbl>
    <w:p w:rsidR="4C1E9AFA" w14:paraId="11EE0AB4" w14:textId="6E2B672D"/>
    <w:p w:rsidR="4C1E9AFA" w14:paraId="2D73CEE7" w14:textId="130878BF"/>
    <w:p w:rsidR="4C1E9AFA" w14:paraId="66B4821C" w14:textId="39BDDAB0"/>
    <w:p w:rsidR="00DC0196" w14:paraId="1F8CF613" w14:textId="77777777">
      <w:pPr>
        <w:rPr>
          <w:sz w:val="20"/>
        </w:rPr>
        <w:sectPr>
          <w:pgSz w:w="15840" w:h="12240" w:orient="landscape"/>
          <w:pgMar w:top="660" w:right="380" w:bottom="1080" w:left="340" w:header="0" w:footer="889"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254"/>
      </w:tblGrid>
      <w:tr w14:paraId="203BD842"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
        </w:trPr>
        <w:tc>
          <w:tcPr>
            <w:tcW w:w="14605" w:type="dxa"/>
            <w:gridSpan w:val="2"/>
            <w:shd w:val="clear" w:color="auto" w:fill="CCCCCC"/>
          </w:tcPr>
          <w:p w:rsidR="00DC0196" w14:paraId="7DC8ED12" w14:textId="77777777">
            <w:pPr>
              <w:pStyle w:val="TableParagraph"/>
              <w:spacing w:line="208" w:lineRule="exact"/>
              <w:ind w:left="6647" w:right="6636"/>
              <w:jc w:val="center"/>
              <w:rPr>
                <w:b/>
                <w:sz w:val="20"/>
              </w:rPr>
            </w:pPr>
            <w:r>
              <w:rPr>
                <w:b/>
                <w:sz w:val="20"/>
              </w:rPr>
              <w:t>DEFINITIONS</w:t>
            </w:r>
          </w:p>
        </w:tc>
      </w:tr>
      <w:tr w14:paraId="0773CBF5" w14:textId="77777777">
        <w:tblPrEx>
          <w:tblW w:w="0" w:type="auto"/>
          <w:tblInd w:w="130" w:type="dxa"/>
          <w:tblLayout w:type="fixed"/>
          <w:tblCellMar>
            <w:left w:w="0" w:type="dxa"/>
            <w:right w:w="0" w:type="dxa"/>
          </w:tblCellMar>
          <w:tblLook w:val="01E0"/>
        </w:tblPrEx>
        <w:trPr>
          <w:trHeight w:val="917"/>
        </w:trPr>
        <w:tc>
          <w:tcPr>
            <w:tcW w:w="3351" w:type="dxa"/>
            <w:tcBorders>
              <w:bottom w:val="single" w:sz="8" w:space="0" w:color="000000"/>
            </w:tcBorders>
            <w:shd w:val="clear" w:color="auto" w:fill="CCCCCC"/>
          </w:tcPr>
          <w:p w:rsidR="00DC0196" w14:paraId="32E41440" w14:textId="77777777">
            <w:pPr>
              <w:pStyle w:val="TableParagraph"/>
              <w:rPr>
                <w:b/>
                <w:sz w:val="20"/>
              </w:rPr>
            </w:pPr>
            <w:r>
              <w:rPr>
                <w:b/>
                <w:sz w:val="20"/>
              </w:rPr>
              <w:t>Types of Providers</w:t>
            </w:r>
          </w:p>
        </w:tc>
        <w:tc>
          <w:tcPr>
            <w:tcW w:w="11254" w:type="dxa"/>
            <w:tcBorders>
              <w:bottom w:val="single" w:sz="8" w:space="0" w:color="000000"/>
            </w:tcBorders>
            <w:shd w:val="clear" w:color="auto" w:fill="CCCCCC"/>
          </w:tcPr>
          <w:p w:rsidR="00DC0196" w14:paraId="72E99E88" w14:textId="77777777">
            <w:pPr>
              <w:pStyle w:val="TableParagraph"/>
              <w:spacing w:line="230" w:lineRule="atLeast"/>
              <w:ind w:right="147"/>
              <w:rPr>
                <w:b/>
                <w:sz w:val="20"/>
              </w:rPr>
            </w:pPr>
            <w:r>
              <w:rPr>
                <w:b/>
                <w:sz w:val="20"/>
              </w:rPr>
              <w:t xml:space="preserve">Eligible child care providers are broadly divided into licensed/regulated and legally operating (although not required by the State or Territory to be licensed). Whether licensed /regulated or legally operating, there are </w:t>
            </w:r>
            <w:r>
              <w:rPr>
                <w:b/>
                <w:spacing w:val="-3"/>
                <w:sz w:val="20"/>
              </w:rPr>
              <w:t xml:space="preserve">four </w:t>
            </w:r>
            <w:r>
              <w:rPr>
                <w:b/>
                <w:sz w:val="20"/>
              </w:rPr>
              <w:t xml:space="preserve">types of eligible providers: in-home, family </w:t>
            </w:r>
            <w:r>
              <w:rPr>
                <w:b/>
                <w:spacing w:val="-3"/>
                <w:sz w:val="20"/>
              </w:rPr>
              <w:t xml:space="preserve">home, </w:t>
            </w:r>
            <w:r>
              <w:rPr>
                <w:b/>
                <w:sz w:val="20"/>
              </w:rPr>
              <w:t>group home, and centers. (See columns B through L on the ACF- 800.) In addition, care may be provided by a relative or a</w:t>
            </w:r>
            <w:r>
              <w:rPr>
                <w:b/>
                <w:spacing w:val="3"/>
                <w:sz w:val="20"/>
              </w:rPr>
              <w:t xml:space="preserve"> </w:t>
            </w:r>
            <w:r>
              <w:rPr>
                <w:b/>
                <w:sz w:val="20"/>
              </w:rPr>
              <w:t>non-relative.</w:t>
            </w:r>
          </w:p>
        </w:tc>
      </w:tr>
      <w:tr w14:paraId="7286974C" w14:textId="77777777">
        <w:tblPrEx>
          <w:tblW w:w="0" w:type="auto"/>
          <w:tblInd w:w="130" w:type="dxa"/>
          <w:tblLayout w:type="fixed"/>
          <w:tblCellMar>
            <w:left w:w="0" w:type="dxa"/>
            <w:right w:w="0" w:type="dxa"/>
          </w:tblCellMar>
          <w:tblLook w:val="01E0"/>
        </w:tblPrEx>
        <w:trPr>
          <w:trHeight w:val="1143"/>
        </w:trPr>
        <w:tc>
          <w:tcPr>
            <w:tcW w:w="3351" w:type="dxa"/>
            <w:tcBorders>
              <w:top w:val="single" w:sz="8" w:space="0" w:color="000000"/>
            </w:tcBorders>
          </w:tcPr>
          <w:p w:rsidR="00DC0196" w14:paraId="006435EC" w14:textId="77777777">
            <w:pPr>
              <w:pStyle w:val="TableParagraph"/>
              <w:spacing w:before="0" w:line="226" w:lineRule="exact"/>
              <w:rPr>
                <w:sz w:val="20"/>
              </w:rPr>
            </w:pPr>
            <w:r>
              <w:rPr>
                <w:sz w:val="20"/>
              </w:rPr>
              <w:t>Licensed or regulated provider</w:t>
            </w:r>
          </w:p>
        </w:tc>
        <w:tc>
          <w:tcPr>
            <w:tcW w:w="11254" w:type="dxa"/>
            <w:tcBorders>
              <w:top w:val="single" w:sz="8" w:space="0" w:color="000000"/>
            </w:tcBorders>
          </w:tcPr>
          <w:p w:rsidR="00DC0196" w14:paraId="1F754FE4" w14:textId="77777777">
            <w:pPr>
              <w:pStyle w:val="TableParagraph"/>
              <w:spacing w:before="0"/>
              <w:ind w:right="211"/>
              <w:rPr>
                <w:sz w:val="20"/>
              </w:rPr>
            </w:pPr>
            <w:r>
              <w:rPr>
                <w:sz w:val="20"/>
              </w:rPr>
              <w:t xml:space="preserve">Provider legally regulated or licensed by State or local public agency or through a State’s designated licensing or regulatory agent. In order to be counted as a regulated provider, the provider must meet State-established standards that are more comprehensive than CCDF health and safety </w:t>
            </w:r>
            <w:r>
              <w:rPr>
                <w:sz w:val="20"/>
              </w:rPr>
              <w:t>requirements, and</w:t>
            </w:r>
            <w:r>
              <w:rPr>
                <w:sz w:val="20"/>
              </w:rPr>
              <w:t xml:space="preserve"> be subject to monitoring inspections based on those standards.</w:t>
            </w:r>
          </w:p>
        </w:tc>
      </w:tr>
      <w:tr w14:paraId="5C4B3D18" w14:textId="77777777">
        <w:tblPrEx>
          <w:tblW w:w="0" w:type="auto"/>
          <w:tblInd w:w="130" w:type="dxa"/>
          <w:tblLayout w:type="fixed"/>
          <w:tblCellMar>
            <w:left w:w="0" w:type="dxa"/>
            <w:right w:w="0" w:type="dxa"/>
          </w:tblCellMar>
          <w:tblLook w:val="01E0"/>
        </w:tblPrEx>
        <w:trPr>
          <w:trHeight w:val="1150"/>
        </w:trPr>
        <w:tc>
          <w:tcPr>
            <w:tcW w:w="3351" w:type="dxa"/>
          </w:tcPr>
          <w:p w:rsidR="00DC0196" w14:paraId="3067330D" w14:textId="77777777">
            <w:pPr>
              <w:pStyle w:val="TableParagraph"/>
              <w:spacing w:before="3"/>
              <w:rPr>
                <w:sz w:val="20"/>
              </w:rPr>
            </w:pPr>
            <w:r>
              <w:rPr>
                <w:sz w:val="20"/>
              </w:rPr>
              <w:t>Legally operating provider (license not required)</w:t>
            </w:r>
          </w:p>
        </w:tc>
        <w:tc>
          <w:tcPr>
            <w:tcW w:w="11254" w:type="dxa"/>
          </w:tcPr>
          <w:p w:rsidR="00DC0196" w14:paraId="021E37B1" w14:textId="77777777">
            <w:pPr>
              <w:pStyle w:val="TableParagraph"/>
              <w:tabs>
                <w:tab w:val="left" w:leader="dot" w:pos="7931"/>
              </w:tabs>
              <w:spacing w:before="3"/>
              <w:ind w:right="174"/>
              <w:rPr>
                <w:sz w:val="20"/>
              </w:rPr>
            </w:pPr>
            <w:r>
              <w:rPr>
                <w:sz w:val="20"/>
              </w:rPr>
              <w:t xml:space="preserve">For reporting purposes, a legally operating, unregulated provider is one that, </w:t>
            </w:r>
            <w:r>
              <w:rPr>
                <w:spacing w:val="-3"/>
                <w:sz w:val="20"/>
              </w:rPr>
              <w:t xml:space="preserve">if not </w:t>
            </w:r>
            <w:r>
              <w:rPr>
                <w:sz w:val="20"/>
              </w:rPr>
              <w:t>participating in the CCDF program, would not be subject to any state or local child care regulations. According to § 98.2 of the CCDBG regulations, "Licensing or regulatory requirements means requirements necessary for a provider to legally provide child care services in a State or locality, including registration requirements established under State, local or</w:t>
            </w:r>
            <w:r>
              <w:rPr>
                <w:spacing w:val="-25"/>
                <w:sz w:val="20"/>
              </w:rPr>
              <w:t xml:space="preserve"> </w:t>
            </w:r>
            <w:r>
              <w:rPr>
                <w:sz w:val="20"/>
              </w:rPr>
              <w:t>Tribal</w:t>
            </w:r>
            <w:r>
              <w:rPr>
                <w:spacing w:val="-4"/>
                <w:sz w:val="20"/>
              </w:rPr>
              <w:t xml:space="preserve"> </w:t>
            </w:r>
            <w:r>
              <w:rPr>
                <w:spacing w:val="-3"/>
                <w:sz w:val="20"/>
              </w:rPr>
              <w:t>law</w:t>
            </w:r>
            <w:r>
              <w:rPr>
                <w:spacing w:val="-3"/>
                <w:sz w:val="20"/>
              </w:rPr>
              <w:tab/>
            </w:r>
            <w:r>
              <w:rPr>
                <w:sz w:val="20"/>
              </w:rPr>
              <w:t>"</w:t>
            </w:r>
          </w:p>
        </w:tc>
      </w:tr>
      <w:tr w14:paraId="2A6EFA4B" w14:textId="77777777">
        <w:tblPrEx>
          <w:tblW w:w="0" w:type="auto"/>
          <w:tblInd w:w="130" w:type="dxa"/>
          <w:tblLayout w:type="fixed"/>
          <w:tblCellMar>
            <w:left w:w="0" w:type="dxa"/>
            <w:right w:w="0" w:type="dxa"/>
          </w:tblCellMar>
          <w:tblLook w:val="01E0"/>
        </w:tblPrEx>
        <w:trPr>
          <w:trHeight w:val="460"/>
        </w:trPr>
        <w:tc>
          <w:tcPr>
            <w:tcW w:w="3351" w:type="dxa"/>
          </w:tcPr>
          <w:p w:rsidR="00DC0196" w14:paraId="4D73999D" w14:textId="77777777">
            <w:pPr>
              <w:pStyle w:val="TableParagraph"/>
              <w:spacing w:before="3"/>
              <w:rPr>
                <w:sz w:val="20"/>
              </w:rPr>
            </w:pPr>
            <w:r>
              <w:rPr>
                <w:sz w:val="20"/>
              </w:rPr>
              <w:t>Child’s Home</w:t>
            </w:r>
          </w:p>
        </w:tc>
        <w:tc>
          <w:tcPr>
            <w:tcW w:w="11254" w:type="dxa"/>
          </w:tcPr>
          <w:p w:rsidR="00DC0196" w14:paraId="66D8E8FC" w14:textId="77777777">
            <w:pPr>
              <w:pStyle w:val="TableParagraph"/>
              <w:spacing w:before="3"/>
              <w:rPr>
                <w:sz w:val="20"/>
              </w:rPr>
            </w:pPr>
            <w:r>
              <w:rPr>
                <w:sz w:val="20"/>
              </w:rPr>
              <w:t>Care provided by a caregiver in the child’s own home.</w:t>
            </w:r>
          </w:p>
        </w:tc>
      </w:tr>
      <w:tr w14:paraId="1A51771C" w14:textId="77777777">
        <w:tblPrEx>
          <w:tblW w:w="0" w:type="auto"/>
          <w:tblInd w:w="130" w:type="dxa"/>
          <w:tblLayout w:type="fixed"/>
          <w:tblCellMar>
            <w:left w:w="0" w:type="dxa"/>
            <w:right w:w="0" w:type="dxa"/>
          </w:tblCellMar>
          <w:tblLook w:val="01E0"/>
        </w:tblPrEx>
        <w:trPr>
          <w:trHeight w:val="690"/>
        </w:trPr>
        <w:tc>
          <w:tcPr>
            <w:tcW w:w="3351" w:type="dxa"/>
          </w:tcPr>
          <w:p w:rsidR="00DC0196" w14:paraId="7E84D48D" w14:textId="77777777">
            <w:pPr>
              <w:pStyle w:val="TableParagraph"/>
              <w:rPr>
                <w:sz w:val="20"/>
              </w:rPr>
            </w:pPr>
            <w:r>
              <w:rPr>
                <w:sz w:val="20"/>
              </w:rPr>
              <w:t>Family Home</w:t>
            </w:r>
          </w:p>
        </w:tc>
        <w:tc>
          <w:tcPr>
            <w:tcW w:w="11254" w:type="dxa"/>
          </w:tcPr>
          <w:p w:rsidR="00DC0196" w14:paraId="48DB2619" w14:textId="77777777">
            <w:pPr>
              <w:pStyle w:val="TableParagraph"/>
              <w:ind w:right="147"/>
              <w:rPr>
                <w:sz w:val="20"/>
              </w:rPr>
            </w:pPr>
            <w:r>
              <w:rPr>
                <w:sz w:val="20"/>
              </w:rPr>
              <w:t>Care provided by one individual in a private residence other than the child's own residence for fewer than 24 hours per day per child.</w:t>
            </w:r>
          </w:p>
        </w:tc>
      </w:tr>
      <w:tr w14:paraId="1F144A02" w14:textId="77777777">
        <w:tblPrEx>
          <w:tblW w:w="0" w:type="auto"/>
          <w:tblInd w:w="130" w:type="dxa"/>
          <w:tblLayout w:type="fixed"/>
          <w:tblCellMar>
            <w:left w:w="0" w:type="dxa"/>
            <w:right w:w="0" w:type="dxa"/>
          </w:tblCellMar>
          <w:tblLook w:val="01E0"/>
        </w:tblPrEx>
        <w:trPr>
          <w:trHeight w:val="690"/>
        </w:trPr>
        <w:tc>
          <w:tcPr>
            <w:tcW w:w="3351" w:type="dxa"/>
          </w:tcPr>
          <w:p w:rsidR="00DC0196" w14:paraId="42532179" w14:textId="77777777">
            <w:pPr>
              <w:pStyle w:val="TableParagraph"/>
              <w:spacing w:before="3"/>
              <w:rPr>
                <w:sz w:val="20"/>
              </w:rPr>
            </w:pPr>
            <w:r>
              <w:rPr>
                <w:sz w:val="20"/>
              </w:rPr>
              <w:t>Group Home</w:t>
            </w:r>
          </w:p>
        </w:tc>
        <w:tc>
          <w:tcPr>
            <w:tcW w:w="11254" w:type="dxa"/>
          </w:tcPr>
          <w:p w:rsidR="00DC0196" w14:paraId="0A37F08F" w14:textId="77777777">
            <w:pPr>
              <w:pStyle w:val="TableParagraph"/>
              <w:spacing w:before="3"/>
              <w:ind w:right="174"/>
              <w:rPr>
                <w:sz w:val="20"/>
              </w:rPr>
            </w:pPr>
            <w:r>
              <w:rPr>
                <w:sz w:val="20"/>
              </w:rPr>
              <w:t>Care provided by two or more individuals in a private residence other than the child's own residence for fewer than 24 hours per day per child.</w:t>
            </w:r>
          </w:p>
        </w:tc>
      </w:tr>
      <w:tr w14:paraId="4383F6A8" w14:textId="77777777">
        <w:tblPrEx>
          <w:tblW w:w="0" w:type="auto"/>
          <w:tblInd w:w="130" w:type="dxa"/>
          <w:tblLayout w:type="fixed"/>
          <w:tblCellMar>
            <w:left w:w="0" w:type="dxa"/>
            <w:right w:w="0" w:type="dxa"/>
          </w:tblCellMar>
          <w:tblLook w:val="01E0"/>
        </w:tblPrEx>
        <w:trPr>
          <w:trHeight w:val="460"/>
        </w:trPr>
        <w:tc>
          <w:tcPr>
            <w:tcW w:w="3351" w:type="dxa"/>
          </w:tcPr>
          <w:p w:rsidR="00DC0196" w14:paraId="68680112" w14:textId="77777777">
            <w:pPr>
              <w:pStyle w:val="TableParagraph"/>
              <w:rPr>
                <w:sz w:val="20"/>
              </w:rPr>
            </w:pPr>
            <w:r>
              <w:rPr>
                <w:sz w:val="20"/>
              </w:rPr>
              <w:t>Center</w:t>
            </w:r>
          </w:p>
        </w:tc>
        <w:tc>
          <w:tcPr>
            <w:tcW w:w="11254" w:type="dxa"/>
          </w:tcPr>
          <w:p w:rsidR="00DC0196" w14:paraId="78FE0147" w14:textId="77777777">
            <w:pPr>
              <w:pStyle w:val="TableParagraph"/>
              <w:rPr>
                <w:sz w:val="20"/>
              </w:rPr>
            </w:pPr>
            <w:r>
              <w:rPr>
                <w:sz w:val="20"/>
              </w:rPr>
              <w:t>Care provided in a center-based setting, including programs in schools or churches.</w:t>
            </w:r>
          </w:p>
        </w:tc>
      </w:tr>
      <w:tr w14:paraId="35D8A67E" w14:textId="77777777">
        <w:tblPrEx>
          <w:tblW w:w="0" w:type="auto"/>
          <w:tblInd w:w="130" w:type="dxa"/>
          <w:tblLayout w:type="fixed"/>
          <w:tblCellMar>
            <w:left w:w="0" w:type="dxa"/>
            <w:right w:w="0" w:type="dxa"/>
          </w:tblCellMar>
          <w:tblLook w:val="01E0"/>
        </w:tblPrEx>
        <w:trPr>
          <w:trHeight w:val="460"/>
        </w:trPr>
        <w:tc>
          <w:tcPr>
            <w:tcW w:w="3351" w:type="dxa"/>
          </w:tcPr>
          <w:p w:rsidR="00DC0196" w14:paraId="389A5A3B" w14:textId="77777777">
            <w:pPr>
              <w:pStyle w:val="TableParagraph"/>
              <w:rPr>
                <w:sz w:val="20"/>
              </w:rPr>
            </w:pPr>
            <w:r>
              <w:rPr>
                <w:sz w:val="20"/>
              </w:rPr>
              <w:t>Relative</w:t>
            </w:r>
          </w:p>
        </w:tc>
        <w:tc>
          <w:tcPr>
            <w:tcW w:w="11254" w:type="dxa"/>
          </w:tcPr>
          <w:p w:rsidR="00DC0196" w14:paraId="1484630D" w14:textId="77777777">
            <w:pPr>
              <w:pStyle w:val="TableParagraph"/>
              <w:rPr>
                <w:sz w:val="20"/>
              </w:rPr>
            </w:pPr>
            <w:r>
              <w:rPr>
                <w:sz w:val="20"/>
              </w:rPr>
              <w:t>A provider who is a grandparent, great-grandparent, aunt or uncle, or sibling living outside the child’s home.</w:t>
            </w:r>
          </w:p>
        </w:tc>
      </w:tr>
    </w:tbl>
    <w:p w:rsidR="00DC0196" w14:paraId="5377EF29" w14:textId="77777777">
      <w:pPr>
        <w:pStyle w:val="BodyText"/>
        <w:rPr>
          <w:sz w:val="12"/>
        </w:rPr>
      </w:pPr>
    </w:p>
    <w:p w:rsidR="00DC0196" w14:paraId="3B1EEB5C" w14:textId="56E246C5">
      <w:pPr>
        <w:pStyle w:val="BodyText"/>
        <w:spacing w:before="94"/>
        <w:ind w:left="235" w:right="209"/>
      </w:pPr>
      <w:r>
        <w:t xml:space="preserve">The Paperwork Reduction Act of 1995 -- Public reporting burden for this data collection of information is estimated to average 40 hours per response, including the time for reviewing instructions, </w:t>
      </w:r>
      <w:r>
        <w:t>gathering</w:t>
      </w:r>
      <w:r>
        <w:t xml:space="preserve"> and maintaining data needed, and reviewing the collection of information.</w:t>
      </w:r>
    </w:p>
    <w:p w:rsidR="00DC0196" w14:paraId="2C37FEBE" w14:textId="77777777">
      <w:pPr>
        <w:pStyle w:val="BodyText"/>
      </w:pPr>
    </w:p>
    <w:p w:rsidR="00DC0196" w14:paraId="7B347C16" w14:textId="77777777">
      <w:pPr>
        <w:pStyle w:val="BodyText"/>
        <w:spacing w:before="1"/>
        <w:ind w:left="235"/>
      </w:pPr>
      <w:r>
        <w:t>An agency may not conduct or sponsor, and a person is not required to respond to, a collection of information unless it displays a currently valid OMB control number.</w:t>
      </w:r>
    </w:p>
    <w:p w:rsidR="00DC0196" w14:paraId="2789599F" w14:textId="77777777">
      <w:pPr>
        <w:pStyle w:val="BodyText"/>
        <w:spacing w:before="11"/>
        <w:rPr>
          <w:sz w:val="19"/>
        </w:rPr>
      </w:pPr>
    </w:p>
    <w:p w:rsidR="00DC0196" w14:paraId="5B3FE587" w14:textId="423F3875">
      <w:pPr>
        <w:ind w:left="235"/>
        <w:rPr>
          <w:b/>
          <w:sz w:val="20"/>
        </w:rPr>
      </w:pPr>
      <w:r>
        <w:rPr>
          <w:b/>
          <w:sz w:val="20"/>
        </w:rPr>
        <w:t xml:space="preserve">OMB Approval Number: 0970-0150 Expires: </w:t>
      </w:r>
      <w:r w:rsidR="000365F3">
        <w:rPr>
          <w:b/>
          <w:sz w:val="20"/>
        </w:rPr>
        <w:t>XXXXX</w:t>
      </w:r>
    </w:p>
    <w:sectPr>
      <w:pgSz w:w="15840" w:h="12240" w:orient="landscape"/>
      <w:pgMar w:top="660" w:right="380" w:bottom="1080" w:left="340" w:header="0" w:footer="8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96" w14:paraId="094C9859" w14:textId="77777777">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9607550</wp:posOffset>
              </wp:positionH>
              <wp:positionV relativeFrom="page">
                <wp:posOffset>7017385</wp:posOffset>
              </wp:positionV>
              <wp:extent cx="114300" cy="166370"/>
              <wp:effectExtent l="0"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0196" w14:textId="36880B5D">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3.1pt;margin-top:552.55pt;margin-left:75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C0196" w14:paraId="41ED04FD" w14:textId="36880B5D">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E5E96"/>
    <w:multiLevelType w:val="hybridMultilevel"/>
    <w:tmpl w:val="080294F4"/>
    <w:lvl w:ilvl="0">
      <w:start w:val="1"/>
      <w:numFmt w:val="decimal"/>
      <w:lvlText w:val="%1."/>
      <w:lvlJc w:val="left"/>
      <w:pPr>
        <w:ind w:left="472" w:hanging="36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1">
    <w:nsid w:val="46C94798"/>
    <w:multiLevelType w:val="hybridMultilevel"/>
    <w:tmpl w:val="C7EAE510"/>
    <w:lvl w:ilvl="0">
      <w:start w:val="1"/>
      <w:numFmt w:val="bullet"/>
      <w:lvlText w:val="□"/>
      <w:lvlJc w:val="left"/>
      <w:pPr>
        <w:ind w:left="1192" w:hanging="360"/>
      </w:pPr>
      <w:rPr>
        <w:rFonts w:ascii="Calibri" w:hAnsi="Calibri" w:hint="default"/>
      </w:rPr>
    </w:lvl>
    <w:lvl w:ilvl="1">
      <w:start w:val="1"/>
      <w:numFmt w:val="bullet"/>
      <w:lvlText w:val="□"/>
      <w:lvlJc w:val="left"/>
      <w:pPr>
        <w:ind w:left="1912" w:hanging="360"/>
      </w:pPr>
      <w:rPr>
        <w:rFonts w:ascii="Calibri" w:hAnsi="Calibri" w:hint="default"/>
      </w:rPr>
    </w:lvl>
    <w:lvl w:ilvl="2" w:tentative="1">
      <w:start w:val="1"/>
      <w:numFmt w:val="bullet"/>
      <w:lvlText w:val=""/>
      <w:lvlJc w:val="left"/>
      <w:pPr>
        <w:ind w:left="2632" w:hanging="360"/>
      </w:pPr>
      <w:rPr>
        <w:rFonts w:ascii="Wingdings" w:hAnsi="Wingdings" w:hint="default"/>
      </w:rPr>
    </w:lvl>
    <w:lvl w:ilvl="3" w:tentative="1">
      <w:start w:val="1"/>
      <w:numFmt w:val="bullet"/>
      <w:lvlText w:val=""/>
      <w:lvlJc w:val="left"/>
      <w:pPr>
        <w:ind w:left="3352" w:hanging="360"/>
      </w:pPr>
      <w:rPr>
        <w:rFonts w:ascii="Symbol" w:hAnsi="Symbol" w:hint="default"/>
      </w:rPr>
    </w:lvl>
    <w:lvl w:ilvl="4" w:tentative="1">
      <w:start w:val="1"/>
      <w:numFmt w:val="bullet"/>
      <w:lvlText w:val="o"/>
      <w:lvlJc w:val="left"/>
      <w:pPr>
        <w:ind w:left="4072" w:hanging="360"/>
      </w:pPr>
      <w:rPr>
        <w:rFonts w:ascii="Courier New" w:hAnsi="Courier New" w:cs="Courier New" w:hint="default"/>
      </w:rPr>
    </w:lvl>
    <w:lvl w:ilvl="5" w:tentative="1">
      <w:start w:val="1"/>
      <w:numFmt w:val="bullet"/>
      <w:lvlText w:val=""/>
      <w:lvlJc w:val="left"/>
      <w:pPr>
        <w:ind w:left="4792" w:hanging="360"/>
      </w:pPr>
      <w:rPr>
        <w:rFonts w:ascii="Wingdings" w:hAnsi="Wingdings" w:hint="default"/>
      </w:rPr>
    </w:lvl>
    <w:lvl w:ilvl="6" w:tentative="1">
      <w:start w:val="1"/>
      <w:numFmt w:val="bullet"/>
      <w:lvlText w:val=""/>
      <w:lvlJc w:val="left"/>
      <w:pPr>
        <w:ind w:left="5512" w:hanging="360"/>
      </w:pPr>
      <w:rPr>
        <w:rFonts w:ascii="Symbol" w:hAnsi="Symbol" w:hint="default"/>
      </w:rPr>
    </w:lvl>
    <w:lvl w:ilvl="7" w:tentative="1">
      <w:start w:val="1"/>
      <w:numFmt w:val="bullet"/>
      <w:lvlText w:val="o"/>
      <w:lvlJc w:val="left"/>
      <w:pPr>
        <w:ind w:left="6232" w:hanging="360"/>
      </w:pPr>
      <w:rPr>
        <w:rFonts w:ascii="Courier New" w:hAnsi="Courier New" w:cs="Courier New" w:hint="default"/>
      </w:rPr>
    </w:lvl>
    <w:lvl w:ilvl="8" w:tentative="1">
      <w:start w:val="1"/>
      <w:numFmt w:val="bullet"/>
      <w:lvlText w:val=""/>
      <w:lvlJc w:val="left"/>
      <w:pPr>
        <w:ind w:left="6952" w:hanging="360"/>
      </w:pPr>
      <w:rPr>
        <w:rFonts w:ascii="Wingdings" w:hAnsi="Wingdings" w:hint="default"/>
      </w:rPr>
    </w:lvl>
  </w:abstractNum>
  <w:abstractNum w:abstractNumId="2">
    <w:nsid w:val="4E500D06"/>
    <w:multiLevelType w:val="hybridMultilevel"/>
    <w:tmpl w:val="9EB06310"/>
    <w:lvl w:ilvl="0">
      <w:start w:val="1"/>
      <w:numFmt w:val="decimal"/>
      <w:lvlText w:val="%1."/>
      <w:lvlJc w:val="left"/>
      <w:pPr>
        <w:ind w:left="472" w:hanging="36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3">
    <w:nsid w:val="5BA1701D"/>
    <w:multiLevelType w:val="multilevel"/>
    <w:tmpl w:val="ADD08D82"/>
    <w:lvl w:ilvl="0">
      <w:start w:val="15"/>
      <w:numFmt w:val="decimal"/>
      <w:lvlText w:val="%1-"/>
      <w:lvlJc w:val="left"/>
      <w:pPr>
        <w:ind w:left="460" w:hanging="460"/>
      </w:pPr>
      <w:rPr>
        <w:rFonts w:eastAsia="Times New Roman" w:hint="default"/>
      </w:rPr>
    </w:lvl>
    <w:lvl w:ilvl="1">
      <w:start w:val="2"/>
      <w:numFmt w:val="decimal"/>
      <w:lvlText w:val="%1-%2."/>
      <w:lvlJc w:val="left"/>
      <w:pPr>
        <w:ind w:left="572" w:hanging="460"/>
      </w:pPr>
      <w:rPr>
        <w:rFonts w:eastAsia="Times New Roman" w:hint="default"/>
      </w:rPr>
    </w:lvl>
    <w:lvl w:ilvl="2">
      <w:start w:val="1"/>
      <w:numFmt w:val="decimal"/>
      <w:lvlText w:val="%1-%2.%3."/>
      <w:lvlJc w:val="left"/>
      <w:pPr>
        <w:ind w:left="944" w:hanging="720"/>
      </w:pPr>
      <w:rPr>
        <w:rFonts w:eastAsia="Times New Roman" w:hint="default"/>
      </w:rPr>
    </w:lvl>
    <w:lvl w:ilvl="3">
      <w:start w:val="1"/>
      <w:numFmt w:val="decimal"/>
      <w:lvlText w:val="%1-%2.%3.%4."/>
      <w:lvlJc w:val="left"/>
      <w:pPr>
        <w:ind w:left="1056" w:hanging="720"/>
      </w:pPr>
      <w:rPr>
        <w:rFonts w:eastAsia="Times New Roman" w:hint="default"/>
      </w:rPr>
    </w:lvl>
    <w:lvl w:ilvl="4">
      <w:start w:val="1"/>
      <w:numFmt w:val="decimal"/>
      <w:lvlText w:val="%1-%2.%3.%4.%5."/>
      <w:lvlJc w:val="left"/>
      <w:pPr>
        <w:ind w:left="1528" w:hanging="1080"/>
      </w:pPr>
      <w:rPr>
        <w:rFonts w:eastAsia="Times New Roman" w:hint="default"/>
      </w:rPr>
    </w:lvl>
    <w:lvl w:ilvl="5">
      <w:start w:val="1"/>
      <w:numFmt w:val="decimal"/>
      <w:lvlText w:val="%1-%2.%3.%4.%5.%6."/>
      <w:lvlJc w:val="left"/>
      <w:pPr>
        <w:ind w:left="1640" w:hanging="1080"/>
      </w:pPr>
      <w:rPr>
        <w:rFonts w:eastAsia="Times New Roman" w:hint="default"/>
      </w:rPr>
    </w:lvl>
    <w:lvl w:ilvl="6">
      <w:start w:val="1"/>
      <w:numFmt w:val="decimal"/>
      <w:lvlText w:val="%1-%2.%3.%4.%5.%6.%7."/>
      <w:lvlJc w:val="left"/>
      <w:pPr>
        <w:ind w:left="2112" w:hanging="1440"/>
      </w:pPr>
      <w:rPr>
        <w:rFonts w:eastAsia="Times New Roman" w:hint="default"/>
      </w:rPr>
    </w:lvl>
    <w:lvl w:ilvl="7">
      <w:start w:val="1"/>
      <w:numFmt w:val="decimal"/>
      <w:lvlText w:val="%1-%2.%3.%4.%5.%6.%7.%8."/>
      <w:lvlJc w:val="left"/>
      <w:pPr>
        <w:ind w:left="2224" w:hanging="1440"/>
      </w:pPr>
      <w:rPr>
        <w:rFonts w:eastAsia="Times New Roman" w:hint="default"/>
      </w:rPr>
    </w:lvl>
    <w:lvl w:ilvl="8">
      <w:start w:val="1"/>
      <w:numFmt w:val="decimal"/>
      <w:lvlText w:val="%1-%2.%3.%4.%5.%6.%7.%8.%9."/>
      <w:lvlJc w:val="left"/>
      <w:pPr>
        <w:ind w:left="2696" w:hanging="1800"/>
      </w:pPr>
      <w:rPr>
        <w:rFonts w:eastAsia="Times New Roman" w:hint="default"/>
      </w:rPr>
    </w:lvl>
  </w:abstractNum>
  <w:abstractNum w:abstractNumId="4">
    <w:nsid w:val="6FD33BF1"/>
    <w:multiLevelType w:val="hybridMultilevel"/>
    <w:tmpl w:val="F2B25070"/>
    <w:lvl w:ilvl="0">
      <w:start w:val="1"/>
      <w:numFmt w:val="decimal"/>
      <w:lvlText w:val="%1."/>
      <w:lvlJc w:val="left"/>
      <w:pPr>
        <w:ind w:left="472" w:hanging="36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num w:numId="1" w16cid:durableId="54427576">
    <w:abstractNumId w:val="4"/>
  </w:num>
  <w:num w:numId="2" w16cid:durableId="655257067">
    <w:abstractNumId w:val="0"/>
  </w:num>
  <w:num w:numId="3" w16cid:durableId="1853491141">
    <w:abstractNumId w:val="2"/>
  </w:num>
  <w:num w:numId="4" w16cid:durableId="575045222">
    <w:abstractNumId w:val="1"/>
  </w:num>
  <w:num w:numId="5" w16cid:durableId="73702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96"/>
    <w:rsid w:val="0000279F"/>
    <w:rsid w:val="00005D8F"/>
    <w:rsid w:val="0001169B"/>
    <w:rsid w:val="00016079"/>
    <w:rsid w:val="00027696"/>
    <w:rsid w:val="00034870"/>
    <w:rsid w:val="000365F3"/>
    <w:rsid w:val="000431D6"/>
    <w:rsid w:val="000438A6"/>
    <w:rsid w:val="000439FB"/>
    <w:rsid w:val="000502A3"/>
    <w:rsid w:val="0005333B"/>
    <w:rsid w:val="000571E8"/>
    <w:rsid w:val="000627E7"/>
    <w:rsid w:val="00066A3C"/>
    <w:rsid w:val="000825A1"/>
    <w:rsid w:val="0009146E"/>
    <w:rsid w:val="00091B65"/>
    <w:rsid w:val="000A12E2"/>
    <w:rsid w:val="000A1C43"/>
    <w:rsid w:val="000A7933"/>
    <w:rsid w:val="000B3165"/>
    <w:rsid w:val="000B5AEC"/>
    <w:rsid w:val="000C16D9"/>
    <w:rsid w:val="000C7F58"/>
    <w:rsid w:val="000E06B6"/>
    <w:rsid w:val="000E41B3"/>
    <w:rsid w:val="000E635B"/>
    <w:rsid w:val="000F60E1"/>
    <w:rsid w:val="000F6909"/>
    <w:rsid w:val="000F7872"/>
    <w:rsid w:val="001058FD"/>
    <w:rsid w:val="00115C92"/>
    <w:rsid w:val="00123A34"/>
    <w:rsid w:val="00123E9D"/>
    <w:rsid w:val="0012645D"/>
    <w:rsid w:val="001267C5"/>
    <w:rsid w:val="00142814"/>
    <w:rsid w:val="001614C9"/>
    <w:rsid w:val="0016411A"/>
    <w:rsid w:val="00165F20"/>
    <w:rsid w:val="00167A13"/>
    <w:rsid w:val="001725EB"/>
    <w:rsid w:val="00172908"/>
    <w:rsid w:val="00172A60"/>
    <w:rsid w:val="00181E46"/>
    <w:rsid w:val="00184692"/>
    <w:rsid w:val="00192848"/>
    <w:rsid w:val="0019451C"/>
    <w:rsid w:val="00196E6F"/>
    <w:rsid w:val="00197C84"/>
    <w:rsid w:val="001A3B98"/>
    <w:rsid w:val="001A489E"/>
    <w:rsid w:val="001B3195"/>
    <w:rsid w:val="001B54E8"/>
    <w:rsid w:val="001B75F6"/>
    <w:rsid w:val="001C07F6"/>
    <w:rsid w:val="001C08E6"/>
    <w:rsid w:val="001C6ED4"/>
    <w:rsid w:val="001E11D4"/>
    <w:rsid w:val="001E50E9"/>
    <w:rsid w:val="001E6719"/>
    <w:rsid w:val="001F105A"/>
    <w:rsid w:val="001F32B6"/>
    <w:rsid w:val="001F3B50"/>
    <w:rsid w:val="001F67E4"/>
    <w:rsid w:val="002004D7"/>
    <w:rsid w:val="00201A61"/>
    <w:rsid w:val="00202E79"/>
    <w:rsid w:val="00205D20"/>
    <w:rsid w:val="00206B9B"/>
    <w:rsid w:val="00207804"/>
    <w:rsid w:val="00210529"/>
    <w:rsid w:val="002170BD"/>
    <w:rsid w:val="0021790A"/>
    <w:rsid w:val="00220886"/>
    <w:rsid w:val="00220F77"/>
    <w:rsid w:val="002219E2"/>
    <w:rsid w:val="002319BA"/>
    <w:rsid w:val="00244417"/>
    <w:rsid w:val="0024594D"/>
    <w:rsid w:val="0025044F"/>
    <w:rsid w:val="00252EFE"/>
    <w:rsid w:val="00260928"/>
    <w:rsid w:val="002634D7"/>
    <w:rsid w:val="00266439"/>
    <w:rsid w:val="00277132"/>
    <w:rsid w:val="00283022"/>
    <w:rsid w:val="00283F00"/>
    <w:rsid w:val="002A198F"/>
    <w:rsid w:val="002A2EFD"/>
    <w:rsid w:val="002A656B"/>
    <w:rsid w:val="002B61B9"/>
    <w:rsid w:val="002D34BA"/>
    <w:rsid w:val="002E393A"/>
    <w:rsid w:val="002F1F3E"/>
    <w:rsid w:val="002F2D50"/>
    <w:rsid w:val="002F620E"/>
    <w:rsid w:val="003124E0"/>
    <w:rsid w:val="003128CB"/>
    <w:rsid w:val="0031353B"/>
    <w:rsid w:val="003309E9"/>
    <w:rsid w:val="00331F20"/>
    <w:rsid w:val="003322EB"/>
    <w:rsid w:val="00341F7C"/>
    <w:rsid w:val="00343FCE"/>
    <w:rsid w:val="003459A1"/>
    <w:rsid w:val="00346418"/>
    <w:rsid w:val="00354778"/>
    <w:rsid w:val="00354835"/>
    <w:rsid w:val="003548B5"/>
    <w:rsid w:val="0035492C"/>
    <w:rsid w:val="003556B0"/>
    <w:rsid w:val="00355A15"/>
    <w:rsid w:val="003628E0"/>
    <w:rsid w:val="003666E1"/>
    <w:rsid w:val="00376F35"/>
    <w:rsid w:val="00394D6B"/>
    <w:rsid w:val="00396BAE"/>
    <w:rsid w:val="003A4804"/>
    <w:rsid w:val="003A5E41"/>
    <w:rsid w:val="003B5116"/>
    <w:rsid w:val="003B78A5"/>
    <w:rsid w:val="003C0C2B"/>
    <w:rsid w:val="003C14EF"/>
    <w:rsid w:val="003C3208"/>
    <w:rsid w:val="003C633A"/>
    <w:rsid w:val="003D065F"/>
    <w:rsid w:val="003D0D43"/>
    <w:rsid w:val="003E0C7D"/>
    <w:rsid w:val="003E2EC2"/>
    <w:rsid w:val="004012F1"/>
    <w:rsid w:val="00407CC1"/>
    <w:rsid w:val="00415C77"/>
    <w:rsid w:val="00420858"/>
    <w:rsid w:val="00425FCE"/>
    <w:rsid w:val="0043009D"/>
    <w:rsid w:val="0043020C"/>
    <w:rsid w:val="00446249"/>
    <w:rsid w:val="00453AA1"/>
    <w:rsid w:val="00465068"/>
    <w:rsid w:val="004659F3"/>
    <w:rsid w:val="004661F4"/>
    <w:rsid w:val="00471A14"/>
    <w:rsid w:val="0047450F"/>
    <w:rsid w:val="0048163D"/>
    <w:rsid w:val="00481BC2"/>
    <w:rsid w:val="00494B18"/>
    <w:rsid w:val="00494C70"/>
    <w:rsid w:val="004A62FF"/>
    <w:rsid w:val="004B20FF"/>
    <w:rsid w:val="004B5883"/>
    <w:rsid w:val="004C18F2"/>
    <w:rsid w:val="004C2745"/>
    <w:rsid w:val="004C5CF6"/>
    <w:rsid w:val="004C7A06"/>
    <w:rsid w:val="004E3993"/>
    <w:rsid w:val="004E4C30"/>
    <w:rsid w:val="004F171B"/>
    <w:rsid w:val="00507E1D"/>
    <w:rsid w:val="005118EF"/>
    <w:rsid w:val="00523D33"/>
    <w:rsid w:val="00526DF3"/>
    <w:rsid w:val="00531BE3"/>
    <w:rsid w:val="0054153B"/>
    <w:rsid w:val="00544BD5"/>
    <w:rsid w:val="005514FE"/>
    <w:rsid w:val="0055298F"/>
    <w:rsid w:val="00557872"/>
    <w:rsid w:val="00560B40"/>
    <w:rsid w:val="0057186F"/>
    <w:rsid w:val="00571B2A"/>
    <w:rsid w:val="0057709D"/>
    <w:rsid w:val="00591FDE"/>
    <w:rsid w:val="005962DA"/>
    <w:rsid w:val="0059689C"/>
    <w:rsid w:val="00597264"/>
    <w:rsid w:val="005A1FA3"/>
    <w:rsid w:val="005A2F3F"/>
    <w:rsid w:val="005B40CB"/>
    <w:rsid w:val="005C04D4"/>
    <w:rsid w:val="005C2A3E"/>
    <w:rsid w:val="005C3739"/>
    <w:rsid w:val="005E5554"/>
    <w:rsid w:val="005F246A"/>
    <w:rsid w:val="005F5F9B"/>
    <w:rsid w:val="00611113"/>
    <w:rsid w:val="006137C4"/>
    <w:rsid w:val="00616030"/>
    <w:rsid w:val="00625E92"/>
    <w:rsid w:val="006327FE"/>
    <w:rsid w:val="00640009"/>
    <w:rsid w:val="00645C03"/>
    <w:rsid w:val="00651395"/>
    <w:rsid w:val="006570F0"/>
    <w:rsid w:val="00674C42"/>
    <w:rsid w:val="00674E60"/>
    <w:rsid w:val="00676289"/>
    <w:rsid w:val="00682999"/>
    <w:rsid w:val="00684E7F"/>
    <w:rsid w:val="00685DF6"/>
    <w:rsid w:val="00687D91"/>
    <w:rsid w:val="00693017"/>
    <w:rsid w:val="006932A2"/>
    <w:rsid w:val="006B0014"/>
    <w:rsid w:val="006B6DBC"/>
    <w:rsid w:val="006D0CFD"/>
    <w:rsid w:val="006D7E73"/>
    <w:rsid w:val="006E0A46"/>
    <w:rsid w:val="006F1954"/>
    <w:rsid w:val="00704823"/>
    <w:rsid w:val="0070647A"/>
    <w:rsid w:val="007076F3"/>
    <w:rsid w:val="007113AF"/>
    <w:rsid w:val="00722C71"/>
    <w:rsid w:val="0072316A"/>
    <w:rsid w:val="00724A11"/>
    <w:rsid w:val="00732347"/>
    <w:rsid w:val="00732903"/>
    <w:rsid w:val="007375AC"/>
    <w:rsid w:val="007421C3"/>
    <w:rsid w:val="00746893"/>
    <w:rsid w:val="00794EDD"/>
    <w:rsid w:val="007959CA"/>
    <w:rsid w:val="00797FFD"/>
    <w:rsid w:val="007B17C1"/>
    <w:rsid w:val="007C240E"/>
    <w:rsid w:val="007C38FC"/>
    <w:rsid w:val="007C532C"/>
    <w:rsid w:val="007C6025"/>
    <w:rsid w:val="007C7311"/>
    <w:rsid w:val="007D21CC"/>
    <w:rsid w:val="007E5015"/>
    <w:rsid w:val="007F1728"/>
    <w:rsid w:val="007F3379"/>
    <w:rsid w:val="00807C3B"/>
    <w:rsid w:val="00814B5E"/>
    <w:rsid w:val="008161F4"/>
    <w:rsid w:val="00816701"/>
    <w:rsid w:val="00816B8B"/>
    <w:rsid w:val="0082437C"/>
    <w:rsid w:val="008378F2"/>
    <w:rsid w:val="00845697"/>
    <w:rsid w:val="00846CE5"/>
    <w:rsid w:val="00847DA2"/>
    <w:rsid w:val="008504A5"/>
    <w:rsid w:val="00850B01"/>
    <w:rsid w:val="00854406"/>
    <w:rsid w:val="0085762F"/>
    <w:rsid w:val="008654F4"/>
    <w:rsid w:val="0087653C"/>
    <w:rsid w:val="0087683C"/>
    <w:rsid w:val="00880F3E"/>
    <w:rsid w:val="008813A7"/>
    <w:rsid w:val="00883C5B"/>
    <w:rsid w:val="00891CE4"/>
    <w:rsid w:val="00896979"/>
    <w:rsid w:val="008A32B6"/>
    <w:rsid w:val="008B0A48"/>
    <w:rsid w:val="008B1CCB"/>
    <w:rsid w:val="008C1F21"/>
    <w:rsid w:val="008D13E9"/>
    <w:rsid w:val="008D3223"/>
    <w:rsid w:val="008F2570"/>
    <w:rsid w:val="0090103B"/>
    <w:rsid w:val="00904663"/>
    <w:rsid w:val="0091495A"/>
    <w:rsid w:val="00924F58"/>
    <w:rsid w:val="0092724D"/>
    <w:rsid w:val="0093008B"/>
    <w:rsid w:val="00930FE0"/>
    <w:rsid w:val="00934F8A"/>
    <w:rsid w:val="009377B6"/>
    <w:rsid w:val="00944206"/>
    <w:rsid w:val="00944FB5"/>
    <w:rsid w:val="0095579B"/>
    <w:rsid w:val="00955EB5"/>
    <w:rsid w:val="0099493B"/>
    <w:rsid w:val="009A35FA"/>
    <w:rsid w:val="009A3E1B"/>
    <w:rsid w:val="009A43E8"/>
    <w:rsid w:val="009A6F9F"/>
    <w:rsid w:val="009B11ED"/>
    <w:rsid w:val="009B4748"/>
    <w:rsid w:val="009B5238"/>
    <w:rsid w:val="009C65FB"/>
    <w:rsid w:val="009E308D"/>
    <w:rsid w:val="009F4A6A"/>
    <w:rsid w:val="00A07AE6"/>
    <w:rsid w:val="00A1144B"/>
    <w:rsid w:val="00A31E8D"/>
    <w:rsid w:val="00A347E4"/>
    <w:rsid w:val="00A349A1"/>
    <w:rsid w:val="00A40039"/>
    <w:rsid w:val="00A415AE"/>
    <w:rsid w:val="00A73E5E"/>
    <w:rsid w:val="00A76107"/>
    <w:rsid w:val="00A817E3"/>
    <w:rsid w:val="00A91939"/>
    <w:rsid w:val="00A94CCA"/>
    <w:rsid w:val="00A95DF0"/>
    <w:rsid w:val="00A9719E"/>
    <w:rsid w:val="00A977DC"/>
    <w:rsid w:val="00AA4251"/>
    <w:rsid w:val="00AB025E"/>
    <w:rsid w:val="00AB6134"/>
    <w:rsid w:val="00AC0FAD"/>
    <w:rsid w:val="00AD52E7"/>
    <w:rsid w:val="00AD7DB4"/>
    <w:rsid w:val="00AF1D47"/>
    <w:rsid w:val="00AF7C39"/>
    <w:rsid w:val="00B0443B"/>
    <w:rsid w:val="00B11590"/>
    <w:rsid w:val="00B21B9B"/>
    <w:rsid w:val="00B21C00"/>
    <w:rsid w:val="00B27858"/>
    <w:rsid w:val="00B312B2"/>
    <w:rsid w:val="00B33651"/>
    <w:rsid w:val="00B368D3"/>
    <w:rsid w:val="00B36AFD"/>
    <w:rsid w:val="00B51CE1"/>
    <w:rsid w:val="00B55556"/>
    <w:rsid w:val="00B61F7D"/>
    <w:rsid w:val="00B63444"/>
    <w:rsid w:val="00B701DE"/>
    <w:rsid w:val="00B75BFA"/>
    <w:rsid w:val="00B90692"/>
    <w:rsid w:val="00BA1232"/>
    <w:rsid w:val="00BA55A1"/>
    <w:rsid w:val="00BE1262"/>
    <w:rsid w:val="00BE68A9"/>
    <w:rsid w:val="00BE7442"/>
    <w:rsid w:val="00BF1DDF"/>
    <w:rsid w:val="00BF53CA"/>
    <w:rsid w:val="00BF6CBD"/>
    <w:rsid w:val="00BF7D07"/>
    <w:rsid w:val="00C009D5"/>
    <w:rsid w:val="00C077BD"/>
    <w:rsid w:val="00C07E9C"/>
    <w:rsid w:val="00C12E9E"/>
    <w:rsid w:val="00C15B2C"/>
    <w:rsid w:val="00C2201B"/>
    <w:rsid w:val="00C26DFA"/>
    <w:rsid w:val="00C325F7"/>
    <w:rsid w:val="00C327B0"/>
    <w:rsid w:val="00C32B99"/>
    <w:rsid w:val="00C3414D"/>
    <w:rsid w:val="00C353FB"/>
    <w:rsid w:val="00C408BE"/>
    <w:rsid w:val="00C43ACC"/>
    <w:rsid w:val="00C50477"/>
    <w:rsid w:val="00C5545D"/>
    <w:rsid w:val="00C63414"/>
    <w:rsid w:val="00C812F9"/>
    <w:rsid w:val="00C854D4"/>
    <w:rsid w:val="00C87C26"/>
    <w:rsid w:val="00C95F15"/>
    <w:rsid w:val="00CA13F5"/>
    <w:rsid w:val="00CA52B7"/>
    <w:rsid w:val="00CA6C0A"/>
    <w:rsid w:val="00CB1314"/>
    <w:rsid w:val="00CB1747"/>
    <w:rsid w:val="00CB693C"/>
    <w:rsid w:val="00CC4918"/>
    <w:rsid w:val="00CC5DDB"/>
    <w:rsid w:val="00CD761E"/>
    <w:rsid w:val="00CE0420"/>
    <w:rsid w:val="00CE06F6"/>
    <w:rsid w:val="00D06528"/>
    <w:rsid w:val="00D12F60"/>
    <w:rsid w:val="00D12F79"/>
    <w:rsid w:val="00D27002"/>
    <w:rsid w:val="00D2701E"/>
    <w:rsid w:val="00D31650"/>
    <w:rsid w:val="00D337D4"/>
    <w:rsid w:val="00D33C79"/>
    <w:rsid w:val="00D36670"/>
    <w:rsid w:val="00D36B04"/>
    <w:rsid w:val="00D41BC6"/>
    <w:rsid w:val="00D42E69"/>
    <w:rsid w:val="00D46362"/>
    <w:rsid w:val="00D64E1E"/>
    <w:rsid w:val="00D66B51"/>
    <w:rsid w:val="00D67897"/>
    <w:rsid w:val="00D75A76"/>
    <w:rsid w:val="00D808E6"/>
    <w:rsid w:val="00D80BF7"/>
    <w:rsid w:val="00D80D75"/>
    <w:rsid w:val="00D9222D"/>
    <w:rsid w:val="00D94509"/>
    <w:rsid w:val="00DA70E7"/>
    <w:rsid w:val="00DB3850"/>
    <w:rsid w:val="00DB4CC1"/>
    <w:rsid w:val="00DB6A29"/>
    <w:rsid w:val="00DC0196"/>
    <w:rsid w:val="00DC4F12"/>
    <w:rsid w:val="00DC5019"/>
    <w:rsid w:val="00DC6D0D"/>
    <w:rsid w:val="00DD1D8B"/>
    <w:rsid w:val="00DD4105"/>
    <w:rsid w:val="00DD4B6E"/>
    <w:rsid w:val="00DD7F5B"/>
    <w:rsid w:val="00DE63C4"/>
    <w:rsid w:val="00DF1379"/>
    <w:rsid w:val="00DF22D1"/>
    <w:rsid w:val="00DF4353"/>
    <w:rsid w:val="00DF4F27"/>
    <w:rsid w:val="00E119A8"/>
    <w:rsid w:val="00E17A36"/>
    <w:rsid w:val="00E223EE"/>
    <w:rsid w:val="00E242D1"/>
    <w:rsid w:val="00E3064F"/>
    <w:rsid w:val="00E31D0D"/>
    <w:rsid w:val="00E36A67"/>
    <w:rsid w:val="00E47AB0"/>
    <w:rsid w:val="00E60706"/>
    <w:rsid w:val="00E611B6"/>
    <w:rsid w:val="00E65AA2"/>
    <w:rsid w:val="00E65D4C"/>
    <w:rsid w:val="00E81421"/>
    <w:rsid w:val="00E96A11"/>
    <w:rsid w:val="00E9772B"/>
    <w:rsid w:val="00EA04A2"/>
    <w:rsid w:val="00EA22EA"/>
    <w:rsid w:val="00EA4EEE"/>
    <w:rsid w:val="00EA6DC6"/>
    <w:rsid w:val="00EA7ABC"/>
    <w:rsid w:val="00EB4473"/>
    <w:rsid w:val="00EB51AC"/>
    <w:rsid w:val="00EB63FC"/>
    <w:rsid w:val="00EC1774"/>
    <w:rsid w:val="00EC2997"/>
    <w:rsid w:val="00ED1ED1"/>
    <w:rsid w:val="00ED2805"/>
    <w:rsid w:val="00ED6132"/>
    <w:rsid w:val="00EF07C7"/>
    <w:rsid w:val="00F050DC"/>
    <w:rsid w:val="00F14B7C"/>
    <w:rsid w:val="00F20A8B"/>
    <w:rsid w:val="00F2375D"/>
    <w:rsid w:val="00F25266"/>
    <w:rsid w:val="00F30455"/>
    <w:rsid w:val="00F33226"/>
    <w:rsid w:val="00F33BAF"/>
    <w:rsid w:val="00F34815"/>
    <w:rsid w:val="00F34F14"/>
    <w:rsid w:val="00F36B1F"/>
    <w:rsid w:val="00F45A64"/>
    <w:rsid w:val="00F50F60"/>
    <w:rsid w:val="00F56BA9"/>
    <w:rsid w:val="00F719EF"/>
    <w:rsid w:val="00F742CE"/>
    <w:rsid w:val="00F8273B"/>
    <w:rsid w:val="00F83D99"/>
    <w:rsid w:val="00F84BE7"/>
    <w:rsid w:val="00F86E01"/>
    <w:rsid w:val="00FA6CE1"/>
    <w:rsid w:val="00FA9EEF"/>
    <w:rsid w:val="00FB59FC"/>
    <w:rsid w:val="00FB6349"/>
    <w:rsid w:val="00FC2B0E"/>
    <w:rsid w:val="00FD0686"/>
    <w:rsid w:val="00FE5C19"/>
    <w:rsid w:val="00FE6266"/>
    <w:rsid w:val="00FF0EE2"/>
    <w:rsid w:val="00FF286D"/>
    <w:rsid w:val="00FF4062"/>
    <w:rsid w:val="00FF4AD3"/>
    <w:rsid w:val="00FF5807"/>
    <w:rsid w:val="00FF646C"/>
    <w:rsid w:val="019A6689"/>
    <w:rsid w:val="03873624"/>
    <w:rsid w:val="07459A4D"/>
    <w:rsid w:val="081CF444"/>
    <w:rsid w:val="0A354161"/>
    <w:rsid w:val="0C9DD003"/>
    <w:rsid w:val="0E2CB9FE"/>
    <w:rsid w:val="0FA6E2BA"/>
    <w:rsid w:val="0FCED1A0"/>
    <w:rsid w:val="100C407E"/>
    <w:rsid w:val="10CD6099"/>
    <w:rsid w:val="11020329"/>
    <w:rsid w:val="11AC5CA8"/>
    <w:rsid w:val="12A27F0D"/>
    <w:rsid w:val="14B22257"/>
    <w:rsid w:val="1549C4C1"/>
    <w:rsid w:val="162F5DFE"/>
    <w:rsid w:val="16A339E5"/>
    <w:rsid w:val="19183C1D"/>
    <w:rsid w:val="1B86FD38"/>
    <w:rsid w:val="1D5EF148"/>
    <w:rsid w:val="1F4091A7"/>
    <w:rsid w:val="200C7FD5"/>
    <w:rsid w:val="2323ADCD"/>
    <w:rsid w:val="233C126A"/>
    <w:rsid w:val="236CB5FF"/>
    <w:rsid w:val="288FB1BB"/>
    <w:rsid w:val="28928067"/>
    <w:rsid w:val="28E58289"/>
    <w:rsid w:val="2B4D09BB"/>
    <w:rsid w:val="2B807763"/>
    <w:rsid w:val="2BE04BB9"/>
    <w:rsid w:val="2E667151"/>
    <w:rsid w:val="2EEC604E"/>
    <w:rsid w:val="2FB2DDEF"/>
    <w:rsid w:val="30B58698"/>
    <w:rsid w:val="30CE0152"/>
    <w:rsid w:val="30E87572"/>
    <w:rsid w:val="31974544"/>
    <w:rsid w:val="329558C4"/>
    <w:rsid w:val="331412FE"/>
    <w:rsid w:val="33755423"/>
    <w:rsid w:val="34FB690F"/>
    <w:rsid w:val="35D77C92"/>
    <w:rsid w:val="377E0CFB"/>
    <w:rsid w:val="38FC3A5D"/>
    <w:rsid w:val="395CF447"/>
    <w:rsid w:val="3977A32C"/>
    <w:rsid w:val="39BCCE9F"/>
    <w:rsid w:val="3A5BB183"/>
    <w:rsid w:val="3C529EBA"/>
    <w:rsid w:val="3CAD7590"/>
    <w:rsid w:val="40216539"/>
    <w:rsid w:val="40ED4987"/>
    <w:rsid w:val="41ACF623"/>
    <w:rsid w:val="41B64697"/>
    <w:rsid w:val="4290CFB0"/>
    <w:rsid w:val="439F60F7"/>
    <w:rsid w:val="43CB6FEB"/>
    <w:rsid w:val="43E42FEC"/>
    <w:rsid w:val="46919A3E"/>
    <w:rsid w:val="4B9A09BE"/>
    <w:rsid w:val="4BE06C40"/>
    <w:rsid w:val="4C1E9AFA"/>
    <w:rsid w:val="4D11F7DE"/>
    <w:rsid w:val="4E47E21C"/>
    <w:rsid w:val="4EA9AC83"/>
    <w:rsid w:val="4FCF557B"/>
    <w:rsid w:val="50BCCBAF"/>
    <w:rsid w:val="50C775AE"/>
    <w:rsid w:val="5126933D"/>
    <w:rsid w:val="519CE029"/>
    <w:rsid w:val="5297CEA2"/>
    <w:rsid w:val="52FDA836"/>
    <w:rsid w:val="53907EB8"/>
    <w:rsid w:val="5465EFD8"/>
    <w:rsid w:val="569E98D7"/>
    <w:rsid w:val="5759AB02"/>
    <w:rsid w:val="58D8DD2A"/>
    <w:rsid w:val="5B112D4C"/>
    <w:rsid w:val="5C2848AB"/>
    <w:rsid w:val="5ED31B19"/>
    <w:rsid w:val="5F5FE88B"/>
    <w:rsid w:val="60A98ADF"/>
    <w:rsid w:val="60D6A75A"/>
    <w:rsid w:val="615F191C"/>
    <w:rsid w:val="618EF366"/>
    <w:rsid w:val="63296B32"/>
    <w:rsid w:val="644478FC"/>
    <w:rsid w:val="6637F1E6"/>
    <w:rsid w:val="672F8D91"/>
    <w:rsid w:val="693012AD"/>
    <w:rsid w:val="69F93814"/>
    <w:rsid w:val="6AC2C122"/>
    <w:rsid w:val="6C36DA1B"/>
    <w:rsid w:val="70292FFF"/>
    <w:rsid w:val="706EF866"/>
    <w:rsid w:val="70F6AED7"/>
    <w:rsid w:val="71F66AC4"/>
    <w:rsid w:val="76E29621"/>
    <w:rsid w:val="77DE7026"/>
    <w:rsid w:val="789E7112"/>
    <w:rsid w:val="79283C49"/>
    <w:rsid w:val="7B0092A0"/>
    <w:rsid w:val="7CCFDC99"/>
    <w:rsid w:val="7D1C2864"/>
    <w:rsid w:val="7DE12C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D7EF0"/>
  <w15:docId w15:val="{53757BA8-2AB3-4C2E-80AD-90C069BF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12"/>
    </w:pPr>
  </w:style>
  <w:style w:type="paragraph" w:styleId="BalloonText">
    <w:name w:val="Balloon Text"/>
    <w:basedOn w:val="Normal"/>
    <w:link w:val="BalloonTextChar"/>
    <w:uiPriority w:val="99"/>
    <w:semiHidden/>
    <w:unhideWhenUsed/>
    <w:rsid w:val="005A2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F3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74C42"/>
    <w:rPr>
      <w:sz w:val="16"/>
      <w:szCs w:val="16"/>
    </w:rPr>
  </w:style>
  <w:style w:type="paragraph" w:styleId="CommentText">
    <w:name w:val="annotation text"/>
    <w:basedOn w:val="Normal"/>
    <w:link w:val="CommentTextChar"/>
    <w:uiPriority w:val="99"/>
    <w:unhideWhenUsed/>
    <w:rsid w:val="00674C42"/>
    <w:rPr>
      <w:sz w:val="20"/>
      <w:szCs w:val="20"/>
    </w:rPr>
  </w:style>
  <w:style w:type="character" w:customStyle="1" w:styleId="CommentTextChar">
    <w:name w:val="Comment Text Char"/>
    <w:basedOn w:val="DefaultParagraphFont"/>
    <w:link w:val="CommentText"/>
    <w:uiPriority w:val="99"/>
    <w:rsid w:val="00674C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74C42"/>
    <w:rPr>
      <w:b/>
      <w:bCs/>
    </w:rPr>
  </w:style>
  <w:style w:type="character" w:customStyle="1" w:styleId="CommentSubjectChar">
    <w:name w:val="Comment Subject Char"/>
    <w:basedOn w:val="CommentTextChar"/>
    <w:link w:val="CommentSubject"/>
    <w:uiPriority w:val="99"/>
    <w:semiHidden/>
    <w:rsid w:val="00674C42"/>
    <w:rPr>
      <w:rFonts w:ascii="Arial" w:eastAsia="Arial" w:hAnsi="Arial" w:cs="Arial"/>
      <w:b/>
      <w:bCs/>
      <w:sz w:val="20"/>
      <w:szCs w:val="20"/>
      <w:lang w:bidi="en-US"/>
    </w:rPr>
  </w:style>
  <w:style w:type="paragraph" w:styleId="Revision">
    <w:name w:val="Revision"/>
    <w:hidden/>
    <w:uiPriority w:val="99"/>
    <w:semiHidden/>
    <w:rsid w:val="00A349A1"/>
    <w:pPr>
      <w:widowControl/>
      <w:autoSpaceDE/>
      <w:autoSpaceDN/>
    </w:pPr>
    <w:rPr>
      <w:rFonts w:ascii="Arial" w:eastAsia="Arial" w:hAnsi="Arial" w:cs="Arial"/>
      <w:lang w:bidi="en-US"/>
    </w:rPr>
  </w:style>
  <w:style w:type="paragraph" w:styleId="Header">
    <w:name w:val="header"/>
    <w:basedOn w:val="Normal"/>
    <w:link w:val="HeaderChar"/>
    <w:uiPriority w:val="99"/>
    <w:semiHidden/>
    <w:unhideWhenUsed/>
    <w:rsid w:val="00AF1D47"/>
    <w:pPr>
      <w:tabs>
        <w:tab w:val="center" w:pos="4680"/>
        <w:tab w:val="right" w:pos="9360"/>
      </w:tabs>
    </w:pPr>
  </w:style>
  <w:style w:type="character" w:customStyle="1" w:styleId="HeaderChar">
    <w:name w:val="Header Char"/>
    <w:basedOn w:val="DefaultParagraphFont"/>
    <w:link w:val="Header"/>
    <w:uiPriority w:val="99"/>
    <w:semiHidden/>
    <w:rsid w:val="00AF1D47"/>
    <w:rPr>
      <w:rFonts w:ascii="Arial" w:eastAsia="Arial" w:hAnsi="Arial" w:cs="Arial"/>
      <w:lang w:bidi="en-US"/>
    </w:rPr>
  </w:style>
  <w:style w:type="paragraph" w:styleId="Footer">
    <w:name w:val="footer"/>
    <w:basedOn w:val="Normal"/>
    <w:link w:val="FooterChar"/>
    <w:uiPriority w:val="99"/>
    <w:semiHidden/>
    <w:unhideWhenUsed/>
    <w:rsid w:val="00AF1D47"/>
    <w:pPr>
      <w:tabs>
        <w:tab w:val="center" w:pos="4680"/>
        <w:tab w:val="right" w:pos="9360"/>
      </w:tabs>
    </w:pPr>
  </w:style>
  <w:style w:type="character" w:customStyle="1" w:styleId="FooterChar">
    <w:name w:val="Footer Char"/>
    <w:basedOn w:val="DefaultParagraphFont"/>
    <w:link w:val="Footer"/>
    <w:uiPriority w:val="99"/>
    <w:semiHidden/>
    <w:rsid w:val="00AF1D47"/>
    <w:rPr>
      <w:rFonts w:ascii="Arial" w:eastAsia="Arial" w:hAnsi="Arial" w:cs="Arial"/>
      <w:lang w:bidi="en-US"/>
    </w:rPr>
  </w:style>
  <w:style w:type="character" w:styleId="Hyperlink">
    <w:name w:val="Hyperlink"/>
    <w:basedOn w:val="DefaultParagraphFont"/>
    <w:uiPriority w:val="99"/>
    <w:unhideWhenUsed/>
    <w:rsid w:val="00ED6132"/>
    <w:rPr>
      <w:color w:val="0000FF" w:themeColor="hyperlink"/>
      <w:u w:val="single"/>
    </w:rPr>
  </w:style>
  <w:style w:type="character" w:styleId="UnresolvedMention">
    <w:name w:val="Unresolved Mention"/>
    <w:basedOn w:val="DefaultParagraphFont"/>
    <w:uiPriority w:val="99"/>
    <w:semiHidden/>
    <w:unhideWhenUsed/>
    <w:rsid w:val="00ED6132"/>
    <w:rPr>
      <w:color w:val="605E5C"/>
      <w:shd w:val="clear" w:color="auto" w:fill="E1DFDD"/>
    </w:rPr>
  </w:style>
  <w:style w:type="character" w:customStyle="1" w:styleId="normaltextrun">
    <w:name w:val="normaltextrun"/>
    <w:basedOn w:val="DefaultParagraphFont"/>
    <w:rsid w:val="00CB1314"/>
  </w:style>
  <w:style w:type="character" w:styleId="Mention">
    <w:name w:val="Mention"/>
    <w:basedOn w:val="DefaultParagraphFont"/>
    <w:uiPriority w:val="99"/>
    <w:unhideWhenUsed/>
    <w:rsid w:val="005C37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s://www.federalregister.gov/documents/2024/03/01/2024-04139/improving-child-care-access-affordability-and-stability-in-the-child-care-and-development-fund-ccdf" TargetMode="External" /><Relationship Id="rId9" Type="http://schemas.openxmlformats.org/officeDocument/2006/relationships/hyperlink" Target="http://www.acf.hhs.gov/occ/resource/current-technical-bulleti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uthreviewed xmlns="e5fc0b33-1b27-49a5-b053-9260eb7300eb" xsi:nil="true"/>
    <lcf76f155ced4ddcb4097134ff3c332f xmlns="e5fc0b33-1b27-49a5-b053-9260eb7300eb">
      <Terms xmlns="http://schemas.microsoft.com/office/infopath/2007/PartnerControls"/>
    </lcf76f155ced4ddcb4097134ff3c332f>
    <TaxCatchAll xmlns="16e0b1d4-6348-4246-b98d-6af7534963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15" ma:contentTypeDescription="Create a new document." ma:contentTypeScope="" ma:versionID="91494e21c571daaba423f1f5731f224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fceebb29ebd9b03410a8795700f9e584"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uthreview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uthreviewed" ma:index="12" nillable="true" ma:displayName="Status" ma:format="Dropdown" ma:internalName="Ruthreviewed">
      <xsd:simpleType>
        <xsd:restriction base="dms:Choice">
          <xsd:enumeration value="Ruth reviewed"/>
          <xsd:enumeration value="Internal Review"/>
          <xsd:enumeration value="For Clearanc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d690e8-f901-4f4e-84e3-8965e1a4a323}" ma:internalName="TaxCatchAll" ma:showField="CatchAllData" ma:web="16e0b1d4-6348-4246-b98d-6af753496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C4B89-9B0A-402D-9ECA-92E16FAEACDA}">
  <ds:schemaRefs>
    <ds:schemaRef ds:uri="http://schemas.microsoft.com/sharepoint/v3/contenttype/forms"/>
  </ds:schemaRefs>
</ds:datastoreItem>
</file>

<file path=customXml/itemProps2.xml><?xml version="1.0" encoding="utf-8"?>
<ds:datastoreItem xmlns:ds="http://schemas.openxmlformats.org/officeDocument/2006/customXml" ds:itemID="{6F4B0604-69B2-4D2A-9E87-01EF3C74C96C}">
  <ds:schemaRefs>
    <ds:schemaRef ds:uri="e5fc0b33-1b27-49a5-b053-9260eb7300eb"/>
    <ds:schemaRef ds:uri="http://purl.org/dc/elements/1.1/"/>
    <ds:schemaRef ds:uri="http://schemas.openxmlformats.org/package/2006/metadata/core-properties"/>
    <ds:schemaRef ds:uri="16e0b1d4-6348-4246-b98d-6af75349639b"/>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C377CF4-5CA1-47A0-BA3A-B584D568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2592</Words>
  <Characters>14778</Characters>
  <Application>Microsoft Office Word</Application>
  <DocSecurity>0</DocSecurity>
  <Lines>123</Lines>
  <Paragraphs>34</Paragraphs>
  <ScaleCrop>false</ScaleCrop>
  <Company>GDIT, Inc</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ACF-800 Reporting Instructions/Definitions</dc:title>
  <dc:subject>ACF-800 Reporting Instructions/Definitions</dc:subject>
  <dc:creator>Child Care Bureau, Office of Family Assistance, Administration for Children and Families, Department of Health and Human Services, United States Federal Government</dc:creator>
  <cp:lastModifiedBy>AW</cp:lastModifiedBy>
  <cp:revision>2</cp:revision>
  <dcterms:created xsi:type="dcterms:W3CDTF">2025-03-06T21:26:00Z</dcterms:created>
  <dcterms:modified xsi:type="dcterms:W3CDTF">2025-03-06T21:26:00Z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Created">
    <vt:filetime>2019-05-13T00:00:00Z</vt:filetime>
  </property>
  <property fmtid="{D5CDD505-2E9C-101B-9397-08002B2CF9AE}" pid="4" name="Creator">
    <vt:lpwstr>Microsoft Word</vt:lpwstr>
  </property>
  <property fmtid="{D5CDD505-2E9C-101B-9397-08002B2CF9AE}" pid="5" name="LastSaved">
    <vt:filetime>2020-05-19T00:00:00Z</vt:filetime>
  </property>
  <property fmtid="{D5CDD505-2E9C-101B-9397-08002B2CF9AE}" pid="6" name="MediaServiceImageTags">
    <vt:lpwstr/>
  </property>
</Properties>
</file>