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6C2C" w14:paraId="6B1FD08A" w14:textId="77777777">
      <w:pPr>
        <w:spacing w:before="79"/>
        <w:ind w:right="1"/>
        <w:jc w:val="center"/>
        <w:rPr>
          <w:b/>
          <w:sz w:val="24"/>
        </w:rPr>
      </w:pPr>
      <w:r>
        <w:rPr>
          <w:b/>
          <w:sz w:val="24"/>
        </w:rPr>
        <w:t>Supporting</w:t>
      </w:r>
      <w:r>
        <w:rPr>
          <w:b/>
          <w:spacing w:val="-6"/>
          <w:sz w:val="24"/>
        </w:rPr>
        <w:t xml:space="preserve"> </w:t>
      </w:r>
      <w:r>
        <w:rPr>
          <w:b/>
          <w:sz w:val="24"/>
        </w:rPr>
        <w:t>Statement</w:t>
      </w:r>
      <w:r>
        <w:rPr>
          <w:b/>
          <w:spacing w:val="-4"/>
          <w:sz w:val="24"/>
        </w:rPr>
        <w:t xml:space="preserve"> </w:t>
      </w:r>
      <w:r>
        <w:rPr>
          <w:b/>
          <w:sz w:val="24"/>
        </w:rPr>
        <w:t>–</w:t>
      </w:r>
      <w:r>
        <w:rPr>
          <w:b/>
          <w:spacing w:val="-6"/>
          <w:sz w:val="24"/>
        </w:rPr>
        <w:t xml:space="preserve"> </w:t>
      </w:r>
      <w:r>
        <w:rPr>
          <w:b/>
          <w:sz w:val="24"/>
        </w:rPr>
        <w:t>Part</w:t>
      </w:r>
      <w:r>
        <w:rPr>
          <w:b/>
          <w:spacing w:val="-3"/>
          <w:sz w:val="24"/>
        </w:rPr>
        <w:t xml:space="preserve"> </w:t>
      </w:r>
      <w:r>
        <w:rPr>
          <w:b/>
          <w:spacing w:val="-10"/>
          <w:sz w:val="24"/>
        </w:rPr>
        <w:t>A</w:t>
      </w:r>
    </w:p>
    <w:p w:rsidR="00A76C2C" w14:paraId="3E903B6A" w14:textId="77777777">
      <w:pPr>
        <w:ind w:left="165" w:right="161"/>
        <w:jc w:val="center"/>
        <w:rPr>
          <w:b/>
          <w:sz w:val="24"/>
        </w:rPr>
      </w:pPr>
      <w:r>
        <w:rPr>
          <w:b/>
          <w:sz w:val="24"/>
        </w:rPr>
        <w:t>Transitional</w:t>
      </w:r>
      <w:r>
        <w:rPr>
          <w:b/>
          <w:spacing w:val="-4"/>
          <w:sz w:val="24"/>
        </w:rPr>
        <w:t xml:space="preserve"> </w:t>
      </w:r>
      <w:r>
        <w:rPr>
          <w:b/>
          <w:sz w:val="24"/>
        </w:rPr>
        <w:t>Coverage</w:t>
      </w:r>
      <w:r>
        <w:rPr>
          <w:b/>
          <w:spacing w:val="-5"/>
          <w:sz w:val="24"/>
        </w:rPr>
        <w:t xml:space="preserve"> </w:t>
      </w:r>
      <w:r>
        <w:rPr>
          <w:b/>
          <w:sz w:val="24"/>
        </w:rPr>
        <w:t>and</w:t>
      </w:r>
      <w:r>
        <w:rPr>
          <w:b/>
          <w:spacing w:val="-4"/>
          <w:sz w:val="24"/>
        </w:rPr>
        <w:t xml:space="preserve"> </w:t>
      </w:r>
      <w:r>
        <w:rPr>
          <w:b/>
          <w:sz w:val="24"/>
        </w:rPr>
        <w:t>Retroactive</w:t>
      </w:r>
      <w:r>
        <w:rPr>
          <w:b/>
          <w:spacing w:val="-3"/>
          <w:sz w:val="24"/>
        </w:rPr>
        <w:t xml:space="preserve"> </w:t>
      </w:r>
      <w:r>
        <w:rPr>
          <w:b/>
          <w:sz w:val="24"/>
        </w:rPr>
        <w:t>Medicare</w:t>
      </w:r>
      <w:r>
        <w:rPr>
          <w:b/>
          <w:spacing w:val="-5"/>
          <w:sz w:val="24"/>
        </w:rPr>
        <w:t xml:space="preserve"> </w:t>
      </w:r>
      <w:r>
        <w:rPr>
          <w:b/>
          <w:sz w:val="24"/>
        </w:rPr>
        <w:t>Part</w:t>
      </w:r>
      <w:r>
        <w:rPr>
          <w:b/>
          <w:spacing w:val="-5"/>
          <w:sz w:val="24"/>
        </w:rPr>
        <w:t xml:space="preserve"> </w:t>
      </w:r>
      <w:r>
        <w:rPr>
          <w:b/>
          <w:sz w:val="24"/>
        </w:rPr>
        <w:t>D</w:t>
      </w:r>
      <w:r>
        <w:rPr>
          <w:b/>
          <w:spacing w:val="-5"/>
          <w:sz w:val="24"/>
        </w:rPr>
        <w:t xml:space="preserve"> </w:t>
      </w:r>
      <w:r>
        <w:rPr>
          <w:b/>
          <w:sz w:val="24"/>
        </w:rPr>
        <w:t>Coverage</w:t>
      </w:r>
      <w:r>
        <w:rPr>
          <w:b/>
          <w:spacing w:val="-5"/>
          <w:sz w:val="24"/>
        </w:rPr>
        <w:t xml:space="preserve"> </w:t>
      </w:r>
      <w:r>
        <w:rPr>
          <w:b/>
          <w:sz w:val="24"/>
        </w:rPr>
        <w:t>for</w:t>
      </w:r>
      <w:r>
        <w:rPr>
          <w:b/>
          <w:spacing w:val="-3"/>
          <w:sz w:val="24"/>
        </w:rPr>
        <w:t xml:space="preserve"> </w:t>
      </w:r>
      <w:r>
        <w:rPr>
          <w:b/>
          <w:sz w:val="24"/>
        </w:rPr>
        <w:t>Certain</w:t>
      </w:r>
      <w:r>
        <w:rPr>
          <w:b/>
          <w:spacing w:val="-4"/>
          <w:sz w:val="24"/>
        </w:rPr>
        <w:t xml:space="preserve"> </w:t>
      </w:r>
      <w:r>
        <w:rPr>
          <w:b/>
          <w:sz w:val="24"/>
        </w:rPr>
        <w:t>Low-Income Beneficiaries through the Limited Income Newly Eligible Transition (LI NET) Program (CMS-10831, OMB 0938-1441)</w:t>
      </w:r>
    </w:p>
    <w:p w:rsidR="00A76C2C" w14:paraId="3E441FF5" w14:textId="77777777">
      <w:pPr>
        <w:pStyle w:val="BodyText"/>
        <w:rPr>
          <w:b/>
        </w:rPr>
      </w:pPr>
    </w:p>
    <w:p w:rsidR="00A76C2C" w14:paraId="568ADAA9" w14:textId="77777777">
      <w:pPr>
        <w:ind w:left="120"/>
        <w:rPr>
          <w:b/>
          <w:sz w:val="24"/>
        </w:rPr>
      </w:pPr>
      <w:bookmarkStart w:id="0" w:name="Background"/>
      <w:bookmarkEnd w:id="0"/>
      <w:r>
        <w:rPr>
          <w:b/>
          <w:spacing w:val="-2"/>
          <w:sz w:val="24"/>
        </w:rPr>
        <w:t>Background</w:t>
      </w:r>
    </w:p>
    <w:p w:rsidR="00A76C2C" w14:paraId="27F36B60" w14:textId="77777777">
      <w:pPr>
        <w:pStyle w:val="BodyText"/>
        <w:rPr>
          <w:b/>
        </w:rPr>
      </w:pPr>
    </w:p>
    <w:p w:rsidR="003B5495" w:rsidP="006F0E4B" w14:paraId="079EDB46" w14:textId="790E55E7">
      <w:pPr>
        <w:pStyle w:val="BodyText"/>
        <w:spacing w:before="79"/>
        <w:ind w:left="115"/>
        <w:contextualSpacing/>
      </w:pPr>
      <w:r>
        <w:t>The purpose of this submission is to comply with the requirements of the Paperwork Reduction Act of 1995 (PRA) (44 U.S.C. 3501 et seq.).</w:t>
      </w:r>
    </w:p>
    <w:p w:rsidR="003B5495" w:rsidP="006F0E4B" w14:paraId="744EB1D1" w14:textId="77777777">
      <w:pPr>
        <w:pStyle w:val="BodyText"/>
        <w:spacing w:before="79"/>
        <w:ind w:left="115"/>
        <w:contextualSpacing/>
      </w:pPr>
    </w:p>
    <w:p w:rsidR="003B5495" w:rsidP="006F0E4B" w14:paraId="0A089145" w14:textId="35DC5CA8">
      <w:pPr>
        <w:pStyle w:val="BodyText"/>
        <w:spacing w:before="79"/>
        <w:ind w:left="115"/>
        <w:contextualSpacing/>
      </w:pPr>
      <w:r>
        <w:t xml:space="preserve">This non-substantive change request proposes the removal of the collection of voluntary sexual orientation, gender identity, race, and ethnicity data from the </w:t>
      </w:r>
      <w:r w:rsidRPr="003B5495">
        <w:t xml:space="preserve">Limited Income Newly Eligible Transition (LI NET) </w:t>
      </w:r>
      <w:r>
        <w:t>application and direct reimbursement request forms in accordance with recent Executive Orders issued on January 20, 2025. See section 1</w:t>
      </w:r>
      <w:r w:rsidR="008D3348">
        <w:t>5</w:t>
      </w:r>
      <w:r>
        <w:t xml:space="preserve"> for the results of the changes. This iteration does not change any burden estimates.</w:t>
      </w:r>
    </w:p>
    <w:p w:rsidR="003B5495" w:rsidP="006F0E4B" w14:paraId="05B9BEBD" w14:textId="77777777">
      <w:pPr>
        <w:pStyle w:val="BodyText"/>
        <w:spacing w:before="79"/>
        <w:ind w:left="115"/>
        <w:contextualSpacing/>
      </w:pPr>
    </w:p>
    <w:p w:rsidR="003B5495" w:rsidP="006F0E4B" w14:paraId="4EB48E05" w14:textId="7917A23C">
      <w:pPr>
        <w:pStyle w:val="BodyText"/>
        <w:spacing w:before="79"/>
        <w:ind w:left="115"/>
        <w:contextualSpacing/>
      </w:pPr>
      <w:r>
        <w:t>The current form</w:t>
      </w:r>
      <w:r w:rsidR="002D572E">
        <w:t>s, which were approved by OMB on November 15, 2024,</w:t>
      </w:r>
      <w:r>
        <w:t xml:space="preserve"> </w:t>
      </w:r>
      <w:r w:rsidR="002D572E">
        <w:t xml:space="preserve">were not used as </w:t>
      </w:r>
      <w:r>
        <w:t>CMS delay</w:t>
      </w:r>
      <w:r w:rsidR="002D572E">
        <w:t>ed</w:t>
      </w:r>
      <w:r>
        <w:t xml:space="preserve"> implementation </w:t>
      </w:r>
      <w:r w:rsidR="0010583F">
        <w:t>due to</w:t>
      </w:r>
      <w:r w:rsidR="002D572E">
        <w:t xml:space="preserve"> system changes</w:t>
      </w:r>
      <w:r>
        <w:t>.</w:t>
      </w:r>
    </w:p>
    <w:p w:rsidR="00A76C2C" w14:paraId="5DC65B32" w14:textId="77777777">
      <w:pPr>
        <w:pStyle w:val="BodyText"/>
      </w:pPr>
    </w:p>
    <w:p w:rsidR="00A76C2C" w14:paraId="1DA580C8" w14:textId="77777777">
      <w:pPr>
        <w:pStyle w:val="ListParagraph"/>
        <w:numPr>
          <w:ilvl w:val="0"/>
          <w:numId w:val="4"/>
        </w:numPr>
        <w:tabs>
          <w:tab w:val="left" w:pos="839"/>
        </w:tabs>
        <w:ind w:left="839" w:hanging="719"/>
        <w:rPr>
          <w:b/>
          <w:sz w:val="24"/>
        </w:rPr>
      </w:pPr>
      <w:bookmarkStart w:id="1" w:name="A._Justification"/>
      <w:bookmarkEnd w:id="1"/>
      <w:r>
        <w:rPr>
          <w:b/>
          <w:spacing w:val="-2"/>
          <w:sz w:val="24"/>
        </w:rPr>
        <w:t>Justification</w:t>
      </w:r>
    </w:p>
    <w:p w:rsidR="00A76C2C" w14:paraId="714A368B" w14:textId="77777777">
      <w:pPr>
        <w:pStyle w:val="BodyText"/>
        <w:rPr>
          <w:b/>
        </w:rPr>
      </w:pPr>
    </w:p>
    <w:p w:rsidR="00A76C2C" w14:paraId="471B740C" w14:textId="77777777">
      <w:pPr>
        <w:pStyle w:val="ListParagraph"/>
        <w:numPr>
          <w:ilvl w:val="1"/>
          <w:numId w:val="4"/>
        </w:numPr>
        <w:tabs>
          <w:tab w:val="left" w:pos="659"/>
        </w:tabs>
        <w:ind w:left="659" w:hanging="539"/>
        <w:rPr>
          <w:sz w:val="24"/>
        </w:rPr>
      </w:pPr>
      <w:bookmarkStart w:id="2" w:name="1._Need_and_Legal_Basis"/>
      <w:bookmarkEnd w:id="2"/>
      <w:r>
        <w:rPr>
          <w:sz w:val="24"/>
          <w:u w:val="single"/>
        </w:rPr>
        <w:t>Need</w:t>
      </w:r>
      <w:r>
        <w:rPr>
          <w:spacing w:val="-2"/>
          <w:sz w:val="24"/>
          <w:u w:val="single"/>
        </w:rPr>
        <w:t xml:space="preserve"> </w:t>
      </w:r>
      <w:r>
        <w:rPr>
          <w:sz w:val="24"/>
          <w:u w:val="single"/>
        </w:rPr>
        <w:t>and</w:t>
      </w:r>
      <w:r>
        <w:rPr>
          <w:spacing w:val="-1"/>
          <w:sz w:val="24"/>
          <w:u w:val="single"/>
        </w:rPr>
        <w:t xml:space="preserve"> </w:t>
      </w:r>
      <w:r>
        <w:rPr>
          <w:sz w:val="24"/>
          <w:u w:val="single"/>
        </w:rPr>
        <w:t>Legal</w:t>
      </w:r>
      <w:r>
        <w:rPr>
          <w:spacing w:val="-1"/>
          <w:sz w:val="24"/>
          <w:u w:val="single"/>
        </w:rPr>
        <w:t xml:space="preserve"> </w:t>
      </w:r>
      <w:r>
        <w:rPr>
          <w:spacing w:val="-4"/>
          <w:sz w:val="24"/>
          <w:u w:val="single"/>
        </w:rPr>
        <w:t>Basis</w:t>
      </w:r>
    </w:p>
    <w:p w:rsidR="00A76C2C" w14:paraId="033FCC73" w14:textId="77777777">
      <w:pPr>
        <w:pStyle w:val="BodyText"/>
      </w:pPr>
    </w:p>
    <w:p w:rsidR="00A76C2C" w14:paraId="41931452" w14:textId="77777777">
      <w:pPr>
        <w:pStyle w:val="BodyText"/>
        <w:ind w:left="120" w:right="155"/>
      </w:pPr>
      <w:r>
        <w:t>Section 118 of the CAA amended Section 1860D-14 of the Act with a new subsection (e) to provide transitional Part D coverage for LI NET eligible individuals. Section 1860D–14(e)(2) of the Act provides that an LI NET eligible individual is a Part D eligible individual who (1) meets the requirements of clauses (ii) and (iii) of subsection (a)(3)(A); and (2) has not yet enrolled in a prescription drug plan or a Medicare Advantage Prescription Drug plan, or, who has so enrolled, but with respect to whom coverage under such plan has not yet taken effect.</w:t>
      </w:r>
    </w:p>
    <w:p w:rsidR="00A76C2C" w14:paraId="427F5EA4" w14:textId="77777777">
      <w:pPr>
        <w:pStyle w:val="BodyText"/>
      </w:pPr>
    </w:p>
    <w:p w:rsidR="00A76C2C" w14:paraId="2B5E83AF" w14:textId="77777777">
      <w:pPr>
        <w:pStyle w:val="BodyText"/>
        <w:ind w:left="119" w:right="155"/>
      </w:pPr>
      <w:r>
        <w:t>CMS regulations (CMS-4201-F) provide Transitional Coverage and Retroactive Medicare Part D Coverage for Certain Low-Income Beneficiaries through the LI NET Program at 42 CFR 423.2500 - 423.2536.</w:t>
      </w:r>
    </w:p>
    <w:p w:rsidR="00A76C2C" w14:paraId="63EE9CB3" w14:textId="77777777">
      <w:pPr>
        <w:pStyle w:val="BodyText"/>
      </w:pPr>
    </w:p>
    <w:p w:rsidR="00A76C2C" w14:paraId="53FE6DD8" w14:textId="77777777">
      <w:pPr>
        <w:pStyle w:val="BodyText"/>
        <w:ind w:left="119"/>
      </w:pPr>
      <w:r>
        <w:t>CMS enrolls most LI NET beneficiaries automatically, with no information provided directly by beneficiaries. Under our policies, those who are not automatically enrolled may enroll in LI NET</w:t>
      </w:r>
    </w:p>
    <w:p w:rsidR="00A76C2C" w14:paraId="62C8EA1B" w14:textId="77777777">
      <w:pPr>
        <w:pStyle w:val="ListParagraph"/>
        <w:numPr>
          <w:ilvl w:val="0"/>
          <w:numId w:val="3"/>
        </w:numPr>
        <w:tabs>
          <w:tab w:val="left" w:pos="379"/>
        </w:tabs>
        <w:ind w:left="119" w:right="556" w:firstLine="0"/>
        <w:rPr>
          <w:sz w:val="24"/>
        </w:rPr>
      </w:pPr>
      <w:r>
        <w:rPr>
          <w:sz w:val="24"/>
        </w:rPr>
        <w:t>at the point-of-sale, 2) by submitting a direct reimbursement request, or 3) completing and submitting an LI NET application form.</w:t>
      </w:r>
    </w:p>
    <w:p w:rsidR="00A76C2C" w14:paraId="50CA0A90" w14:textId="77777777">
      <w:pPr>
        <w:pStyle w:val="BodyText"/>
      </w:pPr>
    </w:p>
    <w:p w:rsidR="00A76C2C" w14:paraId="720420B5" w14:textId="77777777">
      <w:pPr>
        <w:pStyle w:val="ListParagraph"/>
        <w:numPr>
          <w:ilvl w:val="1"/>
          <w:numId w:val="3"/>
        </w:numPr>
        <w:tabs>
          <w:tab w:val="left" w:pos="1199"/>
        </w:tabs>
        <w:ind w:left="1199" w:right="299"/>
        <w:rPr>
          <w:sz w:val="24"/>
        </w:rPr>
      </w:pPr>
      <w:r>
        <w:rPr>
          <w:sz w:val="24"/>
        </w:rPr>
        <w:t>Point-of-sale. Individuals whose claim is submitted at the point-of-sale and accepted by the LI NET sponsor will be enrolled into the LI NET program by the LI NET sponsor. Ideally, these beneficiaries would be able to show documentation of their pending low-income subsidy (LIS) status, such as a letter from the State showing the beneficiary’s</w:t>
      </w:r>
      <w:r>
        <w:rPr>
          <w:spacing w:val="-3"/>
          <w:sz w:val="24"/>
        </w:rPr>
        <w:t xml:space="preserve"> </w:t>
      </w:r>
      <w:r>
        <w:rPr>
          <w:sz w:val="24"/>
        </w:rPr>
        <w:t>LIS</w:t>
      </w:r>
      <w:r>
        <w:rPr>
          <w:spacing w:val="-3"/>
          <w:sz w:val="24"/>
        </w:rPr>
        <w:t xml:space="preserve"> </w:t>
      </w:r>
      <w:r>
        <w:rPr>
          <w:sz w:val="24"/>
        </w:rPr>
        <w:t>status.</w:t>
      </w:r>
      <w:r>
        <w:rPr>
          <w:spacing w:val="-2"/>
          <w:sz w:val="24"/>
        </w:rPr>
        <w:t xml:space="preserve"> </w:t>
      </w:r>
      <w:r>
        <w:rPr>
          <w:sz w:val="24"/>
        </w:rPr>
        <w:t>However,</w:t>
      </w:r>
      <w:r>
        <w:rPr>
          <w:spacing w:val="-3"/>
          <w:sz w:val="24"/>
        </w:rPr>
        <w:t xml:space="preserve"> </w:t>
      </w:r>
      <w:r>
        <w:rPr>
          <w:sz w:val="24"/>
        </w:rPr>
        <w:t>we</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believe</w:t>
      </w:r>
      <w:r>
        <w:rPr>
          <w:spacing w:val="-4"/>
          <w:sz w:val="24"/>
        </w:rPr>
        <w:t xml:space="preserve"> </w:t>
      </w:r>
      <w:r>
        <w:rPr>
          <w:sz w:val="24"/>
        </w:rPr>
        <w:t>an</w:t>
      </w:r>
      <w:r>
        <w:rPr>
          <w:spacing w:val="-2"/>
          <w:sz w:val="24"/>
        </w:rPr>
        <w:t xml:space="preserve"> </w:t>
      </w:r>
      <w:r>
        <w:rPr>
          <w:sz w:val="24"/>
        </w:rPr>
        <w:t>absence</w:t>
      </w:r>
      <w:r>
        <w:rPr>
          <w:spacing w:val="-4"/>
          <w:sz w:val="24"/>
        </w:rPr>
        <w:t xml:space="preserve"> </w:t>
      </w:r>
      <w:r>
        <w:rPr>
          <w:sz w:val="24"/>
        </w:rPr>
        <w:t>of</w:t>
      </w:r>
      <w:r>
        <w:rPr>
          <w:spacing w:val="-4"/>
          <w:sz w:val="24"/>
        </w:rPr>
        <w:t xml:space="preserve"> </w:t>
      </w:r>
      <w:r>
        <w:rPr>
          <w:sz w:val="24"/>
        </w:rPr>
        <w:t>documentation</w:t>
      </w:r>
      <w:r>
        <w:rPr>
          <w:spacing w:val="-3"/>
          <w:sz w:val="24"/>
        </w:rPr>
        <w:t xml:space="preserve"> </w:t>
      </w:r>
      <w:r>
        <w:rPr>
          <w:sz w:val="24"/>
        </w:rPr>
        <w:t xml:space="preserve">in hand at the point-of-sale should be a barrier to entry to LI NET for immediate need individuals. This is because our experience in the demonstration is that 80 percent of immediate need individuals do have their eligibility confirmed, and we would not </w:t>
      </w:r>
      <w:r>
        <w:rPr>
          <w:sz w:val="24"/>
        </w:rPr>
        <w:t>want to turn away these individuals who imminently require access to their prescription drugs.</w:t>
      </w:r>
    </w:p>
    <w:p w:rsidR="00A76C2C" w14:paraId="2367BD43" w14:textId="77777777">
      <w:pPr>
        <w:pStyle w:val="ListParagraph"/>
        <w:numPr>
          <w:ilvl w:val="1"/>
          <w:numId w:val="3"/>
        </w:numPr>
        <w:tabs>
          <w:tab w:val="left" w:pos="1199"/>
        </w:tabs>
        <w:spacing w:before="1"/>
        <w:ind w:left="1199" w:right="130"/>
        <w:rPr>
          <w:sz w:val="24"/>
        </w:rPr>
      </w:pPr>
      <w:r>
        <w:rPr>
          <w:sz w:val="24"/>
        </w:rPr>
        <w:t>Direct reimbursement request. Individuals who submit a direct reimbursement request form, receipts for reimbursement for eligible claims paid out of pocket, and optional documentation of LIS eligibility listed in 42 CFR 423.2504(a)(3) will be retroactively enrolled into the LI</w:t>
      </w:r>
      <w:r>
        <w:rPr>
          <w:spacing w:val="-3"/>
          <w:sz w:val="24"/>
        </w:rPr>
        <w:t xml:space="preserve"> </w:t>
      </w:r>
      <w:r>
        <w:rPr>
          <w:sz w:val="24"/>
        </w:rPr>
        <w:t>NET program by the LI NET sponsor. The LI</w:t>
      </w:r>
      <w:r>
        <w:rPr>
          <w:spacing w:val="-3"/>
          <w:sz w:val="24"/>
        </w:rPr>
        <w:t xml:space="preserve"> </w:t>
      </w:r>
      <w:r>
        <w:rPr>
          <w:sz w:val="24"/>
        </w:rPr>
        <w:t>NET sponsor has 14 calendar days to reply with a coverage decision. This typically occurs when a beneficiary</w:t>
      </w:r>
      <w:r>
        <w:rPr>
          <w:spacing w:val="-3"/>
          <w:sz w:val="24"/>
        </w:rPr>
        <w:t xml:space="preserve"> </w:t>
      </w:r>
      <w:r>
        <w:rPr>
          <w:sz w:val="24"/>
        </w:rPr>
        <w:t>is</w:t>
      </w:r>
      <w:r>
        <w:rPr>
          <w:spacing w:val="-3"/>
          <w:sz w:val="24"/>
        </w:rPr>
        <w:t xml:space="preserve"> </w:t>
      </w:r>
      <w:r>
        <w:rPr>
          <w:sz w:val="24"/>
        </w:rPr>
        <w:t>retroactively</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LI</w:t>
      </w:r>
      <w:r>
        <w:rPr>
          <w:spacing w:val="-7"/>
          <w:sz w:val="24"/>
        </w:rPr>
        <w:t xml:space="preserve"> </w:t>
      </w:r>
      <w:r>
        <w:rPr>
          <w:sz w:val="24"/>
        </w:rPr>
        <w:t>NET</w:t>
      </w:r>
      <w:r>
        <w:rPr>
          <w:spacing w:val="-1"/>
          <w:sz w:val="24"/>
        </w:rPr>
        <w:t xml:space="preserve"> </w:t>
      </w:r>
      <w:r>
        <w:rPr>
          <w:sz w:val="24"/>
        </w:rPr>
        <w:t>and</w:t>
      </w:r>
      <w:r>
        <w:rPr>
          <w:spacing w:val="-1"/>
          <w:sz w:val="24"/>
        </w:rPr>
        <w:t xml:space="preserve"> </w:t>
      </w:r>
      <w:r>
        <w:rPr>
          <w:sz w:val="24"/>
        </w:rPr>
        <w:t>may</w:t>
      </w:r>
      <w:r>
        <w:rPr>
          <w:spacing w:val="-3"/>
          <w:sz w:val="24"/>
        </w:rPr>
        <w:t xml:space="preserve"> </w:t>
      </w:r>
      <w:r>
        <w:rPr>
          <w:sz w:val="24"/>
        </w:rPr>
        <w:t>have</w:t>
      </w:r>
      <w:r>
        <w:rPr>
          <w:spacing w:val="-4"/>
          <w:sz w:val="24"/>
        </w:rPr>
        <w:t xml:space="preserve"> </w:t>
      </w:r>
      <w:r>
        <w:rPr>
          <w:sz w:val="24"/>
        </w:rPr>
        <w:t>incurred</w:t>
      </w:r>
      <w:r>
        <w:rPr>
          <w:spacing w:val="-1"/>
          <w:sz w:val="24"/>
        </w:rPr>
        <w:t xml:space="preserve"> </w:t>
      </w:r>
      <w:r>
        <w:rPr>
          <w:sz w:val="24"/>
        </w:rPr>
        <w:t>expenses</w:t>
      </w:r>
      <w:r>
        <w:rPr>
          <w:spacing w:val="-3"/>
          <w:sz w:val="24"/>
        </w:rPr>
        <w:t xml:space="preserve"> </w:t>
      </w:r>
      <w:r>
        <w:rPr>
          <w:sz w:val="24"/>
        </w:rPr>
        <w:t>that</w:t>
      </w:r>
      <w:r>
        <w:rPr>
          <w:spacing w:val="-3"/>
          <w:sz w:val="24"/>
        </w:rPr>
        <w:t xml:space="preserve"> </w:t>
      </w:r>
      <w:r>
        <w:rPr>
          <w:sz w:val="24"/>
        </w:rPr>
        <w:t>LI NET would have covered had they been enrolled at the time. These beneficiaries may complete</w:t>
      </w:r>
      <w:r>
        <w:rPr>
          <w:spacing w:val="-1"/>
          <w:sz w:val="24"/>
        </w:rPr>
        <w:t xml:space="preserve"> </w:t>
      </w:r>
      <w:r>
        <w:rPr>
          <w:sz w:val="24"/>
        </w:rPr>
        <w:t>a</w:t>
      </w:r>
      <w:r>
        <w:rPr>
          <w:spacing w:val="-1"/>
          <w:sz w:val="24"/>
        </w:rPr>
        <w:t xml:space="preserve"> </w:t>
      </w:r>
      <w:r>
        <w:rPr>
          <w:sz w:val="24"/>
        </w:rPr>
        <w:t>form available</w:t>
      </w:r>
      <w:r>
        <w:rPr>
          <w:spacing w:val="-2"/>
          <w:sz w:val="24"/>
        </w:rPr>
        <w:t xml:space="preserve"> </w:t>
      </w:r>
      <w:r>
        <w:rPr>
          <w:sz w:val="24"/>
        </w:rPr>
        <w:t>online, and return by</w:t>
      </w:r>
      <w:r>
        <w:rPr>
          <w:spacing w:val="-1"/>
          <w:sz w:val="24"/>
        </w:rPr>
        <w:t xml:space="preserve"> </w:t>
      </w:r>
      <w:r>
        <w:rPr>
          <w:sz w:val="24"/>
        </w:rPr>
        <w:t>mail or</w:t>
      </w:r>
      <w:r>
        <w:rPr>
          <w:spacing w:val="-1"/>
          <w:sz w:val="24"/>
        </w:rPr>
        <w:t xml:space="preserve"> </w:t>
      </w:r>
      <w:r>
        <w:rPr>
          <w:sz w:val="24"/>
        </w:rPr>
        <w:t>fax, together</w:t>
      </w:r>
      <w:r>
        <w:rPr>
          <w:spacing w:val="-2"/>
          <w:sz w:val="24"/>
        </w:rPr>
        <w:t xml:space="preserve"> </w:t>
      </w:r>
      <w:r>
        <w:rPr>
          <w:sz w:val="24"/>
        </w:rPr>
        <w:t>with their</w:t>
      </w:r>
      <w:r>
        <w:rPr>
          <w:spacing w:val="-1"/>
          <w:sz w:val="24"/>
        </w:rPr>
        <w:t xml:space="preserve"> </w:t>
      </w:r>
      <w:r>
        <w:rPr>
          <w:sz w:val="24"/>
        </w:rPr>
        <w:t>receipt, to the LI NET sponsor.</w:t>
      </w:r>
    </w:p>
    <w:p w:rsidR="00A76C2C" w14:paraId="5DD47068" w14:textId="3602675E">
      <w:pPr>
        <w:pStyle w:val="ListParagraph"/>
        <w:numPr>
          <w:ilvl w:val="1"/>
          <w:numId w:val="3"/>
        </w:numPr>
        <w:tabs>
          <w:tab w:val="left" w:pos="1199"/>
        </w:tabs>
        <w:ind w:left="1199" w:right="204"/>
        <w:jc w:val="both"/>
        <w:rPr>
          <w:sz w:val="24"/>
        </w:rPr>
      </w:pPr>
      <w:r>
        <w:rPr>
          <w:sz w:val="24"/>
        </w:rPr>
        <w:t>LI</w:t>
      </w:r>
      <w:r>
        <w:rPr>
          <w:spacing w:val="-1"/>
          <w:sz w:val="24"/>
        </w:rPr>
        <w:t xml:space="preserve"> </w:t>
      </w:r>
      <w:r>
        <w:rPr>
          <w:sz w:val="24"/>
        </w:rPr>
        <w:t>NET</w:t>
      </w:r>
      <w:r>
        <w:rPr>
          <w:spacing w:val="-1"/>
          <w:sz w:val="24"/>
        </w:rPr>
        <w:t xml:space="preserve"> </w:t>
      </w:r>
      <w:r>
        <w:rPr>
          <w:sz w:val="24"/>
        </w:rPr>
        <w:t>application form. An individual who is not enrolled automatically by CMS or through</w:t>
      </w:r>
      <w:r>
        <w:rPr>
          <w:spacing w:val="-3"/>
          <w:sz w:val="24"/>
        </w:rPr>
        <w:t xml:space="preserve"> </w:t>
      </w:r>
      <w:r>
        <w:rPr>
          <w:sz w:val="24"/>
        </w:rPr>
        <w:t>point-of-sale</w:t>
      </w:r>
      <w:r>
        <w:rPr>
          <w:spacing w:val="-4"/>
          <w:sz w:val="24"/>
        </w:rPr>
        <w:t xml:space="preserve"> </w:t>
      </w:r>
      <w:r>
        <w:rPr>
          <w:sz w:val="24"/>
        </w:rPr>
        <w:t>or</w:t>
      </w:r>
      <w:r>
        <w:rPr>
          <w:spacing w:val="-2"/>
          <w:sz w:val="24"/>
        </w:rPr>
        <w:t xml:space="preserve"> </w:t>
      </w:r>
      <w:r>
        <w:rPr>
          <w:sz w:val="24"/>
        </w:rPr>
        <w:t>direct</w:t>
      </w:r>
      <w:r>
        <w:rPr>
          <w:spacing w:val="-3"/>
          <w:sz w:val="24"/>
        </w:rPr>
        <w:t xml:space="preserve"> </w:t>
      </w:r>
      <w:r>
        <w:rPr>
          <w:sz w:val="24"/>
        </w:rPr>
        <w:t>reimbursement</w:t>
      </w:r>
      <w:r>
        <w:rPr>
          <w:spacing w:val="-3"/>
          <w:sz w:val="24"/>
        </w:rPr>
        <w:t xml:space="preserve"> </w:t>
      </w:r>
      <w:r>
        <w:rPr>
          <w:sz w:val="24"/>
        </w:rPr>
        <w:t>request</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application</w:t>
      </w:r>
      <w:r>
        <w:rPr>
          <w:spacing w:val="-3"/>
          <w:sz w:val="24"/>
        </w:rPr>
        <w:t xml:space="preserve"> </w:t>
      </w:r>
      <w:r>
        <w:rPr>
          <w:sz w:val="24"/>
        </w:rPr>
        <w:t>form to</w:t>
      </w:r>
      <w:r>
        <w:rPr>
          <w:spacing w:val="-3"/>
          <w:sz w:val="24"/>
        </w:rPr>
        <w:t xml:space="preserve"> </w:t>
      </w:r>
      <w:r>
        <w:rPr>
          <w:sz w:val="24"/>
        </w:rPr>
        <w:t>the</w:t>
      </w:r>
      <w:r>
        <w:rPr>
          <w:spacing w:val="-4"/>
          <w:sz w:val="24"/>
        </w:rPr>
        <w:t xml:space="preserve"> </w:t>
      </w:r>
      <w:r>
        <w:rPr>
          <w:sz w:val="24"/>
        </w:rPr>
        <w:t>LI</w:t>
      </w:r>
      <w:r>
        <w:rPr>
          <w:spacing w:val="-4"/>
          <w:sz w:val="24"/>
        </w:rPr>
        <w:t xml:space="preserve"> </w:t>
      </w:r>
      <w:r>
        <w:rPr>
          <w:sz w:val="24"/>
        </w:rPr>
        <w:t>NET</w:t>
      </w:r>
      <w:r>
        <w:rPr>
          <w:spacing w:val="-4"/>
          <w:sz w:val="24"/>
        </w:rPr>
        <w:t xml:space="preserve"> </w:t>
      </w:r>
      <w:r>
        <w:rPr>
          <w:sz w:val="24"/>
        </w:rPr>
        <w:t>sponsor</w:t>
      </w:r>
      <w:r>
        <w:rPr>
          <w:spacing w:val="-4"/>
          <w:sz w:val="24"/>
        </w:rPr>
        <w:t xml:space="preserve"> </w:t>
      </w:r>
      <w:r>
        <w:rPr>
          <w:sz w:val="24"/>
        </w:rPr>
        <w:t>with</w:t>
      </w:r>
      <w:r>
        <w:rPr>
          <w:spacing w:val="-3"/>
          <w:sz w:val="24"/>
        </w:rPr>
        <w:t xml:space="preserve"> </w:t>
      </w:r>
      <w:r>
        <w:rPr>
          <w:sz w:val="24"/>
        </w:rPr>
        <w:t>optional</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LIS</w:t>
      </w:r>
      <w:r>
        <w:rPr>
          <w:spacing w:val="-3"/>
          <w:sz w:val="24"/>
        </w:rPr>
        <w:t xml:space="preserve"> </w:t>
      </w:r>
      <w:r>
        <w:rPr>
          <w:sz w:val="24"/>
        </w:rPr>
        <w:t>eligibility</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42</w:t>
      </w:r>
      <w:r>
        <w:rPr>
          <w:spacing w:val="-3"/>
          <w:sz w:val="24"/>
        </w:rPr>
        <w:t xml:space="preserve"> </w:t>
      </w:r>
      <w:r>
        <w:rPr>
          <w:sz w:val="24"/>
        </w:rPr>
        <w:t>CFR</w:t>
      </w:r>
      <w:r w:rsidR="0010583F">
        <w:rPr>
          <w:sz w:val="24"/>
        </w:rPr>
        <w:t xml:space="preserve"> 423.2504(a)(3). If no documentation is </w:t>
      </w:r>
      <w:r w:rsidRPr="0010583F" w:rsidR="0010583F">
        <w:rPr>
          <w:sz w:val="24"/>
        </w:rPr>
        <w:t>submitted and accepted, the LI NET sponsor will periodically check for eligibility and enroll applicants once LIS eligibility is confirmed</w:t>
      </w:r>
      <w:r w:rsidR="0010583F">
        <w:rPr>
          <w:sz w:val="24"/>
        </w:rPr>
        <w:t>.</w:t>
      </w:r>
    </w:p>
    <w:p w:rsidR="006F0E4B" w:rsidRPr="006F0E4B" w:rsidP="006F0E4B" w14:paraId="28AA9196" w14:textId="77777777">
      <w:pPr>
        <w:tabs>
          <w:tab w:val="left" w:pos="1199"/>
        </w:tabs>
        <w:ind w:right="204"/>
        <w:jc w:val="both"/>
        <w:rPr>
          <w:sz w:val="24"/>
        </w:rPr>
      </w:pPr>
    </w:p>
    <w:p w:rsidR="00A76C2C" w:rsidP="006F0E4B" w14:paraId="5B26058F" w14:textId="63D21FCF">
      <w:pPr>
        <w:pStyle w:val="BodyText"/>
        <w:spacing w:before="79"/>
        <w:ind w:right="155"/>
      </w:pPr>
      <w:r>
        <w:t>Point-of-sale, direct reimbursement requests, and LI NET application forms represent a small portion of LI NET beneficiaries as CMS automatically enrolls 90-95% of LI NET beneficiaries based on low-income data we maintain in our systems. Most beneficiaries pay their zero or reduced cost-sharing at point-of-sale and have no reason to seek direct reimbursement from the LI NET sponsor</w:t>
      </w:r>
      <w:r w:rsidR="00E51B6A">
        <w:t>.</w:t>
      </w:r>
    </w:p>
    <w:p w:rsidR="00A76C2C" w14:paraId="5CB01484" w14:textId="77777777">
      <w:pPr>
        <w:pStyle w:val="BodyText"/>
        <w:spacing w:before="1"/>
      </w:pPr>
    </w:p>
    <w:p w:rsidR="00A76C2C" w14:paraId="6A0FF66D" w14:textId="77777777">
      <w:pPr>
        <w:pStyle w:val="ListParagraph"/>
        <w:numPr>
          <w:ilvl w:val="1"/>
          <w:numId w:val="4"/>
        </w:numPr>
        <w:tabs>
          <w:tab w:val="left" w:pos="659"/>
        </w:tabs>
        <w:ind w:left="659" w:hanging="539"/>
        <w:rPr>
          <w:sz w:val="24"/>
        </w:rPr>
      </w:pPr>
      <w:bookmarkStart w:id="3" w:name="2._Information_Users"/>
      <w:bookmarkEnd w:id="3"/>
      <w:r>
        <w:rPr>
          <w:sz w:val="24"/>
          <w:u w:val="single"/>
        </w:rPr>
        <w:t>Information</w:t>
      </w:r>
      <w:r>
        <w:rPr>
          <w:spacing w:val="-7"/>
          <w:sz w:val="24"/>
          <w:u w:val="single"/>
        </w:rPr>
        <w:t xml:space="preserve"> </w:t>
      </w:r>
      <w:r>
        <w:rPr>
          <w:spacing w:val="-4"/>
          <w:sz w:val="24"/>
          <w:u w:val="single"/>
        </w:rPr>
        <w:t>Users</w:t>
      </w:r>
    </w:p>
    <w:p w:rsidR="00A76C2C" w14:paraId="016D91B6" w14:textId="77777777">
      <w:pPr>
        <w:pStyle w:val="BodyText"/>
        <w:spacing w:before="275"/>
        <w:ind w:left="120"/>
      </w:pPr>
      <w:r>
        <w:t>As</w:t>
      </w:r>
      <w:r>
        <w:rPr>
          <w:spacing w:val="3"/>
        </w:rPr>
        <w:t xml:space="preserve"> </w:t>
      </w:r>
      <w:r>
        <w:t>described</w:t>
      </w:r>
      <w:r>
        <w:rPr>
          <w:spacing w:val="6"/>
        </w:rPr>
        <w:t xml:space="preserve"> </w:t>
      </w:r>
      <w:r>
        <w:t>above,</w:t>
      </w:r>
      <w:r>
        <w:rPr>
          <w:spacing w:val="4"/>
        </w:rPr>
        <w:t xml:space="preserve"> </w:t>
      </w:r>
      <w:r>
        <w:t>Part</w:t>
      </w:r>
      <w:r>
        <w:rPr>
          <w:spacing w:val="4"/>
        </w:rPr>
        <w:t xml:space="preserve"> </w:t>
      </w:r>
      <w:r>
        <w:t>D</w:t>
      </w:r>
      <w:r>
        <w:rPr>
          <w:spacing w:val="4"/>
        </w:rPr>
        <w:t xml:space="preserve"> </w:t>
      </w:r>
      <w:r>
        <w:t>beneficiaries</w:t>
      </w:r>
      <w:r>
        <w:rPr>
          <w:spacing w:val="2"/>
        </w:rPr>
        <w:t xml:space="preserve"> </w:t>
      </w:r>
      <w:r>
        <w:t>may</w:t>
      </w:r>
      <w:r>
        <w:rPr>
          <w:spacing w:val="2"/>
        </w:rPr>
        <w:t xml:space="preserve"> </w:t>
      </w:r>
      <w:r>
        <w:t>be</w:t>
      </w:r>
      <w:r>
        <w:rPr>
          <w:spacing w:val="5"/>
        </w:rPr>
        <w:t xml:space="preserve"> </w:t>
      </w:r>
      <w:r>
        <w:t>enrolled</w:t>
      </w:r>
      <w:r>
        <w:rPr>
          <w:spacing w:val="4"/>
        </w:rPr>
        <w:t xml:space="preserve"> </w:t>
      </w:r>
      <w:r>
        <w:t>in</w:t>
      </w:r>
      <w:r>
        <w:rPr>
          <w:spacing w:val="4"/>
        </w:rPr>
        <w:t xml:space="preserve"> </w:t>
      </w:r>
      <w:r>
        <w:t>LI</w:t>
      </w:r>
      <w:r>
        <w:rPr>
          <w:spacing w:val="3"/>
        </w:rPr>
        <w:t xml:space="preserve"> </w:t>
      </w:r>
      <w:r>
        <w:t>NET:</w:t>
      </w:r>
      <w:r>
        <w:rPr>
          <w:spacing w:val="4"/>
        </w:rPr>
        <w:t xml:space="preserve"> </w:t>
      </w:r>
      <w:r>
        <w:t>(1)</w:t>
      </w:r>
      <w:r>
        <w:rPr>
          <w:spacing w:val="3"/>
        </w:rPr>
        <w:t xml:space="preserve"> </w:t>
      </w:r>
      <w:r>
        <w:t>automatically</w:t>
      </w:r>
      <w:r>
        <w:rPr>
          <w:spacing w:val="4"/>
        </w:rPr>
        <w:t xml:space="preserve"> </w:t>
      </w:r>
      <w:r>
        <w:t>by</w:t>
      </w:r>
      <w:r>
        <w:rPr>
          <w:spacing w:val="4"/>
        </w:rPr>
        <w:t xml:space="preserve"> </w:t>
      </w:r>
      <w:r>
        <w:rPr>
          <w:spacing w:val="-4"/>
        </w:rPr>
        <w:t>CMS,</w:t>
      </w:r>
    </w:p>
    <w:p w:rsidR="00A76C2C" w14:paraId="637BABFC" w14:textId="77777777">
      <w:pPr>
        <w:pStyle w:val="BodyText"/>
        <w:ind w:left="119" w:right="209"/>
      </w:pPr>
      <w:r>
        <w:t>(2) at the point-of-sale, (3) by submitting a direct reimbursement request, or (4) by completing and submitting an LI NET application form. Pharmacies, the LI NET sponsor, and CMS will use the information collected to determine eligibility for enrollment into LI NET.</w:t>
      </w:r>
    </w:p>
    <w:p w:rsidR="00A76C2C" w14:paraId="1A81DD95" w14:textId="77777777">
      <w:pPr>
        <w:pStyle w:val="BodyText"/>
      </w:pPr>
    </w:p>
    <w:p w:rsidR="00A76C2C" w14:paraId="031E65D0" w14:textId="77777777">
      <w:pPr>
        <w:pStyle w:val="ListParagraph"/>
        <w:numPr>
          <w:ilvl w:val="1"/>
          <w:numId w:val="4"/>
        </w:numPr>
        <w:tabs>
          <w:tab w:val="left" w:pos="659"/>
        </w:tabs>
        <w:ind w:left="659" w:hanging="539"/>
        <w:rPr>
          <w:sz w:val="24"/>
        </w:rPr>
      </w:pPr>
      <w:bookmarkStart w:id="4" w:name="3._Improved_Information_Technology"/>
      <w:bookmarkEnd w:id="4"/>
      <w:r>
        <w:rPr>
          <w:sz w:val="24"/>
          <w:u w:val="single"/>
        </w:rPr>
        <w:t>Improved</w:t>
      </w:r>
      <w:r>
        <w:rPr>
          <w:spacing w:val="-3"/>
          <w:sz w:val="24"/>
          <w:u w:val="single"/>
        </w:rPr>
        <w:t xml:space="preserve"> </w:t>
      </w:r>
      <w:r>
        <w:rPr>
          <w:sz w:val="24"/>
          <w:u w:val="single"/>
        </w:rPr>
        <w:t>Information</w:t>
      </w:r>
      <w:r>
        <w:rPr>
          <w:spacing w:val="-4"/>
          <w:sz w:val="24"/>
          <w:u w:val="single"/>
        </w:rPr>
        <w:t xml:space="preserve"> </w:t>
      </w:r>
      <w:r>
        <w:rPr>
          <w:spacing w:val="-2"/>
          <w:sz w:val="24"/>
          <w:u w:val="single"/>
        </w:rPr>
        <w:t>Technology</w:t>
      </w:r>
    </w:p>
    <w:p w:rsidR="00A76C2C" w14:paraId="40349762" w14:textId="77777777">
      <w:pPr>
        <w:pStyle w:val="BodyText"/>
      </w:pPr>
    </w:p>
    <w:p w:rsidR="00A76C2C" w14:paraId="3CA054A2" w14:textId="77777777">
      <w:pPr>
        <w:pStyle w:val="BodyText"/>
        <w:ind w:left="120" w:right="155"/>
      </w:pPr>
      <w:r>
        <w:t>The information provided by LI NET beneficiaries is largely paper based, such as showing a Medicaid eligibility letter to a pharmacist or sending a signed direct reimbursement request through the mail or by fax. Beneficiaries could also opt to e-mail a digital copy of their documentation to the LI NET sponsor. We believe the flexibility to allow either paper or digital supporting documentation is desirable and would not want to add to beneficiary burden by restricting the submission to solely paper or solely digital. We may explore developing capacity for online submission of these documents in the future but have not done so because the numbers of individuals engaging in these activities are modest compared to the size of the program. In 2021, about 37,000 individuals out of about 600,000 people enrolled due to immediate need, and an unknown subset of these individuals chose to present documentation of their low-income status. About 250 people submitted direct reimbursement requests and only 10 submitted LI</w:t>
      </w:r>
      <w:r>
        <w:rPr>
          <w:spacing w:val="-3"/>
        </w:rPr>
        <w:t xml:space="preserve"> </w:t>
      </w:r>
      <w:r>
        <w:t>NET application forms.</w:t>
      </w:r>
    </w:p>
    <w:p w:rsidR="00A76C2C" w14:paraId="6DDBA703" w14:textId="77777777">
      <w:pPr>
        <w:pStyle w:val="BodyText"/>
      </w:pPr>
    </w:p>
    <w:p w:rsidR="00A76C2C" w14:paraId="1EA307F7" w14:textId="77777777">
      <w:pPr>
        <w:pStyle w:val="BodyText"/>
        <w:ind w:left="120" w:right="155"/>
      </w:pPr>
      <w:r>
        <w:t xml:space="preserve">For supporting documentation related to point-of-sale enrollments, CMS reviews it and makes an </w:t>
      </w:r>
      <w:r>
        <w:t>LI NET eligibility determination.</w:t>
      </w:r>
    </w:p>
    <w:p w:rsidR="00A76C2C" w14:paraId="6F755B88" w14:textId="77777777">
      <w:pPr>
        <w:pStyle w:val="BodyText"/>
      </w:pPr>
    </w:p>
    <w:p w:rsidR="00A76C2C" w14:paraId="04455138" w14:textId="77777777">
      <w:pPr>
        <w:pStyle w:val="BodyText"/>
        <w:ind w:left="120" w:right="973"/>
        <w:jc w:val="both"/>
      </w:pPr>
      <w:r>
        <w:t>See §12 of this Supporting Statement for a more complete discussion of the collection of information requirements and burden estimates. The requirements include two forms for beneficiaries’ use:</w:t>
      </w:r>
    </w:p>
    <w:p w:rsidR="00A76C2C" w14:paraId="72497887" w14:textId="77777777">
      <w:pPr>
        <w:pStyle w:val="BodyText"/>
      </w:pPr>
    </w:p>
    <w:p w:rsidR="00A76C2C" w14:paraId="07A1D32D" w14:textId="77777777">
      <w:pPr>
        <w:pStyle w:val="ListParagraph"/>
        <w:numPr>
          <w:ilvl w:val="2"/>
          <w:numId w:val="4"/>
        </w:numPr>
        <w:tabs>
          <w:tab w:val="left" w:pos="840"/>
        </w:tabs>
        <w:rPr>
          <w:sz w:val="24"/>
        </w:rPr>
      </w:pPr>
      <w:r>
        <w:rPr>
          <w:sz w:val="24"/>
        </w:rPr>
        <w:t>The</w:t>
      </w:r>
      <w:r>
        <w:rPr>
          <w:spacing w:val="2"/>
          <w:sz w:val="24"/>
        </w:rPr>
        <w:t xml:space="preserve"> </w:t>
      </w:r>
      <w:r>
        <w:rPr>
          <w:sz w:val="24"/>
        </w:rPr>
        <w:t>application</w:t>
      </w:r>
      <w:r>
        <w:rPr>
          <w:spacing w:val="4"/>
          <w:sz w:val="24"/>
        </w:rPr>
        <w:t xml:space="preserve"> </w:t>
      </w:r>
      <w:r>
        <w:rPr>
          <w:sz w:val="24"/>
        </w:rPr>
        <w:t>to</w:t>
      </w:r>
      <w:r>
        <w:rPr>
          <w:spacing w:val="3"/>
          <w:sz w:val="24"/>
        </w:rPr>
        <w:t xml:space="preserve"> </w:t>
      </w:r>
      <w:r>
        <w:rPr>
          <w:sz w:val="24"/>
        </w:rPr>
        <w:t>enroll</w:t>
      </w:r>
      <w:r>
        <w:rPr>
          <w:spacing w:val="7"/>
          <w:sz w:val="24"/>
        </w:rPr>
        <w:t xml:space="preserve"> </w:t>
      </w:r>
      <w:r>
        <w:rPr>
          <w:sz w:val="24"/>
        </w:rPr>
        <w:t>in</w:t>
      </w:r>
      <w:r>
        <w:rPr>
          <w:spacing w:val="2"/>
          <w:sz w:val="24"/>
        </w:rPr>
        <w:t xml:space="preserve"> </w:t>
      </w:r>
      <w:r>
        <w:rPr>
          <w:sz w:val="24"/>
        </w:rPr>
        <w:t>the</w:t>
      </w:r>
      <w:r>
        <w:rPr>
          <w:spacing w:val="2"/>
          <w:sz w:val="24"/>
        </w:rPr>
        <w:t xml:space="preserve"> </w:t>
      </w:r>
      <w:r>
        <w:rPr>
          <w:sz w:val="24"/>
        </w:rPr>
        <w:t>LI</w:t>
      </w:r>
      <w:r>
        <w:rPr>
          <w:spacing w:val="3"/>
          <w:sz w:val="24"/>
        </w:rPr>
        <w:t xml:space="preserve"> </w:t>
      </w:r>
      <w:r>
        <w:rPr>
          <w:sz w:val="24"/>
        </w:rPr>
        <w:t>NET</w:t>
      </w:r>
      <w:r>
        <w:rPr>
          <w:spacing w:val="4"/>
          <w:sz w:val="24"/>
        </w:rPr>
        <w:t xml:space="preserve"> </w:t>
      </w:r>
      <w:r>
        <w:rPr>
          <w:sz w:val="24"/>
        </w:rPr>
        <w:t>Program;</w:t>
      </w:r>
      <w:r>
        <w:rPr>
          <w:spacing w:val="7"/>
          <w:sz w:val="24"/>
        </w:rPr>
        <w:t xml:space="preserve"> </w:t>
      </w:r>
      <w:r>
        <w:rPr>
          <w:spacing w:val="-4"/>
          <w:sz w:val="24"/>
        </w:rPr>
        <w:t>and,</w:t>
      </w:r>
    </w:p>
    <w:p w:rsidR="00A76C2C" w14:paraId="662F09D6" w14:textId="77777777">
      <w:pPr>
        <w:pStyle w:val="ListParagraph"/>
        <w:numPr>
          <w:ilvl w:val="2"/>
          <w:numId w:val="4"/>
        </w:numPr>
        <w:tabs>
          <w:tab w:val="left" w:pos="840"/>
        </w:tabs>
        <w:rPr>
          <w:sz w:val="24"/>
        </w:rPr>
      </w:pPr>
      <w:r>
        <w:rPr>
          <w:sz w:val="24"/>
        </w:rPr>
        <w:t>The</w:t>
      </w:r>
      <w:r>
        <w:rPr>
          <w:spacing w:val="1"/>
          <w:sz w:val="24"/>
        </w:rPr>
        <w:t xml:space="preserve"> </w:t>
      </w:r>
      <w:r>
        <w:rPr>
          <w:sz w:val="24"/>
        </w:rPr>
        <w:t>Direct</w:t>
      </w:r>
      <w:r>
        <w:rPr>
          <w:spacing w:val="3"/>
          <w:sz w:val="24"/>
        </w:rPr>
        <w:t xml:space="preserve"> </w:t>
      </w:r>
      <w:r>
        <w:rPr>
          <w:sz w:val="24"/>
        </w:rPr>
        <w:t>Reimbursement</w:t>
      </w:r>
      <w:r>
        <w:rPr>
          <w:spacing w:val="2"/>
          <w:sz w:val="24"/>
        </w:rPr>
        <w:t xml:space="preserve"> </w:t>
      </w:r>
      <w:r>
        <w:rPr>
          <w:sz w:val="24"/>
        </w:rPr>
        <w:t>Request</w:t>
      </w:r>
      <w:r>
        <w:rPr>
          <w:spacing w:val="5"/>
          <w:sz w:val="24"/>
        </w:rPr>
        <w:t xml:space="preserve"> </w:t>
      </w:r>
      <w:r>
        <w:rPr>
          <w:sz w:val="24"/>
        </w:rPr>
        <w:t>(DRR)</w:t>
      </w:r>
      <w:r>
        <w:rPr>
          <w:spacing w:val="3"/>
          <w:sz w:val="24"/>
        </w:rPr>
        <w:t xml:space="preserve"> </w:t>
      </w:r>
      <w:r>
        <w:rPr>
          <w:sz w:val="24"/>
        </w:rPr>
        <w:t>form</w:t>
      </w:r>
      <w:r>
        <w:rPr>
          <w:spacing w:val="8"/>
          <w:sz w:val="24"/>
        </w:rPr>
        <w:t xml:space="preserve"> </w:t>
      </w:r>
      <w:r>
        <w:rPr>
          <w:sz w:val="24"/>
        </w:rPr>
        <w:t>for</w:t>
      </w:r>
      <w:r>
        <w:rPr>
          <w:spacing w:val="4"/>
          <w:sz w:val="24"/>
        </w:rPr>
        <w:t xml:space="preserve"> </w:t>
      </w:r>
      <w:r>
        <w:rPr>
          <w:sz w:val="24"/>
        </w:rPr>
        <w:t>the</w:t>
      </w:r>
      <w:r>
        <w:rPr>
          <w:spacing w:val="3"/>
          <w:sz w:val="24"/>
        </w:rPr>
        <w:t xml:space="preserve"> </w:t>
      </w:r>
      <w:r>
        <w:rPr>
          <w:sz w:val="24"/>
        </w:rPr>
        <w:t>LI</w:t>
      </w:r>
      <w:r>
        <w:rPr>
          <w:spacing w:val="4"/>
          <w:sz w:val="24"/>
        </w:rPr>
        <w:t xml:space="preserve"> </w:t>
      </w:r>
      <w:r>
        <w:rPr>
          <w:sz w:val="24"/>
        </w:rPr>
        <w:t>NET</w:t>
      </w:r>
      <w:r>
        <w:rPr>
          <w:spacing w:val="2"/>
          <w:sz w:val="24"/>
        </w:rPr>
        <w:t xml:space="preserve"> </w:t>
      </w:r>
      <w:r>
        <w:rPr>
          <w:spacing w:val="-2"/>
          <w:sz w:val="24"/>
        </w:rPr>
        <w:t>Program.</w:t>
      </w:r>
    </w:p>
    <w:p w:rsidR="00A76C2C" w14:paraId="35994231" w14:textId="77777777">
      <w:pPr>
        <w:pStyle w:val="BodyText"/>
      </w:pPr>
    </w:p>
    <w:p w:rsidR="00A76C2C" w14:paraId="538D1769" w14:textId="77777777">
      <w:pPr>
        <w:pStyle w:val="BodyText"/>
        <w:ind w:left="120"/>
        <w:jc w:val="both"/>
        <w:rPr>
          <w:spacing w:val="-2"/>
        </w:rPr>
      </w:pPr>
      <w:r>
        <w:t>There</w:t>
      </w:r>
      <w:r>
        <w:rPr>
          <w:spacing w:val="3"/>
        </w:rPr>
        <w:t xml:space="preserve"> </w:t>
      </w:r>
      <w:r>
        <w:t>are</w:t>
      </w:r>
      <w:r>
        <w:rPr>
          <w:spacing w:val="3"/>
        </w:rPr>
        <w:t xml:space="preserve"> </w:t>
      </w:r>
      <w:r>
        <w:t>no</w:t>
      </w:r>
      <w:r>
        <w:rPr>
          <w:spacing w:val="4"/>
        </w:rPr>
        <w:t xml:space="preserve"> </w:t>
      </w:r>
      <w:r>
        <w:t>private</w:t>
      </w:r>
      <w:r>
        <w:rPr>
          <w:spacing w:val="3"/>
        </w:rPr>
        <w:t xml:space="preserve"> </w:t>
      </w:r>
      <w:r>
        <w:t>sector</w:t>
      </w:r>
      <w:r>
        <w:rPr>
          <w:spacing w:val="3"/>
        </w:rPr>
        <w:t xml:space="preserve"> </w:t>
      </w:r>
      <w:r>
        <w:t>forms</w:t>
      </w:r>
      <w:r>
        <w:rPr>
          <w:spacing w:val="4"/>
        </w:rPr>
        <w:t xml:space="preserve"> </w:t>
      </w:r>
      <w:r>
        <w:t>for</w:t>
      </w:r>
      <w:r>
        <w:rPr>
          <w:spacing w:val="3"/>
        </w:rPr>
        <w:t xml:space="preserve"> </w:t>
      </w:r>
      <w:r>
        <w:t>pharmacists</w:t>
      </w:r>
      <w:r>
        <w:rPr>
          <w:spacing w:val="4"/>
        </w:rPr>
        <w:t xml:space="preserve"> </w:t>
      </w:r>
      <w:r>
        <w:t>and</w:t>
      </w:r>
      <w:r>
        <w:rPr>
          <w:spacing w:val="4"/>
        </w:rPr>
        <w:t xml:space="preserve"> </w:t>
      </w:r>
      <w:r>
        <w:t>for</w:t>
      </w:r>
      <w:r>
        <w:rPr>
          <w:spacing w:val="3"/>
        </w:rPr>
        <w:t xml:space="preserve"> </w:t>
      </w:r>
      <w:r>
        <w:t>LI</w:t>
      </w:r>
      <w:r>
        <w:rPr>
          <w:spacing w:val="4"/>
        </w:rPr>
        <w:t xml:space="preserve"> </w:t>
      </w:r>
      <w:r>
        <w:t>NET</w:t>
      </w:r>
      <w:r>
        <w:rPr>
          <w:spacing w:val="1"/>
        </w:rPr>
        <w:t xml:space="preserve"> </w:t>
      </w:r>
      <w:r>
        <w:rPr>
          <w:spacing w:val="-2"/>
        </w:rPr>
        <w:t>sponsors.</w:t>
      </w:r>
    </w:p>
    <w:p w:rsidR="006F0E4B" w14:paraId="06077E9D" w14:textId="77777777">
      <w:pPr>
        <w:pStyle w:val="BodyText"/>
        <w:ind w:left="120"/>
        <w:jc w:val="both"/>
      </w:pPr>
    </w:p>
    <w:p w:rsidR="00A76C2C" w14:paraId="1DFC362A" w14:textId="77777777">
      <w:pPr>
        <w:pStyle w:val="ListParagraph"/>
        <w:numPr>
          <w:ilvl w:val="1"/>
          <w:numId w:val="4"/>
        </w:numPr>
        <w:tabs>
          <w:tab w:val="left" w:pos="659"/>
        </w:tabs>
        <w:spacing w:before="79"/>
        <w:ind w:left="659" w:hanging="539"/>
        <w:rPr>
          <w:sz w:val="24"/>
        </w:rPr>
      </w:pPr>
      <w:bookmarkStart w:id="5" w:name="4._Duplication_of_Similar_Information"/>
      <w:bookmarkEnd w:id="5"/>
      <w:r>
        <w:rPr>
          <w:sz w:val="24"/>
          <w:u w:val="single"/>
        </w:rPr>
        <w:t>Duplication</w:t>
      </w:r>
      <w:r>
        <w:rPr>
          <w:spacing w:val="-3"/>
          <w:sz w:val="24"/>
          <w:u w:val="single"/>
        </w:rPr>
        <w:t xml:space="preserve"> </w:t>
      </w:r>
      <w:r>
        <w:rPr>
          <w:sz w:val="24"/>
          <w:u w:val="single"/>
        </w:rPr>
        <w:t>of</w:t>
      </w:r>
      <w:r>
        <w:rPr>
          <w:spacing w:val="-3"/>
          <w:sz w:val="24"/>
          <w:u w:val="single"/>
        </w:rPr>
        <w:t xml:space="preserve"> </w:t>
      </w:r>
      <w:r>
        <w:rPr>
          <w:sz w:val="24"/>
          <w:u w:val="single"/>
        </w:rPr>
        <w:t>Similar</w:t>
      </w:r>
      <w:r>
        <w:rPr>
          <w:spacing w:val="-2"/>
          <w:sz w:val="24"/>
          <w:u w:val="single"/>
        </w:rPr>
        <w:t xml:space="preserve"> Information</w:t>
      </w:r>
    </w:p>
    <w:p w:rsidR="00A76C2C" w14:paraId="6FB69F0E" w14:textId="77777777">
      <w:pPr>
        <w:pStyle w:val="BodyText"/>
      </w:pPr>
    </w:p>
    <w:p w:rsidR="00A76C2C" w14:paraId="4C00C5F6" w14:textId="77777777">
      <w:pPr>
        <w:pStyle w:val="BodyText"/>
        <w:ind w:left="120"/>
      </w:pPr>
      <w:r>
        <w:t>This</w:t>
      </w:r>
      <w:r>
        <w:rPr>
          <w:spacing w:val="5"/>
        </w:rPr>
        <w:t xml:space="preserve"> </w:t>
      </w:r>
      <w:r>
        <w:t>collection</w:t>
      </w:r>
      <w:r>
        <w:rPr>
          <w:spacing w:val="4"/>
        </w:rPr>
        <w:t xml:space="preserve"> </w:t>
      </w:r>
      <w:r>
        <w:t>does</w:t>
      </w:r>
      <w:r>
        <w:rPr>
          <w:spacing w:val="4"/>
        </w:rPr>
        <w:t xml:space="preserve"> </w:t>
      </w:r>
      <w:r>
        <w:t>not</w:t>
      </w:r>
      <w:r>
        <w:rPr>
          <w:spacing w:val="8"/>
        </w:rPr>
        <w:t xml:space="preserve"> </w:t>
      </w:r>
      <w:r>
        <w:t>contain</w:t>
      </w:r>
      <w:r>
        <w:rPr>
          <w:spacing w:val="4"/>
        </w:rPr>
        <w:t xml:space="preserve"> </w:t>
      </w:r>
      <w:r>
        <w:t>duplication</w:t>
      </w:r>
      <w:r>
        <w:rPr>
          <w:spacing w:val="4"/>
        </w:rPr>
        <w:t xml:space="preserve"> </w:t>
      </w:r>
      <w:r>
        <w:t>of</w:t>
      </w:r>
      <w:r>
        <w:rPr>
          <w:spacing w:val="3"/>
        </w:rPr>
        <w:t xml:space="preserve"> </w:t>
      </w:r>
      <w:r>
        <w:t>similar</w:t>
      </w:r>
      <w:r>
        <w:rPr>
          <w:spacing w:val="4"/>
        </w:rPr>
        <w:t xml:space="preserve"> </w:t>
      </w:r>
      <w:r>
        <w:rPr>
          <w:spacing w:val="-2"/>
        </w:rPr>
        <w:t>information.</w:t>
      </w:r>
    </w:p>
    <w:p w:rsidR="00A76C2C" w14:paraId="54B73B2B" w14:textId="77777777">
      <w:pPr>
        <w:pStyle w:val="BodyText"/>
      </w:pPr>
    </w:p>
    <w:p w:rsidR="00A76C2C" w14:paraId="1465C16E" w14:textId="77777777">
      <w:pPr>
        <w:pStyle w:val="ListParagraph"/>
        <w:numPr>
          <w:ilvl w:val="1"/>
          <w:numId w:val="4"/>
        </w:numPr>
        <w:tabs>
          <w:tab w:val="left" w:pos="659"/>
        </w:tabs>
        <w:ind w:left="659" w:hanging="539"/>
        <w:rPr>
          <w:sz w:val="24"/>
        </w:rPr>
      </w:pPr>
      <w:bookmarkStart w:id="6" w:name="5._Small_Businesses"/>
      <w:bookmarkEnd w:id="6"/>
      <w:r>
        <w:rPr>
          <w:sz w:val="24"/>
          <w:u w:val="single"/>
        </w:rPr>
        <w:t>Small</w:t>
      </w:r>
      <w:r>
        <w:rPr>
          <w:spacing w:val="-1"/>
          <w:sz w:val="24"/>
          <w:u w:val="single"/>
        </w:rPr>
        <w:t xml:space="preserve"> </w:t>
      </w:r>
      <w:r>
        <w:rPr>
          <w:spacing w:val="-2"/>
          <w:sz w:val="24"/>
          <w:u w:val="single"/>
        </w:rPr>
        <w:t>Businesses</w:t>
      </w:r>
    </w:p>
    <w:p w:rsidR="00A76C2C" w14:paraId="1EBA6684" w14:textId="77777777">
      <w:pPr>
        <w:pStyle w:val="BodyText"/>
      </w:pPr>
    </w:p>
    <w:p w:rsidR="00A76C2C" w14:paraId="6FFB895A" w14:textId="77777777">
      <w:pPr>
        <w:pStyle w:val="BodyText"/>
        <w:ind w:left="120"/>
      </w:pPr>
      <w:r>
        <w:t>Some pharmacies and Part D sponsors are small businesses so there is potential they may be affected</w:t>
      </w:r>
      <w:r>
        <w:rPr>
          <w:spacing w:val="-3"/>
        </w:rPr>
        <w:t xml:space="preserve"> </w:t>
      </w:r>
      <w:r>
        <w:t>if</w:t>
      </w:r>
      <w:r>
        <w:rPr>
          <w:spacing w:val="-4"/>
        </w:rPr>
        <w:t xml:space="preserve"> </w:t>
      </w:r>
      <w:r>
        <w:t>they</w:t>
      </w:r>
      <w:r>
        <w:rPr>
          <w:spacing w:val="-1"/>
        </w:rPr>
        <w:t xml:space="preserve"> </w:t>
      </w:r>
      <w:r>
        <w:t>fill</w:t>
      </w:r>
      <w:r>
        <w:rPr>
          <w:spacing w:val="-3"/>
        </w:rPr>
        <w:t xml:space="preserve"> </w:t>
      </w:r>
      <w:r>
        <w:t>claims</w:t>
      </w:r>
      <w:r>
        <w:rPr>
          <w:spacing w:val="-3"/>
        </w:rPr>
        <w:t xml:space="preserve"> </w:t>
      </w:r>
      <w:r>
        <w:t>for</w:t>
      </w:r>
      <w:r>
        <w:rPr>
          <w:spacing w:val="-4"/>
        </w:rPr>
        <w:t xml:space="preserve"> </w:t>
      </w:r>
      <w:r>
        <w:t>beneficiaries</w:t>
      </w:r>
      <w:r>
        <w:rPr>
          <w:spacing w:val="-1"/>
        </w:rPr>
        <w:t xml:space="preserve"> </w:t>
      </w:r>
      <w:r>
        <w:t>at</w:t>
      </w:r>
      <w:r>
        <w:rPr>
          <w:spacing w:val="-3"/>
        </w:rPr>
        <w:t xml:space="preserve"> </w:t>
      </w:r>
      <w:r>
        <w:t>the</w:t>
      </w:r>
      <w:r>
        <w:rPr>
          <w:spacing w:val="-2"/>
        </w:rPr>
        <w:t xml:space="preserve"> </w:t>
      </w:r>
      <w:r>
        <w:t>point-of-sale</w:t>
      </w:r>
      <w:r>
        <w:rPr>
          <w:spacing w:val="-4"/>
        </w:rPr>
        <w:t xml:space="preserve"> </w:t>
      </w:r>
      <w:r>
        <w:t>or</w:t>
      </w:r>
      <w:r>
        <w:rPr>
          <w:spacing w:val="-4"/>
        </w:rPr>
        <w:t xml:space="preserve"> </w:t>
      </w:r>
      <w:r>
        <w:t>become</w:t>
      </w:r>
      <w:r>
        <w:rPr>
          <w:spacing w:val="-2"/>
        </w:rPr>
        <w:t xml:space="preserve"> </w:t>
      </w:r>
      <w:r>
        <w:t>an</w:t>
      </w:r>
      <w:r>
        <w:rPr>
          <w:spacing w:val="-3"/>
        </w:rPr>
        <w:t xml:space="preserve"> </w:t>
      </w:r>
      <w:r>
        <w:t>LI</w:t>
      </w:r>
      <w:r>
        <w:rPr>
          <w:spacing w:val="-7"/>
        </w:rPr>
        <w:t xml:space="preserve"> </w:t>
      </w:r>
      <w:r>
        <w:t>NET</w:t>
      </w:r>
      <w:r>
        <w:rPr>
          <w:spacing w:val="-4"/>
        </w:rPr>
        <w:t xml:space="preserve"> </w:t>
      </w:r>
      <w:r>
        <w:t>sponsor.</w:t>
      </w:r>
    </w:p>
    <w:p w:rsidR="00A76C2C" w14:paraId="1FD132C4" w14:textId="77777777">
      <w:pPr>
        <w:pStyle w:val="BodyText"/>
      </w:pPr>
    </w:p>
    <w:p w:rsidR="00A76C2C" w14:paraId="3795406D" w14:textId="77777777">
      <w:pPr>
        <w:pStyle w:val="ListParagraph"/>
        <w:numPr>
          <w:ilvl w:val="1"/>
          <w:numId w:val="4"/>
        </w:numPr>
        <w:tabs>
          <w:tab w:val="left" w:pos="659"/>
        </w:tabs>
        <w:ind w:left="659" w:hanging="539"/>
        <w:rPr>
          <w:sz w:val="24"/>
        </w:rPr>
      </w:pPr>
      <w:bookmarkStart w:id="7" w:name="6._Less_Frequent_Collection"/>
      <w:bookmarkEnd w:id="7"/>
      <w:r>
        <w:rPr>
          <w:sz w:val="24"/>
          <w:u w:val="single"/>
        </w:rPr>
        <w:t>Less</w:t>
      </w:r>
      <w:r>
        <w:rPr>
          <w:spacing w:val="-3"/>
          <w:sz w:val="24"/>
          <w:u w:val="single"/>
        </w:rPr>
        <w:t xml:space="preserve"> </w:t>
      </w:r>
      <w:r>
        <w:rPr>
          <w:sz w:val="24"/>
          <w:u w:val="single"/>
        </w:rPr>
        <w:t>Frequent</w:t>
      </w:r>
      <w:r>
        <w:rPr>
          <w:spacing w:val="-2"/>
          <w:sz w:val="24"/>
          <w:u w:val="single"/>
        </w:rPr>
        <w:t xml:space="preserve"> Collection</w:t>
      </w:r>
    </w:p>
    <w:p w:rsidR="00A76C2C" w14:paraId="73D56A6A" w14:textId="77777777">
      <w:pPr>
        <w:pStyle w:val="BodyText"/>
      </w:pPr>
    </w:p>
    <w:p w:rsidR="00A76C2C" w14:paraId="5D605606" w14:textId="77777777">
      <w:pPr>
        <w:pStyle w:val="BodyText"/>
        <w:ind w:left="119" w:right="296"/>
      </w:pPr>
      <w:r>
        <w:t>This collection does not set out any daily, weekly, monthly, or annual requirements. Rather, this information is collected as needed to support the administration of the LI NET program. If this information is not collected through the application or direct reimbursement request form, the beneficiary may not enroll in the LI NET program via these mechanisms. The beneficiary may</w:t>
      </w:r>
      <w:r>
        <w:rPr>
          <w:spacing w:val="40"/>
        </w:rPr>
        <w:t xml:space="preserve"> </w:t>
      </w:r>
      <w:r>
        <w:t>be enrolled in the LI NET program through another enrollment mechanism (e.g., auto- enrollment, point-of-sale), which may cause a delay in enrollment.</w:t>
      </w:r>
    </w:p>
    <w:p w:rsidR="00A76C2C" w14:paraId="53D10536" w14:textId="77777777">
      <w:pPr>
        <w:pStyle w:val="BodyText"/>
      </w:pPr>
    </w:p>
    <w:p w:rsidR="00A76C2C" w14:paraId="14C1CB13" w14:textId="77777777">
      <w:pPr>
        <w:pStyle w:val="ListParagraph"/>
        <w:numPr>
          <w:ilvl w:val="1"/>
          <w:numId w:val="4"/>
        </w:numPr>
        <w:tabs>
          <w:tab w:val="left" w:pos="659"/>
        </w:tabs>
        <w:ind w:left="659" w:hanging="539"/>
        <w:rPr>
          <w:sz w:val="24"/>
        </w:rPr>
      </w:pPr>
      <w:bookmarkStart w:id="8" w:name="7._Special_Circumstances"/>
      <w:bookmarkEnd w:id="8"/>
      <w:r>
        <w:rPr>
          <w:sz w:val="24"/>
          <w:u w:val="single"/>
        </w:rPr>
        <w:t>Special</w:t>
      </w:r>
      <w:r>
        <w:rPr>
          <w:spacing w:val="-5"/>
          <w:sz w:val="24"/>
          <w:u w:val="single"/>
        </w:rPr>
        <w:t xml:space="preserve"> </w:t>
      </w:r>
      <w:r>
        <w:rPr>
          <w:spacing w:val="-2"/>
          <w:sz w:val="24"/>
          <w:u w:val="single"/>
        </w:rPr>
        <w:t>Circumstances</w:t>
      </w:r>
    </w:p>
    <w:p w:rsidR="00A76C2C" w14:paraId="6998654D" w14:textId="77777777">
      <w:pPr>
        <w:pStyle w:val="BodyText"/>
      </w:pPr>
    </w:p>
    <w:p w:rsidR="00A76C2C" w14:paraId="16732D2B" w14:textId="77777777">
      <w:pPr>
        <w:pStyle w:val="BodyText"/>
        <w:ind w:left="120" w:right="296"/>
      </w:pPr>
      <w:r>
        <w:t>There are no special circumstances that would require this information collection to be conducted in a manner that requires respondents to:</w:t>
      </w:r>
    </w:p>
    <w:p w:rsidR="006D20C0" w14:paraId="420BBABA" w14:textId="77777777">
      <w:pPr>
        <w:pStyle w:val="BodyText"/>
        <w:ind w:left="120" w:right="296"/>
      </w:pPr>
    </w:p>
    <w:p w:rsidR="00A76C2C" w14:paraId="5B987734" w14:textId="77777777">
      <w:pPr>
        <w:pStyle w:val="ListParagraph"/>
        <w:numPr>
          <w:ilvl w:val="0"/>
          <w:numId w:val="2"/>
        </w:numPr>
        <w:tabs>
          <w:tab w:val="left" w:pos="839"/>
        </w:tabs>
        <w:spacing w:line="293" w:lineRule="exact"/>
        <w:ind w:left="839" w:hanging="359"/>
        <w:rPr>
          <w:sz w:val="24"/>
        </w:rPr>
      </w:pPr>
      <w:r>
        <w:rPr>
          <w:sz w:val="24"/>
        </w:rPr>
        <w:t>Report information</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agency</w:t>
      </w:r>
      <w:r>
        <w:rPr>
          <w:spacing w:val="5"/>
          <w:sz w:val="24"/>
        </w:rPr>
        <w:t xml:space="preserve"> </w:t>
      </w:r>
      <w:r>
        <w:rPr>
          <w:sz w:val="24"/>
        </w:rPr>
        <w:t>more</w:t>
      </w:r>
      <w:r>
        <w:rPr>
          <w:spacing w:val="4"/>
          <w:sz w:val="24"/>
        </w:rPr>
        <w:t xml:space="preserve"> </w:t>
      </w:r>
      <w:r>
        <w:rPr>
          <w:sz w:val="24"/>
        </w:rPr>
        <w:t>often</w:t>
      </w:r>
      <w:r>
        <w:rPr>
          <w:spacing w:val="5"/>
          <w:sz w:val="24"/>
        </w:rPr>
        <w:t xml:space="preserve"> </w:t>
      </w:r>
      <w:r>
        <w:rPr>
          <w:sz w:val="24"/>
        </w:rPr>
        <w:t>than</w:t>
      </w:r>
      <w:r>
        <w:rPr>
          <w:spacing w:val="5"/>
          <w:sz w:val="24"/>
        </w:rPr>
        <w:t xml:space="preserve"> </w:t>
      </w:r>
      <w:r>
        <w:rPr>
          <w:spacing w:val="-2"/>
          <w:sz w:val="24"/>
        </w:rPr>
        <w:t>quarterly;</w:t>
      </w:r>
    </w:p>
    <w:p w:rsidR="00A76C2C" w14:paraId="0321E2A8" w14:textId="77777777">
      <w:pPr>
        <w:pStyle w:val="ListParagraph"/>
        <w:numPr>
          <w:ilvl w:val="0"/>
          <w:numId w:val="2"/>
        </w:numPr>
        <w:tabs>
          <w:tab w:val="left" w:pos="840"/>
        </w:tabs>
        <w:ind w:right="735"/>
        <w:rPr>
          <w:sz w:val="24"/>
        </w:rPr>
      </w:pPr>
      <w:r>
        <w:rPr>
          <w:sz w:val="24"/>
        </w:rPr>
        <w:t>Prepare a written response to a collection of information in fewer than 30 days after receipt of it;</w:t>
      </w:r>
    </w:p>
    <w:p w:rsidR="00A76C2C" w14:paraId="4600F590" w14:textId="77777777">
      <w:pPr>
        <w:pStyle w:val="ListParagraph"/>
        <w:numPr>
          <w:ilvl w:val="0"/>
          <w:numId w:val="2"/>
        </w:numPr>
        <w:tabs>
          <w:tab w:val="left" w:pos="839"/>
        </w:tabs>
        <w:spacing w:line="292" w:lineRule="exact"/>
        <w:ind w:left="839" w:hanging="359"/>
        <w:rPr>
          <w:sz w:val="24"/>
        </w:rPr>
      </w:pPr>
      <w:r>
        <w:rPr>
          <w:sz w:val="24"/>
        </w:rPr>
        <w:t>Submit</w:t>
      </w:r>
      <w:r>
        <w:rPr>
          <w:spacing w:val="1"/>
          <w:sz w:val="24"/>
        </w:rPr>
        <w:t xml:space="preserve"> </w:t>
      </w:r>
      <w:r>
        <w:rPr>
          <w:sz w:val="24"/>
        </w:rPr>
        <w:t>more</w:t>
      </w:r>
      <w:r>
        <w:rPr>
          <w:spacing w:val="2"/>
          <w:sz w:val="24"/>
        </w:rPr>
        <w:t xml:space="preserve"> </w:t>
      </w:r>
      <w:r>
        <w:rPr>
          <w:sz w:val="24"/>
        </w:rPr>
        <w:t>than</w:t>
      </w:r>
      <w:r>
        <w:rPr>
          <w:spacing w:val="6"/>
          <w:sz w:val="24"/>
        </w:rPr>
        <w:t xml:space="preserve"> </w:t>
      </w:r>
      <w:r>
        <w:rPr>
          <w:sz w:val="24"/>
        </w:rPr>
        <w:t>an</w:t>
      </w:r>
      <w:r>
        <w:rPr>
          <w:spacing w:val="3"/>
          <w:sz w:val="24"/>
        </w:rPr>
        <w:t xml:space="preserve"> </w:t>
      </w:r>
      <w:r>
        <w:rPr>
          <w:sz w:val="24"/>
        </w:rPr>
        <w:t>original</w:t>
      </w:r>
      <w:r>
        <w:rPr>
          <w:spacing w:val="4"/>
          <w:sz w:val="24"/>
        </w:rPr>
        <w:t xml:space="preserve"> </w:t>
      </w:r>
      <w:r>
        <w:rPr>
          <w:sz w:val="24"/>
        </w:rPr>
        <w:t>and</w:t>
      </w:r>
      <w:r>
        <w:rPr>
          <w:spacing w:val="3"/>
          <w:sz w:val="24"/>
        </w:rPr>
        <w:t xml:space="preserve"> </w:t>
      </w:r>
      <w:r>
        <w:rPr>
          <w:sz w:val="24"/>
        </w:rPr>
        <w:t>two</w:t>
      </w:r>
      <w:r>
        <w:rPr>
          <w:spacing w:val="3"/>
          <w:sz w:val="24"/>
        </w:rPr>
        <w:t xml:space="preserve"> </w:t>
      </w:r>
      <w:r>
        <w:rPr>
          <w:sz w:val="24"/>
        </w:rPr>
        <w:t>copies</w:t>
      </w:r>
      <w:r>
        <w:rPr>
          <w:spacing w:val="4"/>
          <w:sz w:val="24"/>
        </w:rPr>
        <w:t xml:space="preserve"> </w:t>
      </w:r>
      <w:r>
        <w:rPr>
          <w:sz w:val="24"/>
        </w:rPr>
        <w:t>of</w:t>
      </w:r>
      <w:r>
        <w:rPr>
          <w:spacing w:val="2"/>
          <w:sz w:val="24"/>
        </w:rPr>
        <w:t xml:space="preserve"> </w:t>
      </w:r>
      <w:r>
        <w:rPr>
          <w:sz w:val="24"/>
        </w:rPr>
        <w:t>any</w:t>
      </w:r>
      <w:r>
        <w:rPr>
          <w:spacing w:val="4"/>
          <w:sz w:val="24"/>
        </w:rPr>
        <w:t xml:space="preserve"> </w:t>
      </w:r>
      <w:r>
        <w:rPr>
          <w:spacing w:val="-2"/>
          <w:sz w:val="24"/>
        </w:rPr>
        <w:t>document;</w:t>
      </w:r>
    </w:p>
    <w:p w:rsidR="00A76C2C" w14:paraId="2DD96770" w14:textId="77777777">
      <w:pPr>
        <w:pStyle w:val="ListParagraph"/>
        <w:numPr>
          <w:ilvl w:val="0"/>
          <w:numId w:val="2"/>
        </w:numPr>
        <w:tabs>
          <w:tab w:val="left" w:pos="840"/>
        </w:tabs>
        <w:ind w:right="748"/>
        <w:rPr>
          <w:sz w:val="24"/>
        </w:rPr>
      </w:pPr>
      <w:r>
        <w:rPr>
          <w:sz w:val="24"/>
        </w:rPr>
        <w:t>Retain records, other than health, medical, government contract, grant-in-aid, or tax records for more than three years;</w:t>
      </w:r>
    </w:p>
    <w:p w:rsidR="00A76C2C" w14:paraId="0862012B" w14:textId="77777777">
      <w:pPr>
        <w:pStyle w:val="ListParagraph"/>
        <w:numPr>
          <w:ilvl w:val="0"/>
          <w:numId w:val="2"/>
        </w:numPr>
        <w:tabs>
          <w:tab w:val="left" w:pos="840"/>
        </w:tabs>
        <w:ind w:right="400"/>
        <w:rPr>
          <w:sz w:val="24"/>
        </w:rPr>
      </w:pPr>
      <w:r>
        <w:rPr>
          <w:sz w:val="24"/>
        </w:rPr>
        <w:t>Collect data in connection with a statistical survey that is not designed to produce valid and reliable results that can be generalized to the universe of study;</w:t>
      </w:r>
    </w:p>
    <w:p w:rsidR="00A76C2C" w14:paraId="32D37B0E" w14:textId="77777777">
      <w:pPr>
        <w:pStyle w:val="ListParagraph"/>
        <w:numPr>
          <w:ilvl w:val="0"/>
          <w:numId w:val="2"/>
        </w:numPr>
        <w:tabs>
          <w:tab w:val="left" w:pos="839"/>
        </w:tabs>
        <w:spacing w:line="293" w:lineRule="exact"/>
        <w:ind w:left="839" w:hanging="359"/>
        <w:rPr>
          <w:sz w:val="24"/>
        </w:rPr>
      </w:pPr>
      <w:r>
        <w:rPr>
          <w:sz w:val="24"/>
        </w:rPr>
        <w:t>Use</w:t>
      </w:r>
      <w:r>
        <w:rPr>
          <w:spacing w:val="2"/>
          <w:sz w:val="24"/>
        </w:rPr>
        <w:t xml:space="preserve"> </w:t>
      </w:r>
      <w:r>
        <w:rPr>
          <w:sz w:val="24"/>
        </w:rPr>
        <w:t>a</w:t>
      </w:r>
      <w:r>
        <w:rPr>
          <w:spacing w:val="3"/>
          <w:sz w:val="24"/>
        </w:rPr>
        <w:t xml:space="preserve"> </w:t>
      </w:r>
      <w:r>
        <w:rPr>
          <w:sz w:val="24"/>
        </w:rPr>
        <w:t>statistical</w:t>
      </w:r>
      <w:r>
        <w:rPr>
          <w:spacing w:val="4"/>
          <w:sz w:val="24"/>
        </w:rPr>
        <w:t xml:space="preserve"> </w:t>
      </w:r>
      <w:r>
        <w:rPr>
          <w:sz w:val="24"/>
        </w:rPr>
        <w:t>data</w:t>
      </w:r>
      <w:r>
        <w:rPr>
          <w:spacing w:val="5"/>
          <w:sz w:val="24"/>
        </w:rPr>
        <w:t xml:space="preserve"> </w:t>
      </w:r>
      <w:r>
        <w:rPr>
          <w:sz w:val="24"/>
        </w:rPr>
        <w:t>classification</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not</w:t>
      </w:r>
      <w:r>
        <w:rPr>
          <w:spacing w:val="4"/>
          <w:sz w:val="24"/>
        </w:rPr>
        <w:t xml:space="preserve"> </w:t>
      </w:r>
      <w:r>
        <w:rPr>
          <w:sz w:val="24"/>
        </w:rPr>
        <w:t>been</w:t>
      </w:r>
      <w:r>
        <w:rPr>
          <w:spacing w:val="5"/>
          <w:sz w:val="24"/>
        </w:rPr>
        <w:t xml:space="preserve"> </w:t>
      </w:r>
      <w:r>
        <w:rPr>
          <w:sz w:val="24"/>
        </w:rPr>
        <w:t>reviewed</w:t>
      </w:r>
      <w:r>
        <w:rPr>
          <w:spacing w:val="6"/>
          <w:sz w:val="24"/>
        </w:rPr>
        <w:t xml:space="preserve"> </w:t>
      </w:r>
      <w:r>
        <w:rPr>
          <w:sz w:val="24"/>
        </w:rPr>
        <w:t>and</w:t>
      </w:r>
      <w:r>
        <w:rPr>
          <w:spacing w:val="4"/>
          <w:sz w:val="24"/>
        </w:rPr>
        <w:t xml:space="preserve"> </w:t>
      </w:r>
      <w:r>
        <w:rPr>
          <w:sz w:val="24"/>
        </w:rPr>
        <w:t>approved</w:t>
      </w:r>
      <w:r>
        <w:rPr>
          <w:spacing w:val="2"/>
          <w:sz w:val="24"/>
        </w:rPr>
        <w:t xml:space="preserve"> </w:t>
      </w:r>
      <w:r>
        <w:rPr>
          <w:sz w:val="24"/>
        </w:rPr>
        <w:t>by</w:t>
      </w:r>
      <w:r>
        <w:rPr>
          <w:spacing w:val="4"/>
          <w:sz w:val="24"/>
        </w:rPr>
        <w:t xml:space="preserve"> </w:t>
      </w:r>
      <w:r>
        <w:rPr>
          <w:spacing w:val="-4"/>
          <w:sz w:val="24"/>
        </w:rPr>
        <w:t>OMB;</w:t>
      </w:r>
    </w:p>
    <w:p w:rsidR="00A76C2C" w14:paraId="762496E8" w14:textId="77777777">
      <w:pPr>
        <w:pStyle w:val="ListParagraph"/>
        <w:numPr>
          <w:ilvl w:val="0"/>
          <w:numId w:val="2"/>
        </w:numPr>
        <w:tabs>
          <w:tab w:val="left" w:pos="840"/>
        </w:tabs>
        <w:ind w:right="164"/>
        <w:rPr>
          <w:sz w:val="24"/>
        </w:rPr>
      </w:pPr>
      <w:r>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A5DE6" w:rsidP="001A5DE6" w14:paraId="1812EDEC" w14:textId="38CDE6B8">
      <w:pPr>
        <w:pStyle w:val="ListParagraph"/>
        <w:numPr>
          <w:ilvl w:val="0"/>
          <w:numId w:val="2"/>
        </w:numPr>
        <w:tabs>
          <w:tab w:val="left" w:pos="840"/>
        </w:tabs>
        <w:ind w:right="172"/>
        <w:rPr>
          <w:sz w:val="24"/>
        </w:rPr>
      </w:pPr>
      <w:r>
        <w:rPr>
          <w:sz w:val="24"/>
        </w:rPr>
        <w:t>Submit proprietary trade secret, or other confidential information unless the agency can demonstrate that it has instituted procedures to protect the information's confidentiality to the extent permitted by law.</w:t>
      </w:r>
    </w:p>
    <w:p w:rsidR="00A76C2C" w14:paraId="4287DB1A" w14:textId="77777777">
      <w:pPr>
        <w:pStyle w:val="ListParagraph"/>
        <w:numPr>
          <w:ilvl w:val="1"/>
          <w:numId w:val="4"/>
        </w:numPr>
        <w:tabs>
          <w:tab w:val="left" w:pos="659"/>
        </w:tabs>
        <w:spacing w:before="273"/>
        <w:ind w:left="659" w:hanging="539"/>
        <w:rPr>
          <w:sz w:val="24"/>
        </w:rPr>
      </w:pPr>
      <w:r>
        <w:rPr>
          <w:sz w:val="24"/>
          <w:u w:val="single"/>
        </w:rPr>
        <w:t>Federal</w:t>
      </w:r>
      <w:r>
        <w:rPr>
          <w:spacing w:val="-3"/>
          <w:sz w:val="24"/>
          <w:u w:val="single"/>
        </w:rPr>
        <w:t xml:space="preserve"> </w:t>
      </w:r>
      <w:r>
        <w:rPr>
          <w:sz w:val="24"/>
          <w:u w:val="single"/>
        </w:rPr>
        <w:t>Register</w:t>
      </w:r>
      <w:r>
        <w:rPr>
          <w:spacing w:val="-3"/>
          <w:sz w:val="24"/>
          <w:u w:val="single"/>
        </w:rPr>
        <w:t xml:space="preserve"> </w:t>
      </w:r>
      <w:r>
        <w:rPr>
          <w:sz w:val="24"/>
          <w:u w:val="single"/>
        </w:rPr>
        <w:t>Notice/Outside</w:t>
      </w:r>
      <w:r>
        <w:rPr>
          <w:spacing w:val="-2"/>
          <w:sz w:val="24"/>
          <w:u w:val="single"/>
        </w:rPr>
        <w:t xml:space="preserve"> Consultation</w:t>
      </w:r>
    </w:p>
    <w:p w:rsidR="00D7780C" w:rsidRPr="00D7780C" w:rsidP="006F0E4B" w14:paraId="421C8F87" w14:textId="44EE43F6">
      <w:pPr>
        <w:pStyle w:val="BodyText"/>
        <w:spacing w:before="276"/>
        <w:ind w:left="120" w:right="209"/>
      </w:pPr>
      <w:r w:rsidRPr="00236B20">
        <w:t>This iteration did not involve outside consultation.</w:t>
      </w:r>
      <w:bookmarkStart w:id="9" w:name="9._Payments/Gifts_to_Respondents"/>
      <w:bookmarkEnd w:id="9"/>
    </w:p>
    <w:p w:rsidR="00D7780C" w:rsidP="00D7780C" w14:paraId="0FF905F5" w14:textId="77777777"/>
    <w:p w:rsidR="00A76C2C" w:rsidRPr="00D7780C" w:rsidP="00D7780C" w14:paraId="3F203869" w14:textId="56384D2B">
      <w:pPr>
        <w:pStyle w:val="ListParagraph"/>
        <w:numPr>
          <w:ilvl w:val="1"/>
          <w:numId w:val="4"/>
        </w:numPr>
        <w:rPr>
          <w:sz w:val="24"/>
        </w:rPr>
      </w:pPr>
      <w:r w:rsidRPr="00D7780C">
        <w:rPr>
          <w:sz w:val="24"/>
          <w:u w:val="single"/>
        </w:rPr>
        <w:t>Payments/Gifts</w:t>
      </w:r>
      <w:r w:rsidRPr="00D7780C">
        <w:rPr>
          <w:spacing w:val="-4"/>
          <w:sz w:val="24"/>
          <w:u w:val="single"/>
        </w:rPr>
        <w:t xml:space="preserve"> </w:t>
      </w:r>
      <w:r w:rsidRPr="00D7780C">
        <w:rPr>
          <w:sz w:val="24"/>
          <w:u w:val="single"/>
        </w:rPr>
        <w:t>to</w:t>
      </w:r>
      <w:r w:rsidRPr="00D7780C">
        <w:rPr>
          <w:spacing w:val="-2"/>
          <w:sz w:val="24"/>
          <w:u w:val="single"/>
        </w:rPr>
        <w:t xml:space="preserve"> Respondents</w:t>
      </w:r>
    </w:p>
    <w:p w:rsidR="00A76C2C" w14:paraId="5220F8FF" w14:textId="77777777">
      <w:pPr>
        <w:pStyle w:val="BodyText"/>
      </w:pPr>
    </w:p>
    <w:p w:rsidR="00A76C2C" w14:paraId="55FD3B35" w14:textId="77777777">
      <w:pPr>
        <w:pStyle w:val="BodyText"/>
        <w:ind w:left="120" w:right="296"/>
      </w:pPr>
      <w:r>
        <w:t>In accordance with § 423.2504, approved direct reimbursement requests will result in the LI NET sponsor reimbursing beneficiaries for claims paid out of pocket during their period of LI NET eligibility.</w:t>
      </w:r>
    </w:p>
    <w:p w:rsidR="00A76C2C" w14:paraId="6ED541A8" w14:textId="77777777">
      <w:pPr>
        <w:pStyle w:val="BodyText"/>
      </w:pPr>
    </w:p>
    <w:p w:rsidR="00A76C2C" w14:paraId="0644CF55" w14:textId="77777777">
      <w:pPr>
        <w:pStyle w:val="ListParagraph"/>
        <w:numPr>
          <w:ilvl w:val="1"/>
          <w:numId w:val="4"/>
        </w:numPr>
        <w:tabs>
          <w:tab w:val="left" w:pos="659"/>
        </w:tabs>
        <w:ind w:left="659" w:hanging="539"/>
        <w:rPr>
          <w:sz w:val="24"/>
        </w:rPr>
      </w:pPr>
      <w:bookmarkStart w:id="10" w:name="10._Confidentiality"/>
      <w:bookmarkEnd w:id="10"/>
      <w:r>
        <w:rPr>
          <w:spacing w:val="-2"/>
          <w:sz w:val="24"/>
          <w:u w:val="single"/>
        </w:rPr>
        <w:t>Confidentiality</w:t>
      </w:r>
    </w:p>
    <w:p w:rsidR="00A76C2C" w14:paraId="18D2A8C1" w14:textId="77777777">
      <w:pPr>
        <w:pStyle w:val="BodyText"/>
      </w:pPr>
    </w:p>
    <w:p w:rsidR="00A76C2C" w14:paraId="64A0A26B" w14:textId="77777777">
      <w:pPr>
        <w:pStyle w:val="BodyText"/>
        <w:ind w:left="120" w:right="194"/>
      </w:pPr>
      <w:r>
        <w:t>The information collected from Medicare beneficiaries and contained in medical records, and other health and enrollment information, is disclosed as specified in the System of Records</w:t>
      </w:r>
      <w:r>
        <w:rPr>
          <w:spacing w:val="80"/>
        </w:rPr>
        <w:t xml:space="preserve"> </w:t>
      </w:r>
      <w:r>
        <w:t>Notice (SORN) “Medicare Advantage Prescription Drug (MARx)”, System No. 09-70-0588 (February 14, 2018; 83 FR 6591). Sections 1851 and 1860D-1 of the Act and 42 CFR 423.30 and</w:t>
      </w:r>
    </w:p>
    <w:p w:rsidR="00A76C2C" w14:paraId="0183C674" w14:textId="77777777">
      <w:pPr>
        <w:pStyle w:val="BodyText"/>
        <w:ind w:left="120"/>
      </w:pPr>
      <w:r>
        <w:t>423.32 authorize the collection of this information including all Federal and State laws regarding confidentiality and disclosure.</w:t>
      </w:r>
    </w:p>
    <w:p w:rsidR="00A76C2C" w14:paraId="376112FA" w14:textId="77777777">
      <w:pPr>
        <w:pStyle w:val="BodyText"/>
      </w:pPr>
    </w:p>
    <w:p w:rsidR="00A76C2C" w14:paraId="2221DB90" w14:textId="77777777">
      <w:pPr>
        <w:pStyle w:val="ListParagraph"/>
        <w:numPr>
          <w:ilvl w:val="1"/>
          <w:numId w:val="4"/>
        </w:numPr>
        <w:tabs>
          <w:tab w:val="left" w:pos="659"/>
        </w:tabs>
        <w:ind w:left="659" w:hanging="539"/>
        <w:rPr>
          <w:sz w:val="24"/>
        </w:rPr>
      </w:pPr>
      <w:bookmarkStart w:id="11" w:name="11._Sensitive_Questions"/>
      <w:bookmarkEnd w:id="11"/>
      <w:r>
        <w:rPr>
          <w:sz w:val="24"/>
          <w:u w:val="single"/>
        </w:rPr>
        <w:t>Sensitive</w:t>
      </w:r>
      <w:r>
        <w:rPr>
          <w:spacing w:val="-3"/>
          <w:sz w:val="24"/>
          <w:u w:val="single"/>
        </w:rPr>
        <w:t xml:space="preserve"> </w:t>
      </w:r>
      <w:r>
        <w:rPr>
          <w:spacing w:val="-2"/>
          <w:sz w:val="24"/>
          <w:u w:val="single"/>
        </w:rPr>
        <w:t>Questions</w:t>
      </w:r>
    </w:p>
    <w:p w:rsidR="00A76C2C" w14:paraId="07F0E0FB" w14:textId="77777777">
      <w:pPr>
        <w:pStyle w:val="BodyText"/>
      </w:pPr>
    </w:p>
    <w:p w:rsidR="00683EAB" w:rsidP="00683EAB" w14:paraId="67CA0382" w14:textId="3A54AF1F">
      <w:pPr>
        <w:pStyle w:val="BodyText"/>
        <w:ind w:left="120" w:right="209"/>
      </w:pPr>
      <w:r w:rsidRPr="002C6855">
        <w:t>The collection does not solicit questions, such as sexual behavior and attitudes, religious beliefs, and other matters that are commonly considered private. More importantly, the collection fully informs enrollees that a response is optional and coverage can’t be denied because the enrollee declines to respond</w:t>
      </w:r>
      <w:r w:rsidRPr="00683EAB">
        <w:t>. </w:t>
      </w:r>
    </w:p>
    <w:p w:rsidR="00A76C2C" w14:paraId="289E949B" w14:textId="77777777">
      <w:pPr>
        <w:pStyle w:val="BodyText"/>
      </w:pPr>
    </w:p>
    <w:p w:rsidR="00A76C2C" w14:paraId="66B7D91F" w14:textId="77777777">
      <w:pPr>
        <w:pStyle w:val="ListParagraph"/>
        <w:numPr>
          <w:ilvl w:val="1"/>
          <w:numId w:val="4"/>
        </w:numPr>
        <w:tabs>
          <w:tab w:val="left" w:pos="659"/>
        </w:tabs>
        <w:ind w:left="659" w:hanging="539"/>
        <w:rPr>
          <w:sz w:val="24"/>
        </w:rPr>
      </w:pPr>
      <w:bookmarkStart w:id="12" w:name="12._Burden_Estimates"/>
      <w:bookmarkEnd w:id="12"/>
      <w:r>
        <w:rPr>
          <w:sz w:val="24"/>
          <w:u w:val="single"/>
        </w:rPr>
        <w:t>Burden</w:t>
      </w:r>
      <w:r>
        <w:rPr>
          <w:spacing w:val="-2"/>
          <w:sz w:val="24"/>
          <w:u w:val="single"/>
        </w:rPr>
        <w:t xml:space="preserve"> Estimates</w:t>
      </w:r>
    </w:p>
    <w:p w:rsidR="00A76C2C" w14:paraId="361159CC" w14:textId="77777777">
      <w:pPr>
        <w:pStyle w:val="BodyText"/>
      </w:pPr>
    </w:p>
    <w:p w:rsidR="00A76C2C" w14:paraId="52AEB14A" w14:textId="77777777">
      <w:pPr>
        <w:ind w:left="120"/>
        <w:rPr>
          <w:i/>
          <w:sz w:val="24"/>
        </w:rPr>
      </w:pPr>
      <w:bookmarkStart w:id="13" w:name="Wage_Estimates"/>
      <w:bookmarkEnd w:id="13"/>
      <w:r>
        <w:rPr>
          <w:i/>
          <w:sz w:val="24"/>
        </w:rPr>
        <w:t>Wage</w:t>
      </w:r>
      <w:r>
        <w:rPr>
          <w:i/>
          <w:spacing w:val="-2"/>
          <w:sz w:val="24"/>
        </w:rPr>
        <w:t xml:space="preserve"> Estimates</w:t>
      </w:r>
    </w:p>
    <w:p w:rsidR="00A76C2C" w14:paraId="12D436FB" w14:textId="77777777">
      <w:pPr>
        <w:pStyle w:val="BodyText"/>
        <w:rPr>
          <w:i/>
        </w:rPr>
      </w:pPr>
    </w:p>
    <w:p w:rsidR="00A76C2C" w14:paraId="724DFF84" w14:textId="77777777">
      <w:pPr>
        <w:pStyle w:val="BodyText"/>
        <w:ind w:left="120" w:right="249"/>
      </w:pPr>
      <w:r>
        <w:rPr>
          <w:u w:val="single"/>
        </w:rPr>
        <w:t xml:space="preserve">Private Sector Wages: </w:t>
      </w:r>
      <w:r>
        <w:t>To derive average costs, we used data from the U.S. Bureau of Labor Statistics’ May 2022 National Occupational Employment and Wage Estimates (</w:t>
      </w:r>
      <w:hyperlink r:id="rId4">
        <w:r>
          <w:rPr>
            <w:color w:val="0000FF"/>
            <w:u w:val="single" w:color="0000FF"/>
          </w:rPr>
          <w:t>https://www.bls.gov/oes/current/oes_nat.htm</w:t>
        </w:r>
      </w:hyperlink>
      <w:r>
        <w:t>). In this regard, the following table presents BLS’ mean hourly wage, our estimated cost of fringe benefits and other indirect costs (calculated at 100 percent of salary), and our adjusted hourly wage.</w:t>
      </w:r>
    </w:p>
    <w:p w:rsidR="00A76C2C" w14:paraId="35505DF8" w14:textId="77777777">
      <w:pPr>
        <w:pStyle w:val="BodyText"/>
        <w:spacing w:before="47"/>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03"/>
        <w:gridCol w:w="1884"/>
        <w:gridCol w:w="1886"/>
        <w:gridCol w:w="1884"/>
        <w:gridCol w:w="1894"/>
      </w:tblGrid>
      <w:tr w14:paraId="5BEE90C3"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903" w:type="dxa"/>
          </w:tcPr>
          <w:p w:rsidR="00A76C2C" w14:paraId="6731C60A" w14:textId="77777777">
            <w:pPr>
              <w:pStyle w:val="TableParagraph"/>
              <w:spacing w:line="275" w:lineRule="exact"/>
              <w:rPr>
                <w:sz w:val="24"/>
              </w:rPr>
            </w:pPr>
            <w:r>
              <w:rPr>
                <w:sz w:val="24"/>
              </w:rPr>
              <w:t>Occupation</w:t>
            </w:r>
            <w:r>
              <w:rPr>
                <w:spacing w:val="-4"/>
                <w:sz w:val="24"/>
              </w:rPr>
              <w:t xml:space="preserve"> </w:t>
            </w:r>
            <w:r>
              <w:rPr>
                <w:spacing w:val="-2"/>
                <w:sz w:val="24"/>
              </w:rPr>
              <w:t>Title</w:t>
            </w:r>
          </w:p>
        </w:tc>
        <w:tc>
          <w:tcPr>
            <w:tcW w:w="1884" w:type="dxa"/>
          </w:tcPr>
          <w:p w:rsidR="00A76C2C" w14:paraId="7B874A64" w14:textId="77777777">
            <w:pPr>
              <w:pStyle w:val="TableParagraph"/>
              <w:ind w:left="108" w:right="274"/>
              <w:rPr>
                <w:sz w:val="24"/>
              </w:rPr>
            </w:pPr>
            <w:r>
              <w:rPr>
                <w:spacing w:val="-2"/>
                <w:sz w:val="24"/>
              </w:rPr>
              <w:t xml:space="preserve">Occupation </w:t>
            </w:r>
            <w:r>
              <w:rPr>
                <w:spacing w:val="-4"/>
                <w:sz w:val="24"/>
              </w:rPr>
              <w:t>Code</w:t>
            </w:r>
          </w:p>
        </w:tc>
        <w:tc>
          <w:tcPr>
            <w:tcW w:w="1886" w:type="dxa"/>
          </w:tcPr>
          <w:p w:rsidR="00A76C2C" w14:paraId="103DD997" w14:textId="77777777">
            <w:pPr>
              <w:pStyle w:val="TableParagraph"/>
              <w:ind w:right="482"/>
              <w:rPr>
                <w:sz w:val="24"/>
              </w:rPr>
            </w:pPr>
            <w:r>
              <w:rPr>
                <w:sz w:val="24"/>
              </w:rPr>
              <w:t>Mean</w:t>
            </w:r>
            <w:r>
              <w:rPr>
                <w:spacing w:val="-15"/>
                <w:sz w:val="24"/>
              </w:rPr>
              <w:t xml:space="preserve"> </w:t>
            </w:r>
            <w:r>
              <w:rPr>
                <w:sz w:val="24"/>
              </w:rPr>
              <w:t>Hourly Wage ($/</w:t>
            </w:r>
            <w:r>
              <w:rPr>
                <w:sz w:val="24"/>
              </w:rPr>
              <w:t>hr</w:t>
            </w:r>
            <w:r>
              <w:rPr>
                <w:sz w:val="24"/>
              </w:rPr>
              <w:t>)</w:t>
            </w:r>
          </w:p>
        </w:tc>
        <w:tc>
          <w:tcPr>
            <w:tcW w:w="1884" w:type="dxa"/>
          </w:tcPr>
          <w:p w:rsidR="00A76C2C" w14:paraId="2FD121B1" w14:textId="77777777">
            <w:pPr>
              <w:pStyle w:val="TableParagraph"/>
              <w:spacing w:line="276" w:lineRule="exact"/>
              <w:ind w:left="108" w:right="274"/>
              <w:rPr>
                <w:sz w:val="24"/>
              </w:rPr>
            </w:pPr>
            <w:r>
              <w:rPr>
                <w:sz w:val="24"/>
              </w:rPr>
              <w:t>Fringe</w:t>
            </w:r>
            <w:r>
              <w:rPr>
                <w:spacing w:val="-15"/>
                <w:sz w:val="24"/>
              </w:rPr>
              <w:t xml:space="preserve"> </w:t>
            </w:r>
            <w:r>
              <w:rPr>
                <w:sz w:val="24"/>
              </w:rPr>
              <w:t xml:space="preserve">Benefits and Other Indirect Costs </w:t>
            </w:r>
            <w:r>
              <w:rPr>
                <w:spacing w:val="-2"/>
                <w:sz w:val="24"/>
              </w:rPr>
              <w:t>($/hr)</w:t>
            </w:r>
          </w:p>
        </w:tc>
        <w:tc>
          <w:tcPr>
            <w:tcW w:w="1894" w:type="dxa"/>
          </w:tcPr>
          <w:p w:rsidR="00A76C2C" w14:paraId="050640BF" w14:textId="77777777">
            <w:pPr>
              <w:pStyle w:val="TableParagraph"/>
              <w:ind w:left="108" w:right="284"/>
              <w:rPr>
                <w:sz w:val="24"/>
              </w:rPr>
            </w:pPr>
            <w:r>
              <w:rPr>
                <w:sz w:val="24"/>
              </w:rPr>
              <w:t>Adjusted</w:t>
            </w:r>
            <w:r>
              <w:rPr>
                <w:spacing w:val="-15"/>
                <w:sz w:val="24"/>
              </w:rPr>
              <w:t xml:space="preserve"> </w:t>
            </w:r>
            <w:r>
              <w:rPr>
                <w:sz w:val="24"/>
              </w:rPr>
              <w:t xml:space="preserve">Wage </w:t>
            </w:r>
            <w:r>
              <w:rPr>
                <w:spacing w:val="-2"/>
                <w:sz w:val="24"/>
              </w:rPr>
              <w:t>($/hr)</w:t>
            </w:r>
          </w:p>
        </w:tc>
      </w:tr>
      <w:tr w14:paraId="6FFEEBA6" w14:textId="77777777">
        <w:tblPrEx>
          <w:tblW w:w="0" w:type="auto"/>
          <w:tblInd w:w="130" w:type="dxa"/>
          <w:tblLayout w:type="fixed"/>
          <w:tblCellMar>
            <w:left w:w="0" w:type="dxa"/>
            <w:right w:w="0" w:type="dxa"/>
          </w:tblCellMar>
          <w:tblLook w:val="01E0"/>
        </w:tblPrEx>
        <w:trPr>
          <w:trHeight w:val="1103"/>
        </w:trPr>
        <w:tc>
          <w:tcPr>
            <w:tcW w:w="1903" w:type="dxa"/>
          </w:tcPr>
          <w:p w:rsidR="00A76C2C" w14:paraId="6A347D93" w14:textId="77777777">
            <w:pPr>
              <w:pStyle w:val="TableParagraph"/>
              <w:spacing w:line="276" w:lineRule="exact"/>
              <w:ind w:right="414"/>
              <w:rPr>
                <w:sz w:val="24"/>
              </w:rPr>
            </w:pPr>
            <w:r>
              <w:rPr>
                <w:spacing w:val="-2"/>
                <w:sz w:val="24"/>
              </w:rPr>
              <w:t xml:space="preserve">Business operations </w:t>
            </w:r>
            <w:r>
              <w:rPr>
                <w:sz w:val="24"/>
              </w:rPr>
              <w:t>specialists</w:t>
            </w:r>
            <w:r>
              <w:rPr>
                <w:spacing w:val="-15"/>
                <w:sz w:val="24"/>
              </w:rPr>
              <w:t xml:space="preserve"> </w:t>
            </w:r>
            <w:r>
              <w:rPr>
                <w:sz w:val="24"/>
              </w:rPr>
              <w:t xml:space="preserve">(all </w:t>
            </w:r>
            <w:r>
              <w:rPr>
                <w:spacing w:val="-2"/>
                <w:sz w:val="24"/>
              </w:rPr>
              <w:t>others)</w:t>
            </w:r>
          </w:p>
        </w:tc>
        <w:tc>
          <w:tcPr>
            <w:tcW w:w="1884" w:type="dxa"/>
          </w:tcPr>
          <w:p w:rsidR="00A76C2C" w14:paraId="7AC27074" w14:textId="77777777">
            <w:pPr>
              <w:pStyle w:val="TableParagraph"/>
              <w:spacing w:line="275" w:lineRule="exact"/>
              <w:ind w:left="108"/>
              <w:rPr>
                <w:sz w:val="24"/>
              </w:rPr>
            </w:pPr>
            <w:r>
              <w:rPr>
                <w:spacing w:val="-2"/>
                <w:sz w:val="24"/>
              </w:rPr>
              <w:t>13-</w:t>
            </w:r>
            <w:r>
              <w:rPr>
                <w:spacing w:val="-4"/>
                <w:sz w:val="24"/>
              </w:rPr>
              <w:t>1199</w:t>
            </w:r>
          </w:p>
        </w:tc>
        <w:tc>
          <w:tcPr>
            <w:tcW w:w="1886" w:type="dxa"/>
          </w:tcPr>
          <w:p w:rsidR="00A76C2C" w14:paraId="1060FC3E" w14:textId="77777777">
            <w:pPr>
              <w:pStyle w:val="TableParagraph"/>
              <w:spacing w:line="275" w:lineRule="exact"/>
              <w:rPr>
                <w:sz w:val="24"/>
              </w:rPr>
            </w:pPr>
            <w:r>
              <w:rPr>
                <w:spacing w:val="-2"/>
                <w:sz w:val="24"/>
              </w:rPr>
              <w:t>39.75</w:t>
            </w:r>
          </w:p>
        </w:tc>
        <w:tc>
          <w:tcPr>
            <w:tcW w:w="1884" w:type="dxa"/>
          </w:tcPr>
          <w:p w:rsidR="00A76C2C" w14:paraId="73B991CA" w14:textId="77777777">
            <w:pPr>
              <w:pStyle w:val="TableParagraph"/>
              <w:spacing w:line="275" w:lineRule="exact"/>
              <w:ind w:left="348"/>
              <w:rPr>
                <w:sz w:val="24"/>
              </w:rPr>
            </w:pPr>
            <w:r>
              <w:rPr>
                <w:spacing w:val="-2"/>
                <w:sz w:val="24"/>
              </w:rPr>
              <w:t>39.75</w:t>
            </w:r>
          </w:p>
        </w:tc>
        <w:tc>
          <w:tcPr>
            <w:tcW w:w="1894" w:type="dxa"/>
          </w:tcPr>
          <w:p w:rsidR="00A76C2C" w14:paraId="311AE639" w14:textId="77777777">
            <w:pPr>
              <w:pStyle w:val="TableParagraph"/>
              <w:spacing w:line="275" w:lineRule="exact"/>
              <w:ind w:left="228"/>
              <w:rPr>
                <w:sz w:val="24"/>
              </w:rPr>
            </w:pPr>
            <w:r>
              <w:rPr>
                <w:spacing w:val="-2"/>
                <w:sz w:val="24"/>
              </w:rPr>
              <w:t>79.50</w:t>
            </w:r>
          </w:p>
        </w:tc>
      </w:tr>
      <w:tr w14:paraId="2555F851" w14:textId="77777777">
        <w:tblPrEx>
          <w:tblW w:w="0" w:type="auto"/>
          <w:tblInd w:w="130" w:type="dxa"/>
          <w:tblLayout w:type="fixed"/>
          <w:tblCellMar>
            <w:left w:w="0" w:type="dxa"/>
            <w:right w:w="0" w:type="dxa"/>
          </w:tblCellMar>
          <w:tblLook w:val="01E0"/>
        </w:tblPrEx>
        <w:trPr>
          <w:trHeight w:val="274"/>
        </w:trPr>
        <w:tc>
          <w:tcPr>
            <w:tcW w:w="1903" w:type="dxa"/>
          </w:tcPr>
          <w:p w:rsidR="00A76C2C" w14:paraId="21A3426E" w14:textId="77777777">
            <w:pPr>
              <w:pStyle w:val="TableParagraph"/>
              <w:spacing w:line="255" w:lineRule="exact"/>
              <w:rPr>
                <w:sz w:val="24"/>
              </w:rPr>
            </w:pPr>
            <w:r>
              <w:rPr>
                <w:spacing w:val="-2"/>
                <w:sz w:val="24"/>
              </w:rPr>
              <w:t>Pharmacist</w:t>
            </w:r>
          </w:p>
        </w:tc>
        <w:tc>
          <w:tcPr>
            <w:tcW w:w="1884" w:type="dxa"/>
          </w:tcPr>
          <w:p w:rsidR="00A76C2C" w14:paraId="0F384B02" w14:textId="77777777">
            <w:pPr>
              <w:pStyle w:val="TableParagraph"/>
              <w:spacing w:line="255" w:lineRule="exact"/>
              <w:ind w:left="108"/>
              <w:rPr>
                <w:sz w:val="24"/>
              </w:rPr>
            </w:pPr>
            <w:r>
              <w:rPr>
                <w:spacing w:val="-2"/>
                <w:sz w:val="24"/>
              </w:rPr>
              <w:t>29-</w:t>
            </w:r>
            <w:r>
              <w:rPr>
                <w:spacing w:val="-4"/>
                <w:sz w:val="24"/>
              </w:rPr>
              <w:t>1051</w:t>
            </w:r>
          </w:p>
        </w:tc>
        <w:tc>
          <w:tcPr>
            <w:tcW w:w="1886" w:type="dxa"/>
          </w:tcPr>
          <w:p w:rsidR="00A76C2C" w14:paraId="7DA2456B" w14:textId="77777777">
            <w:pPr>
              <w:pStyle w:val="TableParagraph"/>
              <w:spacing w:line="255" w:lineRule="exact"/>
              <w:rPr>
                <w:sz w:val="24"/>
              </w:rPr>
            </w:pPr>
            <w:r>
              <w:rPr>
                <w:spacing w:val="-2"/>
                <w:sz w:val="24"/>
              </w:rPr>
              <w:t>62.22</w:t>
            </w:r>
          </w:p>
        </w:tc>
        <w:tc>
          <w:tcPr>
            <w:tcW w:w="1884" w:type="dxa"/>
          </w:tcPr>
          <w:p w:rsidR="00A76C2C" w14:paraId="554E14D4" w14:textId="77777777">
            <w:pPr>
              <w:pStyle w:val="TableParagraph"/>
              <w:spacing w:line="255" w:lineRule="exact"/>
              <w:ind w:left="108"/>
              <w:rPr>
                <w:sz w:val="24"/>
              </w:rPr>
            </w:pPr>
            <w:r>
              <w:rPr>
                <w:spacing w:val="-2"/>
                <w:sz w:val="24"/>
              </w:rPr>
              <w:t>62.22</w:t>
            </w:r>
          </w:p>
        </w:tc>
        <w:tc>
          <w:tcPr>
            <w:tcW w:w="1894" w:type="dxa"/>
          </w:tcPr>
          <w:p w:rsidR="00A76C2C" w14:paraId="2F81E5B4" w14:textId="77777777">
            <w:pPr>
              <w:pStyle w:val="TableParagraph"/>
              <w:spacing w:line="255" w:lineRule="exact"/>
              <w:ind w:left="228"/>
              <w:rPr>
                <w:sz w:val="24"/>
              </w:rPr>
            </w:pPr>
            <w:r>
              <w:rPr>
                <w:spacing w:val="-2"/>
                <w:sz w:val="24"/>
              </w:rPr>
              <w:t>124.44</w:t>
            </w:r>
          </w:p>
        </w:tc>
      </w:tr>
    </w:tbl>
    <w:p w:rsidR="00A76C2C" w14:paraId="6E2411AA" w14:textId="77777777">
      <w:pPr>
        <w:pStyle w:val="BodyText"/>
        <w:spacing w:before="242"/>
      </w:pPr>
    </w:p>
    <w:p w:rsidR="00A76C2C" w:rsidP="006D20C0" w14:paraId="46417C03" w14:textId="09A577D6">
      <w:pPr>
        <w:pStyle w:val="BodyText"/>
        <w:spacing w:before="1"/>
        <w:ind w:left="120"/>
      </w:pPr>
      <w:r>
        <w:t>As</w:t>
      </w:r>
      <w:r>
        <w:rPr>
          <w:spacing w:val="-3"/>
        </w:rPr>
        <w:t xml:space="preserve"> </w:t>
      </w:r>
      <w:r>
        <w:t>indicated</w:t>
      </w:r>
      <w:r>
        <w:rPr>
          <w:spacing w:val="-1"/>
        </w:rPr>
        <w:t xml:space="preserve"> </w:t>
      </w:r>
      <w:r>
        <w:t>in</w:t>
      </w:r>
      <w:r>
        <w:rPr>
          <w:spacing w:val="-1"/>
        </w:rPr>
        <w:t xml:space="preserve"> </w:t>
      </w:r>
      <w:r>
        <w:t>the</w:t>
      </w:r>
      <w:r>
        <w:rPr>
          <w:spacing w:val="-2"/>
        </w:rPr>
        <w:t xml:space="preserve"> </w:t>
      </w:r>
      <w:r>
        <w:t>preceding</w:t>
      </w:r>
      <w:r>
        <w:rPr>
          <w:spacing w:val="-1"/>
        </w:rPr>
        <w:t xml:space="preserve"> </w:t>
      </w:r>
      <w:r>
        <w:t>table,</w:t>
      </w:r>
      <w:r>
        <w:rPr>
          <w:spacing w:val="-1"/>
        </w:rPr>
        <w:t xml:space="preserve"> </w:t>
      </w:r>
      <w:r>
        <w:t>we</w:t>
      </w:r>
      <w:r>
        <w:rPr>
          <w:spacing w:val="-2"/>
        </w:rPr>
        <w:t xml:space="preserve"> </w:t>
      </w:r>
      <w:r>
        <w:t>are</w:t>
      </w:r>
      <w:r>
        <w:rPr>
          <w:spacing w:val="-2"/>
        </w:rPr>
        <w:t xml:space="preserve"> </w:t>
      </w:r>
      <w:r>
        <w:t>adjusting</w:t>
      </w:r>
      <w:r>
        <w:rPr>
          <w:spacing w:val="-1"/>
        </w:rPr>
        <w:t xml:space="preserve"> </w:t>
      </w:r>
      <w:r>
        <w:t>our</w:t>
      </w:r>
      <w:r>
        <w:rPr>
          <w:spacing w:val="-2"/>
        </w:rPr>
        <w:t xml:space="preserve"> </w:t>
      </w:r>
      <w:r>
        <w:t>employee</w:t>
      </w:r>
      <w:r>
        <w:rPr>
          <w:spacing w:val="-2"/>
        </w:rPr>
        <w:t xml:space="preserve"> </w:t>
      </w:r>
      <w:r>
        <w:t>hourly</w:t>
      </w:r>
      <w:r>
        <w:rPr>
          <w:spacing w:val="1"/>
        </w:rPr>
        <w:t xml:space="preserve"> </w:t>
      </w:r>
      <w:r>
        <w:t>wage</w:t>
      </w:r>
      <w:r>
        <w:rPr>
          <w:spacing w:val="-2"/>
        </w:rPr>
        <w:t xml:space="preserve"> </w:t>
      </w:r>
      <w:r>
        <w:t>estimates</w:t>
      </w:r>
      <w:r>
        <w:rPr>
          <w:spacing w:val="-1"/>
        </w:rPr>
        <w:t xml:space="preserve"> </w:t>
      </w:r>
      <w:r>
        <w:t>by</w:t>
      </w:r>
      <w:r>
        <w:rPr>
          <w:spacing w:val="1"/>
        </w:rPr>
        <w:t xml:space="preserve"> </w:t>
      </w:r>
      <w:r>
        <w:rPr>
          <w:spacing w:val="-10"/>
        </w:rPr>
        <w:t>a</w:t>
      </w:r>
      <w:r w:rsidR="006D20C0">
        <w:rPr>
          <w:spacing w:val="-10"/>
        </w:rPr>
        <w:t xml:space="preserve"> </w:t>
      </w:r>
      <w:r>
        <w:t>factor of 100 percent. This is necessarily a rough adjustment, both because fringe benefits and overhead</w:t>
      </w:r>
      <w:r>
        <w:rPr>
          <w:spacing w:val="-2"/>
        </w:rPr>
        <w:t xml:space="preserve"> </w:t>
      </w:r>
      <w:r>
        <w:t>costs</w:t>
      </w:r>
      <w:r>
        <w:rPr>
          <w:spacing w:val="-3"/>
        </w:rPr>
        <w:t xml:space="preserve"> </w:t>
      </w:r>
      <w:r>
        <w:t>vary</w:t>
      </w:r>
      <w:r>
        <w:rPr>
          <w:spacing w:val="-3"/>
        </w:rPr>
        <w:t xml:space="preserve"> </w:t>
      </w:r>
      <w:r>
        <w:t>significantly</w:t>
      </w:r>
      <w:r>
        <w:rPr>
          <w:spacing w:val="-3"/>
        </w:rPr>
        <w:t xml:space="preserve"> </w:t>
      </w:r>
      <w:r>
        <w:t>from</w:t>
      </w:r>
      <w:r>
        <w:rPr>
          <w:spacing w:val="-3"/>
        </w:rPr>
        <w:t xml:space="preserve"> </w:t>
      </w:r>
      <w:r>
        <w:t>employer</w:t>
      </w:r>
      <w:r>
        <w:rPr>
          <w:spacing w:val="-4"/>
        </w:rPr>
        <w:t xml:space="preserve"> </w:t>
      </w:r>
      <w:r>
        <w:t>to</w:t>
      </w:r>
      <w:r>
        <w:rPr>
          <w:spacing w:val="-3"/>
        </w:rPr>
        <w:t xml:space="preserve"> </w:t>
      </w:r>
      <w:r>
        <w:t>employer,</w:t>
      </w:r>
      <w:r>
        <w:rPr>
          <w:spacing w:val="-3"/>
        </w:rPr>
        <w:t xml:space="preserve"> </w:t>
      </w:r>
      <w:r>
        <w:t>and</w:t>
      </w:r>
      <w:r>
        <w:rPr>
          <w:spacing w:val="-3"/>
        </w:rPr>
        <w:t xml:space="preserve"> </w:t>
      </w:r>
      <w:r>
        <w:t>because</w:t>
      </w:r>
      <w:r>
        <w:rPr>
          <w:spacing w:val="-3"/>
        </w:rPr>
        <w:t xml:space="preserve"> </w:t>
      </w:r>
      <w:r>
        <w:t>methods</w:t>
      </w:r>
      <w:r>
        <w:rPr>
          <w:spacing w:val="-3"/>
        </w:rPr>
        <w:t xml:space="preserve"> </w:t>
      </w:r>
      <w:r>
        <w:t>of</w:t>
      </w:r>
      <w:r>
        <w:rPr>
          <w:spacing w:val="-4"/>
        </w:rPr>
        <w:t xml:space="preserve"> </w:t>
      </w:r>
      <w:r>
        <w:t>estimating these costs vary widely from study to study. Nonetheless, we believe that doubling the hourly wage to estimate total cost is a reasonably accurate estimation method.</w:t>
      </w:r>
    </w:p>
    <w:p w:rsidR="00A76C2C" w14:paraId="593F593A" w14:textId="77777777">
      <w:pPr>
        <w:pStyle w:val="BodyText"/>
      </w:pPr>
    </w:p>
    <w:p w:rsidR="00A76C2C" w14:paraId="6E4EF39D" w14:textId="77777777">
      <w:pPr>
        <w:pStyle w:val="BodyText"/>
        <w:ind w:left="120" w:right="217"/>
      </w:pPr>
      <w:r>
        <w:rPr>
          <w:u w:val="single"/>
        </w:rPr>
        <w:t>Wages for Beneficiaries:</w:t>
      </w:r>
      <w:r>
        <w:t xml:space="preserve"> We believe that the cost for beneficiaries undertaking administrative</w:t>
      </w:r>
      <w:r>
        <w:rPr>
          <w:spacing w:val="40"/>
        </w:rPr>
        <w:t xml:space="preserve"> </w:t>
      </w:r>
      <w:r>
        <w:t>and other tasks on their own time is a post-tax wage of $20.71/hr. The Valuing Time in U.S. Department of Health and Human Services Regulatory Impact Analyses: Conceptual Framework and Best Practices identifies the approach for valuing time when individuals undertake activities on their own time. To derive the costs for beneficiaries, a measurement of the usual weekly earnings of wage and salary workers of $998, divided by 40 hours to calculate an hourly pre-tax wage rate of $24.95/hr. This rate is adjusted downwards by an estimate of the effective tax rate for median income households of about 17 percent, resulting in the post-tax hourly wage rate of</w:t>
      </w:r>
    </w:p>
    <w:p w:rsidR="00A76C2C" w14:paraId="65E4BD4D" w14:textId="77777777">
      <w:pPr>
        <w:pStyle w:val="BodyText"/>
        <w:ind w:left="120"/>
      </w:pPr>
      <w:r>
        <w:t>$20.71/hr. Unlike our State and private sector wage adjustments, we are not adjusting beneficiary wages for fringe benefits and other indirect costs since the individuals’ activities, if any, would occur outside the scope of their employment.</w:t>
      </w:r>
    </w:p>
    <w:p w:rsidR="00A76C2C" w14:paraId="133F2923" w14:textId="77777777">
      <w:pPr>
        <w:pStyle w:val="BodyText"/>
        <w:spacing w:before="41"/>
      </w:pPr>
    </w:p>
    <w:p w:rsidR="00A76C2C" w14:paraId="7919E859" w14:textId="77777777">
      <w:pPr>
        <w:ind w:left="120"/>
        <w:rPr>
          <w:i/>
          <w:sz w:val="24"/>
        </w:rPr>
      </w:pPr>
      <w:bookmarkStart w:id="14" w:name="Information_Collection_Requirements_and_"/>
      <w:bookmarkEnd w:id="14"/>
      <w:r>
        <w:rPr>
          <w:i/>
          <w:sz w:val="24"/>
        </w:rPr>
        <w:t>Information</w:t>
      </w:r>
      <w:r>
        <w:rPr>
          <w:i/>
          <w:spacing w:val="-5"/>
          <w:sz w:val="24"/>
        </w:rPr>
        <w:t xml:space="preserve"> </w:t>
      </w:r>
      <w:r>
        <w:rPr>
          <w:i/>
          <w:sz w:val="24"/>
        </w:rPr>
        <w:t>Collection</w:t>
      </w:r>
      <w:r>
        <w:rPr>
          <w:i/>
          <w:spacing w:val="-2"/>
          <w:sz w:val="24"/>
        </w:rPr>
        <w:t xml:space="preserve"> </w:t>
      </w:r>
      <w:r>
        <w:rPr>
          <w:i/>
          <w:sz w:val="24"/>
        </w:rPr>
        <w:t>Requirements</w:t>
      </w:r>
      <w:r>
        <w:rPr>
          <w:i/>
          <w:spacing w:val="-2"/>
          <w:sz w:val="24"/>
        </w:rPr>
        <w:t xml:space="preserve"> </w:t>
      </w:r>
      <w:r>
        <w:rPr>
          <w:i/>
          <w:sz w:val="24"/>
        </w:rPr>
        <w:t>and</w:t>
      </w:r>
      <w:r>
        <w:rPr>
          <w:i/>
          <w:spacing w:val="-3"/>
          <w:sz w:val="24"/>
        </w:rPr>
        <w:t xml:space="preserve"> </w:t>
      </w:r>
      <w:r>
        <w:rPr>
          <w:i/>
          <w:sz w:val="24"/>
        </w:rPr>
        <w:t>Associated</w:t>
      </w:r>
      <w:r>
        <w:rPr>
          <w:i/>
          <w:spacing w:val="-2"/>
          <w:sz w:val="24"/>
        </w:rPr>
        <w:t xml:space="preserve"> </w:t>
      </w:r>
      <w:r>
        <w:rPr>
          <w:i/>
          <w:sz w:val="24"/>
        </w:rPr>
        <w:t>Burden</w:t>
      </w:r>
      <w:r>
        <w:rPr>
          <w:i/>
          <w:spacing w:val="-2"/>
          <w:sz w:val="24"/>
        </w:rPr>
        <w:t xml:space="preserve"> Estimates</w:t>
      </w:r>
    </w:p>
    <w:p w:rsidR="00A76C2C" w14:paraId="71F386DB" w14:textId="77777777">
      <w:pPr>
        <w:pStyle w:val="BodyText"/>
        <w:spacing w:before="41"/>
        <w:rPr>
          <w:i/>
        </w:rPr>
      </w:pPr>
    </w:p>
    <w:p w:rsidR="00A76C2C" w14:paraId="26896863" w14:textId="77777777">
      <w:pPr>
        <w:pStyle w:val="BodyText"/>
        <w:ind w:left="120" w:right="209"/>
      </w:pPr>
      <w:r>
        <w:t>This collection of information request is associated with our April 12, 2023 (88 FR 22120) final rule (CMS-4201-F; RIN 0938-AU96). We are setting out that rule’s PRA related requirements and burden estimates to comply with the requirements of the PRA.</w:t>
      </w:r>
    </w:p>
    <w:p w:rsidR="00A76C2C" w14:paraId="007655F1" w14:textId="77777777">
      <w:pPr>
        <w:pStyle w:val="BodyText"/>
      </w:pPr>
    </w:p>
    <w:p w:rsidR="00A76C2C" w14:paraId="56CBA5F6" w14:textId="77777777">
      <w:pPr>
        <w:pStyle w:val="BodyText"/>
        <w:ind w:left="120" w:right="234"/>
      </w:pPr>
      <w:r>
        <w:t>Section II.D.2 of the final rule describes the eligibility and enrollment in the LI NET program. While CMS automatically enrolls most LI NET beneficiaries, about 90-95% of LI NET beneficiaries, based on low-income data we maintain in our systems, we expect that some beneficiaries, about five to ten percent of LI NET beneficiaries, will enroll in LI NET using methods that may entail providing information. Some beneficiaries may enroll in LI NET at the point-of-sale</w:t>
      </w:r>
      <w:r>
        <w:rPr>
          <w:spacing w:val="-4"/>
        </w:rPr>
        <w:t xml:space="preserve"> </w:t>
      </w:r>
      <w:r>
        <w:t>(POS)</w:t>
      </w:r>
      <w:r>
        <w:rPr>
          <w:spacing w:val="-4"/>
        </w:rPr>
        <w:t xml:space="preserve"> </w:t>
      </w:r>
      <w:r>
        <w:t>at</w:t>
      </w:r>
      <w:r>
        <w:rPr>
          <w:spacing w:val="-1"/>
        </w:rPr>
        <w:t xml:space="preserve"> </w:t>
      </w:r>
      <w:r>
        <w:t>a</w:t>
      </w:r>
      <w:r>
        <w:rPr>
          <w:spacing w:val="-2"/>
        </w:rPr>
        <w:t xml:space="preserve"> </w:t>
      </w:r>
      <w:r>
        <w:t>pharmacy</w:t>
      </w:r>
      <w:r>
        <w:rPr>
          <w:spacing w:val="-3"/>
        </w:rPr>
        <w:t xml:space="preserve"> </w:t>
      </w:r>
      <w:r>
        <w:t>because:</w:t>
      </w:r>
      <w:r>
        <w:rPr>
          <w:spacing w:val="-3"/>
        </w:rPr>
        <w:t xml:space="preserve"> </w:t>
      </w:r>
      <w:r>
        <w:t>1)</w:t>
      </w:r>
      <w:r>
        <w:rPr>
          <w:spacing w:val="-4"/>
        </w:rPr>
        <w:t xml:space="preserve"> </w:t>
      </w:r>
      <w:r>
        <w:t>they</w:t>
      </w:r>
      <w:r>
        <w:rPr>
          <w:spacing w:val="-3"/>
        </w:rPr>
        <w:t xml:space="preserve"> </w:t>
      </w:r>
      <w:r>
        <w:t>are</w:t>
      </w:r>
      <w:r>
        <w:rPr>
          <w:spacing w:val="-4"/>
        </w:rPr>
        <w:t xml:space="preserve"> </w:t>
      </w:r>
      <w:r>
        <w:t>likely</w:t>
      </w:r>
      <w:r>
        <w:rPr>
          <w:spacing w:val="-3"/>
        </w:rPr>
        <w:t xml:space="preserve"> </w:t>
      </w:r>
      <w:r>
        <w:t>eligible</w:t>
      </w:r>
      <w:r>
        <w:rPr>
          <w:spacing w:val="-4"/>
        </w:rPr>
        <w:t xml:space="preserve"> </w:t>
      </w:r>
      <w:r>
        <w:t>for</w:t>
      </w:r>
      <w:r>
        <w:rPr>
          <w:spacing w:val="-4"/>
        </w:rPr>
        <w:t xml:space="preserve"> </w:t>
      </w:r>
      <w:r>
        <w:t>the</w:t>
      </w:r>
      <w:r>
        <w:rPr>
          <w:spacing w:val="-4"/>
        </w:rPr>
        <w:t xml:space="preserve"> </w:t>
      </w:r>
      <w:r>
        <w:t>low-income</w:t>
      </w:r>
      <w:r>
        <w:rPr>
          <w:spacing w:val="-4"/>
        </w:rPr>
        <w:t xml:space="preserve"> </w:t>
      </w:r>
      <w:r>
        <w:t>subsidy (LIS), have immediate need for their prescription, and do not have Part D coverage or 2) present documentation with their LIS status at the pharmacy and do not have Part D coverage. Some beneficiaries submit receipts for reimbursement for claims paid out of pocket; if they are eligible for LI</w:t>
      </w:r>
      <w:r>
        <w:rPr>
          <w:spacing w:val="-2"/>
        </w:rPr>
        <w:t xml:space="preserve"> </w:t>
      </w:r>
      <w:r>
        <w:t>NET, they will be retroactively enrolled into the LI</w:t>
      </w:r>
      <w:r>
        <w:rPr>
          <w:spacing w:val="-2"/>
        </w:rPr>
        <w:t xml:space="preserve"> </w:t>
      </w:r>
      <w:r>
        <w:t>NET program by the LI</w:t>
      </w:r>
      <w:r>
        <w:rPr>
          <w:spacing w:val="-2"/>
        </w:rPr>
        <w:t xml:space="preserve"> </w:t>
      </w:r>
      <w:r>
        <w:t>NET sponsor. Another way for beneficiaries to potentially enrollment into LI NET is by complete an LI NET application form.</w:t>
      </w:r>
    </w:p>
    <w:p w:rsidR="00A76C2C" w14:paraId="5DAABD09" w14:textId="77777777">
      <w:pPr>
        <w:pStyle w:val="BodyText"/>
      </w:pPr>
    </w:p>
    <w:p w:rsidR="00A76C2C" w14:paraId="7A22F26F" w14:textId="77777777">
      <w:pPr>
        <w:pStyle w:val="BodyText"/>
        <w:ind w:left="120" w:right="422"/>
      </w:pPr>
      <w:r>
        <w:t>To estimate the total burden, we consider the burden for enrollees, pharmacists, and Part D sponsors</w:t>
      </w:r>
      <w:r>
        <w:rPr>
          <w:spacing w:val="-4"/>
        </w:rPr>
        <w:t xml:space="preserve"> </w:t>
      </w:r>
      <w:r>
        <w:t>separately.</w:t>
      </w:r>
      <w:r>
        <w:rPr>
          <w:spacing w:val="-4"/>
        </w:rPr>
        <w:t xml:space="preserve"> </w:t>
      </w:r>
      <w:r>
        <w:t>Each</w:t>
      </w:r>
      <w:r>
        <w:rPr>
          <w:spacing w:val="-4"/>
        </w:rPr>
        <w:t xml:space="preserve"> </w:t>
      </w:r>
      <w:r>
        <w:t>consideration</w:t>
      </w:r>
      <w:r>
        <w:rPr>
          <w:spacing w:val="-4"/>
        </w:rPr>
        <w:t xml:space="preserve"> </w:t>
      </w:r>
      <w:r>
        <w:t>entails</w:t>
      </w:r>
      <w:r>
        <w:rPr>
          <w:spacing w:val="-4"/>
        </w:rPr>
        <w:t xml:space="preserve"> </w:t>
      </w:r>
      <w:r>
        <w:t>counting</w:t>
      </w:r>
      <w:r>
        <w:rPr>
          <w:spacing w:val="-4"/>
        </w:rPr>
        <w:t xml:space="preserve"> </w:t>
      </w:r>
      <w:r>
        <w:t>the</w:t>
      </w:r>
      <w:r>
        <w:rPr>
          <w:spacing w:val="-5"/>
        </w:rPr>
        <w:t xml:space="preserve"> </w:t>
      </w:r>
      <w:r>
        <w:t>number</w:t>
      </w:r>
      <w:r>
        <w:rPr>
          <w:spacing w:val="-5"/>
        </w:rPr>
        <w:t xml:space="preserve"> </w:t>
      </w:r>
      <w:r>
        <w:t>of</w:t>
      </w:r>
      <w:r>
        <w:rPr>
          <w:spacing w:val="-5"/>
        </w:rPr>
        <w:t xml:space="preserve"> </w:t>
      </w:r>
      <w:r>
        <w:t>documents</w:t>
      </w:r>
      <w:r>
        <w:rPr>
          <w:spacing w:val="-4"/>
        </w:rPr>
        <w:t xml:space="preserve"> </w:t>
      </w:r>
      <w:r>
        <w:t>arising</w:t>
      </w:r>
      <w:r>
        <w:rPr>
          <w:spacing w:val="-4"/>
        </w:rPr>
        <w:t xml:space="preserve"> </w:t>
      </w:r>
      <w:r>
        <w:t>from point-of-sale enrollments, direct reimbursement forms, and LI NET application forms.</w:t>
      </w:r>
    </w:p>
    <w:p w:rsidR="00A76C2C" w14:paraId="29BB894E" w14:textId="77777777">
      <w:pPr>
        <w:pStyle w:val="BodyText"/>
      </w:pPr>
    </w:p>
    <w:p w:rsidR="00A76C2C" w14:paraId="1A8F4E47" w14:textId="77777777">
      <w:pPr>
        <w:pStyle w:val="BodyText"/>
        <w:ind w:left="120" w:right="155"/>
      </w:pPr>
      <w:r>
        <w:rPr>
          <w:i/>
          <w:u w:val="single"/>
        </w:rPr>
        <w:t>For Beneficiaries:</w:t>
      </w:r>
      <w:r>
        <w:rPr>
          <w:i/>
        </w:rPr>
        <w:t xml:space="preserve"> </w:t>
      </w:r>
      <w:r>
        <w:t>To estimate the information collection burden for beneficiaries, we have estimated the number of beneficiaries submitting information to LI NET and time related to handling the information. We have not included burden estimates for individuals who would not be providing documentation, such as those CMS automatically enrolls into LI NET, individuals whose</w:t>
      </w:r>
      <w:r>
        <w:rPr>
          <w:spacing w:val="-3"/>
        </w:rPr>
        <w:t xml:space="preserve"> </w:t>
      </w:r>
      <w:r>
        <w:t>eligibility</w:t>
      </w:r>
      <w:r>
        <w:rPr>
          <w:spacing w:val="-2"/>
        </w:rPr>
        <w:t xml:space="preserve"> </w:t>
      </w:r>
      <w:r>
        <w:t>for</w:t>
      </w:r>
      <w:r>
        <w:rPr>
          <w:spacing w:val="-3"/>
        </w:rPr>
        <w:t xml:space="preserve"> </w:t>
      </w:r>
      <w:r>
        <w:t>LI</w:t>
      </w:r>
      <w:r>
        <w:rPr>
          <w:spacing w:val="-3"/>
        </w:rPr>
        <w:t xml:space="preserve"> </w:t>
      </w:r>
      <w:r>
        <w:t>NET</w:t>
      </w:r>
      <w:r>
        <w:rPr>
          <w:spacing w:val="-3"/>
        </w:rPr>
        <w:t xml:space="preserve"> </w:t>
      </w:r>
      <w:r>
        <w:t>is</w:t>
      </w:r>
      <w:r>
        <w:rPr>
          <w:spacing w:val="-2"/>
        </w:rPr>
        <w:t xml:space="preserve"> </w:t>
      </w:r>
      <w:r>
        <w:t>confirmed</w:t>
      </w:r>
      <w:r>
        <w:rPr>
          <w:spacing w:val="-2"/>
        </w:rPr>
        <w:t xml:space="preserve"> </w:t>
      </w:r>
      <w:r>
        <w:t>independently</w:t>
      </w:r>
      <w:r>
        <w:rPr>
          <w:spacing w:val="-2"/>
        </w:rPr>
        <w:t xml:space="preserve"> </w:t>
      </w:r>
      <w:r>
        <w:t>by</w:t>
      </w:r>
      <w:r>
        <w:rPr>
          <w:spacing w:val="-2"/>
        </w:rPr>
        <w:t xml:space="preserve"> </w:t>
      </w:r>
      <w:r>
        <w:t>the</w:t>
      </w:r>
      <w:r>
        <w:rPr>
          <w:spacing w:val="-3"/>
        </w:rPr>
        <w:t xml:space="preserve"> </w:t>
      </w:r>
      <w:r>
        <w:t>LI</w:t>
      </w:r>
      <w:r>
        <w:rPr>
          <w:spacing w:val="-6"/>
        </w:rPr>
        <w:t xml:space="preserve"> </w:t>
      </w:r>
      <w:r>
        <w:t>NET</w:t>
      </w:r>
      <w:r>
        <w:rPr>
          <w:spacing w:val="-3"/>
        </w:rPr>
        <w:t xml:space="preserve"> </w:t>
      </w:r>
      <w:r>
        <w:t>sponsor,</w:t>
      </w:r>
      <w:r>
        <w:rPr>
          <w:spacing w:val="-2"/>
        </w:rPr>
        <w:t xml:space="preserve"> </w:t>
      </w:r>
      <w:r>
        <w:t>or</w:t>
      </w:r>
      <w:r>
        <w:rPr>
          <w:spacing w:val="-3"/>
        </w:rPr>
        <w:t xml:space="preserve"> </w:t>
      </w:r>
      <w:r>
        <w:t>for</w:t>
      </w:r>
      <w:r>
        <w:rPr>
          <w:spacing w:val="-3"/>
        </w:rPr>
        <w:t xml:space="preserve"> </w:t>
      </w:r>
      <w:r>
        <w:t>those</w:t>
      </w:r>
      <w:r>
        <w:rPr>
          <w:spacing w:val="-3"/>
        </w:rPr>
        <w:t xml:space="preserve"> </w:t>
      </w:r>
      <w:r>
        <w:t>who opt not to provide evidence.</w:t>
      </w:r>
    </w:p>
    <w:p w:rsidR="00A76C2C" w14:paraId="4613F985" w14:textId="77777777">
      <w:pPr>
        <w:pStyle w:val="BodyText"/>
        <w:spacing w:before="75"/>
        <w:ind w:left="120" w:right="152"/>
      </w:pPr>
      <w:r>
        <w:t>When enrolling in LI NET at POS, possible forms of evidence for LIS eligibility include but are not limited to, a Medicaid card or award letter from the State or SSA showing LIS or “Extra</w:t>
      </w:r>
      <w:r>
        <w:rPr>
          <w:spacing w:val="40"/>
        </w:rPr>
        <w:t xml:space="preserve"> </w:t>
      </w:r>
      <w:r>
        <w:t>Help” status. We estimate that it would take an individual approximately 15 minutes (0.25 hr) to gather supporting documentation. There are 36,722 individuals enrolled in the LI NET demonstration at POS in 2021 who will apply at the point-of-sale. Based on our experience with the LI NET demonstration, we estimate approximately 250 beneficiaries would submit receipts</w:t>
      </w:r>
      <w:r>
        <w:rPr>
          <w:spacing w:val="40"/>
        </w:rPr>
        <w:t xml:space="preserve"> </w:t>
      </w:r>
      <w:r>
        <w:t>for reimbursement for claims paid out of pocket. These beneficiaries may complete a direct reimbursement request form available online, and return by mail, e-mail, or fax, together with their receipt, to the LI NET sponsor. In the LI NET demonstration, approximately ten beneficiaries</w:t>
      </w:r>
      <w:r>
        <w:rPr>
          <w:spacing w:val="-3"/>
        </w:rPr>
        <w:t xml:space="preserve"> </w:t>
      </w:r>
      <w:r>
        <w:t>per</w:t>
      </w:r>
      <w:r>
        <w:rPr>
          <w:spacing w:val="-4"/>
        </w:rPr>
        <w:t xml:space="preserve"> </w:t>
      </w:r>
      <w:r>
        <w:t>year</w:t>
      </w:r>
      <w:r>
        <w:rPr>
          <w:spacing w:val="-4"/>
        </w:rPr>
        <w:t xml:space="preserve"> </w:t>
      </w:r>
      <w:r>
        <w:t>complete</w:t>
      </w:r>
      <w:r>
        <w:rPr>
          <w:spacing w:val="-4"/>
        </w:rPr>
        <w:t xml:space="preserve"> </w:t>
      </w:r>
      <w:r>
        <w:t>the</w:t>
      </w:r>
      <w:r>
        <w:rPr>
          <w:spacing w:val="-4"/>
        </w:rPr>
        <w:t xml:space="preserve"> </w:t>
      </w:r>
      <w:r>
        <w:t>LI</w:t>
      </w:r>
      <w:r>
        <w:rPr>
          <w:spacing w:val="-7"/>
        </w:rPr>
        <w:t xml:space="preserve"> </w:t>
      </w:r>
      <w:r>
        <w:t>NET</w:t>
      </w:r>
      <w:r>
        <w:rPr>
          <w:spacing w:val="-1"/>
        </w:rPr>
        <w:t xml:space="preserve"> </w:t>
      </w:r>
      <w:r>
        <w:t>application</w:t>
      </w:r>
      <w:r>
        <w:rPr>
          <w:spacing w:val="-3"/>
        </w:rPr>
        <w:t xml:space="preserve"> </w:t>
      </w:r>
      <w:r>
        <w:t>form,</w:t>
      </w:r>
      <w:r>
        <w:rPr>
          <w:spacing w:val="-3"/>
        </w:rPr>
        <w:t xml:space="preserve"> </w:t>
      </w:r>
      <w:r>
        <w:t>which</w:t>
      </w:r>
      <w:r>
        <w:rPr>
          <w:spacing w:val="-3"/>
        </w:rPr>
        <w:t xml:space="preserve"> </w:t>
      </w:r>
      <w:r>
        <w:t>is</w:t>
      </w:r>
      <w:r>
        <w:rPr>
          <w:spacing w:val="-3"/>
        </w:rPr>
        <w:t xml:space="preserve"> </w:t>
      </w:r>
      <w:r>
        <w:t>available</w:t>
      </w:r>
      <w:r>
        <w:rPr>
          <w:spacing w:val="-4"/>
        </w:rPr>
        <w:t xml:space="preserve"> </w:t>
      </w:r>
      <w:r>
        <w:t>online,</w:t>
      </w:r>
      <w:r>
        <w:rPr>
          <w:spacing w:val="-3"/>
        </w:rPr>
        <w:t xml:space="preserve"> </w:t>
      </w:r>
      <w:r>
        <w:t>and</w:t>
      </w:r>
      <w:r>
        <w:rPr>
          <w:spacing w:val="-3"/>
        </w:rPr>
        <w:t xml:space="preserve"> </w:t>
      </w:r>
      <w:r>
        <w:t>return it to the LI NET sponsor by mail, e-mail, or fax. Thus, in total we expect 36,982 beneficiaries (36,722 (99.3%) at point-of-sale plus 250 (0.67%) through direct reimbursement plus 10 (0.03%) applying</w:t>
      </w:r>
      <w:r>
        <w:rPr>
          <w:spacing w:val="-1"/>
        </w:rPr>
        <w:t xml:space="preserve"> </w:t>
      </w:r>
      <w:r>
        <w:t>via</w:t>
      </w:r>
      <w:r>
        <w:rPr>
          <w:spacing w:val="-2"/>
        </w:rPr>
        <w:t xml:space="preserve"> </w:t>
      </w:r>
      <w:r>
        <w:t>the</w:t>
      </w:r>
      <w:r>
        <w:rPr>
          <w:spacing w:val="-2"/>
        </w:rPr>
        <w:t xml:space="preserve"> </w:t>
      </w:r>
      <w:r>
        <w:t>LI</w:t>
      </w:r>
      <w:r>
        <w:rPr>
          <w:spacing w:val="-5"/>
        </w:rPr>
        <w:t xml:space="preserve"> </w:t>
      </w:r>
      <w:r>
        <w:t>NET application</w:t>
      </w:r>
      <w:r>
        <w:rPr>
          <w:spacing w:val="-1"/>
        </w:rPr>
        <w:t xml:space="preserve"> </w:t>
      </w:r>
      <w:r>
        <w:t>form)</w:t>
      </w:r>
      <w:r>
        <w:rPr>
          <w:spacing w:val="-2"/>
        </w:rPr>
        <w:t xml:space="preserve"> </w:t>
      </w:r>
      <w:r>
        <w:t>to</w:t>
      </w:r>
      <w:r>
        <w:rPr>
          <w:spacing w:val="-1"/>
        </w:rPr>
        <w:t xml:space="preserve"> </w:t>
      </w:r>
      <w:r>
        <w:t>spend</w:t>
      </w:r>
      <w:r>
        <w:rPr>
          <w:spacing w:val="-1"/>
        </w:rPr>
        <w:t xml:space="preserve"> </w:t>
      </w:r>
      <w:r>
        <w:t>15</w:t>
      </w:r>
      <w:r>
        <w:rPr>
          <w:spacing w:val="-1"/>
        </w:rPr>
        <w:t xml:space="preserve"> </w:t>
      </w:r>
      <w:r>
        <w:t>minutes</w:t>
      </w:r>
      <w:r>
        <w:rPr>
          <w:spacing w:val="-1"/>
        </w:rPr>
        <w:t xml:space="preserve"> </w:t>
      </w:r>
      <w:r>
        <w:t>(0.25</w:t>
      </w:r>
      <w:r>
        <w:rPr>
          <w:spacing w:val="-1"/>
        </w:rPr>
        <w:t xml:space="preserve"> </w:t>
      </w:r>
      <w:r>
        <w:t>hr)</w:t>
      </w:r>
      <w:r>
        <w:rPr>
          <w:spacing w:val="-2"/>
        </w:rPr>
        <w:t xml:space="preserve"> </w:t>
      </w:r>
      <w:r>
        <w:t>resulting</w:t>
      </w:r>
      <w:r>
        <w:rPr>
          <w:spacing w:val="-1"/>
        </w:rPr>
        <w:t xml:space="preserve"> </w:t>
      </w:r>
      <w:r>
        <w:t>in</w:t>
      </w:r>
      <w:r>
        <w:rPr>
          <w:spacing w:val="-1"/>
        </w:rPr>
        <w:t xml:space="preserve"> </w:t>
      </w:r>
      <w:r>
        <w:t>an</w:t>
      </w:r>
      <w:r>
        <w:rPr>
          <w:spacing w:val="-1"/>
        </w:rPr>
        <w:t xml:space="preserve"> </w:t>
      </w:r>
      <w:r>
        <w:t>aggregate burden of 9,246 hours (36,982 enrollees * 0.25 hr) at an aggregate cost of $191,485 (9,246 hr *</w:t>
      </w:r>
    </w:p>
    <w:p w:rsidR="00A76C2C" w14:paraId="07582D0D" w14:textId="77777777">
      <w:pPr>
        <w:pStyle w:val="BodyText"/>
        <w:ind w:left="120"/>
      </w:pPr>
      <w:r>
        <w:rPr>
          <w:spacing w:val="-2"/>
        </w:rPr>
        <w:t>$20.71/hr).</w:t>
      </w:r>
    </w:p>
    <w:p w:rsidR="00A76C2C" w14:paraId="5CC4F502" w14:textId="77777777">
      <w:pPr>
        <w:pStyle w:val="BodyText"/>
      </w:pPr>
    </w:p>
    <w:p w:rsidR="00A76C2C" w14:paraId="0AF82ACB" w14:textId="77777777">
      <w:pPr>
        <w:pStyle w:val="BodyText"/>
        <w:ind w:left="120" w:right="249"/>
      </w:pPr>
      <w:r>
        <w:rPr>
          <w:i/>
          <w:u w:val="single"/>
        </w:rPr>
        <w:t>For</w:t>
      </w:r>
      <w:r>
        <w:rPr>
          <w:i/>
          <w:spacing w:val="-3"/>
          <w:u w:val="single"/>
        </w:rPr>
        <w:t xml:space="preserve"> </w:t>
      </w:r>
      <w:r>
        <w:rPr>
          <w:i/>
          <w:u w:val="single"/>
        </w:rPr>
        <w:t>the</w:t>
      </w:r>
      <w:r>
        <w:rPr>
          <w:i/>
          <w:spacing w:val="-4"/>
          <w:u w:val="single"/>
        </w:rPr>
        <w:t xml:space="preserve"> </w:t>
      </w:r>
      <w:r>
        <w:rPr>
          <w:i/>
          <w:u w:val="single"/>
        </w:rPr>
        <w:t>Private</w:t>
      </w:r>
      <w:r>
        <w:rPr>
          <w:i/>
          <w:spacing w:val="-4"/>
          <w:u w:val="single"/>
        </w:rPr>
        <w:t xml:space="preserve"> </w:t>
      </w:r>
      <w:r>
        <w:rPr>
          <w:i/>
          <w:u w:val="single"/>
        </w:rPr>
        <w:t>Sector</w:t>
      </w:r>
      <w:r>
        <w:rPr>
          <w:i/>
          <w:spacing w:val="-3"/>
          <w:u w:val="single"/>
        </w:rPr>
        <w:t xml:space="preserve"> </w:t>
      </w:r>
      <w:r>
        <w:rPr>
          <w:i/>
          <w:u w:val="single"/>
        </w:rPr>
        <w:t>(Pharmacists):</w:t>
      </w:r>
      <w:r>
        <w:rPr>
          <w:i/>
          <w:spacing w:val="-4"/>
        </w:rPr>
        <w:t xml:space="preserve"> </w:t>
      </w:r>
      <w:r>
        <w:t>We</w:t>
      </w:r>
      <w:r>
        <w:rPr>
          <w:spacing w:val="-2"/>
        </w:rPr>
        <w:t xml:space="preserve"> </w:t>
      </w:r>
      <w:r>
        <w:t>estimate</w:t>
      </w:r>
      <w:r>
        <w:rPr>
          <w:spacing w:val="-4"/>
        </w:rPr>
        <w:t xml:space="preserve"> </w:t>
      </w:r>
      <w:r>
        <w:t>that</w:t>
      </w:r>
      <w:r>
        <w:rPr>
          <w:spacing w:val="-3"/>
        </w:rPr>
        <w:t xml:space="preserve"> </w:t>
      </w:r>
      <w:r>
        <w:t>it</w:t>
      </w:r>
      <w:r>
        <w:rPr>
          <w:spacing w:val="-3"/>
        </w:rPr>
        <w:t xml:space="preserve"> </w:t>
      </w:r>
      <w:r>
        <w:t>will</w:t>
      </w:r>
      <w:r>
        <w:rPr>
          <w:spacing w:val="-3"/>
        </w:rPr>
        <w:t xml:space="preserve"> </w:t>
      </w:r>
      <w:r>
        <w:t>take</w:t>
      </w:r>
      <w:r>
        <w:rPr>
          <w:spacing w:val="-4"/>
        </w:rPr>
        <w:t xml:space="preserve"> </w:t>
      </w:r>
      <w:r>
        <w:t>2</w:t>
      </w:r>
      <w:r>
        <w:rPr>
          <w:spacing w:val="-3"/>
        </w:rPr>
        <w:t xml:space="preserve"> </w:t>
      </w:r>
      <w:r>
        <w:t>minutes</w:t>
      </w:r>
      <w:r>
        <w:rPr>
          <w:spacing w:val="-3"/>
        </w:rPr>
        <w:t xml:space="preserve"> </w:t>
      </w:r>
      <w:r>
        <w:t>(0.0333</w:t>
      </w:r>
      <w:r>
        <w:rPr>
          <w:spacing w:val="-3"/>
        </w:rPr>
        <w:t xml:space="preserve"> </w:t>
      </w:r>
      <w:r>
        <w:t>hr)</w:t>
      </w:r>
      <w:r>
        <w:rPr>
          <w:spacing w:val="-2"/>
        </w:rPr>
        <w:t xml:space="preserve"> </w:t>
      </w:r>
      <w:r>
        <w:t>for</w:t>
      </w:r>
      <w:r>
        <w:rPr>
          <w:spacing w:val="-4"/>
        </w:rPr>
        <w:t xml:space="preserve"> </w:t>
      </w:r>
      <w:r>
        <w:t>a pharmacy to fax the documentation to the LI NET sponsor. However, pharmacists will not process the forms of enrollees who use direct reimbursement or the LI NET application form. Thus, pharmacists will only process the 36,722 enrollees at point-of-sale. Thus, the aggregate burden for pharmacists is 1,223 hours (36,722 enrollees * 0.0333 hr) at an aggregate cost of</w:t>
      </w:r>
    </w:p>
    <w:p w:rsidR="00A76C2C" w14:paraId="6D8E51C9" w14:textId="77777777">
      <w:pPr>
        <w:pStyle w:val="BodyText"/>
        <w:ind w:left="120"/>
      </w:pPr>
      <w:r>
        <w:t>$152,190</w:t>
      </w:r>
      <w:r>
        <w:rPr>
          <w:spacing w:val="-1"/>
        </w:rPr>
        <w:t xml:space="preserve"> </w:t>
      </w:r>
      <w:r>
        <w:t>(1,223 hr</w:t>
      </w:r>
      <w:r>
        <w:rPr>
          <w:spacing w:val="-1"/>
        </w:rPr>
        <w:t xml:space="preserve"> </w:t>
      </w:r>
      <w:r>
        <w:t xml:space="preserve">* </w:t>
      </w:r>
      <w:r>
        <w:rPr>
          <w:spacing w:val="-2"/>
        </w:rPr>
        <w:t>$124.44/hr).</w:t>
      </w:r>
    </w:p>
    <w:p w:rsidR="00A76C2C" w14:paraId="07E47406" w14:textId="77777777">
      <w:pPr>
        <w:pStyle w:val="BodyText"/>
      </w:pPr>
    </w:p>
    <w:p w:rsidR="00A76C2C" w14:paraId="6243C226" w14:textId="77777777">
      <w:pPr>
        <w:pStyle w:val="BodyText"/>
        <w:ind w:left="120"/>
      </w:pPr>
      <w:r>
        <w:rPr>
          <w:i/>
          <w:u w:val="single"/>
        </w:rPr>
        <w:t>For LI</w:t>
      </w:r>
      <w:r>
        <w:rPr>
          <w:i/>
          <w:spacing w:val="-1"/>
          <w:u w:val="single"/>
        </w:rPr>
        <w:t xml:space="preserve"> </w:t>
      </w:r>
      <w:r>
        <w:rPr>
          <w:i/>
          <w:u w:val="single"/>
        </w:rPr>
        <w:t>NET Sponsor:</w:t>
      </w:r>
      <w:r>
        <w:rPr>
          <w:i/>
          <w:spacing w:val="-1"/>
        </w:rPr>
        <w:t xml:space="preserve"> </w:t>
      </w:r>
      <w:r>
        <w:t>The</w:t>
      </w:r>
      <w:r>
        <w:rPr>
          <w:spacing w:val="-1"/>
        </w:rPr>
        <w:t xml:space="preserve"> </w:t>
      </w:r>
      <w:r>
        <w:t>LI</w:t>
      </w:r>
      <w:r>
        <w:rPr>
          <w:spacing w:val="-4"/>
        </w:rPr>
        <w:t xml:space="preserve"> </w:t>
      </w:r>
      <w:r>
        <w:t>NET</w:t>
      </w:r>
      <w:r>
        <w:rPr>
          <w:spacing w:val="-1"/>
        </w:rPr>
        <w:t xml:space="preserve"> </w:t>
      </w:r>
      <w:r>
        <w:t>sponsor will process the</w:t>
      </w:r>
      <w:r>
        <w:rPr>
          <w:spacing w:val="-1"/>
        </w:rPr>
        <w:t xml:space="preserve"> </w:t>
      </w:r>
      <w:r>
        <w:t>documents received from all 36,982 enrollees.</w:t>
      </w:r>
      <w:r>
        <w:rPr>
          <w:spacing w:val="-3"/>
        </w:rPr>
        <w:t xml:space="preserve"> </w:t>
      </w:r>
      <w:r>
        <w:t>Part</w:t>
      </w:r>
      <w:r>
        <w:rPr>
          <w:spacing w:val="-3"/>
        </w:rPr>
        <w:t xml:space="preserve"> </w:t>
      </w:r>
      <w:r>
        <w:t>D</w:t>
      </w:r>
      <w:r>
        <w:rPr>
          <w:spacing w:val="-4"/>
        </w:rPr>
        <w:t xml:space="preserve"> </w:t>
      </w:r>
      <w:r>
        <w:t>sponsors</w:t>
      </w:r>
      <w:r>
        <w:rPr>
          <w:spacing w:val="-3"/>
        </w:rPr>
        <w:t xml:space="preserve"> </w:t>
      </w:r>
      <w:r>
        <w:t>are</w:t>
      </w:r>
      <w:r>
        <w:rPr>
          <w:spacing w:val="-4"/>
        </w:rPr>
        <w:t xml:space="preserve"> </w:t>
      </w:r>
      <w:r>
        <w:t>estimated</w:t>
      </w:r>
      <w:r>
        <w:rPr>
          <w:spacing w:val="-3"/>
        </w:rPr>
        <w:t xml:space="preserve"> </w:t>
      </w:r>
      <w:r>
        <w:t>to</w:t>
      </w:r>
      <w:r>
        <w:rPr>
          <w:spacing w:val="-3"/>
        </w:rPr>
        <w:t xml:space="preserve"> </w:t>
      </w:r>
      <w:r>
        <w:t>spend</w:t>
      </w:r>
      <w:r>
        <w:rPr>
          <w:spacing w:val="-1"/>
        </w:rPr>
        <w:t xml:space="preserve"> </w:t>
      </w:r>
      <w:r>
        <w:t>about</w:t>
      </w:r>
      <w:r>
        <w:rPr>
          <w:spacing w:val="-3"/>
        </w:rPr>
        <w:t xml:space="preserve"> </w:t>
      </w:r>
      <w:r>
        <w:t>2</w:t>
      </w:r>
      <w:r>
        <w:rPr>
          <w:spacing w:val="-3"/>
        </w:rPr>
        <w:t xml:space="preserve"> </w:t>
      </w:r>
      <w:r>
        <w:t>minutes</w:t>
      </w:r>
      <w:r>
        <w:rPr>
          <w:spacing w:val="-3"/>
        </w:rPr>
        <w:t xml:space="preserve"> </w:t>
      </w:r>
      <w:r>
        <w:t>(0.0333</w:t>
      </w:r>
      <w:r>
        <w:rPr>
          <w:spacing w:val="-3"/>
        </w:rPr>
        <w:t xml:space="preserve"> </w:t>
      </w:r>
      <w:r>
        <w:t>hr)</w:t>
      </w:r>
      <w:r>
        <w:rPr>
          <w:spacing w:val="-4"/>
        </w:rPr>
        <w:t xml:space="preserve"> </w:t>
      </w:r>
      <w:r>
        <w:t>to</w:t>
      </w:r>
      <w:r>
        <w:rPr>
          <w:spacing w:val="-3"/>
        </w:rPr>
        <w:t xml:space="preserve"> </w:t>
      </w:r>
      <w:r>
        <w:t>process</w:t>
      </w:r>
      <w:r>
        <w:rPr>
          <w:spacing w:val="-1"/>
        </w:rPr>
        <w:t xml:space="preserve"> </w:t>
      </w:r>
      <w:r>
        <w:t>and</w:t>
      </w:r>
      <w:r>
        <w:rPr>
          <w:spacing w:val="-3"/>
        </w:rPr>
        <w:t xml:space="preserve"> </w:t>
      </w:r>
      <w:r>
        <w:t>fax information to CMS. Thus, the aggregate burden for Part D sponsors is 1,232 hours (36,982 enrollees * 0.0333 hr) at an aggregate cost of $97,944 (1,232 hr * $79.50/hr).</w:t>
      </w:r>
    </w:p>
    <w:p w:rsidR="00A76C2C" w14:paraId="5C7C1FF1" w14:textId="77777777">
      <w:pPr>
        <w:pStyle w:val="BodyText"/>
      </w:pPr>
    </w:p>
    <w:p w:rsidR="00A76C2C" w14:paraId="20E24F39" w14:textId="77777777">
      <w:pPr>
        <w:ind w:left="120"/>
        <w:rPr>
          <w:i/>
          <w:sz w:val="24"/>
        </w:rPr>
      </w:pPr>
      <w:r>
        <w:rPr>
          <w:i/>
          <w:sz w:val="24"/>
        </w:rPr>
        <w:t>Burden</w:t>
      </w:r>
      <w:r>
        <w:rPr>
          <w:i/>
          <w:spacing w:val="3"/>
          <w:sz w:val="24"/>
        </w:rPr>
        <w:t xml:space="preserve"> </w:t>
      </w:r>
      <w:r>
        <w:rPr>
          <w:i/>
          <w:spacing w:val="-2"/>
          <w:sz w:val="24"/>
        </w:rPr>
        <w:t>Summary</w:t>
      </w:r>
    </w:p>
    <w:p w:rsidR="00A76C2C" w14:paraId="2505FC0D" w14:textId="77777777">
      <w:pPr>
        <w:pStyle w:val="BodyText"/>
        <w:spacing w:before="47"/>
        <w:rPr>
          <w:i/>
          <w:sz w:val="20"/>
        </w:rPr>
      </w:pP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0"/>
        <w:gridCol w:w="1688"/>
        <w:gridCol w:w="1266"/>
        <w:gridCol w:w="1019"/>
        <w:gridCol w:w="1168"/>
        <w:gridCol w:w="1084"/>
        <w:gridCol w:w="1218"/>
      </w:tblGrid>
      <w:tr w14:paraId="221156BF" w14:textId="77777777">
        <w:tblPrEx>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8"/>
        </w:trPr>
        <w:tc>
          <w:tcPr>
            <w:tcW w:w="1150" w:type="dxa"/>
          </w:tcPr>
          <w:p w:rsidR="00A76C2C" w14:paraId="71A336FE" w14:textId="77777777">
            <w:pPr>
              <w:pStyle w:val="TableParagraph"/>
              <w:spacing w:before="115"/>
              <w:ind w:left="129" w:right="119" w:firstLine="64"/>
              <w:jc w:val="both"/>
              <w:rPr>
                <w:sz w:val="20"/>
              </w:rPr>
            </w:pPr>
            <w:r>
              <w:rPr>
                <w:spacing w:val="-2"/>
                <w:sz w:val="20"/>
              </w:rPr>
              <w:t xml:space="preserve">Section(s) </w:t>
            </w:r>
            <w:r>
              <w:rPr>
                <w:sz w:val="20"/>
              </w:rPr>
              <w:t>in Part 42 of</w:t>
            </w:r>
            <w:r>
              <w:rPr>
                <w:spacing w:val="-1"/>
                <w:sz w:val="20"/>
              </w:rPr>
              <w:t xml:space="preserve"> </w:t>
            </w:r>
            <w:r>
              <w:rPr>
                <w:sz w:val="20"/>
              </w:rPr>
              <w:t>the</w:t>
            </w:r>
            <w:r>
              <w:rPr>
                <w:spacing w:val="-2"/>
                <w:sz w:val="20"/>
              </w:rPr>
              <w:t xml:space="preserve"> </w:t>
            </w:r>
            <w:r>
              <w:rPr>
                <w:spacing w:val="-5"/>
                <w:sz w:val="20"/>
              </w:rPr>
              <w:t>CFR</w:t>
            </w:r>
          </w:p>
        </w:tc>
        <w:tc>
          <w:tcPr>
            <w:tcW w:w="1688" w:type="dxa"/>
          </w:tcPr>
          <w:p w:rsidR="00A76C2C" w14:paraId="1D8197ED" w14:textId="77777777">
            <w:pPr>
              <w:pStyle w:val="TableParagraph"/>
              <w:spacing w:before="113"/>
              <w:ind w:left="0"/>
              <w:rPr>
                <w:i/>
                <w:sz w:val="20"/>
              </w:rPr>
            </w:pPr>
          </w:p>
          <w:p w:rsidR="00A76C2C" w14:paraId="0FAE1713" w14:textId="77777777">
            <w:pPr>
              <w:pStyle w:val="TableParagraph"/>
              <w:ind w:left="14" w:right="3"/>
              <w:jc w:val="center"/>
              <w:rPr>
                <w:sz w:val="20"/>
              </w:rPr>
            </w:pPr>
            <w:r>
              <w:rPr>
                <w:spacing w:val="-2"/>
                <w:sz w:val="20"/>
              </w:rPr>
              <w:t>Respondents</w:t>
            </w:r>
          </w:p>
        </w:tc>
        <w:tc>
          <w:tcPr>
            <w:tcW w:w="1266" w:type="dxa"/>
          </w:tcPr>
          <w:p w:rsidR="00A76C2C" w14:paraId="24B7DB51" w14:textId="77777777">
            <w:pPr>
              <w:pStyle w:val="TableParagraph"/>
              <w:spacing w:before="115"/>
              <w:ind w:left="195" w:right="182" w:firstLine="225"/>
              <w:rPr>
                <w:sz w:val="20"/>
              </w:rPr>
            </w:pPr>
            <w:r>
              <w:rPr>
                <w:spacing w:val="-2"/>
                <w:sz w:val="20"/>
              </w:rPr>
              <w:t xml:space="preserve">Total </w:t>
            </w:r>
            <w:r>
              <w:rPr>
                <w:sz w:val="20"/>
              </w:rPr>
              <w:t>Number</w:t>
            </w:r>
            <w:r>
              <w:rPr>
                <w:spacing w:val="-13"/>
                <w:sz w:val="20"/>
              </w:rPr>
              <w:t xml:space="preserve"> </w:t>
            </w:r>
            <w:r>
              <w:rPr>
                <w:sz w:val="20"/>
              </w:rPr>
              <w:t xml:space="preserve">of </w:t>
            </w:r>
            <w:r>
              <w:rPr>
                <w:spacing w:val="-2"/>
                <w:sz w:val="20"/>
              </w:rPr>
              <w:t>Responses</w:t>
            </w:r>
          </w:p>
        </w:tc>
        <w:tc>
          <w:tcPr>
            <w:tcW w:w="1019" w:type="dxa"/>
          </w:tcPr>
          <w:p w:rsidR="00A76C2C" w14:paraId="3C657ABB" w14:textId="77777777">
            <w:pPr>
              <w:pStyle w:val="TableParagraph"/>
              <w:spacing w:before="115"/>
              <w:ind w:left="124" w:right="117" w:firstLine="2"/>
              <w:jc w:val="center"/>
              <w:rPr>
                <w:sz w:val="20"/>
              </w:rPr>
            </w:pPr>
            <w:r>
              <w:rPr>
                <w:sz w:val="20"/>
              </w:rPr>
              <w:t>Time</w:t>
            </w:r>
            <w:r>
              <w:rPr>
                <w:spacing w:val="-13"/>
                <w:sz w:val="20"/>
              </w:rPr>
              <w:t xml:space="preserve"> </w:t>
            </w:r>
            <w:r>
              <w:rPr>
                <w:sz w:val="20"/>
              </w:rPr>
              <w:t xml:space="preserve">Per </w:t>
            </w:r>
            <w:r>
              <w:rPr>
                <w:spacing w:val="-2"/>
                <w:sz w:val="20"/>
              </w:rPr>
              <w:t xml:space="preserve">Response </w:t>
            </w:r>
            <w:r>
              <w:rPr>
                <w:spacing w:val="-4"/>
                <w:sz w:val="20"/>
              </w:rPr>
              <w:t>(hr)</w:t>
            </w:r>
          </w:p>
        </w:tc>
        <w:tc>
          <w:tcPr>
            <w:tcW w:w="1168" w:type="dxa"/>
          </w:tcPr>
          <w:p w:rsidR="00A76C2C" w14:paraId="1C223CA4" w14:textId="77777777">
            <w:pPr>
              <w:pStyle w:val="TableParagraph"/>
              <w:spacing w:before="115"/>
              <w:ind w:left="192" w:right="188" w:hanging="2"/>
              <w:jc w:val="center"/>
              <w:rPr>
                <w:sz w:val="20"/>
              </w:rPr>
            </w:pPr>
            <w:r>
              <w:rPr>
                <w:spacing w:val="-2"/>
                <w:sz w:val="20"/>
              </w:rPr>
              <w:t xml:space="preserve">Total Annual </w:t>
            </w:r>
            <w:r>
              <w:rPr>
                <w:sz w:val="20"/>
              </w:rPr>
              <w:t>Time</w:t>
            </w:r>
            <w:r>
              <w:rPr>
                <w:spacing w:val="-5"/>
                <w:sz w:val="20"/>
              </w:rPr>
              <w:t xml:space="preserve"> </w:t>
            </w:r>
            <w:r>
              <w:rPr>
                <w:spacing w:val="-4"/>
                <w:sz w:val="20"/>
              </w:rPr>
              <w:t>(hr)</w:t>
            </w:r>
          </w:p>
        </w:tc>
        <w:tc>
          <w:tcPr>
            <w:tcW w:w="1084" w:type="dxa"/>
          </w:tcPr>
          <w:p w:rsidR="00A76C2C" w14:paraId="687D17D9" w14:textId="77777777">
            <w:pPr>
              <w:pStyle w:val="TableParagraph"/>
              <w:ind w:left="294" w:right="253" w:hanging="44"/>
              <w:jc w:val="both"/>
              <w:rPr>
                <w:sz w:val="20"/>
              </w:rPr>
            </w:pPr>
            <w:r>
              <w:rPr>
                <w:spacing w:val="-2"/>
                <w:sz w:val="20"/>
              </w:rPr>
              <w:t xml:space="preserve">Hourly Labor </w:t>
            </w:r>
            <w:r>
              <w:rPr>
                <w:spacing w:val="-4"/>
                <w:sz w:val="20"/>
              </w:rPr>
              <w:t>Cost</w:t>
            </w:r>
          </w:p>
          <w:p w:rsidR="00A76C2C" w14:paraId="2208C97C" w14:textId="77777777">
            <w:pPr>
              <w:pStyle w:val="TableParagraph"/>
              <w:spacing w:line="209" w:lineRule="exact"/>
              <w:ind w:left="306"/>
              <w:rPr>
                <w:sz w:val="20"/>
              </w:rPr>
            </w:pPr>
            <w:r>
              <w:rPr>
                <w:spacing w:val="-2"/>
                <w:sz w:val="20"/>
              </w:rPr>
              <w:t>($/hr)</w:t>
            </w:r>
          </w:p>
        </w:tc>
        <w:tc>
          <w:tcPr>
            <w:tcW w:w="1218" w:type="dxa"/>
          </w:tcPr>
          <w:p w:rsidR="00A76C2C" w14:paraId="462651DE" w14:textId="77777777">
            <w:pPr>
              <w:pStyle w:val="TableParagraph"/>
              <w:ind w:left="0"/>
              <w:rPr>
                <w:i/>
                <w:sz w:val="20"/>
              </w:rPr>
            </w:pPr>
          </w:p>
          <w:p w:rsidR="00A76C2C" w14:paraId="471F97DA" w14:textId="77777777">
            <w:pPr>
              <w:pStyle w:val="TableParagraph"/>
              <w:ind w:left="484" w:right="181" w:hanging="303"/>
              <w:rPr>
                <w:sz w:val="20"/>
              </w:rPr>
            </w:pPr>
            <w:r>
              <w:rPr>
                <w:sz w:val="20"/>
              </w:rPr>
              <w:t>Total</w:t>
            </w:r>
            <w:r>
              <w:rPr>
                <w:spacing w:val="-13"/>
                <w:sz w:val="20"/>
              </w:rPr>
              <w:t xml:space="preserve"> </w:t>
            </w:r>
            <w:r>
              <w:rPr>
                <w:sz w:val="20"/>
              </w:rPr>
              <w:t xml:space="preserve">Cost </w:t>
            </w:r>
            <w:r>
              <w:rPr>
                <w:spacing w:val="-4"/>
                <w:sz w:val="20"/>
              </w:rPr>
              <w:t>($)</w:t>
            </w:r>
          </w:p>
        </w:tc>
      </w:tr>
      <w:tr w14:paraId="6B4B861E" w14:textId="77777777">
        <w:tblPrEx>
          <w:tblW w:w="0" w:type="auto"/>
          <w:tblInd w:w="561" w:type="dxa"/>
          <w:tblLayout w:type="fixed"/>
          <w:tblCellMar>
            <w:left w:w="0" w:type="dxa"/>
            <w:right w:w="0" w:type="dxa"/>
          </w:tblCellMar>
          <w:tblLook w:val="01E0"/>
        </w:tblPrEx>
        <w:trPr>
          <w:trHeight w:val="460"/>
        </w:trPr>
        <w:tc>
          <w:tcPr>
            <w:tcW w:w="1150" w:type="dxa"/>
          </w:tcPr>
          <w:p w:rsidR="00A76C2C" w14:paraId="0E399AFB" w14:textId="77777777">
            <w:pPr>
              <w:pStyle w:val="TableParagraph"/>
              <w:spacing w:before="115"/>
              <w:rPr>
                <w:sz w:val="20"/>
              </w:rPr>
            </w:pPr>
            <w:r>
              <w:rPr>
                <w:spacing w:val="-2"/>
                <w:sz w:val="20"/>
              </w:rPr>
              <w:t>423.2504</w:t>
            </w:r>
          </w:p>
        </w:tc>
        <w:tc>
          <w:tcPr>
            <w:tcW w:w="1688" w:type="dxa"/>
          </w:tcPr>
          <w:p w:rsidR="00A76C2C" w14:paraId="52FB4E7F" w14:textId="77777777">
            <w:pPr>
              <w:pStyle w:val="TableParagraph"/>
              <w:ind w:left="14" w:right="5"/>
              <w:jc w:val="center"/>
              <w:rPr>
                <w:sz w:val="20"/>
              </w:rPr>
            </w:pPr>
            <w:r>
              <w:rPr>
                <w:spacing w:val="-2"/>
                <w:sz w:val="20"/>
              </w:rPr>
              <w:t>36,982</w:t>
            </w:r>
          </w:p>
          <w:p w:rsidR="00A76C2C" w14:paraId="0DFF4AA3" w14:textId="77777777">
            <w:pPr>
              <w:pStyle w:val="TableParagraph"/>
              <w:spacing w:line="210" w:lineRule="exact"/>
              <w:ind w:left="14" w:right="5"/>
              <w:jc w:val="center"/>
              <w:rPr>
                <w:sz w:val="20"/>
              </w:rPr>
            </w:pPr>
            <w:r>
              <w:rPr>
                <w:spacing w:val="-2"/>
                <w:sz w:val="20"/>
              </w:rPr>
              <w:t>Beneficiaries</w:t>
            </w:r>
          </w:p>
        </w:tc>
        <w:tc>
          <w:tcPr>
            <w:tcW w:w="1266" w:type="dxa"/>
          </w:tcPr>
          <w:p w:rsidR="00A76C2C" w14:paraId="15DF034B" w14:textId="77777777">
            <w:pPr>
              <w:pStyle w:val="TableParagraph"/>
              <w:spacing w:before="115"/>
              <w:ind w:left="8" w:right="1"/>
              <w:jc w:val="center"/>
              <w:rPr>
                <w:sz w:val="20"/>
              </w:rPr>
            </w:pPr>
            <w:r>
              <w:rPr>
                <w:spacing w:val="-2"/>
                <w:sz w:val="20"/>
              </w:rPr>
              <w:t>36,982</w:t>
            </w:r>
          </w:p>
        </w:tc>
        <w:tc>
          <w:tcPr>
            <w:tcW w:w="1019" w:type="dxa"/>
          </w:tcPr>
          <w:p w:rsidR="00A76C2C" w14:paraId="278E10F1" w14:textId="77777777">
            <w:pPr>
              <w:pStyle w:val="TableParagraph"/>
              <w:spacing w:before="115"/>
              <w:ind w:left="10"/>
              <w:jc w:val="center"/>
              <w:rPr>
                <w:sz w:val="20"/>
              </w:rPr>
            </w:pPr>
            <w:r>
              <w:rPr>
                <w:spacing w:val="-4"/>
                <w:sz w:val="20"/>
              </w:rPr>
              <w:t>0.25</w:t>
            </w:r>
          </w:p>
        </w:tc>
        <w:tc>
          <w:tcPr>
            <w:tcW w:w="1168" w:type="dxa"/>
          </w:tcPr>
          <w:p w:rsidR="00A76C2C" w14:paraId="102CA5FA" w14:textId="77777777">
            <w:pPr>
              <w:pStyle w:val="TableParagraph"/>
              <w:spacing w:before="115"/>
              <w:ind w:left="2"/>
              <w:jc w:val="center"/>
              <w:rPr>
                <w:sz w:val="20"/>
              </w:rPr>
            </w:pPr>
            <w:r>
              <w:rPr>
                <w:spacing w:val="-2"/>
                <w:sz w:val="20"/>
              </w:rPr>
              <w:t>9,246</w:t>
            </w:r>
          </w:p>
        </w:tc>
        <w:tc>
          <w:tcPr>
            <w:tcW w:w="1084" w:type="dxa"/>
          </w:tcPr>
          <w:p w:rsidR="00A76C2C" w14:paraId="1BE812AF" w14:textId="77777777">
            <w:pPr>
              <w:pStyle w:val="TableParagraph"/>
              <w:spacing w:before="115"/>
              <w:ind w:left="1" w:right="4"/>
              <w:jc w:val="center"/>
              <w:rPr>
                <w:sz w:val="20"/>
              </w:rPr>
            </w:pPr>
            <w:r>
              <w:rPr>
                <w:spacing w:val="-2"/>
                <w:sz w:val="20"/>
              </w:rPr>
              <w:t>20.71</w:t>
            </w:r>
          </w:p>
        </w:tc>
        <w:tc>
          <w:tcPr>
            <w:tcW w:w="1218" w:type="dxa"/>
          </w:tcPr>
          <w:p w:rsidR="00A76C2C" w14:paraId="31217328" w14:textId="77777777">
            <w:pPr>
              <w:pStyle w:val="TableParagraph"/>
              <w:spacing w:before="115"/>
              <w:ind w:left="1" w:right="2"/>
              <w:jc w:val="center"/>
              <w:rPr>
                <w:sz w:val="20"/>
              </w:rPr>
            </w:pPr>
            <w:r>
              <w:rPr>
                <w:spacing w:val="-2"/>
                <w:sz w:val="20"/>
              </w:rPr>
              <w:t>191,485</w:t>
            </w:r>
          </w:p>
        </w:tc>
      </w:tr>
      <w:tr w14:paraId="7814D193" w14:textId="77777777">
        <w:tblPrEx>
          <w:tblW w:w="0" w:type="auto"/>
          <w:tblInd w:w="561" w:type="dxa"/>
          <w:tblLayout w:type="fixed"/>
          <w:tblCellMar>
            <w:left w:w="0" w:type="dxa"/>
            <w:right w:w="0" w:type="dxa"/>
          </w:tblCellMar>
          <w:tblLook w:val="01E0"/>
        </w:tblPrEx>
        <w:trPr>
          <w:trHeight w:val="460"/>
        </w:trPr>
        <w:tc>
          <w:tcPr>
            <w:tcW w:w="1150" w:type="dxa"/>
          </w:tcPr>
          <w:p w:rsidR="00A76C2C" w14:paraId="4B651CC4" w14:textId="77777777">
            <w:pPr>
              <w:pStyle w:val="TableParagraph"/>
              <w:spacing w:before="115"/>
              <w:rPr>
                <w:sz w:val="20"/>
              </w:rPr>
            </w:pPr>
            <w:r>
              <w:rPr>
                <w:spacing w:val="-2"/>
                <w:sz w:val="20"/>
              </w:rPr>
              <w:t>423.2504</w:t>
            </w:r>
          </w:p>
        </w:tc>
        <w:tc>
          <w:tcPr>
            <w:tcW w:w="1688" w:type="dxa"/>
          </w:tcPr>
          <w:p w:rsidR="00A76C2C" w14:paraId="010D6C64" w14:textId="77777777">
            <w:pPr>
              <w:pStyle w:val="TableParagraph"/>
              <w:ind w:left="14" w:right="5"/>
              <w:jc w:val="center"/>
              <w:rPr>
                <w:sz w:val="20"/>
              </w:rPr>
            </w:pPr>
            <w:r>
              <w:rPr>
                <w:spacing w:val="-2"/>
                <w:sz w:val="20"/>
              </w:rPr>
              <w:t>36,722</w:t>
            </w:r>
          </w:p>
          <w:p w:rsidR="00A76C2C" w14:paraId="7B03DBFE" w14:textId="77777777">
            <w:pPr>
              <w:pStyle w:val="TableParagraph"/>
              <w:spacing w:line="210" w:lineRule="exact"/>
              <w:ind w:left="14" w:right="3"/>
              <w:jc w:val="center"/>
              <w:rPr>
                <w:sz w:val="20"/>
              </w:rPr>
            </w:pPr>
            <w:r>
              <w:rPr>
                <w:spacing w:val="-2"/>
                <w:sz w:val="20"/>
              </w:rPr>
              <w:t>Pharmacists</w:t>
            </w:r>
          </w:p>
        </w:tc>
        <w:tc>
          <w:tcPr>
            <w:tcW w:w="1266" w:type="dxa"/>
          </w:tcPr>
          <w:p w:rsidR="00A76C2C" w14:paraId="5E1B8ACC" w14:textId="77777777">
            <w:pPr>
              <w:pStyle w:val="TableParagraph"/>
              <w:spacing w:before="115"/>
              <w:ind w:left="8" w:right="1"/>
              <w:jc w:val="center"/>
              <w:rPr>
                <w:sz w:val="20"/>
              </w:rPr>
            </w:pPr>
            <w:r>
              <w:rPr>
                <w:spacing w:val="-2"/>
                <w:sz w:val="20"/>
              </w:rPr>
              <w:t>36,722</w:t>
            </w:r>
          </w:p>
        </w:tc>
        <w:tc>
          <w:tcPr>
            <w:tcW w:w="1019" w:type="dxa"/>
          </w:tcPr>
          <w:p w:rsidR="00A76C2C" w14:paraId="61A88C4C" w14:textId="77777777">
            <w:pPr>
              <w:pStyle w:val="TableParagraph"/>
              <w:spacing w:before="115"/>
              <w:ind w:left="10" w:right="3"/>
              <w:jc w:val="center"/>
              <w:rPr>
                <w:sz w:val="20"/>
              </w:rPr>
            </w:pPr>
            <w:r>
              <w:rPr>
                <w:spacing w:val="-2"/>
                <w:sz w:val="20"/>
              </w:rPr>
              <w:t>0.0333</w:t>
            </w:r>
          </w:p>
        </w:tc>
        <w:tc>
          <w:tcPr>
            <w:tcW w:w="1168" w:type="dxa"/>
          </w:tcPr>
          <w:p w:rsidR="00A76C2C" w14:paraId="1A1B37CC" w14:textId="77777777">
            <w:pPr>
              <w:pStyle w:val="TableParagraph"/>
              <w:spacing w:before="115"/>
              <w:ind w:left="2"/>
              <w:jc w:val="center"/>
              <w:rPr>
                <w:sz w:val="20"/>
              </w:rPr>
            </w:pPr>
            <w:r>
              <w:rPr>
                <w:spacing w:val="-2"/>
                <w:sz w:val="20"/>
              </w:rPr>
              <w:t>1,223</w:t>
            </w:r>
          </w:p>
        </w:tc>
        <w:tc>
          <w:tcPr>
            <w:tcW w:w="1084" w:type="dxa"/>
          </w:tcPr>
          <w:p w:rsidR="00A76C2C" w14:paraId="21384E13" w14:textId="77777777">
            <w:pPr>
              <w:pStyle w:val="TableParagraph"/>
              <w:ind w:left="0"/>
              <w:rPr>
                <w:i/>
                <w:sz w:val="20"/>
              </w:rPr>
            </w:pPr>
          </w:p>
          <w:p w:rsidR="00A76C2C" w14:paraId="0817F4E4" w14:textId="77777777">
            <w:pPr>
              <w:pStyle w:val="TableParagraph"/>
              <w:spacing w:line="210" w:lineRule="exact"/>
              <w:ind w:left="3" w:right="4"/>
              <w:jc w:val="center"/>
              <w:rPr>
                <w:sz w:val="20"/>
              </w:rPr>
            </w:pPr>
            <w:r>
              <w:rPr>
                <w:spacing w:val="-2"/>
                <w:sz w:val="20"/>
              </w:rPr>
              <w:t>124.44</w:t>
            </w:r>
          </w:p>
        </w:tc>
        <w:tc>
          <w:tcPr>
            <w:tcW w:w="1218" w:type="dxa"/>
          </w:tcPr>
          <w:p w:rsidR="00A76C2C" w14:paraId="1A1A74F8" w14:textId="77777777">
            <w:pPr>
              <w:pStyle w:val="TableParagraph"/>
              <w:ind w:left="0"/>
              <w:rPr>
                <w:i/>
                <w:sz w:val="20"/>
              </w:rPr>
            </w:pPr>
          </w:p>
          <w:p w:rsidR="00A76C2C" w14:paraId="04061308" w14:textId="77777777">
            <w:pPr>
              <w:pStyle w:val="TableParagraph"/>
              <w:spacing w:line="210" w:lineRule="exact"/>
              <w:ind w:left="1" w:right="2"/>
              <w:jc w:val="center"/>
              <w:rPr>
                <w:sz w:val="20"/>
              </w:rPr>
            </w:pPr>
            <w:r>
              <w:rPr>
                <w:spacing w:val="-2"/>
                <w:sz w:val="20"/>
              </w:rPr>
              <w:t>152,190</w:t>
            </w:r>
          </w:p>
        </w:tc>
      </w:tr>
      <w:tr w14:paraId="797E751F" w14:textId="77777777">
        <w:tblPrEx>
          <w:tblW w:w="0" w:type="auto"/>
          <w:tblInd w:w="561" w:type="dxa"/>
          <w:tblLayout w:type="fixed"/>
          <w:tblCellMar>
            <w:left w:w="0" w:type="dxa"/>
            <w:right w:w="0" w:type="dxa"/>
          </w:tblCellMar>
          <w:tblLook w:val="01E0"/>
        </w:tblPrEx>
        <w:trPr>
          <w:trHeight w:val="460"/>
        </w:trPr>
        <w:tc>
          <w:tcPr>
            <w:tcW w:w="1150" w:type="dxa"/>
          </w:tcPr>
          <w:p w:rsidR="00A76C2C" w14:paraId="51B8F308" w14:textId="77777777">
            <w:pPr>
              <w:pStyle w:val="TableParagraph"/>
              <w:ind w:left="0"/>
              <w:rPr>
                <w:i/>
                <w:sz w:val="20"/>
              </w:rPr>
            </w:pPr>
          </w:p>
          <w:p w:rsidR="00A76C2C" w14:paraId="3F5052D9" w14:textId="77777777">
            <w:pPr>
              <w:pStyle w:val="TableParagraph"/>
              <w:spacing w:line="210" w:lineRule="exact"/>
              <w:rPr>
                <w:sz w:val="20"/>
              </w:rPr>
            </w:pPr>
            <w:r>
              <w:rPr>
                <w:spacing w:val="-2"/>
                <w:sz w:val="20"/>
              </w:rPr>
              <w:t>423.2504</w:t>
            </w:r>
          </w:p>
        </w:tc>
        <w:tc>
          <w:tcPr>
            <w:tcW w:w="1688" w:type="dxa"/>
          </w:tcPr>
          <w:p w:rsidR="00A76C2C" w14:paraId="0787199D" w14:textId="77777777">
            <w:pPr>
              <w:pStyle w:val="TableParagraph"/>
              <w:ind w:left="14" w:right="3"/>
              <w:jc w:val="center"/>
              <w:rPr>
                <w:sz w:val="20"/>
              </w:rPr>
            </w:pPr>
            <w:r>
              <w:rPr>
                <w:sz w:val="20"/>
              </w:rPr>
              <w:t>1</w:t>
            </w:r>
            <w:r>
              <w:rPr>
                <w:spacing w:val="-3"/>
                <w:sz w:val="20"/>
              </w:rPr>
              <w:t xml:space="preserve"> </w:t>
            </w:r>
            <w:r>
              <w:rPr>
                <w:sz w:val="20"/>
              </w:rPr>
              <w:t>(one)</w:t>
            </w:r>
            <w:r>
              <w:rPr>
                <w:spacing w:val="-2"/>
                <w:sz w:val="20"/>
              </w:rPr>
              <w:t xml:space="preserve"> Sponsor</w:t>
            </w:r>
          </w:p>
        </w:tc>
        <w:tc>
          <w:tcPr>
            <w:tcW w:w="1266" w:type="dxa"/>
          </w:tcPr>
          <w:p w:rsidR="00A76C2C" w14:paraId="64EE5A26" w14:textId="77777777">
            <w:pPr>
              <w:pStyle w:val="TableParagraph"/>
              <w:ind w:left="8" w:right="1"/>
              <w:jc w:val="center"/>
              <w:rPr>
                <w:sz w:val="20"/>
              </w:rPr>
            </w:pPr>
            <w:r>
              <w:rPr>
                <w:spacing w:val="-2"/>
                <w:sz w:val="20"/>
              </w:rPr>
              <w:t>36,982</w:t>
            </w:r>
          </w:p>
        </w:tc>
        <w:tc>
          <w:tcPr>
            <w:tcW w:w="1019" w:type="dxa"/>
          </w:tcPr>
          <w:p w:rsidR="00A76C2C" w14:paraId="270553E6" w14:textId="77777777">
            <w:pPr>
              <w:pStyle w:val="TableParagraph"/>
              <w:ind w:left="10" w:right="3"/>
              <w:jc w:val="center"/>
              <w:rPr>
                <w:sz w:val="20"/>
              </w:rPr>
            </w:pPr>
            <w:r>
              <w:rPr>
                <w:spacing w:val="-2"/>
                <w:sz w:val="20"/>
              </w:rPr>
              <w:t>0.0333</w:t>
            </w:r>
          </w:p>
        </w:tc>
        <w:tc>
          <w:tcPr>
            <w:tcW w:w="1168" w:type="dxa"/>
          </w:tcPr>
          <w:p w:rsidR="00A76C2C" w14:paraId="12706E35" w14:textId="77777777">
            <w:pPr>
              <w:pStyle w:val="TableParagraph"/>
              <w:ind w:left="2"/>
              <w:jc w:val="center"/>
              <w:rPr>
                <w:sz w:val="20"/>
              </w:rPr>
            </w:pPr>
            <w:r>
              <w:rPr>
                <w:spacing w:val="-2"/>
                <w:sz w:val="20"/>
              </w:rPr>
              <w:t>1,232</w:t>
            </w:r>
          </w:p>
        </w:tc>
        <w:tc>
          <w:tcPr>
            <w:tcW w:w="1084" w:type="dxa"/>
          </w:tcPr>
          <w:p w:rsidR="00A76C2C" w14:paraId="7E409DF3" w14:textId="77777777">
            <w:pPr>
              <w:pStyle w:val="TableParagraph"/>
              <w:ind w:left="0"/>
              <w:rPr>
                <w:i/>
                <w:sz w:val="20"/>
              </w:rPr>
            </w:pPr>
          </w:p>
          <w:p w:rsidR="00A76C2C" w14:paraId="0FF8640C" w14:textId="77777777">
            <w:pPr>
              <w:pStyle w:val="TableParagraph"/>
              <w:spacing w:line="210" w:lineRule="exact"/>
              <w:ind w:left="4" w:right="4"/>
              <w:jc w:val="center"/>
              <w:rPr>
                <w:sz w:val="20"/>
              </w:rPr>
            </w:pPr>
            <w:r>
              <w:rPr>
                <w:spacing w:val="-2"/>
                <w:sz w:val="20"/>
              </w:rPr>
              <w:t>79.50</w:t>
            </w:r>
          </w:p>
        </w:tc>
        <w:tc>
          <w:tcPr>
            <w:tcW w:w="1218" w:type="dxa"/>
          </w:tcPr>
          <w:p w:rsidR="00A76C2C" w14:paraId="4722E212" w14:textId="77777777">
            <w:pPr>
              <w:pStyle w:val="TableParagraph"/>
              <w:ind w:left="0"/>
              <w:rPr>
                <w:i/>
                <w:sz w:val="20"/>
              </w:rPr>
            </w:pPr>
          </w:p>
          <w:p w:rsidR="00A76C2C" w14:paraId="2047B1D8" w14:textId="77777777">
            <w:pPr>
              <w:pStyle w:val="TableParagraph"/>
              <w:spacing w:line="210" w:lineRule="exact"/>
              <w:ind w:left="0" w:right="2"/>
              <w:jc w:val="center"/>
              <w:rPr>
                <w:sz w:val="20"/>
              </w:rPr>
            </w:pPr>
            <w:r>
              <w:rPr>
                <w:spacing w:val="-2"/>
                <w:sz w:val="20"/>
              </w:rPr>
              <w:t>97,944</w:t>
            </w:r>
          </w:p>
        </w:tc>
      </w:tr>
      <w:tr w14:paraId="6855DF15" w14:textId="77777777">
        <w:tblPrEx>
          <w:tblW w:w="0" w:type="auto"/>
          <w:tblInd w:w="561" w:type="dxa"/>
          <w:tblLayout w:type="fixed"/>
          <w:tblCellMar>
            <w:left w:w="0" w:type="dxa"/>
            <w:right w:w="0" w:type="dxa"/>
          </w:tblCellMar>
          <w:tblLook w:val="01E0"/>
        </w:tblPrEx>
        <w:trPr>
          <w:trHeight w:val="460"/>
        </w:trPr>
        <w:tc>
          <w:tcPr>
            <w:tcW w:w="1150" w:type="dxa"/>
          </w:tcPr>
          <w:p w:rsidR="00A76C2C" w14:paraId="0360154F" w14:textId="77777777">
            <w:pPr>
              <w:pStyle w:val="TableParagraph"/>
              <w:spacing w:before="228" w:line="212" w:lineRule="exact"/>
              <w:rPr>
                <w:sz w:val="20"/>
              </w:rPr>
            </w:pPr>
            <w:r>
              <w:rPr>
                <w:spacing w:val="-2"/>
                <w:sz w:val="20"/>
              </w:rPr>
              <w:t>TOTAL</w:t>
            </w:r>
          </w:p>
        </w:tc>
        <w:tc>
          <w:tcPr>
            <w:tcW w:w="1688" w:type="dxa"/>
          </w:tcPr>
          <w:p w:rsidR="00A76C2C" w14:paraId="181E32AC" w14:textId="77777777">
            <w:pPr>
              <w:pStyle w:val="TableParagraph"/>
              <w:ind w:left="14"/>
              <w:jc w:val="center"/>
              <w:rPr>
                <w:sz w:val="20"/>
              </w:rPr>
            </w:pPr>
            <w:r>
              <w:rPr>
                <w:spacing w:val="-2"/>
                <w:sz w:val="20"/>
              </w:rPr>
              <w:t>73,705</w:t>
            </w:r>
          </w:p>
        </w:tc>
        <w:tc>
          <w:tcPr>
            <w:tcW w:w="1266" w:type="dxa"/>
          </w:tcPr>
          <w:p w:rsidR="00A76C2C" w14:paraId="598AA216" w14:textId="77777777">
            <w:pPr>
              <w:pStyle w:val="TableParagraph"/>
              <w:ind w:left="8"/>
              <w:jc w:val="center"/>
              <w:rPr>
                <w:sz w:val="20"/>
              </w:rPr>
            </w:pPr>
            <w:r>
              <w:rPr>
                <w:spacing w:val="-2"/>
                <w:sz w:val="20"/>
              </w:rPr>
              <w:t>110,686</w:t>
            </w:r>
          </w:p>
        </w:tc>
        <w:tc>
          <w:tcPr>
            <w:tcW w:w="1019" w:type="dxa"/>
          </w:tcPr>
          <w:p w:rsidR="00A76C2C" w14:paraId="36790946" w14:textId="77777777">
            <w:pPr>
              <w:pStyle w:val="TableParagraph"/>
              <w:ind w:left="10" w:right="4"/>
              <w:jc w:val="center"/>
              <w:rPr>
                <w:sz w:val="20"/>
              </w:rPr>
            </w:pPr>
            <w:r>
              <w:rPr>
                <w:spacing w:val="-2"/>
                <w:sz w:val="20"/>
              </w:rPr>
              <w:t>Varies</w:t>
            </w:r>
          </w:p>
        </w:tc>
        <w:tc>
          <w:tcPr>
            <w:tcW w:w="1168" w:type="dxa"/>
          </w:tcPr>
          <w:p w:rsidR="00A76C2C" w14:paraId="5C658FC1" w14:textId="77777777">
            <w:pPr>
              <w:pStyle w:val="TableParagraph"/>
              <w:ind w:left="2" w:right="2"/>
              <w:jc w:val="center"/>
              <w:rPr>
                <w:sz w:val="20"/>
              </w:rPr>
            </w:pPr>
            <w:r>
              <w:rPr>
                <w:spacing w:val="-2"/>
                <w:sz w:val="20"/>
              </w:rPr>
              <w:t>11,701</w:t>
            </w:r>
          </w:p>
        </w:tc>
        <w:tc>
          <w:tcPr>
            <w:tcW w:w="1084" w:type="dxa"/>
          </w:tcPr>
          <w:p w:rsidR="00A76C2C" w14:paraId="3F48CA56" w14:textId="77777777">
            <w:pPr>
              <w:pStyle w:val="TableParagraph"/>
              <w:ind w:left="0" w:right="4"/>
              <w:jc w:val="center"/>
              <w:rPr>
                <w:sz w:val="20"/>
              </w:rPr>
            </w:pPr>
            <w:r>
              <w:rPr>
                <w:spacing w:val="-2"/>
                <w:sz w:val="20"/>
              </w:rPr>
              <w:t>Varies</w:t>
            </w:r>
          </w:p>
        </w:tc>
        <w:tc>
          <w:tcPr>
            <w:tcW w:w="1218" w:type="dxa"/>
          </w:tcPr>
          <w:p w:rsidR="00A76C2C" w14:paraId="66871C4F" w14:textId="77777777">
            <w:pPr>
              <w:pStyle w:val="TableParagraph"/>
              <w:spacing w:before="228" w:line="212" w:lineRule="exact"/>
              <w:ind w:left="1" w:right="2"/>
              <w:jc w:val="center"/>
              <w:rPr>
                <w:sz w:val="20"/>
              </w:rPr>
            </w:pPr>
            <w:r>
              <w:rPr>
                <w:spacing w:val="-2"/>
                <w:sz w:val="20"/>
              </w:rPr>
              <w:t>441,619</w:t>
            </w:r>
          </w:p>
        </w:tc>
      </w:tr>
    </w:tbl>
    <w:p w:rsidR="00A76C2C" w14:paraId="415C2768" w14:textId="77777777">
      <w:pPr>
        <w:pStyle w:val="BodyText"/>
        <w:spacing w:before="1"/>
        <w:rPr>
          <w:i/>
        </w:rPr>
      </w:pPr>
    </w:p>
    <w:p w:rsidR="00A76C2C" w14:paraId="0760A783" w14:textId="77777777">
      <w:pPr>
        <w:ind w:left="120"/>
        <w:rPr>
          <w:i/>
          <w:sz w:val="24"/>
        </w:rPr>
      </w:pPr>
      <w:bookmarkStart w:id="15" w:name="Collection_of_Information_Instruments_an"/>
      <w:bookmarkEnd w:id="15"/>
      <w:r>
        <w:rPr>
          <w:i/>
          <w:sz w:val="24"/>
        </w:rPr>
        <w:t>Collection</w:t>
      </w:r>
      <w:r>
        <w:rPr>
          <w:i/>
          <w:spacing w:val="-5"/>
          <w:sz w:val="24"/>
        </w:rPr>
        <w:t xml:space="preserve"> </w:t>
      </w:r>
      <w:r>
        <w:rPr>
          <w:i/>
          <w:sz w:val="24"/>
        </w:rPr>
        <w:t>of</w:t>
      </w:r>
      <w:r>
        <w:rPr>
          <w:i/>
          <w:spacing w:val="-3"/>
          <w:sz w:val="24"/>
        </w:rPr>
        <w:t xml:space="preserve"> </w:t>
      </w:r>
      <w:r>
        <w:rPr>
          <w:i/>
          <w:sz w:val="24"/>
        </w:rPr>
        <w:t>Information</w:t>
      </w:r>
      <w:r>
        <w:rPr>
          <w:i/>
          <w:spacing w:val="-5"/>
          <w:sz w:val="24"/>
        </w:rPr>
        <w:t xml:space="preserve"> </w:t>
      </w:r>
      <w:r>
        <w:rPr>
          <w:i/>
          <w:sz w:val="24"/>
        </w:rPr>
        <w:t>Instruments</w:t>
      </w:r>
      <w:r>
        <w:rPr>
          <w:i/>
          <w:spacing w:val="-2"/>
          <w:sz w:val="24"/>
        </w:rPr>
        <w:t xml:space="preserve"> </w:t>
      </w:r>
      <w:r>
        <w:rPr>
          <w:i/>
          <w:sz w:val="24"/>
        </w:rPr>
        <w:t>and</w:t>
      </w:r>
      <w:r>
        <w:rPr>
          <w:i/>
          <w:spacing w:val="-3"/>
          <w:sz w:val="24"/>
        </w:rPr>
        <w:t xml:space="preserve"> </w:t>
      </w:r>
      <w:r>
        <w:rPr>
          <w:i/>
          <w:sz w:val="24"/>
        </w:rPr>
        <w:t>Instruction/Guidance</w:t>
      </w:r>
      <w:r>
        <w:rPr>
          <w:i/>
          <w:spacing w:val="-3"/>
          <w:sz w:val="24"/>
        </w:rPr>
        <w:t xml:space="preserve"> </w:t>
      </w:r>
      <w:r>
        <w:rPr>
          <w:i/>
          <w:spacing w:val="-2"/>
          <w:sz w:val="24"/>
        </w:rPr>
        <w:t>Documents</w:t>
      </w:r>
    </w:p>
    <w:p w:rsidR="00A76C2C" w14:paraId="22070131" w14:textId="77777777">
      <w:pPr>
        <w:pStyle w:val="BodyText"/>
        <w:rPr>
          <w:i/>
        </w:rPr>
      </w:pPr>
    </w:p>
    <w:p w:rsidR="0080459C" w:rsidRPr="0080459C" w:rsidP="0080459C" w14:paraId="2F1DD1CD" w14:textId="77777777">
      <w:pPr>
        <w:pStyle w:val="BodyText"/>
        <w:numPr>
          <w:ilvl w:val="0"/>
          <w:numId w:val="6"/>
        </w:numPr>
        <w:tabs>
          <w:tab w:val="left" w:pos="8268"/>
        </w:tabs>
      </w:pPr>
      <w:r>
        <w:t>Application to</w:t>
      </w:r>
      <w:r>
        <w:rPr>
          <w:spacing w:val="4"/>
        </w:rPr>
        <w:t xml:space="preserve"> </w:t>
      </w:r>
      <w:r>
        <w:t>Enroll</w:t>
      </w:r>
      <w:r>
        <w:rPr>
          <w:spacing w:val="3"/>
        </w:rPr>
        <w:t xml:space="preserve"> </w:t>
      </w:r>
      <w:r>
        <w:t>in</w:t>
      </w:r>
      <w:r>
        <w:rPr>
          <w:spacing w:val="2"/>
        </w:rPr>
        <w:t xml:space="preserve"> </w:t>
      </w:r>
      <w:r>
        <w:t>the</w:t>
      </w:r>
      <w:r>
        <w:rPr>
          <w:spacing w:val="3"/>
        </w:rPr>
        <w:t xml:space="preserve"> </w:t>
      </w:r>
      <w:r>
        <w:t>Limited</w:t>
      </w:r>
      <w:r>
        <w:rPr>
          <w:spacing w:val="7"/>
        </w:rPr>
        <w:t xml:space="preserve"> </w:t>
      </w:r>
      <w:r>
        <w:t>Income</w:t>
      </w:r>
      <w:r>
        <w:rPr>
          <w:spacing w:val="3"/>
        </w:rPr>
        <w:t xml:space="preserve"> </w:t>
      </w:r>
      <w:r>
        <w:t>Newly</w:t>
      </w:r>
      <w:r>
        <w:rPr>
          <w:spacing w:val="3"/>
        </w:rPr>
        <w:t xml:space="preserve"> </w:t>
      </w:r>
      <w:r>
        <w:t>Eligible</w:t>
      </w:r>
      <w:r>
        <w:rPr>
          <w:spacing w:val="3"/>
        </w:rPr>
        <w:t xml:space="preserve"> </w:t>
      </w:r>
      <w:r>
        <w:t>Transition</w:t>
      </w:r>
      <w:r>
        <w:rPr>
          <w:spacing w:val="7"/>
        </w:rPr>
        <w:t xml:space="preserve"> </w:t>
      </w:r>
      <w:r>
        <w:t>(LI</w:t>
      </w:r>
      <w:r>
        <w:rPr>
          <w:spacing w:val="3"/>
        </w:rPr>
        <w:t xml:space="preserve"> </w:t>
      </w:r>
      <w:r>
        <w:t>NET)</w:t>
      </w:r>
      <w:r>
        <w:rPr>
          <w:spacing w:val="4"/>
        </w:rPr>
        <w:t xml:space="preserve"> </w:t>
      </w:r>
      <w:r>
        <w:rPr>
          <w:spacing w:val="-2"/>
        </w:rPr>
        <w:t>Program</w:t>
      </w:r>
    </w:p>
    <w:p w:rsidR="00A76C2C" w:rsidRPr="0080459C" w:rsidP="0080459C" w14:paraId="3F1EE91D" w14:textId="3F4EE531">
      <w:pPr>
        <w:pStyle w:val="BodyText"/>
        <w:numPr>
          <w:ilvl w:val="0"/>
          <w:numId w:val="6"/>
        </w:numPr>
        <w:tabs>
          <w:tab w:val="left" w:pos="8268"/>
        </w:tabs>
      </w:pPr>
      <w:r w:rsidRPr="0080459C">
        <w:t xml:space="preserve">Direct Reimbursement Request for the Limited Income Newly Eligible Transition (LI NET) </w:t>
      </w:r>
      <w:r w:rsidRPr="0080459C">
        <w:rPr>
          <w:spacing w:val="-2"/>
        </w:rPr>
        <w:t>Program</w:t>
      </w:r>
    </w:p>
    <w:p w:rsidR="00A76C2C" w14:paraId="1FE1E4A4" w14:textId="77777777">
      <w:pPr>
        <w:pStyle w:val="ListParagraph"/>
        <w:numPr>
          <w:ilvl w:val="1"/>
          <w:numId w:val="4"/>
        </w:numPr>
        <w:tabs>
          <w:tab w:val="left" w:pos="659"/>
        </w:tabs>
        <w:spacing w:before="275"/>
        <w:ind w:left="659" w:hanging="539"/>
        <w:rPr>
          <w:sz w:val="24"/>
        </w:rPr>
      </w:pPr>
      <w:bookmarkStart w:id="16" w:name="13._Capital_Costs"/>
      <w:bookmarkEnd w:id="16"/>
      <w:r>
        <w:rPr>
          <w:sz w:val="24"/>
          <w:u w:val="single"/>
        </w:rPr>
        <w:t>Capital</w:t>
      </w:r>
      <w:r>
        <w:rPr>
          <w:spacing w:val="-2"/>
          <w:sz w:val="24"/>
          <w:u w:val="single"/>
        </w:rPr>
        <w:t xml:space="preserve"> Costs</w:t>
      </w:r>
    </w:p>
    <w:p w:rsidR="00A76C2C" w14:paraId="380D18A8" w14:textId="77777777">
      <w:pPr>
        <w:pStyle w:val="BodyText"/>
      </w:pPr>
    </w:p>
    <w:p w:rsidR="00A76C2C" w14:paraId="6977BDE5" w14:textId="77D18DA5">
      <w:pPr>
        <w:pStyle w:val="BodyText"/>
        <w:ind w:left="120"/>
      </w:pPr>
      <w:r>
        <w:t>There</w:t>
      </w:r>
      <w:r>
        <w:rPr>
          <w:spacing w:val="2"/>
        </w:rPr>
        <w:t xml:space="preserve"> </w:t>
      </w:r>
      <w:r w:rsidR="000843DC">
        <w:t>is</w:t>
      </w:r>
      <w:r>
        <w:rPr>
          <w:spacing w:val="3"/>
        </w:rPr>
        <w:t xml:space="preserve"> </w:t>
      </w:r>
      <w:r>
        <w:t>no</w:t>
      </w:r>
      <w:r>
        <w:rPr>
          <w:spacing w:val="4"/>
        </w:rPr>
        <w:t xml:space="preserve"> </w:t>
      </w:r>
      <w:r>
        <w:t>capital</w:t>
      </w:r>
      <w:r>
        <w:rPr>
          <w:spacing w:val="4"/>
        </w:rPr>
        <w:t xml:space="preserve"> </w:t>
      </w:r>
      <w:r>
        <w:t>costs</w:t>
      </w:r>
      <w:r>
        <w:rPr>
          <w:spacing w:val="4"/>
        </w:rPr>
        <w:t xml:space="preserve"> </w:t>
      </w:r>
      <w:r>
        <w:t>associated</w:t>
      </w:r>
      <w:r>
        <w:rPr>
          <w:spacing w:val="4"/>
        </w:rPr>
        <w:t xml:space="preserve"> </w:t>
      </w:r>
      <w:r>
        <w:t>with</w:t>
      </w:r>
      <w:r>
        <w:rPr>
          <w:spacing w:val="2"/>
        </w:rPr>
        <w:t xml:space="preserve"> </w:t>
      </w:r>
      <w:r>
        <w:t>this</w:t>
      </w:r>
      <w:r>
        <w:rPr>
          <w:spacing w:val="7"/>
        </w:rPr>
        <w:t xml:space="preserve"> </w:t>
      </w:r>
      <w:r>
        <w:rPr>
          <w:spacing w:val="-2"/>
        </w:rPr>
        <w:t>collection.</w:t>
      </w:r>
    </w:p>
    <w:p w:rsidR="00A76C2C" w14:paraId="31BCE45E" w14:textId="77777777">
      <w:pPr>
        <w:pStyle w:val="BodyText"/>
      </w:pPr>
    </w:p>
    <w:p w:rsidR="00A76C2C" w14:paraId="3691AC63" w14:textId="77777777">
      <w:pPr>
        <w:pStyle w:val="ListParagraph"/>
        <w:numPr>
          <w:ilvl w:val="1"/>
          <w:numId w:val="4"/>
        </w:numPr>
        <w:tabs>
          <w:tab w:val="left" w:pos="659"/>
        </w:tabs>
        <w:ind w:left="659" w:hanging="539"/>
        <w:rPr>
          <w:sz w:val="24"/>
        </w:rPr>
      </w:pPr>
      <w:bookmarkStart w:id="17" w:name="14._Cost_to_the_Federal_Government"/>
      <w:bookmarkEnd w:id="17"/>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the</w:t>
      </w:r>
      <w:r>
        <w:rPr>
          <w:spacing w:val="-3"/>
          <w:sz w:val="24"/>
          <w:u w:val="single"/>
        </w:rPr>
        <w:t xml:space="preserve"> </w:t>
      </w:r>
      <w:r>
        <w:rPr>
          <w:sz w:val="24"/>
          <w:u w:val="single"/>
        </w:rPr>
        <w:t>Federal</w:t>
      </w:r>
      <w:r>
        <w:rPr>
          <w:spacing w:val="-1"/>
          <w:sz w:val="24"/>
          <w:u w:val="single"/>
        </w:rPr>
        <w:t xml:space="preserve"> </w:t>
      </w:r>
      <w:r>
        <w:rPr>
          <w:spacing w:val="-2"/>
          <w:sz w:val="24"/>
          <w:u w:val="single"/>
        </w:rPr>
        <w:t>Government</w:t>
      </w:r>
    </w:p>
    <w:p w:rsidR="00A76C2C" w14:paraId="0D8F1B53" w14:textId="77777777">
      <w:pPr>
        <w:pStyle w:val="BodyText"/>
      </w:pPr>
    </w:p>
    <w:p w:rsidR="00A76C2C" w14:paraId="4617EBF6" w14:textId="77777777">
      <w:pPr>
        <w:pStyle w:val="BodyText"/>
        <w:ind w:left="120" w:right="905"/>
      </w:pPr>
      <w:r>
        <w:t>CMS</w:t>
      </w:r>
      <w:r>
        <w:rPr>
          <w:spacing w:val="-3"/>
        </w:rPr>
        <w:t xml:space="preserve"> </w:t>
      </w:r>
      <w:r>
        <w:t>Central</w:t>
      </w:r>
      <w:r>
        <w:rPr>
          <w:spacing w:val="-3"/>
        </w:rPr>
        <w:t xml:space="preserve"> </w:t>
      </w:r>
      <w:r>
        <w:t>Office</w:t>
      </w:r>
      <w:r>
        <w:rPr>
          <w:spacing w:val="-4"/>
        </w:rPr>
        <w:t xml:space="preserve"> </w:t>
      </w:r>
      <w:r>
        <w:t>Staff:</w:t>
      </w:r>
      <w:r>
        <w:rPr>
          <w:spacing w:val="-3"/>
        </w:rPr>
        <w:t xml:space="preserve"> </w:t>
      </w:r>
      <w:r>
        <w:t>1</w:t>
      </w:r>
      <w:r>
        <w:rPr>
          <w:spacing w:val="-4"/>
        </w:rPr>
        <w:t xml:space="preserve"> </w:t>
      </w:r>
      <w:r>
        <w:t>FTE</w:t>
      </w:r>
      <w:r>
        <w:rPr>
          <w:spacing w:val="-4"/>
        </w:rPr>
        <w:t xml:space="preserve"> </w:t>
      </w:r>
      <w:r>
        <w:t>(GS-13</w:t>
      </w:r>
      <w:r>
        <w:rPr>
          <w:spacing w:val="-3"/>
        </w:rPr>
        <w:t xml:space="preserve"> </w:t>
      </w:r>
      <w:r>
        <w:t>Step</w:t>
      </w:r>
      <w:r>
        <w:rPr>
          <w:spacing w:val="-3"/>
        </w:rPr>
        <w:t xml:space="preserve"> </w:t>
      </w:r>
      <w:r>
        <w:t>1)</w:t>
      </w:r>
      <w:r>
        <w:rPr>
          <w:spacing w:val="-2"/>
        </w:rPr>
        <w:t xml:space="preserve"> </w:t>
      </w:r>
      <w:r>
        <w:t>working</w:t>
      </w:r>
      <w:r>
        <w:rPr>
          <w:spacing w:val="-3"/>
        </w:rPr>
        <w:t xml:space="preserve"> </w:t>
      </w:r>
      <w:r>
        <w:t>at</w:t>
      </w:r>
      <w:r>
        <w:rPr>
          <w:spacing w:val="-3"/>
        </w:rPr>
        <w:t xml:space="preserve"> </w:t>
      </w:r>
      <w:r>
        <w:t>5%</w:t>
      </w:r>
      <w:r>
        <w:rPr>
          <w:spacing w:val="-4"/>
        </w:rPr>
        <w:t xml:space="preserve"> </w:t>
      </w:r>
      <w:r>
        <w:t>of</w:t>
      </w:r>
      <w:r>
        <w:rPr>
          <w:spacing w:val="-2"/>
        </w:rPr>
        <w:t xml:space="preserve"> </w:t>
      </w:r>
      <w:r>
        <w:t>assigned</w:t>
      </w:r>
      <w:r>
        <w:rPr>
          <w:spacing w:val="-3"/>
        </w:rPr>
        <w:t xml:space="preserve"> </w:t>
      </w:r>
      <w:r>
        <w:t>duties. Annual Time: 100 hours (2,008hr/year x 0.05)</w:t>
      </w:r>
    </w:p>
    <w:p w:rsidR="00A76C2C" w14:paraId="1EC407AC" w14:textId="77777777">
      <w:pPr>
        <w:pStyle w:val="BodyText"/>
        <w:ind w:left="120" w:right="3208"/>
      </w:pPr>
      <w:r>
        <w:t>Adjusted</w:t>
      </w:r>
      <w:r>
        <w:rPr>
          <w:spacing w:val="-7"/>
        </w:rPr>
        <w:t xml:space="preserve"> </w:t>
      </w:r>
      <w:r>
        <w:t>Hourly</w:t>
      </w:r>
      <w:r>
        <w:rPr>
          <w:spacing w:val="-7"/>
        </w:rPr>
        <w:t xml:space="preserve"> </w:t>
      </w:r>
      <w:r>
        <w:t>Wage:</w:t>
      </w:r>
      <w:r>
        <w:rPr>
          <w:spacing w:val="-7"/>
        </w:rPr>
        <w:t xml:space="preserve"> </w:t>
      </w:r>
      <w:r>
        <w:t>$113.04/hr</w:t>
      </w:r>
      <w:r>
        <w:rPr>
          <w:spacing w:val="-8"/>
        </w:rPr>
        <w:t xml:space="preserve"> </w:t>
      </w:r>
      <w:r>
        <w:t>($56.52/hr</w:t>
      </w:r>
      <w:r>
        <w:rPr>
          <w:spacing w:val="-8"/>
        </w:rPr>
        <w:t xml:space="preserve"> </w:t>
      </w:r>
      <w:r>
        <w:t>+</w:t>
      </w:r>
      <w:r>
        <w:rPr>
          <w:spacing w:val="-6"/>
        </w:rPr>
        <w:t xml:space="preserve"> </w:t>
      </w:r>
      <w:r>
        <w:t>$56.52/hr) Annual Cost: = $11,304 ($113.04 /hr) x (100/hr)</w:t>
      </w:r>
    </w:p>
    <w:p w:rsidR="00A76C2C" w14:paraId="61671A03" w14:textId="77777777">
      <w:pPr>
        <w:pStyle w:val="BodyText"/>
      </w:pPr>
    </w:p>
    <w:p w:rsidR="00A76C2C" w14:paraId="4B5DDEB3" w14:textId="77777777">
      <w:pPr>
        <w:pStyle w:val="BodyText"/>
        <w:ind w:left="120" w:right="776"/>
      </w:pPr>
      <w:r>
        <w:t>$56.52/hr is derived from OPM’s 2024 Salary Table at https://</w:t>
      </w:r>
      <w:hyperlink r:id="rId5">
        <w:r>
          <w:t>www.opm.gov/policy-data-</w:t>
        </w:r>
      </w:hyperlink>
      <w:r>
        <w:t xml:space="preserve"> oversight/pay-leave/salaries-wages/salary-tables/24Tables/html/DCB_h.aspx $113.04/hr is calculated</w:t>
      </w:r>
      <w:r>
        <w:rPr>
          <w:spacing w:val="-1"/>
        </w:rPr>
        <w:t xml:space="preserve"> </w:t>
      </w:r>
      <w:r>
        <w:t>from</w:t>
      </w:r>
      <w:r>
        <w:rPr>
          <w:spacing w:val="-3"/>
        </w:rPr>
        <w:t xml:space="preserve"> </w:t>
      </w:r>
      <w:r>
        <w:t>100%</w:t>
      </w:r>
      <w:r>
        <w:rPr>
          <w:spacing w:val="-4"/>
        </w:rPr>
        <w:t xml:space="preserve"> </w:t>
      </w:r>
      <w:r>
        <w:t>of</w:t>
      </w:r>
      <w:r>
        <w:rPr>
          <w:spacing w:val="-2"/>
        </w:rPr>
        <w:t xml:space="preserve"> </w:t>
      </w:r>
      <w:r>
        <w:t>the</w:t>
      </w:r>
      <w:r>
        <w:rPr>
          <w:spacing w:val="-4"/>
        </w:rPr>
        <w:t xml:space="preserve"> </w:t>
      </w:r>
      <w:r>
        <w:t>hourly</w:t>
      </w:r>
      <w:r>
        <w:rPr>
          <w:spacing w:val="-3"/>
        </w:rPr>
        <w:t xml:space="preserve"> </w:t>
      </w:r>
      <w:r>
        <w:t>wage</w:t>
      </w:r>
      <w:r>
        <w:rPr>
          <w:spacing w:val="-2"/>
        </w:rPr>
        <w:t xml:space="preserve"> </w:t>
      </w:r>
      <w:r>
        <w:t>($56.52</w:t>
      </w:r>
      <w:r>
        <w:rPr>
          <w:spacing w:val="-1"/>
        </w:rPr>
        <w:t xml:space="preserve"> </w:t>
      </w:r>
      <w:r>
        <w:t>/hr</w:t>
      </w:r>
      <w:r>
        <w:rPr>
          <w:spacing w:val="-4"/>
        </w:rPr>
        <w:t xml:space="preserve"> </w:t>
      </w:r>
      <w:r>
        <w:t>x</w:t>
      </w:r>
      <w:r>
        <w:rPr>
          <w:spacing w:val="-3"/>
        </w:rPr>
        <w:t xml:space="preserve"> </w:t>
      </w:r>
      <w:r>
        <w:t>2)</w:t>
      </w:r>
      <w:r>
        <w:rPr>
          <w:spacing w:val="-4"/>
        </w:rPr>
        <w:t xml:space="preserve"> </w:t>
      </w:r>
      <w:r>
        <w:t>to</w:t>
      </w:r>
      <w:r>
        <w:rPr>
          <w:spacing w:val="-3"/>
        </w:rPr>
        <w:t xml:space="preserve"> </w:t>
      </w:r>
      <w:r>
        <w:t>account</w:t>
      </w:r>
      <w:r>
        <w:rPr>
          <w:spacing w:val="-3"/>
        </w:rPr>
        <w:t xml:space="preserve"> </w:t>
      </w:r>
      <w:r>
        <w:t>for</w:t>
      </w:r>
      <w:r>
        <w:rPr>
          <w:spacing w:val="-4"/>
        </w:rPr>
        <w:t xml:space="preserve"> </w:t>
      </w:r>
      <w:r>
        <w:t>fringe</w:t>
      </w:r>
      <w:r>
        <w:rPr>
          <w:spacing w:val="-4"/>
        </w:rPr>
        <w:t xml:space="preserve"> </w:t>
      </w:r>
      <w:r>
        <w:t>benefits</w:t>
      </w:r>
      <w:r>
        <w:rPr>
          <w:spacing w:val="-3"/>
        </w:rPr>
        <w:t xml:space="preserve"> </w:t>
      </w:r>
      <w:r>
        <w:t xml:space="preserve">and </w:t>
      </w:r>
      <w:r>
        <w:rPr>
          <w:spacing w:val="-2"/>
        </w:rPr>
        <w:t>overhead.</w:t>
      </w:r>
    </w:p>
    <w:p w:rsidR="00A76C2C" w14:paraId="6B354B4C" w14:textId="77777777">
      <w:pPr>
        <w:pStyle w:val="BodyText"/>
      </w:pPr>
    </w:p>
    <w:p w:rsidR="00A76C2C" w14:paraId="76968D61" w14:textId="77777777">
      <w:pPr>
        <w:pStyle w:val="BodyText"/>
        <w:ind w:left="120" w:right="177"/>
      </w:pPr>
      <w:r>
        <w:t>The</w:t>
      </w:r>
      <w:r>
        <w:rPr>
          <w:spacing w:val="-1"/>
        </w:rPr>
        <w:t xml:space="preserve"> </w:t>
      </w:r>
      <w:r>
        <w:t>2008 hours are</w:t>
      </w:r>
      <w:r>
        <w:rPr>
          <w:spacing w:val="-1"/>
        </w:rPr>
        <w:t xml:space="preserve"> </w:t>
      </w:r>
      <w:r>
        <w:t>derived as follows: There</w:t>
      </w:r>
      <w:r>
        <w:rPr>
          <w:spacing w:val="-1"/>
        </w:rPr>
        <w:t xml:space="preserve"> </w:t>
      </w:r>
      <w:r>
        <w:t>are 366 days in 2024, because</w:t>
      </w:r>
      <w:r>
        <w:rPr>
          <w:spacing w:val="-1"/>
        </w:rPr>
        <w:t xml:space="preserve"> </w:t>
      </w:r>
      <w:r>
        <w:t>it is a</w:t>
      </w:r>
      <w:r>
        <w:rPr>
          <w:spacing w:val="-1"/>
        </w:rPr>
        <w:t xml:space="preserve"> </w:t>
      </w:r>
      <w:r>
        <w:t>leap year. The 366</w:t>
      </w:r>
      <w:r>
        <w:rPr>
          <w:spacing w:val="-3"/>
        </w:rPr>
        <w:t xml:space="preserve"> </w:t>
      </w:r>
      <w:r>
        <w:t>days</w:t>
      </w:r>
      <w:r>
        <w:rPr>
          <w:spacing w:val="-3"/>
        </w:rPr>
        <w:t xml:space="preserve"> </w:t>
      </w:r>
      <w:r>
        <w:t>comprise</w:t>
      </w:r>
      <w:r>
        <w:rPr>
          <w:spacing w:val="-4"/>
        </w:rPr>
        <w:t xml:space="preserve"> </w:t>
      </w:r>
      <w:r>
        <w:t>52</w:t>
      </w:r>
      <w:r>
        <w:rPr>
          <w:spacing w:val="-3"/>
        </w:rPr>
        <w:t xml:space="preserve"> </w:t>
      </w:r>
      <w:r>
        <w:t>full</w:t>
      </w:r>
      <w:r>
        <w:rPr>
          <w:spacing w:val="-3"/>
        </w:rPr>
        <w:t xml:space="preserve"> </w:t>
      </w:r>
      <w:r>
        <w:t>weeks.</w:t>
      </w:r>
      <w:r>
        <w:rPr>
          <w:spacing w:val="-3"/>
        </w:rPr>
        <w:t xml:space="preserve"> </w:t>
      </w:r>
      <w:r>
        <w:t>There</w:t>
      </w:r>
      <w:r>
        <w:rPr>
          <w:spacing w:val="-4"/>
        </w:rPr>
        <w:t xml:space="preserve"> </w:t>
      </w:r>
      <w:r>
        <w:t>are</w:t>
      </w:r>
      <w:r>
        <w:rPr>
          <w:spacing w:val="-4"/>
        </w:rPr>
        <w:t xml:space="preserve"> </w:t>
      </w:r>
      <w:r>
        <w:t>52</w:t>
      </w:r>
      <w:r>
        <w:rPr>
          <w:spacing w:val="-3"/>
        </w:rPr>
        <w:t xml:space="preserve"> </w:t>
      </w:r>
      <w:r>
        <w:t>Saturdays</w:t>
      </w:r>
      <w:r>
        <w:rPr>
          <w:spacing w:val="-3"/>
        </w:rPr>
        <w:t xml:space="preserve"> </w:t>
      </w:r>
      <w:r>
        <w:t>and</w:t>
      </w:r>
      <w:r>
        <w:rPr>
          <w:spacing w:val="-3"/>
        </w:rPr>
        <w:t xml:space="preserve"> </w:t>
      </w:r>
      <w:r>
        <w:t>52</w:t>
      </w:r>
      <w:r>
        <w:rPr>
          <w:spacing w:val="-3"/>
        </w:rPr>
        <w:t xml:space="preserve"> </w:t>
      </w:r>
      <w:r>
        <w:t>Sundays.</w:t>
      </w:r>
      <w:r>
        <w:rPr>
          <w:spacing w:val="-1"/>
        </w:rPr>
        <w:t xml:space="preserve"> </w:t>
      </w:r>
      <w:r>
        <w:t>Additionally,</w:t>
      </w:r>
      <w:r>
        <w:rPr>
          <w:spacing w:val="-3"/>
        </w:rPr>
        <w:t xml:space="preserve"> </w:t>
      </w:r>
      <w:r>
        <w:t>there</w:t>
      </w:r>
      <w:r>
        <w:rPr>
          <w:spacing w:val="-4"/>
        </w:rPr>
        <w:t xml:space="preserve"> </w:t>
      </w:r>
      <w:r>
        <w:t>are 11 Federal holidays during the year. Thus, the total number of paid workdays is 366-52-52-11 = 251, and the total number of hours is 2008 = 251 days * 8 hours/day.</w:t>
      </w:r>
    </w:p>
    <w:p w:rsidR="00A76C2C" w14:paraId="08BABC4D" w14:textId="77777777">
      <w:pPr>
        <w:pStyle w:val="BodyText"/>
      </w:pPr>
    </w:p>
    <w:p w:rsidR="00A76C2C" w14:paraId="7ED68566" w14:textId="77777777">
      <w:pPr>
        <w:pStyle w:val="ListParagraph"/>
        <w:numPr>
          <w:ilvl w:val="1"/>
          <w:numId w:val="4"/>
        </w:numPr>
        <w:tabs>
          <w:tab w:val="left" w:pos="659"/>
        </w:tabs>
        <w:spacing w:before="1"/>
        <w:ind w:left="659" w:hanging="539"/>
        <w:rPr>
          <w:sz w:val="24"/>
        </w:rPr>
      </w:pPr>
      <w:bookmarkStart w:id="18" w:name="15._Program/Burden_Changes"/>
      <w:bookmarkEnd w:id="18"/>
      <w:r>
        <w:rPr>
          <w:sz w:val="24"/>
          <w:u w:val="single"/>
        </w:rPr>
        <w:t>Program/Burden</w:t>
      </w:r>
      <w:r>
        <w:rPr>
          <w:spacing w:val="-5"/>
          <w:sz w:val="24"/>
          <w:u w:val="single"/>
        </w:rPr>
        <w:t xml:space="preserve"> </w:t>
      </w:r>
      <w:r>
        <w:rPr>
          <w:spacing w:val="-2"/>
          <w:sz w:val="24"/>
          <w:u w:val="single"/>
        </w:rPr>
        <w:t>Changes</w:t>
      </w:r>
    </w:p>
    <w:p w:rsidR="00A76C2C" w:rsidP="006F0E4B" w14:paraId="676FD7E5" w14:textId="3788A873">
      <w:pPr>
        <w:pStyle w:val="BodyText"/>
        <w:spacing w:before="276"/>
        <w:ind w:left="119" w:right="296"/>
      </w:pPr>
      <w:r>
        <w:t>We are updating this collection of information request to account for changes to our currently approved form to remove the sexual orientation, gender identity, race, and ethnicity questions and categories. The responses to these questions are no longer required as part of the enrollment transactions submitted to CMS. The removal of sexual orientation, gender identity, race, and ethnicity data, which was previously required to be included and submitted to CMS as part of the enrollment transaction, does not impose additional plan burden.</w:t>
      </w:r>
    </w:p>
    <w:p w:rsidR="00A76C2C" w14:paraId="48BA5CA9" w14:textId="77777777">
      <w:pPr>
        <w:pStyle w:val="BodyText"/>
      </w:pPr>
    </w:p>
    <w:p w:rsidR="00A76C2C" w14:paraId="30818B86" w14:textId="77777777">
      <w:pPr>
        <w:pStyle w:val="ListParagraph"/>
        <w:numPr>
          <w:ilvl w:val="1"/>
          <w:numId w:val="4"/>
        </w:numPr>
        <w:tabs>
          <w:tab w:val="left" w:pos="659"/>
        </w:tabs>
        <w:ind w:left="659" w:hanging="539"/>
        <w:rPr>
          <w:sz w:val="24"/>
        </w:rPr>
      </w:pPr>
      <w:bookmarkStart w:id="19" w:name="16._Publication/Tabulation_Dates"/>
      <w:bookmarkEnd w:id="19"/>
      <w:r>
        <w:rPr>
          <w:sz w:val="24"/>
          <w:u w:val="single"/>
        </w:rPr>
        <w:t>Publication/Tabulation</w:t>
      </w:r>
      <w:r>
        <w:rPr>
          <w:spacing w:val="-5"/>
          <w:sz w:val="24"/>
          <w:u w:val="single"/>
        </w:rPr>
        <w:t xml:space="preserve"> </w:t>
      </w:r>
      <w:r>
        <w:rPr>
          <w:spacing w:val="-2"/>
          <w:sz w:val="24"/>
          <w:u w:val="single"/>
        </w:rPr>
        <w:t>Dates</w:t>
      </w:r>
    </w:p>
    <w:p w:rsidR="00A76C2C" w14:paraId="74D25C22" w14:textId="77777777">
      <w:pPr>
        <w:pStyle w:val="BodyText"/>
      </w:pPr>
    </w:p>
    <w:p w:rsidR="00A76C2C" w14:paraId="452576FE" w14:textId="77777777">
      <w:pPr>
        <w:pStyle w:val="BodyText"/>
        <w:ind w:left="120"/>
      </w:pPr>
      <w:r>
        <w:t>There</w:t>
      </w:r>
      <w:r>
        <w:rPr>
          <w:spacing w:val="2"/>
        </w:rPr>
        <w:t xml:space="preserve"> </w:t>
      </w:r>
      <w:r>
        <w:t>are</w:t>
      </w:r>
      <w:r>
        <w:rPr>
          <w:spacing w:val="5"/>
        </w:rPr>
        <w:t xml:space="preserve"> </w:t>
      </w:r>
      <w:r>
        <w:t>no</w:t>
      </w:r>
      <w:r>
        <w:rPr>
          <w:spacing w:val="6"/>
        </w:rPr>
        <w:t xml:space="preserve"> </w:t>
      </w:r>
      <w:r>
        <w:t>publication/tabulation</w:t>
      </w:r>
      <w:r>
        <w:rPr>
          <w:spacing w:val="6"/>
        </w:rPr>
        <w:t xml:space="preserve"> </w:t>
      </w:r>
      <w:r>
        <w:rPr>
          <w:spacing w:val="-2"/>
        </w:rPr>
        <w:t>dates.</w:t>
      </w:r>
    </w:p>
    <w:p w:rsidR="00A76C2C" w14:paraId="4952C4D1" w14:textId="77777777">
      <w:pPr>
        <w:pStyle w:val="BodyText"/>
      </w:pPr>
    </w:p>
    <w:p w:rsidR="00A76C2C" w14:paraId="075557E7" w14:textId="77777777">
      <w:pPr>
        <w:pStyle w:val="ListParagraph"/>
        <w:numPr>
          <w:ilvl w:val="1"/>
          <w:numId w:val="4"/>
        </w:numPr>
        <w:tabs>
          <w:tab w:val="left" w:pos="659"/>
        </w:tabs>
        <w:ind w:left="659" w:hanging="539"/>
        <w:rPr>
          <w:sz w:val="24"/>
        </w:rPr>
      </w:pPr>
      <w:bookmarkStart w:id="20" w:name="17._Expiration_Date"/>
      <w:bookmarkEnd w:id="20"/>
      <w:r>
        <w:rPr>
          <w:sz w:val="24"/>
          <w:u w:val="single"/>
        </w:rPr>
        <w:t>Expiration</w:t>
      </w:r>
      <w:r>
        <w:rPr>
          <w:spacing w:val="-5"/>
          <w:sz w:val="24"/>
          <w:u w:val="single"/>
        </w:rPr>
        <w:t xml:space="preserve"> </w:t>
      </w:r>
      <w:r>
        <w:rPr>
          <w:spacing w:val="-4"/>
          <w:sz w:val="24"/>
          <w:u w:val="single"/>
        </w:rPr>
        <w:t>Date</w:t>
      </w:r>
    </w:p>
    <w:p w:rsidR="00A76C2C" w14:paraId="7019E174" w14:textId="77777777">
      <w:pPr>
        <w:pStyle w:val="BodyText"/>
      </w:pPr>
    </w:p>
    <w:p w:rsidR="00A76C2C" w14:paraId="2BEB033F" w14:textId="77777777">
      <w:pPr>
        <w:pStyle w:val="BodyText"/>
        <w:ind w:left="120"/>
      </w:pPr>
      <w:r>
        <w:t>The</w:t>
      </w:r>
      <w:r>
        <w:rPr>
          <w:spacing w:val="2"/>
        </w:rPr>
        <w:t xml:space="preserve"> </w:t>
      </w:r>
      <w:r>
        <w:t>expiration</w:t>
      </w:r>
      <w:r>
        <w:rPr>
          <w:spacing w:val="5"/>
        </w:rPr>
        <w:t xml:space="preserve"> </w:t>
      </w:r>
      <w:r>
        <w:t>date</w:t>
      </w:r>
      <w:r>
        <w:rPr>
          <w:spacing w:val="2"/>
        </w:rPr>
        <w:t xml:space="preserve"> </w:t>
      </w:r>
      <w:r>
        <w:t>will</w:t>
      </w:r>
      <w:r>
        <w:rPr>
          <w:spacing w:val="8"/>
        </w:rPr>
        <w:t xml:space="preserve"> </w:t>
      </w:r>
      <w:r>
        <w:t>be</w:t>
      </w:r>
      <w:r>
        <w:rPr>
          <w:spacing w:val="3"/>
        </w:rPr>
        <w:t xml:space="preserve"> </w:t>
      </w:r>
      <w:r>
        <w:t>displayed</w:t>
      </w:r>
      <w:r>
        <w:rPr>
          <w:spacing w:val="4"/>
        </w:rPr>
        <w:t xml:space="preserve"> </w:t>
      </w:r>
      <w:r>
        <w:t>on</w:t>
      </w:r>
      <w:r>
        <w:rPr>
          <w:spacing w:val="4"/>
        </w:rPr>
        <w:t xml:space="preserve"> </w:t>
      </w:r>
      <w:r>
        <w:t>the</w:t>
      </w:r>
      <w:r>
        <w:rPr>
          <w:spacing w:val="3"/>
        </w:rPr>
        <w:t xml:space="preserve"> </w:t>
      </w:r>
      <w:r>
        <w:t>forms</w:t>
      </w:r>
      <w:r>
        <w:rPr>
          <w:spacing w:val="2"/>
        </w:rPr>
        <w:t xml:space="preserve"> </w:t>
      </w:r>
      <w:r>
        <w:t>listed</w:t>
      </w:r>
      <w:r>
        <w:rPr>
          <w:spacing w:val="4"/>
        </w:rPr>
        <w:t xml:space="preserve"> </w:t>
      </w:r>
      <w:r>
        <w:t>under</w:t>
      </w:r>
      <w:r>
        <w:rPr>
          <w:spacing w:val="3"/>
        </w:rPr>
        <w:t xml:space="preserve"> </w:t>
      </w:r>
      <w:r>
        <w:t>section</w:t>
      </w:r>
      <w:r>
        <w:rPr>
          <w:spacing w:val="4"/>
        </w:rPr>
        <w:t xml:space="preserve"> </w:t>
      </w:r>
      <w:r>
        <w:t>12</w:t>
      </w:r>
      <w:r>
        <w:rPr>
          <w:spacing w:val="4"/>
        </w:rPr>
        <w:t xml:space="preserve"> </w:t>
      </w:r>
      <w:r>
        <w:t>of</w:t>
      </w:r>
      <w:r>
        <w:rPr>
          <w:spacing w:val="3"/>
        </w:rPr>
        <w:t xml:space="preserve"> </w:t>
      </w:r>
      <w:r>
        <w:t>this</w:t>
      </w:r>
      <w:r>
        <w:rPr>
          <w:spacing w:val="2"/>
        </w:rPr>
        <w:t xml:space="preserve"> </w:t>
      </w:r>
      <w:r>
        <w:rPr>
          <w:spacing w:val="-2"/>
        </w:rPr>
        <w:t>Supporting</w:t>
      </w:r>
    </w:p>
    <w:p w:rsidR="00A76C2C" w14:paraId="71E85523" w14:textId="77777777">
      <w:pPr>
        <w:sectPr>
          <w:footerReference w:type="default" r:id="rId6"/>
          <w:pgSz w:w="12240" w:h="15840"/>
          <w:pgMar w:top="1360" w:right="1220" w:bottom="1220" w:left="1320" w:header="0" w:footer="1029" w:gutter="0"/>
          <w:cols w:space="720"/>
        </w:sectPr>
      </w:pPr>
    </w:p>
    <w:p w:rsidR="00A76C2C" w14:paraId="791703F7" w14:textId="77777777">
      <w:pPr>
        <w:pStyle w:val="BodyText"/>
        <w:spacing w:before="79"/>
        <w:ind w:left="120"/>
      </w:pPr>
      <w:r>
        <w:t>Statement. Specifically, it will appear in the upper right corner of the first page with the OMB control number.</w:t>
      </w:r>
    </w:p>
    <w:p w:rsidR="00A76C2C" w14:paraId="03001C6F" w14:textId="77777777">
      <w:pPr>
        <w:pStyle w:val="BodyText"/>
      </w:pPr>
    </w:p>
    <w:p w:rsidR="00A76C2C" w14:paraId="364F91FC" w14:textId="77777777">
      <w:pPr>
        <w:pStyle w:val="ListParagraph"/>
        <w:numPr>
          <w:ilvl w:val="1"/>
          <w:numId w:val="4"/>
        </w:numPr>
        <w:tabs>
          <w:tab w:val="left" w:pos="659"/>
        </w:tabs>
        <w:ind w:left="659" w:hanging="539"/>
        <w:rPr>
          <w:sz w:val="24"/>
        </w:rPr>
      </w:pPr>
      <w:bookmarkStart w:id="21" w:name="18._Certification_Statement"/>
      <w:bookmarkEnd w:id="21"/>
      <w:r>
        <w:rPr>
          <w:sz w:val="24"/>
          <w:u w:val="single"/>
        </w:rPr>
        <w:t>Certification</w:t>
      </w:r>
      <w:r>
        <w:rPr>
          <w:spacing w:val="-5"/>
          <w:sz w:val="24"/>
          <w:u w:val="single"/>
        </w:rPr>
        <w:t xml:space="preserve"> </w:t>
      </w:r>
      <w:r>
        <w:rPr>
          <w:spacing w:val="-2"/>
          <w:sz w:val="24"/>
          <w:u w:val="single"/>
        </w:rPr>
        <w:t>Statement</w:t>
      </w:r>
    </w:p>
    <w:p w:rsidR="00A76C2C" w14:paraId="25A04B37" w14:textId="77777777">
      <w:pPr>
        <w:pStyle w:val="BodyText"/>
      </w:pPr>
    </w:p>
    <w:p w:rsidR="00A76C2C" w14:paraId="11723F38" w14:textId="77777777">
      <w:pPr>
        <w:pStyle w:val="BodyText"/>
        <w:ind w:left="120"/>
      </w:pPr>
      <w:r>
        <w:t>There</w:t>
      </w:r>
      <w:r>
        <w:rPr>
          <w:spacing w:val="3"/>
        </w:rPr>
        <w:t xml:space="preserve"> </w:t>
      </w:r>
      <w:r>
        <w:t>are</w:t>
      </w:r>
      <w:r>
        <w:rPr>
          <w:spacing w:val="4"/>
        </w:rPr>
        <w:t xml:space="preserve"> </w:t>
      </w:r>
      <w:r>
        <w:t>no</w:t>
      </w:r>
      <w:r>
        <w:rPr>
          <w:spacing w:val="5"/>
        </w:rPr>
        <w:t xml:space="preserve"> </w:t>
      </w:r>
      <w:r>
        <w:t>exceptions</w:t>
      </w:r>
      <w:r>
        <w:rPr>
          <w:spacing w:val="3"/>
        </w:rPr>
        <w:t xml:space="preserve"> </w:t>
      </w:r>
      <w:r>
        <w:t>to</w:t>
      </w:r>
      <w:r>
        <w:rPr>
          <w:spacing w:val="3"/>
        </w:rPr>
        <w:t xml:space="preserve"> </w:t>
      </w:r>
      <w:r>
        <w:t>the</w:t>
      </w:r>
      <w:r>
        <w:rPr>
          <w:spacing w:val="4"/>
        </w:rPr>
        <w:t xml:space="preserve"> </w:t>
      </w:r>
      <w:r>
        <w:t>certification</w:t>
      </w:r>
      <w:r>
        <w:rPr>
          <w:spacing w:val="5"/>
        </w:rPr>
        <w:t xml:space="preserve"> </w:t>
      </w:r>
      <w:r>
        <w:rPr>
          <w:spacing w:val="-2"/>
        </w:rPr>
        <w:t>statement.</w:t>
      </w:r>
    </w:p>
    <w:p w:rsidR="00A76C2C" w14:paraId="66F010B2" w14:textId="77777777">
      <w:pPr>
        <w:pStyle w:val="BodyText"/>
      </w:pPr>
    </w:p>
    <w:p w:rsidR="00A76C2C" w14:paraId="22BD7633" w14:textId="77777777">
      <w:pPr>
        <w:pStyle w:val="ListParagraph"/>
        <w:numPr>
          <w:ilvl w:val="0"/>
          <w:numId w:val="4"/>
        </w:numPr>
        <w:tabs>
          <w:tab w:val="left" w:pos="839"/>
        </w:tabs>
        <w:ind w:left="839" w:hanging="719"/>
        <w:rPr>
          <w:b/>
          <w:sz w:val="24"/>
        </w:rPr>
      </w:pPr>
      <w:bookmarkStart w:id="22" w:name="B._Collections_of_Information_Employing_"/>
      <w:bookmarkEnd w:id="22"/>
      <w:r>
        <w:rPr>
          <w:b/>
          <w:sz w:val="24"/>
        </w:rPr>
        <w:t>Collections</w:t>
      </w:r>
      <w:r>
        <w:rPr>
          <w:b/>
          <w:spacing w:val="-6"/>
          <w:sz w:val="24"/>
        </w:rPr>
        <w:t xml:space="preserve"> </w:t>
      </w:r>
      <w:r>
        <w:rPr>
          <w:b/>
          <w:sz w:val="24"/>
        </w:rPr>
        <w:t>of</w:t>
      </w:r>
      <w:r>
        <w:rPr>
          <w:b/>
          <w:spacing w:val="-3"/>
          <w:sz w:val="24"/>
        </w:rPr>
        <w:t xml:space="preserve"> </w:t>
      </w:r>
      <w:r>
        <w:rPr>
          <w:b/>
          <w:sz w:val="24"/>
        </w:rPr>
        <w:t>Information</w:t>
      </w:r>
      <w:r>
        <w:rPr>
          <w:b/>
          <w:spacing w:val="-3"/>
          <w:sz w:val="24"/>
        </w:rPr>
        <w:t xml:space="preserve"> </w:t>
      </w:r>
      <w:r>
        <w:rPr>
          <w:b/>
          <w:sz w:val="24"/>
        </w:rPr>
        <w:t>Employing</w:t>
      </w:r>
      <w:r>
        <w:rPr>
          <w:b/>
          <w:spacing w:val="-3"/>
          <w:sz w:val="24"/>
        </w:rPr>
        <w:t xml:space="preserve"> </w:t>
      </w:r>
      <w:r>
        <w:rPr>
          <w:b/>
          <w:sz w:val="24"/>
        </w:rPr>
        <w:t>Statistical</w:t>
      </w:r>
      <w:r>
        <w:rPr>
          <w:b/>
          <w:spacing w:val="-3"/>
          <w:sz w:val="24"/>
        </w:rPr>
        <w:t xml:space="preserve"> </w:t>
      </w:r>
      <w:r>
        <w:rPr>
          <w:b/>
          <w:spacing w:val="-2"/>
          <w:sz w:val="24"/>
        </w:rPr>
        <w:t>Methods</w:t>
      </w:r>
    </w:p>
    <w:p w:rsidR="00A76C2C" w14:paraId="596C4DD4" w14:textId="77777777">
      <w:pPr>
        <w:pStyle w:val="BodyText"/>
        <w:rPr>
          <w:b/>
        </w:rPr>
      </w:pPr>
    </w:p>
    <w:p w:rsidR="00A76C2C" w14:paraId="2AF2ACE9" w14:textId="77777777">
      <w:pPr>
        <w:pStyle w:val="BodyText"/>
        <w:ind w:left="120"/>
      </w:pPr>
      <w:r>
        <w:t>This</w:t>
      </w:r>
      <w:r>
        <w:rPr>
          <w:spacing w:val="6"/>
        </w:rPr>
        <w:t xml:space="preserve"> </w:t>
      </w:r>
      <w:r>
        <w:t>collection</w:t>
      </w:r>
      <w:r>
        <w:rPr>
          <w:spacing w:val="4"/>
        </w:rPr>
        <w:t xml:space="preserve"> </w:t>
      </w:r>
      <w:r>
        <w:t>does</w:t>
      </w:r>
      <w:r>
        <w:rPr>
          <w:spacing w:val="4"/>
        </w:rPr>
        <w:t xml:space="preserve"> </w:t>
      </w:r>
      <w:r>
        <w:t>not</w:t>
      </w:r>
      <w:r>
        <w:rPr>
          <w:spacing w:val="7"/>
        </w:rPr>
        <w:t xml:space="preserve"> </w:t>
      </w:r>
      <w:r>
        <w:t>employ</w:t>
      </w:r>
      <w:r>
        <w:rPr>
          <w:spacing w:val="4"/>
        </w:rPr>
        <w:t xml:space="preserve"> </w:t>
      </w:r>
      <w:r>
        <w:t>statistical</w:t>
      </w:r>
      <w:r>
        <w:rPr>
          <w:spacing w:val="4"/>
        </w:rPr>
        <w:t xml:space="preserve"> </w:t>
      </w:r>
      <w:r>
        <w:rPr>
          <w:spacing w:val="-2"/>
        </w:rPr>
        <w:t>methods.</w:t>
      </w:r>
    </w:p>
    <w:sectPr>
      <w:pgSz w:w="12240" w:h="15840"/>
      <w:pgMar w:top="1360" w:right="1220" w:bottom="1220" w:left="1320" w:header="0" w:footer="10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C2C" w14:paraId="733155A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3810000</wp:posOffset>
              </wp:positionH>
              <wp:positionV relativeFrom="page">
                <wp:posOffset>9265242</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A76C2C"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pt;height:15.3pt;margin-top:729.55pt;margin-left:300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76C2C" w14:paraId="36DE0C44"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3D340A"/>
    <w:multiLevelType w:val="hybridMultilevel"/>
    <w:tmpl w:val="2EBA0E8A"/>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
    <w:nsid w:val="50DA717C"/>
    <w:multiLevelType w:val="hybridMultilevel"/>
    <w:tmpl w:val="D714A934"/>
    <w:lvl w:ilvl="0">
      <w:start w:val="1"/>
      <w:numFmt w:val="upperLetter"/>
      <w:lvlText w:val="%1."/>
      <w:lvlJc w:val="left"/>
      <w:pPr>
        <w:ind w:left="840" w:hanging="720"/>
      </w:pPr>
      <w:rPr>
        <w:rFonts w:ascii="Times New Roman" w:eastAsia="Times New Roman" w:hAnsi="Times New Roman" w:cs="Times New Roman" w:hint="default"/>
        <w:b/>
        <w:bCs/>
        <w:i w:val="0"/>
        <w:iCs w:val="0"/>
        <w:spacing w:val="-3"/>
        <w:w w:val="100"/>
        <w:sz w:val="24"/>
        <w:szCs w:val="24"/>
        <w:lang w:val="en-US" w:eastAsia="en-US" w:bidi="ar-SA"/>
      </w:rPr>
    </w:lvl>
    <w:lvl w:ilvl="1">
      <w:start w:val="1"/>
      <w:numFmt w:val="decimal"/>
      <w:lvlText w:val="%2."/>
      <w:lvlJc w:val="left"/>
      <w:pPr>
        <w:ind w:left="66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808" w:hanging="360"/>
      </w:pPr>
      <w:rPr>
        <w:rFonts w:hint="default"/>
        <w:lang w:val="en-US" w:eastAsia="en-US" w:bidi="ar-SA"/>
      </w:rPr>
    </w:lvl>
    <w:lvl w:ilvl="4">
      <w:start w:val="0"/>
      <w:numFmt w:val="bullet"/>
      <w:lvlText w:val="•"/>
      <w:lvlJc w:val="left"/>
      <w:pPr>
        <w:ind w:left="3793" w:hanging="360"/>
      </w:pPr>
      <w:rPr>
        <w:rFonts w:hint="default"/>
        <w:lang w:val="en-US" w:eastAsia="en-US" w:bidi="ar-SA"/>
      </w:rPr>
    </w:lvl>
    <w:lvl w:ilvl="5">
      <w:start w:val="0"/>
      <w:numFmt w:val="bullet"/>
      <w:lvlText w:val="•"/>
      <w:lvlJc w:val="left"/>
      <w:pPr>
        <w:ind w:left="4777" w:hanging="360"/>
      </w:pPr>
      <w:rPr>
        <w:rFonts w:hint="default"/>
        <w:lang w:val="en-US" w:eastAsia="en-US" w:bidi="ar-SA"/>
      </w:rPr>
    </w:lvl>
    <w:lvl w:ilvl="6">
      <w:start w:val="0"/>
      <w:numFmt w:val="bullet"/>
      <w:lvlText w:val="•"/>
      <w:lvlJc w:val="left"/>
      <w:pPr>
        <w:ind w:left="5762" w:hanging="360"/>
      </w:pPr>
      <w:rPr>
        <w:rFonts w:hint="default"/>
        <w:lang w:val="en-US" w:eastAsia="en-US" w:bidi="ar-SA"/>
      </w:rPr>
    </w:lvl>
    <w:lvl w:ilvl="7">
      <w:start w:val="0"/>
      <w:numFmt w:val="bullet"/>
      <w:lvlText w:val="•"/>
      <w:lvlJc w:val="left"/>
      <w:pPr>
        <w:ind w:left="6746" w:hanging="360"/>
      </w:pPr>
      <w:rPr>
        <w:rFonts w:hint="default"/>
        <w:lang w:val="en-US" w:eastAsia="en-US" w:bidi="ar-SA"/>
      </w:rPr>
    </w:lvl>
    <w:lvl w:ilvl="8">
      <w:start w:val="0"/>
      <w:numFmt w:val="bullet"/>
      <w:lvlText w:val="•"/>
      <w:lvlJc w:val="left"/>
      <w:pPr>
        <w:ind w:left="7731" w:hanging="360"/>
      </w:pPr>
      <w:rPr>
        <w:rFonts w:hint="default"/>
        <w:lang w:val="en-US" w:eastAsia="en-US" w:bidi="ar-SA"/>
      </w:rPr>
    </w:lvl>
  </w:abstractNum>
  <w:abstractNum w:abstractNumId="2">
    <w:nsid w:val="57D8463C"/>
    <w:multiLevelType w:val="hybridMultilevel"/>
    <w:tmpl w:val="6E868910"/>
    <w:lvl w:ilvl="0">
      <w:start w:val="0"/>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2324" w:hanging="360"/>
      </w:pPr>
      <w:rPr>
        <w:rFonts w:hint="default"/>
        <w:lang w:val="en-US" w:eastAsia="en-US" w:bidi="ar-SA"/>
      </w:rPr>
    </w:lvl>
    <w:lvl w:ilvl="3">
      <w:start w:val="0"/>
      <w:numFmt w:val="bullet"/>
      <w:lvlText w:val="•"/>
      <w:lvlJc w:val="left"/>
      <w:pPr>
        <w:ind w:left="3246" w:hanging="360"/>
      </w:pPr>
      <w:rPr>
        <w:rFonts w:hint="default"/>
        <w:lang w:val="en-US" w:eastAsia="en-US" w:bidi="ar-SA"/>
      </w:rPr>
    </w:lvl>
    <w:lvl w:ilvl="4">
      <w:start w:val="0"/>
      <w:numFmt w:val="bullet"/>
      <w:lvlText w:val="•"/>
      <w:lvlJc w:val="left"/>
      <w:pPr>
        <w:ind w:left="4168" w:hanging="360"/>
      </w:pPr>
      <w:rPr>
        <w:rFonts w:hint="default"/>
        <w:lang w:val="en-US" w:eastAsia="en-US" w:bidi="ar-SA"/>
      </w:rPr>
    </w:lvl>
    <w:lvl w:ilvl="5">
      <w:start w:val="0"/>
      <w:numFmt w:val="bullet"/>
      <w:lvlText w:val="•"/>
      <w:lvlJc w:val="left"/>
      <w:pPr>
        <w:ind w:left="5090" w:hanging="360"/>
      </w:pPr>
      <w:rPr>
        <w:rFonts w:hint="default"/>
        <w:lang w:val="en-US" w:eastAsia="en-US" w:bidi="ar-SA"/>
      </w:rPr>
    </w:lvl>
    <w:lvl w:ilvl="6">
      <w:start w:val="0"/>
      <w:numFmt w:val="bullet"/>
      <w:lvlText w:val="•"/>
      <w:lvlJc w:val="left"/>
      <w:pPr>
        <w:ind w:left="6012" w:hanging="360"/>
      </w:pPr>
      <w:rPr>
        <w:rFonts w:hint="default"/>
        <w:lang w:val="en-US" w:eastAsia="en-US" w:bidi="ar-SA"/>
      </w:rPr>
    </w:lvl>
    <w:lvl w:ilvl="7">
      <w:start w:val="0"/>
      <w:numFmt w:val="bullet"/>
      <w:lvlText w:val="•"/>
      <w:lvlJc w:val="left"/>
      <w:pPr>
        <w:ind w:left="6934" w:hanging="360"/>
      </w:pPr>
      <w:rPr>
        <w:rFonts w:hint="default"/>
        <w:lang w:val="en-US" w:eastAsia="en-US" w:bidi="ar-SA"/>
      </w:rPr>
    </w:lvl>
    <w:lvl w:ilvl="8">
      <w:start w:val="0"/>
      <w:numFmt w:val="bullet"/>
      <w:lvlText w:val="•"/>
      <w:lvlJc w:val="left"/>
      <w:pPr>
        <w:ind w:left="7856" w:hanging="360"/>
      </w:pPr>
      <w:rPr>
        <w:rFonts w:hint="default"/>
        <w:lang w:val="en-US" w:eastAsia="en-US" w:bidi="ar-SA"/>
      </w:rPr>
    </w:lvl>
  </w:abstractNum>
  <w:abstractNum w:abstractNumId="3">
    <w:nsid w:val="761A0A77"/>
    <w:multiLevelType w:val="hybridMultilevel"/>
    <w:tmpl w:val="749E54E6"/>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26" w:hanging="360"/>
      </w:pPr>
      <w:rPr>
        <w:rFonts w:hint="default"/>
        <w:lang w:val="en-US" w:eastAsia="en-US" w:bidi="ar-SA"/>
      </w:rPr>
    </w:lvl>
    <w:lvl w:ilvl="2">
      <w:start w:val="0"/>
      <w:numFmt w:val="bullet"/>
      <w:lvlText w:val="•"/>
      <w:lvlJc w:val="left"/>
      <w:pPr>
        <w:ind w:left="2612" w:hanging="360"/>
      </w:pPr>
      <w:rPr>
        <w:rFonts w:hint="default"/>
        <w:lang w:val="en-US" w:eastAsia="en-US" w:bidi="ar-SA"/>
      </w:rPr>
    </w:lvl>
    <w:lvl w:ilvl="3">
      <w:start w:val="0"/>
      <w:numFmt w:val="bullet"/>
      <w:lvlText w:val="•"/>
      <w:lvlJc w:val="left"/>
      <w:pPr>
        <w:ind w:left="3498" w:hanging="360"/>
      </w:pPr>
      <w:rPr>
        <w:rFonts w:hint="default"/>
        <w:lang w:val="en-US" w:eastAsia="en-US" w:bidi="ar-SA"/>
      </w:rPr>
    </w:lvl>
    <w:lvl w:ilvl="4">
      <w:start w:val="0"/>
      <w:numFmt w:val="bullet"/>
      <w:lvlText w:val="•"/>
      <w:lvlJc w:val="left"/>
      <w:pPr>
        <w:ind w:left="4384"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56" w:hanging="360"/>
      </w:pPr>
      <w:rPr>
        <w:rFonts w:hint="default"/>
        <w:lang w:val="en-US" w:eastAsia="en-US" w:bidi="ar-SA"/>
      </w:rPr>
    </w:lvl>
    <w:lvl w:ilvl="7">
      <w:start w:val="0"/>
      <w:numFmt w:val="bullet"/>
      <w:lvlText w:val="•"/>
      <w:lvlJc w:val="left"/>
      <w:pPr>
        <w:ind w:left="7042" w:hanging="360"/>
      </w:pPr>
      <w:rPr>
        <w:rFonts w:hint="default"/>
        <w:lang w:val="en-US" w:eastAsia="en-US" w:bidi="ar-SA"/>
      </w:rPr>
    </w:lvl>
    <w:lvl w:ilvl="8">
      <w:start w:val="0"/>
      <w:numFmt w:val="bullet"/>
      <w:lvlText w:val="•"/>
      <w:lvlJc w:val="left"/>
      <w:pPr>
        <w:ind w:left="7928" w:hanging="360"/>
      </w:pPr>
      <w:rPr>
        <w:rFonts w:hint="default"/>
        <w:lang w:val="en-US" w:eastAsia="en-US" w:bidi="ar-SA"/>
      </w:rPr>
    </w:lvl>
  </w:abstractNum>
  <w:abstractNum w:abstractNumId="4">
    <w:nsid w:val="7C4C367E"/>
    <w:multiLevelType w:val="hybridMultilevel"/>
    <w:tmpl w:val="99944368"/>
    <w:lvl w:ilvl="0">
      <w:start w:val="1"/>
      <w:numFmt w:val="decimal"/>
      <w:lvlText w:val="%1)"/>
      <w:lvlJc w:val="left"/>
      <w:pPr>
        <w:ind w:left="120" w:hanging="262"/>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44" w:hanging="360"/>
      </w:pPr>
      <w:rPr>
        <w:rFonts w:hint="default"/>
        <w:lang w:val="en-US" w:eastAsia="en-US" w:bidi="ar-SA"/>
      </w:rPr>
    </w:lvl>
    <w:lvl w:ilvl="3">
      <w:start w:val="0"/>
      <w:numFmt w:val="bullet"/>
      <w:lvlText w:val="•"/>
      <w:lvlJc w:val="left"/>
      <w:pPr>
        <w:ind w:left="3088" w:hanging="360"/>
      </w:pPr>
      <w:rPr>
        <w:rFonts w:hint="default"/>
        <w:lang w:val="en-US" w:eastAsia="en-US" w:bidi="ar-SA"/>
      </w:rPr>
    </w:lvl>
    <w:lvl w:ilvl="4">
      <w:start w:val="0"/>
      <w:numFmt w:val="bullet"/>
      <w:lvlText w:val="•"/>
      <w:lvlJc w:val="left"/>
      <w:pPr>
        <w:ind w:left="4033" w:hanging="360"/>
      </w:pPr>
      <w:rPr>
        <w:rFonts w:hint="default"/>
        <w:lang w:val="en-US" w:eastAsia="en-US" w:bidi="ar-SA"/>
      </w:rPr>
    </w:lvl>
    <w:lvl w:ilvl="5">
      <w:start w:val="0"/>
      <w:numFmt w:val="bullet"/>
      <w:lvlText w:val="•"/>
      <w:lvlJc w:val="left"/>
      <w:pPr>
        <w:ind w:left="4977" w:hanging="360"/>
      </w:pPr>
      <w:rPr>
        <w:rFonts w:hint="default"/>
        <w:lang w:val="en-US" w:eastAsia="en-US" w:bidi="ar-SA"/>
      </w:rPr>
    </w:lvl>
    <w:lvl w:ilvl="6">
      <w:start w:val="0"/>
      <w:numFmt w:val="bullet"/>
      <w:lvlText w:val="•"/>
      <w:lvlJc w:val="left"/>
      <w:pPr>
        <w:ind w:left="5922" w:hanging="360"/>
      </w:pPr>
      <w:rPr>
        <w:rFonts w:hint="default"/>
        <w:lang w:val="en-US" w:eastAsia="en-US" w:bidi="ar-SA"/>
      </w:rPr>
    </w:lvl>
    <w:lvl w:ilvl="7">
      <w:start w:val="0"/>
      <w:numFmt w:val="bullet"/>
      <w:lvlText w:val="•"/>
      <w:lvlJc w:val="left"/>
      <w:pPr>
        <w:ind w:left="6866" w:hanging="360"/>
      </w:pPr>
      <w:rPr>
        <w:rFonts w:hint="default"/>
        <w:lang w:val="en-US" w:eastAsia="en-US" w:bidi="ar-SA"/>
      </w:rPr>
    </w:lvl>
    <w:lvl w:ilvl="8">
      <w:start w:val="0"/>
      <w:numFmt w:val="bullet"/>
      <w:lvlText w:val="•"/>
      <w:lvlJc w:val="left"/>
      <w:pPr>
        <w:ind w:left="7811" w:hanging="360"/>
      </w:pPr>
      <w:rPr>
        <w:rFonts w:hint="default"/>
        <w:lang w:val="en-US" w:eastAsia="en-US" w:bidi="ar-SA"/>
      </w:rPr>
    </w:lvl>
  </w:abstractNum>
  <w:abstractNum w:abstractNumId="5">
    <w:nsid w:val="7D516FDF"/>
    <w:multiLevelType w:val="hybridMultilevel"/>
    <w:tmpl w:val="2C34496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1980577140">
    <w:abstractNumId w:val="2"/>
  </w:num>
  <w:num w:numId="2" w16cid:durableId="818688750">
    <w:abstractNumId w:val="3"/>
  </w:num>
  <w:num w:numId="3" w16cid:durableId="61371791">
    <w:abstractNumId w:val="4"/>
  </w:num>
  <w:num w:numId="4" w16cid:durableId="1823155326">
    <w:abstractNumId w:val="1"/>
  </w:num>
  <w:num w:numId="5" w16cid:durableId="650253502">
    <w:abstractNumId w:val="5"/>
  </w:num>
  <w:num w:numId="6" w16cid:durableId="109971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2C"/>
    <w:rsid w:val="000843DC"/>
    <w:rsid w:val="00097671"/>
    <w:rsid w:val="000B7F64"/>
    <w:rsid w:val="0010583F"/>
    <w:rsid w:val="00173E4C"/>
    <w:rsid w:val="001A5DE6"/>
    <w:rsid w:val="001E5B4B"/>
    <w:rsid w:val="00200A29"/>
    <w:rsid w:val="00205B58"/>
    <w:rsid w:val="00217654"/>
    <w:rsid w:val="00236B20"/>
    <w:rsid w:val="0025274B"/>
    <w:rsid w:val="00297B5F"/>
    <w:rsid w:val="002C6855"/>
    <w:rsid w:val="002D572E"/>
    <w:rsid w:val="00386A6F"/>
    <w:rsid w:val="003B5495"/>
    <w:rsid w:val="004A5766"/>
    <w:rsid w:val="005C45CE"/>
    <w:rsid w:val="00683EAB"/>
    <w:rsid w:val="006A07AA"/>
    <w:rsid w:val="006D20C0"/>
    <w:rsid w:val="006E1219"/>
    <w:rsid w:val="006E41D7"/>
    <w:rsid w:val="006F0E4B"/>
    <w:rsid w:val="007B6640"/>
    <w:rsid w:val="0080459C"/>
    <w:rsid w:val="00854096"/>
    <w:rsid w:val="008B1E35"/>
    <w:rsid w:val="008D3348"/>
    <w:rsid w:val="008F6171"/>
    <w:rsid w:val="0097722B"/>
    <w:rsid w:val="009D6E5C"/>
    <w:rsid w:val="009E79F2"/>
    <w:rsid w:val="00A76C2C"/>
    <w:rsid w:val="00AE5F22"/>
    <w:rsid w:val="00B1317D"/>
    <w:rsid w:val="00B15A4A"/>
    <w:rsid w:val="00C24915"/>
    <w:rsid w:val="00D7780C"/>
    <w:rsid w:val="00DD671A"/>
    <w:rsid w:val="00E51B6A"/>
    <w:rsid w:val="00EE192B"/>
    <w:rsid w:val="00F06AC0"/>
    <w:rsid w:val="00F536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8E1D33"/>
  <w15:docId w15:val="{C7F45540-5FCF-4253-8B6C-84FD6704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59" w:hanging="53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AE5F2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15A4A"/>
    <w:rPr>
      <w:sz w:val="16"/>
      <w:szCs w:val="16"/>
    </w:rPr>
  </w:style>
  <w:style w:type="paragraph" w:styleId="CommentText">
    <w:name w:val="annotation text"/>
    <w:basedOn w:val="Normal"/>
    <w:link w:val="CommentTextChar"/>
    <w:uiPriority w:val="99"/>
    <w:unhideWhenUsed/>
    <w:rsid w:val="00B15A4A"/>
    <w:rPr>
      <w:sz w:val="20"/>
      <w:szCs w:val="20"/>
    </w:rPr>
  </w:style>
  <w:style w:type="character" w:customStyle="1" w:styleId="CommentTextChar">
    <w:name w:val="Comment Text Char"/>
    <w:basedOn w:val="DefaultParagraphFont"/>
    <w:link w:val="CommentText"/>
    <w:uiPriority w:val="99"/>
    <w:rsid w:val="00B15A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5A4A"/>
    <w:rPr>
      <w:b/>
      <w:bCs/>
    </w:rPr>
  </w:style>
  <w:style w:type="character" w:customStyle="1" w:styleId="CommentSubjectChar">
    <w:name w:val="Comment Subject Char"/>
    <w:basedOn w:val="CommentTextChar"/>
    <w:link w:val="CommentSubject"/>
    <w:uiPriority w:val="99"/>
    <w:semiHidden/>
    <w:rsid w:val="00B15A4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D6E5C"/>
    <w:pPr>
      <w:tabs>
        <w:tab w:val="center" w:pos="4680"/>
        <w:tab w:val="right" w:pos="9360"/>
      </w:tabs>
    </w:pPr>
  </w:style>
  <w:style w:type="character" w:customStyle="1" w:styleId="HeaderChar">
    <w:name w:val="Header Char"/>
    <w:basedOn w:val="DefaultParagraphFont"/>
    <w:link w:val="Header"/>
    <w:uiPriority w:val="99"/>
    <w:rsid w:val="009D6E5C"/>
    <w:rPr>
      <w:rFonts w:ascii="Times New Roman" w:eastAsia="Times New Roman" w:hAnsi="Times New Roman" w:cs="Times New Roman"/>
    </w:rPr>
  </w:style>
  <w:style w:type="paragraph" w:styleId="Footer">
    <w:name w:val="footer"/>
    <w:basedOn w:val="Normal"/>
    <w:link w:val="FooterChar"/>
    <w:uiPriority w:val="99"/>
    <w:unhideWhenUsed/>
    <w:rsid w:val="009D6E5C"/>
    <w:pPr>
      <w:tabs>
        <w:tab w:val="center" w:pos="4680"/>
        <w:tab w:val="right" w:pos="9360"/>
      </w:tabs>
    </w:pPr>
  </w:style>
  <w:style w:type="character" w:customStyle="1" w:styleId="FooterChar">
    <w:name w:val="Footer Char"/>
    <w:basedOn w:val="DefaultParagraphFont"/>
    <w:link w:val="Footer"/>
    <w:uiPriority w:val="99"/>
    <w:rsid w:val="009D6E5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www.opm.gov/policy-dat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CMS-R-267 (2020 CMS-4190-F version 2)</vt:lpstr>
    </vt:vector>
  </TitlesOfParts>
  <Company>CMS</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CMS-R-267 (2020 CMS-4190-F version 2)</dc:title>
  <dc:creator>CMS</dc:creator>
  <cp:lastModifiedBy>Gutierrez, Marie (CMS/CM)</cp:lastModifiedBy>
  <cp:revision>3</cp:revision>
  <dcterms:created xsi:type="dcterms:W3CDTF">2025-03-10T19:57:00Z</dcterms:created>
  <dcterms:modified xsi:type="dcterms:W3CDTF">2025-03-10T19:57:00Z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0x010100D620DB4C4C279C4F8C35B26F280FFDF0</vt:lpwstr>
  </property>
  <property fmtid="{D5CDD505-2E9C-101B-9397-08002B2CF9AE}" pid="3" name="Created">
    <vt:filetime>2024-07-02T00:00:00Z</vt:filetime>
  </property>
  <property fmtid="{D5CDD505-2E9C-101B-9397-08002B2CF9AE}" pid="4" name="Creator">
    <vt:lpwstr>Acrobat PDFMaker 24 for Word</vt:lpwstr>
  </property>
  <property fmtid="{D5CDD505-2E9C-101B-9397-08002B2CF9AE}" pid="5" name="LastSaved">
    <vt:filetime>2024-08-06T00:00:00Z</vt:filetime>
  </property>
  <property fmtid="{D5CDD505-2E9C-101B-9397-08002B2CF9AE}" pid="6" name="Producer">
    <vt:lpwstr>Adobe PDF Library 24.2.23</vt:lpwstr>
  </property>
  <property fmtid="{D5CDD505-2E9C-101B-9397-08002B2CF9AE}" pid="7" name="SourceModified">
    <vt:lpwstr>D:20240701215317</vt:lpwstr>
  </property>
</Properties>
</file>