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2983" w:rsidRPr="00405647" w:rsidP="00602983" w14:paraId="2BE53891" w14:textId="77777777">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405647">
        <w:rPr>
          <w:rFonts w:ascii="Times New Roman" w:hAnsi="Times New Roman"/>
          <w:color w:val="000000"/>
          <w:sz w:val="36"/>
          <w:szCs w:val="36"/>
        </w:rPr>
        <w:t xml:space="preserve">Supporting </w:t>
      </w:r>
      <w:r w:rsidRPr="00405647">
        <w:rPr>
          <w:rFonts w:ascii="Times New Roman" w:hAnsi="Times New Roman"/>
          <w:color w:val="000000"/>
          <w:sz w:val="36"/>
          <w:szCs w:val="36"/>
        </w:rPr>
        <w:t>Statement</w:t>
      </w:r>
      <w:r w:rsidRPr="00405647">
        <w:rPr>
          <w:rFonts w:ascii="Times New Roman" w:hAnsi="Times New Roman"/>
          <w:color w:val="000000"/>
          <w:sz w:val="36"/>
          <w:szCs w:val="36"/>
        </w:rPr>
        <w:t xml:space="preserve"> A for Request for Clearance:</w:t>
      </w:r>
    </w:p>
    <w:p w:rsidR="00602983" w:rsidRPr="00405647" w:rsidP="00602983" w14:paraId="13B7D7B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405647">
        <w:rPr>
          <w:rFonts w:ascii="Times New Roman" w:hAnsi="Times New Roman"/>
          <w:b/>
          <w:color w:val="000000"/>
          <w:sz w:val="36"/>
          <w:szCs w:val="36"/>
        </w:rPr>
        <w:t>COLLABORATING CENTER FOR QUESTIONNAIRE DESIGN AND EVALUATION RESEARCH</w:t>
      </w:r>
    </w:p>
    <w:p w:rsidR="00602983" w:rsidRPr="00405647" w:rsidP="00602983" w14:paraId="0EDA399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602983" w:rsidRPr="00405647" w:rsidP="00602983" w14:paraId="64DFB6E8" w14:textId="14D7D7B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Pr>
          <w:rFonts w:ascii="Times New Roman" w:hAnsi="Times New Roman"/>
          <w:b/>
          <w:bCs/>
          <w:sz w:val="36"/>
          <w:szCs w:val="36"/>
        </w:rPr>
        <w:t>Questions on Subjective Cognitive Decline</w:t>
      </w:r>
    </w:p>
    <w:p w:rsidR="00602983" w:rsidRPr="00405647" w:rsidP="00602983" w14:paraId="7578E1CE" w14:textId="60C66E2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p>
    <w:p w:rsidR="00602983" w:rsidRPr="00405647" w:rsidP="00602983" w14:paraId="397BA1E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405647">
        <w:rPr>
          <w:rFonts w:ascii="Times New Roman" w:hAnsi="Times New Roman"/>
          <w:color w:val="000000"/>
          <w:sz w:val="36"/>
          <w:szCs w:val="36"/>
        </w:rPr>
        <w:t>OMB No. 0920-0222</w:t>
      </w:r>
    </w:p>
    <w:p w:rsidR="00602983" w:rsidRPr="00405647" w:rsidP="00602983" w14:paraId="56FE334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Expiration Date: 01/31/2026</w:t>
      </w:r>
    </w:p>
    <w:p w:rsidR="00602983" w:rsidRPr="00405647" w:rsidP="00602983" w14:paraId="7102961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602983" w:rsidRPr="00405647" w:rsidP="00602983" w14:paraId="0B43F18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Contact Information:</w:t>
      </w:r>
    </w:p>
    <w:p w:rsidR="00602983" w:rsidRPr="00405647" w:rsidP="00602983" w14:paraId="4894A7E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602983" w:rsidRPr="00405647" w:rsidP="00602983" w14:paraId="09FADC3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 xml:space="preserve">Amanda Titus </w:t>
      </w:r>
    </w:p>
    <w:p w:rsidR="00602983" w:rsidRPr="00405647" w:rsidP="00602983" w14:paraId="77DE9E1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Behavioral Scientist, Collaborating Center for Questionnaire Design and Evaluation Research</w:t>
      </w:r>
    </w:p>
    <w:p w:rsidR="00602983" w:rsidRPr="00405647" w:rsidP="00602983" w14:paraId="3262D09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Division of Research and Methodology</w:t>
      </w:r>
    </w:p>
    <w:p w:rsidR="00602983" w:rsidRPr="00405647" w:rsidP="00602983" w14:paraId="13E8DF3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National Center for Health Statistics/CDC</w:t>
      </w:r>
    </w:p>
    <w:p w:rsidR="00602983" w:rsidRPr="00405647" w:rsidP="00602983" w14:paraId="67C8EB5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3311 Toledo Road, Room 5451</w:t>
      </w:r>
    </w:p>
    <w:p w:rsidR="00602983" w:rsidRPr="00405647" w:rsidP="00602983" w14:paraId="21F9740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Hyattsville, MD  20782</w:t>
      </w:r>
    </w:p>
    <w:p w:rsidR="00602983" w:rsidRPr="00405647" w:rsidP="00602983" w14:paraId="79E5CB7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301-458-4579</w:t>
      </w:r>
    </w:p>
    <w:p w:rsidR="00602983" w:rsidRPr="00405647" w:rsidP="00602983" w14:paraId="7FBBB5F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sidRPr="00405647">
        <w:rPr>
          <w:rFonts w:ascii="Times New Roman" w:hAnsi="Times New Roman"/>
          <w:color w:val="000000"/>
          <w:sz w:val="28"/>
          <w:szCs w:val="28"/>
          <w:u w:val="single"/>
        </w:rPr>
        <w:t>atitus@cdc.gov</w:t>
      </w:r>
    </w:p>
    <w:p w:rsidR="00602983" w:rsidRPr="00405647" w:rsidP="00602983" w14:paraId="5F41FE2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02983" w:rsidRPr="00405647" w:rsidP="00602983" w14:paraId="01BF39F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602983" w:rsidRPr="00405647" w:rsidP="00602983" w14:paraId="20207E5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602983" w:rsidRPr="00405647" w:rsidP="001A46AA" w14:paraId="56338EDB" w14:textId="285CE6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Times New Roman" w:hAnsi="Times New Roman"/>
          <w:color w:val="000000"/>
          <w:sz w:val="28"/>
          <w:szCs w:val="28"/>
        </w:rPr>
        <w:t>7</w:t>
      </w:r>
      <w:r w:rsidR="00FC45CB">
        <w:rPr>
          <w:rFonts w:ascii="Times New Roman" w:hAnsi="Times New Roman"/>
          <w:color w:val="000000"/>
          <w:sz w:val="28"/>
          <w:szCs w:val="28"/>
        </w:rPr>
        <w:t>/</w:t>
      </w:r>
      <w:r>
        <w:rPr>
          <w:rFonts w:ascii="Times New Roman" w:hAnsi="Times New Roman"/>
          <w:color w:val="000000"/>
          <w:sz w:val="28"/>
          <w:szCs w:val="28"/>
        </w:rPr>
        <w:t>8</w:t>
      </w:r>
      <w:r w:rsidR="001A46AA">
        <w:rPr>
          <w:rFonts w:ascii="Times New Roman" w:hAnsi="Times New Roman"/>
          <w:color w:val="000000"/>
          <w:sz w:val="28"/>
          <w:szCs w:val="28"/>
        </w:rPr>
        <w:t>/2024</w:t>
      </w:r>
    </w:p>
    <w:p w:rsidR="00602983" w:rsidRPr="00405647" w:rsidP="00602983" w14:paraId="12FC388F" w14:textId="77777777"/>
    <w:p w:rsidR="00602983" w:rsidRPr="00405647" w:rsidP="00602983" w14:paraId="711286FC" w14:textId="77777777"/>
    <w:p w:rsidR="00602983" w:rsidRPr="00405647" w:rsidP="00602983" w14:paraId="6ED164DC" w14:textId="77777777"/>
    <w:p w:rsidR="00602983" w:rsidRPr="00405647" w:rsidP="00602983" w14:paraId="72173ABD" w14:textId="77777777"/>
    <w:p w:rsidR="00602983" w:rsidP="00602983" w14:paraId="00355761" w14:textId="77777777"/>
    <w:p w:rsidR="00D66E1D" w:rsidP="00602983" w14:paraId="743CF9B0" w14:textId="77777777"/>
    <w:p w:rsidR="00D66E1D" w:rsidRPr="00405647" w:rsidP="00602983" w14:paraId="5C6EF931" w14:textId="77777777"/>
    <w:p w:rsidR="00602983" w:rsidRPr="00405647" w:rsidP="00602983" w14:paraId="1965DB50" w14:textId="77777777"/>
    <w:p w:rsidR="00602983" w:rsidP="00602983" w14:paraId="739B52F1" w14:textId="77777777"/>
    <w:p w:rsidR="00CE6F6E" w:rsidP="00602983" w14:paraId="51800C42" w14:textId="77777777"/>
    <w:p w:rsidR="00CE6F6E" w:rsidP="00602983" w14:paraId="501573BD" w14:textId="77777777"/>
    <w:p w:rsidR="00CE6F6E" w:rsidP="00602983" w14:paraId="1B804E79" w14:textId="77777777"/>
    <w:p w:rsidR="00CE6F6E" w:rsidP="00602983" w14:paraId="0EF6D3D5" w14:textId="77777777"/>
    <w:p w:rsidR="00CE6F6E" w:rsidP="00602983" w14:paraId="00FC4DA4" w14:textId="77777777"/>
    <w:p w:rsidR="00CE6F6E" w:rsidP="00602983" w14:paraId="7B43AB37" w14:textId="77777777"/>
    <w:p w:rsidR="00602983" w:rsidP="00602983" w14:paraId="28C9EFAE" w14:textId="77777777">
      <w:pPr>
        <w:widowControl/>
        <w:autoSpaceDE/>
        <w:autoSpaceDN/>
        <w:adjustRightInd/>
        <w:rPr>
          <w:b/>
          <w:bCs/>
        </w:rPr>
      </w:pPr>
    </w:p>
    <w:p w:rsidR="00602983" w:rsidRPr="00405647" w:rsidP="00602983" w14:paraId="280AF651" w14:textId="43485DAD">
      <w:pPr>
        <w:widowControl/>
        <w:autoSpaceDE/>
        <w:autoSpaceDN/>
        <w:adjustRightInd/>
        <w:rPr>
          <w:b/>
          <w:color w:val="000000"/>
        </w:rPr>
      </w:pPr>
      <w:r w:rsidRPr="00405647">
        <w:rPr>
          <w:b/>
          <w:color w:val="000000"/>
        </w:rPr>
        <w:t>Table of Contents</w:t>
      </w:r>
    </w:p>
    <w:p w:rsidR="00602983" w:rsidRPr="00405647" w:rsidP="00602983" w14:paraId="4798464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02983" w:rsidRPr="00405647" w:rsidP="00602983" w14:paraId="37CD3596" w14:textId="77777777">
      <w:pPr>
        <w:pStyle w:val="Style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405647">
        <w:rPr>
          <w:rFonts w:ascii="Times New Roman" w:hAnsi="Times New Roman"/>
          <w:color w:val="000000"/>
          <w:u w:val="single"/>
        </w:rPr>
        <w:t>Justification</w:t>
      </w:r>
    </w:p>
    <w:p w:rsidR="00602983" w:rsidRPr="00405647" w:rsidP="00602983" w14:paraId="568D97E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180"/>
        </w:tabs>
        <w:rPr>
          <w:rFonts w:ascii="Times New Roman" w:hAnsi="Times New Roman"/>
          <w:color w:val="000000"/>
        </w:rPr>
      </w:pPr>
    </w:p>
    <w:p w:rsidR="00602983" w:rsidRPr="00405647" w:rsidP="00602983" w14:paraId="11086B28" w14:textId="1D35C28A">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405647">
        <w:rPr>
          <w:rFonts w:ascii="Times New Roman" w:hAnsi="Times New Roman"/>
          <w:color w:val="000000"/>
        </w:rPr>
        <w:t>A.1.</w:t>
      </w:r>
      <w:r w:rsidRPr="00405647">
        <w:rPr>
          <w:rFonts w:ascii="Times New Roman" w:hAnsi="Times New Roman"/>
          <w:color w:val="000000"/>
        </w:rPr>
        <w:tab/>
        <w:t>Circumstance Making the Collection of Information Necessary</w:t>
      </w:r>
      <w:r w:rsidRPr="00405647">
        <w:rPr>
          <w:rFonts w:ascii="Times New Roman" w:hAnsi="Times New Roman"/>
          <w:color w:val="000000"/>
        </w:rPr>
        <w:tab/>
      </w:r>
      <w:r w:rsidR="002B619B">
        <w:rPr>
          <w:rFonts w:ascii="Times New Roman" w:hAnsi="Times New Roman"/>
          <w:color w:val="000000"/>
        </w:rPr>
        <w:t>1</w:t>
      </w:r>
    </w:p>
    <w:p w:rsidR="00602983" w:rsidP="00602983" w14:paraId="0B039DE6" w14:textId="47C944F7">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405647">
        <w:rPr>
          <w:rFonts w:ascii="Times New Roman" w:hAnsi="Times New Roman"/>
          <w:color w:val="000000"/>
        </w:rPr>
        <w:t>A.2.</w:t>
      </w:r>
      <w:r w:rsidRPr="00405647">
        <w:rPr>
          <w:rFonts w:ascii="Times New Roman" w:hAnsi="Times New Roman"/>
          <w:color w:val="000000"/>
        </w:rPr>
        <w:tab/>
        <w:t>Purpose and Use of Information Collection</w:t>
      </w:r>
      <w:r w:rsidRPr="00405647">
        <w:rPr>
          <w:rFonts w:ascii="Times New Roman" w:hAnsi="Times New Roman"/>
          <w:color w:val="000000"/>
        </w:rPr>
        <w:tab/>
      </w:r>
      <w:r w:rsidR="002B619B">
        <w:rPr>
          <w:rFonts w:ascii="Times New Roman" w:hAnsi="Times New Roman"/>
          <w:color w:val="000000"/>
        </w:rPr>
        <w:t>1</w:t>
      </w:r>
    </w:p>
    <w:p w:rsidR="000745C8" w:rsidRPr="00405647" w:rsidP="00602983" w14:paraId="112F37AF" w14:textId="7F8638F0">
      <w:pPr>
        <w:pStyle w:val="Style0"/>
        <w:tabs>
          <w:tab w:val="left" w:pos="720"/>
          <w:tab w:val="left" w:pos="1440"/>
          <w:tab w:val="left" w:pos="2160"/>
          <w:tab w:val="left" w:pos="2880"/>
          <w:tab w:val="left" w:pos="3600"/>
          <w:tab w:val="right" w:leader="dot" w:pos="9180"/>
        </w:tabs>
        <w:rPr>
          <w:rFonts w:ascii="Times New Roman" w:hAnsi="Times New Roman"/>
          <w:color w:val="000000"/>
        </w:rPr>
      </w:pPr>
      <w:r>
        <w:rPr>
          <w:rFonts w:ascii="Times New Roman" w:hAnsi="Times New Roman"/>
          <w:color w:val="000000"/>
        </w:rPr>
        <w:t>A.9.</w:t>
      </w:r>
      <w:r>
        <w:rPr>
          <w:rFonts w:ascii="Times New Roman" w:hAnsi="Times New Roman"/>
          <w:color w:val="000000"/>
        </w:rPr>
        <w:tab/>
        <w:t>Explanation of Any Payment of Gift to Respondents………………………….…….… 2</w:t>
      </w:r>
    </w:p>
    <w:p w:rsidR="00602983" w:rsidRPr="00405647" w:rsidP="00602983" w14:paraId="24CD3528" w14:textId="77777777">
      <w:pPr>
        <w:pStyle w:val="Style0"/>
        <w:tabs>
          <w:tab w:val="left" w:pos="720"/>
          <w:tab w:val="left" w:pos="1440"/>
          <w:tab w:val="left" w:pos="2160"/>
          <w:tab w:val="left" w:pos="2880"/>
          <w:tab w:val="left" w:pos="3600"/>
          <w:tab w:val="right" w:leader="dot" w:pos="9180"/>
        </w:tabs>
        <w:rPr>
          <w:rFonts w:ascii="Times New Roman" w:hAnsi="Times New Roman"/>
          <w:bCs/>
        </w:rPr>
      </w:pPr>
      <w:r w:rsidRPr="00405647">
        <w:rPr>
          <w:rFonts w:ascii="Times New Roman" w:hAnsi="Times New Roman"/>
          <w:bCs/>
        </w:rPr>
        <w:t>A.10.</w:t>
      </w:r>
      <w:r w:rsidRPr="00405647">
        <w:rPr>
          <w:rFonts w:ascii="Times New Roman" w:hAnsi="Times New Roman"/>
          <w:bCs/>
        </w:rPr>
        <w:tab/>
        <w:t xml:space="preserve">Protection of the Privacy and Confidentiality of Information Provided </w:t>
      </w:r>
    </w:p>
    <w:p w:rsidR="000745C8" w:rsidRPr="00405647" w:rsidP="00602983" w14:paraId="5ECB3E2F" w14:textId="070350CD">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405647">
        <w:rPr>
          <w:rFonts w:ascii="Times New Roman" w:hAnsi="Times New Roman"/>
          <w:bCs/>
        </w:rPr>
        <w:tab/>
        <w:t>by Respondents…………………………………………….</w:t>
      </w:r>
      <w:r w:rsidRPr="00405647">
        <w:rPr>
          <w:rFonts w:ascii="Times New Roman" w:hAnsi="Times New Roman"/>
          <w:bCs/>
        </w:rPr>
        <w:tab/>
      </w:r>
      <w:r w:rsidR="002B619B">
        <w:rPr>
          <w:rFonts w:ascii="Times New Roman" w:hAnsi="Times New Roman"/>
          <w:bCs/>
        </w:rPr>
        <w:t>2</w:t>
      </w:r>
    </w:p>
    <w:p w:rsidR="00602983" w:rsidRPr="00405647" w:rsidP="00602983" w14:paraId="2A748384" w14:textId="40DC508D">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405647">
        <w:rPr>
          <w:rFonts w:ascii="Times New Roman" w:hAnsi="Times New Roman"/>
          <w:bCs/>
        </w:rPr>
        <w:t>A.11.</w:t>
      </w:r>
      <w:r w:rsidRPr="00405647">
        <w:rPr>
          <w:rFonts w:ascii="Times New Roman" w:hAnsi="Times New Roman"/>
          <w:bCs/>
        </w:rPr>
        <w:tab/>
        <w:t>Institutional Review Board (IRB) and Justification for Sensitive Questions</w:t>
      </w:r>
      <w:r w:rsidRPr="00405647">
        <w:rPr>
          <w:rFonts w:ascii="Times New Roman" w:hAnsi="Times New Roman"/>
          <w:bCs/>
        </w:rPr>
        <w:tab/>
      </w:r>
      <w:r w:rsidR="002B619B">
        <w:rPr>
          <w:rFonts w:ascii="Times New Roman" w:hAnsi="Times New Roman"/>
          <w:bCs/>
        </w:rPr>
        <w:t>3</w:t>
      </w:r>
    </w:p>
    <w:p w:rsidR="00602983" w:rsidRPr="00405647" w:rsidP="00602983" w14:paraId="52E632CC"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405647">
        <w:rPr>
          <w:rFonts w:ascii="Times New Roman" w:hAnsi="Times New Roman"/>
          <w:bCs/>
        </w:rPr>
        <w:t>A.12.</w:t>
      </w:r>
      <w:r w:rsidRPr="00405647">
        <w:rPr>
          <w:rFonts w:ascii="Times New Roman" w:hAnsi="Times New Roman"/>
          <w:bCs/>
        </w:rPr>
        <w:tab/>
        <w:t>Estimates of Annualized Burden Hours and Costs</w:t>
      </w:r>
      <w:r w:rsidRPr="00405647">
        <w:rPr>
          <w:rFonts w:ascii="Times New Roman" w:hAnsi="Times New Roman"/>
          <w:bCs/>
        </w:rPr>
        <w:tab/>
        <w:t>4</w:t>
      </w:r>
    </w:p>
    <w:p w:rsidR="00602983" w:rsidRPr="00405647" w:rsidP="00602983" w14:paraId="64379FC3" w14:textId="77777777">
      <w:pPr>
        <w:pStyle w:val="Style0"/>
        <w:tabs>
          <w:tab w:val="left" w:pos="720"/>
          <w:tab w:val="left" w:pos="1440"/>
          <w:tab w:val="left" w:pos="2160"/>
          <w:tab w:val="left" w:pos="2880"/>
          <w:tab w:val="left" w:pos="3600"/>
          <w:tab w:val="right" w:leader="dot" w:pos="9180"/>
        </w:tabs>
        <w:rPr>
          <w:rFonts w:ascii="Times New Roman" w:hAnsi="Times New Roman"/>
          <w:bCs/>
        </w:rPr>
      </w:pPr>
    </w:p>
    <w:p w:rsidR="00602983" w:rsidRPr="00405647" w:rsidP="00602983" w14:paraId="44F8EC02" w14:textId="77777777">
      <w:pPr>
        <w:rPr>
          <w:bCs/>
        </w:rPr>
      </w:pPr>
      <w:r w:rsidRPr="00405647">
        <w:rPr>
          <w:bCs/>
        </w:rPr>
        <w:t>LIST OF ATTACHMENTS</w:t>
      </w:r>
    </w:p>
    <w:p w:rsidR="00602983" w:rsidRPr="00405647" w:rsidP="00602983" w14:paraId="1C82DF59" w14:textId="77777777">
      <w:pPr>
        <w:rPr>
          <w:bCs/>
        </w:rPr>
      </w:pPr>
    </w:p>
    <w:p w:rsidR="00602983" w:rsidP="00602983" w14:paraId="63BF0BE8" w14:textId="4B1B937B">
      <w:r>
        <w:t>Attachment 1: Questions</w:t>
      </w:r>
    </w:p>
    <w:p w:rsidR="00D66E1D" w:rsidRPr="00D66E1D" w:rsidP="00602983" w14:paraId="38DED683" w14:textId="57D83036">
      <w:r>
        <w:t>Attachment 2: P</w:t>
      </w:r>
      <w:r>
        <w:t>urpose and Development of Questions</w:t>
      </w:r>
    </w:p>
    <w:p w:rsidR="00602983" w:rsidP="00602983" w14:paraId="25F37136" w14:textId="0C2DB03A">
      <w:r>
        <w:t>Attachment 3</w:t>
      </w:r>
      <w:r w:rsidR="001A46AA">
        <w:t>a</w:t>
      </w:r>
      <w:r w:rsidR="00FC45CB">
        <w:t>b</w:t>
      </w:r>
      <w:r>
        <w:t>:</w:t>
      </w:r>
      <w:r w:rsidR="001A46AA">
        <w:t xml:space="preserve"> Suspected </w:t>
      </w:r>
      <w:r w:rsidR="00BD7415">
        <w:t xml:space="preserve">&amp; Diagnosed </w:t>
      </w:r>
      <w:r w:rsidR="001A46AA">
        <w:t>Cog Decline</w:t>
      </w:r>
      <w:r>
        <w:t xml:space="preserve"> Advertisement</w:t>
      </w:r>
    </w:p>
    <w:p w:rsidR="00602983" w:rsidP="00602983" w14:paraId="6189B1C3" w14:textId="5BF8BA81">
      <w:r>
        <w:t>Attachment 4: Screening Script</w:t>
      </w:r>
    </w:p>
    <w:p w:rsidR="00602983" w:rsidP="00602983" w14:paraId="07540050" w14:textId="753D80A3">
      <w:r>
        <w:t>Attachment 5</w:t>
      </w:r>
      <w:r w:rsidR="001A46AA">
        <w:t>ab</w:t>
      </w:r>
      <w:r>
        <w:t>:</w:t>
      </w:r>
      <w:r w:rsidR="001A46AA">
        <w:t xml:space="preserve"> In Person &amp; Virtual Informed </w:t>
      </w:r>
      <w:r>
        <w:t>Consent</w:t>
      </w:r>
      <w:r w:rsidR="001A46AA">
        <w:t xml:space="preserve"> Forms</w:t>
      </w:r>
      <w:r>
        <w:t xml:space="preserve"> </w:t>
      </w:r>
    </w:p>
    <w:p w:rsidR="0071791B" w:rsidP="0071791B" w14:paraId="4BB0C2E8" w14:textId="77ECFC51">
      <w:r>
        <w:t>Attachment 6</w:t>
      </w:r>
      <w:r w:rsidR="00D9021A">
        <w:t>ab</w:t>
      </w:r>
      <w:r>
        <w:t xml:space="preserve">: </w:t>
      </w:r>
      <w:r w:rsidR="00BD7415">
        <w:t xml:space="preserve">In Person &amp; Virtual </w:t>
      </w:r>
      <w:r>
        <w:t>Respondent Data Collection Sheet</w:t>
      </w:r>
    </w:p>
    <w:p w:rsidR="0071791B" w:rsidP="0071791B" w14:paraId="573222C2" w14:textId="77777777">
      <w:r>
        <w:t>Attachment 7: Thank You Letter</w:t>
      </w:r>
    </w:p>
    <w:p w:rsidR="0071791B" w:rsidP="0071791B" w14:paraId="396C5C92" w14:textId="77777777">
      <w:r>
        <w:t>Attachment 8: Data Retention Policy</w:t>
      </w:r>
    </w:p>
    <w:p w:rsidR="00836785" w:rsidP="0071791B" w14:paraId="0E1BE71E" w14:textId="0D281CB1">
      <w:r>
        <w:t>Attachment 9: NCHS Non-Disclosure Affidavit</w:t>
      </w:r>
    </w:p>
    <w:p w:rsidR="00F70249" w:rsidP="0071791B" w14:paraId="193187ED" w14:textId="0729955B">
      <w:r>
        <w:t>Attachment 10: Distress Guide</w:t>
      </w:r>
    </w:p>
    <w:p w:rsidR="00F70249" w:rsidP="0071791B" w14:paraId="6337DDE3" w14:textId="0F05B798">
      <w:r>
        <w:t>Attachment 11: Research Approval Letter</w:t>
      </w:r>
    </w:p>
    <w:p w:rsidR="00D66E1D" w:rsidRPr="004F3287" w:rsidP="0071791B" w14:paraId="380E1AE2" w14:textId="77777777"/>
    <w:p w:rsidR="00602983" w:rsidRPr="00405647" w:rsidP="00602983" w14:paraId="5CA7DCAA" w14:textId="77777777">
      <w:pPr>
        <w:widowControl/>
        <w:tabs>
          <w:tab w:val="left" w:pos="-1440"/>
        </w:tabs>
        <w:ind w:left="720" w:hanging="720"/>
        <w:rPr>
          <w:b/>
          <w:bCs/>
        </w:rPr>
      </w:pPr>
    </w:p>
    <w:p w:rsidR="00602983" w:rsidRPr="00405647" w:rsidP="00602983" w14:paraId="2EC94A76" w14:textId="77777777">
      <w:pPr>
        <w:widowControl/>
        <w:tabs>
          <w:tab w:val="left" w:pos="-1440"/>
        </w:tabs>
        <w:ind w:left="720" w:hanging="720"/>
        <w:rPr>
          <w:b/>
          <w:bCs/>
        </w:rPr>
      </w:pPr>
      <w:r w:rsidRPr="00405647">
        <w:rPr>
          <w:b/>
          <w:bCs/>
        </w:rPr>
        <w:t>A.</w:t>
      </w:r>
      <w:r w:rsidRPr="00405647">
        <w:rPr>
          <w:b/>
          <w:bCs/>
        </w:rPr>
        <w:tab/>
      </w:r>
      <w:r w:rsidRPr="00405647">
        <w:rPr>
          <w:b/>
          <w:bCs/>
          <w:u w:val="single"/>
        </w:rPr>
        <w:t>JUSTIFICATION</w:t>
      </w:r>
    </w:p>
    <w:p w:rsidR="00602983" w:rsidRPr="00405647" w:rsidP="00602983" w14:paraId="7B3A6F80" w14:textId="77777777">
      <w:pPr>
        <w:widowControl/>
      </w:pPr>
    </w:p>
    <w:p w:rsidR="00602983" w:rsidRPr="00405647" w:rsidP="00602983" w14:paraId="0BD46B27" w14:textId="77777777">
      <w:pPr>
        <w:widowControl/>
        <w:tabs>
          <w:tab w:val="left" w:pos="-1440"/>
        </w:tabs>
        <w:ind w:left="720" w:hanging="720"/>
      </w:pPr>
      <w:r w:rsidRPr="00405647">
        <w:rPr>
          <w:b/>
          <w:bCs/>
        </w:rPr>
        <w:t>1.</w:t>
      </w:r>
      <w:r w:rsidRPr="00405647">
        <w:rPr>
          <w:b/>
          <w:bCs/>
        </w:rPr>
        <w:tab/>
        <w:t>Circumstances Making the Collection of Information Necessary</w:t>
      </w:r>
    </w:p>
    <w:p w:rsidR="00602983" w:rsidRPr="00405647" w:rsidP="00602983" w14:paraId="6F1F6F23" w14:textId="77777777">
      <w:pPr>
        <w:widowControl/>
        <w:tabs>
          <w:tab w:val="left" w:pos="-1440"/>
        </w:tabs>
      </w:pPr>
      <w:bookmarkStart w:id="0" w:name="_Hlk149563517"/>
    </w:p>
    <w:bookmarkEnd w:id="0"/>
    <w:p w:rsidR="00602983" w:rsidRPr="00405647" w:rsidP="00602983" w14:paraId="23F785DB" w14:textId="66B7B00A">
      <w:r w:rsidRPr="00405647">
        <w:t>The NCHS Collaborating Center for Questionnaire Design and Evaluation Research (CCQDER) conducts qualitative and mixed method research. CCQDER data collection is authorized under a generic OMB clearance (OMB No. 0920-0222, Exp. Date 0</w:t>
      </w:r>
      <w:r w:rsidR="00583D1E">
        <w:t>1</w:t>
      </w:r>
      <w:r w:rsidRPr="00405647">
        <w:t>/3</w:t>
      </w:r>
      <w:r w:rsidR="00583D1E">
        <w:t>1</w:t>
      </w:r>
      <w:r w:rsidRPr="00405647">
        <w:t>/202</w:t>
      </w:r>
      <w:r w:rsidR="00583D1E">
        <w:t>6</w:t>
      </w:r>
      <w:r w:rsidRPr="00405647">
        <w:t>) and 42 U.S.C. 242k (Section 306 of the Public Health Service Act).</w:t>
      </w:r>
    </w:p>
    <w:p w:rsidR="00602983" w:rsidRPr="00405647" w:rsidP="00602983" w14:paraId="69D6EB03" w14:textId="77777777">
      <w:pPr>
        <w:rPr>
          <w:rFonts w:ascii="Calibri" w:hAnsi="Calibri" w:cs="Calibri"/>
          <w:sz w:val="22"/>
          <w:szCs w:val="22"/>
        </w:rPr>
      </w:pPr>
    </w:p>
    <w:p w:rsidR="00602983" w:rsidRPr="00405647" w:rsidP="00602983" w14:paraId="7502C4BA" w14:textId="77777777">
      <w:r w:rsidRPr="00405647">
        <w:tab/>
      </w:r>
    </w:p>
    <w:p w:rsidR="00602983" w:rsidRPr="00405647" w:rsidP="00602983" w14:paraId="06421054" w14:textId="77777777">
      <w:pPr>
        <w:widowControl/>
        <w:tabs>
          <w:tab w:val="left" w:pos="-1440"/>
        </w:tabs>
        <w:ind w:left="720" w:hanging="720"/>
      </w:pPr>
      <w:r w:rsidRPr="00405647">
        <w:rPr>
          <w:b/>
          <w:bCs/>
        </w:rPr>
        <w:t>2.</w:t>
      </w:r>
      <w:r w:rsidRPr="00405647">
        <w:rPr>
          <w:b/>
          <w:bCs/>
        </w:rPr>
        <w:tab/>
        <w:t>Purpose and Use of Information Collection</w:t>
      </w:r>
    </w:p>
    <w:p w:rsidR="00602983" w:rsidRPr="00405647" w:rsidP="00602983" w14:paraId="2F792AA0" w14:textId="77777777">
      <w:pPr>
        <w:pStyle w:val="HTMLPreformatted"/>
        <w:rPr>
          <w:rFonts w:ascii="Times New Roman" w:hAnsi="Times New Roman"/>
          <w:sz w:val="24"/>
          <w:szCs w:val="24"/>
        </w:rPr>
      </w:pPr>
    </w:p>
    <w:p w:rsidR="00602983" w:rsidRPr="00405647" w:rsidP="00602983" w14:paraId="56651A3C" w14:textId="48765F56">
      <w:pPr>
        <w:pStyle w:val="HTMLPreformatted"/>
        <w:rPr>
          <w:rFonts w:ascii="Times New Roman" w:hAnsi="Times New Roman"/>
          <w:sz w:val="24"/>
          <w:szCs w:val="24"/>
        </w:rPr>
      </w:pPr>
      <w:r w:rsidRPr="00405647">
        <w:rPr>
          <w:rFonts w:ascii="Times New Roman" w:hAnsi="Times New Roman"/>
          <w:sz w:val="24"/>
          <w:szCs w:val="24"/>
        </w:rPr>
        <w:t xml:space="preserve">CCQDER conducts exploratory question evaluation studies, for both applied and methodological purposes, with particular focus on question design, measurement, comparability, and </w:t>
      </w:r>
      <w:r w:rsidR="00A4000C">
        <w:rPr>
          <w:rFonts w:ascii="Times New Roman" w:hAnsi="Times New Roman"/>
          <w:sz w:val="24"/>
          <w:szCs w:val="24"/>
        </w:rPr>
        <w:t xml:space="preserve">response </w:t>
      </w:r>
      <w:r w:rsidRPr="00405647">
        <w:rPr>
          <w:rFonts w:ascii="Times New Roman" w:hAnsi="Times New Roman"/>
          <w:sz w:val="24"/>
          <w:szCs w:val="24"/>
        </w:rPr>
        <w:t xml:space="preserve">error. </w:t>
      </w:r>
    </w:p>
    <w:p w:rsidR="00602983" w:rsidRPr="00405647" w:rsidP="00602983" w14:paraId="7FAC4F07" w14:textId="77777777"/>
    <w:p w:rsidR="004A4524" w:rsidP="002C01E0" w14:paraId="338986D5" w14:textId="39F1EF46">
      <w:r>
        <w:t>The purpose of the current project is to evaluate the construct validity of questions on</w:t>
      </w:r>
      <w:r w:rsidR="002C01E0">
        <w:t xml:space="preserve"> self-assessed cognitive decline</w:t>
      </w:r>
      <w:r w:rsidR="006C7659">
        <w:t xml:space="preserve"> focusing on thinking,</w:t>
      </w:r>
      <w:r w:rsidR="000745C8">
        <w:t xml:space="preserve"> </w:t>
      </w:r>
      <w:r w:rsidR="006C7659">
        <w:t>memory,</w:t>
      </w:r>
      <w:r w:rsidR="000745C8">
        <w:t xml:space="preserve"> and other daily activities</w:t>
      </w:r>
      <w:r w:rsidR="002C01E0">
        <w:t xml:space="preserve"> </w:t>
      </w:r>
      <w:r>
        <w:t xml:space="preserve">in </w:t>
      </w:r>
      <w:r>
        <w:t xml:space="preserve">collaboration with </w:t>
      </w:r>
      <w:r w:rsidR="002C01E0">
        <w:t xml:space="preserve">the </w:t>
      </w:r>
      <w:r w:rsidRPr="00CC7A5F" w:rsidR="002C01E0">
        <w:t>National Center for Chronic Disease Prevention &amp; Health Promotion</w:t>
      </w:r>
      <w:r w:rsidR="002C01E0">
        <w:t>.</w:t>
      </w:r>
      <w:r>
        <w:rPr>
          <w:rStyle w:val="FootnoteReference"/>
        </w:rPr>
        <w:footnoteReference w:id="2"/>
      </w:r>
      <w:r>
        <w:t xml:space="preserve"> Questions will be tested </w:t>
      </w:r>
      <w:r w:rsidR="002C01E0">
        <w:t xml:space="preserve">with up to 30 </w:t>
      </w:r>
      <w:r>
        <w:t xml:space="preserve">English speaking respondents. The questions to be tested in English are </w:t>
      </w:r>
      <w:r w:rsidRPr="00400FB8">
        <w:t xml:space="preserve">included as Attachment 1. </w:t>
      </w:r>
      <w:r w:rsidRPr="00400FB8" w:rsidR="0071791B">
        <w:t>NCHS</w:t>
      </w:r>
      <w:r w:rsidRPr="0071791B" w:rsidR="0071791B">
        <w:t xml:space="preserve"> understands that OMB approval for evaluation of these questions does not imply or guarantee future approval for use or application of these or similar items. </w:t>
      </w:r>
      <w:r w:rsidR="00B04F77">
        <w:t>Information about the purpose and use of the questions is</w:t>
      </w:r>
      <w:r w:rsidRPr="0071791B" w:rsidR="0071791B">
        <w:t xml:space="preserve"> included as </w:t>
      </w:r>
      <w:r w:rsidRPr="005F3FC9" w:rsidR="0071791B">
        <w:t>Attachment 2. The methodological</w:t>
      </w:r>
      <w:r w:rsidRPr="0071791B" w:rsidR="0071791B">
        <w:t xml:space="preserve"> aim of this study is consistent with the design of most NCHS/CCQDER cognitive interviewing studies, that is, to understand the construct captured by each question, identify patterns of interpretation across respondent groups, and explore potential sources of response error. The testing procedure conforms to the cognitive interviewing techniques that have been described in CCQDER’s generic clearance package (OMB No. 0920-0222, exp. 01/31/2026). Within that framework, the following procedures are particular to this study:</w:t>
      </w:r>
    </w:p>
    <w:p w:rsidR="002C01E0" w:rsidRPr="004A4524" w:rsidP="002C01E0" w14:paraId="13E9E2C1" w14:textId="77777777"/>
    <w:p w:rsidR="004A4524" w:rsidRPr="004A4524" w:rsidP="004A4524" w14:paraId="3E0677FA" w14:textId="0BEFD6BD">
      <w:pPr>
        <w:widowControl/>
        <w:tabs>
          <w:tab w:val="left" w:pos="0"/>
        </w:tabs>
        <w:ind w:left="720"/>
        <w:outlineLvl w:val="0"/>
      </w:pPr>
      <w:r w:rsidRPr="004A4524">
        <w:rPr>
          <w:i/>
          <w:iCs/>
        </w:rPr>
        <w:t>Recruitment</w:t>
      </w:r>
      <w:r w:rsidRPr="004A4524">
        <w:t>.  We propose to recruit up to</w:t>
      </w:r>
      <w:r w:rsidR="0029060A">
        <w:t xml:space="preserve"> 30 respondents aged 18 or over who believe that they have experienced difficulties with thinking or memory over the past 12 months, including those with differing levels of severity and a few who have not experienced such difficulties, </w:t>
      </w:r>
      <w:r w:rsidR="0029060A">
        <w:t>in order to</w:t>
      </w:r>
      <w:r w:rsidR="0029060A">
        <w:t xml:space="preserve"> be able to provide a more thorough evaluation of the questions.</w:t>
      </w:r>
      <w:r w:rsidRPr="004A4524">
        <w:t xml:space="preserve"> In addition to those criteria, demographic diversity and intersectionality is also a priority, with the goal of achieving a purposive sample that includes a mix of genders, age, race</w:t>
      </w:r>
      <w:r w:rsidR="0029060A">
        <w:t>/ethnicity</w:t>
      </w:r>
      <w:r w:rsidRPr="004A4524">
        <w:t xml:space="preserve">, and educational attainment. Recruitment will be carried out through a combination of advertisements, flyers, </w:t>
      </w:r>
      <w:r w:rsidR="0029060A">
        <w:t xml:space="preserve">social media, </w:t>
      </w:r>
      <w:r w:rsidRPr="004A4524">
        <w:t xml:space="preserve">word-of-mouth, and the CCQDER Respondent Database. The advertisement/flyer used to recruit respondents is shown in </w:t>
      </w:r>
      <w:r w:rsidRPr="005F3FC9">
        <w:t>Attachment</w:t>
      </w:r>
      <w:r w:rsidRPr="005F3FC9" w:rsidR="00F27D12">
        <w:t>s</w:t>
      </w:r>
      <w:r w:rsidRPr="005F3FC9">
        <w:t xml:space="preserve"> 3</w:t>
      </w:r>
      <w:r w:rsidRPr="005F3FC9" w:rsidR="00F27D12">
        <w:t>a and 3b</w:t>
      </w:r>
      <w:r w:rsidRPr="005F3FC9">
        <w:t>.</w:t>
      </w:r>
    </w:p>
    <w:p w:rsidR="004A4524" w:rsidRPr="004A4524" w:rsidP="004A4524" w14:paraId="193584CE" w14:textId="77777777">
      <w:pPr>
        <w:widowControl/>
        <w:tabs>
          <w:tab w:val="left" w:pos="0"/>
        </w:tabs>
        <w:ind w:left="720"/>
        <w:outlineLvl w:val="0"/>
      </w:pPr>
    </w:p>
    <w:p w:rsidR="004A4524" w:rsidRPr="004A4524" w:rsidP="004A4524" w14:paraId="35349FDD" w14:textId="7055972C">
      <w:pPr>
        <w:tabs>
          <w:tab w:val="left" w:pos="0"/>
        </w:tabs>
        <w:ind w:left="720"/>
        <w:contextualSpacing/>
      </w:pPr>
      <w:r w:rsidRPr="004A4524">
        <w:rPr>
          <w:bCs/>
          <w:i/>
          <w:iCs/>
        </w:rPr>
        <w:t>Screening</w:t>
      </w:r>
      <w:r w:rsidRPr="004A4524">
        <w:rPr>
          <w:bCs/>
        </w:rPr>
        <w:t>.</w:t>
      </w:r>
      <w:r w:rsidRPr="004A4524">
        <w:rPr>
          <w:b/>
          <w:bCs/>
        </w:rPr>
        <w:t xml:space="preserve">  </w:t>
      </w:r>
      <w:r w:rsidRPr="004A4524">
        <w:t xml:space="preserve">Respondent screening will conform to the protocol laid out in CCQDER’s generic package. The 5-minute screener used to determine eligibility of individuals responding to the advertisements/flyers is </w:t>
      </w:r>
      <w:r w:rsidRPr="005F3FC9">
        <w:t>shown in Attachment 4. It is anticipated</w:t>
      </w:r>
      <w:r w:rsidRPr="004A4524">
        <w:t xml:space="preserve"> that as many as</w:t>
      </w:r>
      <w:r w:rsidR="0029060A">
        <w:t xml:space="preserve"> </w:t>
      </w:r>
      <w:r w:rsidRPr="0029060A" w:rsidR="0029060A">
        <w:t>60</w:t>
      </w:r>
      <w:r w:rsidRPr="0029060A">
        <w:t xml:space="preserve"> individuals may need to be screened to recruit </w:t>
      </w:r>
      <w:r w:rsidRPr="0029060A" w:rsidR="0029060A">
        <w:t>30</w:t>
      </w:r>
      <w:r w:rsidRPr="0029060A">
        <w:t xml:space="preserve"> participants.</w:t>
      </w:r>
      <w:r w:rsidRPr="004A4524">
        <w:t xml:space="preserve"> </w:t>
      </w:r>
    </w:p>
    <w:p w:rsidR="004A4524" w:rsidRPr="004A4524" w:rsidP="004A4524" w14:paraId="3EE5B0A2" w14:textId="77777777">
      <w:pPr>
        <w:widowControl/>
        <w:tabs>
          <w:tab w:val="left" w:pos="0"/>
        </w:tabs>
        <w:ind w:left="720"/>
        <w:outlineLvl w:val="0"/>
      </w:pPr>
    </w:p>
    <w:p w:rsidR="000745C8" w:rsidP="000745C8" w14:paraId="1D122BC7" w14:textId="5D263D0C">
      <w:pPr>
        <w:widowControl/>
        <w:tabs>
          <w:tab w:val="left" w:pos="0"/>
        </w:tabs>
        <w:ind w:left="720"/>
        <w:outlineLvl w:val="0"/>
      </w:pPr>
      <w:r w:rsidRPr="004A4524">
        <w:rPr>
          <w:i/>
          <w:iCs/>
        </w:rPr>
        <w:t>Interview methods.</w:t>
      </w:r>
      <w:r w:rsidRPr="004A4524">
        <w:t xml:space="preserve"> Cognitive interviews will be conducted by CCQDER staff and RSS contractors in accordance with the protocol described in CCQDER’s generic package. The informed consent documents specific to this project are included as </w:t>
      </w:r>
      <w:r w:rsidRPr="005F3FC9">
        <w:t>Attachments 5a and 5b.</w:t>
      </w:r>
    </w:p>
    <w:p w:rsidR="000745C8" w:rsidRPr="004A4524" w:rsidP="000745C8" w14:paraId="76144305" w14:textId="77777777">
      <w:pPr>
        <w:widowControl/>
        <w:tabs>
          <w:tab w:val="left" w:pos="0"/>
        </w:tabs>
        <w:outlineLvl w:val="0"/>
      </w:pPr>
    </w:p>
    <w:p w:rsidR="000745C8" w:rsidRPr="007A7068" w:rsidP="000745C8" w14:paraId="4093461C" w14:textId="77777777">
      <w:pPr>
        <w:widowControl/>
        <w:tabs>
          <w:tab w:val="left" w:pos="0"/>
        </w:tabs>
        <w:ind w:left="720" w:hanging="720"/>
        <w:rPr>
          <w:b/>
          <w:bCs/>
        </w:rPr>
      </w:pPr>
      <w:r w:rsidRPr="007A7068">
        <w:rPr>
          <w:b/>
          <w:bCs/>
        </w:rPr>
        <w:t>9.</w:t>
      </w:r>
      <w:r w:rsidRPr="007A7068">
        <w:rPr>
          <w:b/>
          <w:bCs/>
        </w:rPr>
        <w:tab/>
        <w:t xml:space="preserve">Explanation of Any Payment or Gift to Respondents </w:t>
      </w:r>
    </w:p>
    <w:p w:rsidR="000745C8" w:rsidRPr="007A7068" w:rsidP="000745C8" w14:paraId="6CF579A2" w14:textId="77777777">
      <w:pPr>
        <w:widowControl/>
        <w:tabs>
          <w:tab w:val="left" w:pos="0"/>
        </w:tabs>
        <w:ind w:left="720" w:hanging="720"/>
      </w:pPr>
    </w:p>
    <w:p w:rsidR="000745C8" w:rsidRPr="007A7068" w:rsidP="000745C8" w14:paraId="20483769" w14:textId="77777777">
      <w:pPr>
        <w:widowControl/>
        <w:tabs>
          <w:tab w:val="left" w:pos="0"/>
        </w:tabs>
        <w:ind w:left="720" w:hanging="720"/>
      </w:pPr>
      <w:r w:rsidRPr="007A7068">
        <w:t>For this project respondents will be given the standard remuneration of $50 approved by OMB</w:t>
      </w:r>
    </w:p>
    <w:p w:rsidR="000745C8" w:rsidRPr="007A7068" w:rsidP="000745C8" w14:paraId="0D827EDB" w14:textId="77777777">
      <w:pPr>
        <w:widowControl/>
        <w:tabs>
          <w:tab w:val="left" w:pos="0"/>
        </w:tabs>
        <w:ind w:left="720" w:hanging="720"/>
      </w:pPr>
      <w:r w:rsidRPr="007A7068">
        <w:t xml:space="preserve">on January 31, 2023, for CCQDER Generic data collection. For virtual interviews, respondents </w:t>
      </w:r>
    </w:p>
    <w:p w:rsidR="000745C8" w:rsidRPr="007A7068" w:rsidP="000745C8" w14:paraId="62494484" w14:textId="77777777">
      <w:pPr>
        <w:widowControl/>
        <w:tabs>
          <w:tab w:val="left" w:pos="0"/>
        </w:tabs>
        <w:ind w:left="720" w:hanging="720"/>
      </w:pPr>
      <w:r w:rsidRPr="007A7068">
        <w:t xml:space="preserve">will be emailed the activation code and link for an $50 electronic gift card or (if cash is used) </w:t>
      </w:r>
    </w:p>
    <w:p w:rsidR="000745C8" w:rsidRPr="007A7068" w:rsidP="000745C8" w14:paraId="2FD65532" w14:textId="77777777">
      <w:pPr>
        <w:widowControl/>
        <w:tabs>
          <w:tab w:val="left" w:pos="0"/>
        </w:tabs>
        <w:ind w:left="720" w:hanging="720"/>
      </w:pPr>
      <w:r w:rsidRPr="007A7068">
        <w:t xml:space="preserve">sent $50 in cash via FedEx within 7 business days for remuneration. For in person interviews, </w:t>
      </w:r>
    </w:p>
    <w:p w:rsidR="004A4524" w:rsidRPr="004A4524" w:rsidP="000745C8" w14:paraId="41B9304E" w14:textId="2AF7D4DA">
      <w:pPr>
        <w:widowControl/>
        <w:tabs>
          <w:tab w:val="left" w:pos="0"/>
        </w:tabs>
        <w:ind w:left="720" w:hanging="720"/>
      </w:pPr>
      <w:r w:rsidRPr="007A7068">
        <w:t>respondents will be given $50 in cash at the end of the interview.</w:t>
      </w:r>
    </w:p>
    <w:p w:rsidR="00602983" w:rsidRPr="00405647" w:rsidP="00602983" w14:paraId="4073FCD1" w14:textId="77777777"/>
    <w:p w:rsidR="00602983" w:rsidP="000745C8" w14:paraId="3CB6A901" w14:textId="4AD16B6D">
      <w:pPr>
        <w:widowControl/>
        <w:tabs>
          <w:tab w:val="left" w:pos="0"/>
        </w:tabs>
        <w:ind w:left="720" w:hanging="720"/>
        <w:rPr>
          <w:b/>
          <w:bCs/>
        </w:rPr>
      </w:pPr>
      <w:r w:rsidRPr="00405647">
        <w:rPr>
          <w:b/>
          <w:bCs/>
        </w:rPr>
        <w:t>10.</w:t>
      </w:r>
      <w:r w:rsidRPr="00405647">
        <w:rPr>
          <w:b/>
          <w:bCs/>
        </w:rPr>
        <w:tab/>
        <w:t xml:space="preserve">Protection of the Privacy and Confidentiality of Information Provided by Respondents </w:t>
      </w:r>
    </w:p>
    <w:p w:rsidR="0071791B" w:rsidP="00602983" w14:paraId="6D878936" w14:textId="77777777">
      <w:pPr>
        <w:widowControl/>
        <w:tabs>
          <w:tab w:val="left" w:pos="0"/>
        </w:tabs>
        <w:ind w:left="720" w:hanging="720"/>
        <w:rPr>
          <w:b/>
          <w:bCs/>
        </w:rPr>
      </w:pPr>
    </w:p>
    <w:p w:rsidR="0071791B" w:rsidRPr="0071791B" w:rsidP="00602983" w14:paraId="5853C71B" w14:textId="5AB43B8C">
      <w:pPr>
        <w:widowControl/>
        <w:tabs>
          <w:tab w:val="left" w:pos="0"/>
        </w:tabs>
        <w:ind w:left="720" w:hanging="720"/>
      </w:pPr>
      <w:r w:rsidRPr="0071791B">
        <w:t>Data will be kept private to the extent allowed by law.</w:t>
      </w:r>
    </w:p>
    <w:p w:rsidR="00602983" w:rsidRPr="00405647" w:rsidP="00602983" w14:paraId="467E655A" w14:textId="77777777">
      <w:pPr>
        <w:widowControl/>
        <w:tabs>
          <w:tab w:val="left" w:pos="0"/>
        </w:tabs>
      </w:pPr>
    </w:p>
    <w:p w:rsidR="0071791B" w:rsidP="0071791B" w14:paraId="7DEB2AEA" w14:textId="77777777">
      <w:r>
        <w:t xml:space="preserve">The CCQDER continues to collect, on a confidential basis, data needed </w:t>
      </w:r>
      <w:r>
        <w:t>in order to</w:t>
      </w:r>
      <w:r>
        <w:t xml:space="preserve"> conduct CCQDER studies. Confidentiality provided to respondents is assured by adherence to Section 308(d) of the Public Health Service Act (42 U.S.C. 242m) which states:</w:t>
      </w:r>
    </w:p>
    <w:p w:rsidR="0071791B" w:rsidP="0071791B" w14:paraId="41DA5AA1" w14:textId="77777777"/>
    <w:p w:rsidR="00602983" w:rsidP="0071791B" w14:paraId="62223A7B" w14:textId="70D3A3A2">
      <w:r>
        <w:t>“No information, if an establishment or person supplying the information or described in it is identifiable, obtained in the course of activities undertaken or supported under section...306 (NCHS legislation),...may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71791B" w:rsidP="0071791B" w14:paraId="57A51F55" w14:textId="73A1AC05"/>
    <w:p w:rsidR="0071791B" w:rsidP="0071791B" w14:paraId="2F02A00A" w14:textId="77777777">
      <w:r>
        <w:t>In addition, legislation covering confidentiality is provided according to the Confidential Information Protection and Statistical Efficiency Act or CIPSEA (44 U.S.C. 3561-3583), which states:</w:t>
      </w:r>
    </w:p>
    <w:p w:rsidR="0071791B" w:rsidP="0029060A" w14:paraId="7358BEE8" w14:textId="12C2659E">
      <w:pPr>
        <w:spacing w:before="240"/>
      </w:pPr>
      <w:r>
        <w:t>“Whoever,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p>
    <w:p w:rsidR="0071791B" w:rsidRPr="00405647" w:rsidP="0071791B" w14:paraId="7104E3A8" w14:textId="77777777">
      <w:pPr>
        <w:rPr>
          <w:color w:val="000000"/>
        </w:rPr>
      </w:pPr>
    </w:p>
    <w:p w:rsidR="00602983" w:rsidRPr="00405647" w:rsidP="00602983" w14:paraId="562A7618" w14:textId="77777777">
      <w:pPr>
        <w:widowControl/>
        <w:tabs>
          <w:tab w:val="left" w:pos="0"/>
        </w:tabs>
        <w:rPr>
          <w:b/>
          <w:u w:val="single"/>
        </w:rPr>
      </w:pPr>
      <w:r w:rsidRPr="00405647">
        <w:rPr>
          <w:b/>
          <w:bCs/>
          <w:u w:val="single"/>
        </w:rPr>
        <w:t>Confidentiality of responses and safeguarding of data at NCHS</w:t>
      </w:r>
    </w:p>
    <w:p w:rsidR="001D0C54" w:rsidP="00602983" w14:paraId="4288FBE2" w14:textId="77777777">
      <w:pPr>
        <w:pStyle w:val="QuickFormat6"/>
        <w:widowControl/>
        <w:tabs>
          <w:tab w:val="left" w:pos="-324"/>
          <w:tab w:val="left" w:pos="0"/>
          <w:tab w:val="left" w:pos="3420"/>
        </w:tabs>
        <w:rPr>
          <w:rFonts w:ascii="Times New Roman" w:hAnsi="Times New Roman"/>
        </w:rPr>
      </w:pPr>
    </w:p>
    <w:p w:rsidR="00602983" w:rsidRPr="00405647" w:rsidP="00602983" w14:paraId="360168C3" w14:textId="1C33D3FC">
      <w:pPr>
        <w:pStyle w:val="QuickFormat6"/>
        <w:widowControl/>
        <w:tabs>
          <w:tab w:val="left" w:pos="-324"/>
          <w:tab w:val="left" w:pos="0"/>
          <w:tab w:val="left" w:pos="3420"/>
        </w:tabs>
        <w:rPr>
          <w:rFonts w:ascii="Times New Roman" w:hAnsi="Times New Roman"/>
        </w:rPr>
      </w:pPr>
      <w:r w:rsidRPr="00405647">
        <w:rPr>
          <w:rFonts w:ascii="Times New Roman" w:hAnsi="Times New Roman"/>
        </w:rPr>
        <w:t>The CCQDER has a routine set of administrative, technical, and physical measures to safeguard confidentiality. Specific protocol for storage of confidential data, QDRL Lab, Q-video, Q-Notes, and Q-Bank access is described in CCQDER’s generic clearance package. (OMB No. 0920-0222, exp. 01/31/2026)</w:t>
      </w:r>
      <w:r w:rsidR="001D0C54">
        <w:rPr>
          <w:rFonts w:ascii="Times New Roman" w:hAnsi="Times New Roman"/>
        </w:rPr>
        <w:t>.</w:t>
      </w:r>
      <w:r w:rsidRPr="00405647">
        <w:rPr>
          <w:rFonts w:ascii="Times New Roman" w:hAnsi="Times New Roman"/>
        </w:rPr>
        <w:t xml:space="preserve"> </w:t>
      </w:r>
    </w:p>
    <w:p w:rsidR="00602983" w:rsidRPr="00405647" w:rsidP="00602983" w14:paraId="6F1CC5D9" w14:textId="77777777">
      <w:pPr>
        <w:pStyle w:val="QuickFormat6"/>
        <w:widowControl/>
        <w:tabs>
          <w:tab w:val="left" w:pos="-324"/>
          <w:tab w:val="left" w:pos="0"/>
          <w:tab w:val="left" w:pos="3420"/>
        </w:tabs>
        <w:rPr>
          <w:rFonts w:ascii="Times New Roman" w:hAnsi="Times New Roman"/>
        </w:rPr>
      </w:pPr>
    </w:p>
    <w:p w:rsidR="00602983" w:rsidRPr="00405647" w:rsidP="00602983" w14:paraId="3DDEFAD6" w14:textId="77777777">
      <w:pPr>
        <w:contextualSpacing/>
        <w:rPr>
          <w:b/>
          <w:u w:val="single"/>
        </w:rPr>
      </w:pPr>
      <w:r w:rsidRPr="00405647">
        <w:rPr>
          <w:b/>
          <w:u w:val="single"/>
        </w:rPr>
        <w:t>Records Retention Schedule for Cognitive Interviews</w:t>
      </w:r>
    </w:p>
    <w:p w:rsidR="00602983" w:rsidRPr="00405647" w:rsidP="00602983" w14:paraId="2E49B7E3" w14:textId="77777777">
      <w:pPr>
        <w:pStyle w:val="QuickFormat6"/>
        <w:widowControl/>
        <w:tabs>
          <w:tab w:val="left" w:pos="-324"/>
          <w:tab w:val="left" w:pos="0"/>
          <w:tab w:val="left" w:pos="3420"/>
        </w:tabs>
        <w:rPr>
          <w:rFonts w:ascii="Times New Roman" w:hAnsi="Times New Roman"/>
        </w:rPr>
      </w:pPr>
    </w:p>
    <w:p w:rsidR="00721E0F" w:rsidRPr="00405647" w:rsidP="00721E0F" w14:paraId="7BC2B91C" w14:textId="6A98F37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sidRPr="00405647">
        <w:t xml:space="preserve">Storage and retention of CCQDER data is guided by the CCQDER Data Storage and Access </w:t>
      </w:r>
      <w:r w:rsidR="004A4524">
        <w:t xml:space="preserve">Storage and retention of CCQDER data is guided by the CCQDER Data Storage and Access Policy which governs retention of interviews, their viewing audience, the data kept, and the length of time before retention of interviews is reassessed. The Data Storage and Access Policy has been approved by the NCHS ERB and is included in CCQDER’s generic OMB package. In accordance with this policy, data from the current project will be re-evaluated by the CCQDER Director to determine relevance, ongoing </w:t>
      </w:r>
      <w:r w:rsidR="004A4524">
        <w:t>usefulness</w:t>
      </w:r>
      <w:r w:rsidR="004A4524">
        <w:t xml:space="preserve"> and qualitative value for likely use in question evaluation research after an initial retention period of</w:t>
      </w:r>
      <w:r w:rsidR="00536983">
        <w:t xml:space="preserve"> 2 years. </w:t>
      </w:r>
      <w:r w:rsidR="00CA3AC2">
        <w:t xml:space="preserve">The information of individuals who did not qualify for the study and opt into our respondent database will be kept </w:t>
      </w:r>
      <w:r w:rsidR="00CA3AC2">
        <w:t xml:space="preserve">for </w:t>
      </w:r>
      <w:r w:rsidR="00536983">
        <w:t>2</w:t>
      </w:r>
      <w:r w:rsidR="00CA3AC2">
        <w:t xml:space="preserve"> years</w:t>
      </w:r>
      <w:r>
        <w:t>. Removal from our database can be requested by emailing recruitmentteam@cdc.gov.</w:t>
      </w:r>
    </w:p>
    <w:p w:rsidR="00602983" w:rsidP="00602983" w14:paraId="3CF4F82C"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rsidR="000745C8" w:rsidRPr="00405647" w:rsidP="00602983" w14:paraId="17D18519"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rsidR="00602983" w:rsidRPr="00405647" w:rsidP="00602983" w14:paraId="1CE1881A" w14:textId="77777777">
      <w:pPr>
        <w:widowControl/>
        <w:tabs>
          <w:tab w:val="left" w:pos="0"/>
        </w:tabs>
        <w:ind w:left="720" w:hanging="720"/>
        <w:rPr>
          <w:b/>
          <w:bCs/>
        </w:rPr>
      </w:pPr>
    </w:p>
    <w:p w:rsidR="00602983" w:rsidRPr="00405647" w:rsidP="00602983" w14:paraId="132F184D" w14:textId="77777777">
      <w:pPr>
        <w:widowControl/>
        <w:tabs>
          <w:tab w:val="left" w:pos="0"/>
        </w:tabs>
        <w:ind w:left="720" w:hanging="720"/>
      </w:pPr>
      <w:r w:rsidRPr="00405647">
        <w:rPr>
          <w:b/>
          <w:bCs/>
        </w:rPr>
        <w:t>11.</w:t>
      </w:r>
      <w:r w:rsidRPr="00405647">
        <w:rPr>
          <w:b/>
          <w:bCs/>
        </w:rPr>
        <w:tab/>
        <w:t>Institutional Review Board (IRB) and Justification for Sensitive Questions</w:t>
      </w:r>
    </w:p>
    <w:p w:rsidR="00602983" w:rsidRPr="00405647" w:rsidP="00602983" w14:paraId="10C4070F" w14:textId="77777777">
      <w:pPr>
        <w:widowControl/>
        <w:tabs>
          <w:tab w:val="left" w:pos="0"/>
        </w:tabs>
      </w:pPr>
    </w:p>
    <w:p w:rsidR="004A4524" w:rsidP="004A4524" w14:paraId="45895829" w14:textId="543A8379">
      <w:pPr>
        <w:widowControl/>
        <w:tabs>
          <w:tab w:val="left" w:pos="0"/>
        </w:tabs>
      </w:pPr>
      <w:r w:rsidRPr="00405647">
        <w:t xml:space="preserve">NCHS </w:t>
      </w:r>
      <w:r w:rsidR="00877531">
        <w:t>and CDC Institutional</w:t>
      </w:r>
      <w:r w:rsidRPr="00405647">
        <w:t xml:space="preserve"> Review Board (</w:t>
      </w:r>
      <w:r w:rsidR="00877531">
        <w:t>I</w:t>
      </w:r>
      <w:r w:rsidRPr="00405647">
        <w:t xml:space="preserve">RB) approved this data collection </w:t>
      </w:r>
      <w:r w:rsidRPr="001A3277">
        <w:t xml:space="preserve">on </w:t>
      </w:r>
      <w:r w:rsidRPr="001A3277" w:rsidR="00F70249">
        <w:t>07</w:t>
      </w:r>
      <w:r w:rsidRPr="001A3277">
        <w:t>/</w:t>
      </w:r>
      <w:r w:rsidRPr="001A3277" w:rsidR="00F70249">
        <w:t>08</w:t>
      </w:r>
      <w:r w:rsidRPr="001A3277">
        <w:t>/20</w:t>
      </w:r>
      <w:r w:rsidRPr="001A3277" w:rsidR="004E4C97">
        <w:t>24</w:t>
      </w:r>
      <w:r w:rsidRPr="001A3277">
        <w:t>.</w:t>
      </w:r>
    </w:p>
    <w:p w:rsidR="002B619B" w:rsidP="00602983" w14:paraId="7292A63B" w14:textId="77777777">
      <w:pPr>
        <w:widowControl/>
        <w:tabs>
          <w:tab w:val="left" w:pos="0"/>
        </w:tabs>
        <w:rPr>
          <w:b/>
          <w:bCs/>
        </w:rPr>
      </w:pPr>
    </w:p>
    <w:p w:rsidR="00602983" w:rsidP="00602983" w14:paraId="6D96AA4C" w14:textId="03D7382C">
      <w:pPr>
        <w:widowControl/>
        <w:tabs>
          <w:tab w:val="left" w:pos="0"/>
        </w:tabs>
        <w:rPr>
          <w:b/>
          <w:bCs/>
        </w:rPr>
      </w:pPr>
      <w:r w:rsidRPr="00405647">
        <w:rPr>
          <w:b/>
          <w:bCs/>
        </w:rPr>
        <w:t xml:space="preserve">12.  Estimates of Annualized Burden hours and costs </w:t>
      </w:r>
    </w:p>
    <w:p w:rsidR="00F2015F" w:rsidP="00602983" w14:paraId="52D91826" w14:textId="77777777">
      <w:pPr>
        <w:widowControl/>
        <w:tabs>
          <w:tab w:val="left" w:pos="0"/>
        </w:tabs>
        <w:rPr>
          <w:b/>
          <w:bCs/>
        </w:rPr>
      </w:pPr>
    </w:p>
    <w:p w:rsidR="00F2015F" w:rsidRPr="00F2015F" w:rsidP="00602983" w14:paraId="6EF1A89E" w14:textId="5C13FA7C">
      <w:pPr>
        <w:widowControl/>
        <w:tabs>
          <w:tab w:val="left" w:pos="0"/>
        </w:tabs>
      </w:pPr>
      <w:r w:rsidRPr="00F2015F">
        <w:t>In January 2023, OMB approved 71,925 total number of respondents and 21,</w:t>
      </w:r>
      <w:r w:rsidR="008313A4">
        <w:t>905</w:t>
      </w:r>
      <w:r w:rsidRPr="00F2015F">
        <w:t xml:space="preserve"> total burden hours.  This </w:t>
      </w:r>
      <w:r w:rsidRPr="00F2015F">
        <w:t>GenIC</w:t>
      </w:r>
      <w:r w:rsidRPr="00F2015F">
        <w:t xml:space="preserve"> NCHS is requesting</w:t>
      </w:r>
      <w:r w:rsidR="001E778E">
        <w:t xml:space="preserve"> </w:t>
      </w:r>
      <w:r w:rsidR="001D0C54">
        <w:t>60</w:t>
      </w:r>
      <w:r w:rsidRPr="00F2015F">
        <w:t xml:space="preserve"> respondents and </w:t>
      </w:r>
      <w:r w:rsidR="00095CF9">
        <w:t>3</w:t>
      </w:r>
      <w:r w:rsidR="001D0C54">
        <w:t>5</w:t>
      </w:r>
      <w:r w:rsidRPr="00F2015F">
        <w:t xml:space="preserve"> burden hours.</w:t>
      </w:r>
    </w:p>
    <w:p w:rsidR="00602983" w:rsidRPr="00405647" w:rsidP="00602983" w14:paraId="2DA24DAC" w14:textId="77777777">
      <w:pPr>
        <w:pStyle w:val="HTMLPreformatted"/>
        <w:tabs>
          <w:tab w:val="left" w:pos="720"/>
        </w:tabs>
        <w:spacing w:line="360" w:lineRule="auto"/>
        <w:rPr>
          <w:sz w:val="24"/>
          <w:szCs w:val="24"/>
        </w:rPr>
      </w:pPr>
    </w:p>
    <w:p w:rsidR="00602983" w:rsidRPr="00405647" w:rsidP="00602983" w14:paraId="468A9DAB" w14:textId="362EA90C">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u w:val="single"/>
        </w:rPr>
      </w:pPr>
      <w:r w:rsidRPr="0096674C">
        <w:rPr>
          <w:u w:val="single"/>
        </w:rPr>
        <w:t xml:space="preserve">Table 2:  Burden table for </w:t>
      </w:r>
      <w:r w:rsidR="001D0C54">
        <w:rPr>
          <w:u w:val="single"/>
        </w:rPr>
        <w:t>Cognitive Decline</w:t>
      </w:r>
      <w:r w:rsidRPr="0096674C">
        <w:rPr>
          <w:u w:val="single"/>
        </w:rPr>
        <w:t>:</w:t>
      </w:r>
    </w:p>
    <w:p w:rsidR="00602983" w:rsidRPr="00405647" w:rsidP="00602983" w14:paraId="4ECF8F53" w14:textId="77777777">
      <w:pPr>
        <w:ind w:left="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7"/>
        <w:gridCol w:w="1688"/>
        <w:gridCol w:w="2590"/>
        <w:gridCol w:w="1461"/>
        <w:gridCol w:w="1504"/>
      </w:tblGrid>
      <w:tr w14:paraId="6065C7E7" w14:textId="77777777" w:rsidTr="00043F1F">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70" w:type="dxa"/>
            <w:shd w:val="clear" w:color="auto" w:fill="auto"/>
          </w:tcPr>
          <w:p w:rsidR="00602983" w:rsidRPr="00405647" w:rsidP="00043F1F" w14:paraId="0BBA33B4" w14:textId="77777777">
            <w:pPr>
              <w:rPr>
                <w:rFonts w:cs="Angsana New"/>
                <w:b/>
                <w:sz w:val="22"/>
                <w:szCs w:val="22"/>
              </w:rPr>
            </w:pPr>
            <w:r w:rsidRPr="00405647">
              <w:rPr>
                <w:rFonts w:cs="Angsana New"/>
                <w:b/>
                <w:sz w:val="22"/>
                <w:szCs w:val="22"/>
              </w:rPr>
              <w:t>Form Name</w:t>
            </w:r>
          </w:p>
        </w:tc>
        <w:tc>
          <w:tcPr>
            <w:tcW w:w="1833" w:type="dxa"/>
            <w:shd w:val="clear" w:color="auto" w:fill="auto"/>
          </w:tcPr>
          <w:p w:rsidR="00602983" w:rsidRPr="00405647" w:rsidP="00043F1F" w14:paraId="015E3DFC" w14:textId="77777777">
            <w:pPr>
              <w:rPr>
                <w:rFonts w:cs="Angsana New"/>
                <w:b/>
              </w:rPr>
            </w:pPr>
            <w:r w:rsidRPr="00405647">
              <w:rPr>
                <w:rFonts w:cs="Angsana New"/>
                <w:b/>
              </w:rPr>
              <w:t>Number of Participants</w:t>
            </w:r>
          </w:p>
        </w:tc>
        <w:tc>
          <w:tcPr>
            <w:tcW w:w="2590" w:type="dxa"/>
            <w:shd w:val="clear" w:color="auto" w:fill="auto"/>
          </w:tcPr>
          <w:p w:rsidR="00602983" w:rsidRPr="00405647" w:rsidP="00043F1F" w14:paraId="177CABDD" w14:textId="77777777">
            <w:pPr>
              <w:rPr>
                <w:rFonts w:cs="Angsana New"/>
                <w:b/>
              </w:rPr>
            </w:pPr>
            <w:r w:rsidRPr="00405647">
              <w:rPr>
                <w:rFonts w:cs="Angsana New"/>
                <w:b/>
              </w:rPr>
              <w:t>Number of Responses/Participants</w:t>
            </w:r>
          </w:p>
        </w:tc>
        <w:tc>
          <w:tcPr>
            <w:tcW w:w="1695" w:type="dxa"/>
            <w:shd w:val="clear" w:color="auto" w:fill="auto"/>
          </w:tcPr>
          <w:p w:rsidR="00602983" w:rsidRPr="00405647" w:rsidP="00043F1F" w14:paraId="24DA036C" w14:textId="77777777">
            <w:pPr>
              <w:rPr>
                <w:rFonts w:cs="Angsana New"/>
                <w:b/>
              </w:rPr>
            </w:pPr>
            <w:r w:rsidRPr="00405647">
              <w:rPr>
                <w:rFonts w:cs="Angsana New"/>
                <w:b/>
              </w:rPr>
              <w:t>Average hours per response</w:t>
            </w:r>
          </w:p>
        </w:tc>
        <w:tc>
          <w:tcPr>
            <w:tcW w:w="1722" w:type="dxa"/>
            <w:shd w:val="clear" w:color="auto" w:fill="auto"/>
          </w:tcPr>
          <w:p w:rsidR="00602983" w:rsidRPr="00405647" w:rsidP="00043F1F" w14:paraId="5AC205CF" w14:textId="77777777">
            <w:pPr>
              <w:rPr>
                <w:rFonts w:cs="Angsana New"/>
                <w:b/>
              </w:rPr>
            </w:pPr>
            <w:r w:rsidRPr="00405647">
              <w:rPr>
                <w:rFonts w:cs="Angsana New"/>
                <w:b/>
              </w:rPr>
              <w:t>Response Burden (in hours)</w:t>
            </w:r>
          </w:p>
        </w:tc>
      </w:tr>
      <w:tr w14:paraId="1F1948F7" w14:textId="77777777" w:rsidTr="00043F1F">
        <w:tblPrEx>
          <w:tblW w:w="0" w:type="auto"/>
          <w:tblInd w:w="360" w:type="dxa"/>
          <w:tblLook w:val="04A0"/>
        </w:tblPrEx>
        <w:tc>
          <w:tcPr>
            <w:tcW w:w="1870" w:type="dxa"/>
            <w:shd w:val="clear" w:color="auto" w:fill="auto"/>
          </w:tcPr>
          <w:p w:rsidR="00602983" w:rsidRPr="00405647" w:rsidP="00043F1F" w14:paraId="3BB2C814" w14:textId="2AB8AED7">
            <w:pPr>
              <w:rPr>
                <w:rFonts w:cs="Angsana New"/>
              </w:rPr>
            </w:pPr>
            <w:r w:rsidRPr="00405647">
              <w:rPr>
                <w:rFonts w:cs="Angsana New"/>
              </w:rPr>
              <w:t xml:space="preserve">Screener (all recruitment methods as described above (Attachment </w:t>
            </w:r>
            <w:r w:rsidR="001703B4">
              <w:rPr>
                <w:rFonts w:cs="Angsana New"/>
              </w:rPr>
              <w:t>4</w:t>
            </w:r>
            <w:r w:rsidRPr="00405647">
              <w:rPr>
                <w:rFonts w:cs="Angsana New"/>
              </w:rPr>
              <w:t>)</w:t>
            </w:r>
          </w:p>
        </w:tc>
        <w:tc>
          <w:tcPr>
            <w:tcW w:w="1833" w:type="dxa"/>
            <w:shd w:val="clear" w:color="auto" w:fill="auto"/>
          </w:tcPr>
          <w:p w:rsidR="00602983" w:rsidRPr="00405647" w:rsidP="00043F1F" w14:paraId="54B274F7" w14:textId="6A49F818">
            <w:pPr>
              <w:rPr>
                <w:rFonts w:cs="Angsana New"/>
              </w:rPr>
            </w:pPr>
            <w:r>
              <w:rPr>
                <w:rFonts w:cs="Angsana New"/>
              </w:rPr>
              <w:t>60</w:t>
            </w:r>
          </w:p>
        </w:tc>
        <w:tc>
          <w:tcPr>
            <w:tcW w:w="2590" w:type="dxa"/>
            <w:shd w:val="clear" w:color="auto" w:fill="auto"/>
          </w:tcPr>
          <w:p w:rsidR="00602983" w:rsidRPr="00405647" w:rsidP="00043F1F" w14:paraId="5D3E0F6E" w14:textId="1359B43C">
            <w:pPr>
              <w:rPr>
                <w:rFonts w:cs="Angsana New"/>
              </w:rPr>
            </w:pPr>
            <w:r>
              <w:rPr>
                <w:rFonts w:cs="Angsana New"/>
              </w:rPr>
              <w:t>1</w:t>
            </w:r>
          </w:p>
        </w:tc>
        <w:tc>
          <w:tcPr>
            <w:tcW w:w="1695" w:type="dxa"/>
            <w:shd w:val="clear" w:color="auto" w:fill="auto"/>
          </w:tcPr>
          <w:p w:rsidR="00602983" w:rsidRPr="00405647" w:rsidP="00043F1F" w14:paraId="30E2D7C9" w14:textId="2224F0F7">
            <w:pPr>
              <w:rPr>
                <w:rFonts w:cs="Angsana New"/>
              </w:rPr>
            </w:pPr>
            <w:r>
              <w:rPr>
                <w:rFonts w:cs="Angsana New"/>
              </w:rPr>
              <w:t>5/</w:t>
            </w:r>
            <w:r w:rsidR="001703CB">
              <w:rPr>
                <w:rFonts w:cs="Angsana New"/>
              </w:rPr>
              <w:t>60</w:t>
            </w:r>
          </w:p>
        </w:tc>
        <w:tc>
          <w:tcPr>
            <w:tcW w:w="1722" w:type="dxa"/>
            <w:shd w:val="clear" w:color="auto" w:fill="auto"/>
          </w:tcPr>
          <w:p w:rsidR="00602983" w:rsidRPr="00405647" w:rsidP="00043F1F" w14:paraId="097D1848" w14:textId="1E79FBF2">
            <w:pPr>
              <w:rPr>
                <w:rFonts w:cs="Angsana New"/>
              </w:rPr>
            </w:pPr>
            <w:r>
              <w:rPr>
                <w:rFonts w:cs="Angsana New"/>
              </w:rPr>
              <w:t>5</w:t>
            </w:r>
          </w:p>
        </w:tc>
      </w:tr>
      <w:tr w14:paraId="30F08CEB" w14:textId="77777777" w:rsidTr="00043F1F">
        <w:tblPrEx>
          <w:tblW w:w="0" w:type="auto"/>
          <w:tblInd w:w="360" w:type="dxa"/>
          <w:tblLook w:val="04A0"/>
        </w:tblPrEx>
        <w:tc>
          <w:tcPr>
            <w:tcW w:w="1870" w:type="dxa"/>
            <w:shd w:val="clear" w:color="auto" w:fill="auto"/>
          </w:tcPr>
          <w:p w:rsidR="00602983" w:rsidRPr="00405647" w:rsidP="00043F1F" w14:paraId="2810F829" w14:textId="77777777">
            <w:pPr>
              <w:rPr>
                <w:rFonts w:cs="Angsana New"/>
              </w:rPr>
            </w:pPr>
            <w:r w:rsidRPr="00405647">
              <w:rPr>
                <w:rFonts w:cs="Angsana New"/>
              </w:rPr>
              <w:t>Questionnaire</w:t>
            </w:r>
          </w:p>
        </w:tc>
        <w:tc>
          <w:tcPr>
            <w:tcW w:w="1833" w:type="dxa"/>
            <w:shd w:val="clear" w:color="auto" w:fill="auto"/>
          </w:tcPr>
          <w:p w:rsidR="00602983" w:rsidRPr="00405647" w:rsidP="00043F1F" w14:paraId="2E0CFADD" w14:textId="41E0AEF5">
            <w:pPr>
              <w:rPr>
                <w:rFonts w:cs="Angsana New"/>
              </w:rPr>
            </w:pPr>
            <w:r>
              <w:rPr>
                <w:rFonts w:cs="Angsana New"/>
              </w:rPr>
              <w:t>30</w:t>
            </w:r>
          </w:p>
        </w:tc>
        <w:tc>
          <w:tcPr>
            <w:tcW w:w="2590" w:type="dxa"/>
            <w:shd w:val="clear" w:color="auto" w:fill="auto"/>
          </w:tcPr>
          <w:p w:rsidR="00602983" w:rsidRPr="00405647" w:rsidP="00043F1F" w14:paraId="4300AC14" w14:textId="63A4D36E">
            <w:pPr>
              <w:rPr>
                <w:rFonts w:cs="Angsana New"/>
              </w:rPr>
            </w:pPr>
            <w:r>
              <w:rPr>
                <w:rFonts w:cs="Angsana New"/>
              </w:rPr>
              <w:t>1</w:t>
            </w:r>
          </w:p>
        </w:tc>
        <w:tc>
          <w:tcPr>
            <w:tcW w:w="1695" w:type="dxa"/>
            <w:shd w:val="clear" w:color="auto" w:fill="auto"/>
          </w:tcPr>
          <w:p w:rsidR="00602983" w:rsidRPr="00405647" w:rsidP="00043F1F" w14:paraId="0BD65329" w14:textId="20DA9342">
            <w:pPr>
              <w:rPr>
                <w:rFonts w:cs="Angsana New"/>
              </w:rPr>
            </w:pPr>
            <w:r>
              <w:rPr>
                <w:rFonts w:cs="Angsana New"/>
              </w:rPr>
              <w:t>55/60</w:t>
            </w:r>
          </w:p>
        </w:tc>
        <w:tc>
          <w:tcPr>
            <w:tcW w:w="1722" w:type="dxa"/>
            <w:shd w:val="clear" w:color="auto" w:fill="auto"/>
          </w:tcPr>
          <w:p w:rsidR="00602983" w:rsidRPr="00405647" w:rsidP="00043F1F" w14:paraId="384101D8" w14:textId="5C7A8DBC">
            <w:pPr>
              <w:rPr>
                <w:rFonts w:cs="Angsana New"/>
              </w:rPr>
            </w:pPr>
            <w:r>
              <w:rPr>
                <w:rFonts w:cs="Angsana New"/>
              </w:rPr>
              <w:t>27.5</w:t>
            </w:r>
          </w:p>
        </w:tc>
      </w:tr>
      <w:tr w14:paraId="1998BBAA" w14:textId="77777777" w:rsidTr="00043F1F">
        <w:tblPrEx>
          <w:tblW w:w="0" w:type="auto"/>
          <w:tblInd w:w="360" w:type="dxa"/>
          <w:tblLook w:val="04A0"/>
        </w:tblPrEx>
        <w:tc>
          <w:tcPr>
            <w:tcW w:w="1870" w:type="dxa"/>
            <w:shd w:val="clear" w:color="auto" w:fill="auto"/>
          </w:tcPr>
          <w:p w:rsidR="00602983" w:rsidRPr="00405647" w:rsidP="00043F1F" w14:paraId="175AD7DC" w14:textId="77777777">
            <w:pPr>
              <w:rPr>
                <w:rFonts w:cs="Angsana New"/>
              </w:rPr>
            </w:pPr>
            <w:r w:rsidRPr="00405647">
              <w:rPr>
                <w:rFonts w:cs="Angsana New"/>
              </w:rPr>
              <w:t xml:space="preserve">Respondent Data Collection Sheets </w:t>
            </w:r>
          </w:p>
        </w:tc>
        <w:tc>
          <w:tcPr>
            <w:tcW w:w="1833" w:type="dxa"/>
            <w:shd w:val="clear" w:color="auto" w:fill="auto"/>
          </w:tcPr>
          <w:p w:rsidR="00602983" w:rsidRPr="00405647" w:rsidP="00043F1F" w14:paraId="1317C726" w14:textId="261AA035">
            <w:pPr>
              <w:rPr>
                <w:rFonts w:cs="Angsana New"/>
              </w:rPr>
            </w:pPr>
            <w:r>
              <w:rPr>
                <w:rFonts w:cs="Angsana New"/>
              </w:rPr>
              <w:t>30</w:t>
            </w:r>
          </w:p>
        </w:tc>
        <w:tc>
          <w:tcPr>
            <w:tcW w:w="2590" w:type="dxa"/>
            <w:shd w:val="clear" w:color="auto" w:fill="auto"/>
          </w:tcPr>
          <w:p w:rsidR="00602983" w:rsidRPr="00405647" w:rsidP="00043F1F" w14:paraId="123FC770" w14:textId="6680E04D">
            <w:pPr>
              <w:rPr>
                <w:rFonts w:cs="Angsana New"/>
              </w:rPr>
            </w:pPr>
            <w:r>
              <w:rPr>
                <w:rFonts w:cs="Angsana New"/>
              </w:rPr>
              <w:t>1</w:t>
            </w:r>
          </w:p>
        </w:tc>
        <w:tc>
          <w:tcPr>
            <w:tcW w:w="1695" w:type="dxa"/>
            <w:shd w:val="clear" w:color="auto" w:fill="auto"/>
          </w:tcPr>
          <w:p w:rsidR="00602983" w:rsidRPr="00405647" w:rsidP="00043F1F" w14:paraId="33D2C3DE" w14:textId="5C3407C8">
            <w:pPr>
              <w:rPr>
                <w:rFonts w:cs="Angsana New"/>
              </w:rPr>
            </w:pPr>
            <w:r>
              <w:rPr>
                <w:rFonts w:cs="Angsana New"/>
              </w:rPr>
              <w:t>5/60</w:t>
            </w:r>
          </w:p>
        </w:tc>
        <w:tc>
          <w:tcPr>
            <w:tcW w:w="1722" w:type="dxa"/>
            <w:shd w:val="clear" w:color="auto" w:fill="auto"/>
          </w:tcPr>
          <w:p w:rsidR="00602983" w:rsidRPr="00405647" w:rsidP="00043F1F" w14:paraId="37B0ED9F" w14:textId="2866C688">
            <w:pPr>
              <w:rPr>
                <w:rFonts w:cs="Angsana New"/>
              </w:rPr>
            </w:pPr>
            <w:r>
              <w:rPr>
                <w:rFonts w:cs="Angsana New"/>
              </w:rPr>
              <w:t>2.5</w:t>
            </w:r>
          </w:p>
        </w:tc>
      </w:tr>
      <w:tr w14:paraId="0147F6BD" w14:textId="77777777" w:rsidTr="00043F1F">
        <w:tblPrEx>
          <w:tblW w:w="0" w:type="auto"/>
          <w:tblInd w:w="360" w:type="dxa"/>
          <w:tblLook w:val="04A0"/>
        </w:tblPrEx>
        <w:tc>
          <w:tcPr>
            <w:tcW w:w="1870" w:type="dxa"/>
            <w:shd w:val="clear" w:color="auto" w:fill="auto"/>
          </w:tcPr>
          <w:p w:rsidR="00602983" w:rsidRPr="00405647" w:rsidP="00043F1F" w14:paraId="13642680" w14:textId="77777777">
            <w:pPr>
              <w:rPr>
                <w:rFonts w:cs="Angsana New"/>
              </w:rPr>
            </w:pPr>
            <w:r w:rsidRPr="00405647">
              <w:rPr>
                <w:rFonts w:cs="Angsana New"/>
              </w:rPr>
              <w:t>Total</w:t>
            </w:r>
          </w:p>
        </w:tc>
        <w:tc>
          <w:tcPr>
            <w:tcW w:w="1833" w:type="dxa"/>
            <w:shd w:val="clear" w:color="auto" w:fill="auto"/>
          </w:tcPr>
          <w:p w:rsidR="00602983" w:rsidRPr="00405647" w:rsidP="00043F1F" w14:paraId="0425C9C1" w14:textId="60B21EED">
            <w:pPr>
              <w:rPr>
                <w:rFonts w:cs="Angsana New"/>
              </w:rPr>
            </w:pPr>
            <w:r>
              <w:rPr>
                <w:rFonts w:cs="Angsana New"/>
              </w:rPr>
              <w:t>60</w:t>
            </w:r>
          </w:p>
        </w:tc>
        <w:tc>
          <w:tcPr>
            <w:tcW w:w="2590" w:type="dxa"/>
            <w:shd w:val="clear" w:color="auto" w:fill="auto"/>
          </w:tcPr>
          <w:p w:rsidR="00602983" w:rsidRPr="00405647" w:rsidP="00043F1F" w14:paraId="38B9AF01" w14:textId="77777777">
            <w:pPr>
              <w:rPr>
                <w:rFonts w:cs="Angsana New"/>
              </w:rPr>
            </w:pPr>
          </w:p>
        </w:tc>
        <w:tc>
          <w:tcPr>
            <w:tcW w:w="1695" w:type="dxa"/>
            <w:shd w:val="clear" w:color="auto" w:fill="auto"/>
          </w:tcPr>
          <w:p w:rsidR="00602983" w:rsidRPr="00405647" w:rsidP="00043F1F" w14:paraId="467B948D" w14:textId="77777777">
            <w:pPr>
              <w:rPr>
                <w:rFonts w:cs="Angsana New"/>
              </w:rPr>
            </w:pPr>
          </w:p>
        </w:tc>
        <w:tc>
          <w:tcPr>
            <w:tcW w:w="1722" w:type="dxa"/>
            <w:shd w:val="clear" w:color="auto" w:fill="auto"/>
          </w:tcPr>
          <w:p w:rsidR="00602983" w:rsidRPr="00EF37A9" w:rsidP="00043F1F" w14:paraId="0DFEC13D" w14:textId="4D8F7749">
            <w:pPr>
              <w:rPr>
                <w:rFonts w:cs="Angsana New"/>
              </w:rPr>
            </w:pPr>
            <w:r>
              <w:rPr>
                <w:rFonts w:cs="Angsana New"/>
              </w:rPr>
              <w:t>3</w:t>
            </w:r>
            <w:r w:rsidR="001D0C54">
              <w:rPr>
                <w:rFonts w:cs="Angsana New"/>
              </w:rPr>
              <w:t>5</w:t>
            </w:r>
          </w:p>
        </w:tc>
      </w:tr>
    </w:tbl>
    <w:p w:rsidR="00602983" w:rsidP="00602983" w14:paraId="40D15F44" w14:textId="77777777"/>
    <w:p w:rsidR="00755641" w14:paraId="2FD89FA9" w14:textId="77777777"/>
    <w:sectPr w:rsidSect="00CE6F6E">
      <w:footerReference w:type="default" r:id="rId5"/>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5148610"/>
      <w:docPartObj>
        <w:docPartGallery w:val="Page Numbers (Bottom of Page)"/>
        <w:docPartUnique/>
      </w:docPartObj>
    </w:sdtPr>
    <w:sdtEndPr>
      <w:rPr>
        <w:noProof/>
      </w:rPr>
    </w:sdtEndPr>
    <w:sdtContent>
      <w:p w:rsidR="00CE6F6E" w14:paraId="2724CD43" w14:textId="364F07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E6F6E" w14:paraId="67AB38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0922" w:rsidP="002C01E0" w14:paraId="00837B24" w14:textId="77777777">
      <w:r>
        <w:separator/>
      </w:r>
    </w:p>
  </w:footnote>
  <w:footnote w:type="continuationSeparator" w:id="1">
    <w:p w:rsidR="00DA0922" w:rsidP="002C01E0" w14:paraId="5CD9B512" w14:textId="77777777">
      <w:r>
        <w:continuationSeparator/>
      </w:r>
    </w:p>
  </w:footnote>
  <w:footnote w:id="2">
    <w:p w:rsidR="002C01E0" w:rsidRPr="00006707" w:rsidP="002C01E0" w14:paraId="6B5F4589" w14:textId="77777777">
      <w:pPr>
        <w:pStyle w:val="FootnoteText"/>
        <w:rPr>
          <w:rFonts w:ascii="Times New Roman" w:hAnsi="Times New Roman" w:cs="Times New Roman"/>
        </w:rPr>
      </w:pPr>
      <w:r w:rsidRPr="00006707">
        <w:rPr>
          <w:rStyle w:val="FootnoteReference"/>
          <w:rFonts w:ascii="Times New Roman" w:hAnsi="Times New Roman" w:cs="Times New Roman"/>
        </w:rPr>
        <w:footnoteRef/>
      </w:r>
      <w:r w:rsidRPr="00006707">
        <w:rPr>
          <w:rFonts w:ascii="Times New Roman" w:hAnsi="Times New Roman" w:cs="Times New Roman"/>
        </w:rPr>
        <w:t xml:space="preserve"> </w:t>
      </w:r>
      <w:hyperlink r:id="rId1" w:history="1">
        <w:r w:rsidRPr="00006707">
          <w:rPr>
            <w:rStyle w:val="Hyperlink"/>
            <w:rFonts w:ascii="Times New Roman" w:hAnsi="Times New Roman" w:cs="Times New Roman"/>
          </w:rPr>
          <w:t>Chronic Disease Center (NCCDPHP) | CDC</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5250178C"/>
    <w:multiLevelType w:val="hybridMultilevel"/>
    <w:tmpl w:val="E9DAFC52"/>
    <w:lvl w:ilvl="0">
      <w:start w:val="1"/>
      <w:numFmt w:val="upperLetter"/>
      <w:lvlText w:val="%1."/>
      <w:lvlJc w:val="left"/>
      <w:pPr>
        <w:ind w:left="720" w:hanging="360"/>
      </w:pPr>
      <w:rPr>
        <w:rFonts w:hint="default"/>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55527548">
    <w:abstractNumId w:val="0"/>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774717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83"/>
    <w:rsid w:val="00002DA0"/>
    <w:rsid w:val="000051F2"/>
    <w:rsid w:val="00006707"/>
    <w:rsid w:val="00043F1F"/>
    <w:rsid w:val="000534D8"/>
    <w:rsid w:val="000745C8"/>
    <w:rsid w:val="00095CF9"/>
    <w:rsid w:val="000D26E9"/>
    <w:rsid w:val="001703B4"/>
    <w:rsid w:val="001703CB"/>
    <w:rsid w:val="001A3277"/>
    <w:rsid w:val="001A46AA"/>
    <w:rsid w:val="001A609E"/>
    <w:rsid w:val="001C356E"/>
    <w:rsid w:val="001D0C54"/>
    <w:rsid w:val="001E778E"/>
    <w:rsid w:val="0029060A"/>
    <w:rsid w:val="002A6CAC"/>
    <w:rsid w:val="002B619B"/>
    <w:rsid w:val="002C01E0"/>
    <w:rsid w:val="002E49B3"/>
    <w:rsid w:val="00321789"/>
    <w:rsid w:val="00400FB8"/>
    <w:rsid w:val="004036E0"/>
    <w:rsid w:val="00405647"/>
    <w:rsid w:val="00406B58"/>
    <w:rsid w:val="00412AB4"/>
    <w:rsid w:val="00485F58"/>
    <w:rsid w:val="004A4524"/>
    <w:rsid w:val="004E4C97"/>
    <w:rsid w:val="004F3287"/>
    <w:rsid w:val="00536983"/>
    <w:rsid w:val="00583D1E"/>
    <w:rsid w:val="005F3FC9"/>
    <w:rsid w:val="00602983"/>
    <w:rsid w:val="00656CEB"/>
    <w:rsid w:val="006C7659"/>
    <w:rsid w:val="00706AE3"/>
    <w:rsid w:val="0071791B"/>
    <w:rsid w:val="00721E0F"/>
    <w:rsid w:val="00755641"/>
    <w:rsid w:val="007A7068"/>
    <w:rsid w:val="008256EC"/>
    <w:rsid w:val="008313A4"/>
    <w:rsid w:val="00836785"/>
    <w:rsid w:val="00877531"/>
    <w:rsid w:val="008A1F38"/>
    <w:rsid w:val="00902B38"/>
    <w:rsid w:val="00926E80"/>
    <w:rsid w:val="0096674C"/>
    <w:rsid w:val="0097388F"/>
    <w:rsid w:val="00A4000C"/>
    <w:rsid w:val="00A56A99"/>
    <w:rsid w:val="00AB7F14"/>
    <w:rsid w:val="00B04F77"/>
    <w:rsid w:val="00B305FA"/>
    <w:rsid w:val="00B45669"/>
    <w:rsid w:val="00B81F11"/>
    <w:rsid w:val="00BD7415"/>
    <w:rsid w:val="00C42AC1"/>
    <w:rsid w:val="00C71E7F"/>
    <w:rsid w:val="00CA3AC2"/>
    <w:rsid w:val="00CC484A"/>
    <w:rsid w:val="00CC7A5F"/>
    <w:rsid w:val="00CE6F6E"/>
    <w:rsid w:val="00D66E1D"/>
    <w:rsid w:val="00D9021A"/>
    <w:rsid w:val="00DA0922"/>
    <w:rsid w:val="00EA04DB"/>
    <w:rsid w:val="00EE0140"/>
    <w:rsid w:val="00EE059F"/>
    <w:rsid w:val="00EF37A9"/>
    <w:rsid w:val="00F2015F"/>
    <w:rsid w:val="00F27D12"/>
    <w:rsid w:val="00F70249"/>
    <w:rsid w:val="00FC45CB"/>
    <w:rsid w:val="00FD0B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423DA9"/>
  <w15:chartTrackingRefBased/>
  <w15:docId w15:val="{7EBAA69C-48D7-4EC0-A0E7-24307D07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2983"/>
    <w:pPr>
      <w:widowControl w:val="0"/>
      <w:autoSpaceDE w:val="0"/>
      <w:autoSpaceDN w:val="0"/>
      <w:adjustRightInd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602983"/>
    <w:pPr>
      <w:autoSpaceDE w:val="0"/>
      <w:autoSpaceDN w:val="0"/>
      <w:adjustRightInd w:val="0"/>
    </w:pPr>
    <w:rPr>
      <w:rFonts w:ascii="Arial" w:eastAsia="Times New Roman" w:hAnsi="Arial" w:cs="Times New Roman"/>
      <w:sz w:val="24"/>
      <w:szCs w:val="24"/>
    </w:rPr>
  </w:style>
  <w:style w:type="paragraph" w:styleId="HTMLPreformatted">
    <w:name w:val="HTML Preformatted"/>
    <w:basedOn w:val="Normal"/>
    <w:link w:val="HTMLPreformattedChar"/>
    <w:rsid w:val="006029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602983"/>
    <w:rPr>
      <w:rFonts w:ascii="Courier New" w:eastAsia="Times New Roman" w:hAnsi="Courier New" w:cs="Courier New"/>
      <w:sz w:val="20"/>
      <w:szCs w:val="20"/>
    </w:rPr>
  </w:style>
  <w:style w:type="paragraph" w:customStyle="1" w:styleId="QuickFormat6">
    <w:name w:val="QuickFormat6"/>
    <w:basedOn w:val="Normal"/>
    <w:rsid w:val="00602983"/>
    <w:rPr>
      <w:rFonts w:ascii="Courier" w:hAnsi="Courier"/>
      <w:color w:val="000000"/>
    </w:rPr>
  </w:style>
  <w:style w:type="character" w:styleId="CommentReference">
    <w:name w:val="annotation reference"/>
    <w:basedOn w:val="DefaultParagraphFont"/>
    <w:uiPriority w:val="99"/>
    <w:semiHidden/>
    <w:unhideWhenUsed/>
    <w:rsid w:val="00602983"/>
    <w:rPr>
      <w:sz w:val="16"/>
      <w:szCs w:val="16"/>
    </w:rPr>
  </w:style>
  <w:style w:type="paragraph" w:styleId="CommentText">
    <w:name w:val="annotation text"/>
    <w:basedOn w:val="Normal"/>
    <w:link w:val="CommentTextChar"/>
    <w:uiPriority w:val="99"/>
    <w:unhideWhenUsed/>
    <w:rsid w:val="00602983"/>
    <w:rPr>
      <w:sz w:val="20"/>
      <w:szCs w:val="20"/>
    </w:rPr>
  </w:style>
  <w:style w:type="character" w:customStyle="1" w:styleId="CommentTextChar">
    <w:name w:val="Comment Text Char"/>
    <w:basedOn w:val="DefaultParagraphFont"/>
    <w:link w:val="CommentText"/>
    <w:uiPriority w:val="99"/>
    <w:rsid w:val="00602983"/>
    <w:rPr>
      <w:rFonts w:ascii="Times New Roman" w:eastAsia="Times New Roman" w:hAnsi="Times New Roman" w:cs="Times New Roman"/>
      <w:sz w:val="20"/>
      <w:szCs w:val="20"/>
    </w:rPr>
  </w:style>
  <w:style w:type="paragraph" w:styleId="ListParagraph">
    <w:name w:val="List Paragraph"/>
    <w:basedOn w:val="Normal"/>
    <w:uiPriority w:val="34"/>
    <w:qFormat/>
    <w:rsid w:val="00602983"/>
    <w:pPr>
      <w:widowControl/>
      <w:autoSpaceDE/>
      <w:autoSpaceDN/>
      <w:adjustRightInd/>
      <w:ind w:left="720"/>
      <w:contextualSpacing/>
    </w:pPr>
    <w:rPr>
      <w:rFonts w:eastAsiaTheme="minorHAnsi"/>
      <w:lang w:eastAsia="zh-TW"/>
    </w:rPr>
  </w:style>
  <w:style w:type="paragraph" w:customStyle="1" w:styleId="Level1">
    <w:name w:val="Level 1"/>
    <w:basedOn w:val="Normal"/>
    <w:rsid w:val="00602983"/>
    <w:pPr>
      <w:numPr>
        <w:numId w:val="1"/>
      </w:numPr>
      <w:ind w:left="720" w:hanging="720"/>
      <w:outlineLvl w:val="0"/>
    </w:pPr>
  </w:style>
  <w:style w:type="paragraph" w:styleId="CommentSubject">
    <w:name w:val="annotation subject"/>
    <w:basedOn w:val="CommentText"/>
    <w:next w:val="CommentText"/>
    <w:link w:val="CommentSubjectChar"/>
    <w:uiPriority w:val="99"/>
    <w:semiHidden/>
    <w:unhideWhenUsed/>
    <w:rsid w:val="000051F2"/>
    <w:rPr>
      <w:b/>
      <w:bCs/>
    </w:rPr>
  </w:style>
  <w:style w:type="character" w:customStyle="1" w:styleId="CommentSubjectChar">
    <w:name w:val="Comment Subject Char"/>
    <w:basedOn w:val="CommentTextChar"/>
    <w:link w:val="CommentSubject"/>
    <w:uiPriority w:val="99"/>
    <w:semiHidden/>
    <w:rsid w:val="000051F2"/>
    <w:rPr>
      <w:rFonts w:ascii="Times New Roman" w:eastAsia="Times New Roman" w:hAnsi="Times New Roman" w:cs="Times New Roman"/>
      <w:b/>
      <w:bCs/>
      <w:sz w:val="20"/>
      <w:szCs w:val="20"/>
    </w:rPr>
  </w:style>
  <w:style w:type="paragraph" w:styleId="Revision">
    <w:name w:val="Revision"/>
    <w:hidden/>
    <w:uiPriority w:val="99"/>
    <w:semiHidden/>
    <w:rsid w:val="00EA04DB"/>
    <w:rPr>
      <w:rFonts w:ascii="Times New Roman" w:eastAsia="Times New Roman" w:hAnsi="Times New Roman" w:cs="Times New Roman"/>
      <w:sz w:val="24"/>
      <w:szCs w:val="24"/>
    </w:rPr>
  </w:style>
  <w:style w:type="character" w:customStyle="1" w:styleId="normaltextrun">
    <w:name w:val="normaltextrun"/>
    <w:basedOn w:val="DefaultParagraphFont"/>
    <w:rsid w:val="00706AE3"/>
  </w:style>
  <w:style w:type="paragraph" w:styleId="FootnoteText">
    <w:name w:val="footnote text"/>
    <w:basedOn w:val="Normal"/>
    <w:link w:val="FootnoteTextChar"/>
    <w:uiPriority w:val="99"/>
    <w:unhideWhenUsed/>
    <w:rsid w:val="002C01E0"/>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C01E0"/>
    <w:rPr>
      <w:sz w:val="20"/>
      <w:szCs w:val="20"/>
    </w:rPr>
  </w:style>
  <w:style w:type="character" w:styleId="FootnoteReference">
    <w:name w:val="footnote reference"/>
    <w:basedOn w:val="DefaultParagraphFont"/>
    <w:uiPriority w:val="99"/>
    <w:semiHidden/>
    <w:unhideWhenUsed/>
    <w:rsid w:val="002C01E0"/>
    <w:rPr>
      <w:vertAlign w:val="superscript"/>
    </w:rPr>
  </w:style>
  <w:style w:type="character" w:styleId="Hyperlink">
    <w:name w:val="Hyperlink"/>
    <w:basedOn w:val="DefaultParagraphFont"/>
    <w:uiPriority w:val="99"/>
    <w:unhideWhenUsed/>
    <w:rsid w:val="002C01E0"/>
    <w:rPr>
      <w:color w:val="0563C1" w:themeColor="hyperlink"/>
      <w:u w:val="single"/>
    </w:rPr>
  </w:style>
  <w:style w:type="paragraph" w:styleId="Header">
    <w:name w:val="header"/>
    <w:basedOn w:val="Normal"/>
    <w:link w:val="HeaderChar"/>
    <w:uiPriority w:val="99"/>
    <w:unhideWhenUsed/>
    <w:rsid w:val="00CE6F6E"/>
    <w:pPr>
      <w:tabs>
        <w:tab w:val="center" w:pos="4680"/>
        <w:tab w:val="right" w:pos="9360"/>
      </w:tabs>
    </w:pPr>
  </w:style>
  <w:style w:type="character" w:customStyle="1" w:styleId="HeaderChar">
    <w:name w:val="Header Char"/>
    <w:basedOn w:val="DefaultParagraphFont"/>
    <w:link w:val="Header"/>
    <w:uiPriority w:val="99"/>
    <w:rsid w:val="00CE6F6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6F6E"/>
    <w:pPr>
      <w:tabs>
        <w:tab w:val="center" w:pos="4680"/>
        <w:tab w:val="right" w:pos="9360"/>
      </w:tabs>
    </w:pPr>
  </w:style>
  <w:style w:type="character" w:customStyle="1" w:styleId="FooterChar">
    <w:name w:val="Footer Char"/>
    <w:basedOn w:val="DefaultParagraphFont"/>
    <w:link w:val="Footer"/>
    <w:uiPriority w:val="99"/>
    <w:rsid w:val="00CE6F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cdc.gov/chronicdisease/index.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Willson, Stephanie (CDC/IOD/OPHDST/NCHS)</dc:creator>
  <cp:lastModifiedBy>Titus, Amanda (CDC/IOD/OPHDST/NCHS)</cp:lastModifiedBy>
  <cp:revision>2</cp:revision>
  <dcterms:created xsi:type="dcterms:W3CDTF">2024-07-08T16:24:00Z</dcterms:created>
  <dcterms:modified xsi:type="dcterms:W3CDTF">2024-07-08T16:24:00Z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1a3df457-128e-49ed-b84e-55f79a318346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2023-11-07T19:53:07Z</vt:lpwstr>
  </property>
  <property fmtid="{D5CDD505-2E9C-101B-9397-08002B2CF9AE}" pid="8" name="MSIP_Label_7b94a7b8-f06c-4dfe-bdcc-9b548fd58c31_SiteId">
    <vt:lpwstr>9ce70869-60db-44fd-abe8-d2767077fc8f</vt:lpwstr>
  </property>
</Properties>
</file>