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5495" w:rsidRPr="006B1B24" w:rsidP="009D4218" w14:paraId="2EE70820"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bookmarkStart w:id="0" w:name="_Hlk129005571"/>
      <w:r w:rsidRPr="006B1B24">
        <w:rPr>
          <w:rFonts w:ascii="Times New Roman" w:hAnsi="Times New Roman"/>
          <w:color w:val="000000"/>
          <w:sz w:val="36"/>
          <w:szCs w:val="36"/>
        </w:rPr>
        <w:t xml:space="preserve">Supporting Statement </w:t>
      </w:r>
      <w:r w:rsidRPr="006B1B24" w:rsidR="00375FB8">
        <w:rPr>
          <w:rFonts w:ascii="Times New Roman" w:hAnsi="Times New Roman"/>
          <w:color w:val="000000"/>
          <w:sz w:val="36"/>
          <w:szCs w:val="36"/>
        </w:rPr>
        <w:t xml:space="preserve">A </w:t>
      </w:r>
      <w:r w:rsidRPr="006B1B24">
        <w:rPr>
          <w:rFonts w:ascii="Times New Roman" w:hAnsi="Times New Roman"/>
          <w:color w:val="000000"/>
          <w:sz w:val="36"/>
          <w:szCs w:val="36"/>
        </w:rPr>
        <w:t>for Request for Clearance:</w:t>
      </w:r>
    </w:p>
    <w:p w:rsidR="00545495" w:rsidRPr="006B1B24" w:rsidP="00317F8B" w14:paraId="702F733D" w14:textId="0C33F01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6B1B24">
        <w:rPr>
          <w:rFonts w:ascii="Times New Roman" w:hAnsi="Times New Roman"/>
          <w:b/>
          <w:color w:val="000000"/>
          <w:sz w:val="36"/>
          <w:szCs w:val="36"/>
        </w:rPr>
        <w:t>COLLABOR</w:t>
      </w:r>
      <w:r w:rsidRPr="006B1B24" w:rsidR="00AA68ED">
        <w:rPr>
          <w:rFonts w:ascii="Times New Roman" w:hAnsi="Times New Roman"/>
          <w:b/>
          <w:color w:val="000000"/>
          <w:sz w:val="36"/>
          <w:szCs w:val="36"/>
        </w:rPr>
        <w:t>AT</w:t>
      </w:r>
      <w:r w:rsidRPr="006B1B24">
        <w:rPr>
          <w:rFonts w:ascii="Times New Roman" w:hAnsi="Times New Roman"/>
          <w:b/>
          <w:color w:val="000000"/>
          <w:sz w:val="36"/>
          <w:szCs w:val="36"/>
        </w:rPr>
        <w:t xml:space="preserve">ING CENTER FOR QUESTIONNAIRE DESIGN AND EVALUATION </w:t>
      </w:r>
      <w:r w:rsidRPr="006B1B24" w:rsidR="00AA68ED">
        <w:rPr>
          <w:rFonts w:ascii="Times New Roman" w:hAnsi="Times New Roman"/>
          <w:b/>
          <w:color w:val="000000"/>
          <w:sz w:val="36"/>
          <w:szCs w:val="36"/>
        </w:rPr>
        <w:t>RESEARCH</w:t>
      </w:r>
    </w:p>
    <w:p w:rsidR="008306AA" w:rsidRPr="006B1B24" w:rsidP="00317F8B" w14:paraId="3F8DD2DB" w14:textId="3EDF001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8306AA" w:rsidRPr="006B1B24" w:rsidP="00317F8B" w14:paraId="0C14293D" w14:textId="14F63AE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36"/>
          <w:szCs w:val="36"/>
        </w:rPr>
      </w:pPr>
      <w:r w:rsidRPr="006B1B24">
        <w:rPr>
          <w:rFonts w:ascii="Times New Roman" w:hAnsi="Times New Roman"/>
          <w:b/>
          <w:bCs/>
          <w:sz w:val="36"/>
          <w:szCs w:val="36"/>
        </w:rPr>
        <w:t>Point of Care Checklist</w:t>
      </w:r>
      <w:r w:rsidRPr="006B1B24" w:rsidR="001A1FA7">
        <w:rPr>
          <w:rFonts w:ascii="Times New Roman" w:hAnsi="Times New Roman"/>
          <w:b/>
          <w:bCs/>
          <w:sz w:val="36"/>
          <w:szCs w:val="36"/>
        </w:rPr>
        <w:t xml:space="preserve"> Subproject 1: </w:t>
      </w:r>
      <w:r w:rsidRPr="006B1B24" w:rsidR="000D00E0">
        <w:rPr>
          <w:rFonts w:ascii="Times New Roman" w:hAnsi="Times New Roman"/>
          <w:b/>
          <w:bCs/>
          <w:sz w:val="36"/>
          <w:szCs w:val="36"/>
        </w:rPr>
        <w:t xml:space="preserve">Conducting in-depth interviews among those with intellectual and developmental disabilities </w:t>
      </w:r>
    </w:p>
    <w:p w:rsidR="000E0569" w:rsidRPr="006B1B24" w:rsidP="00317F8B" w14:paraId="211FB494" w14:textId="276DF3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rsidR="00545495" w:rsidRPr="006B1B24" w:rsidP="00317F8B" w14:paraId="585F4FF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6B1B24">
        <w:rPr>
          <w:rFonts w:ascii="Times New Roman" w:hAnsi="Times New Roman"/>
          <w:color w:val="000000"/>
          <w:sz w:val="36"/>
          <w:szCs w:val="36"/>
        </w:rPr>
        <w:t>OMB No. 0920-0222</w:t>
      </w:r>
    </w:p>
    <w:p w:rsidR="00545495" w:rsidRPr="006B1B24" w:rsidP="00317F8B" w14:paraId="5B8B3AB3" w14:textId="7C8F355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B1B24">
        <w:rPr>
          <w:rFonts w:ascii="Times New Roman" w:hAnsi="Times New Roman"/>
          <w:color w:val="000000"/>
          <w:sz w:val="28"/>
          <w:szCs w:val="28"/>
        </w:rPr>
        <w:t xml:space="preserve">Expiration Date: </w:t>
      </w:r>
      <w:r w:rsidRPr="006B1B24" w:rsidR="00370B5E">
        <w:rPr>
          <w:rFonts w:ascii="Times New Roman" w:hAnsi="Times New Roman"/>
          <w:color w:val="000000"/>
          <w:sz w:val="28"/>
          <w:szCs w:val="28"/>
        </w:rPr>
        <w:t>01</w:t>
      </w:r>
      <w:r w:rsidRPr="006B1B24">
        <w:rPr>
          <w:rFonts w:ascii="Times New Roman" w:hAnsi="Times New Roman"/>
          <w:color w:val="000000"/>
          <w:sz w:val="28"/>
          <w:szCs w:val="28"/>
        </w:rPr>
        <w:t>/</w:t>
      </w:r>
      <w:r w:rsidRPr="006B1B24" w:rsidR="00370B5E">
        <w:rPr>
          <w:rFonts w:ascii="Times New Roman" w:hAnsi="Times New Roman"/>
          <w:color w:val="000000"/>
          <w:sz w:val="28"/>
          <w:szCs w:val="28"/>
        </w:rPr>
        <w:t>31</w:t>
      </w:r>
      <w:r w:rsidRPr="006B1B24">
        <w:rPr>
          <w:rFonts w:ascii="Times New Roman" w:hAnsi="Times New Roman"/>
          <w:color w:val="000000"/>
          <w:sz w:val="28"/>
          <w:szCs w:val="28"/>
        </w:rPr>
        <w:t>/</w:t>
      </w:r>
      <w:r w:rsidRPr="006B1B24" w:rsidR="00370B5E">
        <w:rPr>
          <w:rFonts w:ascii="Times New Roman" w:hAnsi="Times New Roman"/>
          <w:color w:val="000000"/>
          <w:sz w:val="28"/>
          <w:szCs w:val="28"/>
        </w:rPr>
        <w:t>2026</w:t>
      </w:r>
    </w:p>
    <w:p w:rsidR="007C42C1" w:rsidRPr="006B1B24" w:rsidP="00317F8B" w14:paraId="0757D6E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6B1B24" w:rsidP="00317F8B" w14:paraId="4FDCD2C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B1B24">
        <w:rPr>
          <w:rFonts w:ascii="Times New Roman" w:hAnsi="Times New Roman"/>
          <w:color w:val="000000"/>
          <w:sz w:val="28"/>
          <w:szCs w:val="28"/>
        </w:rPr>
        <w:t>Contact Information:</w:t>
      </w:r>
    </w:p>
    <w:p w:rsidR="00545495" w:rsidRPr="006B1B24" w:rsidP="00317F8B" w14:paraId="6590161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6B1B24" w:rsidP="00317F8B" w14:paraId="63ABF706" w14:textId="7AE232C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B1B24">
        <w:rPr>
          <w:rFonts w:ascii="Times New Roman" w:hAnsi="Times New Roman"/>
          <w:color w:val="000000"/>
          <w:sz w:val="28"/>
          <w:szCs w:val="28"/>
        </w:rPr>
        <w:t xml:space="preserve">Amanda </w:t>
      </w:r>
      <w:r w:rsidRPr="006B1B24" w:rsidR="009968D7">
        <w:rPr>
          <w:rFonts w:ascii="Times New Roman" w:hAnsi="Times New Roman"/>
          <w:color w:val="000000"/>
          <w:sz w:val="28"/>
          <w:szCs w:val="28"/>
        </w:rPr>
        <w:t xml:space="preserve">Titus </w:t>
      </w:r>
    </w:p>
    <w:p w:rsidR="00545495" w:rsidRPr="006B1B24" w:rsidP="00317F8B" w14:paraId="57308163" w14:textId="75C7AFB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B1B24">
        <w:rPr>
          <w:rFonts w:ascii="Times New Roman" w:hAnsi="Times New Roman"/>
          <w:color w:val="000000"/>
          <w:sz w:val="28"/>
          <w:szCs w:val="28"/>
        </w:rPr>
        <w:t>Behavioral Scientist</w:t>
      </w:r>
      <w:r w:rsidRPr="006B1B24">
        <w:rPr>
          <w:rFonts w:ascii="Times New Roman" w:hAnsi="Times New Roman"/>
          <w:color w:val="000000"/>
          <w:sz w:val="28"/>
          <w:szCs w:val="28"/>
        </w:rPr>
        <w:t xml:space="preserve">, </w:t>
      </w:r>
      <w:r w:rsidRPr="006B1B24" w:rsidR="00AA68ED">
        <w:rPr>
          <w:rFonts w:ascii="Times New Roman" w:hAnsi="Times New Roman"/>
          <w:color w:val="000000"/>
          <w:sz w:val="28"/>
          <w:szCs w:val="28"/>
        </w:rPr>
        <w:t>Collaborating</w:t>
      </w:r>
      <w:r w:rsidRPr="006B1B24" w:rsidR="008B26A5">
        <w:rPr>
          <w:rFonts w:ascii="Times New Roman" w:hAnsi="Times New Roman"/>
          <w:color w:val="000000"/>
          <w:sz w:val="28"/>
          <w:szCs w:val="28"/>
        </w:rPr>
        <w:t xml:space="preserve"> Center for Questionnaire Design and Evaluation </w:t>
      </w:r>
      <w:r w:rsidRPr="006B1B24" w:rsidR="00AA68ED">
        <w:rPr>
          <w:rFonts w:ascii="Times New Roman" w:hAnsi="Times New Roman"/>
          <w:color w:val="000000"/>
          <w:sz w:val="28"/>
          <w:szCs w:val="28"/>
        </w:rPr>
        <w:t>Research</w:t>
      </w:r>
    </w:p>
    <w:p w:rsidR="00545495" w:rsidRPr="006B1B24" w:rsidP="00317F8B" w14:paraId="7AE0957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B1B24">
        <w:rPr>
          <w:rFonts w:ascii="Times New Roman" w:hAnsi="Times New Roman"/>
          <w:color w:val="000000"/>
          <w:sz w:val="28"/>
          <w:szCs w:val="28"/>
        </w:rPr>
        <w:t xml:space="preserve">Division </w:t>
      </w:r>
      <w:r w:rsidRPr="006B1B24">
        <w:rPr>
          <w:rFonts w:ascii="Times New Roman" w:hAnsi="Times New Roman"/>
          <w:color w:val="000000"/>
          <w:sz w:val="28"/>
          <w:szCs w:val="28"/>
        </w:rPr>
        <w:t>of Research and Methodology</w:t>
      </w:r>
    </w:p>
    <w:p w:rsidR="00545495" w:rsidRPr="006B1B24" w:rsidP="00317F8B" w14:paraId="14D3FD8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PlaceName">
          <w:r w:rsidRPr="006B1B24">
            <w:rPr>
              <w:rFonts w:ascii="Times New Roman" w:hAnsi="Times New Roman"/>
              <w:color w:val="000000"/>
              <w:sz w:val="28"/>
              <w:szCs w:val="28"/>
            </w:rPr>
            <w:t>National</w:t>
          </w:r>
        </w:smartTag>
        <w:r w:rsidRPr="006B1B24">
          <w:rPr>
            <w:rFonts w:ascii="Times New Roman" w:hAnsi="Times New Roman"/>
            <w:color w:val="000000"/>
            <w:sz w:val="28"/>
            <w:szCs w:val="28"/>
          </w:rPr>
          <w:t xml:space="preserve"> </w:t>
        </w:r>
        <w:smartTag w:uri="urn:schemas-microsoft-com:office:smarttags" w:element="PlaceType">
          <w:r w:rsidRPr="006B1B24">
            <w:rPr>
              <w:rFonts w:ascii="Times New Roman" w:hAnsi="Times New Roman"/>
              <w:color w:val="000000"/>
              <w:sz w:val="28"/>
              <w:szCs w:val="28"/>
            </w:rPr>
            <w:t>Center</w:t>
          </w:r>
        </w:smartTag>
      </w:smartTag>
      <w:r w:rsidRPr="006B1B24">
        <w:rPr>
          <w:rFonts w:ascii="Times New Roman" w:hAnsi="Times New Roman"/>
          <w:color w:val="000000"/>
          <w:sz w:val="28"/>
          <w:szCs w:val="28"/>
        </w:rPr>
        <w:t xml:space="preserve"> for Health Statistics/CDC</w:t>
      </w:r>
    </w:p>
    <w:p w:rsidR="00545495" w:rsidRPr="006B1B24" w:rsidP="00317F8B" w14:paraId="23B12C16" w14:textId="08AC3E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B1B24">
        <w:rPr>
          <w:rFonts w:ascii="Times New Roman" w:hAnsi="Times New Roman"/>
          <w:color w:val="000000"/>
          <w:sz w:val="28"/>
          <w:szCs w:val="28"/>
        </w:rPr>
        <w:t xml:space="preserve">3311 Toledo Road, Room </w:t>
      </w:r>
      <w:r w:rsidRPr="006B1B24" w:rsidR="004B267F">
        <w:rPr>
          <w:rFonts w:ascii="Times New Roman" w:hAnsi="Times New Roman"/>
          <w:color w:val="000000"/>
          <w:sz w:val="28"/>
          <w:szCs w:val="28"/>
        </w:rPr>
        <w:t>5451</w:t>
      </w:r>
    </w:p>
    <w:p w:rsidR="00545495" w:rsidRPr="006B1B24" w:rsidP="00317F8B" w14:paraId="5EF502E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City">
          <w:r w:rsidRPr="006B1B24">
            <w:rPr>
              <w:rFonts w:ascii="Times New Roman" w:hAnsi="Times New Roman"/>
              <w:color w:val="000000"/>
              <w:sz w:val="28"/>
              <w:szCs w:val="28"/>
            </w:rPr>
            <w:t>Hyattsville</w:t>
          </w:r>
        </w:smartTag>
        <w:r w:rsidRPr="006B1B24">
          <w:rPr>
            <w:rFonts w:ascii="Times New Roman" w:hAnsi="Times New Roman"/>
            <w:color w:val="000000"/>
            <w:sz w:val="28"/>
            <w:szCs w:val="28"/>
          </w:rPr>
          <w:t xml:space="preserve">, </w:t>
        </w:r>
        <w:smartTag w:uri="urn:schemas-microsoft-com:office:smarttags" w:element="State">
          <w:r w:rsidRPr="006B1B24">
            <w:rPr>
              <w:rFonts w:ascii="Times New Roman" w:hAnsi="Times New Roman"/>
              <w:color w:val="000000"/>
              <w:sz w:val="28"/>
              <w:szCs w:val="28"/>
            </w:rPr>
            <w:t>MD</w:t>
          </w:r>
        </w:smartTag>
        <w:r w:rsidRPr="006B1B24">
          <w:rPr>
            <w:rFonts w:ascii="Times New Roman" w:hAnsi="Times New Roman"/>
            <w:color w:val="000000"/>
            <w:sz w:val="28"/>
            <w:szCs w:val="28"/>
          </w:rPr>
          <w:t xml:space="preserve">  </w:t>
        </w:r>
        <w:smartTag w:uri="urn:schemas-microsoft-com:office:smarttags" w:element="PostalCode">
          <w:r w:rsidRPr="006B1B24">
            <w:rPr>
              <w:rFonts w:ascii="Times New Roman" w:hAnsi="Times New Roman"/>
              <w:color w:val="000000"/>
              <w:sz w:val="28"/>
              <w:szCs w:val="28"/>
            </w:rPr>
            <w:t>20782</w:t>
          </w:r>
        </w:smartTag>
      </w:smartTag>
    </w:p>
    <w:p w:rsidR="00545495" w:rsidRPr="006B1B24" w:rsidP="00317F8B" w14:paraId="787C8F76" w14:textId="52ECFB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B1B24">
        <w:rPr>
          <w:rFonts w:ascii="Times New Roman" w:hAnsi="Times New Roman"/>
          <w:color w:val="000000"/>
          <w:sz w:val="28"/>
          <w:szCs w:val="28"/>
        </w:rPr>
        <w:t>301-458-</w:t>
      </w:r>
      <w:r w:rsidRPr="006B1B24" w:rsidR="004B267F">
        <w:rPr>
          <w:rFonts w:ascii="Times New Roman" w:hAnsi="Times New Roman"/>
          <w:color w:val="000000"/>
          <w:sz w:val="28"/>
          <w:szCs w:val="28"/>
        </w:rPr>
        <w:t>4579</w:t>
      </w:r>
    </w:p>
    <w:p w:rsidR="00B762B9" w:rsidRPr="006B1B24" w:rsidP="00B762B9" w14:paraId="5D988944" w14:textId="6877D9C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6B1B24">
        <w:rPr>
          <w:rFonts w:ascii="Times New Roman" w:hAnsi="Times New Roman"/>
          <w:color w:val="000000"/>
          <w:sz w:val="28"/>
          <w:szCs w:val="28"/>
          <w:u w:val="single"/>
        </w:rPr>
        <w:t>atitus@cdc.gov</w:t>
      </w:r>
    </w:p>
    <w:p w:rsidR="00545495" w:rsidRPr="006B1B24" w:rsidP="00317F8B" w14:paraId="3FD6E90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545495" w:rsidRPr="006B1B24" w:rsidP="003878C5" w14:paraId="32B62D3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6B1B24" w:rsidP="003878C5" w14:paraId="11F0C2D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6B1B24" w:rsidP="00317F8B" w14:paraId="3AEF08E1" w14:textId="1277CCB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r>
        <w:rPr>
          <w:rFonts w:ascii="Times New Roman" w:hAnsi="Times New Roman"/>
          <w:color w:val="000000"/>
          <w:sz w:val="28"/>
          <w:szCs w:val="28"/>
        </w:rPr>
        <w:t>March 1, 2024</w:t>
      </w:r>
    </w:p>
    <w:p w:rsidR="00E06677" w:rsidRPr="006B1B24" w:rsidP="008F04C7" w14:paraId="4028ECD3" w14:textId="77777777">
      <w:pPr>
        <w:widowControl/>
        <w:autoSpaceDE/>
        <w:autoSpaceDN/>
        <w:adjustRightInd/>
        <w:jc w:val="center"/>
        <w:rPr>
          <w:b/>
          <w:bCs/>
        </w:rPr>
      </w:pPr>
      <w:r w:rsidRPr="006B1B24">
        <w:rPr>
          <w:b/>
          <w:bCs/>
        </w:rPr>
        <w:br w:type="page"/>
      </w:r>
    </w:p>
    <w:p w:rsidR="00E06677" w:rsidRPr="006B1B24" w:rsidP="008F04C7" w14:paraId="407A002B" w14:textId="77777777">
      <w:pPr>
        <w:widowControl/>
        <w:autoSpaceDE/>
        <w:autoSpaceDN/>
        <w:adjustRightInd/>
        <w:jc w:val="center"/>
        <w:rPr>
          <w:b/>
          <w:bCs/>
        </w:rPr>
      </w:pPr>
    </w:p>
    <w:p w:rsidR="00E06677" w:rsidRPr="006B1B24" w:rsidP="008F04C7" w14:paraId="7E12D64C" w14:textId="77777777">
      <w:pPr>
        <w:widowControl/>
        <w:autoSpaceDE/>
        <w:autoSpaceDN/>
        <w:adjustRightInd/>
        <w:jc w:val="center"/>
        <w:rPr>
          <w:b/>
          <w:bCs/>
        </w:rPr>
      </w:pPr>
    </w:p>
    <w:sdt>
      <w:sdtPr>
        <w:rPr>
          <w:rFonts w:ascii="Times New Roman" w:eastAsia="Times New Roman" w:hAnsi="Times New Roman" w:cs="Times New Roman"/>
          <w:color w:val="auto"/>
          <w:sz w:val="24"/>
          <w:szCs w:val="24"/>
        </w:rPr>
        <w:id w:val="-1219047246"/>
        <w:docPartObj>
          <w:docPartGallery w:val="Table of Contents"/>
          <w:docPartUnique/>
        </w:docPartObj>
      </w:sdtPr>
      <w:sdtEndPr>
        <w:rPr>
          <w:b/>
          <w:bCs/>
          <w:noProof/>
        </w:rPr>
      </w:sdtEndPr>
      <w:sdtContent>
        <w:p w:rsidR="00E06677" w:rsidRPr="006B1B24" w14:paraId="7908979D" w14:textId="694D7916">
          <w:pPr>
            <w:pStyle w:val="TOCHeading"/>
            <w:rPr>
              <w:rFonts w:ascii="Times New Roman" w:hAnsi="Times New Roman" w:cs="Times New Roman"/>
              <w:sz w:val="28"/>
              <w:szCs w:val="28"/>
            </w:rPr>
          </w:pPr>
          <w:r w:rsidRPr="006B1B24">
            <w:rPr>
              <w:rFonts w:ascii="Times New Roman" w:hAnsi="Times New Roman" w:cs="Times New Roman"/>
              <w:sz w:val="28"/>
              <w:szCs w:val="28"/>
            </w:rPr>
            <w:t xml:space="preserve">Table of </w:t>
          </w:r>
          <w:r w:rsidRPr="006B1B24">
            <w:rPr>
              <w:rFonts w:ascii="Times New Roman" w:hAnsi="Times New Roman" w:cs="Times New Roman"/>
              <w:sz w:val="28"/>
              <w:szCs w:val="28"/>
            </w:rPr>
            <w:t>Contents</w:t>
          </w:r>
        </w:p>
        <w:p w:rsidR="00B06B50" w14:paraId="76221B46" w14:textId="2593BFC3">
          <w:pPr>
            <w:pStyle w:val="TOC1"/>
            <w:tabs>
              <w:tab w:val="left" w:pos="660"/>
              <w:tab w:val="right" w:leader="dot" w:pos="9350"/>
            </w:tabs>
            <w:rPr>
              <w:rFonts w:asciiTheme="minorHAnsi" w:eastAsiaTheme="minorEastAsia" w:hAnsiTheme="minorHAnsi" w:cstheme="minorBidi"/>
              <w:noProof/>
              <w:kern w:val="2"/>
              <w:sz w:val="22"/>
              <w:szCs w:val="22"/>
              <w14:ligatures w14:val="standardContextual"/>
            </w:rPr>
          </w:pPr>
          <w:r w:rsidRPr="006B1B24">
            <w:fldChar w:fldCharType="begin"/>
          </w:r>
          <w:r w:rsidRPr="006B1B24">
            <w:instrText xml:space="preserve"> TOC \o "1-3" \h \z \u </w:instrText>
          </w:r>
          <w:r w:rsidRPr="006B1B24">
            <w:fldChar w:fldCharType="separate"/>
          </w:r>
          <w:hyperlink w:anchor="_Toc159921508" w:history="1">
            <w:r w:rsidRPr="00E716C7">
              <w:rPr>
                <w:rStyle w:val="Hyperlink"/>
                <w:noProof/>
              </w:rPr>
              <w:t>A.</w:t>
            </w:r>
            <w:r>
              <w:rPr>
                <w:rFonts w:asciiTheme="minorHAnsi" w:eastAsiaTheme="minorEastAsia" w:hAnsiTheme="minorHAnsi" w:cstheme="minorBidi"/>
                <w:noProof/>
                <w:kern w:val="2"/>
                <w:sz w:val="22"/>
                <w:szCs w:val="22"/>
                <w14:ligatures w14:val="standardContextual"/>
              </w:rPr>
              <w:tab/>
            </w:r>
            <w:r w:rsidRPr="00E716C7">
              <w:rPr>
                <w:rStyle w:val="Hyperlink"/>
                <w:noProof/>
              </w:rPr>
              <w:t>Justification</w:t>
            </w:r>
            <w:r>
              <w:rPr>
                <w:noProof/>
                <w:webHidden/>
              </w:rPr>
              <w:tab/>
            </w:r>
            <w:r>
              <w:rPr>
                <w:noProof/>
                <w:webHidden/>
              </w:rPr>
              <w:fldChar w:fldCharType="begin"/>
            </w:r>
            <w:r>
              <w:rPr>
                <w:noProof/>
                <w:webHidden/>
              </w:rPr>
              <w:instrText xml:space="preserve"> PAGEREF _Toc159921508 \h </w:instrText>
            </w:r>
            <w:r>
              <w:rPr>
                <w:noProof/>
                <w:webHidden/>
              </w:rPr>
              <w:fldChar w:fldCharType="separate"/>
            </w:r>
            <w:r>
              <w:rPr>
                <w:noProof/>
                <w:webHidden/>
              </w:rPr>
              <w:t>1</w:t>
            </w:r>
            <w:r>
              <w:rPr>
                <w:noProof/>
                <w:webHidden/>
              </w:rPr>
              <w:fldChar w:fldCharType="end"/>
            </w:r>
          </w:hyperlink>
        </w:p>
        <w:p w:rsidR="00B06B50" w:rsidP="00A23E26" w14:paraId="157D4225" w14:textId="0C5E5F3D">
          <w:pPr>
            <w:pStyle w:val="TOC2"/>
            <w:rPr>
              <w:rFonts w:asciiTheme="minorHAnsi" w:eastAsiaTheme="minorEastAsia" w:hAnsiTheme="minorHAnsi" w:cstheme="minorBidi"/>
              <w:noProof/>
              <w:kern w:val="2"/>
              <w:sz w:val="22"/>
              <w:szCs w:val="22"/>
              <w14:ligatures w14:val="standardContextual"/>
            </w:rPr>
          </w:pPr>
          <w:hyperlink w:anchor="_Toc159921509" w:history="1">
            <w:r w:rsidRPr="00E716C7">
              <w:rPr>
                <w:rStyle w:val="Hyperlink"/>
                <w:noProof/>
              </w:rPr>
              <w:t>A.1.</w:t>
            </w:r>
            <w:r>
              <w:rPr>
                <w:rFonts w:asciiTheme="minorHAnsi" w:eastAsiaTheme="minorEastAsia" w:hAnsiTheme="minorHAnsi" w:cstheme="minorBidi"/>
                <w:noProof/>
                <w:kern w:val="2"/>
                <w:sz w:val="22"/>
                <w:szCs w:val="22"/>
                <w14:ligatures w14:val="standardContextual"/>
              </w:rPr>
              <w:tab/>
            </w:r>
            <w:r w:rsidRPr="00E716C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_Toc159921509 \h </w:instrText>
            </w:r>
            <w:r>
              <w:rPr>
                <w:noProof/>
                <w:webHidden/>
              </w:rPr>
              <w:fldChar w:fldCharType="separate"/>
            </w:r>
            <w:r>
              <w:rPr>
                <w:noProof/>
                <w:webHidden/>
              </w:rPr>
              <w:t>1</w:t>
            </w:r>
            <w:r>
              <w:rPr>
                <w:noProof/>
                <w:webHidden/>
              </w:rPr>
              <w:fldChar w:fldCharType="end"/>
            </w:r>
          </w:hyperlink>
        </w:p>
        <w:p w:rsidR="00B06B50" w:rsidP="00A23E26" w14:paraId="015F46B5" w14:textId="67D2528C">
          <w:pPr>
            <w:pStyle w:val="TOC2"/>
            <w:rPr>
              <w:rFonts w:asciiTheme="minorHAnsi" w:eastAsiaTheme="minorEastAsia" w:hAnsiTheme="minorHAnsi" w:cstheme="minorBidi"/>
              <w:noProof/>
              <w:kern w:val="2"/>
              <w:sz w:val="22"/>
              <w:szCs w:val="22"/>
              <w14:ligatures w14:val="standardContextual"/>
            </w:rPr>
          </w:pPr>
          <w:hyperlink w:anchor="_Toc159921510" w:history="1">
            <w:r w:rsidRPr="00E716C7">
              <w:rPr>
                <w:rStyle w:val="Hyperlink"/>
                <w:noProof/>
              </w:rPr>
              <w:t>A.2.</w:t>
            </w:r>
            <w:r>
              <w:rPr>
                <w:rFonts w:asciiTheme="minorHAnsi" w:eastAsiaTheme="minorEastAsia" w:hAnsiTheme="minorHAnsi" w:cstheme="minorBidi"/>
                <w:noProof/>
                <w:kern w:val="2"/>
                <w:sz w:val="22"/>
                <w:szCs w:val="22"/>
                <w14:ligatures w14:val="standardContextual"/>
              </w:rPr>
              <w:tab/>
            </w:r>
            <w:r w:rsidRPr="00E716C7">
              <w:rPr>
                <w:rStyle w:val="Hyperlink"/>
                <w:noProof/>
              </w:rPr>
              <w:t>Purpose and Use of Information Collection</w:t>
            </w:r>
            <w:r>
              <w:rPr>
                <w:noProof/>
                <w:webHidden/>
              </w:rPr>
              <w:tab/>
            </w:r>
            <w:r>
              <w:rPr>
                <w:noProof/>
                <w:webHidden/>
              </w:rPr>
              <w:fldChar w:fldCharType="begin"/>
            </w:r>
            <w:r>
              <w:rPr>
                <w:noProof/>
                <w:webHidden/>
              </w:rPr>
              <w:instrText xml:space="preserve"> PAGEREF _Toc159921510 \h </w:instrText>
            </w:r>
            <w:r>
              <w:rPr>
                <w:noProof/>
                <w:webHidden/>
              </w:rPr>
              <w:fldChar w:fldCharType="separate"/>
            </w:r>
            <w:r>
              <w:rPr>
                <w:noProof/>
                <w:webHidden/>
              </w:rPr>
              <w:t>1</w:t>
            </w:r>
            <w:r>
              <w:rPr>
                <w:noProof/>
                <w:webHidden/>
              </w:rPr>
              <w:fldChar w:fldCharType="end"/>
            </w:r>
          </w:hyperlink>
        </w:p>
        <w:p w:rsidR="00B06B50" w:rsidP="00A23E26" w14:paraId="3F28493F" w14:textId="2C5FB4B0">
          <w:pPr>
            <w:pStyle w:val="TOC2"/>
            <w:rPr>
              <w:rFonts w:asciiTheme="minorHAnsi" w:eastAsiaTheme="minorEastAsia" w:hAnsiTheme="minorHAnsi" w:cstheme="minorBidi"/>
              <w:noProof/>
              <w:kern w:val="2"/>
              <w:sz w:val="22"/>
              <w:szCs w:val="22"/>
              <w14:ligatures w14:val="standardContextual"/>
            </w:rPr>
          </w:pPr>
          <w:hyperlink w:anchor="_Toc159921511" w:history="1">
            <w:r w:rsidRPr="00E716C7">
              <w:rPr>
                <w:rStyle w:val="Hyperlink"/>
                <w:noProof/>
              </w:rPr>
              <w:t>A.10.</w:t>
            </w:r>
            <w:r>
              <w:rPr>
                <w:rFonts w:asciiTheme="minorHAnsi" w:eastAsiaTheme="minorEastAsia" w:hAnsiTheme="minorHAnsi" w:cstheme="minorBidi"/>
                <w:noProof/>
                <w:kern w:val="2"/>
                <w:sz w:val="22"/>
                <w:szCs w:val="22"/>
                <w14:ligatures w14:val="standardContextual"/>
              </w:rPr>
              <w:tab/>
            </w:r>
            <w:r w:rsidRPr="00E716C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_Toc159921511 \h </w:instrText>
            </w:r>
            <w:r>
              <w:rPr>
                <w:noProof/>
                <w:webHidden/>
              </w:rPr>
              <w:fldChar w:fldCharType="separate"/>
            </w:r>
            <w:r>
              <w:rPr>
                <w:noProof/>
                <w:webHidden/>
              </w:rPr>
              <w:t>6</w:t>
            </w:r>
            <w:r>
              <w:rPr>
                <w:noProof/>
                <w:webHidden/>
              </w:rPr>
              <w:fldChar w:fldCharType="end"/>
            </w:r>
          </w:hyperlink>
        </w:p>
        <w:p w:rsidR="00B06B50" w:rsidP="00A23E26" w14:paraId="078ED846" w14:textId="39E5BD36">
          <w:pPr>
            <w:pStyle w:val="TOC2"/>
            <w:rPr>
              <w:rFonts w:asciiTheme="minorHAnsi" w:eastAsiaTheme="minorEastAsia" w:hAnsiTheme="minorHAnsi" w:cstheme="minorBidi"/>
              <w:noProof/>
              <w:kern w:val="2"/>
              <w:sz w:val="22"/>
              <w:szCs w:val="22"/>
              <w14:ligatures w14:val="standardContextual"/>
            </w:rPr>
          </w:pPr>
          <w:hyperlink w:anchor="_Toc159921512" w:history="1">
            <w:r w:rsidRPr="00E716C7">
              <w:rPr>
                <w:rStyle w:val="Hyperlink"/>
                <w:noProof/>
              </w:rPr>
              <w:t>A.11.</w:t>
            </w:r>
            <w:r>
              <w:rPr>
                <w:rFonts w:asciiTheme="minorHAnsi" w:eastAsiaTheme="minorEastAsia" w:hAnsiTheme="minorHAnsi" w:cstheme="minorBidi"/>
                <w:noProof/>
                <w:kern w:val="2"/>
                <w:sz w:val="22"/>
                <w:szCs w:val="22"/>
                <w14:ligatures w14:val="standardContextual"/>
              </w:rPr>
              <w:tab/>
            </w:r>
            <w:r w:rsidRPr="00E716C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_Toc159921512 \h </w:instrText>
            </w:r>
            <w:r>
              <w:rPr>
                <w:noProof/>
                <w:webHidden/>
              </w:rPr>
              <w:fldChar w:fldCharType="separate"/>
            </w:r>
            <w:r>
              <w:rPr>
                <w:noProof/>
                <w:webHidden/>
              </w:rPr>
              <w:t>7</w:t>
            </w:r>
            <w:r>
              <w:rPr>
                <w:noProof/>
                <w:webHidden/>
              </w:rPr>
              <w:fldChar w:fldCharType="end"/>
            </w:r>
          </w:hyperlink>
        </w:p>
        <w:p w:rsidR="00B06B50" w:rsidP="00A23E26" w14:paraId="0E0BA0F7" w14:textId="453D2C2A">
          <w:pPr>
            <w:pStyle w:val="TOC2"/>
            <w:rPr>
              <w:rFonts w:asciiTheme="minorHAnsi" w:eastAsiaTheme="minorEastAsia" w:hAnsiTheme="minorHAnsi" w:cstheme="minorBidi"/>
              <w:noProof/>
              <w:kern w:val="2"/>
              <w:sz w:val="22"/>
              <w:szCs w:val="22"/>
              <w14:ligatures w14:val="standardContextual"/>
            </w:rPr>
          </w:pPr>
          <w:hyperlink w:anchor="_Toc159921513" w:history="1">
            <w:r w:rsidRPr="00E716C7">
              <w:rPr>
                <w:rStyle w:val="Hyperlink"/>
                <w:noProof/>
              </w:rPr>
              <w:t>A.12.  Estimates of Annualized Burden hours and costs</w:t>
            </w:r>
            <w:r>
              <w:rPr>
                <w:noProof/>
                <w:webHidden/>
              </w:rPr>
              <w:tab/>
            </w:r>
            <w:r>
              <w:rPr>
                <w:noProof/>
                <w:webHidden/>
              </w:rPr>
              <w:fldChar w:fldCharType="begin"/>
            </w:r>
            <w:r>
              <w:rPr>
                <w:noProof/>
                <w:webHidden/>
              </w:rPr>
              <w:instrText xml:space="preserve"> PAGEREF _Toc159921513 \h </w:instrText>
            </w:r>
            <w:r>
              <w:rPr>
                <w:noProof/>
                <w:webHidden/>
              </w:rPr>
              <w:fldChar w:fldCharType="separate"/>
            </w:r>
            <w:r>
              <w:rPr>
                <w:noProof/>
                <w:webHidden/>
              </w:rPr>
              <w:t>7</w:t>
            </w:r>
            <w:r>
              <w:rPr>
                <w:noProof/>
                <w:webHidden/>
              </w:rPr>
              <w:fldChar w:fldCharType="end"/>
            </w:r>
          </w:hyperlink>
        </w:p>
        <w:p w:rsidR="00E06677" w:rsidRPr="006B1B24" w:rsidP="003451FD" w14:paraId="59AD507B" w14:textId="6F2AEBA9">
          <w:r w:rsidRPr="006B1B24">
            <w:rPr>
              <w:b/>
              <w:bCs/>
              <w:noProof/>
            </w:rPr>
            <w:fldChar w:fldCharType="end"/>
          </w:r>
        </w:p>
      </w:sdtContent>
    </w:sdt>
    <w:p w:rsidR="005A649F" w:rsidRPr="006B1B24" w:rsidP="003451FD" w14:paraId="70296F7B"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00392FAF" w:rsidRPr="006B1B24" w:rsidP="009561D2" w14:paraId="01BE11CF" w14:textId="77777777">
      <w:pPr>
        <w:rPr>
          <w:b/>
        </w:rPr>
      </w:pPr>
    </w:p>
    <w:p w:rsidR="009561D2" w:rsidRPr="006B1B24" w:rsidP="009561D2" w14:paraId="00A6C6E9" w14:textId="3E1333FC">
      <w:pPr>
        <w:rPr>
          <w:b/>
        </w:rPr>
      </w:pPr>
      <w:r w:rsidRPr="006B1B24">
        <w:rPr>
          <w:b/>
        </w:rPr>
        <w:t>LIST OF ATTACHMENTS</w:t>
      </w:r>
    </w:p>
    <w:p w:rsidR="00107ECC" w:rsidRPr="006B1B24" w:rsidP="00107ECC" w14:paraId="65946E86" w14:textId="10FBFB87">
      <w:r w:rsidRPr="006B1B24">
        <w:t xml:space="preserve">Attachment 1: </w:t>
      </w:r>
      <w:r w:rsidRPr="006B1B24" w:rsidR="00E902A1">
        <w:t>Topic Guide</w:t>
      </w:r>
    </w:p>
    <w:p w:rsidR="009B7C48" w:rsidRPr="006B1B24" w:rsidP="009B7C48" w14:paraId="149ACE8A" w14:textId="37260773">
      <w:pPr>
        <w:rPr>
          <w:rFonts w:ascii="Calibri" w:hAnsi="Calibri" w:cs="Calibri"/>
          <w:sz w:val="22"/>
          <w:szCs w:val="22"/>
        </w:rPr>
      </w:pPr>
      <w:r w:rsidRPr="006B1B24">
        <w:t xml:space="preserve">Attachment 2: </w:t>
      </w:r>
      <w:r w:rsidRPr="006B1B24">
        <w:t xml:space="preserve">History and Development </w:t>
      </w:r>
    </w:p>
    <w:p w:rsidR="009B7C48" w:rsidRPr="006B1B24" w:rsidP="009B7C48" w14:paraId="11F251E9" w14:textId="52400502">
      <w:r w:rsidRPr="006B1B24">
        <w:t>Attachment 3: Advertisement</w:t>
      </w:r>
      <w:r w:rsidR="0044742B">
        <w:t>s</w:t>
      </w:r>
    </w:p>
    <w:p w:rsidR="009B7C48" w:rsidRPr="006B1B24" w:rsidP="009B7C48" w14:paraId="183D1FF4" w14:textId="77777777">
      <w:r w:rsidRPr="006B1B24">
        <w:t>Attachment 4: Screening Script</w:t>
      </w:r>
    </w:p>
    <w:p w:rsidR="009B7C48" w:rsidRPr="006B1B24" w:rsidP="009B7C48" w14:paraId="7BFF91FA" w14:textId="48F88E1C">
      <w:r w:rsidRPr="006B1B24">
        <w:t xml:space="preserve">Attachment 5: Informed Consent </w:t>
      </w:r>
    </w:p>
    <w:p w:rsidR="00107ECC" w:rsidRPr="006B1B24" w:rsidP="009561D2" w14:paraId="5B2DDB6F" w14:textId="77777777"/>
    <w:p w:rsidR="007015C4" w:rsidRPr="006B1B24" w14:paraId="6412C329" w14:textId="77777777">
      <w:pPr>
        <w:widowControl/>
        <w:autoSpaceDE/>
        <w:autoSpaceDN/>
        <w:adjustRightInd/>
        <w:rPr>
          <w:b/>
          <w:bCs/>
        </w:rPr>
        <w:sectPr w:rsidSect="00F62103">
          <w:footerReference w:type="default" r:id="rId6"/>
          <w:footerReference w:type="first" r:id="rId7"/>
          <w:type w:val="continuous"/>
          <w:pgSz w:w="12240" w:h="15840"/>
          <w:pgMar w:top="1152" w:right="1440" w:bottom="1440" w:left="1440" w:header="1152" w:footer="1440" w:gutter="0"/>
          <w:cols w:space="720"/>
          <w:noEndnote/>
          <w:titlePg/>
          <w:docGrid w:linePitch="326"/>
        </w:sectPr>
      </w:pPr>
      <w:r w:rsidRPr="006B1B24">
        <w:rPr>
          <w:b/>
          <w:bCs/>
        </w:rPr>
        <w:br w:type="page"/>
      </w:r>
    </w:p>
    <w:p w:rsidR="000B30BF" w:rsidRPr="006B1B24" w:rsidP="000B30BF" w14:paraId="5905FE52" w14:textId="77777777">
      <w:pPr>
        <w:widowControl/>
        <w:spacing w:line="480" w:lineRule="auto"/>
        <w:jc w:val="center"/>
        <w:rPr>
          <w:b/>
          <w:bCs/>
        </w:rPr>
      </w:pPr>
      <w:r w:rsidRPr="006B1B24">
        <w:rPr>
          <w:b/>
          <w:bCs/>
        </w:rPr>
        <w:t>Supporting Statement A</w:t>
      </w:r>
    </w:p>
    <w:p w:rsidR="000B30BF" w:rsidRPr="006B1B24" w:rsidP="000B30BF" w14:paraId="55FA86B3" w14:textId="77777777">
      <w:pPr>
        <w:widowControl/>
        <w:spacing w:line="480" w:lineRule="auto"/>
        <w:jc w:val="center"/>
        <w:rPr>
          <w:b/>
        </w:rPr>
      </w:pPr>
    </w:p>
    <w:p w:rsidR="008B26A5" w:rsidRPr="006B1B24" w:rsidP="000B30BF" w14:paraId="070E64FC" w14:textId="77777777">
      <w:pPr>
        <w:widowControl/>
        <w:spacing w:line="480" w:lineRule="auto"/>
        <w:jc w:val="center"/>
        <w:rPr>
          <w:b/>
        </w:rPr>
      </w:pPr>
      <w:r w:rsidRPr="006B1B24">
        <w:rPr>
          <w:b/>
        </w:rPr>
        <w:t>Collaborating Center for Questionnaire Design and Evaluation Research</w:t>
      </w:r>
    </w:p>
    <w:p w:rsidR="007204CE" w:rsidRPr="006B1B24" w:rsidP="0063402B" w14:paraId="569E0546" w14:textId="71492A59">
      <w:r w:rsidRPr="006B1B24">
        <w:t xml:space="preserve">The staff of the </w:t>
      </w:r>
      <w:r w:rsidRPr="006B1B24" w:rsidR="002A0BB6">
        <w:t xml:space="preserve">National Center for Health </w:t>
      </w:r>
      <w:r w:rsidRPr="006B1B24" w:rsidR="000D4B3A">
        <w:t>Statistics</w:t>
      </w:r>
      <w:r w:rsidRPr="006B1B24" w:rsidR="001E4D7F">
        <w:t>’</w:t>
      </w:r>
      <w:r w:rsidRPr="006B1B24" w:rsidR="000D4B3A">
        <w:t xml:space="preserve"> (</w:t>
      </w:r>
      <w:r w:rsidRPr="006B1B24">
        <w:t>NCHS</w:t>
      </w:r>
      <w:r w:rsidRPr="006B1B24" w:rsidR="000D4B3A">
        <w:t>),</w:t>
      </w:r>
      <w:r w:rsidRPr="006B1B24">
        <w:t xml:space="preserve"> Collaborating Center for Questionnaire Design and Evaluation Research (CCQDER) (OMB No. 0920-0222, exp. </w:t>
      </w:r>
      <w:r w:rsidRPr="006B1B24" w:rsidR="00370B5E">
        <w:t>01</w:t>
      </w:r>
      <w:r w:rsidRPr="006B1B24">
        <w:t>/</w:t>
      </w:r>
      <w:r w:rsidRPr="006B1B24" w:rsidR="00370B5E">
        <w:t>31</w:t>
      </w:r>
      <w:r w:rsidRPr="006B1B24" w:rsidR="00CD4C14">
        <w:t>/</w:t>
      </w:r>
      <w:r w:rsidRPr="006B1B24" w:rsidR="00370B5E">
        <w:t>2026</w:t>
      </w:r>
      <w:r w:rsidRPr="006B1B24">
        <w:t>) proposes to conduct</w:t>
      </w:r>
      <w:r w:rsidRPr="006B1B24" w:rsidR="00092885">
        <w:t xml:space="preserve"> exploratory research, using qualitative </w:t>
      </w:r>
      <w:r w:rsidRPr="006B1B24" w:rsidR="007D0413">
        <w:t xml:space="preserve">ethnographic </w:t>
      </w:r>
      <w:r w:rsidRPr="006B1B24" w:rsidR="00092885">
        <w:t>in-depth interviews</w:t>
      </w:r>
      <w:r w:rsidRPr="006B1B24">
        <w:rPr>
          <w:szCs w:val="20"/>
        </w:rPr>
        <w:t xml:space="preserve"> </w:t>
      </w:r>
      <w:r w:rsidRPr="006B1B24" w:rsidR="00092885">
        <w:rPr>
          <w:szCs w:val="20"/>
        </w:rPr>
        <w:t xml:space="preserve">with people with an Intellectual and Developmental Disability (ID/DD), </w:t>
      </w:r>
      <w:r w:rsidRPr="006B1B24">
        <w:rPr>
          <w:szCs w:val="20"/>
        </w:rPr>
        <w:t>on</w:t>
      </w:r>
      <w:r w:rsidRPr="006B1B24" w:rsidR="00092885">
        <w:rPr>
          <w:szCs w:val="20"/>
        </w:rPr>
        <w:t xml:space="preserve"> functional difficulties they may experience in everyday life</w:t>
      </w:r>
      <w:r w:rsidRPr="006B1B24">
        <w:rPr>
          <w:szCs w:val="20"/>
        </w:rPr>
        <w:t xml:space="preserve">. </w:t>
      </w:r>
      <w:r w:rsidRPr="006B1B24">
        <w:t xml:space="preserve">Recruitment of respondents and interviewing would begin as soon as approval is received. </w:t>
      </w:r>
    </w:p>
    <w:p w:rsidR="000B30BF" w:rsidRPr="006B1B24" w:rsidP="00317F8B" w14:paraId="3AAABD4F" w14:textId="77777777">
      <w:pPr>
        <w:widowControl/>
        <w:tabs>
          <w:tab w:val="left" w:pos="-1440"/>
        </w:tabs>
        <w:ind w:left="720" w:hanging="720"/>
        <w:rPr>
          <w:b/>
          <w:bCs/>
        </w:rPr>
      </w:pPr>
    </w:p>
    <w:p w:rsidR="00545495" w:rsidRPr="006B1B24" w:rsidP="00ED20DE" w14:paraId="432D62C1" w14:textId="385C3CA3">
      <w:pPr>
        <w:pStyle w:val="Heading1"/>
      </w:pPr>
      <w:bookmarkStart w:id="1" w:name="_Toc159921508"/>
      <w:r w:rsidRPr="006B1B24">
        <w:t>A.</w:t>
      </w:r>
      <w:r w:rsidRPr="006B1B24">
        <w:tab/>
      </w:r>
      <w:r w:rsidRPr="006B1B24" w:rsidR="00EB1B3D">
        <w:t>Justification</w:t>
      </w:r>
      <w:bookmarkEnd w:id="1"/>
    </w:p>
    <w:p w:rsidR="00545495" w:rsidRPr="006B1B24" w:rsidP="00317F8B" w14:paraId="3F3264E6" w14:textId="77777777">
      <w:pPr>
        <w:widowControl/>
      </w:pPr>
    </w:p>
    <w:p w:rsidR="00545495" w:rsidRPr="006B1B24" w:rsidP="007F6164" w14:paraId="0B559CC8" w14:textId="04E09B5C">
      <w:pPr>
        <w:pStyle w:val="Heading2"/>
      </w:pPr>
      <w:bookmarkStart w:id="2" w:name="_Toc159921509"/>
      <w:r w:rsidRPr="006B1B24">
        <w:t>A</w:t>
      </w:r>
      <w:r w:rsidRPr="006B1B24" w:rsidR="00C60071">
        <w:t>.</w:t>
      </w:r>
      <w:r w:rsidRPr="006B1B24">
        <w:t>1</w:t>
      </w:r>
      <w:r w:rsidRPr="006B1B24" w:rsidR="00593C87">
        <w:t>.</w:t>
      </w:r>
      <w:r w:rsidRPr="006B1B24">
        <w:tab/>
        <w:t>Circumstances Making the Collection of Information Necessary</w:t>
      </w:r>
      <w:bookmarkEnd w:id="2"/>
    </w:p>
    <w:p w:rsidR="002C07E8" w:rsidRPr="006B1B24" w:rsidP="002C07E8" w14:paraId="0C063346" w14:textId="77777777"/>
    <w:p w:rsidR="00E748CA" w:rsidRPr="006B1B24" w:rsidP="00E748CA" w14:paraId="0F0DD44D" w14:textId="77777777">
      <w:r w:rsidRPr="006B1B24">
        <w:t>The NCHS Collaborating Center for Questionnaire Design and Evaluation Research (CCQDER) conducts qualitative and mixed method research. CCQDER data collection is authorized under a generic OMB clearance (OMB No. 0920-0222, Exp. Date 01/31/2026) and 42 U.S.C. 242k (Section 306 of the Public Health Service Act).</w:t>
      </w:r>
    </w:p>
    <w:p w:rsidR="00014136" w:rsidRPr="006B1B24" w:rsidP="0063402B" w14:paraId="148589EB" w14:textId="77777777">
      <w:pPr>
        <w:rPr>
          <w:rStyle w:val="normaltextrun"/>
          <w:color w:val="000000"/>
        </w:rPr>
      </w:pPr>
    </w:p>
    <w:p w:rsidR="00545495" w:rsidP="008A5F40" w14:paraId="31CBC51D" w14:textId="37B4D81D">
      <w:pPr>
        <w:pStyle w:val="Heading2"/>
      </w:pPr>
      <w:bookmarkStart w:id="3" w:name="_Toc159921510"/>
      <w:r w:rsidRPr="006B1B24">
        <w:t>A</w:t>
      </w:r>
      <w:r w:rsidRPr="006B1B24" w:rsidR="00C60071">
        <w:t>.</w:t>
      </w:r>
      <w:r w:rsidRPr="006B1B24">
        <w:t>2.</w:t>
      </w:r>
      <w:r w:rsidRPr="006B1B24">
        <w:tab/>
        <w:t>Purpose and Use of Information Collection</w:t>
      </w:r>
      <w:bookmarkEnd w:id="3"/>
    </w:p>
    <w:p w:rsidR="00B65371" w:rsidP="00B65371" w14:paraId="45BE082B" w14:textId="77777777"/>
    <w:p w:rsidR="006A1CC2" w:rsidP="00B65371" w14:paraId="36925BCB" w14:textId="6D389AC2">
      <w:r w:rsidRPr="007A7068">
        <w:t xml:space="preserve">CCQDER conducts </w:t>
      </w:r>
      <w:r w:rsidR="008E673E">
        <w:t xml:space="preserve">exploratory </w:t>
      </w:r>
      <w:r w:rsidRPr="007A7068">
        <w:t>question evaluation studies, for both applied and methodological purposes, with particular focus on question design, measurement, comparability, and error.</w:t>
      </w:r>
    </w:p>
    <w:p w:rsidR="00543942" w:rsidP="00B65371" w14:paraId="52D841F5" w14:textId="77777777"/>
    <w:p w:rsidR="00AB20A8" w:rsidP="008500C1" w14:paraId="6AA1AFF3" w14:textId="276C4791">
      <w:pPr>
        <w:widowControl/>
      </w:pPr>
      <w:r>
        <w:t xml:space="preserve">The </w:t>
      </w:r>
      <w:r w:rsidR="00E22445">
        <w:t xml:space="preserve">purpose of the current project </w:t>
      </w:r>
      <w:r w:rsidR="007142C2">
        <w:t xml:space="preserve">is to conduct </w:t>
      </w:r>
      <w:r w:rsidRPr="006B1B24" w:rsidR="007142C2">
        <w:t xml:space="preserve">exploratory research </w:t>
      </w:r>
      <w:r w:rsidR="007142C2">
        <w:t xml:space="preserve">using </w:t>
      </w:r>
      <w:r w:rsidRPr="006B1B24" w:rsidR="007142C2">
        <w:t>ethnographic in-depth one-on-one interviews</w:t>
      </w:r>
      <w:r w:rsidR="007142C2">
        <w:t xml:space="preserve"> </w:t>
      </w:r>
      <w:r w:rsidR="004F2941">
        <w:t xml:space="preserve">with individuals with ID/DD and their support community </w:t>
      </w:r>
      <w:r>
        <w:t>in collaboration with The Centers for Disease Control</w:t>
      </w:r>
      <w:r w:rsidR="001E4D09">
        <w:t xml:space="preserve"> and Prevention</w:t>
      </w:r>
      <w:r>
        <w:t xml:space="preserve">’s (CDC) </w:t>
      </w:r>
      <w:r w:rsidRPr="006B1B24">
        <w:t>National Center on Birth Defects and Developmental Disabilities (NCBDDD).</w:t>
      </w:r>
      <w:r w:rsidRPr="00197EA1">
        <w:t xml:space="preserve"> </w:t>
      </w:r>
      <w:r>
        <w:t>The exploratory work will</w:t>
      </w:r>
      <w:r w:rsidR="006F25D7">
        <w:t xml:space="preserve"> inform the</w:t>
      </w:r>
      <w:r w:rsidR="00307406">
        <w:t xml:space="preserve"> future</w:t>
      </w:r>
      <w:r w:rsidR="006F25D7">
        <w:t xml:space="preserve"> development of a </w:t>
      </w:r>
      <w:r w:rsidR="00062CF0">
        <w:t xml:space="preserve">functional disability </w:t>
      </w:r>
      <w:r w:rsidR="00D063C8">
        <w:t>checklist that could be used</w:t>
      </w:r>
      <w:r w:rsidR="00FE1957">
        <w:t xml:space="preserve"> (either as self-reported or by proxy)</w:t>
      </w:r>
      <w:r w:rsidR="00D063C8">
        <w:t xml:space="preserve"> at point</w:t>
      </w:r>
      <w:r>
        <w:t>-</w:t>
      </w:r>
      <w:r w:rsidR="00D063C8">
        <w:t>of</w:t>
      </w:r>
      <w:r>
        <w:t>-</w:t>
      </w:r>
      <w:r w:rsidR="00D063C8">
        <w:t xml:space="preserve">care </w:t>
      </w:r>
      <w:r>
        <w:t xml:space="preserve">settings </w:t>
      </w:r>
      <w:r w:rsidR="00D063C8">
        <w:t>to identify individuals with ID/DD</w:t>
      </w:r>
      <w:r w:rsidR="00D87259">
        <w:t xml:space="preserve">.  </w:t>
      </w:r>
      <w:r w:rsidR="00A23AF4">
        <w:t xml:space="preserve">CCQDER will interview 40 </w:t>
      </w:r>
      <w:r w:rsidR="000A68EF">
        <w:t>English-speaking respondents</w:t>
      </w:r>
      <w:r>
        <w:rPr>
          <w:rStyle w:val="FootnoteReference"/>
          <w:vertAlign w:val="superscript"/>
        </w:rPr>
        <w:footnoteReference w:id="3"/>
      </w:r>
      <w:r w:rsidR="000A68EF">
        <w:t xml:space="preserve"> with the use of an interview topic guide.  The topic guide is included as Attachment 1. </w:t>
      </w:r>
      <w:r w:rsidR="007948CE">
        <w:t>History and d</w:t>
      </w:r>
      <w:r w:rsidRPr="00405647" w:rsidR="007948CE">
        <w:t xml:space="preserve">evelopment of </w:t>
      </w:r>
      <w:r w:rsidR="007948CE">
        <w:t>the topic guide</w:t>
      </w:r>
      <w:r w:rsidRPr="00405647" w:rsidR="007948CE">
        <w:t xml:space="preserve"> </w:t>
      </w:r>
      <w:r w:rsidR="007948CE">
        <w:t>is</w:t>
      </w:r>
      <w:r w:rsidRPr="00405647" w:rsidR="007948CE">
        <w:t xml:space="preserve"> included as A</w:t>
      </w:r>
      <w:r w:rsidR="007948CE">
        <w:t>ttachment</w:t>
      </w:r>
      <w:r w:rsidRPr="00405647" w:rsidR="007948CE">
        <w:t xml:space="preserve"> 2. </w:t>
      </w:r>
      <w:r w:rsidR="000A68EF">
        <w:t>NCHS understands that OMB approval for exploration of these topics does not imply or guarantee future approval for use or application of these or similar items.</w:t>
      </w:r>
    </w:p>
    <w:p w:rsidR="007948CE" w:rsidP="00B65371" w14:paraId="4162E545" w14:textId="77777777"/>
    <w:p w:rsidR="00300C2B" w:rsidP="00B65371" w14:paraId="56E00EE0" w14:textId="67CFB9F6">
      <w:r>
        <w:t xml:space="preserve">The </w:t>
      </w:r>
      <w:r w:rsidR="007948CE">
        <w:t xml:space="preserve">functional disability </w:t>
      </w:r>
      <w:r>
        <w:t xml:space="preserve">checklist </w:t>
      </w:r>
      <w:r w:rsidR="007948CE">
        <w:t>will be</w:t>
      </w:r>
      <w:r>
        <w:t xml:space="preserve"> the</w:t>
      </w:r>
      <w:r w:rsidR="007840E1">
        <w:t xml:space="preserve"> final product of a </w:t>
      </w:r>
      <w:r w:rsidR="00307406">
        <w:t xml:space="preserve">multi-phase </w:t>
      </w:r>
      <w:r w:rsidR="007840E1">
        <w:t xml:space="preserve">project </w:t>
      </w:r>
      <w:r w:rsidR="00047749">
        <w:t>recently funded</w:t>
      </w:r>
      <w:r w:rsidR="00ED7D0C">
        <w:t xml:space="preserve"> </w:t>
      </w:r>
      <w:r w:rsidR="009C204A">
        <w:t xml:space="preserve">by the </w:t>
      </w:r>
      <w:r w:rsidR="003823D7">
        <w:t xml:space="preserve">Office of </w:t>
      </w:r>
      <w:r w:rsidR="00646C21">
        <w:t xml:space="preserve">the Secretary Patient-Centered </w:t>
      </w:r>
      <w:r w:rsidR="00165D04">
        <w:t>Outcomes Research Trust Fund</w:t>
      </w:r>
      <w:r w:rsidR="00DB391F">
        <w:t xml:space="preserve"> </w:t>
      </w:r>
      <w:r w:rsidR="007840E1">
        <w:t xml:space="preserve">which aims to </w:t>
      </w:r>
      <w:r w:rsidR="004B445B">
        <w:t>improve identification and representation of individuals with ID/DD in</w:t>
      </w:r>
      <w:r w:rsidR="00C96B3E">
        <w:t xml:space="preserve"> </w:t>
      </w:r>
      <w:r w:rsidRPr="006B1B24" w:rsidR="00C96B3E">
        <w:t xml:space="preserve">administrative </w:t>
      </w:r>
      <w:r w:rsidR="00FA5250">
        <w:t xml:space="preserve">healthcare </w:t>
      </w:r>
      <w:r w:rsidRPr="006B1B24" w:rsidR="00C96B3E">
        <w:t>data systems used for public health surveillance and allocation of resources.</w:t>
      </w:r>
      <w:r w:rsidR="00307406">
        <w:t xml:space="preserve"> </w:t>
      </w:r>
      <w:r w:rsidRPr="006B1B24" w:rsidR="00C96B3E">
        <w:t xml:space="preserve"> </w:t>
      </w:r>
      <w:r w:rsidR="004B445B">
        <w:t xml:space="preserve"> </w:t>
      </w:r>
    </w:p>
    <w:p w:rsidR="00300C2B" w:rsidP="00B65371" w14:paraId="36507EC1" w14:textId="77777777"/>
    <w:p w:rsidR="00E748CA" w:rsidRPr="006B1B24" w:rsidP="008500C1" w14:paraId="0EE83DC6" w14:textId="21FD341B">
      <w:r w:rsidRPr="006B1B24">
        <w:t xml:space="preserve">Consistent representation in healthcare and service data is necessary for improving services and </w:t>
      </w:r>
      <w:r w:rsidRPr="006B1B24">
        <w:t>outcomes for people with ID/DD</w:t>
      </w:r>
      <w:r>
        <w:t>.</w:t>
      </w:r>
      <w:r>
        <w:rPr>
          <w:rStyle w:val="FootnoteReference"/>
          <w:vertAlign w:val="superscript"/>
        </w:rPr>
        <w:footnoteReference w:id="4"/>
      </w:r>
      <w:r w:rsidRPr="00883912">
        <w:rPr>
          <w:vertAlign w:val="superscript"/>
        </w:rPr>
        <w:t>,</w:t>
      </w:r>
      <w:r>
        <w:rPr>
          <w:rStyle w:val="FootnoteReference"/>
          <w:vertAlign w:val="superscript"/>
        </w:rPr>
        <w:footnoteReference w:id="5"/>
      </w:r>
      <w:r w:rsidRPr="00883912">
        <w:rPr>
          <w:vertAlign w:val="superscript"/>
        </w:rPr>
        <w:t>,</w:t>
      </w:r>
      <w:r>
        <w:rPr>
          <w:rStyle w:val="FootnoteReference"/>
          <w:vertAlign w:val="superscript"/>
        </w:rPr>
        <w:footnoteReference w:id="6"/>
      </w:r>
      <w:r w:rsidRPr="00883912">
        <w:rPr>
          <w:vertAlign w:val="superscript"/>
        </w:rPr>
        <w:t xml:space="preserve"> </w:t>
      </w:r>
      <w:r w:rsidRPr="006B1B24">
        <w:t>To fulfil this objective</w:t>
      </w:r>
      <w:r w:rsidR="000D5EC1">
        <w:t>,</w:t>
      </w:r>
      <w:r w:rsidRPr="006B1B24">
        <w:t xml:space="preserve"> a</w:t>
      </w:r>
      <w:r>
        <w:t xml:space="preserve">ccurate and complete reporting of ID/DD by the individual, a healthcare provider, or other proxy reporter, </w:t>
      </w:r>
      <w:r w:rsidRPr="006B1B24">
        <w:t xml:space="preserve">is </w:t>
      </w:r>
      <w:r>
        <w:t>needed</w:t>
      </w:r>
      <w:r w:rsidRPr="006B1B24">
        <w:t xml:space="preserve"> at the</w:t>
      </w:r>
      <w:r>
        <w:t xml:space="preserve"> time of</w:t>
      </w:r>
      <w:r w:rsidRPr="006B1B24">
        <w:t xml:space="preserve"> point of care</w:t>
      </w:r>
      <w:r>
        <w:t>.</w:t>
      </w:r>
      <w:r>
        <w:rPr>
          <w:rStyle w:val="FootnoteReference"/>
          <w:vertAlign w:val="superscript"/>
        </w:rPr>
        <w:footnoteReference w:id="7"/>
      </w:r>
      <w:r w:rsidRPr="006B1B24">
        <w:t xml:space="preserve"> Functional disability status was recently added as a United States Core Data for Interoperability (USCDI) v3 data element based on the current HHS standard for identifying disability status in federal surveys. </w:t>
      </w:r>
      <w:r>
        <w:t>Various question sets designed to capture and measure disability, such as the A</w:t>
      </w:r>
      <w:r w:rsidR="00A35EA0">
        <w:t>merican Community Survey</w:t>
      </w:r>
      <w:r>
        <w:t xml:space="preserve">-6 and Washington Group Short Set, have been thoroughly tested and are also available for use. </w:t>
      </w:r>
      <w:r w:rsidRPr="006B1B24">
        <w:t>However, the</w:t>
      </w:r>
      <w:r>
        <w:t>se</w:t>
      </w:r>
      <w:r w:rsidRPr="006B1B24">
        <w:t xml:space="preserve"> questions were designed for use in surveys and have not been adapted for use in a clinical setting, such as on a clinical intake form. </w:t>
      </w:r>
      <w:r>
        <w:t>In addition, these established question sets may not cover certain domains relevant to ID/DD</w:t>
      </w:r>
      <w:r w:rsidR="00064B53">
        <w:t xml:space="preserve"> and l</w:t>
      </w:r>
      <w:r w:rsidRPr="006B1B24" w:rsidR="00064B53">
        <w:rPr>
          <w:rStyle w:val="normaltextrun"/>
          <w:color w:val="000000"/>
        </w:rPr>
        <w:t xml:space="preserve">ittle research has been carried out </w:t>
      </w:r>
      <w:r w:rsidR="00064B53">
        <w:rPr>
          <w:rStyle w:val="normaltextrun"/>
          <w:color w:val="000000"/>
        </w:rPr>
        <w:t xml:space="preserve">among those with ID/DD </w:t>
      </w:r>
      <w:r w:rsidRPr="006B1B24" w:rsidR="00064B53">
        <w:rPr>
          <w:rStyle w:val="normaltextrun"/>
          <w:color w:val="000000"/>
        </w:rPr>
        <w:t>to establish whether there are functional difficulties that they encounter outside of the domains covered by the standard survey disability questions</w:t>
      </w:r>
      <w:r>
        <w:rPr>
          <w:rStyle w:val="FootnoteReference"/>
          <w:color w:val="000000"/>
          <w:vertAlign w:val="superscript"/>
        </w:rPr>
        <w:footnoteReference w:id="8"/>
      </w:r>
      <w:r w:rsidRPr="006B1B24" w:rsidR="00064B53">
        <w:rPr>
          <w:rStyle w:val="normaltextrun"/>
          <w:color w:val="000000"/>
        </w:rPr>
        <w:t xml:space="preserve">. </w:t>
      </w:r>
    </w:p>
    <w:p w:rsidR="00CA5DA4" w:rsidP="00AB20A8" w14:paraId="6FC26AAD" w14:textId="5297631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rsidRPr="006B1B24">
        <w:t xml:space="preserve">The first phase in this multi-phase </w:t>
      </w:r>
      <w:r w:rsidRPr="006B1B24" w:rsidR="009F2F48">
        <w:t>project</w:t>
      </w:r>
      <w:r w:rsidRPr="006B1B24" w:rsidR="008A5F40">
        <w:t xml:space="preserve">, and for which this application is being made, </w:t>
      </w:r>
      <w:r w:rsidRPr="006B1B24">
        <w:t>involves working directly with those with ID/DD and their support community by conducting exploratory research to help inform the initial design of the point</w:t>
      </w:r>
      <w:r w:rsidR="00A35EA0">
        <w:t>-</w:t>
      </w:r>
      <w:r w:rsidRPr="006B1B24">
        <w:t>of</w:t>
      </w:r>
      <w:r w:rsidR="00A35EA0">
        <w:t>-</w:t>
      </w:r>
      <w:r w:rsidRPr="006B1B24">
        <w:t xml:space="preserve">care </w:t>
      </w:r>
      <w:r w:rsidRPr="006B1B24" w:rsidR="009F2F48">
        <w:t xml:space="preserve">checklist </w:t>
      </w:r>
      <w:r w:rsidRPr="006B1B24">
        <w:t xml:space="preserve">instrument. The </w:t>
      </w:r>
      <w:r w:rsidR="00A35EA0">
        <w:t xml:space="preserve">aim of this </w:t>
      </w:r>
      <w:r w:rsidRPr="006B1B24">
        <w:t xml:space="preserve">exploratory research </w:t>
      </w:r>
      <w:r w:rsidR="00A35EA0">
        <w:t>phase is to</w:t>
      </w:r>
      <w:r w:rsidRPr="006B1B24">
        <w:t xml:space="preserve"> provide information not only on potential content of the instrument</w:t>
      </w:r>
      <w:r w:rsidRPr="006B1B24" w:rsidR="000B43C7">
        <w:t xml:space="preserve"> to be developed</w:t>
      </w:r>
      <w:r w:rsidRPr="006B1B24">
        <w:t>, but also information on the different ways in which respondents with ID/DD best communicate, to include where possible those who use non-verbal communications</w:t>
      </w:r>
      <w:r>
        <w:rPr>
          <w:rStyle w:val="FootnoteReference"/>
          <w:vertAlign w:val="superscript"/>
        </w:rPr>
        <w:footnoteReference w:id="9"/>
      </w:r>
      <w:r w:rsidRPr="006B1B24">
        <w:t xml:space="preserve">, such that the instrument can be made accessible. </w:t>
      </w:r>
    </w:p>
    <w:p w:rsidR="009B7C48" w:rsidRPr="006B1B24" w:rsidP="008500C1" w14:paraId="06E364CD" w14:textId="453FC4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t xml:space="preserve">Unlike CCQDER cognitive interviewing projects, this project will not test specific questions. </w:t>
      </w:r>
      <w:r w:rsidRPr="006B1B24" w:rsidR="00807ED4">
        <w:t xml:space="preserve">The interviewers </w:t>
      </w:r>
      <w:r w:rsidR="00807ED4">
        <w:t xml:space="preserve">will </w:t>
      </w:r>
      <w:r w:rsidRPr="006B1B24" w:rsidR="00807ED4">
        <w:t>use a topic guide</w:t>
      </w:r>
      <w:r w:rsidR="00CA5DA4">
        <w:t xml:space="preserve">, </w:t>
      </w:r>
      <w:r w:rsidRPr="00D26801" w:rsidR="00CA5DA4">
        <w:t>wherein the interviewer has a range of topics to cover</w:t>
      </w:r>
      <w:r w:rsidR="00CA5DA4">
        <w:t>,</w:t>
      </w:r>
      <w:r w:rsidRPr="00D26801" w:rsidR="00CA5DA4">
        <w:t xml:space="preserve"> but no specific order or question wording</w:t>
      </w:r>
      <w:r w:rsidR="00CA5DA4">
        <w:t xml:space="preserve">. Indeed, the discussion will be respondent driven, and will focus on the topics most salient to the respondent’s life experiences. </w:t>
      </w:r>
    </w:p>
    <w:p w:rsidR="007948CE" w:rsidRPr="004A4524" w:rsidP="007948CE" w14:paraId="6F147165" w14:textId="1EB45F32">
      <w:pPr>
        <w:widowControl/>
      </w:pPr>
      <w:r w:rsidRPr="007948CE">
        <w:t xml:space="preserve">The methodological aim of this study is consistent with the design of </w:t>
      </w:r>
      <w:r w:rsidR="00307406">
        <w:t xml:space="preserve">NCHS/CCQDER ethnographic interviews, that is, to understand social context, interactions, and practices so that questions </w:t>
      </w:r>
      <w:r w:rsidR="00B77905">
        <w:t>about</w:t>
      </w:r>
      <w:r w:rsidR="00307406">
        <w:t xml:space="preserve"> the study topic may better reflect how people perceive and interact with the world. </w:t>
      </w:r>
      <w:r w:rsidRPr="007948CE">
        <w:t xml:space="preserve">The testing procedure conforms to the </w:t>
      </w:r>
      <w:r w:rsidR="00307406">
        <w:t>ethnographic interview</w:t>
      </w:r>
      <w:r w:rsidRPr="007948CE">
        <w:t xml:space="preserve"> techniques that have been described in CCQDER’s generic clearance package (OMB No. 0920-0222, exp. 01/31/2026)</w:t>
      </w:r>
      <w:r w:rsidRPr="007948CE">
        <w:rPr>
          <w:b/>
          <w:bCs/>
        </w:rPr>
        <w:t xml:space="preserve">. </w:t>
      </w:r>
      <w:r w:rsidRPr="007948CE">
        <w:t>Within that framework, the following procedures are particular to this study:</w:t>
      </w:r>
    </w:p>
    <w:p w:rsidR="00FF47F0" w:rsidP="0038367D" w14:paraId="6B6E4698" w14:textId="7192C3B5">
      <w:pPr>
        <w:pStyle w:val="HTMLPreformatted"/>
        <w:rPr>
          <w:rFonts w:ascii="Times New Roman" w:hAnsi="Times New Roman" w:cs="Times New Roman"/>
          <w:sz w:val="24"/>
          <w:szCs w:val="24"/>
        </w:rPr>
      </w:pPr>
    </w:p>
    <w:p w:rsidR="00CF6413" w:rsidP="00D8697F" w14:paraId="2E6FF0D5" w14:textId="77777777">
      <w:pPr>
        <w:rPr>
          <w:u w:val="single"/>
        </w:rPr>
      </w:pPr>
      <w:r w:rsidRPr="008500C1">
        <w:rPr>
          <w:u w:val="single"/>
        </w:rPr>
        <w:t>Recruitment</w:t>
      </w:r>
    </w:p>
    <w:p w:rsidR="00ED0ABA" w:rsidP="00D8697F" w14:paraId="7DB760A6" w14:textId="00025242">
      <w:r w:rsidRPr="006B1B24">
        <w:t>We propose to recruit up to 40 English speaking, community dwelling</w:t>
      </w:r>
      <w:r>
        <w:t>,</w:t>
      </w:r>
      <w:r>
        <w:rPr>
          <w:rStyle w:val="FootnoteReference"/>
          <w:vertAlign w:val="superscript"/>
        </w:rPr>
        <w:footnoteReference w:id="10"/>
      </w:r>
      <w:r w:rsidRPr="006B1B24">
        <w:t xml:space="preserve"> adult (18+) respondents.</w:t>
      </w:r>
      <w:r w:rsidR="002A6C55">
        <w:t xml:space="preserve"> </w:t>
      </w:r>
      <w:r w:rsidRPr="006B1B24" w:rsidR="0038367D">
        <w:t>Up to 40 ethnographic in-depth interviews will be conducted</w:t>
      </w:r>
      <w:r w:rsidRPr="006B1B24" w:rsidR="007D0413">
        <w:t>, most as proxy/respondent dyads</w:t>
      </w:r>
      <w:r w:rsidRPr="006B1B24" w:rsidR="0038367D">
        <w:t>.</w:t>
      </w:r>
      <w:r w:rsidRPr="006B1B24" w:rsidR="00882AE7">
        <w:t xml:space="preserve"> </w:t>
      </w:r>
      <w:r w:rsidRPr="006B1B24" w:rsidR="00D8697F">
        <w:t>We will recruit self-reporting respondents with intellectual or developmental disabilities</w:t>
      </w:r>
      <w:r w:rsidR="00D8697F">
        <w:t>.</w:t>
      </w:r>
      <w:r>
        <w:rPr>
          <w:rStyle w:val="FootnoteReference"/>
          <w:vertAlign w:val="superscript"/>
        </w:rPr>
        <w:footnoteReference w:id="11"/>
      </w:r>
      <w:r w:rsidRPr="006B1B24" w:rsidR="00D8697F">
        <w:t xml:space="preserve"> The sample will include adults with primary diagnosis of intellectual disability, primary diagnosis of the developmental disability of </w:t>
      </w:r>
      <w:r w:rsidRPr="006B1B24" w:rsidR="0044742B">
        <w:t>autism spectrum disorder</w:t>
      </w:r>
      <w:r w:rsidRPr="006B1B24" w:rsidR="00D8697F">
        <w:t xml:space="preserve"> (ASD)</w:t>
      </w:r>
      <w:r>
        <w:rPr>
          <w:rStyle w:val="FootnoteReference"/>
          <w:vertAlign w:val="superscript"/>
        </w:rPr>
        <w:footnoteReference w:id="12"/>
      </w:r>
      <w:r w:rsidRPr="006B1B24" w:rsidR="00D8697F">
        <w:t xml:space="preserve"> (who may or may not have an intellectual disability), and those with the primary diagnosis of the developmental disability Cerebral Palsy (CP)</w:t>
      </w:r>
      <w:r>
        <w:rPr>
          <w:rStyle w:val="FootnoteReference"/>
          <w:vertAlign w:val="superscript"/>
        </w:rPr>
        <w:footnoteReference w:id="13"/>
      </w:r>
      <w:r w:rsidR="00D8697F">
        <w:t xml:space="preserve"> </w:t>
      </w:r>
      <w:r w:rsidRPr="006B1B24" w:rsidR="00D8697F">
        <w:t>(who may or may not have an intellectual disability). The inclusion of people with these diagnoses in the sample will reflect a range of conditions associated with ID/DD. This is because ID, ASD, and CP are common DDs that are typically diagnosed early in someone’s life, expected to be lifelong, and affect multiple domains of functioning (as opposed to other common DDs like vision and hearing loss)</w:t>
      </w:r>
      <w:r w:rsidR="00D8697F">
        <w:t>.</w:t>
      </w:r>
      <w:r>
        <w:rPr>
          <w:rStyle w:val="FootnoteReference"/>
          <w:vertAlign w:val="superscript"/>
        </w:rPr>
        <w:footnoteReference w:id="14"/>
      </w:r>
      <w:r w:rsidR="00D8697F">
        <w:rPr>
          <w:vertAlign w:val="superscript"/>
        </w:rPr>
        <w:t xml:space="preserve"> </w:t>
      </w:r>
      <w:r w:rsidRPr="006B1B24" w:rsidR="00D8697F">
        <w:t xml:space="preserve">We will aim to recruit a mix of respondents who might be considered </w:t>
      </w:r>
      <w:r>
        <w:t>have mild, moderate, and severe</w:t>
      </w:r>
      <w:r w:rsidR="00B77905">
        <w:t xml:space="preserve"> ID/DD</w:t>
      </w:r>
      <w:r w:rsidRPr="006B1B24" w:rsidR="00D8697F">
        <w:t>. This seve</w:t>
      </w:r>
      <w:r w:rsidR="00B77905">
        <w:t>rity</w:t>
      </w:r>
      <w:r w:rsidRPr="006B1B24" w:rsidR="00D8697F">
        <w:t xml:space="preserve"> assessment will be</w:t>
      </w:r>
      <w:r w:rsidR="00A9454E">
        <w:t xml:space="preserve"> included in the </w:t>
      </w:r>
      <w:r w:rsidR="00FA5358">
        <w:t>screener and is</w:t>
      </w:r>
      <w:r w:rsidRPr="006B1B24" w:rsidR="00D8697F">
        <w:t xml:space="preserve"> based on the level of support respondents receive with daily life activities</w:t>
      </w:r>
      <w:r w:rsidR="00D8697F">
        <w:t>.</w:t>
      </w:r>
      <w:r>
        <w:rPr>
          <w:rStyle w:val="FootnoteReference"/>
          <w:vertAlign w:val="superscript"/>
        </w:rPr>
        <w:footnoteReference w:id="15"/>
      </w:r>
      <w:r w:rsidRPr="006B1B24" w:rsidR="00D8697F">
        <w:t xml:space="preserve"> We will also aim to include a few people with ID/DD who are non-verbal communicators, to account for communication differences across the ID/DD community. Additionally, we </w:t>
      </w:r>
      <w:r w:rsidRPr="006B1B24" w:rsidR="00D8697F">
        <w:rPr>
          <w:rFonts w:eastAsia="Calibri"/>
        </w:rPr>
        <w:t xml:space="preserve">will recruit aides or caregivers of adults with ID/DD to participate in their own interview as one half of a respondent-proxy dyad (discussed in more detail below). </w:t>
      </w:r>
      <w:r w:rsidRPr="006B1B24" w:rsidR="00D8697F">
        <w:t xml:space="preserve"> In addition, demographic diversity and intersectionality is also a priority, with the goal of achieving a purposive sample that includes a mix of genders, age, and race/ethnicity. We also aim to recruit respondents from different geographical locations around the country. </w:t>
      </w:r>
    </w:p>
    <w:p w:rsidR="00D8697F" w:rsidRPr="006B1B24" w:rsidP="00D8697F" w14:paraId="5BE84F7F" w14:textId="77777777">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pPr>
    </w:p>
    <w:p w:rsidR="00D8697F" w:rsidRPr="006B1B24" w:rsidP="00D8697F" w14:paraId="7A3E96D9" w14:textId="77777777">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pPr>
      <w:r w:rsidRPr="006B1B24">
        <w:t xml:space="preserve">Some respondents may prefer to have a support person sit with them during the interview to help with communication. This support person, most will be chosen by the respondent, but where possible, will not be the person interviewed as part of the proxy respondent-dyads. This is because in previous studies we have found that the presence of the proxy respondent can influence the way in which respondents engage with the interview process. </w:t>
      </w:r>
    </w:p>
    <w:p w:rsidR="00873530" w:rsidP="002A6C55" w14:paraId="6254FF50" w14:textId="4D4D8A61">
      <w:pPr>
        <w:spacing w:after="120"/>
        <w:contextualSpacing/>
      </w:pPr>
    </w:p>
    <w:p w:rsidR="00FC1C93" w:rsidRPr="006B1B24" w:rsidP="00FC1C93" w14:paraId="5A53060D" w14:textId="6BDC541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rPr>
          <w:rFonts w:eastAsia="Calibri"/>
        </w:rPr>
      </w:pPr>
      <w:r>
        <w:rPr>
          <w:rFonts w:eastAsia="Calibri"/>
        </w:rPr>
        <w:t>As mentioned above, a</w:t>
      </w:r>
      <w:r w:rsidRPr="006B1B24">
        <w:rPr>
          <w:rFonts w:eastAsia="Calibri"/>
        </w:rPr>
        <w:t xml:space="preserve">ides or caregivers of adults with ID/DD </w:t>
      </w:r>
      <w:r>
        <w:rPr>
          <w:rFonts w:eastAsia="Calibri"/>
        </w:rPr>
        <w:t>may</w:t>
      </w:r>
      <w:r w:rsidRPr="006B1B24">
        <w:rPr>
          <w:rFonts w:eastAsia="Calibri"/>
        </w:rPr>
        <w:t xml:space="preserve"> participate in their own interview. For the purposes of this application, we will refer to these support persons as proxy respondents or proxy reports. In this scenario, proxy-report interviews will be conducted if the corresponding self-report interview is also scheduled and conducted and will not be attempted in cases where there is no corresponding self-report interview. The proxy respondent will know the person with ID/DD well and will provide close personal support for that person. These interviews will be conducted separately from that with the person with ID/DD. The proxy-report person may be an aide or caregiver, someone with firsthand knowledge of the person with </w:t>
      </w:r>
      <w:r w:rsidRPr="006B1B24">
        <w:rPr>
          <w:rFonts w:eastAsia="Calibri"/>
        </w:rPr>
        <w:t xml:space="preserve">ID/DD, but not necessarily their Legally Authorized Representative (LAR). In cases where the support person helping with communications during the respondent interview is also the proxy respondent, we will interview the proxy respondent first so that they are not primed as to the discussion topics in advance of their interview. Although we expect that most interviews will be dyad pairs, there may be cases where a respondent does not have an aide or caregiver. In this scenario the respondent may still qualify to take part in a solo interview. </w:t>
      </w:r>
    </w:p>
    <w:p w:rsidR="00FC1C93" w:rsidRPr="006B1B24" w:rsidP="00FC1C93" w14:paraId="3E1BFD69" w14:textId="77777777">
      <w:pPr>
        <w:tabs>
          <w:tab w:val="num" w:pos="360"/>
          <w:tab w:val="left" w:pos="1080"/>
        </w:tabs>
        <w:rPr>
          <w:rFonts w:eastAsia="Calibri"/>
        </w:rPr>
      </w:pPr>
      <w:r w:rsidRPr="006B1B24">
        <w:rPr>
          <w:rFonts w:eastAsia="Calibri"/>
        </w:rPr>
        <w:t xml:space="preserve">The diagram below illustrates the groups we will recruit and the types of interviews they may take part in. </w:t>
      </w:r>
    </w:p>
    <w:p w:rsidR="00FC1C93" w:rsidRPr="006B1B24" w:rsidP="00FC1C93" w14:paraId="52D57312" w14:textId="77777777">
      <w:pPr>
        <w:tabs>
          <w:tab w:val="num" w:pos="360"/>
          <w:tab w:val="left" w:pos="1080"/>
        </w:tabs>
        <w:rPr>
          <w:rFonts w:eastAsia="Calibri"/>
        </w:rPr>
      </w:pPr>
    </w:p>
    <w:p w:rsidR="00FC1C93" w:rsidRPr="006B1B24" w:rsidP="00FC1C93" w14:paraId="61AC4FC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rPr>
          <w:rFonts w:eastAsia="Arial Unicode MS"/>
          <w:color w:val="000000"/>
        </w:rPr>
      </w:pPr>
      <w:r w:rsidRPr="006B1B24">
        <w:rPr>
          <w:rFonts w:eastAsia="Arial Unicode MS"/>
          <w:noProof/>
          <w:color w:val="000000"/>
        </w:rPr>
        <mc:AlternateContent>
          <mc:Choice Requires="wps">
            <w:drawing>
              <wp:anchor distT="0" distB="0" distL="114300" distR="114300" simplePos="0" relativeHeight="251664384" behindDoc="0" locked="0" layoutInCell="1" allowOverlap="1">
                <wp:simplePos x="0" y="0"/>
                <wp:positionH relativeFrom="column">
                  <wp:posOffset>2805382</wp:posOffset>
                </wp:positionH>
                <wp:positionV relativeFrom="paragraph">
                  <wp:posOffset>287811</wp:posOffset>
                </wp:positionV>
                <wp:extent cx="1395682" cy="45719"/>
                <wp:effectExtent l="19050" t="57150" r="71755" b="88265"/>
                <wp:wrapNone/>
                <wp:docPr id="17" name="Straight Arrow Connector 17"/>
                <wp:cNvGraphicFramePr/>
                <a:graphic xmlns:a="http://schemas.openxmlformats.org/drawingml/2006/main">
                  <a:graphicData uri="http://schemas.microsoft.com/office/word/2010/wordprocessingShape">
                    <wps:wsp xmlns:wps="http://schemas.microsoft.com/office/word/2010/wordprocessingShape">
                      <wps:cNvCnPr/>
                      <wps:spPr>
                        <a:xfrm>
                          <a:off x="0" y="0"/>
                          <a:ext cx="1395682" cy="45719"/>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1025" type="#_x0000_t32" style="width:109.9pt;height:3.6pt;margin-top:22.65pt;margin-left:220.9pt;mso-height-percent:0;mso-height-relative:margin;mso-width-percent:0;mso-width-relative:margin;mso-wrap-distance-bottom:0;mso-wrap-distance-left:9pt;mso-wrap-distance-right:9pt;mso-wrap-distance-top:0;mso-wrap-style:square;position:absolute;visibility:visible;z-index:251665408" strokecolor="#bc4542" strokeweight="2.25pt">
                <v:stroke endarrow="block"/>
              </v:shape>
            </w:pict>
          </mc:Fallback>
        </mc:AlternateContent>
      </w:r>
      <w:r w:rsidRPr="006B1B24">
        <w:rPr>
          <w:rFonts w:eastAsia="Arial Unicode MS"/>
          <w:noProof/>
          <w:color w:val="000000"/>
        </w:rPr>
        <mc:AlternateContent>
          <mc:Choice Requires="wps">
            <w:drawing>
              <wp:anchor distT="0" distB="0" distL="114300" distR="114300" simplePos="0" relativeHeight="251668480" behindDoc="0" locked="0" layoutInCell="1" allowOverlap="1">
                <wp:simplePos x="0" y="0"/>
                <wp:positionH relativeFrom="margin">
                  <wp:posOffset>4269740</wp:posOffset>
                </wp:positionH>
                <wp:positionV relativeFrom="paragraph">
                  <wp:posOffset>31750</wp:posOffset>
                </wp:positionV>
                <wp:extent cx="1920240" cy="822960"/>
                <wp:effectExtent l="19050" t="19050" r="22860" b="15240"/>
                <wp:wrapNone/>
                <wp:docPr id="18" name="Rectangle: Rounded Corners 18"/>
                <wp:cNvGraphicFramePr/>
                <a:graphic xmlns:a="http://schemas.openxmlformats.org/drawingml/2006/main">
                  <a:graphicData uri="http://schemas.microsoft.com/office/word/2010/wordprocessingShape">
                    <wps:wsp xmlns:wps="http://schemas.microsoft.com/office/word/2010/wordprocessingShape">
                      <wps:cNvSpPr/>
                      <wps:spPr>
                        <a:xfrm>
                          <a:off x="0" y="0"/>
                          <a:ext cx="1920240" cy="822960"/>
                        </a:xfrm>
                        <a:prstGeom prst="roundRect">
                          <a:avLst/>
                        </a:prstGeom>
                        <a:ln w="28575">
                          <a:solidFill>
                            <a:srgbClr val="7030A0"/>
                          </a:solidFill>
                        </a:ln>
                      </wps:spPr>
                      <wps:style>
                        <a:lnRef idx="2">
                          <a:schemeClr val="accent2"/>
                        </a:lnRef>
                        <a:fillRef idx="1">
                          <a:schemeClr val="lt1"/>
                        </a:fillRef>
                        <a:effectRef idx="0">
                          <a:schemeClr val="accent2"/>
                        </a:effectRef>
                        <a:fontRef idx="minor">
                          <a:schemeClr val="dk1"/>
                        </a:fontRef>
                      </wps:style>
                      <wps:txbx>
                        <w:txbxContent>
                          <w:p w:rsidR="00FC1C93" w:rsidRPr="00FE425E" w:rsidP="00FC1C93" w14:textId="77777777">
                            <w:pPr>
                              <w:jc w:val="center"/>
                              <w:rPr>
                                <w:rFonts w:ascii="Arial" w:hAnsi="Arial" w:cs="Arial"/>
                              </w:rPr>
                            </w:pPr>
                            <w:r w:rsidRPr="00FE425E">
                              <w:rPr>
                                <w:rFonts w:ascii="Arial" w:hAnsi="Arial" w:cs="Arial"/>
                              </w:rPr>
                              <w:t>Independent self-report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8" o:spid="_x0000_s1026" style="width:151.2pt;height:64.8pt;margin-top:2.5pt;margin-left:336.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9504" arcsize="10923f" fillcolor="white" strokecolor="#7030a0" strokeweight="2.25pt">
                <v:textbox>
                  <w:txbxContent>
                    <w:p w:rsidR="00FC1C93" w:rsidRPr="00FE425E" w:rsidP="00FC1C93" w14:paraId="5B63C4D9" w14:textId="77777777">
                      <w:pPr>
                        <w:jc w:val="center"/>
                        <w:rPr>
                          <w:rFonts w:ascii="Arial" w:hAnsi="Arial" w:cs="Arial"/>
                        </w:rPr>
                      </w:pPr>
                      <w:r w:rsidRPr="00FE425E">
                        <w:rPr>
                          <w:rFonts w:ascii="Arial" w:hAnsi="Arial" w:cs="Arial"/>
                        </w:rPr>
                        <w:t>Independent self-report</w:t>
                      </w:r>
                    </w:p>
                  </w:txbxContent>
                </v:textbox>
                <w10:wrap anchorx="margin"/>
              </v:roundrect>
            </w:pict>
          </mc:Fallback>
        </mc:AlternateContent>
      </w:r>
      <w:r w:rsidRPr="006B1B24">
        <w:rPr>
          <w:rFonts w:eastAsia="Arial Unicode MS"/>
          <w:noProof/>
          <w:color w:val="000000"/>
        </w:rPr>
        <mc:AlternateContent>
          <mc:Choice Requires="wps">
            <w:drawing>
              <wp:anchor distT="0" distB="0" distL="114300" distR="114300" simplePos="0" relativeHeight="251658240" behindDoc="0" locked="0" layoutInCell="1" allowOverlap="1">
                <wp:simplePos x="0" y="0"/>
                <wp:positionH relativeFrom="column">
                  <wp:posOffset>836295</wp:posOffset>
                </wp:positionH>
                <wp:positionV relativeFrom="paragraph">
                  <wp:posOffset>31750</wp:posOffset>
                </wp:positionV>
                <wp:extent cx="1911614" cy="640080"/>
                <wp:effectExtent l="0" t="0" r="12700" b="26670"/>
                <wp:wrapNone/>
                <wp:docPr id="19" name="Rectangle: Rounded Corners 19" descr="Adults"/>
                <wp:cNvGraphicFramePr/>
                <a:graphic xmlns:a="http://schemas.openxmlformats.org/drawingml/2006/main">
                  <a:graphicData uri="http://schemas.microsoft.com/office/word/2010/wordprocessingShape">
                    <wps:wsp xmlns:wps="http://schemas.microsoft.com/office/word/2010/wordprocessingShape">
                      <wps:cNvSpPr/>
                      <wps:spPr>
                        <a:xfrm>
                          <a:off x="0" y="0"/>
                          <a:ext cx="1911614" cy="640080"/>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rsidR="00FC1C93" w:rsidRPr="00FE425E" w:rsidP="00FC1C93" w14:textId="77777777">
                            <w:pPr>
                              <w:jc w:val="center"/>
                              <w:rPr>
                                <w:rFonts w:ascii="Arial" w:hAnsi="Arial" w:cs="Arial"/>
                              </w:rPr>
                            </w:pPr>
                            <w:r w:rsidRPr="00FE425E">
                              <w:rPr>
                                <w:rFonts w:ascii="Arial" w:hAnsi="Arial" w:cs="Arial"/>
                              </w:rPr>
                              <w:t>Adults with primary diagnosis ID/DD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9" o:spid="_x0000_s1027" alt="Adults" style="width:150.5pt;height:50.4pt;margin-top:2.5pt;margin-left:65.85pt;mso-height-percent:0;mso-height-relative:margin;mso-width-percent:0;mso-width-relative:margin;mso-wrap-distance-bottom:0;mso-wrap-distance-left:9pt;mso-wrap-distance-right:9pt;mso-wrap-distance-top:0;mso-wrap-style:square;position:absolute;visibility:visible;v-text-anchor:middle;z-index:251659264" arcsize="10923f" fillcolor="#c0504d" strokecolor="#243f60" strokeweight="2pt">
                <v:textbox>
                  <w:txbxContent>
                    <w:p w:rsidR="00FC1C93" w:rsidRPr="00FE425E" w:rsidP="00FC1C93" w14:paraId="5B68049D" w14:textId="77777777">
                      <w:pPr>
                        <w:jc w:val="center"/>
                        <w:rPr>
                          <w:rFonts w:ascii="Arial" w:hAnsi="Arial" w:cs="Arial"/>
                        </w:rPr>
                      </w:pPr>
                      <w:r w:rsidRPr="00FE425E">
                        <w:rPr>
                          <w:rFonts w:ascii="Arial" w:hAnsi="Arial" w:cs="Arial"/>
                        </w:rPr>
                        <w:t>Adults with primary diagnosis ID/DD</w:t>
                      </w:r>
                    </w:p>
                  </w:txbxContent>
                </v:textbox>
              </v:roundrect>
            </w:pict>
          </mc:Fallback>
        </mc:AlternateContent>
      </w:r>
    </w:p>
    <w:p w:rsidR="00FC1C93" w:rsidRPr="006B1B24" w:rsidP="00FC1C93" w14:paraId="2A7D881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rPr>
          <w:rFonts w:eastAsia="Arial Unicode MS"/>
          <w:color w:val="000000"/>
        </w:rPr>
      </w:pPr>
      <w:r w:rsidRPr="006B1B24">
        <w:rPr>
          <w:rFonts w:eastAsia="Arial Unicode MS"/>
          <w:noProof/>
          <w:color w:val="000000"/>
        </w:rPr>
        <mc:AlternateContent>
          <mc:Choice Requires="wps">
            <w:drawing>
              <wp:anchor distT="0" distB="0" distL="114300" distR="114300" simplePos="0" relativeHeight="251682816" behindDoc="0" locked="0" layoutInCell="1" allowOverlap="1">
                <wp:simplePos x="0" y="0"/>
                <wp:positionH relativeFrom="margin">
                  <wp:posOffset>2821784</wp:posOffset>
                </wp:positionH>
                <wp:positionV relativeFrom="paragraph">
                  <wp:posOffset>194525</wp:posOffset>
                </wp:positionV>
                <wp:extent cx="1352011" cy="1316247"/>
                <wp:effectExtent l="19050" t="38100" r="38735" b="17780"/>
                <wp:wrapNone/>
                <wp:docPr id="20" name="Straight Arrow Connector 20"/>
                <wp:cNvGraphicFramePr/>
                <a:graphic xmlns:a="http://schemas.openxmlformats.org/drawingml/2006/main">
                  <a:graphicData uri="http://schemas.microsoft.com/office/word/2010/wordprocessingShape">
                    <wps:wsp xmlns:wps="http://schemas.microsoft.com/office/word/2010/wordprocessingShape">
                      <wps:cNvCnPr/>
                      <wps:spPr>
                        <a:xfrm flipV="1">
                          <a:off x="0" y="0"/>
                          <a:ext cx="1352011" cy="1316247"/>
                        </a:xfrm>
                        <a:prstGeom prst="straightConnector1">
                          <a:avLst/>
                        </a:prstGeom>
                        <a:ln w="28575">
                          <a:solidFill>
                            <a:schemeClr val="accent4">
                              <a:lumMod val="75000"/>
                            </a:schemeClr>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8" type="#_x0000_t32" style="width:106.45pt;height:103.65pt;margin-top:15.3pt;margin-left:222.2pt;flip:y;mso-height-percent:0;mso-height-relative:margin;mso-position-horizontal-relative:margin;mso-width-percent:0;mso-width-relative:margin;mso-wrap-distance-bottom:0;mso-wrap-distance-left:9pt;mso-wrap-distance-right:9pt;mso-wrap-distance-top:0;mso-wrap-style:square;position:absolute;visibility:visible;z-index:251683840" strokecolor="#5f497a" strokeweight="2.25pt">
                <v:stroke endarrow="block"/>
                <w10:wrap anchorx="margin"/>
              </v:shape>
            </w:pict>
          </mc:Fallback>
        </mc:AlternateContent>
      </w:r>
      <w:r w:rsidRPr="006B1B24">
        <w:rPr>
          <w:rFonts w:eastAsia="Arial Unicode MS"/>
          <w:noProof/>
          <w:color w:val="000000"/>
        </w:rPr>
        <mc:AlternateContent>
          <mc:Choice Requires="wps">
            <w:drawing>
              <wp:anchor distT="0" distB="0" distL="114300" distR="114300" simplePos="0" relativeHeight="251672576" behindDoc="0" locked="0" layoutInCell="1" allowOverlap="1">
                <wp:simplePos x="0" y="0"/>
                <wp:positionH relativeFrom="margin">
                  <wp:posOffset>2788129</wp:posOffset>
                </wp:positionH>
                <wp:positionV relativeFrom="paragraph">
                  <wp:posOffset>55366</wp:posOffset>
                </wp:positionV>
                <wp:extent cx="1431134" cy="1016120"/>
                <wp:effectExtent l="19050" t="19050" r="55245" b="50800"/>
                <wp:wrapNone/>
                <wp:docPr id="21" name="Straight Arrow Connector 21"/>
                <wp:cNvGraphicFramePr/>
                <a:graphic xmlns:a="http://schemas.openxmlformats.org/drawingml/2006/main">
                  <a:graphicData uri="http://schemas.microsoft.com/office/word/2010/wordprocessingShape">
                    <wps:wsp xmlns:wps="http://schemas.microsoft.com/office/word/2010/wordprocessingShape">
                      <wps:cNvCnPr/>
                      <wps:spPr>
                        <a:xfrm>
                          <a:off x="0" y="0"/>
                          <a:ext cx="1431134" cy="101612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9" type="#_x0000_t32" style="width:112.7pt;height:80pt;margin-top:4.35pt;margin-left:219.55pt;mso-height-percent:0;mso-height-relative:margin;mso-position-horizontal-relative:margin;mso-width-percent:0;mso-width-relative:margin;mso-wrap-distance-bottom:0;mso-wrap-distance-left:9pt;mso-wrap-distance-right:9pt;mso-wrap-distance-top:0;mso-wrap-style:square;position:absolute;visibility:visible;z-index:251673600" strokecolor="#bc4542" strokeweight="2.25pt">
                <v:stroke endarrow="block"/>
                <w10:wrap anchorx="margin"/>
              </v:shape>
            </w:pict>
          </mc:Fallback>
        </mc:AlternateContent>
      </w:r>
      <w:r w:rsidRPr="006B1B24">
        <w:rPr>
          <w:rFonts w:eastAsia="Arial Unicode MS"/>
          <w:noProof/>
          <w:color w:val="000000"/>
        </w:rPr>
        <mc:AlternateContent>
          <mc:Choice Requires="wps">
            <w:drawing>
              <wp:anchor distT="0" distB="0" distL="114300" distR="114300" simplePos="0" relativeHeight="251674624" behindDoc="0" locked="0" layoutInCell="1" allowOverlap="1">
                <wp:simplePos x="0" y="0"/>
                <wp:positionH relativeFrom="margin">
                  <wp:posOffset>2839888</wp:posOffset>
                </wp:positionH>
                <wp:positionV relativeFrom="paragraph">
                  <wp:posOffset>63991</wp:posOffset>
                </wp:positionV>
                <wp:extent cx="1343923" cy="719515"/>
                <wp:effectExtent l="19050" t="38100" r="46990" b="23495"/>
                <wp:wrapNone/>
                <wp:docPr id="22" name="Straight Arrow Connector 22"/>
                <wp:cNvGraphicFramePr/>
                <a:graphic xmlns:a="http://schemas.openxmlformats.org/drawingml/2006/main">
                  <a:graphicData uri="http://schemas.microsoft.com/office/word/2010/wordprocessingShape">
                    <wps:wsp xmlns:wps="http://schemas.microsoft.com/office/word/2010/wordprocessingShape">
                      <wps:cNvCnPr/>
                      <wps:spPr>
                        <a:xfrm flipV="1">
                          <a:off x="0" y="0"/>
                          <a:ext cx="1343923" cy="719515"/>
                        </a:xfrm>
                        <a:prstGeom prst="straightConnector1">
                          <a:avLst/>
                        </a:prstGeom>
                        <a:ln w="28575">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30" type="#_x0000_t32" style="width:105.8pt;height:56.65pt;margin-top:5.05pt;margin-left:223.6pt;flip:y;mso-height-percent:0;mso-height-relative:margin;mso-position-horizontal-relative:margin;mso-width-percent:0;mso-width-relative:margin;mso-wrap-distance-bottom:0;mso-wrap-distance-left:9pt;mso-wrap-distance-right:9pt;mso-wrap-distance-top:0;mso-wrap-style:square;position:absolute;visibility:visible;z-index:251675648" strokecolor="#f68c36" strokeweight="2.25pt">
                <v:stroke endarrow="block"/>
                <w10:wrap anchorx="margin"/>
              </v:shape>
            </w:pict>
          </mc:Fallback>
        </mc:AlternateContent>
      </w:r>
    </w:p>
    <w:p w:rsidR="00FC1C93" w:rsidRPr="006B1B24" w:rsidP="00FC1C93" w14:paraId="2CDBC64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rPr>
          <w:rFonts w:eastAsia="Arial Unicode MS"/>
          <w:color w:val="000000"/>
        </w:rPr>
      </w:pPr>
      <w:r w:rsidRPr="006B1B24">
        <w:rPr>
          <w:rFonts w:eastAsia="Arial Unicode MS"/>
          <w:noProof/>
          <w:color w:val="000000"/>
        </w:rPr>
        <mc:AlternateContent>
          <mc:Choice Requires="wps">
            <w:drawing>
              <wp:anchor distT="0" distB="0" distL="114300" distR="114300" simplePos="0" relativeHeight="251662336" behindDoc="0" locked="0" layoutInCell="1" allowOverlap="1">
                <wp:simplePos x="0" y="0"/>
                <wp:positionH relativeFrom="column">
                  <wp:posOffset>853440</wp:posOffset>
                </wp:positionH>
                <wp:positionV relativeFrom="paragraph">
                  <wp:posOffset>134620</wp:posOffset>
                </wp:positionV>
                <wp:extent cx="1920240" cy="640080"/>
                <wp:effectExtent l="0" t="0" r="22860" b="26670"/>
                <wp:wrapNone/>
                <wp:docPr id="23" name="Rectangle: Rounded Corners 23" descr="Adults"/>
                <wp:cNvGraphicFramePr/>
                <a:graphic xmlns:a="http://schemas.openxmlformats.org/drawingml/2006/main">
                  <a:graphicData uri="http://schemas.microsoft.com/office/word/2010/wordprocessingShape">
                    <wps:wsp xmlns:wps="http://schemas.microsoft.com/office/word/2010/wordprocessingShape">
                      <wps:cNvSpPr/>
                      <wps:spPr>
                        <a:xfrm>
                          <a:off x="0" y="0"/>
                          <a:ext cx="1920240" cy="64008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FC1C93" w:rsidRPr="00FE425E" w:rsidP="00FC1C93" w14:textId="77777777">
                            <w:pPr>
                              <w:jc w:val="center"/>
                              <w:rPr>
                                <w:rFonts w:ascii="Arial" w:hAnsi="Arial" w:cs="Arial"/>
                              </w:rPr>
                            </w:pPr>
                            <w:r w:rsidRPr="00FE425E">
                              <w:rPr>
                                <w:rFonts w:ascii="Arial" w:hAnsi="Arial" w:cs="Arial"/>
                              </w:rPr>
                              <w:t>Adults with primary diagnosis ASD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3" o:spid="_x0000_s1031" alt="Adults" style="width:151.2pt;height:50.4pt;margin-top:10.6pt;margin-left:67.2pt;mso-height-percent:0;mso-height-relative:margin;mso-width-percent:0;mso-width-relative:margin;mso-wrap-distance-bottom:0;mso-wrap-distance-left:9pt;mso-wrap-distance-right:9pt;mso-wrap-distance-top:0;mso-wrap-style:square;position:absolute;visibility:visible;v-text-anchor:middle;z-index:251663360" arcsize="10923f" fillcolor="#92d050" strokecolor="#243f60" strokeweight="2pt">
                <v:textbox>
                  <w:txbxContent>
                    <w:p w:rsidR="00FC1C93" w:rsidRPr="00FE425E" w:rsidP="00FC1C93" w14:paraId="696F851B" w14:textId="77777777">
                      <w:pPr>
                        <w:jc w:val="center"/>
                        <w:rPr>
                          <w:rFonts w:ascii="Arial" w:hAnsi="Arial" w:cs="Arial"/>
                        </w:rPr>
                      </w:pPr>
                      <w:r w:rsidRPr="00FE425E">
                        <w:rPr>
                          <w:rFonts w:ascii="Arial" w:hAnsi="Arial" w:cs="Arial"/>
                        </w:rPr>
                        <w:t>Adults with primary diagnosis ASD</w:t>
                      </w:r>
                    </w:p>
                  </w:txbxContent>
                </v:textbox>
              </v:roundrect>
            </w:pict>
          </mc:Fallback>
        </mc:AlternateContent>
      </w:r>
    </w:p>
    <w:p w:rsidR="00FC1C93" w:rsidRPr="006B1B24" w:rsidP="00FC1C93" w14:paraId="06529AC4" w14:textId="77777777">
      <w:pPr>
        <w:pStyle w:val="listparagraph0"/>
        <w:tabs>
          <w:tab w:val="num" w:pos="-630"/>
        </w:tabs>
        <w:spacing w:before="0" w:beforeAutospacing="0" w:after="0" w:afterAutospacing="0"/>
        <w:ind w:left="-630"/>
        <w:rPr>
          <w:i/>
          <w:iCs/>
        </w:rPr>
      </w:pPr>
      <w:r w:rsidRPr="006B1B24">
        <w:rPr>
          <w:rFonts w:eastAsia="Arial Unicode MS"/>
          <w:noProof/>
          <w:color w:val="000000"/>
        </w:rPr>
        <mc:AlternateContent>
          <mc:Choice Requires="wps">
            <w:drawing>
              <wp:anchor distT="0" distB="0" distL="114300" distR="114300" simplePos="0" relativeHeight="251666432" behindDoc="0" locked="0" layoutInCell="1" allowOverlap="1">
                <wp:simplePos x="0" y="0"/>
                <wp:positionH relativeFrom="column">
                  <wp:posOffset>4288790</wp:posOffset>
                </wp:positionH>
                <wp:positionV relativeFrom="paragraph">
                  <wp:posOffset>42545</wp:posOffset>
                </wp:positionV>
                <wp:extent cx="1920240" cy="822960"/>
                <wp:effectExtent l="19050" t="19050" r="22860" b="15240"/>
                <wp:wrapNone/>
                <wp:docPr id="24" name="Rectangle: Rounded Corners 24"/>
                <wp:cNvGraphicFramePr/>
                <a:graphic xmlns:a="http://schemas.openxmlformats.org/drawingml/2006/main">
                  <a:graphicData uri="http://schemas.microsoft.com/office/word/2010/wordprocessingShape">
                    <wps:wsp xmlns:wps="http://schemas.microsoft.com/office/word/2010/wordprocessingShape">
                      <wps:cNvSpPr/>
                      <wps:spPr>
                        <a:xfrm>
                          <a:off x="0" y="0"/>
                          <a:ext cx="1920240" cy="822960"/>
                        </a:xfrm>
                        <a:prstGeom prst="roundRect">
                          <a:avLst/>
                        </a:prstGeom>
                        <a:ln w="28575">
                          <a:solidFill>
                            <a:srgbClr val="7030A0"/>
                          </a:solidFill>
                        </a:ln>
                      </wps:spPr>
                      <wps:style>
                        <a:lnRef idx="2">
                          <a:schemeClr val="accent2"/>
                        </a:lnRef>
                        <a:fillRef idx="1">
                          <a:schemeClr val="lt1"/>
                        </a:fillRef>
                        <a:effectRef idx="0">
                          <a:schemeClr val="accent2"/>
                        </a:effectRef>
                        <a:fontRef idx="minor">
                          <a:schemeClr val="dk1"/>
                        </a:fontRef>
                      </wps:style>
                      <wps:txbx>
                        <w:txbxContent>
                          <w:p w:rsidR="00FC1C93" w:rsidRPr="00FE425E" w:rsidP="00FC1C93" w14:textId="77777777">
                            <w:pPr>
                              <w:jc w:val="center"/>
                              <w:rPr>
                                <w:rFonts w:ascii="Arial" w:hAnsi="Arial" w:cs="Arial"/>
                              </w:rPr>
                            </w:pPr>
                            <w:r w:rsidRPr="00FE425E">
                              <w:rPr>
                                <w:rFonts w:ascii="Arial" w:hAnsi="Arial" w:cs="Arial"/>
                              </w:rPr>
                              <w:t>Assisted self-report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4" o:spid="_x0000_s1032" style="width:151.2pt;height:64.8pt;margin-top:3.35pt;margin-left:337.7pt;mso-height-percent:0;mso-height-relative:margin;mso-width-percent:0;mso-width-relative:margin;mso-wrap-distance-bottom:0;mso-wrap-distance-left:9pt;mso-wrap-distance-right:9pt;mso-wrap-distance-top:0;mso-wrap-style:square;position:absolute;visibility:visible;v-text-anchor:middle;z-index:251667456" arcsize="10923f" fillcolor="white" strokecolor="#7030a0" strokeweight="2.25pt">
                <v:textbox>
                  <w:txbxContent>
                    <w:p w:rsidR="00FC1C93" w:rsidRPr="00FE425E" w:rsidP="00FC1C93" w14:paraId="4D321704" w14:textId="77777777">
                      <w:pPr>
                        <w:jc w:val="center"/>
                        <w:rPr>
                          <w:rFonts w:ascii="Arial" w:hAnsi="Arial" w:cs="Arial"/>
                        </w:rPr>
                      </w:pPr>
                      <w:r w:rsidRPr="00FE425E">
                        <w:rPr>
                          <w:rFonts w:ascii="Arial" w:hAnsi="Arial" w:cs="Arial"/>
                        </w:rPr>
                        <w:t>Assisted self-</w:t>
                      </w:r>
                      <w:r w:rsidRPr="00FE425E">
                        <w:rPr>
                          <w:rFonts w:ascii="Arial" w:hAnsi="Arial" w:cs="Arial"/>
                        </w:rPr>
                        <w:t>report</w:t>
                      </w:r>
                    </w:p>
                  </w:txbxContent>
                </v:textbox>
              </v:roundrect>
            </w:pict>
          </mc:Fallback>
        </mc:AlternateContent>
      </w:r>
    </w:p>
    <w:p w:rsidR="00FC1C93" w:rsidRPr="006B1B24" w:rsidP="00FC1C93" w14:paraId="2A08062E" w14:textId="77777777">
      <w:pPr>
        <w:pStyle w:val="listparagraph0"/>
        <w:tabs>
          <w:tab w:val="num" w:pos="360"/>
          <w:tab w:val="left" w:pos="1080"/>
        </w:tabs>
        <w:spacing w:before="0" w:beforeAutospacing="0" w:after="0" w:afterAutospacing="0"/>
        <w:rPr>
          <w:i/>
          <w:iCs/>
        </w:rPr>
      </w:pPr>
      <w:r w:rsidRPr="006B1B24">
        <w:rPr>
          <w:rFonts w:eastAsia="Arial Unicode MS"/>
          <w:noProof/>
          <w:color w:val="000000"/>
        </w:rPr>
        <mc:AlternateContent>
          <mc:Choice Requires="wps">
            <w:drawing>
              <wp:anchor distT="0" distB="0" distL="114300" distR="114300" simplePos="0" relativeHeight="251676672" behindDoc="0" locked="0" layoutInCell="1" allowOverlap="1">
                <wp:simplePos x="0" y="0"/>
                <wp:positionH relativeFrom="margin">
                  <wp:posOffset>2857141</wp:posOffset>
                </wp:positionH>
                <wp:positionV relativeFrom="paragraph">
                  <wp:posOffset>7728</wp:posOffset>
                </wp:positionV>
                <wp:extent cx="1343336" cy="282874"/>
                <wp:effectExtent l="19050" t="19050" r="47625" b="60325"/>
                <wp:wrapNone/>
                <wp:docPr id="25" name="Straight Arrow Connector 25"/>
                <wp:cNvGraphicFramePr/>
                <a:graphic xmlns:a="http://schemas.openxmlformats.org/drawingml/2006/main">
                  <a:graphicData uri="http://schemas.microsoft.com/office/word/2010/wordprocessingShape">
                    <wps:wsp xmlns:wps="http://schemas.microsoft.com/office/word/2010/wordprocessingShape">
                      <wps:cNvCnPr/>
                      <wps:spPr>
                        <a:xfrm>
                          <a:off x="0" y="0"/>
                          <a:ext cx="1343336" cy="282874"/>
                        </a:xfrm>
                        <a:prstGeom prst="straightConnector1">
                          <a:avLst/>
                        </a:prstGeom>
                        <a:ln w="28575">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33" type="#_x0000_t32" style="width:105.75pt;height:22.25pt;margin-top:0.6pt;margin-left:224.95pt;mso-height-percent:0;mso-height-relative:margin;mso-position-horizontal-relative:margin;mso-width-percent:0;mso-width-relative:margin;mso-wrap-distance-bottom:0;mso-wrap-distance-left:9pt;mso-wrap-distance-right:9pt;mso-wrap-distance-top:0;mso-wrap-style:square;position:absolute;visibility:visible;z-index:251677696" strokecolor="#f68c36" strokeweight="2.25pt">
                <v:stroke endarrow="block"/>
                <w10:wrap anchorx="margin"/>
              </v:shape>
            </w:pict>
          </mc:Fallback>
        </mc:AlternateContent>
      </w:r>
    </w:p>
    <w:p w:rsidR="00FC1C93" w:rsidRPr="006B1B24" w:rsidP="00FC1C93" w14:paraId="10E1D64D" w14:textId="77777777">
      <w:pPr>
        <w:pStyle w:val="listparagraph0"/>
        <w:tabs>
          <w:tab w:val="num" w:pos="360"/>
          <w:tab w:val="left" w:pos="1080"/>
        </w:tabs>
        <w:spacing w:before="0" w:beforeAutospacing="0" w:after="0" w:afterAutospacing="0"/>
        <w:rPr>
          <w:i/>
          <w:iCs/>
        </w:rPr>
      </w:pPr>
    </w:p>
    <w:p w:rsidR="00FC1C93" w:rsidRPr="006B1B24" w:rsidP="00FC1C93" w14:paraId="42E6F54E" w14:textId="77777777">
      <w:pPr>
        <w:pStyle w:val="listparagraph0"/>
        <w:tabs>
          <w:tab w:val="num" w:pos="360"/>
          <w:tab w:val="left" w:pos="1080"/>
        </w:tabs>
        <w:spacing w:before="0" w:beforeAutospacing="0" w:after="0" w:afterAutospacing="0"/>
        <w:rPr>
          <w:i/>
          <w:iCs/>
        </w:rPr>
      </w:pPr>
      <w:r w:rsidRPr="006B1B24">
        <w:rPr>
          <w:rFonts w:eastAsia="Arial Unicode MS"/>
          <w:noProof/>
          <w:color w:val="000000"/>
        </w:rPr>
        <mc:AlternateContent>
          <mc:Choice Requires="wps">
            <w:drawing>
              <wp:anchor distT="0" distB="0" distL="114300" distR="114300" simplePos="0" relativeHeight="251684864" behindDoc="0" locked="0" layoutInCell="1" allowOverlap="1">
                <wp:simplePos x="0" y="0"/>
                <wp:positionH relativeFrom="margin">
                  <wp:posOffset>2788128</wp:posOffset>
                </wp:positionH>
                <wp:positionV relativeFrom="paragraph">
                  <wp:posOffset>24740</wp:posOffset>
                </wp:positionV>
                <wp:extent cx="1326671" cy="371775"/>
                <wp:effectExtent l="19050" t="57150" r="26035" b="28575"/>
                <wp:wrapNone/>
                <wp:docPr id="26" name="Straight Arrow Connector 26"/>
                <wp:cNvGraphicFramePr/>
                <a:graphic xmlns:a="http://schemas.openxmlformats.org/drawingml/2006/main">
                  <a:graphicData uri="http://schemas.microsoft.com/office/word/2010/wordprocessingShape">
                    <wps:wsp xmlns:wps="http://schemas.microsoft.com/office/word/2010/wordprocessingShape">
                      <wps:cNvCnPr/>
                      <wps:spPr>
                        <a:xfrm flipV="1">
                          <a:off x="0" y="0"/>
                          <a:ext cx="1326671" cy="371775"/>
                        </a:xfrm>
                        <a:prstGeom prst="straightConnector1">
                          <a:avLst/>
                        </a:prstGeom>
                        <a:ln w="28575">
                          <a:solidFill>
                            <a:schemeClr val="accent4">
                              <a:lumMod val="75000"/>
                            </a:schemeClr>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34" type="#_x0000_t32" style="width:104.45pt;height:29.25pt;margin-top:1.95pt;margin-left:219.55pt;flip:y;mso-height-percent:0;mso-height-relative:margin;mso-position-horizontal-relative:margin;mso-width-percent:0;mso-width-relative:margin;mso-wrap-distance-bottom:0;mso-wrap-distance-left:9pt;mso-wrap-distance-right:9pt;mso-wrap-distance-top:0;mso-wrap-style:square;position:absolute;visibility:visible;z-index:251685888" strokecolor="#5f497a" strokeweight="2.25pt">
                <v:stroke endarrow="block"/>
                <w10:wrap anchorx="margin"/>
              </v:shape>
            </w:pict>
          </mc:Fallback>
        </mc:AlternateContent>
      </w:r>
      <w:r w:rsidRPr="006B1B24">
        <w:rPr>
          <w:rFonts w:eastAsia="Arial Unicode MS"/>
          <w:noProof/>
          <w:color w:val="000000"/>
        </w:rPr>
        <mc:AlternateContent>
          <mc:Choice Requires="wps">
            <w:drawing>
              <wp:anchor distT="0" distB="0" distL="114300" distR="114300" simplePos="0" relativeHeight="251686912" behindDoc="0" locked="0" layoutInCell="1" allowOverlap="1">
                <wp:simplePos x="0" y="0"/>
                <wp:positionH relativeFrom="margin">
                  <wp:posOffset>2839888</wp:posOffset>
                </wp:positionH>
                <wp:positionV relativeFrom="paragraph">
                  <wp:posOffset>21313</wp:posOffset>
                </wp:positionV>
                <wp:extent cx="1378896" cy="1022949"/>
                <wp:effectExtent l="19050" t="38100" r="50165" b="25400"/>
                <wp:wrapNone/>
                <wp:docPr id="27" name="Straight Arrow Connector 27"/>
                <wp:cNvGraphicFramePr/>
                <a:graphic xmlns:a="http://schemas.openxmlformats.org/drawingml/2006/main">
                  <a:graphicData uri="http://schemas.microsoft.com/office/word/2010/wordprocessingShape">
                    <wps:wsp xmlns:wps="http://schemas.microsoft.com/office/word/2010/wordprocessingShape">
                      <wps:cNvCnPr/>
                      <wps:spPr>
                        <a:xfrm flipV="1">
                          <a:off x="0" y="0"/>
                          <a:ext cx="1378896" cy="1022949"/>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35" type="#_x0000_t32" style="width:108.55pt;height:80.55pt;margin-top:1.7pt;margin-left:223.6pt;flip:y;mso-height-percent:0;mso-height-relative:margin;mso-position-horizontal-relative:margin;mso-width-percent:0;mso-width-relative:margin;mso-wrap-distance-bottom:0;mso-wrap-distance-left:9pt;mso-wrap-distance-right:9pt;mso-wrap-distance-top:0;mso-wrap-style:square;position:absolute;visibility:visible;z-index:251687936" strokecolor="#4579b8" strokeweight="2.25pt">
                <v:stroke endarrow="block"/>
                <w10:wrap anchorx="margin"/>
              </v:shape>
            </w:pict>
          </mc:Fallback>
        </mc:AlternateContent>
      </w:r>
      <w:r w:rsidRPr="006B1B24">
        <w:rPr>
          <w:rFonts w:eastAsia="Arial Unicode MS"/>
          <w:noProof/>
          <w:color w:val="000000"/>
        </w:rPr>
        <mc:AlternateContent>
          <mc:Choice Requires="wps">
            <w:drawing>
              <wp:anchor distT="0" distB="0" distL="114300" distR="114300" simplePos="0" relativeHeight="251660288" behindDoc="0" locked="0" layoutInCell="1" allowOverlap="1">
                <wp:simplePos x="0" y="0"/>
                <wp:positionH relativeFrom="column">
                  <wp:posOffset>836295</wp:posOffset>
                </wp:positionH>
                <wp:positionV relativeFrom="paragraph">
                  <wp:posOffset>43180</wp:posOffset>
                </wp:positionV>
                <wp:extent cx="1899609" cy="640080"/>
                <wp:effectExtent l="0" t="0" r="24765" b="26670"/>
                <wp:wrapNone/>
                <wp:docPr id="28" name="Rectangle: Rounded Corners 28" descr="Adults"/>
                <wp:cNvGraphicFramePr/>
                <a:graphic xmlns:a="http://schemas.openxmlformats.org/drawingml/2006/main">
                  <a:graphicData uri="http://schemas.microsoft.com/office/word/2010/wordprocessingShape">
                    <wps:wsp xmlns:wps="http://schemas.microsoft.com/office/word/2010/wordprocessingShape">
                      <wps:cNvSpPr/>
                      <wps:spPr>
                        <a:xfrm>
                          <a:off x="0" y="0"/>
                          <a:ext cx="1899609" cy="640080"/>
                        </a:xfrm>
                        <a:prstGeom prst="roundRect">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C1C93" w:rsidRPr="00FE425E" w:rsidP="00FC1C93" w14:textId="77777777">
                            <w:pPr>
                              <w:jc w:val="center"/>
                              <w:rPr>
                                <w:rFonts w:ascii="Arial" w:hAnsi="Arial" w:cs="Arial"/>
                              </w:rPr>
                            </w:pPr>
                            <w:r w:rsidRPr="00FE425E">
                              <w:rPr>
                                <w:rFonts w:ascii="Arial" w:hAnsi="Arial" w:cs="Arial"/>
                              </w:rPr>
                              <w:t>Adults with primary diagnosis 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8" o:spid="_x0000_s1036" alt="Adults" style="width:149.6pt;height:50.4pt;margin-top:3.4pt;margin-left:65.85pt;mso-height-percent:0;mso-height-relative:margin;mso-width-percent:0;mso-width-relative:margin;mso-wrap-distance-bottom:0;mso-wrap-distance-left:9pt;mso-wrap-distance-right:9pt;mso-wrap-distance-top:0;mso-wrap-style:square;position:absolute;visibility:visible;v-text-anchor:middle;z-index:251661312" arcsize="10923f" fillcolor="#5f497a" strokecolor="#243f60" strokeweight="2pt">
                <v:textbox>
                  <w:txbxContent>
                    <w:p w:rsidR="00FC1C93" w:rsidRPr="00FE425E" w:rsidP="00FC1C93" w14:paraId="2FD753D9" w14:textId="77777777">
                      <w:pPr>
                        <w:jc w:val="center"/>
                        <w:rPr>
                          <w:rFonts w:ascii="Arial" w:hAnsi="Arial" w:cs="Arial"/>
                        </w:rPr>
                      </w:pPr>
                      <w:r w:rsidRPr="00FE425E">
                        <w:rPr>
                          <w:rFonts w:ascii="Arial" w:hAnsi="Arial" w:cs="Arial"/>
                        </w:rPr>
                        <w:t>Adults with primary diagnosis CP</w:t>
                      </w:r>
                    </w:p>
                  </w:txbxContent>
                </v:textbox>
              </v:roundrect>
            </w:pict>
          </mc:Fallback>
        </mc:AlternateContent>
      </w:r>
    </w:p>
    <w:p w:rsidR="00FC1C93" w:rsidRPr="006B1B24" w:rsidP="00FC1C93" w14:paraId="315D870E" w14:textId="77777777">
      <w:pPr>
        <w:pStyle w:val="listparagraph0"/>
        <w:tabs>
          <w:tab w:val="num" w:pos="360"/>
          <w:tab w:val="left" w:pos="1080"/>
        </w:tabs>
        <w:spacing w:before="0" w:beforeAutospacing="0" w:after="0" w:afterAutospacing="0"/>
        <w:rPr>
          <w:i/>
          <w:iCs/>
        </w:rPr>
      </w:pPr>
    </w:p>
    <w:p w:rsidR="00FC1C93" w:rsidRPr="006B1B24" w:rsidP="00FC1C93" w14:paraId="6C12F621" w14:textId="77777777">
      <w:pPr>
        <w:pStyle w:val="listparagraph0"/>
        <w:tabs>
          <w:tab w:val="num" w:pos="360"/>
          <w:tab w:val="left" w:pos="1080"/>
        </w:tabs>
        <w:spacing w:before="0" w:beforeAutospacing="0" w:after="0" w:afterAutospacing="0"/>
        <w:rPr>
          <w:i/>
          <w:iCs/>
        </w:rPr>
      </w:pPr>
    </w:p>
    <w:p w:rsidR="00FC1C93" w:rsidRPr="006B1B24" w:rsidP="00FC1C93" w14:paraId="2E794C39" w14:textId="77777777">
      <w:pPr>
        <w:pStyle w:val="listparagraph0"/>
        <w:tabs>
          <w:tab w:val="num" w:pos="360"/>
          <w:tab w:val="left" w:pos="1080"/>
        </w:tabs>
        <w:spacing w:before="0" w:beforeAutospacing="0" w:after="0" w:afterAutospacing="0"/>
        <w:rPr>
          <w:i/>
          <w:iCs/>
        </w:rPr>
      </w:pPr>
      <w:r w:rsidRPr="006B1B24">
        <w:rPr>
          <w:rFonts w:eastAsia="Arial Unicode MS"/>
          <w:noProof/>
          <w:color w:val="000000"/>
        </w:rPr>
        <mc:AlternateContent>
          <mc:Choice Requires="wps">
            <w:drawing>
              <wp:anchor distT="0" distB="0" distL="114300" distR="114300" simplePos="0" relativeHeight="251688960" behindDoc="0" locked="0" layoutInCell="1" allowOverlap="1">
                <wp:simplePos x="0" y="0"/>
                <wp:positionH relativeFrom="column">
                  <wp:posOffset>3481705</wp:posOffset>
                </wp:positionH>
                <wp:positionV relativeFrom="paragraph">
                  <wp:posOffset>133350</wp:posOffset>
                </wp:positionV>
                <wp:extent cx="635635" cy="231775"/>
                <wp:effectExtent l="0" t="0" r="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635635" cy="231775"/>
                        </a:xfrm>
                        <a:prstGeom prst="rect">
                          <a:avLst/>
                        </a:prstGeom>
                        <a:solidFill>
                          <a:schemeClr val="lt1"/>
                        </a:solidFill>
                        <a:ln w="6350">
                          <a:noFill/>
                        </a:ln>
                      </wps:spPr>
                      <wps:txbx>
                        <w:txbxContent>
                          <w:p w:rsidR="00FC1C93" w:rsidRPr="0020745F" w:rsidP="00FC1C93" w14:textId="77777777">
                            <w:pPr>
                              <w:rPr>
                                <w:color w:val="0070C0"/>
                              </w:rPr>
                            </w:pPr>
                            <w:r w:rsidRPr="0020745F">
                              <w:rPr>
                                <w:color w:val="0070C0"/>
                              </w:rPr>
                              <w:t>and/or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37" type="#_x0000_t202" style="width:50.05pt;height:18.25pt;margin-top:10.5pt;margin-left:274.15pt;mso-height-percent:0;mso-height-relative:margin;mso-width-percent:0;mso-width-relative:margin;mso-wrap-distance-bottom:0;mso-wrap-distance-left:9pt;mso-wrap-distance-right:9pt;mso-wrap-distance-top:0;mso-wrap-style:square;position:absolute;visibility:visible;v-text-anchor:top;z-index:251689984" fillcolor="white" stroked="f" strokeweight="0.5pt">
                <v:textbox>
                  <w:txbxContent>
                    <w:p w:rsidR="00FC1C93" w:rsidRPr="0020745F" w:rsidP="00FC1C93" w14:paraId="2AD335D5" w14:textId="77777777">
                      <w:pPr>
                        <w:rPr>
                          <w:color w:val="0070C0"/>
                        </w:rPr>
                      </w:pPr>
                      <w:r w:rsidRPr="0020745F">
                        <w:rPr>
                          <w:color w:val="0070C0"/>
                        </w:rPr>
                        <w:t>and/or</w:t>
                      </w:r>
                    </w:p>
                  </w:txbxContent>
                </v:textbox>
              </v:shape>
            </w:pict>
          </mc:Fallback>
        </mc:AlternateContent>
      </w:r>
      <w:r w:rsidRPr="006B1B24">
        <w:rPr>
          <w:rFonts w:eastAsia="Arial Unicode MS"/>
          <w:noProof/>
          <w:color w:val="000000"/>
        </w:rPr>
        <mc:AlternateContent>
          <mc:Choice Requires="wps">
            <w:drawing>
              <wp:anchor distT="0" distB="0" distL="114300" distR="114300" simplePos="0" relativeHeight="251670528" behindDoc="0" locked="0" layoutInCell="1" allowOverlap="1">
                <wp:simplePos x="0" y="0"/>
                <wp:positionH relativeFrom="margin">
                  <wp:posOffset>4312920</wp:posOffset>
                </wp:positionH>
                <wp:positionV relativeFrom="paragraph">
                  <wp:posOffset>95250</wp:posOffset>
                </wp:positionV>
                <wp:extent cx="1920240" cy="822960"/>
                <wp:effectExtent l="19050" t="19050" r="22860" b="15240"/>
                <wp:wrapNone/>
                <wp:docPr id="30" name="Rectangle: Rounded Corners 30"/>
                <wp:cNvGraphicFramePr/>
                <a:graphic xmlns:a="http://schemas.openxmlformats.org/drawingml/2006/main">
                  <a:graphicData uri="http://schemas.microsoft.com/office/word/2010/wordprocessingShape">
                    <wps:wsp xmlns:wps="http://schemas.microsoft.com/office/word/2010/wordprocessingShape">
                      <wps:cNvSpPr/>
                      <wps:spPr>
                        <a:xfrm>
                          <a:off x="0" y="0"/>
                          <a:ext cx="1920240" cy="822960"/>
                        </a:xfrm>
                        <a:prstGeom prst="roundRect">
                          <a:avLst/>
                        </a:prstGeom>
                        <a:ln w="28575">
                          <a:solidFill>
                            <a:srgbClr val="7030A0"/>
                          </a:solidFill>
                        </a:ln>
                      </wps:spPr>
                      <wps:style>
                        <a:lnRef idx="2">
                          <a:schemeClr val="accent2"/>
                        </a:lnRef>
                        <a:fillRef idx="1">
                          <a:schemeClr val="lt1"/>
                        </a:fillRef>
                        <a:effectRef idx="0">
                          <a:schemeClr val="accent2"/>
                        </a:effectRef>
                        <a:fontRef idx="minor">
                          <a:schemeClr val="dk1"/>
                        </a:fontRef>
                      </wps:style>
                      <wps:txbx>
                        <w:txbxContent>
                          <w:p w:rsidR="00FC1C93" w:rsidRPr="00FE425E" w:rsidP="00FC1C93" w14:textId="77777777">
                            <w:pPr>
                              <w:jc w:val="center"/>
                              <w:rPr>
                                <w:rFonts w:ascii="Arial" w:hAnsi="Arial" w:cs="Arial"/>
                              </w:rPr>
                            </w:pPr>
                            <w:r w:rsidRPr="00FE425E">
                              <w:rPr>
                                <w:rFonts w:ascii="Arial" w:hAnsi="Arial" w:cs="Arial"/>
                              </w:rPr>
                              <w:t>Proxy-report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0" o:spid="_x0000_s1038" style="width:151.2pt;height:64.8pt;margin-top:7.5pt;margin-left:339.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1552" arcsize="10923f" fillcolor="white" strokecolor="#7030a0" strokeweight="2.25pt">
                <v:textbox>
                  <w:txbxContent>
                    <w:p w:rsidR="00FC1C93" w:rsidRPr="00FE425E" w:rsidP="00FC1C93" w14:paraId="35C38417" w14:textId="77777777">
                      <w:pPr>
                        <w:jc w:val="center"/>
                        <w:rPr>
                          <w:rFonts w:ascii="Arial" w:hAnsi="Arial" w:cs="Arial"/>
                        </w:rPr>
                      </w:pPr>
                      <w:r w:rsidRPr="00FE425E">
                        <w:rPr>
                          <w:rFonts w:ascii="Arial" w:hAnsi="Arial" w:cs="Arial"/>
                        </w:rPr>
                        <w:t>Proxy-report</w:t>
                      </w:r>
                    </w:p>
                  </w:txbxContent>
                </v:textbox>
                <w10:wrap anchorx="margin"/>
              </v:roundrect>
            </w:pict>
          </mc:Fallback>
        </mc:AlternateContent>
      </w:r>
    </w:p>
    <w:p w:rsidR="00FC1C93" w:rsidRPr="006B1B24" w:rsidP="00FC1C93" w14:paraId="7E6DE079" w14:textId="77777777">
      <w:pPr>
        <w:pStyle w:val="listparagraph0"/>
        <w:tabs>
          <w:tab w:val="num" w:pos="360"/>
          <w:tab w:val="left" w:pos="1080"/>
        </w:tabs>
        <w:spacing w:before="0" w:beforeAutospacing="0" w:after="0" w:afterAutospacing="0"/>
        <w:rPr>
          <w:i/>
          <w:iCs/>
        </w:rPr>
      </w:pPr>
      <w:r w:rsidRPr="006B1B24">
        <w:rPr>
          <w:rFonts w:eastAsia="Arial Unicode MS"/>
          <w:noProof/>
          <w:color w:val="000000"/>
        </w:rPr>
        <mc:AlternateContent>
          <mc:Choice Requires="wps">
            <w:drawing>
              <wp:anchor distT="0" distB="0" distL="114300" distR="114300" simplePos="0" relativeHeight="251680768" behindDoc="0" locked="0" layoutInCell="1" allowOverlap="1">
                <wp:simplePos x="0" y="0"/>
                <wp:positionH relativeFrom="margin">
                  <wp:posOffset>828136</wp:posOffset>
                </wp:positionH>
                <wp:positionV relativeFrom="paragraph">
                  <wp:posOffset>110310</wp:posOffset>
                </wp:positionV>
                <wp:extent cx="1920240" cy="638355"/>
                <wp:effectExtent l="0" t="0" r="22860" b="28575"/>
                <wp:wrapNone/>
                <wp:docPr id="31" name="Rectangle: Rounded Corners 31" descr="Adults"/>
                <wp:cNvGraphicFramePr/>
                <a:graphic xmlns:a="http://schemas.openxmlformats.org/drawingml/2006/main">
                  <a:graphicData uri="http://schemas.microsoft.com/office/word/2010/wordprocessingShape">
                    <wps:wsp xmlns:wps="http://schemas.microsoft.com/office/word/2010/wordprocessingShape">
                      <wps:cNvSpPr/>
                      <wps:spPr>
                        <a:xfrm>
                          <a:off x="0" y="0"/>
                          <a:ext cx="1920240" cy="6383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1C93" w:rsidRPr="00FE425E" w:rsidP="00FC1C93" w14:textId="77777777">
                            <w:pPr>
                              <w:jc w:val="center"/>
                              <w:rPr>
                                <w:rFonts w:ascii="Arial" w:hAnsi="Arial" w:cs="Arial"/>
                              </w:rPr>
                            </w:pPr>
                            <w:r w:rsidRPr="00FE425E">
                              <w:rPr>
                                <w:rFonts w:ascii="Arial" w:hAnsi="Arial" w:cs="Arial"/>
                              </w:rPr>
                              <w:t>Aides/Care</w:t>
                            </w:r>
                            <w:r>
                              <w:rPr>
                                <w:rFonts w:ascii="Arial" w:hAnsi="Arial" w:cs="Arial"/>
                              </w:rPr>
                              <w:t>give</w:t>
                            </w:r>
                            <w:r w:rsidRPr="00FE425E">
                              <w:rPr>
                                <w:rFonts w:ascii="Arial" w:hAnsi="Arial" w:cs="Arial"/>
                              </w:rPr>
                              <w:t>rs/LARS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1" o:spid="_x0000_s1039" alt="Adults" style="width:151.2pt;height:50.25pt;margin-top:8.7pt;margin-left:65.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1792" arcsize="10923f" fillcolor="#4f81bd" strokecolor="#243f60" strokeweight="2pt">
                <v:textbox>
                  <w:txbxContent>
                    <w:p w:rsidR="00FC1C93" w:rsidRPr="00FE425E" w:rsidP="00FC1C93" w14:paraId="641C6868" w14:textId="77777777">
                      <w:pPr>
                        <w:jc w:val="center"/>
                        <w:rPr>
                          <w:rFonts w:ascii="Arial" w:hAnsi="Arial" w:cs="Arial"/>
                        </w:rPr>
                      </w:pPr>
                      <w:r w:rsidRPr="00FE425E">
                        <w:rPr>
                          <w:rFonts w:ascii="Arial" w:hAnsi="Arial" w:cs="Arial"/>
                        </w:rPr>
                        <w:t>Aides/Care</w:t>
                      </w:r>
                      <w:r>
                        <w:rPr>
                          <w:rFonts w:ascii="Arial" w:hAnsi="Arial" w:cs="Arial"/>
                        </w:rPr>
                        <w:t>give</w:t>
                      </w:r>
                      <w:r w:rsidRPr="00FE425E">
                        <w:rPr>
                          <w:rFonts w:ascii="Arial" w:hAnsi="Arial" w:cs="Arial"/>
                        </w:rPr>
                        <w:t>rs/LARS</w:t>
                      </w:r>
                    </w:p>
                  </w:txbxContent>
                </v:textbox>
                <w10:wrap anchorx="margin"/>
              </v:roundrect>
            </w:pict>
          </mc:Fallback>
        </mc:AlternateContent>
      </w:r>
    </w:p>
    <w:p w:rsidR="00FC1C93" w:rsidRPr="006B1B24" w:rsidP="00FC1C93" w14:paraId="584983E2" w14:textId="77777777">
      <w:pPr>
        <w:pStyle w:val="listparagraph0"/>
        <w:tabs>
          <w:tab w:val="num" w:pos="360"/>
          <w:tab w:val="left" w:pos="1080"/>
        </w:tabs>
        <w:spacing w:before="0" w:beforeAutospacing="0" w:after="0" w:afterAutospacing="0"/>
        <w:rPr>
          <w:i/>
          <w:iCs/>
        </w:rPr>
      </w:pPr>
      <w:r w:rsidRPr="006B1B24">
        <w:rPr>
          <w:rFonts w:eastAsia="Arial Unicode MS"/>
          <w:noProof/>
          <w:color w:val="000000"/>
        </w:rPr>
        <mc:AlternateContent>
          <mc:Choice Requires="wps">
            <w:drawing>
              <wp:anchor distT="0" distB="0" distL="114300" distR="114300" simplePos="0" relativeHeight="251678720" behindDoc="0" locked="0" layoutInCell="1" allowOverlap="1">
                <wp:simplePos x="0" y="0"/>
                <wp:positionH relativeFrom="margin">
                  <wp:posOffset>2838450</wp:posOffset>
                </wp:positionH>
                <wp:positionV relativeFrom="paragraph">
                  <wp:posOffset>171450</wp:posOffset>
                </wp:positionV>
                <wp:extent cx="1378585" cy="45085"/>
                <wp:effectExtent l="19050" t="76200" r="12065" b="50165"/>
                <wp:wrapNone/>
                <wp:docPr id="32" name="Straight Arrow Connector 32"/>
                <wp:cNvGraphicFramePr/>
                <a:graphic xmlns:a="http://schemas.openxmlformats.org/drawingml/2006/main">
                  <a:graphicData uri="http://schemas.microsoft.com/office/word/2010/wordprocessingShape">
                    <wps:wsp xmlns:wps="http://schemas.microsoft.com/office/word/2010/wordprocessingShape">
                      <wps:cNvCnPr/>
                      <wps:spPr>
                        <a:xfrm flipV="1">
                          <a:off x="0" y="0"/>
                          <a:ext cx="1378585" cy="4508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2" o:spid="_x0000_s1040" type="#_x0000_t32" style="width:108.55pt;height:3.55pt;margin-top:13.5pt;margin-left:223.5pt;flip:y;mso-height-percent:0;mso-height-relative:margin;mso-position-horizontal-relative:margin;mso-width-percent:0;mso-width-relative:margin;mso-wrap-distance-bottom:0;mso-wrap-distance-left:9pt;mso-wrap-distance-right:9pt;mso-wrap-distance-top:0;mso-wrap-style:square;position:absolute;visibility:visible;z-index:251679744" strokecolor="#4579b8" strokeweight="2.25pt">
                <v:stroke endarrow="block"/>
                <w10:wrap anchorx="margin"/>
              </v:shape>
            </w:pict>
          </mc:Fallback>
        </mc:AlternateContent>
      </w:r>
    </w:p>
    <w:p w:rsidR="00FC1C93" w:rsidRPr="006B1B24" w:rsidP="00FC1C93" w14:paraId="17554DBF" w14:textId="77777777">
      <w:pPr>
        <w:pStyle w:val="listparagraph0"/>
        <w:tabs>
          <w:tab w:val="num" w:pos="360"/>
          <w:tab w:val="left" w:pos="1080"/>
        </w:tabs>
        <w:spacing w:before="0" w:beforeAutospacing="0" w:after="0" w:afterAutospacing="0"/>
        <w:rPr>
          <w:i/>
          <w:iCs/>
        </w:rPr>
      </w:pPr>
    </w:p>
    <w:p w:rsidR="00FC1C93" w:rsidRPr="006B1B24" w:rsidP="00FC1C93" w14:paraId="3E94474B" w14:textId="77777777">
      <w:pPr>
        <w:pStyle w:val="listparagraph0"/>
        <w:tabs>
          <w:tab w:val="num" w:pos="360"/>
          <w:tab w:val="left" w:pos="1080"/>
        </w:tabs>
        <w:spacing w:before="0" w:beforeAutospacing="0" w:after="0" w:afterAutospacing="0"/>
        <w:rPr>
          <w:i/>
          <w:iCs/>
        </w:rPr>
      </w:pPr>
    </w:p>
    <w:p w:rsidR="00FC1C93" w:rsidRPr="006B1B24" w:rsidP="00FC1C93" w14:paraId="597FD6D8" w14:textId="77777777">
      <w:pPr>
        <w:pStyle w:val="listparagraph0"/>
        <w:tabs>
          <w:tab w:val="num" w:pos="360"/>
          <w:tab w:val="left" w:pos="1080"/>
        </w:tabs>
        <w:spacing w:before="0" w:beforeAutospacing="0" w:after="0" w:afterAutospacing="0"/>
        <w:rPr>
          <w:i/>
          <w:iCs/>
        </w:rPr>
      </w:pPr>
    </w:p>
    <w:p w:rsidR="00FC1C93" w:rsidRPr="006B1B24" w:rsidP="00FC1C93" w14:paraId="18620B11" w14:textId="77777777">
      <w:pPr>
        <w:pStyle w:val="Level1"/>
        <w:widowControl/>
        <w:numPr>
          <w:ilvl w:val="0"/>
          <w:numId w:val="0"/>
        </w:numPr>
        <w:tabs>
          <w:tab w:val="left" w:pos="0"/>
        </w:tabs>
      </w:pPr>
    </w:p>
    <w:p w:rsidR="00873530" w:rsidP="0038367D" w14:paraId="5DB56942" w14:textId="77777777">
      <w:pPr>
        <w:pStyle w:val="HTMLPreformatted"/>
        <w:rPr>
          <w:rFonts w:ascii="Times New Roman" w:hAnsi="Times New Roman" w:cs="Times New Roman"/>
          <w:sz w:val="24"/>
          <w:szCs w:val="24"/>
        </w:rPr>
      </w:pPr>
    </w:p>
    <w:p w:rsidR="0038367D" w:rsidRPr="006B1B24" w:rsidP="0038367D" w14:paraId="262CE13F" w14:textId="77777777"/>
    <w:p w:rsidR="00ED0ABA" w:rsidP="0038367D" w14:paraId="211E64A4" w14:textId="1B8B9147">
      <w:r w:rsidRPr="006B1B24">
        <w:t xml:space="preserve">Recruitment will be carried out through </w:t>
      </w:r>
      <w:r w:rsidRPr="006B1B24">
        <w:rPr>
          <w:rFonts w:eastAsia="Calibri"/>
        </w:rPr>
        <w:t>networks of service providers such as Special Olympics</w:t>
      </w:r>
      <w:r>
        <w:rPr>
          <w:rFonts w:eastAsia="Calibri"/>
        </w:rPr>
        <w:t>,</w:t>
      </w:r>
      <w:r>
        <w:rPr>
          <w:rStyle w:val="FootnoteReference"/>
          <w:rFonts w:eastAsia="Calibri"/>
          <w:vertAlign w:val="superscript"/>
        </w:rPr>
        <w:footnoteReference w:id="16"/>
      </w:r>
      <w:r w:rsidRPr="006B1B24">
        <w:t xml:space="preserve"> as well as a combination of advertisements, social media, flyers, word-of-mouth, and the CCQDER Respondent Database, if needed. The advertisement</w:t>
      </w:r>
      <w:r w:rsidR="0044742B">
        <w:t>s</w:t>
      </w:r>
      <w:r w:rsidRPr="006B1B24">
        <w:t>/flyer</w:t>
      </w:r>
      <w:r w:rsidR="0044742B">
        <w:t>s</w:t>
      </w:r>
      <w:r w:rsidRPr="006B1B24">
        <w:t xml:space="preserve"> used to recruit respondents </w:t>
      </w:r>
      <w:r w:rsidR="0044742B">
        <w:t>are</w:t>
      </w:r>
      <w:r w:rsidRPr="006B1B24">
        <w:t xml:space="preserve"> shown in Attachment 3.</w:t>
      </w:r>
    </w:p>
    <w:p w:rsidR="00287C65" w:rsidRPr="006B1B24" w:rsidP="00E27B8D" w14:paraId="75E9482E" w14:textId="77777777">
      <w:pPr>
        <w:pStyle w:val="ListParagraph"/>
        <w:widowControl/>
        <w:tabs>
          <w:tab w:val="left" w:pos="0"/>
        </w:tabs>
        <w:ind w:left="0"/>
        <w:rPr>
          <w:bCs/>
          <w:u w:val="single"/>
        </w:rPr>
      </w:pPr>
    </w:p>
    <w:p w:rsidR="00E27B8D" w:rsidRPr="006B1B24" w:rsidP="00E27B8D" w14:paraId="7A5E12F2" w14:textId="2361B1A8">
      <w:pPr>
        <w:pStyle w:val="ListParagraph"/>
        <w:widowControl/>
        <w:tabs>
          <w:tab w:val="left" w:pos="0"/>
        </w:tabs>
        <w:ind w:left="0"/>
      </w:pPr>
      <w:r w:rsidRPr="006B1B24">
        <w:rPr>
          <w:bCs/>
          <w:u w:val="single"/>
        </w:rPr>
        <w:t>Screening and scheduling procedures</w:t>
      </w:r>
      <w:r w:rsidRPr="006B1B24">
        <w:t xml:space="preserve"> </w:t>
      </w:r>
    </w:p>
    <w:p w:rsidR="00E27B8D" w:rsidRPr="006B1B24" w:rsidP="00283DAD" w14:paraId="52194DBA" w14:textId="6CA4D130">
      <w:r w:rsidRPr="006B1B24">
        <w:t xml:space="preserve">Respondent screening will conform to the protocol laid out in CCQDER’s generic package. The 5-minute screener used to determine eligibility of individuals responding to the advertisements/flyers is shown in </w:t>
      </w:r>
      <w:r w:rsidRPr="008500C1">
        <w:t xml:space="preserve">Attachment </w:t>
      </w:r>
      <w:r w:rsidRPr="008500C1" w:rsidR="000C3B44">
        <w:t>4</w:t>
      </w:r>
      <w:r w:rsidRPr="008500C1">
        <w:t>. It</w:t>
      </w:r>
      <w:r w:rsidRPr="006B1B24">
        <w:t xml:space="preserve"> is anticipated that as many as </w:t>
      </w:r>
      <w:r w:rsidRPr="006B1B24" w:rsidR="00A60179">
        <w:t>60</w:t>
      </w:r>
      <w:r>
        <w:rPr>
          <w:rStyle w:val="FootnoteReference"/>
          <w:vertAlign w:val="superscript"/>
        </w:rPr>
        <w:footnoteReference w:id="17"/>
      </w:r>
      <w:r w:rsidRPr="00883912">
        <w:rPr>
          <w:vertAlign w:val="superscript"/>
        </w:rPr>
        <w:t xml:space="preserve"> </w:t>
      </w:r>
      <w:r w:rsidRPr="006B1B24">
        <w:t xml:space="preserve">individuals may need to be screened in order to recruit 40 participants. </w:t>
      </w:r>
    </w:p>
    <w:p w:rsidR="00283DAD" w:rsidRPr="006B1B24" w:rsidP="00283DAD" w14:paraId="76FD7C14" w14:textId="77777777"/>
    <w:p w:rsidR="00F73E66" w:rsidRPr="006B1B24" w:rsidP="00283DAD" w14:paraId="71F68C0A" w14:textId="523F62A0">
      <w:pPr>
        <w:rPr>
          <w:u w:val="single"/>
        </w:rPr>
      </w:pPr>
      <w:r w:rsidRPr="006B1B24">
        <w:rPr>
          <w:u w:val="single"/>
        </w:rPr>
        <w:t>Interview methods</w:t>
      </w:r>
    </w:p>
    <w:p w:rsidR="00331A4E" w:rsidP="00283DAD" w14:paraId="5FF2560F" w14:textId="54511281">
      <w:r w:rsidRPr="006B1B24">
        <w:t>I</w:t>
      </w:r>
      <w:r w:rsidRPr="006B1B24" w:rsidR="005F4AC4">
        <w:t>n-depth, or unstructured, interviews are one of the main methods of data collection used in qualitative research (Legard et al, 2006)</w:t>
      </w:r>
      <w:r w:rsidR="00883912">
        <w:t>.</w:t>
      </w:r>
      <w:r>
        <w:rPr>
          <w:rStyle w:val="FootnoteReference"/>
          <w:vertAlign w:val="superscript"/>
        </w:rPr>
        <w:footnoteReference w:id="18"/>
      </w:r>
      <w:r w:rsidRPr="006B1B24" w:rsidR="005F4AC4">
        <w:t xml:space="preserve"> An in-depth interview can be considered as a form of guided conversation. </w:t>
      </w:r>
      <w:r w:rsidR="00846C4B">
        <w:t xml:space="preserve">A </w:t>
      </w:r>
      <w:r w:rsidRPr="006B1B24" w:rsidR="005F4AC4">
        <w:t xml:space="preserve">topic guide </w:t>
      </w:r>
      <w:r w:rsidR="00846C4B">
        <w:t xml:space="preserve">will be </w:t>
      </w:r>
      <w:r w:rsidRPr="006B1B24" w:rsidR="005F4AC4">
        <w:t xml:space="preserve">used by the interviewer. The topic guide sets out the key topics and issues to be covered during the interview. The aim is for the interviewer to guide, but not lead, the conversation, and explore, in-depth, factors that are most salient to the respondent, within the context of their own life experiences. </w:t>
      </w:r>
    </w:p>
    <w:p w:rsidR="00B77F9B" w:rsidP="00283DAD" w14:paraId="34C404B8" w14:textId="77777777"/>
    <w:p w:rsidR="00B77F9B" w:rsidRPr="006B1B24" w:rsidP="00283DAD" w14:paraId="415991E9" w14:textId="71D7909C">
      <w:r>
        <w:t>The ethnographic, in-depth</w:t>
      </w:r>
      <w:r w:rsidRPr="004A4524">
        <w:t xml:space="preserve"> interviews will be conducted by CCQDER staff in accordance with the protocol described in CCQDER’s generic package. The informed consent documents specific to this project are included as </w:t>
      </w:r>
      <w:r w:rsidRPr="008500C1">
        <w:t>Attachments 5a and 5b.</w:t>
      </w:r>
      <w:r>
        <w:t xml:space="preserve"> </w:t>
      </w:r>
      <w:r w:rsidRPr="006B1B24">
        <w:t>Most of the interviews will be conducted using remote-video but the option to conduct in-person interviews is available.</w:t>
      </w:r>
    </w:p>
    <w:p w:rsidR="00D63BF8" w:rsidP="00283DAD" w14:paraId="71C692D7" w14:textId="77777777"/>
    <w:p w:rsidR="000A7465" w:rsidRPr="006B1B24" w:rsidP="008500C1" w14:paraId="2E455D92" w14:textId="583198D3">
      <w:r w:rsidRPr="006B1B24">
        <w:t>We expect the interviews to generally take about an hour. However, we are asking for up to 75 minutes. This is because, less structured research interviews, particularly those conducted with people who may have receptive or expressive language difficulties, such as those with ID/DD, may be more variable in length than, for example, a typical semi-structured cognitive interview. There are a number of factors that contribute to this greater variability of interview length due to the nature of the disability and the heterogeneity of the group of people with ID/DD. These factors include: the possibility of a longer set-up time if the interview is being conducted remotely and the respondent needs support; a potentially longer time required to obtain informed consent/assent to ensure that respondents understand what they are consenting to; more time needed on the part of the interviewer to ensure privacy for the interview if other people are around; longer processing times and memory issues related to their disability</w:t>
      </w:r>
      <w:r>
        <w:rPr>
          <w:rStyle w:val="FootnoteReference"/>
          <w:vertAlign w:val="superscript"/>
        </w:rPr>
        <w:footnoteReference w:id="19"/>
      </w:r>
      <w:r w:rsidRPr="006B1B24">
        <w:t>, and the need for the interviewer to be flexible and adapt their techniques to suit the individual, which means the way in which the interviewer asks questions will vary person-to-person. Interviewers may need to slow down their speech, or repeat what they have said if necessary, and they may need to be sympathetic to the fact that respondents may need to take a break occasionally</w:t>
      </w:r>
      <w:r>
        <w:rPr>
          <w:rStyle w:val="FootnoteReference"/>
          <w:vertAlign w:val="superscript"/>
        </w:rPr>
        <w:footnoteReference w:id="20"/>
      </w:r>
      <w:r w:rsidRPr="006B1B24">
        <w:t xml:space="preserve">. Alternatively, the interviewer may find that due to respondent fatigue they need to finish the interview sooner. In previous research we also found that those interviewed on behalf of the person with ID/DD, known as proxy respondents, took time to tell the interviewer in detail about their experiences caring for a person with ID/DD which were not always relevant to the subject matter of the interview, but which the interviewer did not feel appropriate or would be disrespectful to close down too quickly. In addition, in cases where a respondent may use non-verbal communications, and using an augmentative/alternative communication (AAC) device, the interview will unfold at a slower pace due to the time required to operate the device. Allowing some additional time means that these respondents will have the opportunity to fully express themselves.  </w:t>
      </w:r>
    </w:p>
    <w:p w:rsidR="002C6FC9" w:rsidRPr="006B1B24" w:rsidP="002C6FC9" w14:paraId="78292CC6" w14:textId="77777777">
      <w:pPr>
        <w:rPr>
          <w:b/>
          <w:bCs/>
        </w:rPr>
      </w:pPr>
    </w:p>
    <w:p w:rsidR="002C6FC9" w:rsidRPr="006B1B24" w:rsidP="002C6FC9" w14:paraId="091FE4FB" w14:textId="7288280A">
      <w:r w:rsidRPr="006B1B24">
        <w:rPr>
          <w:b/>
          <w:bCs/>
        </w:rPr>
        <w:t>Note:</w:t>
      </w:r>
      <w:r w:rsidRPr="006B1B24">
        <w:t xml:space="preserve"> </w:t>
      </w:r>
      <w:r w:rsidRPr="004A4524" w:rsidR="00B77F9B">
        <w:t xml:space="preserve">Some documents associated with this project do not vary from those approved in CCQDER’s generic OMB package and are, therefore, not included as attachments to this </w:t>
      </w:r>
      <w:r w:rsidRPr="004A4524" w:rsidR="00B77F9B">
        <w:t>document. These documents are the Respondent Data Collection Sheet, the Thank you Letter, CCQDER’s Data Storage and Access Policy and the Nondisclosure Affidavit.</w:t>
      </w:r>
    </w:p>
    <w:p w:rsidR="001C752E" w:rsidRPr="006B1B24" w:rsidP="00FE0228" w14:paraId="1F4A0146" w14:textId="77777777">
      <w:pPr>
        <w:widowControl/>
        <w:rPr>
          <w:b/>
          <w:bCs/>
        </w:rPr>
      </w:pPr>
    </w:p>
    <w:p w:rsidR="00545495" w:rsidRPr="006B1B24" w:rsidP="00C16F12" w14:paraId="12DFCB17" w14:textId="2740C672">
      <w:pPr>
        <w:pStyle w:val="Heading2"/>
      </w:pPr>
      <w:bookmarkStart w:id="4" w:name="_Toc159921511"/>
      <w:r w:rsidRPr="006B1B24">
        <w:t>A</w:t>
      </w:r>
      <w:r w:rsidRPr="006B1B24" w:rsidR="00C60071">
        <w:t>.</w:t>
      </w:r>
      <w:r w:rsidRPr="006B1B24" w:rsidR="00E37E94">
        <w:t>1</w:t>
      </w:r>
      <w:r w:rsidRPr="006B1B24">
        <w:t>0.</w:t>
      </w:r>
      <w:r w:rsidRPr="006B1B24">
        <w:tab/>
      </w:r>
      <w:r w:rsidRPr="006B1B24" w:rsidR="00185DC7">
        <w:t xml:space="preserve">Protection of the Privacy and </w:t>
      </w:r>
      <w:r w:rsidRPr="006B1B24">
        <w:t xml:space="preserve">Confidentiality </w:t>
      </w:r>
      <w:r w:rsidRPr="006B1B24" w:rsidR="00185DC7">
        <w:t xml:space="preserve">of Information </w:t>
      </w:r>
      <w:r w:rsidRPr="006B1B24">
        <w:t xml:space="preserve">Provided </w:t>
      </w:r>
      <w:r w:rsidRPr="006B1B24" w:rsidR="00185DC7">
        <w:t xml:space="preserve">by </w:t>
      </w:r>
      <w:r w:rsidRPr="006B1B24">
        <w:t>Respondents</w:t>
      </w:r>
      <w:bookmarkEnd w:id="4"/>
      <w:r w:rsidRPr="006B1B24" w:rsidR="00D4770F">
        <w:t xml:space="preserve"> </w:t>
      </w:r>
    </w:p>
    <w:p w:rsidR="005428A9" w:rsidP="00E14083" w14:paraId="280B0B45" w14:textId="77777777">
      <w:pPr>
        <w:pStyle w:val="Heading2"/>
      </w:pPr>
    </w:p>
    <w:p w:rsidR="00073DE8" w:rsidP="00073DE8" w14:paraId="47D50C2D" w14:textId="56755EF8">
      <w:r w:rsidRPr="00073DE8">
        <w:t>Data will be kept private to the extent allowed by law.</w:t>
      </w:r>
    </w:p>
    <w:p w:rsidR="00073DE8" w:rsidRPr="00073DE8" w:rsidP="00073DE8" w14:paraId="122CB514" w14:textId="77777777"/>
    <w:p w:rsidR="00B77F9B" w:rsidRPr="000534D8" w:rsidP="00B77F9B" w14:paraId="6FE57300" w14:textId="77777777">
      <w:pPr>
        <w:widowControl/>
        <w:tabs>
          <w:tab w:val="left" w:pos="0"/>
        </w:tabs>
        <w:rPr>
          <w:color w:val="000000"/>
        </w:rPr>
      </w:pPr>
      <w:r w:rsidRPr="00405647">
        <w:t>The CCQDER continues to collect, on a confidential basis, data needed in order to conduct CCQDER studies.</w:t>
      </w:r>
      <w:r w:rsidRPr="00405647">
        <w:rPr>
          <w:color w:val="000000"/>
        </w:rPr>
        <w:t xml:space="preserve"> Confidentiality provided to respondents is assured by adherence to Section 308(d) of the Public Health Service Act (42 U.S.C. 242m).</w:t>
      </w:r>
      <w:r>
        <w:rPr>
          <w:color w:val="000000"/>
        </w:rPr>
        <w:t xml:space="preserve"> </w:t>
      </w:r>
      <w:r w:rsidRPr="000534D8">
        <w:rPr>
          <w:color w:val="000000"/>
        </w:rPr>
        <w:t>In addition, legislation covering confidentiality is provided according to the Confidential Information Protection and Statistical Efficiency Act or CIPSEA (44 U.S.C. 3561-3583), which states:</w:t>
      </w:r>
    </w:p>
    <w:p w:rsidR="00B77F9B" w:rsidRPr="000534D8" w:rsidP="00B77F9B" w14:paraId="5079C088" w14:textId="77777777">
      <w:pPr>
        <w:widowControl/>
        <w:tabs>
          <w:tab w:val="left" w:pos="0"/>
        </w:tabs>
        <w:rPr>
          <w:color w:val="000000"/>
        </w:rPr>
      </w:pPr>
    </w:p>
    <w:p w:rsidR="00B77F9B" w:rsidRPr="00405647" w:rsidP="00B77F9B" w14:paraId="69DC1338" w14:textId="77777777">
      <w:pPr>
        <w:widowControl/>
        <w:tabs>
          <w:tab w:val="left" w:pos="0"/>
        </w:tabs>
        <w:rPr>
          <w:color w:val="000000"/>
        </w:rPr>
      </w:pPr>
      <w:r w:rsidRPr="000534D8">
        <w:rPr>
          <w:color w:val="000000"/>
        </w:rPr>
        <w:t>“Whoever,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rsidR="009D660A" w:rsidP="009D660A" w14:paraId="1F9E224E" w14:textId="77777777">
      <w:pPr>
        <w:rPr>
          <w:color w:val="000000"/>
        </w:rPr>
      </w:pPr>
    </w:p>
    <w:p w:rsidR="009D660A" w:rsidP="009D660A" w14:paraId="1096C5AF" w14:textId="77777777">
      <w:pPr>
        <w:widowControl/>
        <w:tabs>
          <w:tab w:val="left" w:pos="0"/>
        </w:tabs>
        <w:rPr>
          <w:b/>
          <w:u w:val="single"/>
        </w:rPr>
      </w:pPr>
      <w:r>
        <w:rPr>
          <w:b/>
          <w:bCs/>
          <w:u w:val="single"/>
        </w:rPr>
        <w:t>Confidentiality of responses and safeguarding of data at NCHS</w:t>
      </w:r>
    </w:p>
    <w:p w:rsidR="00B77F9B" w:rsidRPr="00405647" w:rsidP="00B77F9B" w14:paraId="49BCDB5D" w14:textId="77777777">
      <w:pPr>
        <w:pStyle w:val="QuickFormat6"/>
        <w:widowControl/>
        <w:tabs>
          <w:tab w:val="left" w:pos="-324"/>
          <w:tab w:val="left" w:pos="0"/>
          <w:tab w:val="left" w:pos="3420"/>
        </w:tabs>
        <w:rPr>
          <w:rFonts w:ascii="Times New Roman" w:hAnsi="Times New Roman"/>
        </w:rPr>
      </w:pPr>
      <w:r w:rsidRPr="00405647">
        <w:rPr>
          <w:rFonts w:ascii="Times New Roman" w:hAnsi="Times New Roman"/>
        </w:rPr>
        <w:t xml:space="preserve">The CCQDER has a routine set of administrative, technical, and physical measures to safeguard confidentiality. Specific protocol for storage of confidential data, QDRL Lab, Q-video, Q-Notes, and Q-Bank access is described in CCQDER’s generic clearance package. (OMB No. 0920-0222, exp. 01/31/2026) </w:t>
      </w:r>
    </w:p>
    <w:p w:rsidR="009D660A" w:rsidP="009D660A" w14:paraId="2BBC6242" w14:textId="77777777">
      <w:pPr>
        <w:rPr>
          <w:b/>
          <w:u w:val="single"/>
        </w:rPr>
      </w:pPr>
    </w:p>
    <w:p w:rsidR="009D660A" w:rsidP="009D660A" w14:paraId="7512581D" w14:textId="77777777">
      <w:pPr>
        <w:rPr>
          <w:b/>
          <w:u w:val="single"/>
        </w:rPr>
      </w:pPr>
      <w:r>
        <w:rPr>
          <w:b/>
          <w:u w:val="single"/>
        </w:rPr>
        <w:t>Records Retention Schedule for In-depth Interviews</w:t>
      </w:r>
    </w:p>
    <w:p w:rsidR="00057D56" w:rsidP="009D660A" w14:paraId="17724221" w14:textId="77777777">
      <w:pPr>
        <w:widowControl/>
        <w:tabs>
          <w:tab w:val="left" w:pos="0"/>
        </w:tabs>
      </w:pPr>
      <w:r>
        <w:t>Storage and retention of CCQDER data is guided by the CCQDER Data Storage and Access Policy which governs retention of interviews, their viewing audience, the data kept, and the length of time before retention of interviews is reassessed. The Data Storage and Access Policy has been approved by the NCHS ERB and is included in CCQDER’s generic OMB package. In accordance with this policy, data from the current project will be re-evaluated by the CCQDER Director to determine relevance, ongoing usefulness and qualitative value for likely use in question evaluation research after an initial retention period of 2 years. The information of individuals who did not qualify for the study and opt into our respondent database will be kept for 5 years. Removal from the database can be requested by emailing recruitmentteam@cdc.gov</w:t>
      </w:r>
      <w:r w:rsidR="00AA3023">
        <w:t xml:space="preserve"> </w:t>
      </w:r>
    </w:p>
    <w:p w:rsidR="0031561A" w:rsidRPr="006B1B24" w:rsidP="002F40DC" w14:paraId="2D9E00F7" w14:textId="77777777">
      <w:pPr>
        <w:contextualSpacing/>
        <w:rPr>
          <w:b/>
          <w:u w:val="single"/>
        </w:rPr>
      </w:pPr>
    </w:p>
    <w:p w:rsidR="002F40DC" w:rsidRPr="006B1B24" w:rsidP="002F40DC" w14:paraId="0D44D1EB" w14:textId="3F0B3FDE">
      <w:pPr>
        <w:contextualSpacing/>
        <w:rPr>
          <w:b/>
          <w:u w:val="single"/>
        </w:rPr>
      </w:pPr>
      <w:r w:rsidRPr="006B1B24">
        <w:rPr>
          <w:b/>
          <w:u w:val="single"/>
        </w:rPr>
        <w:t>Records Retention Schedule for In-depth Interviews</w:t>
      </w:r>
    </w:p>
    <w:p w:rsidR="00EA0711" w:rsidRPr="006B1B24" w:rsidP="00EA0711" w14:paraId="1FC72CC4" w14:textId="5FCEFD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6B1B24">
        <w:t xml:space="preserve">Storage and retention of CCQDER data is guided by the CCQDER Data Storage and Access Policy which governs retention of interviews, their viewing audience, the data kept, and the length of time before retention of interviews is reassessed. The Data Storage and Access Policy has been approved by the NCHS ERB and is included in CCQDER’s generic OMB package. In accordance with this policy, data from the current project will be re-evaluated by the CCQDER </w:t>
      </w:r>
      <w:r w:rsidRPr="006B1B24">
        <w:t xml:space="preserve">Director to determine relevance, ongoing usefulness and qualitative value for likely use in question evaluation research after an initial retention period of 2 years. </w:t>
      </w:r>
      <w:r w:rsidRPr="006B1B24">
        <w:t>The information of individuals who did not qualify for the study and opt into our respondent database will be kept for 5 years. Removal from the database can be requested by emailing recruitmentteam@cdc.gov.</w:t>
      </w:r>
    </w:p>
    <w:p w:rsidR="00185DC7" w:rsidRPr="006B1B24" w:rsidP="00EA0711" w14:paraId="7174F23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color w:val="000000"/>
        </w:rPr>
      </w:pPr>
    </w:p>
    <w:p w:rsidR="00545495" w:rsidRPr="006B1B24" w:rsidP="00C60071" w14:paraId="64DF80E4" w14:textId="076CBE7A">
      <w:pPr>
        <w:pStyle w:val="Heading2"/>
      </w:pPr>
      <w:bookmarkStart w:id="5" w:name="_Toc159921512"/>
      <w:r w:rsidRPr="006B1B24">
        <w:t>A.</w:t>
      </w:r>
      <w:r w:rsidRPr="006B1B24">
        <w:t>11.</w:t>
      </w:r>
      <w:r w:rsidRPr="006B1B24">
        <w:tab/>
      </w:r>
      <w:r w:rsidRPr="006B1B24" w:rsidR="00D65510">
        <w:t>Institutional</w:t>
      </w:r>
      <w:r w:rsidRPr="006B1B24" w:rsidR="00F63593">
        <w:t xml:space="preserve"> Review Board (IRB) and </w:t>
      </w:r>
      <w:r w:rsidRPr="006B1B24">
        <w:t>Justification for Sensitive Questions</w:t>
      </w:r>
      <w:bookmarkEnd w:id="5"/>
    </w:p>
    <w:p w:rsidR="00BD0B86" w:rsidRPr="006B1B24" w:rsidP="003B72BA" w14:paraId="131F312F" w14:textId="77777777">
      <w:pPr>
        <w:pStyle w:val="Heading2"/>
      </w:pPr>
    </w:p>
    <w:p w:rsidR="00185DC7" w:rsidRPr="006B1B24" w:rsidP="00185DC7" w14:paraId="6D60AA34" w14:textId="19165171">
      <w:pPr>
        <w:widowControl/>
        <w:tabs>
          <w:tab w:val="left" w:pos="0"/>
        </w:tabs>
      </w:pPr>
      <w:r w:rsidRPr="006B1B24">
        <w:t xml:space="preserve">NCHS Ethics Review Board (ERB) and CDC Human Research Protection Office (HRPO) </w:t>
      </w:r>
      <w:r w:rsidRPr="006B1B24" w:rsidR="003F68EE">
        <w:t xml:space="preserve">approved this data collection </w:t>
      </w:r>
      <w:r w:rsidRPr="006B1B24">
        <w:t xml:space="preserve">on </w:t>
      </w:r>
      <w:r w:rsidRPr="004024A6" w:rsidR="00BC38C1">
        <w:t>01</w:t>
      </w:r>
      <w:r w:rsidRPr="004024A6" w:rsidR="00481224">
        <w:t>/</w:t>
      </w:r>
      <w:r w:rsidRPr="004024A6" w:rsidR="00BC38C1">
        <w:t>08</w:t>
      </w:r>
      <w:r w:rsidRPr="004024A6" w:rsidR="00481224">
        <w:t>/20</w:t>
      </w:r>
      <w:r w:rsidRPr="004024A6" w:rsidR="00BC38C1">
        <w:t>24</w:t>
      </w:r>
      <w:r w:rsidRPr="004024A6" w:rsidR="00481224">
        <w:t>.</w:t>
      </w:r>
    </w:p>
    <w:p w:rsidR="00185DC7" w:rsidRPr="006B1B24" w:rsidP="004E2C19" w14:paraId="306E8501" w14:textId="77777777">
      <w:pPr>
        <w:widowControl/>
        <w:tabs>
          <w:tab w:val="left" w:pos="0"/>
        </w:tabs>
      </w:pPr>
    </w:p>
    <w:p w:rsidR="006550A2" w:rsidP="00115EE3" w14:paraId="5E4AD72E" w14:textId="6BEC243B">
      <w:pPr>
        <w:pStyle w:val="HTMLPreformatted"/>
        <w:rPr>
          <w:rFonts w:ascii="Times New Roman" w:hAnsi="Times New Roman" w:cs="Times New Roman"/>
          <w:b/>
          <w:bCs/>
          <w:sz w:val="24"/>
          <w:szCs w:val="24"/>
        </w:rPr>
      </w:pPr>
      <w:bookmarkStart w:id="6" w:name="_Toc159921513"/>
      <w:r w:rsidRPr="00EB7A5F">
        <w:rPr>
          <w:rFonts w:ascii="Times New Roman" w:hAnsi="Times New Roman" w:cs="Times New Roman"/>
          <w:b/>
          <w:bCs/>
          <w:sz w:val="24"/>
          <w:szCs w:val="24"/>
        </w:rPr>
        <w:t>A</w:t>
      </w:r>
      <w:r w:rsidRPr="00EB7A5F" w:rsidR="005E2223">
        <w:rPr>
          <w:rFonts w:ascii="Times New Roman" w:hAnsi="Times New Roman" w:cs="Times New Roman"/>
          <w:b/>
          <w:bCs/>
          <w:sz w:val="24"/>
          <w:szCs w:val="24"/>
        </w:rPr>
        <w:t>.</w:t>
      </w:r>
      <w:r w:rsidRPr="00EB7A5F" w:rsidR="00545495">
        <w:rPr>
          <w:rFonts w:ascii="Times New Roman" w:hAnsi="Times New Roman" w:cs="Times New Roman"/>
          <w:b/>
          <w:bCs/>
          <w:sz w:val="24"/>
          <w:szCs w:val="24"/>
        </w:rPr>
        <w:t xml:space="preserve">12.  </w:t>
      </w:r>
      <w:r w:rsidRPr="00EB7A5F" w:rsidR="00115EE3">
        <w:rPr>
          <w:rFonts w:ascii="Times New Roman" w:hAnsi="Times New Roman" w:cs="Times New Roman"/>
          <w:b/>
          <w:bCs/>
          <w:sz w:val="24"/>
          <w:szCs w:val="24"/>
        </w:rPr>
        <w:t xml:space="preserve">Estimates of Annualized Burden </w:t>
      </w:r>
      <w:r w:rsidR="00EB7A5F">
        <w:rPr>
          <w:rFonts w:ascii="Times New Roman" w:hAnsi="Times New Roman" w:cs="Times New Roman"/>
          <w:b/>
          <w:bCs/>
          <w:sz w:val="24"/>
          <w:szCs w:val="24"/>
        </w:rPr>
        <w:t>H</w:t>
      </w:r>
      <w:r w:rsidRPr="00EB7A5F" w:rsidR="00115EE3">
        <w:rPr>
          <w:rFonts w:ascii="Times New Roman" w:hAnsi="Times New Roman" w:cs="Times New Roman"/>
          <w:b/>
          <w:bCs/>
          <w:sz w:val="24"/>
          <w:szCs w:val="24"/>
        </w:rPr>
        <w:t xml:space="preserve">ours and </w:t>
      </w:r>
      <w:r w:rsidR="00EB7A5F">
        <w:rPr>
          <w:rFonts w:ascii="Times New Roman" w:hAnsi="Times New Roman" w:cs="Times New Roman"/>
          <w:b/>
          <w:bCs/>
          <w:sz w:val="24"/>
          <w:szCs w:val="24"/>
        </w:rPr>
        <w:t>C</w:t>
      </w:r>
      <w:r w:rsidRPr="00EB7A5F" w:rsidR="00115EE3">
        <w:rPr>
          <w:rFonts w:ascii="Times New Roman" w:hAnsi="Times New Roman" w:cs="Times New Roman"/>
          <w:b/>
          <w:bCs/>
          <w:sz w:val="24"/>
          <w:szCs w:val="24"/>
        </w:rPr>
        <w:t xml:space="preserve">osts </w:t>
      </w:r>
      <w:bookmarkEnd w:id="6"/>
    </w:p>
    <w:p w:rsidR="00EB7A5F" w:rsidRPr="00EB7A5F" w:rsidP="00115EE3" w14:paraId="20A36A45" w14:textId="77777777">
      <w:pPr>
        <w:pStyle w:val="HTMLPreformatted"/>
        <w:rPr>
          <w:rFonts w:ascii="Times New Roman" w:hAnsi="Times New Roman" w:cs="Times New Roman"/>
          <w:b/>
          <w:bCs/>
          <w:sz w:val="24"/>
          <w:szCs w:val="24"/>
        </w:rPr>
      </w:pPr>
    </w:p>
    <w:p w:rsidR="00AE25ED" w:rsidRPr="00F75EA1" w:rsidP="00AE25ED" w14:paraId="62DBBABD" w14:textId="73FE03FB">
      <w:pPr>
        <w:widowControl/>
        <w:tabs>
          <w:tab w:val="left" w:pos="0"/>
        </w:tabs>
      </w:pPr>
      <w:r>
        <w:t xml:space="preserve">In January 2023, OMB approved 71,925 total number of respondents and 21,450 total burden hours.  </w:t>
      </w:r>
      <w:r w:rsidR="00EB7A5F">
        <w:t>T</w:t>
      </w:r>
      <w:r>
        <w:t>his GenIC NCHS is requesting 60 respondents and 61 total burden hours.</w:t>
      </w:r>
    </w:p>
    <w:p w:rsidR="00115EE3" w:rsidP="008500C1" w14:paraId="6F35CEF4" w14:textId="77777777">
      <w:pPr>
        <w:pStyle w:val="HTMLPreformatted"/>
      </w:pPr>
    </w:p>
    <w:p w:rsidR="00B74827" w:rsidRPr="006B1B24" w:rsidP="00B74827" w14:paraId="4313FE67" w14:textId="3A9BA755">
      <w:pPr>
        <w:pStyle w:val="Caption"/>
        <w:rPr>
          <w:b w:val="0"/>
          <w:noProof/>
        </w:rPr>
      </w:pPr>
      <w:hyperlink w:anchor="_Toc148345572" w:history="1">
        <w:r w:rsidRPr="006B1B24">
          <w:rPr>
            <w:rStyle w:val="Hyperlink"/>
            <w:b w:val="0"/>
            <w:bCs/>
            <w:noProof/>
            <w:color w:val="auto"/>
          </w:rPr>
          <w:t xml:space="preserve">Burden </w:t>
        </w:r>
        <w:r w:rsidR="009B366B">
          <w:rPr>
            <w:rStyle w:val="Hyperlink"/>
            <w:b w:val="0"/>
            <w:bCs/>
            <w:noProof/>
            <w:color w:val="auto"/>
          </w:rPr>
          <w:t>T</w:t>
        </w:r>
        <w:r w:rsidRPr="006B1B24">
          <w:rPr>
            <w:rStyle w:val="Hyperlink"/>
            <w:b w:val="0"/>
            <w:bCs/>
            <w:noProof/>
            <w:color w:val="auto"/>
          </w:rPr>
          <w:t>able for Point of Care Checklist Subprojec</w:t>
        </w:r>
      </w:hyperlink>
      <w:r w:rsidRPr="006B1B24">
        <w:rPr>
          <w:b w:val="0"/>
          <w:noProof/>
        </w:rPr>
        <w:t>t</w:t>
      </w:r>
    </w:p>
    <w:tbl>
      <w:tblPr>
        <w:tblW w:w="8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4"/>
        <w:gridCol w:w="1529"/>
        <w:gridCol w:w="1532"/>
        <w:gridCol w:w="1710"/>
        <w:gridCol w:w="1350"/>
      </w:tblGrid>
      <w:tr w14:paraId="4505DEC2" w14:textId="77777777" w:rsidTr="00420DB1">
        <w:tblPrEx>
          <w:tblW w:w="8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514" w:type="dxa"/>
            <w:shd w:val="clear" w:color="auto" w:fill="auto"/>
          </w:tcPr>
          <w:p w:rsidR="003F68EE" w:rsidRPr="006B1B24" w:rsidP="004E7413" w14:paraId="14F49D28" w14:textId="638D4CD5">
            <w:pPr>
              <w:rPr>
                <w:rFonts w:cs="Angsana New"/>
                <w:b/>
                <w:sz w:val="22"/>
                <w:szCs w:val="22"/>
              </w:rPr>
            </w:pPr>
            <w:bookmarkStart w:id="7" w:name="_Toc152591949"/>
            <w:r w:rsidRPr="006B1B24">
              <w:t xml:space="preserve">Table </w:t>
            </w:r>
            <w:r w:rsidR="002B59AE">
              <w:fldChar w:fldCharType="begin"/>
            </w:r>
            <w:r w:rsidR="002B59AE">
              <w:instrText xml:space="preserve"> SEQ Table \* ARABIC </w:instrText>
            </w:r>
            <w:r w:rsidR="002B59AE">
              <w:fldChar w:fldCharType="separate"/>
            </w:r>
            <w:r w:rsidRPr="006B1B24">
              <w:rPr>
                <w:noProof/>
              </w:rPr>
              <w:t>2</w:t>
            </w:r>
            <w:r w:rsidR="002B59AE">
              <w:rPr>
                <w:noProof/>
              </w:rPr>
              <w:fldChar w:fldCharType="end"/>
            </w:r>
            <w:r w:rsidRPr="006B1B24">
              <w:t>: Burden table for Point of Care Checklist Subproject</w:t>
            </w:r>
            <w:r w:rsidRPr="006B1B24" w:rsidR="00EA0711">
              <w:t xml:space="preserve"> </w:t>
            </w:r>
            <w:r w:rsidRPr="006B1B24">
              <w:rPr>
                <w:rFonts w:cs="Angsana New"/>
                <w:b/>
                <w:sz w:val="22"/>
                <w:szCs w:val="22"/>
              </w:rPr>
              <w:t>Form Name</w:t>
            </w:r>
            <w:bookmarkEnd w:id="7"/>
          </w:p>
        </w:tc>
        <w:tc>
          <w:tcPr>
            <w:tcW w:w="1529" w:type="dxa"/>
            <w:shd w:val="clear" w:color="auto" w:fill="auto"/>
          </w:tcPr>
          <w:p w:rsidR="003F68EE" w:rsidRPr="006B1B24" w:rsidP="004E7413" w14:paraId="073DD037" w14:textId="77777777">
            <w:pPr>
              <w:rPr>
                <w:rFonts w:cs="Angsana New"/>
                <w:b/>
              </w:rPr>
            </w:pPr>
            <w:r w:rsidRPr="006B1B24">
              <w:rPr>
                <w:rFonts w:cs="Angsana New"/>
                <w:b/>
              </w:rPr>
              <w:t>Number of Participants</w:t>
            </w:r>
          </w:p>
        </w:tc>
        <w:tc>
          <w:tcPr>
            <w:tcW w:w="1532" w:type="dxa"/>
            <w:shd w:val="clear" w:color="auto" w:fill="auto"/>
          </w:tcPr>
          <w:p w:rsidR="003F68EE" w:rsidRPr="006B1B24" w:rsidP="004E7413" w14:paraId="696988CC" w14:textId="5806AE6B">
            <w:pPr>
              <w:rPr>
                <w:rFonts w:cs="Angsana New"/>
                <w:b/>
              </w:rPr>
            </w:pPr>
            <w:r w:rsidRPr="006B1B24">
              <w:rPr>
                <w:rFonts w:cs="Angsana New"/>
                <w:b/>
              </w:rPr>
              <w:t>Number of Responses/</w:t>
            </w:r>
            <w:r w:rsidRPr="006B1B24" w:rsidR="00D97924">
              <w:rPr>
                <w:rFonts w:cs="Angsana New"/>
                <w:b/>
              </w:rPr>
              <w:t xml:space="preserve"> </w:t>
            </w:r>
            <w:r w:rsidRPr="006B1B24">
              <w:rPr>
                <w:rFonts w:cs="Angsana New"/>
                <w:b/>
              </w:rPr>
              <w:t>Participants</w:t>
            </w:r>
          </w:p>
        </w:tc>
        <w:tc>
          <w:tcPr>
            <w:tcW w:w="1710" w:type="dxa"/>
            <w:shd w:val="clear" w:color="auto" w:fill="auto"/>
          </w:tcPr>
          <w:p w:rsidR="003F68EE" w:rsidRPr="006B1B24" w:rsidP="004E7413" w14:paraId="10B1EA81" w14:textId="77777777">
            <w:pPr>
              <w:rPr>
                <w:rFonts w:cs="Angsana New"/>
                <w:b/>
              </w:rPr>
            </w:pPr>
            <w:r w:rsidRPr="006B1B24">
              <w:rPr>
                <w:rFonts w:cs="Angsana New"/>
                <w:b/>
              </w:rPr>
              <w:t>Average hours per response</w:t>
            </w:r>
          </w:p>
        </w:tc>
        <w:tc>
          <w:tcPr>
            <w:tcW w:w="1350" w:type="dxa"/>
            <w:shd w:val="clear" w:color="auto" w:fill="auto"/>
          </w:tcPr>
          <w:p w:rsidR="003F68EE" w:rsidRPr="006B1B24" w:rsidP="004E7413" w14:paraId="147E1C06" w14:textId="77777777">
            <w:pPr>
              <w:rPr>
                <w:rFonts w:cs="Angsana New"/>
                <w:b/>
              </w:rPr>
            </w:pPr>
            <w:r w:rsidRPr="006B1B24">
              <w:rPr>
                <w:rFonts w:cs="Angsana New"/>
                <w:b/>
              </w:rPr>
              <w:t>Response Burden (in hours)</w:t>
            </w:r>
          </w:p>
        </w:tc>
      </w:tr>
      <w:tr w14:paraId="3A6B4965" w14:textId="77777777" w:rsidTr="00420DB1">
        <w:tblPrEx>
          <w:tblW w:w="8635" w:type="dxa"/>
          <w:tblInd w:w="-5" w:type="dxa"/>
          <w:tblLayout w:type="fixed"/>
          <w:tblLook w:val="04A0"/>
        </w:tblPrEx>
        <w:tc>
          <w:tcPr>
            <w:tcW w:w="2514" w:type="dxa"/>
            <w:shd w:val="clear" w:color="auto" w:fill="auto"/>
          </w:tcPr>
          <w:p w:rsidR="003F68EE" w:rsidRPr="006B1B24" w:rsidP="004E7413" w14:paraId="0D3F8462" w14:textId="5EF62E84">
            <w:pPr>
              <w:rPr>
                <w:rFonts w:cs="Angsana New"/>
              </w:rPr>
            </w:pPr>
            <w:r w:rsidRPr="006B1B24">
              <w:rPr>
                <w:rFonts w:cs="Angsana New"/>
              </w:rPr>
              <w:t xml:space="preserve">Screener (all recruitment methods as described above (Attachment </w:t>
            </w:r>
            <w:r w:rsidRPr="006B1B24" w:rsidR="00310210">
              <w:rPr>
                <w:rFonts w:cs="Angsana New"/>
              </w:rPr>
              <w:t>3</w:t>
            </w:r>
            <w:r w:rsidRPr="006B1B24" w:rsidR="00034CA5">
              <w:rPr>
                <w:rFonts w:cs="Angsana New"/>
              </w:rPr>
              <w:t>a and 3b</w:t>
            </w:r>
            <w:r w:rsidRPr="006B1B24">
              <w:rPr>
                <w:rFonts w:cs="Angsana New"/>
              </w:rPr>
              <w:t>)</w:t>
            </w:r>
          </w:p>
        </w:tc>
        <w:tc>
          <w:tcPr>
            <w:tcW w:w="1529" w:type="dxa"/>
            <w:shd w:val="clear" w:color="auto" w:fill="auto"/>
          </w:tcPr>
          <w:p w:rsidR="003F68EE" w:rsidRPr="006B1B24" w:rsidP="004E7413" w14:paraId="58C65727" w14:textId="042E7E67">
            <w:pPr>
              <w:rPr>
                <w:rFonts w:cs="Angsana New"/>
              </w:rPr>
            </w:pPr>
            <w:r w:rsidRPr="006B1B24">
              <w:rPr>
                <w:rFonts w:cs="Angsana New"/>
              </w:rPr>
              <w:t xml:space="preserve"> 60</w:t>
            </w:r>
          </w:p>
        </w:tc>
        <w:tc>
          <w:tcPr>
            <w:tcW w:w="1532" w:type="dxa"/>
            <w:shd w:val="clear" w:color="auto" w:fill="auto"/>
          </w:tcPr>
          <w:p w:rsidR="003F68EE" w:rsidRPr="006B1B24" w:rsidP="004E7413" w14:paraId="4C0A4BCF" w14:textId="15B2A7D3">
            <w:pPr>
              <w:rPr>
                <w:rFonts w:cs="Angsana New"/>
              </w:rPr>
            </w:pPr>
            <w:r w:rsidRPr="006B1B24">
              <w:rPr>
                <w:rFonts w:cs="Angsana New"/>
              </w:rPr>
              <w:t>1</w:t>
            </w:r>
          </w:p>
        </w:tc>
        <w:tc>
          <w:tcPr>
            <w:tcW w:w="1710" w:type="dxa"/>
            <w:shd w:val="clear" w:color="auto" w:fill="auto"/>
          </w:tcPr>
          <w:p w:rsidR="003F68EE" w:rsidRPr="006B1B24" w:rsidP="004E7413" w14:paraId="420B1978" w14:textId="1F82E8FC">
            <w:pPr>
              <w:rPr>
                <w:rFonts w:cs="Angsana New"/>
              </w:rPr>
            </w:pPr>
            <w:r w:rsidRPr="006B1B24">
              <w:rPr>
                <w:rFonts w:cs="Angsana New"/>
              </w:rPr>
              <w:t>5/</w:t>
            </w:r>
            <w:r w:rsidRPr="006B1B24" w:rsidR="00A60179">
              <w:rPr>
                <w:rFonts w:cs="Angsana New"/>
              </w:rPr>
              <w:t>60</w:t>
            </w:r>
          </w:p>
        </w:tc>
        <w:tc>
          <w:tcPr>
            <w:tcW w:w="1350" w:type="dxa"/>
            <w:shd w:val="clear" w:color="auto" w:fill="auto"/>
          </w:tcPr>
          <w:p w:rsidR="003F68EE" w:rsidRPr="006B1B24" w:rsidP="004E7413" w14:paraId="3EDCDF32" w14:textId="2CCCDE26">
            <w:pPr>
              <w:rPr>
                <w:rFonts w:cs="Angsana New"/>
              </w:rPr>
            </w:pPr>
            <w:r w:rsidRPr="006B1B24">
              <w:rPr>
                <w:rFonts w:cs="Angsana New"/>
              </w:rPr>
              <w:t>5</w:t>
            </w:r>
          </w:p>
        </w:tc>
      </w:tr>
      <w:tr w14:paraId="73ED1543" w14:textId="77777777" w:rsidTr="00420DB1">
        <w:tblPrEx>
          <w:tblW w:w="8635" w:type="dxa"/>
          <w:tblInd w:w="-5" w:type="dxa"/>
          <w:tblLayout w:type="fixed"/>
          <w:tblLook w:val="04A0"/>
        </w:tblPrEx>
        <w:tc>
          <w:tcPr>
            <w:tcW w:w="2514" w:type="dxa"/>
            <w:shd w:val="clear" w:color="auto" w:fill="auto"/>
          </w:tcPr>
          <w:p w:rsidR="00495524" w:rsidRPr="006B1B24" w:rsidP="004E7413" w14:paraId="6184DAFD" w14:textId="473BF0C8">
            <w:pPr>
              <w:rPr>
                <w:rFonts w:cs="Angsana New"/>
              </w:rPr>
            </w:pPr>
            <w:r w:rsidRPr="006B1B24">
              <w:t>Virtual interview Zoom set up support</w:t>
            </w:r>
            <w:r w:rsidRPr="006B1B24" w:rsidR="007C355E">
              <w:t xml:space="preserve"> </w:t>
            </w:r>
            <w:r w:rsidRPr="006B1B24" w:rsidR="007C355E">
              <w:rPr>
                <w:sz w:val="18"/>
                <w:szCs w:val="18"/>
              </w:rPr>
              <w:t>*</w:t>
            </w:r>
          </w:p>
        </w:tc>
        <w:tc>
          <w:tcPr>
            <w:tcW w:w="1529" w:type="dxa"/>
            <w:shd w:val="clear" w:color="auto" w:fill="auto"/>
          </w:tcPr>
          <w:p w:rsidR="00495524" w:rsidRPr="006B1B24" w:rsidP="004E7413" w14:paraId="40D20DE0" w14:textId="18A468FB">
            <w:pPr>
              <w:rPr>
                <w:rFonts w:cs="Angsana New"/>
              </w:rPr>
            </w:pPr>
            <w:r w:rsidRPr="006B1B24">
              <w:rPr>
                <w:rFonts w:cs="Angsana New"/>
              </w:rPr>
              <w:t>40</w:t>
            </w:r>
          </w:p>
        </w:tc>
        <w:tc>
          <w:tcPr>
            <w:tcW w:w="1532" w:type="dxa"/>
            <w:shd w:val="clear" w:color="auto" w:fill="auto"/>
          </w:tcPr>
          <w:p w:rsidR="00495524" w:rsidRPr="006B1B24" w:rsidP="004E7413" w14:paraId="556B2EC7" w14:textId="5AB751F2">
            <w:pPr>
              <w:rPr>
                <w:rFonts w:cs="Angsana New"/>
              </w:rPr>
            </w:pPr>
            <w:r w:rsidRPr="006B1B24">
              <w:rPr>
                <w:rFonts w:cs="Angsana New"/>
              </w:rPr>
              <w:t>1</w:t>
            </w:r>
          </w:p>
        </w:tc>
        <w:tc>
          <w:tcPr>
            <w:tcW w:w="1710" w:type="dxa"/>
            <w:shd w:val="clear" w:color="auto" w:fill="auto"/>
          </w:tcPr>
          <w:p w:rsidR="00495524" w:rsidRPr="006B1B24" w:rsidP="004E7413" w14:paraId="0BEE716C" w14:textId="0E5BEF1A">
            <w:pPr>
              <w:rPr>
                <w:rFonts w:cs="Angsana New"/>
              </w:rPr>
            </w:pPr>
            <w:r w:rsidRPr="006B1B24">
              <w:rPr>
                <w:rFonts w:cs="Angsana New"/>
              </w:rPr>
              <w:t>5/</w:t>
            </w:r>
            <w:r w:rsidRPr="006B1B24" w:rsidR="009A5BA2">
              <w:rPr>
                <w:rFonts w:cs="Angsana New"/>
              </w:rPr>
              <w:t>60</w:t>
            </w:r>
          </w:p>
        </w:tc>
        <w:tc>
          <w:tcPr>
            <w:tcW w:w="1350" w:type="dxa"/>
            <w:shd w:val="clear" w:color="auto" w:fill="auto"/>
          </w:tcPr>
          <w:p w:rsidR="00495524" w:rsidRPr="006B1B24" w:rsidP="004E7413" w14:paraId="5581E9A4" w14:textId="3B5C9592">
            <w:pPr>
              <w:rPr>
                <w:rFonts w:cs="Angsana New"/>
              </w:rPr>
            </w:pPr>
            <w:r w:rsidRPr="006B1B24">
              <w:rPr>
                <w:rFonts w:cs="Angsana New"/>
              </w:rPr>
              <w:t>3</w:t>
            </w:r>
          </w:p>
        </w:tc>
      </w:tr>
      <w:tr w14:paraId="31B8570C" w14:textId="77777777" w:rsidTr="00420DB1">
        <w:tblPrEx>
          <w:tblW w:w="8635" w:type="dxa"/>
          <w:tblInd w:w="-5" w:type="dxa"/>
          <w:tblLayout w:type="fixed"/>
          <w:tblLook w:val="04A0"/>
        </w:tblPrEx>
        <w:tc>
          <w:tcPr>
            <w:tcW w:w="2514" w:type="dxa"/>
            <w:shd w:val="clear" w:color="auto" w:fill="auto"/>
          </w:tcPr>
          <w:p w:rsidR="003F68EE" w:rsidRPr="006B1B24" w:rsidP="004E7413" w14:paraId="40EB856D" w14:textId="02E221DF">
            <w:pPr>
              <w:rPr>
                <w:rFonts w:cs="Angsana New"/>
              </w:rPr>
            </w:pPr>
            <w:r w:rsidRPr="006B1B24">
              <w:rPr>
                <w:rFonts w:cs="Angsana New"/>
              </w:rPr>
              <w:t>Self-report interview</w:t>
            </w:r>
          </w:p>
        </w:tc>
        <w:tc>
          <w:tcPr>
            <w:tcW w:w="1529" w:type="dxa"/>
            <w:shd w:val="clear" w:color="auto" w:fill="auto"/>
          </w:tcPr>
          <w:p w:rsidR="003F68EE" w:rsidRPr="006B1B24" w:rsidP="004E7413" w14:paraId="266A895B" w14:textId="7EF1A671">
            <w:pPr>
              <w:rPr>
                <w:rFonts w:cs="Angsana New"/>
              </w:rPr>
            </w:pPr>
            <w:r w:rsidRPr="006B1B24">
              <w:rPr>
                <w:rFonts w:cs="Angsana New"/>
              </w:rPr>
              <w:t>24</w:t>
            </w:r>
          </w:p>
        </w:tc>
        <w:tc>
          <w:tcPr>
            <w:tcW w:w="1532" w:type="dxa"/>
            <w:shd w:val="clear" w:color="auto" w:fill="auto"/>
          </w:tcPr>
          <w:p w:rsidR="003F68EE" w:rsidRPr="006B1B24" w:rsidP="004E7413" w14:paraId="60242AF8" w14:textId="01DCFDA8">
            <w:pPr>
              <w:rPr>
                <w:rFonts w:cs="Angsana New"/>
              </w:rPr>
            </w:pPr>
            <w:r w:rsidRPr="006B1B24">
              <w:rPr>
                <w:rFonts w:cs="Angsana New"/>
              </w:rPr>
              <w:t>1</w:t>
            </w:r>
          </w:p>
        </w:tc>
        <w:tc>
          <w:tcPr>
            <w:tcW w:w="1710" w:type="dxa"/>
            <w:shd w:val="clear" w:color="auto" w:fill="auto"/>
          </w:tcPr>
          <w:p w:rsidR="003F68EE" w:rsidRPr="006B1B24" w:rsidP="004E7413" w14:paraId="66914DCC" w14:textId="1BB03E06">
            <w:pPr>
              <w:rPr>
                <w:rFonts w:cs="Angsana New"/>
              </w:rPr>
            </w:pPr>
            <w:r w:rsidRPr="006B1B24">
              <w:rPr>
                <w:rFonts w:cs="Angsana New"/>
              </w:rPr>
              <w:t xml:space="preserve">1.25 </w:t>
            </w:r>
          </w:p>
        </w:tc>
        <w:tc>
          <w:tcPr>
            <w:tcW w:w="1350" w:type="dxa"/>
            <w:shd w:val="clear" w:color="auto" w:fill="auto"/>
          </w:tcPr>
          <w:p w:rsidR="003F68EE" w:rsidRPr="006B1B24" w:rsidP="004E7413" w14:paraId="6F6285EA" w14:textId="4E7864E4">
            <w:pPr>
              <w:rPr>
                <w:rFonts w:cs="Angsana New"/>
              </w:rPr>
            </w:pPr>
            <w:r w:rsidRPr="006B1B24">
              <w:rPr>
                <w:rFonts w:cs="Angsana New"/>
              </w:rPr>
              <w:t>30</w:t>
            </w:r>
          </w:p>
        </w:tc>
      </w:tr>
      <w:tr w14:paraId="73DE604E" w14:textId="77777777" w:rsidTr="00420DB1">
        <w:tblPrEx>
          <w:tblW w:w="8635" w:type="dxa"/>
          <w:tblInd w:w="-5" w:type="dxa"/>
          <w:tblLayout w:type="fixed"/>
          <w:tblLook w:val="04A0"/>
        </w:tblPrEx>
        <w:tc>
          <w:tcPr>
            <w:tcW w:w="2514" w:type="dxa"/>
            <w:shd w:val="clear" w:color="auto" w:fill="auto"/>
          </w:tcPr>
          <w:p w:rsidR="00D97924" w:rsidRPr="006B1B24" w:rsidP="004E7413" w14:paraId="076DE4F2" w14:textId="065F9CBB">
            <w:pPr>
              <w:rPr>
                <w:rFonts w:cs="Angsana New"/>
              </w:rPr>
            </w:pPr>
            <w:r w:rsidRPr="006B1B24">
              <w:rPr>
                <w:rFonts w:cs="Angsana New"/>
              </w:rPr>
              <w:t>Proxy-report interview</w:t>
            </w:r>
          </w:p>
        </w:tc>
        <w:tc>
          <w:tcPr>
            <w:tcW w:w="1529" w:type="dxa"/>
            <w:shd w:val="clear" w:color="auto" w:fill="auto"/>
          </w:tcPr>
          <w:p w:rsidR="00D97924" w:rsidRPr="006B1B24" w:rsidP="004E7413" w14:paraId="1DF4CA7F" w14:textId="5599C2D6">
            <w:pPr>
              <w:rPr>
                <w:rFonts w:cs="Angsana New"/>
              </w:rPr>
            </w:pPr>
            <w:r w:rsidRPr="006B1B24">
              <w:rPr>
                <w:rFonts w:cs="Angsana New"/>
              </w:rPr>
              <w:t>16</w:t>
            </w:r>
          </w:p>
        </w:tc>
        <w:tc>
          <w:tcPr>
            <w:tcW w:w="1532" w:type="dxa"/>
            <w:shd w:val="clear" w:color="auto" w:fill="auto"/>
          </w:tcPr>
          <w:p w:rsidR="00D97924" w:rsidRPr="006B1B24" w:rsidP="004E7413" w14:paraId="5309258B" w14:textId="15FBCBC2">
            <w:pPr>
              <w:rPr>
                <w:rFonts w:cs="Angsana New"/>
              </w:rPr>
            </w:pPr>
            <w:r w:rsidRPr="006B1B24">
              <w:rPr>
                <w:rFonts w:cs="Angsana New"/>
              </w:rPr>
              <w:t>1</w:t>
            </w:r>
          </w:p>
        </w:tc>
        <w:tc>
          <w:tcPr>
            <w:tcW w:w="1710" w:type="dxa"/>
            <w:shd w:val="clear" w:color="auto" w:fill="auto"/>
          </w:tcPr>
          <w:p w:rsidR="00D97924" w:rsidRPr="006B1B24" w:rsidP="004E7413" w14:paraId="20F23807" w14:textId="576E6935">
            <w:pPr>
              <w:rPr>
                <w:rFonts w:cs="Angsana New"/>
              </w:rPr>
            </w:pPr>
            <w:r w:rsidRPr="006B1B24">
              <w:rPr>
                <w:rFonts w:cs="Angsana New"/>
              </w:rPr>
              <w:t xml:space="preserve">1.25 </w:t>
            </w:r>
          </w:p>
        </w:tc>
        <w:tc>
          <w:tcPr>
            <w:tcW w:w="1350" w:type="dxa"/>
            <w:shd w:val="clear" w:color="auto" w:fill="auto"/>
          </w:tcPr>
          <w:p w:rsidR="00D97924" w:rsidRPr="006B1B24" w:rsidP="004E7413" w14:paraId="075C1D58" w14:textId="03868214">
            <w:pPr>
              <w:rPr>
                <w:rFonts w:cs="Angsana New"/>
              </w:rPr>
            </w:pPr>
            <w:r w:rsidRPr="006B1B24">
              <w:rPr>
                <w:rFonts w:cs="Angsana New"/>
              </w:rPr>
              <w:t>20</w:t>
            </w:r>
          </w:p>
        </w:tc>
      </w:tr>
      <w:tr w14:paraId="52672E51" w14:textId="77777777" w:rsidTr="00420DB1">
        <w:tblPrEx>
          <w:tblW w:w="8635" w:type="dxa"/>
          <w:tblInd w:w="-5" w:type="dxa"/>
          <w:tblLayout w:type="fixed"/>
          <w:tblLook w:val="04A0"/>
        </w:tblPrEx>
        <w:tc>
          <w:tcPr>
            <w:tcW w:w="2514" w:type="dxa"/>
            <w:shd w:val="clear" w:color="auto" w:fill="auto"/>
          </w:tcPr>
          <w:p w:rsidR="003F68EE" w:rsidRPr="006B1B24" w:rsidP="004E7413" w14:paraId="07F036B6" w14:textId="77777777">
            <w:pPr>
              <w:rPr>
                <w:rFonts w:cs="Angsana New"/>
              </w:rPr>
            </w:pPr>
            <w:r w:rsidRPr="006B1B24">
              <w:rPr>
                <w:rFonts w:cs="Angsana New"/>
              </w:rPr>
              <w:t xml:space="preserve">Respondent Data Collection Sheets </w:t>
            </w:r>
          </w:p>
        </w:tc>
        <w:tc>
          <w:tcPr>
            <w:tcW w:w="1529" w:type="dxa"/>
            <w:shd w:val="clear" w:color="auto" w:fill="auto"/>
          </w:tcPr>
          <w:p w:rsidR="003F68EE" w:rsidRPr="006B1B24" w:rsidP="004E7413" w14:paraId="256FA54F" w14:textId="1FA85B84">
            <w:pPr>
              <w:rPr>
                <w:rFonts w:cs="Angsana New"/>
              </w:rPr>
            </w:pPr>
            <w:r w:rsidRPr="006B1B24">
              <w:rPr>
                <w:rFonts w:cs="Angsana New"/>
              </w:rPr>
              <w:t>40</w:t>
            </w:r>
          </w:p>
        </w:tc>
        <w:tc>
          <w:tcPr>
            <w:tcW w:w="1532" w:type="dxa"/>
            <w:shd w:val="clear" w:color="auto" w:fill="auto"/>
          </w:tcPr>
          <w:p w:rsidR="003F68EE" w:rsidRPr="006B1B24" w:rsidP="004E7413" w14:paraId="47257C39" w14:textId="77C48E05">
            <w:pPr>
              <w:rPr>
                <w:rFonts w:cs="Angsana New"/>
              </w:rPr>
            </w:pPr>
            <w:r w:rsidRPr="006B1B24">
              <w:rPr>
                <w:rFonts w:cs="Angsana New"/>
              </w:rPr>
              <w:t>1</w:t>
            </w:r>
          </w:p>
        </w:tc>
        <w:tc>
          <w:tcPr>
            <w:tcW w:w="1710" w:type="dxa"/>
            <w:shd w:val="clear" w:color="auto" w:fill="auto"/>
          </w:tcPr>
          <w:p w:rsidR="003F68EE" w:rsidRPr="006B1B24" w:rsidP="004E7413" w14:paraId="041B7D37" w14:textId="41C70320">
            <w:pPr>
              <w:rPr>
                <w:rFonts w:cs="Angsana New"/>
              </w:rPr>
            </w:pPr>
            <w:r w:rsidRPr="006B1B24">
              <w:rPr>
                <w:rFonts w:cs="Angsana New"/>
              </w:rPr>
              <w:t>5/</w:t>
            </w:r>
            <w:r w:rsidRPr="006B1B24" w:rsidR="009A5BA2">
              <w:rPr>
                <w:rFonts w:cs="Angsana New"/>
              </w:rPr>
              <w:t>60</w:t>
            </w:r>
          </w:p>
        </w:tc>
        <w:tc>
          <w:tcPr>
            <w:tcW w:w="1350" w:type="dxa"/>
            <w:shd w:val="clear" w:color="auto" w:fill="auto"/>
          </w:tcPr>
          <w:p w:rsidR="003F68EE" w:rsidRPr="006B1B24" w:rsidP="004E7413" w14:paraId="2D9F46AD" w14:textId="0D1DCBDE">
            <w:pPr>
              <w:rPr>
                <w:rFonts w:cs="Angsana New"/>
              </w:rPr>
            </w:pPr>
            <w:r w:rsidRPr="006B1B24">
              <w:rPr>
                <w:rFonts w:cs="Angsana New"/>
              </w:rPr>
              <w:t>3</w:t>
            </w:r>
          </w:p>
        </w:tc>
      </w:tr>
      <w:tr w14:paraId="5442604E" w14:textId="77777777" w:rsidTr="00420DB1">
        <w:tblPrEx>
          <w:tblW w:w="8635" w:type="dxa"/>
          <w:tblInd w:w="-5" w:type="dxa"/>
          <w:tblLayout w:type="fixed"/>
          <w:tblLook w:val="04A0"/>
        </w:tblPrEx>
        <w:tc>
          <w:tcPr>
            <w:tcW w:w="2514" w:type="dxa"/>
            <w:shd w:val="clear" w:color="auto" w:fill="auto"/>
          </w:tcPr>
          <w:p w:rsidR="003F68EE" w:rsidRPr="006B1B24" w:rsidP="004E7413" w14:paraId="5B68C09A" w14:textId="77777777">
            <w:pPr>
              <w:rPr>
                <w:rFonts w:cs="Angsana New"/>
              </w:rPr>
            </w:pPr>
            <w:r w:rsidRPr="006B1B24">
              <w:rPr>
                <w:rFonts w:cs="Angsana New"/>
              </w:rPr>
              <w:t>Total</w:t>
            </w:r>
          </w:p>
        </w:tc>
        <w:tc>
          <w:tcPr>
            <w:tcW w:w="1529" w:type="dxa"/>
            <w:shd w:val="clear" w:color="auto" w:fill="auto"/>
          </w:tcPr>
          <w:p w:rsidR="003F68EE" w:rsidRPr="006B1B24" w:rsidP="00D97924" w14:paraId="5CB1B25B" w14:textId="1D428567">
            <w:pPr>
              <w:ind w:left="-193"/>
              <w:rPr>
                <w:rFonts w:cs="Angsana New"/>
              </w:rPr>
            </w:pPr>
            <w:r>
              <w:rPr>
                <w:rFonts w:cs="Angsana New"/>
              </w:rPr>
              <w:t xml:space="preserve">  </w:t>
            </w:r>
            <w:r w:rsidR="002B59AE">
              <w:rPr>
                <w:rFonts w:cs="Angsana New"/>
              </w:rPr>
              <w:t>18</w:t>
            </w:r>
            <w:r>
              <w:rPr>
                <w:rFonts w:cs="Angsana New"/>
              </w:rPr>
              <w:t>0</w:t>
            </w:r>
          </w:p>
        </w:tc>
        <w:tc>
          <w:tcPr>
            <w:tcW w:w="1532" w:type="dxa"/>
            <w:shd w:val="clear" w:color="auto" w:fill="auto"/>
          </w:tcPr>
          <w:p w:rsidR="003F68EE" w:rsidRPr="006B1B24" w:rsidP="004E7413" w14:paraId="281421CE" w14:textId="77777777">
            <w:pPr>
              <w:rPr>
                <w:rFonts w:cs="Angsana New"/>
              </w:rPr>
            </w:pPr>
          </w:p>
        </w:tc>
        <w:tc>
          <w:tcPr>
            <w:tcW w:w="1710" w:type="dxa"/>
            <w:shd w:val="clear" w:color="auto" w:fill="auto"/>
          </w:tcPr>
          <w:p w:rsidR="003F68EE" w:rsidRPr="006B1B24" w:rsidP="004E7413" w14:paraId="2761A006" w14:textId="77777777">
            <w:pPr>
              <w:rPr>
                <w:rFonts w:cs="Angsana New"/>
              </w:rPr>
            </w:pPr>
          </w:p>
        </w:tc>
        <w:tc>
          <w:tcPr>
            <w:tcW w:w="1350" w:type="dxa"/>
            <w:shd w:val="clear" w:color="auto" w:fill="auto"/>
          </w:tcPr>
          <w:p w:rsidR="003F68EE" w:rsidRPr="006B1B24" w:rsidP="004E7413" w14:paraId="6744C4E5" w14:textId="39C63269">
            <w:pPr>
              <w:rPr>
                <w:rFonts w:cs="Angsana New"/>
              </w:rPr>
            </w:pPr>
            <w:r w:rsidRPr="006B1B24">
              <w:rPr>
                <w:rFonts w:cs="Angsana New"/>
              </w:rPr>
              <w:t>6</w:t>
            </w:r>
            <w:r w:rsidRPr="006B1B24" w:rsidR="00A60179">
              <w:rPr>
                <w:rFonts w:cs="Angsana New"/>
              </w:rPr>
              <w:t>1</w:t>
            </w:r>
          </w:p>
        </w:tc>
      </w:tr>
    </w:tbl>
    <w:p w:rsidR="00420DB1" w:rsidRPr="006B1B24" w:rsidP="007C355E" w14:paraId="35FFE788" w14:textId="77777777">
      <w:pPr>
        <w:ind w:right="648"/>
        <w:rPr>
          <w:i/>
          <w:iCs/>
          <w:sz w:val="18"/>
          <w:szCs w:val="18"/>
        </w:rPr>
      </w:pPr>
      <w:r w:rsidRPr="006B1B24">
        <w:rPr>
          <w:sz w:val="18"/>
          <w:szCs w:val="18"/>
        </w:rPr>
        <w:t xml:space="preserve"> *</w:t>
      </w:r>
      <w:r w:rsidRPr="006B1B24">
        <w:rPr>
          <w:i/>
          <w:iCs/>
          <w:sz w:val="18"/>
          <w:szCs w:val="18"/>
        </w:rPr>
        <w:t xml:space="preserve">The maximum is shown but some respondents may not need support and some interviews may be conducted in person </w:t>
      </w:r>
      <w:r w:rsidRPr="006B1B24">
        <w:rPr>
          <w:i/>
          <w:iCs/>
          <w:sz w:val="18"/>
          <w:szCs w:val="18"/>
        </w:rPr>
        <w:t xml:space="preserve"> </w:t>
      </w:r>
    </w:p>
    <w:p w:rsidR="003F68EE" w:rsidRPr="003451FD" w:rsidP="007C355E" w14:paraId="11756562" w14:textId="450F470D">
      <w:pPr>
        <w:ind w:right="648"/>
        <w:rPr>
          <w:i/>
          <w:iCs/>
          <w:sz w:val="18"/>
          <w:szCs w:val="18"/>
        </w:rPr>
      </w:pPr>
      <w:r w:rsidRPr="006B1B24">
        <w:rPr>
          <w:i/>
          <w:iCs/>
          <w:sz w:val="18"/>
          <w:szCs w:val="18"/>
        </w:rPr>
        <w:t xml:space="preserve">    </w:t>
      </w:r>
      <w:r w:rsidRPr="006B1B24" w:rsidR="007C355E">
        <w:rPr>
          <w:i/>
          <w:iCs/>
          <w:sz w:val="18"/>
          <w:szCs w:val="18"/>
        </w:rPr>
        <w:t>in which case there would be no additional time for remote set up added.</w:t>
      </w:r>
    </w:p>
    <w:bookmarkEnd w:id="0"/>
    <w:p w:rsidR="003F68EE" w:rsidRPr="007C355E" w:rsidP="00317F8B" w14:paraId="5510C650" w14:textId="41DFBD8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b/>
          <w:bCs/>
          <w:sz w:val="18"/>
          <w:szCs w:val="18"/>
        </w:rPr>
      </w:pPr>
    </w:p>
    <w:sectPr w:rsidSect="00F53FE9">
      <w:footerReference w:type="first" r:id="rId8"/>
      <w:pgSz w:w="12240" w:h="15840"/>
      <w:pgMar w:top="1152" w:right="1440" w:bottom="1440" w:left="1440" w:header="1152" w:footer="144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6291593"/>
      <w:docPartObj>
        <w:docPartGallery w:val="Page Numbers (Bottom of Page)"/>
        <w:docPartUnique/>
      </w:docPartObj>
    </w:sdtPr>
    <w:sdtEndPr>
      <w:rPr>
        <w:noProof/>
      </w:rPr>
    </w:sdtEndPr>
    <w:sdtContent>
      <w:p w:rsidR="0010553B" w14:paraId="68997C72" w14:textId="2E9213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A0AA0" w14:paraId="31E3474A" w14:textId="77777777">
    <w:pPr>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FE9" w14:paraId="566F704D" w14:textId="08547848">
    <w:pPr>
      <w:pStyle w:val="Footer"/>
      <w:jc w:val="center"/>
    </w:pPr>
  </w:p>
  <w:p w:rsidR="00F53FE9" w14:paraId="5E6B538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9078460"/>
      <w:docPartObj>
        <w:docPartGallery w:val="Page Numbers (Bottom of Page)"/>
        <w:docPartUnique/>
      </w:docPartObj>
    </w:sdtPr>
    <w:sdtEndPr>
      <w:rPr>
        <w:noProof/>
      </w:rPr>
    </w:sdtEndPr>
    <w:sdtContent>
      <w:p w:rsidR="00F53FE9" w14:paraId="0CF7E1B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53FE9" w14:paraId="1C9AD2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6544" w14:paraId="315D55BD" w14:textId="77777777">
      <w:r>
        <w:separator/>
      </w:r>
    </w:p>
  </w:footnote>
  <w:footnote w:type="continuationSeparator" w:id="1">
    <w:p w:rsidR="00A86544" w14:paraId="289D7095" w14:textId="77777777">
      <w:r>
        <w:continuationSeparator/>
      </w:r>
    </w:p>
  </w:footnote>
  <w:footnote w:type="continuationNotice" w:id="2">
    <w:p w:rsidR="00A86544" w14:paraId="5BAFCA66" w14:textId="77777777"/>
  </w:footnote>
  <w:footnote w:id="3">
    <w:p w:rsidR="000A68EF" w14:paraId="3866F435" w14:textId="45F2ABE3">
      <w:pPr>
        <w:pStyle w:val="FootnoteText"/>
      </w:pPr>
      <w:r>
        <w:rPr>
          <w:rStyle w:val="FootnoteReference"/>
        </w:rPr>
        <w:footnoteRef/>
      </w:r>
      <w:r>
        <w:t xml:space="preserve"> Some respondents may utilize text-to-speech augmentative communication software.</w:t>
      </w:r>
    </w:p>
  </w:footnote>
  <w:footnote w:id="4">
    <w:p w:rsidR="00B65371" w:rsidRPr="00DD01B0" w:rsidP="00B65371" w14:paraId="269FFE40" w14:textId="77777777">
      <w:pPr>
        <w:pStyle w:val="FootnoteText"/>
      </w:pPr>
      <w:r w:rsidRPr="001C4EE0">
        <w:rPr>
          <w:rStyle w:val="FootnoteReference"/>
          <w:vertAlign w:val="superscript"/>
        </w:rPr>
        <w:footnoteRef/>
      </w:r>
      <w:r w:rsidRPr="001C4EE0">
        <w:rPr>
          <w:vertAlign w:val="superscript"/>
        </w:rPr>
        <w:t xml:space="preserve"> </w:t>
      </w:r>
      <w:r w:rsidRPr="00DD01B0">
        <w:rPr>
          <w:color w:val="000000"/>
          <w:shd w:val="clear" w:color="auto" w:fill="FFFFFF"/>
        </w:rPr>
        <w:t>Developmental disabilities are a group of conditions due to an impairment in physical, learning, language, or behavior areas beginning before age 22, during a person’s development. Intellectual disability is a type of developmental disability which is characterized by limitations in intellectual functioning and adaptive behavior that begin during the developmental period of a person’s life.</w:t>
      </w:r>
    </w:p>
  </w:footnote>
  <w:footnote w:id="5">
    <w:p w:rsidR="00B65371" w:rsidRPr="00DD01B0" w:rsidP="00B65371" w14:paraId="62E991C6" w14:textId="77777777">
      <w:pPr>
        <w:pStyle w:val="FootnoteText"/>
      </w:pPr>
      <w:r w:rsidRPr="001C4EE0">
        <w:rPr>
          <w:rStyle w:val="FootnoteReference"/>
          <w:vertAlign w:val="superscript"/>
        </w:rPr>
        <w:footnoteRef/>
      </w:r>
      <w:r w:rsidRPr="00DD01B0">
        <w:t xml:space="preserve"> </w:t>
      </w:r>
      <w:hyperlink r:id="rId1" w:history="1">
        <w:r w:rsidRPr="00DD01B0">
          <w:rPr>
            <w:rStyle w:val="Hyperlink"/>
          </w:rPr>
          <w:t>Facts About Intellectual Disability | CDC</w:t>
        </w:r>
      </w:hyperlink>
    </w:p>
  </w:footnote>
  <w:footnote w:id="6">
    <w:p w:rsidR="00B65371" w:rsidRPr="00DD01B0" w:rsidP="00B65371" w14:paraId="358A3F6F" w14:textId="77777777">
      <w:pPr>
        <w:pStyle w:val="FootnoteText"/>
      </w:pPr>
      <w:r w:rsidRPr="001C4EE0">
        <w:rPr>
          <w:rStyle w:val="FootnoteReference"/>
          <w:vertAlign w:val="superscript"/>
        </w:rPr>
        <w:footnoteRef/>
      </w:r>
      <w:r w:rsidRPr="001C4EE0">
        <w:rPr>
          <w:vertAlign w:val="superscript"/>
        </w:rPr>
        <w:t xml:space="preserve"> </w:t>
      </w:r>
      <w:hyperlink r:id="rId2" w:history="1">
        <w:r w:rsidRPr="00DD01B0">
          <w:rPr>
            <w:rStyle w:val="Hyperlink"/>
          </w:rPr>
          <w:t>Developmental Disabilities | CDC</w:t>
        </w:r>
      </w:hyperlink>
    </w:p>
  </w:footnote>
  <w:footnote w:id="7">
    <w:p w:rsidR="00B65371" w:rsidRPr="00DD01B0" w:rsidP="00B65371" w14:paraId="13B04B63" w14:textId="77777777">
      <w:pPr>
        <w:pStyle w:val="FootnoteText"/>
      </w:pPr>
      <w:r w:rsidRPr="001C4EE0">
        <w:rPr>
          <w:rStyle w:val="FootnoteReference"/>
          <w:vertAlign w:val="superscript"/>
        </w:rPr>
        <w:footnoteRef/>
      </w:r>
      <w:r w:rsidRPr="001C4EE0">
        <w:rPr>
          <w:vertAlign w:val="superscript"/>
        </w:rPr>
        <w:t xml:space="preserve"> </w:t>
      </w:r>
      <w:r w:rsidRPr="00DD01B0">
        <w:t>Point-of-care is defined as a place where medical care is received and where people with disabilities may present for services or supports, e.g., medical clinic or education programs.</w:t>
      </w:r>
    </w:p>
  </w:footnote>
  <w:footnote w:id="8">
    <w:p w:rsidR="00064B53" w:rsidRPr="00014136" w:rsidP="00064B53" w14:paraId="37BADEB0" w14:textId="77777777">
      <w:pPr>
        <w:pStyle w:val="FootnoteText"/>
        <w:rPr>
          <w:sz w:val="18"/>
          <w:szCs w:val="18"/>
        </w:rPr>
      </w:pPr>
      <w:r w:rsidRPr="00883912">
        <w:rPr>
          <w:rStyle w:val="FootnoteReference"/>
          <w:sz w:val="18"/>
          <w:szCs w:val="18"/>
          <w:vertAlign w:val="superscript"/>
        </w:rPr>
        <w:footnoteRef/>
      </w:r>
      <w:r w:rsidRPr="00014136">
        <w:rPr>
          <w:sz w:val="18"/>
          <w:szCs w:val="18"/>
        </w:rPr>
        <w:t xml:space="preserve"> </w:t>
      </w:r>
      <w:hyperlink r:id="rId3" w:history="1">
        <w:r w:rsidRPr="00014136">
          <w:rPr>
            <w:rStyle w:val="Hyperlink"/>
            <w:sz w:val="18"/>
            <w:szCs w:val="18"/>
          </w:rPr>
          <w:t>WG Short Set on Functioning (WG-SS) - The Washington Group on Disability Statistics (washingtongroup-disability.com)</w:t>
        </w:r>
      </w:hyperlink>
    </w:p>
  </w:footnote>
  <w:footnote w:id="9">
    <w:p w:rsidR="00594EE0" w:rsidRPr="00DD1DCB" w:rsidP="00594EE0" w14:paraId="0916AC3B" w14:textId="77777777">
      <w:pPr>
        <w:pStyle w:val="FootnoteText"/>
      </w:pPr>
      <w:r w:rsidRPr="00883912">
        <w:rPr>
          <w:rStyle w:val="FootnoteReference"/>
          <w:vertAlign w:val="superscript"/>
        </w:rPr>
        <w:footnoteRef/>
      </w:r>
      <w:r w:rsidRPr="00883912">
        <w:rPr>
          <w:vertAlign w:val="superscript"/>
        </w:rPr>
        <w:t xml:space="preserve"> </w:t>
      </w:r>
      <w:r w:rsidRPr="00DD1DCB">
        <w:t>Non-verbal communicators who use an assistive device to communicate.</w:t>
      </w:r>
    </w:p>
  </w:footnote>
  <w:footnote w:id="10">
    <w:p w:rsidR="00873530" w:rsidRPr="003A1958" w:rsidP="00873530" w14:paraId="7BB8DE6C" w14:textId="77777777">
      <w:pPr>
        <w:pStyle w:val="FootnoteText"/>
      </w:pPr>
      <w:r w:rsidRPr="00883912">
        <w:rPr>
          <w:rStyle w:val="FootnoteReference"/>
          <w:vertAlign w:val="superscript"/>
        </w:rPr>
        <w:footnoteRef/>
      </w:r>
      <w:r w:rsidRPr="003A1958">
        <w:t xml:space="preserve"> To include group homes</w:t>
      </w:r>
    </w:p>
  </w:footnote>
  <w:footnote w:id="11">
    <w:p w:rsidR="00D8697F" w:rsidRPr="003A1958" w:rsidP="00D8697F" w14:paraId="1E872FC3" w14:textId="77777777">
      <w:pPr>
        <w:pStyle w:val="FootnoteText"/>
      </w:pPr>
      <w:r w:rsidRPr="00883912">
        <w:rPr>
          <w:rStyle w:val="FootnoteReference"/>
          <w:vertAlign w:val="superscript"/>
        </w:rPr>
        <w:footnoteRef/>
      </w:r>
      <w:r w:rsidRPr="00883912">
        <w:rPr>
          <w:vertAlign w:val="superscript"/>
        </w:rPr>
        <w:t xml:space="preserve"> </w:t>
      </w:r>
      <w:r w:rsidRPr="003A1958">
        <w:rPr>
          <w:color w:val="000000"/>
          <w:shd w:val="clear" w:color="auto" w:fill="FFFFFF"/>
        </w:rPr>
        <w:t>Developmental disabilities are a group of conditions due to an impairment in physical, learning, language, or behavior areas beginning before age 22, during a person’s development. Intellectual disability is a type of developmental disability which is characterized by limitations in intellectual functioning and adaptive behavior that begin during the developmental period of a person’s life.</w:t>
      </w:r>
    </w:p>
  </w:footnote>
  <w:footnote w:id="12">
    <w:p w:rsidR="00D8697F" w:rsidRPr="003A1958" w:rsidP="00D8697F" w14:paraId="43401BCA" w14:textId="77777777">
      <w:pPr>
        <w:pStyle w:val="FootnoteText"/>
      </w:pPr>
      <w:r w:rsidRPr="00883912">
        <w:rPr>
          <w:rStyle w:val="FootnoteReference"/>
          <w:vertAlign w:val="superscript"/>
        </w:rPr>
        <w:footnoteRef/>
      </w:r>
      <w:r w:rsidRPr="003A1958">
        <w:t xml:space="preserve"> </w:t>
      </w:r>
      <w:hyperlink r:id="rId4" w:history="1">
        <w:r w:rsidRPr="003A1958">
          <w:rPr>
            <w:rStyle w:val="Hyperlink"/>
          </w:rPr>
          <w:t>Autism Spectrum Disorder (ASD) | Autism | NCBDDD | CDC</w:t>
        </w:r>
      </w:hyperlink>
    </w:p>
  </w:footnote>
  <w:footnote w:id="13">
    <w:p w:rsidR="00D8697F" w:rsidRPr="003A1958" w:rsidP="00D8697F" w14:paraId="0D76E6F5" w14:textId="77777777">
      <w:pPr>
        <w:pStyle w:val="FootnoteText"/>
      </w:pPr>
      <w:r w:rsidRPr="00883912">
        <w:rPr>
          <w:rStyle w:val="FootnoteReference"/>
          <w:vertAlign w:val="superscript"/>
        </w:rPr>
        <w:footnoteRef/>
      </w:r>
      <w:r w:rsidRPr="003A1958">
        <w:t xml:space="preserve"> </w:t>
      </w:r>
      <w:hyperlink r:id="rId5" w:history="1">
        <w:r w:rsidRPr="003A1958">
          <w:rPr>
            <w:color w:val="0000FF"/>
            <w:u w:val="single"/>
          </w:rPr>
          <w:t>What is Cerebral Palsy? | CDC</w:t>
        </w:r>
      </w:hyperlink>
    </w:p>
  </w:footnote>
  <w:footnote w:id="14">
    <w:p w:rsidR="00D8697F" w:rsidRPr="003A1958" w:rsidP="00D8697F" w14:paraId="2586FEED" w14:textId="77777777">
      <w:pPr>
        <w:pStyle w:val="FootnoteText"/>
      </w:pPr>
      <w:r w:rsidRPr="00883912">
        <w:rPr>
          <w:rStyle w:val="FootnoteReference"/>
          <w:vertAlign w:val="superscript"/>
        </w:rPr>
        <w:footnoteRef/>
      </w:r>
      <w:r w:rsidRPr="003A1958">
        <w:t xml:space="preserve"> Van Naarden Braun K, Christensen D, Doernberg N, Schieve L, Rice C, Wiggins L, Schendel D, Yeargin-Allsopp M. Trends in the prevalence of autism spectrum disorder, cerebral palsy, hearing loss, intellectual disability, and vision impairment, metropolitan Atlanta, 1991–2010. PloS one. 2015 Apr 29;10(4):e0124120.</w:t>
      </w:r>
    </w:p>
    <w:p w:rsidR="00D8697F" w:rsidRPr="003A1958" w:rsidP="00D8697F" w14:paraId="46EE8D3C" w14:textId="77777777">
      <w:pPr>
        <w:pStyle w:val="FootnoteText"/>
      </w:pPr>
      <w:hyperlink r:id="rId6" w:history="1">
        <w:r w:rsidRPr="003A1958">
          <w:rPr>
            <w:rStyle w:val="Hyperlink"/>
          </w:rPr>
          <w:t>journals.plos.org/plosone/article?id=10.1371/journal.pone.0124120</w:t>
        </w:r>
      </w:hyperlink>
    </w:p>
  </w:footnote>
  <w:footnote w:id="15">
    <w:p w:rsidR="00D8697F" w:rsidRPr="003A1958" w:rsidP="00D8697F" w14:paraId="48AD070B" w14:textId="77777777">
      <w:pPr>
        <w:pStyle w:val="FootnoteText"/>
      </w:pPr>
      <w:r w:rsidRPr="00883912">
        <w:rPr>
          <w:rStyle w:val="FootnoteReference"/>
          <w:vertAlign w:val="superscript"/>
        </w:rPr>
        <w:footnoteRef/>
      </w:r>
      <w:r w:rsidRPr="00883912">
        <w:rPr>
          <w:vertAlign w:val="superscript"/>
        </w:rPr>
        <w:t xml:space="preserve"> </w:t>
      </w:r>
      <w:r w:rsidRPr="003A1958">
        <w:rPr>
          <w:color w:val="212121"/>
          <w:shd w:val="clear" w:color="auto" w:fill="FFFFFF"/>
        </w:rPr>
        <w:t>Tassé MJ, Balboni G, Navas P, Luckasson R, Nygren MA, Belacchi C, Bonichini S, Reed GM, Kogan CS. Developing behavioural indicators for intellectual functioning and adaptive behaviour for ICD-11 disorders of intellectual development. J Intellect Disabil Res. 2019 May;63(5):386-407. doi: 10.1111/jir.12582. Epub 2019 Jan 9. PMID: 30628126.</w:t>
      </w:r>
    </w:p>
  </w:footnote>
  <w:footnote w:id="16">
    <w:p w:rsidR="00ED0ABA" w:rsidRPr="00DE60E5" w:rsidP="00ED0ABA" w14:paraId="0897E65A" w14:textId="77777777">
      <w:pPr>
        <w:pStyle w:val="FootnoteText"/>
      </w:pPr>
      <w:r w:rsidRPr="00883912">
        <w:rPr>
          <w:rStyle w:val="FootnoteReference"/>
          <w:vertAlign w:val="superscript"/>
        </w:rPr>
        <w:footnoteRef/>
      </w:r>
      <w:r w:rsidRPr="00DE60E5">
        <w:t xml:space="preserve"> </w:t>
      </w:r>
      <w:hyperlink r:id="rId7" w:history="1">
        <w:r w:rsidRPr="00DE60E5">
          <w:rPr>
            <w:rStyle w:val="Hyperlink"/>
          </w:rPr>
          <w:t>Special Olympics</w:t>
        </w:r>
      </w:hyperlink>
    </w:p>
  </w:footnote>
  <w:footnote w:id="17">
    <w:p w:rsidR="00E27B8D" w:rsidRPr="00DE60E5" w:rsidP="00E27B8D" w14:paraId="387561A5" w14:textId="77777777">
      <w:pPr>
        <w:pStyle w:val="FootnoteText"/>
      </w:pPr>
      <w:r w:rsidRPr="00883912">
        <w:rPr>
          <w:rStyle w:val="FootnoteReference"/>
          <w:vertAlign w:val="superscript"/>
        </w:rPr>
        <w:footnoteRef/>
      </w:r>
      <w:r w:rsidRPr="00DE60E5">
        <w:t xml:space="preserve"> Our experience is that when recruiting is focused through organizations that support a particular community fewer screenings are recruited than is typical to achieve the required sample.</w:t>
      </w:r>
    </w:p>
  </w:footnote>
  <w:footnote w:id="18">
    <w:p w:rsidR="005F4AC4" w:rsidRPr="003A1958" w:rsidP="005F4AC4" w14:paraId="5C43AF98" w14:textId="77777777">
      <w:pPr>
        <w:pStyle w:val="FootnoteText"/>
      </w:pPr>
      <w:r w:rsidRPr="00883912">
        <w:rPr>
          <w:rStyle w:val="FootnoteReference"/>
          <w:vertAlign w:val="superscript"/>
        </w:rPr>
        <w:footnoteRef/>
      </w:r>
      <w:r w:rsidRPr="003A1958">
        <w:t xml:space="preserve"> Legard,R., Keegan,J. &amp; Ward, K. (2003). In-depth interviews. In Ritchie, J. &amp; Lewis J. (Eds) </w:t>
      </w:r>
      <w:r w:rsidRPr="003A1958">
        <w:rPr>
          <w:i/>
          <w:iCs/>
        </w:rPr>
        <w:t xml:space="preserve">Qualitative Research Practice: A guide for Social Sciences Students and Researchers. </w:t>
      </w:r>
      <w:r w:rsidRPr="003A1958">
        <w:t>SAGE Publications.</w:t>
      </w:r>
    </w:p>
  </w:footnote>
  <w:footnote w:id="19">
    <w:p w:rsidR="00B77F9B" w:rsidRPr="003A1958" w:rsidP="00B77F9B" w14:paraId="556F4AB8" w14:textId="77777777">
      <w:pPr>
        <w:pStyle w:val="FootnoteText"/>
      </w:pPr>
      <w:r w:rsidRPr="00883912">
        <w:rPr>
          <w:rStyle w:val="FootnoteReference"/>
          <w:vertAlign w:val="superscript"/>
        </w:rPr>
        <w:footnoteRef/>
      </w:r>
      <w:r w:rsidRPr="003A1958">
        <w:t xml:space="preserve"> </w:t>
      </w:r>
      <w:hyperlink r:id="rId8" w:history="1">
        <w:r w:rsidRPr="003A1958">
          <w:rPr>
            <w:rStyle w:val="Hyperlink"/>
          </w:rPr>
          <w:t>sisguidelinesforinterviewing.pdf (aaidd.org)</w:t>
        </w:r>
      </w:hyperlink>
    </w:p>
  </w:footnote>
  <w:footnote w:id="20">
    <w:p w:rsidR="00B77F9B" w:rsidRPr="003A1958" w:rsidP="00B77F9B" w14:paraId="299257D3" w14:textId="77777777">
      <w:pPr>
        <w:pStyle w:val="FootnoteText"/>
      </w:pPr>
      <w:r w:rsidRPr="00883912">
        <w:rPr>
          <w:rStyle w:val="FootnoteReference"/>
          <w:vertAlign w:val="superscript"/>
        </w:rPr>
        <w:footnoteRef/>
      </w:r>
      <w:r w:rsidRPr="003A1958">
        <w:t xml:space="preserve"> Wilmot, A., MacFadyen, A. (2021) Conducting Cognitive Interviews with People with Intellectual Disabilities. NCHS’ Division of Research Methodology, Research Memo, 2021-1E. August 10,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155435E"/>
    <w:multiLevelType w:val="hybridMultilevel"/>
    <w:tmpl w:val="18C4991C"/>
    <w:lvl w:ilvl="0">
      <w:start w:val="1"/>
      <w:numFmt w:val="lowerRoman"/>
      <w:lvlText w:val="%1)"/>
      <w:lvlJc w:val="left"/>
      <w:pPr>
        <w:ind w:left="1170" w:hanging="72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
    <w:nsid w:val="05F11158"/>
    <w:multiLevelType w:val="hybridMultilevel"/>
    <w:tmpl w:val="8298682A"/>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7F0B34"/>
    <w:multiLevelType w:val="hybridMultilevel"/>
    <w:tmpl w:val="12C6971A"/>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129E6610"/>
    <w:multiLevelType w:val="hybridMultilevel"/>
    <w:tmpl w:val="0098409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C44FFE"/>
    <w:multiLevelType w:val="hybridMultilevel"/>
    <w:tmpl w:val="0C64A03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656899"/>
    <w:multiLevelType w:val="hybridMultilevel"/>
    <w:tmpl w:val="166A59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86B027A"/>
    <w:multiLevelType w:val="hybridMultilevel"/>
    <w:tmpl w:val="26F846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18801594"/>
    <w:multiLevelType w:val="hybridMultilevel"/>
    <w:tmpl w:val="6E705B1E"/>
    <w:lvl w:ilvl="0">
      <w:start w:val="10"/>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A8D3FF6"/>
    <w:multiLevelType w:val="hybridMultilevel"/>
    <w:tmpl w:val="FE602EC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AF2762E"/>
    <w:multiLevelType w:val="hybridMultilevel"/>
    <w:tmpl w:val="5D9C92E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7530D7"/>
    <w:multiLevelType w:val="hybridMultilevel"/>
    <w:tmpl w:val="54BE850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8E2314"/>
    <w:multiLevelType w:val="hybridMultilevel"/>
    <w:tmpl w:val="F4DEAD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5A264CD"/>
    <w:multiLevelType w:val="hybridMultilevel"/>
    <w:tmpl w:val="AB36B65A"/>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C8B09C7"/>
    <w:multiLevelType w:val="hybridMultilevel"/>
    <w:tmpl w:val="A27E515C"/>
    <w:lvl w:ilvl="0">
      <w:start w:val="1"/>
      <w:numFmt w:val="upperLetter"/>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30F139C7"/>
    <w:multiLevelType w:val="hybridMultilevel"/>
    <w:tmpl w:val="FE0A8542"/>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2CD17BE"/>
    <w:multiLevelType w:val="multilevel"/>
    <w:tmpl w:val="A254DA4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3FB36ABC"/>
    <w:multiLevelType w:val="hybridMultilevel"/>
    <w:tmpl w:val="9C14579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C911424"/>
    <w:multiLevelType w:val="hybridMultilevel"/>
    <w:tmpl w:val="81A4CF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1376E6"/>
    <w:multiLevelType w:val="hybridMultilevel"/>
    <w:tmpl w:val="133A1D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9E234C"/>
    <w:multiLevelType w:val="hybridMultilevel"/>
    <w:tmpl w:val="9CD41B6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92477BF"/>
    <w:multiLevelType w:val="hybridMultilevel"/>
    <w:tmpl w:val="3DF438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F464A45"/>
    <w:multiLevelType w:val="hybridMultilevel"/>
    <w:tmpl w:val="D904FEFE"/>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100787B"/>
    <w:multiLevelType w:val="hybridMultilevel"/>
    <w:tmpl w:val="E398FDC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9246F3"/>
    <w:multiLevelType w:val="hybridMultilevel"/>
    <w:tmpl w:val="11C4CCFA"/>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65D56D31"/>
    <w:multiLevelType w:val="hybridMultilevel"/>
    <w:tmpl w:val="3BD00B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3F39C3"/>
    <w:multiLevelType w:val="hybridMultilevel"/>
    <w:tmpl w:val="ACD4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1563F17"/>
    <w:multiLevelType w:val="hybridMultilevel"/>
    <w:tmpl w:val="56185F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A4E47A9"/>
    <w:multiLevelType w:val="hybridMultilevel"/>
    <w:tmpl w:val="B19EA2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376777119">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004821933">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233442098">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637026649">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2146655080">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86656209">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477265797">
    <w:abstractNumId w:val="25"/>
  </w:num>
  <w:num w:numId="8" w16cid:durableId="99707754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63085679">
    <w:abstractNumId w:val="12"/>
  </w:num>
  <w:num w:numId="10" w16cid:durableId="1369725184">
    <w:abstractNumId w:val="29"/>
  </w:num>
  <w:num w:numId="11" w16cid:durableId="9337817">
    <w:abstractNumId w:val="21"/>
  </w:num>
  <w:num w:numId="12" w16cid:durableId="715813445">
    <w:abstractNumId w:val="13"/>
  </w:num>
  <w:num w:numId="13" w16cid:durableId="1928688527">
    <w:abstractNumId w:val="24"/>
  </w:num>
  <w:num w:numId="14" w16cid:durableId="1141314446">
    <w:abstractNumId w:val="31"/>
  </w:num>
  <w:num w:numId="15" w16cid:durableId="1475181055">
    <w:abstractNumId w:val="11"/>
  </w:num>
  <w:num w:numId="16" w16cid:durableId="560673786">
    <w:abstractNumId w:val="34"/>
  </w:num>
  <w:num w:numId="17" w16cid:durableId="1817801467">
    <w:abstractNumId w:val="7"/>
  </w:num>
  <w:num w:numId="18" w16cid:durableId="639190471">
    <w:abstractNumId w:val="33"/>
  </w:num>
  <w:num w:numId="19" w16cid:durableId="585767509">
    <w:abstractNumId w:val="5"/>
  </w:num>
  <w:num w:numId="20" w16cid:durableId="763645295">
    <w:abstractNumId w:val="19"/>
  </w:num>
  <w:num w:numId="21" w16cid:durableId="1541748320">
    <w:abstractNumId w:val="20"/>
  </w:num>
  <w:num w:numId="22" w16cid:durableId="2056197509">
    <w:abstractNumId w:val="6"/>
  </w:num>
  <w:num w:numId="23" w16cid:durableId="873881712">
    <w:abstractNumId w:val="28"/>
  </w:num>
  <w:num w:numId="24" w16cid:durableId="41296262">
    <w:abstractNumId w:val="14"/>
  </w:num>
  <w:num w:numId="25" w16cid:durableId="1873376116">
    <w:abstractNumId w:val="22"/>
  </w:num>
  <w:num w:numId="26" w16cid:durableId="1765691170">
    <w:abstractNumId w:val="32"/>
  </w:num>
  <w:num w:numId="27" w16cid:durableId="193690796">
    <w:abstractNumId w:val="9"/>
  </w:num>
  <w:num w:numId="28" w16cid:durableId="282613749">
    <w:abstractNumId w:val="10"/>
  </w:num>
  <w:num w:numId="29" w16cid:durableId="838234312">
    <w:abstractNumId w:val="16"/>
  </w:num>
  <w:num w:numId="30" w16cid:durableId="161429235">
    <w:abstractNumId w:val="15"/>
  </w:num>
  <w:num w:numId="31" w16cid:durableId="631519119">
    <w:abstractNumId w:val="30"/>
  </w:num>
  <w:num w:numId="32" w16cid:durableId="1138911950">
    <w:abstractNumId w:val="26"/>
  </w:num>
  <w:num w:numId="33" w16cid:durableId="207187675">
    <w:abstractNumId w:val="18"/>
    <w:lvlOverride w:ilvl="0">
      <w:startOverride w:val="1"/>
    </w:lvlOverride>
    <w:lvlOverride w:ilvl="1"/>
    <w:lvlOverride w:ilvl="2"/>
    <w:lvlOverride w:ilvl="3"/>
    <w:lvlOverride w:ilvl="4"/>
    <w:lvlOverride w:ilvl="5"/>
    <w:lvlOverride w:ilvl="6"/>
    <w:lvlOverride w:ilvl="7"/>
    <w:lvlOverride w:ilvl="8"/>
  </w:num>
  <w:num w:numId="34" w16cid:durableId="111704201">
    <w:abstractNumId w:val="23"/>
  </w:num>
  <w:num w:numId="35" w16cid:durableId="2129663111">
    <w:abstractNumId w:val="8"/>
  </w:num>
  <w:num w:numId="36" w16cid:durableId="1205219221">
    <w:abstractNumId w:val="17"/>
  </w:num>
  <w:num w:numId="37" w16cid:durableId="11546830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8B"/>
    <w:rsid w:val="000012CE"/>
    <w:rsid w:val="00001426"/>
    <w:rsid w:val="000041B7"/>
    <w:rsid w:val="000046AA"/>
    <w:rsid w:val="000054F7"/>
    <w:rsid w:val="00006E52"/>
    <w:rsid w:val="00007398"/>
    <w:rsid w:val="0000793B"/>
    <w:rsid w:val="0001050C"/>
    <w:rsid w:val="0001126D"/>
    <w:rsid w:val="000117AA"/>
    <w:rsid w:val="000124E1"/>
    <w:rsid w:val="00013D7E"/>
    <w:rsid w:val="00014136"/>
    <w:rsid w:val="00014F16"/>
    <w:rsid w:val="00015537"/>
    <w:rsid w:val="0001745F"/>
    <w:rsid w:val="00017A02"/>
    <w:rsid w:val="00022337"/>
    <w:rsid w:val="000230B9"/>
    <w:rsid w:val="00024259"/>
    <w:rsid w:val="000243D7"/>
    <w:rsid w:val="000244B2"/>
    <w:rsid w:val="0002450A"/>
    <w:rsid w:val="00024CC2"/>
    <w:rsid w:val="000253BA"/>
    <w:rsid w:val="000259DE"/>
    <w:rsid w:val="000276EA"/>
    <w:rsid w:val="00030249"/>
    <w:rsid w:val="00031320"/>
    <w:rsid w:val="00032A7B"/>
    <w:rsid w:val="00034CA5"/>
    <w:rsid w:val="00040462"/>
    <w:rsid w:val="00040688"/>
    <w:rsid w:val="00041E5C"/>
    <w:rsid w:val="0004303E"/>
    <w:rsid w:val="00043E42"/>
    <w:rsid w:val="000451F6"/>
    <w:rsid w:val="00047045"/>
    <w:rsid w:val="0004747A"/>
    <w:rsid w:val="00047749"/>
    <w:rsid w:val="0005335A"/>
    <w:rsid w:val="000534D8"/>
    <w:rsid w:val="00053631"/>
    <w:rsid w:val="00053FC7"/>
    <w:rsid w:val="00054AEB"/>
    <w:rsid w:val="00054EA0"/>
    <w:rsid w:val="0005550F"/>
    <w:rsid w:val="000556D9"/>
    <w:rsid w:val="000558A0"/>
    <w:rsid w:val="00055E0B"/>
    <w:rsid w:val="000569F9"/>
    <w:rsid w:val="00057730"/>
    <w:rsid w:val="00057D56"/>
    <w:rsid w:val="00062CF0"/>
    <w:rsid w:val="00064B53"/>
    <w:rsid w:val="00066728"/>
    <w:rsid w:val="00072BC4"/>
    <w:rsid w:val="00073DE8"/>
    <w:rsid w:val="000822EF"/>
    <w:rsid w:val="000865B2"/>
    <w:rsid w:val="00091D70"/>
    <w:rsid w:val="0009231F"/>
    <w:rsid w:val="00092885"/>
    <w:rsid w:val="00093711"/>
    <w:rsid w:val="0009549F"/>
    <w:rsid w:val="0009574B"/>
    <w:rsid w:val="000A1214"/>
    <w:rsid w:val="000A2FF3"/>
    <w:rsid w:val="000A68EF"/>
    <w:rsid w:val="000A7465"/>
    <w:rsid w:val="000B0C28"/>
    <w:rsid w:val="000B103E"/>
    <w:rsid w:val="000B30BF"/>
    <w:rsid w:val="000B324F"/>
    <w:rsid w:val="000B3805"/>
    <w:rsid w:val="000B38F4"/>
    <w:rsid w:val="000B43C7"/>
    <w:rsid w:val="000B6DD4"/>
    <w:rsid w:val="000C0708"/>
    <w:rsid w:val="000C1B5B"/>
    <w:rsid w:val="000C3302"/>
    <w:rsid w:val="000C330C"/>
    <w:rsid w:val="000C3B44"/>
    <w:rsid w:val="000C4D87"/>
    <w:rsid w:val="000C51A2"/>
    <w:rsid w:val="000C55DA"/>
    <w:rsid w:val="000C56CE"/>
    <w:rsid w:val="000C6F6D"/>
    <w:rsid w:val="000D00E0"/>
    <w:rsid w:val="000D038A"/>
    <w:rsid w:val="000D03F5"/>
    <w:rsid w:val="000D4ADD"/>
    <w:rsid w:val="000D4B3A"/>
    <w:rsid w:val="000D5EC1"/>
    <w:rsid w:val="000E0569"/>
    <w:rsid w:val="000E0C2A"/>
    <w:rsid w:val="000E108B"/>
    <w:rsid w:val="000E211F"/>
    <w:rsid w:val="000E2584"/>
    <w:rsid w:val="000E2DF7"/>
    <w:rsid w:val="000E3189"/>
    <w:rsid w:val="000E4299"/>
    <w:rsid w:val="000E4426"/>
    <w:rsid w:val="000E4554"/>
    <w:rsid w:val="000E4637"/>
    <w:rsid w:val="000E5403"/>
    <w:rsid w:val="000F06E4"/>
    <w:rsid w:val="000F1CB3"/>
    <w:rsid w:val="000F39AD"/>
    <w:rsid w:val="000F3AD4"/>
    <w:rsid w:val="000F4692"/>
    <w:rsid w:val="000F4E55"/>
    <w:rsid w:val="000F5E47"/>
    <w:rsid w:val="000F7498"/>
    <w:rsid w:val="000F7CA8"/>
    <w:rsid w:val="0010012E"/>
    <w:rsid w:val="00100178"/>
    <w:rsid w:val="00101193"/>
    <w:rsid w:val="00101D03"/>
    <w:rsid w:val="00102159"/>
    <w:rsid w:val="00103220"/>
    <w:rsid w:val="00105119"/>
    <w:rsid w:val="0010553B"/>
    <w:rsid w:val="0010793F"/>
    <w:rsid w:val="00107ECC"/>
    <w:rsid w:val="001108D4"/>
    <w:rsid w:val="00111358"/>
    <w:rsid w:val="001116B2"/>
    <w:rsid w:val="001117A0"/>
    <w:rsid w:val="00112368"/>
    <w:rsid w:val="00112F9C"/>
    <w:rsid w:val="0011343A"/>
    <w:rsid w:val="00115A45"/>
    <w:rsid w:val="00115EE3"/>
    <w:rsid w:val="001160D9"/>
    <w:rsid w:val="001167E1"/>
    <w:rsid w:val="001171EE"/>
    <w:rsid w:val="00120788"/>
    <w:rsid w:val="001217AE"/>
    <w:rsid w:val="001231FD"/>
    <w:rsid w:val="0012421C"/>
    <w:rsid w:val="00124672"/>
    <w:rsid w:val="00124D8D"/>
    <w:rsid w:val="00126012"/>
    <w:rsid w:val="00126893"/>
    <w:rsid w:val="00127CEE"/>
    <w:rsid w:val="00131034"/>
    <w:rsid w:val="0013296D"/>
    <w:rsid w:val="0013467A"/>
    <w:rsid w:val="00134A93"/>
    <w:rsid w:val="00135740"/>
    <w:rsid w:val="00135893"/>
    <w:rsid w:val="00135D33"/>
    <w:rsid w:val="00136C85"/>
    <w:rsid w:val="00137235"/>
    <w:rsid w:val="001376B2"/>
    <w:rsid w:val="00137B3E"/>
    <w:rsid w:val="00140F83"/>
    <w:rsid w:val="00140FBD"/>
    <w:rsid w:val="0014123B"/>
    <w:rsid w:val="00143766"/>
    <w:rsid w:val="00145883"/>
    <w:rsid w:val="00145E5A"/>
    <w:rsid w:val="00145EA0"/>
    <w:rsid w:val="00146389"/>
    <w:rsid w:val="00147D5D"/>
    <w:rsid w:val="0015190D"/>
    <w:rsid w:val="00151AF3"/>
    <w:rsid w:val="00151F70"/>
    <w:rsid w:val="00155F2F"/>
    <w:rsid w:val="00161AC5"/>
    <w:rsid w:val="00165D04"/>
    <w:rsid w:val="0016697F"/>
    <w:rsid w:val="00166C81"/>
    <w:rsid w:val="00166FB5"/>
    <w:rsid w:val="00170E63"/>
    <w:rsid w:val="001756C0"/>
    <w:rsid w:val="001777AE"/>
    <w:rsid w:val="00181B7A"/>
    <w:rsid w:val="00182AF6"/>
    <w:rsid w:val="00183B1F"/>
    <w:rsid w:val="001842B5"/>
    <w:rsid w:val="0018430B"/>
    <w:rsid w:val="00185DC7"/>
    <w:rsid w:val="00190617"/>
    <w:rsid w:val="001911E3"/>
    <w:rsid w:val="0019177B"/>
    <w:rsid w:val="00192008"/>
    <w:rsid w:val="0019260C"/>
    <w:rsid w:val="00196B80"/>
    <w:rsid w:val="00197C4A"/>
    <w:rsid w:val="00197EA1"/>
    <w:rsid w:val="001A1853"/>
    <w:rsid w:val="001A1EB0"/>
    <w:rsid w:val="001A1FA7"/>
    <w:rsid w:val="001A24E8"/>
    <w:rsid w:val="001A43F0"/>
    <w:rsid w:val="001A476C"/>
    <w:rsid w:val="001A783D"/>
    <w:rsid w:val="001A7B82"/>
    <w:rsid w:val="001A7E3E"/>
    <w:rsid w:val="001B0F4A"/>
    <w:rsid w:val="001B175B"/>
    <w:rsid w:val="001B1D29"/>
    <w:rsid w:val="001B57DA"/>
    <w:rsid w:val="001B5936"/>
    <w:rsid w:val="001B63FF"/>
    <w:rsid w:val="001C1942"/>
    <w:rsid w:val="001C1AB1"/>
    <w:rsid w:val="001C1ADF"/>
    <w:rsid w:val="001C2DF4"/>
    <w:rsid w:val="001C3896"/>
    <w:rsid w:val="001C4091"/>
    <w:rsid w:val="001C4EE0"/>
    <w:rsid w:val="001C63DB"/>
    <w:rsid w:val="001C6648"/>
    <w:rsid w:val="001C752E"/>
    <w:rsid w:val="001D00A0"/>
    <w:rsid w:val="001D1C49"/>
    <w:rsid w:val="001D25FD"/>
    <w:rsid w:val="001D3308"/>
    <w:rsid w:val="001D3513"/>
    <w:rsid w:val="001D37DF"/>
    <w:rsid w:val="001D57F4"/>
    <w:rsid w:val="001D5AB6"/>
    <w:rsid w:val="001E0474"/>
    <w:rsid w:val="001E0C33"/>
    <w:rsid w:val="001E1706"/>
    <w:rsid w:val="001E1845"/>
    <w:rsid w:val="001E1E61"/>
    <w:rsid w:val="001E2F06"/>
    <w:rsid w:val="001E4D09"/>
    <w:rsid w:val="001E4D2F"/>
    <w:rsid w:val="001E4D7F"/>
    <w:rsid w:val="001E736E"/>
    <w:rsid w:val="001E779C"/>
    <w:rsid w:val="001E7B2E"/>
    <w:rsid w:val="001F0261"/>
    <w:rsid w:val="001F2771"/>
    <w:rsid w:val="001F27A2"/>
    <w:rsid w:val="001F3BA4"/>
    <w:rsid w:val="001F3E3F"/>
    <w:rsid w:val="001F3E6B"/>
    <w:rsid w:val="001F3F45"/>
    <w:rsid w:val="001F4AF1"/>
    <w:rsid w:val="001F7F81"/>
    <w:rsid w:val="0020118F"/>
    <w:rsid w:val="00201526"/>
    <w:rsid w:val="00201EBB"/>
    <w:rsid w:val="00202700"/>
    <w:rsid w:val="00202D2B"/>
    <w:rsid w:val="0020303A"/>
    <w:rsid w:val="002031C7"/>
    <w:rsid w:val="00204E19"/>
    <w:rsid w:val="00205715"/>
    <w:rsid w:val="0020745F"/>
    <w:rsid w:val="0020780A"/>
    <w:rsid w:val="00207A6B"/>
    <w:rsid w:val="00212818"/>
    <w:rsid w:val="00212B29"/>
    <w:rsid w:val="00213B38"/>
    <w:rsid w:val="00213D6D"/>
    <w:rsid w:val="002146B4"/>
    <w:rsid w:val="002164D2"/>
    <w:rsid w:val="002164D7"/>
    <w:rsid w:val="00216D40"/>
    <w:rsid w:val="0022091B"/>
    <w:rsid w:val="00223AB6"/>
    <w:rsid w:val="00223D4C"/>
    <w:rsid w:val="00224BBD"/>
    <w:rsid w:val="002257C8"/>
    <w:rsid w:val="00226C38"/>
    <w:rsid w:val="002321C1"/>
    <w:rsid w:val="00233971"/>
    <w:rsid w:val="00236073"/>
    <w:rsid w:val="00240A05"/>
    <w:rsid w:val="002421AD"/>
    <w:rsid w:val="00244015"/>
    <w:rsid w:val="00245077"/>
    <w:rsid w:val="002471D5"/>
    <w:rsid w:val="002551F8"/>
    <w:rsid w:val="00260230"/>
    <w:rsid w:val="00261586"/>
    <w:rsid w:val="002618ED"/>
    <w:rsid w:val="002620EB"/>
    <w:rsid w:val="002649BE"/>
    <w:rsid w:val="00264BD1"/>
    <w:rsid w:val="00265744"/>
    <w:rsid w:val="00266A44"/>
    <w:rsid w:val="0026701A"/>
    <w:rsid w:val="00272B6D"/>
    <w:rsid w:val="00272BA4"/>
    <w:rsid w:val="00274DBF"/>
    <w:rsid w:val="00276317"/>
    <w:rsid w:val="002764B7"/>
    <w:rsid w:val="0028035C"/>
    <w:rsid w:val="00280B46"/>
    <w:rsid w:val="00280FC0"/>
    <w:rsid w:val="00281EB6"/>
    <w:rsid w:val="00282748"/>
    <w:rsid w:val="00282CCC"/>
    <w:rsid w:val="00283DAD"/>
    <w:rsid w:val="00285612"/>
    <w:rsid w:val="002859EA"/>
    <w:rsid w:val="00285E1E"/>
    <w:rsid w:val="00285FD0"/>
    <w:rsid w:val="002866A1"/>
    <w:rsid w:val="0028688E"/>
    <w:rsid w:val="00287C65"/>
    <w:rsid w:val="002911B6"/>
    <w:rsid w:val="00292446"/>
    <w:rsid w:val="00293199"/>
    <w:rsid w:val="0029332C"/>
    <w:rsid w:val="002960A1"/>
    <w:rsid w:val="00296A35"/>
    <w:rsid w:val="00297B24"/>
    <w:rsid w:val="002A081B"/>
    <w:rsid w:val="002A0BB6"/>
    <w:rsid w:val="002A6BFF"/>
    <w:rsid w:val="002A6C55"/>
    <w:rsid w:val="002A709B"/>
    <w:rsid w:val="002B107F"/>
    <w:rsid w:val="002B10BC"/>
    <w:rsid w:val="002B1B29"/>
    <w:rsid w:val="002B1E9F"/>
    <w:rsid w:val="002B37C9"/>
    <w:rsid w:val="002B3F2B"/>
    <w:rsid w:val="002B597B"/>
    <w:rsid w:val="002B59AE"/>
    <w:rsid w:val="002B63DB"/>
    <w:rsid w:val="002C07E8"/>
    <w:rsid w:val="002C0AE3"/>
    <w:rsid w:val="002C1E8C"/>
    <w:rsid w:val="002C305A"/>
    <w:rsid w:val="002C4068"/>
    <w:rsid w:val="002C51BC"/>
    <w:rsid w:val="002C6F96"/>
    <w:rsid w:val="002C6FC9"/>
    <w:rsid w:val="002C7104"/>
    <w:rsid w:val="002C7530"/>
    <w:rsid w:val="002C7720"/>
    <w:rsid w:val="002D1A66"/>
    <w:rsid w:val="002D4293"/>
    <w:rsid w:val="002D457A"/>
    <w:rsid w:val="002D479B"/>
    <w:rsid w:val="002D5118"/>
    <w:rsid w:val="002D578D"/>
    <w:rsid w:val="002D6CB4"/>
    <w:rsid w:val="002D7B60"/>
    <w:rsid w:val="002E01ED"/>
    <w:rsid w:val="002E0557"/>
    <w:rsid w:val="002E100E"/>
    <w:rsid w:val="002E4FEA"/>
    <w:rsid w:val="002E5623"/>
    <w:rsid w:val="002E6327"/>
    <w:rsid w:val="002E6A0F"/>
    <w:rsid w:val="002E6BA8"/>
    <w:rsid w:val="002E7331"/>
    <w:rsid w:val="002E7358"/>
    <w:rsid w:val="002F2408"/>
    <w:rsid w:val="002F40DC"/>
    <w:rsid w:val="002F5D07"/>
    <w:rsid w:val="002F78C5"/>
    <w:rsid w:val="00300235"/>
    <w:rsid w:val="00300573"/>
    <w:rsid w:val="00300C2B"/>
    <w:rsid w:val="003013C6"/>
    <w:rsid w:val="0030223E"/>
    <w:rsid w:val="0030566B"/>
    <w:rsid w:val="0030685B"/>
    <w:rsid w:val="00307406"/>
    <w:rsid w:val="00310210"/>
    <w:rsid w:val="00310254"/>
    <w:rsid w:val="0031089F"/>
    <w:rsid w:val="003115D9"/>
    <w:rsid w:val="0031205E"/>
    <w:rsid w:val="00313F53"/>
    <w:rsid w:val="0031561A"/>
    <w:rsid w:val="00315FDF"/>
    <w:rsid w:val="00317F8B"/>
    <w:rsid w:val="00324FE9"/>
    <w:rsid w:val="00327C46"/>
    <w:rsid w:val="00331A4E"/>
    <w:rsid w:val="003325E2"/>
    <w:rsid w:val="00332607"/>
    <w:rsid w:val="00333032"/>
    <w:rsid w:val="0033487A"/>
    <w:rsid w:val="00335838"/>
    <w:rsid w:val="00337206"/>
    <w:rsid w:val="00344F2D"/>
    <w:rsid w:val="00345006"/>
    <w:rsid w:val="003451FD"/>
    <w:rsid w:val="00345803"/>
    <w:rsid w:val="00346B57"/>
    <w:rsid w:val="00346DCD"/>
    <w:rsid w:val="00351E54"/>
    <w:rsid w:val="00351EFF"/>
    <w:rsid w:val="0035268B"/>
    <w:rsid w:val="003528A0"/>
    <w:rsid w:val="00352F65"/>
    <w:rsid w:val="003532C0"/>
    <w:rsid w:val="003533C9"/>
    <w:rsid w:val="00354F9E"/>
    <w:rsid w:val="00357258"/>
    <w:rsid w:val="00362EE2"/>
    <w:rsid w:val="00363179"/>
    <w:rsid w:val="00364556"/>
    <w:rsid w:val="00364E0B"/>
    <w:rsid w:val="00365E77"/>
    <w:rsid w:val="00370B5E"/>
    <w:rsid w:val="00371E3A"/>
    <w:rsid w:val="00372C3D"/>
    <w:rsid w:val="00375EFB"/>
    <w:rsid w:val="00375FB8"/>
    <w:rsid w:val="00376667"/>
    <w:rsid w:val="0038031D"/>
    <w:rsid w:val="0038090A"/>
    <w:rsid w:val="00381689"/>
    <w:rsid w:val="003823D7"/>
    <w:rsid w:val="0038367D"/>
    <w:rsid w:val="00383797"/>
    <w:rsid w:val="003842CF"/>
    <w:rsid w:val="00384AD7"/>
    <w:rsid w:val="00384EA5"/>
    <w:rsid w:val="003858C5"/>
    <w:rsid w:val="003859B6"/>
    <w:rsid w:val="0038648D"/>
    <w:rsid w:val="00386DE4"/>
    <w:rsid w:val="003878C5"/>
    <w:rsid w:val="003906E9"/>
    <w:rsid w:val="0039268E"/>
    <w:rsid w:val="00392FAF"/>
    <w:rsid w:val="003942AF"/>
    <w:rsid w:val="003943F2"/>
    <w:rsid w:val="00394C92"/>
    <w:rsid w:val="00394FC4"/>
    <w:rsid w:val="00396F8A"/>
    <w:rsid w:val="003A0A3A"/>
    <w:rsid w:val="003A1073"/>
    <w:rsid w:val="003A1701"/>
    <w:rsid w:val="003A1958"/>
    <w:rsid w:val="003A2CC9"/>
    <w:rsid w:val="003A3838"/>
    <w:rsid w:val="003A66EC"/>
    <w:rsid w:val="003A6F52"/>
    <w:rsid w:val="003A7724"/>
    <w:rsid w:val="003B1151"/>
    <w:rsid w:val="003B15F7"/>
    <w:rsid w:val="003B16F1"/>
    <w:rsid w:val="003B2B12"/>
    <w:rsid w:val="003B3541"/>
    <w:rsid w:val="003B3742"/>
    <w:rsid w:val="003B4FC9"/>
    <w:rsid w:val="003B4FF3"/>
    <w:rsid w:val="003B5ACA"/>
    <w:rsid w:val="003B72BA"/>
    <w:rsid w:val="003B7630"/>
    <w:rsid w:val="003C0805"/>
    <w:rsid w:val="003C1729"/>
    <w:rsid w:val="003C336E"/>
    <w:rsid w:val="003C5AD2"/>
    <w:rsid w:val="003C5C8A"/>
    <w:rsid w:val="003C74C0"/>
    <w:rsid w:val="003D1FA2"/>
    <w:rsid w:val="003D3AD7"/>
    <w:rsid w:val="003D3E89"/>
    <w:rsid w:val="003D4431"/>
    <w:rsid w:val="003D68AA"/>
    <w:rsid w:val="003E037E"/>
    <w:rsid w:val="003E2325"/>
    <w:rsid w:val="003E3A8D"/>
    <w:rsid w:val="003E3B97"/>
    <w:rsid w:val="003E4259"/>
    <w:rsid w:val="003E5546"/>
    <w:rsid w:val="003E5CBC"/>
    <w:rsid w:val="003F1DED"/>
    <w:rsid w:val="003F68EE"/>
    <w:rsid w:val="00400BEA"/>
    <w:rsid w:val="00402189"/>
    <w:rsid w:val="004024A6"/>
    <w:rsid w:val="00404E53"/>
    <w:rsid w:val="00405647"/>
    <w:rsid w:val="0040659B"/>
    <w:rsid w:val="004065DA"/>
    <w:rsid w:val="00406874"/>
    <w:rsid w:val="00406BA5"/>
    <w:rsid w:val="00410B2A"/>
    <w:rsid w:val="00412679"/>
    <w:rsid w:val="004140BB"/>
    <w:rsid w:val="00414879"/>
    <w:rsid w:val="00420131"/>
    <w:rsid w:val="00420DB1"/>
    <w:rsid w:val="0042150C"/>
    <w:rsid w:val="004229FE"/>
    <w:rsid w:val="00422B5E"/>
    <w:rsid w:val="00423BFA"/>
    <w:rsid w:val="00424430"/>
    <w:rsid w:val="00424796"/>
    <w:rsid w:val="00424C2B"/>
    <w:rsid w:val="004266AE"/>
    <w:rsid w:val="00431132"/>
    <w:rsid w:val="00431E16"/>
    <w:rsid w:val="00432F80"/>
    <w:rsid w:val="00433B94"/>
    <w:rsid w:val="00434F3D"/>
    <w:rsid w:val="00436A8A"/>
    <w:rsid w:val="00437B29"/>
    <w:rsid w:val="0044034A"/>
    <w:rsid w:val="0044302E"/>
    <w:rsid w:val="00443F16"/>
    <w:rsid w:val="00444A0D"/>
    <w:rsid w:val="00444BC1"/>
    <w:rsid w:val="00444EDD"/>
    <w:rsid w:val="00444F0C"/>
    <w:rsid w:val="00445881"/>
    <w:rsid w:val="00445A06"/>
    <w:rsid w:val="00446B2A"/>
    <w:rsid w:val="0044742B"/>
    <w:rsid w:val="004525E4"/>
    <w:rsid w:val="004551C9"/>
    <w:rsid w:val="00455CF3"/>
    <w:rsid w:val="00455F0D"/>
    <w:rsid w:val="0046052F"/>
    <w:rsid w:val="00460A3A"/>
    <w:rsid w:val="00461220"/>
    <w:rsid w:val="00463EAD"/>
    <w:rsid w:val="0046463C"/>
    <w:rsid w:val="00465079"/>
    <w:rsid w:val="00467952"/>
    <w:rsid w:val="004708EC"/>
    <w:rsid w:val="00470DBE"/>
    <w:rsid w:val="00471122"/>
    <w:rsid w:val="004718B2"/>
    <w:rsid w:val="004723C3"/>
    <w:rsid w:val="00472D52"/>
    <w:rsid w:val="00472D7C"/>
    <w:rsid w:val="004746BF"/>
    <w:rsid w:val="00474B34"/>
    <w:rsid w:val="00475CAE"/>
    <w:rsid w:val="00481224"/>
    <w:rsid w:val="00481B3D"/>
    <w:rsid w:val="00482D8B"/>
    <w:rsid w:val="004839F0"/>
    <w:rsid w:val="004861E6"/>
    <w:rsid w:val="004871C3"/>
    <w:rsid w:val="00487B98"/>
    <w:rsid w:val="00490D68"/>
    <w:rsid w:val="004922D1"/>
    <w:rsid w:val="00492C36"/>
    <w:rsid w:val="00494663"/>
    <w:rsid w:val="00495036"/>
    <w:rsid w:val="00495524"/>
    <w:rsid w:val="004969BE"/>
    <w:rsid w:val="004A095B"/>
    <w:rsid w:val="004A11AA"/>
    <w:rsid w:val="004A1968"/>
    <w:rsid w:val="004A4478"/>
    <w:rsid w:val="004A4524"/>
    <w:rsid w:val="004A509B"/>
    <w:rsid w:val="004A516E"/>
    <w:rsid w:val="004A691C"/>
    <w:rsid w:val="004B0607"/>
    <w:rsid w:val="004B0D56"/>
    <w:rsid w:val="004B267F"/>
    <w:rsid w:val="004B445B"/>
    <w:rsid w:val="004B5A8A"/>
    <w:rsid w:val="004B6169"/>
    <w:rsid w:val="004C0828"/>
    <w:rsid w:val="004C192B"/>
    <w:rsid w:val="004C6983"/>
    <w:rsid w:val="004D0414"/>
    <w:rsid w:val="004D04DE"/>
    <w:rsid w:val="004D1123"/>
    <w:rsid w:val="004D1E36"/>
    <w:rsid w:val="004D3485"/>
    <w:rsid w:val="004D391D"/>
    <w:rsid w:val="004D3FB2"/>
    <w:rsid w:val="004D42AB"/>
    <w:rsid w:val="004D550E"/>
    <w:rsid w:val="004E02BF"/>
    <w:rsid w:val="004E0E07"/>
    <w:rsid w:val="004E2C19"/>
    <w:rsid w:val="004E459C"/>
    <w:rsid w:val="004E5D28"/>
    <w:rsid w:val="004E60EC"/>
    <w:rsid w:val="004E6BCC"/>
    <w:rsid w:val="004E7413"/>
    <w:rsid w:val="004F0B66"/>
    <w:rsid w:val="004F2210"/>
    <w:rsid w:val="004F2941"/>
    <w:rsid w:val="004F30BF"/>
    <w:rsid w:val="004F3CB9"/>
    <w:rsid w:val="004F4960"/>
    <w:rsid w:val="004F4CB5"/>
    <w:rsid w:val="004F5A76"/>
    <w:rsid w:val="004F6159"/>
    <w:rsid w:val="004F7AFA"/>
    <w:rsid w:val="0050004F"/>
    <w:rsid w:val="00500DD1"/>
    <w:rsid w:val="0050286A"/>
    <w:rsid w:val="00503BE0"/>
    <w:rsid w:val="00503FF7"/>
    <w:rsid w:val="0050462A"/>
    <w:rsid w:val="005074B3"/>
    <w:rsid w:val="005108B4"/>
    <w:rsid w:val="00510D49"/>
    <w:rsid w:val="00511886"/>
    <w:rsid w:val="00512DF2"/>
    <w:rsid w:val="00513D9E"/>
    <w:rsid w:val="0051407C"/>
    <w:rsid w:val="005216B4"/>
    <w:rsid w:val="00521EA9"/>
    <w:rsid w:val="00523497"/>
    <w:rsid w:val="00524245"/>
    <w:rsid w:val="00525060"/>
    <w:rsid w:val="00525E39"/>
    <w:rsid w:val="005260FA"/>
    <w:rsid w:val="0052697B"/>
    <w:rsid w:val="00527219"/>
    <w:rsid w:val="00532D76"/>
    <w:rsid w:val="00533AFC"/>
    <w:rsid w:val="00534DD9"/>
    <w:rsid w:val="00535E21"/>
    <w:rsid w:val="005362CA"/>
    <w:rsid w:val="00537DBE"/>
    <w:rsid w:val="00540DE6"/>
    <w:rsid w:val="00540E56"/>
    <w:rsid w:val="0054208E"/>
    <w:rsid w:val="0054263E"/>
    <w:rsid w:val="005428A9"/>
    <w:rsid w:val="00543942"/>
    <w:rsid w:val="00545495"/>
    <w:rsid w:val="00545801"/>
    <w:rsid w:val="005462D3"/>
    <w:rsid w:val="005504B2"/>
    <w:rsid w:val="005506D1"/>
    <w:rsid w:val="00552DE6"/>
    <w:rsid w:val="0055378B"/>
    <w:rsid w:val="00554649"/>
    <w:rsid w:val="0055603B"/>
    <w:rsid w:val="00557A6A"/>
    <w:rsid w:val="00561A81"/>
    <w:rsid w:val="005634AF"/>
    <w:rsid w:val="005642B7"/>
    <w:rsid w:val="0056478A"/>
    <w:rsid w:val="00566CD2"/>
    <w:rsid w:val="00566FD1"/>
    <w:rsid w:val="0057070D"/>
    <w:rsid w:val="005707D6"/>
    <w:rsid w:val="00575888"/>
    <w:rsid w:val="00575E1B"/>
    <w:rsid w:val="005762E8"/>
    <w:rsid w:val="0057638E"/>
    <w:rsid w:val="00576D2D"/>
    <w:rsid w:val="00577A16"/>
    <w:rsid w:val="00580C26"/>
    <w:rsid w:val="005815DF"/>
    <w:rsid w:val="0058405E"/>
    <w:rsid w:val="00584E6A"/>
    <w:rsid w:val="00585533"/>
    <w:rsid w:val="00585E2F"/>
    <w:rsid w:val="00585FB6"/>
    <w:rsid w:val="0058618B"/>
    <w:rsid w:val="00586909"/>
    <w:rsid w:val="005869A4"/>
    <w:rsid w:val="00586B8D"/>
    <w:rsid w:val="00587176"/>
    <w:rsid w:val="00587A94"/>
    <w:rsid w:val="005914E5"/>
    <w:rsid w:val="00593C87"/>
    <w:rsid w:val="00594ED4"/>
    <w:rsid w:val="00594EE0"/>
    <w:rsid w:val="00596481"/>
    <w:rsid w:val="00596685"/>
    <w:rsid w:val="00596BD5"/>
    <w:rsid w:val="005A11D6"/>
    <w:rsid w:val="005A1593"/>
    <w:rsid w:val="005A16BF"/>
    <w:rsid w:val="005A1F37"/>
    <w:rsid w:val="005A3667"/>
    <w:rsid w:val="005A496C"/>
    <w:rsid w:val="005A4C09"/>
    <w:rsid w:val="005A649F"/>
    <w:rsid w:val="005B1104"/>
    <w:rsid w:val="005B1D89"/>
    <w:rsid w:val="005B22BC"/>
    <w:rsid w:val="005B2722"/>
    <w:rsid w:val="005B2ECD"/>
    <w:rsid w:val="005B3135"/>
    <w:rsid w:val="005B31AB"/>
    <w:rsid w:val="005B6ADA"/>
    <w:rsid w:val="005B6BAD"/>
    <w:rsid w:val="005B7313"/>
    <w:rsid w:val="005C01A5"/>
    <w:rsid w:val="005C1229"/>
    <w:rsid w:val="005C3349"/>
    <w:rsid w:val="005C3641"/>
    <w:rsid w:val="005C4CD3"/>
    <w:rsid w:val="005C4F71"/>
    <w:rsid w:val="005D0D77"/>
    <w:rsid w:val="005D0FB5"/>
    <w:rsid w:val="005D14AC"/>
    <w:rsid w:val="005D15B6"/>
    <w:rsid w:val="005D198A"/>
    <w:rsid w:val="005D21DB"/>
    <w:rsid w:val="005D2526"/>
    <w:rsid w:val="005D3FF5"/>
    <w:rsid w:val="005D44DF"/>
    <w:rsid w:val="005D4784"/>
    <w:rsid w:val="005D4D1D"/>
    <w:rsid w:val="005D5A24"/>
    <w:rsid w:val="005D66F1"/>
    <w:rsid w:val="005D6F0D"/>
    <w:rsid w:val="005E0310"/>
    <w:rsid w:val="005E0BFA"/>
    <w:rsid w:val="005E0E0B"/>
    <w:rsid w:val="005E119A"/>
    <w:rsid w:val="005E2223"/>
    <w:rsid w:val="005E38A5"/>
    <w:rsid w:val="005E3E5C"/>
    <w:rsid w:val="005E3E82"/>
    <w:rsid w:val="005E4342"/>
    <w:rsid w:val="005E4371"/>
    <w:rsid w:val="005F10C8"/>
    <w:rsid w:val="005F2772"/>
    <w:rsid w:val="005F30AC"/>
    <w:rsid w:val="005F35B1"/>
    <w:rsid w:val="005F470C"/>
    <w:rsid w:val="005F4AC4"/>
    <w:rsid w:val="005F4E7A"/>
    <w:rsid w:val="005F4EBC"/>
    <w:rsid w:val="005F52EB"/>
    <w:rsid w:val="005F5993"/>
    <w:rsid w:val="00600ACA"/>
    <w:rsid w:val="00603E4D"/>
    <w:rsid w:val="00607355"/>
    <w:rsid w:val="00610623"/>
    <w:rsid w:val="00610A4D"/>
    <w:rsid w:val="00611D0A"/>
    <w:rsid w:val="0061354C"/>
    <w:rsid w:val="00613E13"/>
    <w:rsid w:val="00614D95"/>
    <w:rsid w:val="00620083"/>
    <w:rsid w:val="00620F37"/>
    <w:rsid w:val="006210CE"/>
    <w:rsid w:val="00622517"/>
    <w:rsid w:val="00622FD5"/>
    <w:rsid w:val="006235F5"/>
    <w:rsid w:val="00625E19"/>
    <w:rsid w:val="006262FB"/>
    <w:rsid w:val="006267C7"/>
    <w:rsid w:val="00626DEC"/>
    <w:rsid w:val="00627951"/>
    <w:rsid w:val="006308A7"/>
    <w:rsid w:val="00631C26"/>
    <w:rsid w:val="00632617"/>
    <w:rsid w:val="00633203"/>
    <w:rsid w:val="0063402B"/>
    <w:rsid w:val="00634591"/>
    <w:rsid w:val="0063517A"/>
    <w:rsid w:val="00635955"/>
    <w:rsid w:val="006367B3"/>
    <w:rsid w:val="00637237"/>
    <w:rsid w:val="00640A7C"/>
    <w:rsid w:val="00641D98"/>
    <w:rsid w:val="00642D16"/>
    <w:rsid w:val="00642EAE"/>
    <w:rsid w:val="00645308"/>
    <w:rsid w:val="00645B07"/>
    <w:rsid w:val="0064626F"/>
    <w:rsid w:val="00646C21"/>
    <w:rsid w:val="00650489"/>
    <w:rsid w:val="00650A50"/>
    <w:rsid w:val="00652E19"/>
    <w:rsid w:val="0065337A"/>
    <w:rsid w:val="006533EE"/>
    <w:rsid w:val="00653C21"/>
    <w:rsid w:val="00654612"/>
    <w:rsid w:val="00654D1A"/>
    <w:rsid w:val="006550A2"/>
    <w:rsid w:val="00655EBC"/>
    <w:rsid w:val="006573B8"/>
    <w:rsid w:val="00660083"/>
    <w:rsid w:val="006606BE"/>
    <w:rsid w:val="006618AF"/>
    <w:rsid w:val="006626FF"/>
    <w:rsid w:val="00663364"/>
    <w:rsid w:val="006650F4"/>
    <w:rsid w:val="006660BC"/>
    <w:rsid w:val="006701E9"/>
    <w:rsid w:val="0067201A"/>
    <w:rsid w:val="00673128"/>
    <w:rsid w:val="00673CE7"/>
    <w:rsid w:val="006740A2"/>
    <w:rsid w:val="00675735"/>
    <w:rsid w:val="00675D59"/>
    <w:rsid w:val="00677910"/>
    <w:rsid w:val="0068074A"/>
    <w:rsid w:val="00680E69"/>
    <w:rsid w:val="006827BB"/>
    <w:rsid w:val="0068281C"/>
    <w:rsid w:val="00683322"/>
    <w:rsid w:val="0068399B"/>
    <w:rsid w:val="00684B01"/>
    <w:rsid w:val="0068565B"/>
    <w:rsid w:val="006875C8"/>
    <w:rsid w:val="00690314"/>
    <w:rsid w:val="00690A60"/>
    <w:rsid w:val="00694012"/>
    <w:rsid w:val="00694DF4"/>
    <w:rsid w:val="00695D72"/>
    <w:rsid w:val="00696ED4"/>
    <w:rsid w:val="006A0AA0"/>
    <w:rsid w:val="006A1CC2"/>
    <w:rsid w:val="006A2BA4"/>
    <w:rsid w:val="006A2CF8"/>
    <w:rsid w:val="006A30F8"/>
    <w:rsid w:val="006A32FF"/>
    <w:rsid w:val="006A3A3E"/>
    <w:rsid w:val="006A50BE"/>
    <w:rsid w:val="006B03C3"/>
    <w:rsid w:val="006B03CE"/>
    <w:rsid w:val="006B196C"/>
    <w:rsid w:val="006B1B24"/>
    <w:rsid w:val="006B317A"/>
    <w:rsid w:val="006B3503"/>
    <w:rsid w:val="006B459F"/>
    <w:rsid w:val="006B72E0"/>
    <w:rsid w:val="006B7DFD"/>
    <w:rsid w:val="006C1A3E"/>
    <w:rsid w:val="006C2822"/>
    <w:rsid w:val="006C3999"/>
    <w:rsid w:val="006C45FA"/>
    <w:rsid w:val="006C52CA"/>
    <w:rsid w:val="006C5933"/>
    <w:rsid w:val="006C6A00"/>
    <w:rsid w:val="006C76E9"/>
    <w:rsid w:val="006D1871"/>
    <w:rsid w:val="006D36A8"/>
    <w:rsid w:val="006D51B8"/>
    <w:rsid w:val="006D6553"/>
    <w:rsid w:val="006D7ACD"/>
    <w:rsid w:val="006E0888"/>
    <w:rsid w:val="006E0CD6"/>
    <w:rsid w:val="006E45C2"/>
    <w:rsid w:val="006E561C"/>
    <w:rsid w:val="006E5710"/>
    <w:rsid w:val="006E5A32"/>
    <w:rsid w:val="006E679D"/>
    <w:rsid w:val="006E67F6"/>
    <w:rsid w:val="006E795B"/>
    <w:rsid w:val="006E7A0D"/>
    <w:rsid w:val="006F08D6"/>
    <w:rsid w:val="006F2471"/>
    <w:rsid w:val="006F25D7"/>
    <w:rsid w:val="006F31B5"/>
    <w:rsid w:val="006F37A5"/>
    <w:rsid w:val="006F4505"/>
    <w:rsid w:val="006F5329"/>
    <w:rsid w:val="006F7453"/>
    <w:rsid w:val="006F79FD"/>
    <w:rsid w:val="006F7F3A"/>
    <w:rsid w:val="007015C4"/>
    <w:rsid w:val="007027D7"/>
    <w:rsid w:val="00702F49"/>
    <w:rsid w:val="00704550"/>
    <w:rsid w:val="007064AC"/>
    <w:rsid w:val="00712EB9"/>
    <w:rsid w:val="007142C2"/>
    <w:rsid w:val="00714E80"/>
    <w:rsid w:val="0071506F"/>
    <w:rsid w:val="00715F3D"/>
    <w:rsid w:val="00716232"/>
    <w:rsid w:val="00716322"/>
    <w:rsid w:val="00717FF8"/>
    <w:rsid w:val="007204CE"/>
    <w:rsid w:val="0072094B"/>
    <w:rsid w:val="00720F15"/>
    <w:rsid w:val="00722A1E"/>
    <w:rsid w:val="007235FB"/>
    <w:rsid w:val="00723A7D"/>
    <w:rsid w:val="00725279"/>
    <w:rsid w:val="00726662"/>
    <w:rsid w:val="0072735B"/>
    <w:rsid w:val="00730D63"/>
    <w:rsid w:val="00731E84"/>
    <w:rsid w:val="00732C23"/>
    <w:rsid w:val="00737773"/>
    <w:rsid w:val="00737A3E"/>
    <w:rsid w:val="00737A91"/>
    <w:rsid w:val="00740020"/>
    <w:rsid w:val="00742032"/>
    <w:rsid w:val="00743278"/>
    <w:rsid w:val="00747254"/>
    <w:rsid w:val="00747523"/>
    <w:rsid w:val="00747DA7"/>
    <w:rsid w:val="00750C6B"/>
    <w:rsid w:val="00751CAC"/>
    <w:rsid w:val="00752589"/>
    <w:rsid w:val="0075333E"/>
    <w:rsid w:val="00753FD1"/>
    <w:rsid w:val="0075715C"/>
    <w:rsid w:val="007605BE"/>
    <w:rsid w:val="00760D81"/>
    <w:rsid w:val="007615F2"/>
    <w:rsid w:val="0076218C"/>
    <w:rsid w:val="00762AEF"/>
    <w:rsid w:val="00762D93"/>
    <w:rsid w:val="007636DC"/>
    <w:rsid w:val="00763A00"/>
    <w:rsid w:val="00763C6B"/>
    <w:rsid w:val="00764C9A"/>
    <w:rsid w:val="0077111B"/>
    <w:rsid w:val="00772977"/>
    <w:rsid w:val="00775957"/>
    <w:rsid w:val="0077788C"/>
    <w:rsid w:val="00780FB9"/>
    <w:rsid w:val="00782B4E"/>
    <w:rsid w:val="00782BDF"/>
    <w:rsid w:val="007840E1"/>
    <w:rsid w:val="00786F1E"/>
    <w:rsid w:val="00791B6F"/>
    <w:rsid w:val="00791BEC"/>
    <w:rsid w:val="0079208B"/>
    <w:rsid w:val="00794142"/>
    <w:rsid w:val="007948CE"/>
    <w:rsid w:val="0079510A"/>
    <w:rsid w:val="007952EE"/>
    <w:rsid w:val="00795556"/>
    <w:rsid w:val="00795E91"/>
    <w:rsid w:val="0079690F"/>
    <w:rsid w:val="007A0D9D"/>
    <w:rsid w:val="007A0E8D"/>
    <w:rsid w:val="007A38B5"/>
    <w:rsid w:val="007A5059"/>
    <w:rsid w:val="007A7068"/>
    <w:rsid w:val="007B011B"/>
    <w:rsid w:val="007B0975"/>
    <w:rsid w:val="007B350C"/>
    <w:rsid w:val="007B5369"/>
    <w:rsid w:val="007B53F5"/>
    <w:rsid w:val="007B603F"/>
    <w:rsid w:val="007C0635"/>
    <w:rsid w:val="007C0BFE"/>
    <w:rsid w:val="007C1124"/>
    <w:rsid w:val="007C17AB"/>
    <w:rsid w:val="007C1A31"/>
    <w:rsid w:val="007C355E"/>
    <w:rsid w:val="007C42C1"/>
    <w:rsid w:val="007C4C2D"/>
    <w:rsid w:val="007C4D75"/>
    <w:rsid w:val="007C7032"/>
    <w:rsid w:val="007D0413"/>
    <w:rsid w:val="007D2A10"/>
    <w:rsid w:val="007D383F"/>
    <w:rsid w:val="007D3A89"/>
    <w:rsid w:val="007D4A7B"/>
    <w:rsid w:val="007D4FDB"/>
    <w:rsid w:val="007D5BD0"/>
    <w:rsid w:val="007D726E"/>
    <w:rsid w:val="007D7424"/>
    <w:rsid w:val="007E029A"/>
    <w:rsid w:val="007E07DA"/>
    <w:rsid w:val="007E10F7"/>
    <w:rsid w:val="007E30A0"/>
    <w:rsid w:val="007E35A9"/>
    <w:rsid w:val="007E40EA"/>
    <w:rsid w:val="007E4E6F"/>
    <w:rsid w:val="007E6450"/>
    <w:rsid w:val="007E6F5E"/>
    <w:rsid w:val="007E7884"/>
    <w:rsid w:val="007E79B2"/>
    <w:rsid w:val="007F0353"/>
    <w:rsid w:val="007F314B"/>
    <w:rsid w:val="007F4193"/>
    <w:rsid w:val="007F4C22"/>
    <w:rsid w:val="007F6164"/>
    <w:rsid w:val="007F78DC"/>
    <w:rsid w:val="0080221E"/>
    <w:rsid w:val="008033F3"/>
    <w:rsid w:val="008052AD"/>
    <w:rsid w:val="008062AD"/>
    <w:rsid w:val="00806739"/>
    <w:rsid w:val="0080679E"/>
    <w:rsid w:val="00807ED4"/>
    <w:rsid w:val="008107FD"/>
    <w:rsid w:val="008122FE"/>
    <w:rsid w:val="00812C21"/>
    <w:rsid w:val="00812F1E"/>
    <w:rsid w:val="008158DC"/>
    <w:rsid w:val="00815E31"/>
    <w:rsid w:val="00820C51"/>
    <w:rsid w:val="0082671A"/>
    <w:rsid w:val="00826D40"/>
    <w:rsid w:val="00827532"/>
    <w:rsid w:val="008306AA"/>
    <w:rsid w:val="00830BA9"/>
    <w:rsid w:val="0083104F"/>
    <w:rsid w:val="0083131A"/>
    <w:rsid w:val="0083163B"/>
    <w:rsid w:val="0083358B"/>
    <w:rsid w:val="00835ABD"/>
    <w:rsid w:val="00835F8B"/>
    <w:rsid w:val="00840903"/>
    <w:rsid w:val="00840AC0"/>
    <w:rsid w:val="0084129B"/>
    <w:rsid w:val="00841C64"/>
    <w:rsid w:val="00842E5D"/>
    <w:rsid w:val="00843D51"/>
    <w:rsid w:val="00843FAB"/>
    <w:rsid w:val="00846333"/>
    <w:rsid w:val="00846A1B"/>
    <w:rsid w:val="00846C4B"/>
    <w:rsid w:val="00847CEA"/>
    <w:rsid w:val="008500C1"/>
    <w:rsid w:val="00852B64"/>
    <w:rsid w:val="008534E1"/>
    <w:rsid w:val="00853CF0"/>
    <w:rsid w:val="00855125"/>
    <w:rsid w:val="00856514"/>
    <w:rsid w:val="008573DA"/>
    <w:rsid w:val="00860810"/>
    <w:rsid w:val="00860CBA"/>
    <w:rsid w:val="0086130A"/>
    <w:rsid w:val="008615CA"/>
    <w:rsid w:val="00861846"/>
    <w:rsid w:val="008624DA"/>
    <w:rsid w:val="0086263A"/>
    <w:rsid w:val="00862966"/>
    <w:rsid w:val="00862974"/>
    <w:rsid w:val="00862CB4"/>
    <w:rsid w:val="0086717A"/>
    <w:rsid w:val="008707BB"/>
    <w:rsid w:val="00870A55"/>
    <w:rsid w:val="0087120A"/>
    <w:rsid w:val="00871270"/>
    <w:rsid w:val="00873530"/>
    <w:rsid w:val="00873F1D"/>
    <w:rsid w:val="00874133"/>
    <w:rsid w:val="0087435C"/>
    <w:rsid w:val="00875BA2"/>
    <w:rsid w:val="00881F32"/>
    <w:rsid w:val="00882542"/>
    <w:rsid w:val="00882AE7"/>
    <w:rsid w:val="008832CA"/>
    <w:rsid w:val="00883912"/>
    <w:rsid w:val="008839BC"/>
    <w:rsid w:val="00883DC2"/>
    <w:rsid w:val="0088469D"/>
    <w:rsid w:val="00884A73"/>
    <w:rsid w:val="008857B8"/>
    <w:rsid w:val="00890652"/>
    <w:rsid w:val="00890BF9"/>
    <w:rsid w:val="00890E3F"/>
    <w:rsid w:val="00892CAB"/>
    <w:rsid w:val="0089467F"/>
    <w:rsid w:val="00896499"/>
    <w:rsid w:val="00897045"/>
    <w:rsid w:val="008A0027"/>
    <w:rsid w:val="008A2806"/>
    <w:rsid w:val="008A378E"/>
    <w:rsid w:val="008A4AAE"/>
    <w:rsid w:val="008A5825"/>
    <w:rsid w:val="008A5F40"/>
    <w:rsid w:val="008A6BE9"/>
    <w:rsid w:val="008A6E49"/>
    <w:rsid w:val="008A7196"/>
    <w:rsid w:val="008B0A02"/>
    <w:rsid w:val="008B1ED0"/>
    <w:rsid w:val="008B26A5"/>
    <w:rsid w:val="008B3331"/>
    <w:rsid w:val="008B3A24"/>
    <w:rsid w:val="008C0376"/>
    <w:rsid w:val="008C2037"/>
    <w:rsid w:val="008C22C7"/>
    <w:rsid w:val="008C5244"/>
    <w:rsid w:val="008C5D19"/>
    <w:rsid w:val="008D08CE"/>
    <w:rsid w:val="008D205A"/>
    <w:rsid w:val="008D3036"/>
    <w:rsid w:val="008D3304"/>
    <w:rsid w:val="008D5022"/>
    <w:rsid w:val="008D620F"/>
    <w:rsid w:val="008D6221"/>
    <w:rsid w:val="008D7F90"/>
    <w:rsid w:val="008E0115"/>
    <w:rsid w:val="008E0AE3"/>
    <w:rsid w:val="008E109B"/>
    <w:rsid w:val="008E138B"/>
    <w:rsid w:val="008E1636"/>
    <w:rsid w:val="008E2700"/>
    <w:rsid w:val="008E327A"/>
    <w:rsid w:val="008E40C3"/>
    <w:rsid w:val="008E4CE2"/>
    <w:rsid w:val="008E51AB"/>
    <w:rsid w:val="008E577B"/>
    <w:rsid w:val="008E62B2"/>
    <w:rsid w:val="008E673E"/>
    <w:rsid w:val="008E7C41"/>
    <w:rsid w:val="008E7E41"/>
    <w:rsid w:val="008F04C7"/>
    <w:rsid w:val="008F1116"/>
    <w:rsid w:val="008F302A"/>
    <w:rsid w:val="008F3F16"/>
    <w:rsid w:val="008F62AD"/>
    <w:rsid w:val="008F7B64"/>
    <w:rsid w:val="00906252"/>
    <w:rsid w:val="00906B60"/>
    <w:rsid w:val="00907598"/>
    <w:rsid w:val="009114EB"/>
    <w:rsid w:val="0091339A"/>
    <w:rsid w:val="00913A4F"/>
    <w:rsid w:val="00914C97"/>
    <w:rsid w:val="00915C03"/>
    <w:rsid w:val="00916A25"/>
    <w:rsid w:val="00917E4D"/>
    <w:rsid w:val="009242B0"/>
    <w:rsid w:val="0092434B"/>
    <w:rsid w:val="00927EE6"/>
    <w:rsid w:val="00930C57"/>
    <w:rsid w:val="00932089"/>
    <w:rsid w:val="009339A3"/>
    <w:rsid w:val="00933FEC"/>
    <w:rsid w:val="00934584"/>
    <w:rsid w:val="00934A21"/>
    <w:rsid w:val="009379E5"/>
    <w:rsid w:val="00937BBC"/>
    <w:rsid w:val="009422B4"/>
    <w:rsid w:val="00942EC1"/>
    <w:rsid w:val="009437A4"/>
    <w:rsid w:val="00945476"/>
    <w:rsid w:val="009458E4"/>
    <w:rsid w:val="00950D92"/>
    <w:rsid w:val="009544E3"/>
    <w:rsid w:val="00955DF9"/>
    <w:rsid w:val="009561D2"/>
    <w:rsid w:val="00956415"/>
    <w:rsid w:val="00957B24"/>
    <w:rsid w:val="009640A8"/>
    <w:rsid w:val="00964764"/>
    <w:rsid w:val="00964D93"/>
    <w:rsid w:val="00964F93"/>
    <w:rsid w:val="00966D38"/>
    <w:rsid w:val="00967958"/>
    <w:rsid w:val="00973779"/>
    <w:rsid w:val="00974550"/>
    <w:rsid w:val="009765B2"/>
    <w:rsid w:val="00977602"/>
    <w:rsid w:val="00977754"/>
    <w:rsid w:val="00977BEC"/>
    <w:rsid w:val="00980EA2"/>
    <w:rsid w:val="00981CB3"/>
    <w:rsid w:val="00981F79"/>
    <w:rsid w:val="009828E9"/>
    <w:rsid w:val="00983DFF"/>
    <w:rsid w:val="00983E88"/>
    <w:rsid w:val="00985B00"/>
    <w:rsid w:val="00986486"/>
    <w:rsid w:val="00990663"/>
    <w:rsid w:val="00990D13"/>
    <w:rsid w:val="00991FEC"/>
    <w:rsid w:val="00992213"/>
    <w:rsid w:val="0099499E"/>
    <w:rsid w:val="009968D7"/>
    <w:rsid w:val="00997554"/>
    <w:rsid w:val="00997A99"/>
    <w:rsid w:val="009A082F"/>
    <w:rsid w:val="009A0CC4"/>
    <w:rsid w:val="009A1308"/>
    <w:rsid w:val="009A1446"/>
    <w:rsid w:val="009A1C96"/>
    <w:rsid w:val="009A3EAE"/>
    <w:rsid w:val="009A4B4D"/>
    <w:rsid w:val="009A519C"/>
    <w:rsid w:val="009A5734"/>
    <w:rsid w:val="009A5BA2"/>
    <w:rsid w:val="009A6DF8"/>
    <w:rsid w:val="009B11DA"/>
    <w:rsid w:val="009B14FA"/>
    <w:rsid w:val="009B1B71"/>
    <w:rsid w:val="009B1CC4"/>
    <w:rsid w:val="009B1E8C"/>
    <w:rsid w:val="009B21C1"/>
    <w:rsid w:val="009B2A25"/>
    <w:rsid w:val="009B3351"/>
    <w:rsid w:val="009B366B"/>
    <w:rsid w:val="009B37EF"/>
    <w:rsid w:val="009B51E5"/>
    <w:rsid w:val="009B65D7"/>
    <w:rsid w:val="009B7C48"/>
    <w:rsid w:val="009C0451"/>
    <w:rsid w:val="009C0BDA"/>
    <w:rsid w:val="009C204A"/>
    <w:rsid w:val="009C21F8"/>
    <w:rsid w:val="009C237E"/>
    <w:rsid w:val="009C2C0F"/>
    <w:rsid w:val="009C2D37"/>
    <w:rsid w:val="009C3F41"/>
    <w:rsid w:val="009C5B84"/>
    <w:rsid w:val="009C6095"/>
    <w:rsid w:val="009C6209"/>
    <w:rsid w:val="009C6569"/>
    <w:rsid w:val="009C7FCC"/>
    <w:rsid w:val="009D159C"/>
    <w:rsid w:val="009D16C8"/>
    <w:rsid w:val="009D3A6A"/>
    <w:rsid w:val="009D4218"/>
    <w:rsid w:val="009D57F7"/>
    <w:rsid w:val="009D660A"/>
    <w:rsid w:val="009E1FD2"/>
    <w:rsid w:val="009E3F04"/>
    <w:rsid w:val="009E4FE9"/>
    <w:rsid w:val="009F08D5"/>
    <w:rsid w:val="009F0BCF"/>
    <w:rsid w:val="009F2F48"/>
    <w:rsid w:val="009F43DE"/>
    <w:rsid w:val="009F4DA5"/>
    <w:rsid w:val="009F4FF3"/>
    <w:rsid w:val="009F5386"/>
    <w:rsid w:val="00A0304A"/>
    <w:rsid w:val="00A03506"/>
    <w:rsid w:val="00A0354D"/>
    <w:rsid w:val="00A04F88"/>
    <w:rsid w:val="00A06965"/>
    <w:rsid w:val="00A07449"/>
    <w:rsid w:val="00A11DA6"/>
    <w:rsid w:val="00A12A69"/>
    <w:rsid w:val="00A12E8B"/>
    <w:rsid w:val="00A13874"/>
    <w:rsid w:val="00A1417A"/>
    <w:rsid w:val="00A15059"/>
    <w:rsid w:val="00A16E05"/>
    <w:rsid w:val="00A23AF4"/>
    <w:rsid w:val="00A23E26"/>
    <w:rsid w:val="00A24CB6"/>
    <w:rsid w:val="00A26072"/>
    <w:rsid w:val="00A27545"/>
    <w:rsid w:val="00A27CAE"/>
    <w:rsid w:val="00A30638"/>
    <w:rsid w:val="00A3300C"/>
    <w:rsid w:val="00A333D5"/>
    <w:rsid w:val="00A350A7"/>
    <w:rsid w:val="00A35ADC"/>
    <w:rsid w:val="00A35EA0"/>
    <w:rsid w:val="00A366D5"/>
    <w:rsid w:val="00A414C8"/>
    <w:rsid w:val="00A41A0D"/>
    <w:rsid w:val="00A42649"/>
    <w:rsid w:val="00A43385"/>
    <w:rsid w:val="00A4359E"/>
    <w:rsid w:val="00A4465C"/>
    <w:rsid w:val="00A44841"/>
    <w:rsid w:val="00A44C84"/>
    <w:rsid w:val="00A45321"/>
    <w:rsid w:val="00A47AB8"/>
    <w:rsid w:val="00A47AF1"/>
    <w:rsid w:val="00A47E24"/>
    <w:rsid w:val="00A5068B"/>
    <w:rsid w:val="00A51ACB"/>
    <w:rsid w:val="00A52043"/>
    <w:rsid w:val="00A53464"/>
    <w:rsid w:val="00A561D3"/>
    <w:rsid w:val="00A60179"/>
    <w:rsid w:val="00A60C06"/>
    <w:rsid w:val="00A60CDD"/>
    <w:rsid w:val="00A61519"/>
    <w:rsid w:val="00A61C00"/>
    <w:rsid w:val="00A62436"/>
    <w:rsid w:val="00A640D1"/>
    <w:rsid w:val="00A643B7"/>
    <w:rsid w:val="00A64EDF"/>
    <w:rsid w:val="00A65EA5"/>
    <w:rsid w:val="00A65F14"/>
    <w:rsid w:val="00A67039"/>
    <w:rsid w:val="00A702D6"/>
    <w:rsid w:val="00A70FE2"/>
    <w:rsid w:val="00A723F2"/>
    <w:rsid w:val="00A75776"/>
    <w:rsid w:val="00A76423"/>
    <w:rsid w:val="00A76837"/>
    <w:rsid w:val="00A77B6E"/>
    <w:rsid w:val="00A811BB"/>
    <w:rsid w:val="00A81D3D"/>
    <w:rsid w:val="00A84FF6"/>
    <w:rsid w:val="00A86544"/>
    <w:rsid w:val="00A8745E"/>
    <w:rsid w:val="00A90C84"/>
    <w:rsid w:val="00A91E35"/>
    <w:rsid w:val="00A92523"/>
    <w:rsid w:val="00A927F7"/>
    <w:rsid w:val="00A933E9"/>
    <w:rsid w:val="00A93673"/>
    <w:rsid w:val="00A93AD8"/>
    <w:rsid w:val="00A9454E"/>
    <w:rsid w:val="00A948BE"/>
    <w:rsid w:val="00A96BC1"/>
    <w:rsid w:val="00A96EEC"/>
    <w:rsid w:val="00AA2DF5"/>
    <w:rsid w:val="00AA3023"/>
    <w:rsid w:val="00AA3160"/>
    <w:rsid w:val="00AA47E8"/>
    <w:rsid w:val="00AA5220"/>
    <w:rsid w:val="00AA5647"/>
    <w:rsid w:val="00AA68ED"/>
    <w:rsid w:val="00AA7DC9"/>
    <w:rsid w:val="00AB0216"/>
    <w:rsid w:val="00AB03FB"/>
    <w:rsid w:val="00AB148D"/>
    <w:rsid w:val="00AB20A8"/>
    <w:rsid w:val="00AB2C59"/>
    <w:rsid w:val="00AB2F2F"/>
    <w:rsid w:val="00AB3109"/>
    <w:rsid w:val="00AB3473"/>
    <w:rsid w:val="00AB3A86"/>
    <w:rsid w:val="00AB5712"/>
    <w:rsid w:val="00AB75AB"/>
    <w:rsid w:val="00AC016D"/>
    <w:rsid w:val="00AC2F48"/>
    <w:rsid w:val="00AC601A"/>
    <w:rsid w:val="00AC67DA"/>
    <w:rsid w:val="00AC6A30"/>
    <w:rsid w:val="00AC7378"/>
    <w:rsid w:val="00AD0137"/>
    <w:rsid w:val="00AD10AF"/>
    <w:rsid w:val="00AD27DA"/>
    <w:rsid w:val="00AD29AE"/>
    <w:rsid w:val="00AD397D"/>
    <w:rsid w:val="00AD5532"/>
    <w:rsid w:val="00AD7092"/>
    <w:rsid w:val="00AE0F79"/>
    <w:rsid w:val="00AE1662"/>
    <w:rsid w:val="00AE25ED"/>
    <w:rsid w:val="00AE3A08"/>
    <w:rsid w:val="00AE4209"/>
    <w:rsid w:val="00AE4F01"/>
    <w:rsid w:val="00AE6CB7"/>
    <w:rsid w:val="00AE7B09"/>
    <w:rsid w:val="00AF1A7D"/>
    <w:rsid w:val="00AF1AA1"/>
    <w:rsid w:val="00AF1B0F"/>
    <w:rsid w:val="00AF2F76"/>
    <w:rsid w:val="00AF476C"/>
    <w:rsid w:val="00AF55E4"/>
    <w:rsid w:val="00AF5713"/>
    <w:rsid w:val="00AF5A2E"/>
    <w:rsid w:val="00AF64BA"/>
    <w:rsid w:val="00B000AE"/>
    <w:rsid w:val="00B001AC"/>
    <w:rsid w:val="00B00482"/>
    <w:rsid w:val="00B00AE7"/>
    <w:rsid w:val="00B01F6F"/>
    <w:rsid w:val="00B0272A"/>
    <w:rsid w:val="00B04240"/>
    <w:rsid w:val="00B06B50"/>
    <w:rsid w:val="00B10501"/>
    <w:rsid w:val="00B10979"/>
    <w:rsid w:val="00B110A7"/>
    <w:rsid w:val="00B1264E"/>
    <w:rsid w:val="00B12E2B"/>
    <w:rsid w:val="00B137B7"/>
    <w:rsid w:val="00B14765"/>
    <w:rsid w:val="00B1486F"/>
    <w:rsid w:val="00B16D09"/>
    <w:rsid w:val="00B16D17"/>
    <w:rsid w:val="00B20B53"/>
    <w:rsid w:val="00B22879"/>
    <w:rsid w:val="00B23B07"/>
    <w:rsid w:val="00B24342"/>
    <w:rsid w:val="00B24CE2"/>
    <w:rsid w:val="00B265D5"/>
    <w:rsid w:val="00B3054E"/>
    <w:rsid w:val="00B306D1"/>
    <w:rsid w:val="00B3218B"/>
    <w:rsid w:val="00B32DEA"/>
    <w:rsid w:val="00B33642"/>
    <w:rsid w:val="00B33D60"/>
    <w:rsid w:val="00B34164"/>
    <w:rsid w:val="00B346F1"/>
    <w:rsid w:val="00B34F1B"/>
    <w:rsid w:val="00B35147"/>
    <w:rsid w:val="00B35AFC"/>
    <w:rsid w:val="00B36010"/>
    <w:rsid w:val="00B36EE4"/>
    <w:rsid w:val="00B3761C"/>
    <w:rsid w:val="00B4255D"/>
    <w:rsid w:val="00B42B0A"/>
    <w:rsid w:val="00B42C26"/>
    <w:rsid w:val="00B44744"/>
    <w:rsid w:val="00B45B06"/>
    <w:rsid w:val="00B4793A"/>
    <w:rsid w:val="00B51171"/>
    <w:rsid w:val="00B52451"/>
    <w:rsid w:val="00B54159"/>
    <w:rsid w:val="00B54AFB"/>
    <w:rsid w:val="00B54CEF"/>
    <w:rsid w:val="00B5582C"/>
    <w:rsid w:val="00B55E0C"/>
    <w:rsid w:val="00B56320"/>
    <w:rsid w:val="00B56C84"/>
    <w:rsid w:val="00B56EEB"/>
    <w:rsid w:val="00B607CA"/>
    <w:rsid w:val="00B61763"/>
    <w:rsid w:val="00B63691"/>
    <w:rsid w:val="00B640AC"/>
    <w:rsid w:val="00B647DC"/>
    <w:rsid w:val="00B64AAA"/>
    <w:rsid w:val="00B64C29"/>
    <w:rsid w:val="00B65371"/>
    <w:rsid w:val="00B65523"/>
    <w:rsid w:val="00B65C6A"/>
    <w:rsid w:val="00B70212"/>
    <w:rsid w:val="00B71563"/>
    <w:rsid w:val="00B71721"/>
    <w:rsid w:val="00B7178C"/>
    <w:rsid w:val="00B72DFC"/>
    <w:rsid w:val="00B738B0"/>
    <w:rsid w:val="00B73DBF"/>
    <w:rsid w:val="00B74827"/>
    <w:rsid w:val="00B762B9"/>
    <w:rsid w:val="00B77905"/>
    <w:rsid w:val="00B77F9B"/>
    <w:rsid w:val="00B80BDC"/>
    <w:rsid w:val="00B80C6E"/>
    <w:rsid w:val="00B83885"/>
    <w:rsid w:val="00B842C9"/>
    <w:rsid w:val="00B85F44"/>
    <w:rsid w:val="00B86108"/>
    <w:rsid w:val="00B86BDE"/>
    <w:rsid w:val="00B91232"/>
    <w:rsid w:val="00B91B3D"/>
    <w:rsid w:val="00B94682"/>
    <w:rsid w:val="00B952FB"/>
    <w:rsid w:val="00B969A5"/>
    <w:rsid w:val="00BA11F1"/>
    <w:rsid w:val="00BA11F3"/>
    <w:rsid w:val="00BA1E55"/>
    <w:rsid w:val="00BA2DDA"/>
    <w:rsid w:val="00BA2E5A"/>
    <w:rsid w:val="00BA5C4A"/>
    <w:rsid w:val="00BA62B9"/>
    <w:rsid w:val="00BA71C9"/>
    <w:rsid w:val="00BA7FE1"/>
    <w:rsid w:val="00BB0919"/>
    <w:rsid w:val="00BB0BFA"/>
    <w:rsid w:val="00BB1E85"/>
    <w:rsid w:val="00BB35DA"/>
    <w:rsid w:val="00BB4365"/>
    <w:rsid w:val="00BB5A51"/>
    <w:rsid w:val="00BB7639"/>
    <w:rsid w:val="00BB7A7F"/>
    <w:rsid w:val="00BC0718"/>
    <w:rsid w:val="00BC1572"/>
    <w:rsid w:val="00BC38C1"/>
    <w:rsid w:val="00BC66D1"/>
    <w:rsid w:val="00BC6C1B"/>
    <w:rsid w:val="00BC6CAC"/>
    <w:rsid w:val="00BD04D8"/>
    <w:rsid w:val="00BD0B86"/>
    <w:rsid w:val="00BD112A"/>
    <w:rsid w:val="00BD1C19"/>
    <w:rsid w:val="00BD26BD"/>
    <w:rsid w:val="00BD4086"/>
    <w:rsid w:val="00BD4820"/>
    <w:rsid w:val="00BD4ECE"/>
    <w:rsid w:val="00BD51F3"/>
    <w:rsid w:val="00BD5B8D"/>
    <w:rsid w:val="00BD6BA0"/>
    <w:rsid w:val="00BD6E79"/>
    <w:rsid w:val="00BE0C61"/>
    <w:rsid w:val="00BE22B1"/>
    <w:rsid w:val="00BE394A"/>
    <w:rsid w:val="00BE534F"/>
    <w:rsid w:val="00BE5BAE"/>
    <w:rsid w:val="00BE6EFB"/>
    <w:rsid w:val="00BF07CD"/>
    <w:rsid w:val="00BF1A5E"/>
    <w:rsid w:val="00BF3B4F"/>
    <w:rsid w:val="00BF42BC"/>
    <w:rsid w:val="00BF71A4"/>
    <w:rsid w:val="00C0001B"/>
    <w:rsid w:val="00C00AA0"/>
    <w:rsid w:val="00C02300"/>
    <w:rsid w:val="00C043A9"/>
    <w:rsid w:val="00C049BE"/>
    <w:rsid w:val="00C0751B"/>
    <w:rsid w:val="00C07A02"/>
    <w:rsid w:val="00C07F62"/>
    <w:rsid w:val="00C12EB8"/>
    <w:rsid w:val="00C12F6F"/>
    <w:rsid w:val="00C12FF5"/>
    <w:rsid w:val="00C149AA"/>
    <w:rsid w:val="00C1532F"/>
    <w:rsid w:val="00C16F12"/>
    <w:rsid w:val="00C176AE"/>
    <w:rsid w:val="00C17DF4"/>
    <w:rsid w:val="00C20E93"/>
    <w:rsid w:val="00C20F59"/>
    <w:rsid w:val="00C21E5D"/>
    <w:rsid w:val="00C232BC"/>
    <w:rsid w:val="00C24719"/>
    <w:rsid w:val="00C25749"/>
    <w:rsid w:val="00C2778A"/>
    <w:rsid w:val="00C303FB"/>
    <w:rsid w:val="00C31828"/>
    <w:rsid w:val="00C334CC"/>
    <w:rsid w:val="00C33EC8"/>
    <w:rsid w:val="00C33F47"/>
    <w:rsid w:val="00C349C2"/>
    <w:rsid w:val="00C35878"/>
    <w:rsid w:val="00C367C5"/>
    <w:rsid w:val="00C37E65"/>
    <w:rsid w:val="00C41189"/>
    <w:rsid w:val="00C42B12"/>
    <w:rsid w:val="00C43B3D"/>
    <w:rsid w:val="00C4440D"/>
    <w:rsid w:val="00C44562"/>
    <w:rsid w:val="00C44D82"/>
    <w:rsid w:val="00C45D49"/>
    <w:rsid w:val="00C503DC"/>
    <w:rsid w:val="00C52433"/>
    <w:rsid w:val="00C527BD"/>
    <w:rsid w:val="00C52863"/>
    <w:rsid w:val="00C53FC2"/>
    <w:rsid w:val="00C54531"/>
    <w:rsid w:val="00C55D79"/>
    <w:rsid w:val="00C5797F"/>
    <w:rsid w:val="00C57A80"/>
    <w:rsid w:val="00C60071"/>
    <w:rsid w:val="00C636AA"/>
    <w:rsid w:val="00C63E60"/>
    <w:rsid w:val="00C71F10"/>
    <w:rsid w:val="00C737C3"/>
    <w:rsid w:val="00C74583"/>
    <w:rsid w:val="00C74DE8"/>
    <w:rsid w:val="00C752B9"/>
    <w:rsid w:val="00C759D1"/>
    <w:rsid w:val="00C75B67"/>
    <w:rsid w:val="00C776C1"/>
    <w:rsid w:val="00C77981"/>
    <w:rsid w:val="00C77C61"/>
    <w:rsid w:val="00C8106E"/>
    <w:rsid w:val="00C82413"/>
    <w:rsid w:val="00C82B36"/>
    <w:rsid w:val="00C82FC1"/>
    <w:rsid w:val="00C87218"/>
    <w:rsid w:val="00C951CA"/>
    <w:rsid w:val="00C96B3E"/>
    <w:rsid w:val="00C96D3F"/>
    <w:rsid w:val="00C96D99"/>
    <w:rsid w:val="00CA0384"/>
    <w:rsid w:val="00CA4BC8"/>
    <w:rsid w:val="00CA5DA4"/>
    <w:rsid w:val="00CA77B8"/>
    <w:rsid w:val="00CA7C7F"/>
    <w:rsid w:val="00CB207D"/>
    <w:rsid w:val="00CB2147"/>
    <w:rsid w:val="00CB2A33"/>
    <w:rsid w:val="00CB2AE6"/>
    <w:rsid w:val="00CB31A7"/>
    <w:rsid w:val="00CB38FF"/>
    <w:rsid w:val="00CB3EEA"/>
    <w:rsid w:val="00CB416E"/>
    <w:rsid w:val="00CB5B6E"/>
    <w:rsid w:val="00CB6D30"/>
    <w:rsid w:val="00CB6E3B"/>
    <w:rsid w:val="00CB780B"/>
    <w:rsid w:val="00CB7F44"/>
    <w:rsid w:val="00CC048B"/>
    <w:rsid w:val="00CC130A"/>
    <w:rsid w:val="00CC2C1F"/>
    <w:rsid w:val="00CC67ED"/>
    <w:rsid w:val="00CC7B62"/>
    <w:rsid w:val="00CD0C53"/>
    <w:rsid w:val="00CD463D"/>
    <w:rsid w:val="00CD477E"/>
    <w:rsid w:val="00CD4C14"/>
    <w:rsid w:val="00CD5897"/>
    <w:rsid w:val="00CD72BC"/>
    <w:rsid w:val="00CE1AA6"/>
    <w:rsid w:val="00CE2B3F"/>
    <w:rsid w:val="00CE2F84"/>
    <w:rsid w:val="00CE336D"/>
    <w:rsid w:val="00CE4391"/>
    <w:rsid w:val="00CE5323"/>
    <w:rsid w:val="00CE5791"/>
    <w:rsid w:val="00CF25FA"/>
    <w:rsid w:val="00CF3FCE"/>
    <w:rsid w:val="00CF40A9"/>
    <w:rsid w:val="00CF6413"/>
    <w:rsid w:val="00CF71B0"/>
    <w:rsid w:val="00D004C8"/>
    <w:rsid w:val="00D0312C"/>
    <w:rsid w:val="00D03328"/>
    <w:rsid w:val="00D063C8"/>
    <w:rsid w:val="00D069A0"/>
    <w:rsid w:val="00D119A8"/>
    <w:rsid w:val="00D13362"/>
    <w:rsid w:val="00D133B4"/>
    <w:rsid w:val="00D14500"/>
    <w:rsid w:val="00D145C3"/>
    <w:rsid w:val="00D161CB"/>
    <w:rsid w:val="00D16908"/>
    <w:rsid w:val="00D178AA"/>
    <w:rsid w:val="00D20447"/>
    <w:rsid w:val="00D20C8C"/>
    <w:rsid w:val="00D227C1"/>
    <w:rsid w:val="00D2344C"/>
    <w:rsid w:val="00D236AA"/>
    <w:rsid w:val="00D2395F"/>
    <w:rsid w:val="00D2479D"/>
    <w:rsid w:val="00D25738"/>
    <w:rsid w:val="00D26801"/>
    <w:rsid w:val="00D26C46"/>
    <w:rsid w:val="00D2788A"/>
    <w:rsid w:val="00D30CF9"/>
    <w:rsid w:val="00D30FC9"/>
    <w:rsid w:val="00D3145F"/>
    <w:rsid w:val="00D32161"/>
    <w:rsid w:val="00D32703"/>
    <w:rsid w:val="00D327BA"/>
    <w:rsid w:val="00D32F21"/>
    <w:rsid w:val="00D33D72"/>
    <w:rsid w:val="00D346D1"/>
    <w:rsid w:val="00D355DF"/>
    <w:rsid w:val="00D40021"/>
    <w:rsid w:val="00D41243"/>
    <w:rsid w:val="00D434D7"/>
    <w:rsid w:val="00D440A5"/>
    <w:rsid w:val="00D44E5E"/>
    <w:rsid w:val="00D45D88"/>
    <w:rsid w:val="00D467D7"/>
    <w:rsid w:val="00D4749D"/>
    <w:rsid w:val="00D4770F"/>
    <w:rsid w:val="00D47B63"/>
    <w:rsid w:val="00D55D37"/>
    <w:rsid w:val="00D55D45"/>
    <w:rsid w:val="00D5628C"/>
    <w:rsid w:val="00D56804"/>
    <w:rsid w:val="00D572EE"/>
    <w:rsid w:val="00D60A8C"/>
    <w:rsid w:val="00D63BF8"/>
    <w:rsid w:val="00D64838"/>
    <w:rsid w:val="00D65510"/>
    <w:rsid w:val="00D66A3D"/>
    <w:rsid w:val="00D67643"/>
    <w:rsid w:val="00D70341"/>
    <w:rsid w:val="00D70500"/>
    <w:rsid w:val="00D70A32"/>
    <w:rsid w:val="00D722BB"/>
    <w:rsid w:val="00D75167"/>
    <w:rsid w:val="00D776CB"/>
    <w:rsid w:val="00D779AC"/>
    <w:rsid w:val="00D80F44"/>
    <w:rsid w:val="00D82B8F"/>
    <w:rsid w:val="00D832AB"/>
    <w:rsid w:val="00D8361C"/>
    <w:rsid w:val="00D837AC"/>
    <w:rsid w:val="00D85462"/>
    <w:rsid w:val="00D85BEE"/>
    <w:rsid w:val="00D86132"/>
    <w:rsid w:val="00D8697F"/>
    <w:rsid w:val="00D87259"/>
    <w:rsid w:val="00D9125F"/>
    <w:rsid w:val="00D93BDA"/>
    <w:rsid w:val="00D95B65"/>
    <w:rsid w:val="00D96F86"/>
    <w:rsid w:val="00D97924"/>
    <w:rsid w:val="00D97E2F"/>
    <w:rsid w:val="00DA0679"/>
    <w:rsid w:val="00DA095E"/>
    <w:rsid w:val="00DA0A97"/>
    <w:rsid w:val="00DA0EA6"/>
    <w:rsid w:val="00DA2952"/>
    <w:rsid w:val="00DA4FDF"/>
    <w:rsid w:val="00DB0128"/>
    <w:rsid w:val="00DB08D1"/>
    <w:rsid w:val="00DB183D"/>
    <w:rsid w:val="00DB1D88"/>
    <w:rsid w:val="00DB2927"/>
    <w:rsid w:val="00DB311F"/>
    <w:rsid w:val="00DB391F"/>
    <w:rsid w:val="00DB4950"/>
    <w:rsid w:val="00DB4FD9"/>
    <w:rsid w:val="00DB5205"/>
    <w:rsid w:val="00DB6A50"/>
    <w:rsid w:val="00DB6CB6"/>
    <w:rsid w:val="00DB7392"/>
    <w:rsid w:val="00DC359E"/>
    <w:rsid w:val="00DC4BDD"/>
    <w:rsid w:val="00DC4D7E"/>
    <w:rsid w:val="00DC5150"/>
    <w:rsid w:val="00DC5DF7"/>
    <w:rsid w:val="00DC6786"/>
    <w:rsid w:val="00DC6C2F"/>
    <w:rsid w:val="00DD01B0"/>
    <w:rsid w:val="00DD1DCB"/>
    <w:rsid w:val="00DD289D"/>
    <w:rsid w:val="00DD3540"/>
    <w:rsid w:val="00DD61AB"/>
    <w:rsid w:val="00DD6984"/>
    <w:rsid w:val="00DD7038"/>
    <w:rsid w:val="00DD7D24"/>
    <w:rsid w:val="00DE0D6D"/>
    <w:rsid w:val="00DE1BE8"/>
    <w:rsid w:val="00DE24E6"/>
    <w:rsid w:val="00DE4113"/>
    <w:rsid w:val="00DE60E5"/>
    <w:rsid w:val="00DE6BA0"/>
    <w:rsid w:val="00DF0DCD"/>
    <w:rsid w:val="00DF267A"/>
    <w:rsid w:val="00DF2C85"/>
    <w:rsid w:val="00DF483A"/>
    <w:rsid w:val="00DF5A3B"/>
    <w:rsid w:val="00DF7229"/>
    <w:rsid w:val="00DF725D"/>
    <w:rsid w:val="00DF79E4"/>
    <w:rsid w:val="00E0035A"/>
    <w:rsid w:val="00E01271"/>
    <w:rsid w:val="00E047C5"/>
    <w:rsid w:val="00E05076"/>
    <w:rsid w:val="00E062AC"/>
    <w:rsid w:val="00E06677"/>
    <w:rsid w:val="00E068FB"/>
    <w:rsid w:val="00E06994"/>
    <w:rsid w:val="00E074F4"/>
    <w:rsid w:val="00E122BA"/>
    <w:rsid w:val="00E1325B"/>
    <w:rsid w:val="00E13BF6"/>
    <w:rsid w:val="00E14083"/>
    <w:rsid w:val="00E157E2"/>
    <w:rsid w:val="00E16821"/>
    <w:rsid w:val="00E17EE0"/>
    <w:rsid w:val="00E21E76"/>
    <w:rsid w:val="00E2212C"/>
    <w:rsid w:val="00E22229"/>
    <w:rsid w:val="00E2236F"/>
    <w:rsid w:val="00E22445"/>
    <w:rsid w:val="00E24866"/>
    <w:rsid w:val="00E26139"/>
    <w:rsid w:val="00E26D0A"/>
    <w:rsid w:val="00E27256"/>
    <w:rsid w:val="00E2778F"/>
    <w:rsid w:val="00E27B8D"/>
    <w:rsid w:val="00E32577"/>
    <w:rsid w:val="00E3456F"/>
    <w:rsid w:val="00E34C8D"/>
    <w:rsid w:val="00E35D6F"/>
    <w:rsid w:val="00E37E94"/>
    <w:rsid w:val="00E40049"/>
    <w:rsid w:val="00E426AB"/>
    <w:rsid w:val="00E43AB4"/>
    <w:rsid w:val="00E43C0A"/>
    <w:rsid w:val="00E43E1A"/>
    <w:rsid w:val="00E449A8"/>
    <w:rsid w:val="00E44D93"/>
    <w:rsid w:val="00E44ECD"/>
    <w:rsid w:val="00E45E30"/>
    <w:rsid w:val="00E46A78"/>
    <w:rsid w:val="00E472A3"/>
    <w:rsid w:val="00E5056E"/>
    <w:rsid w:val="00E50BA2"/>
    <w:rsid w:val="00E50EE0"/>
    <w:rsid w:val="00E52368"/>
    <w:rsid w:val="00E52D51"/>
    <w:rsid w:val="00E537D9"/>
    <w:rsid w:val="00E53C3B"/>
    <w:rsid w:val="00E550B1"/>
    <w:rsid w:val="00E561E6"/>
    <w:rsid w:val="00E56783"/>
    <w:rsid w:val="00E57C1B"/>
    <w:rsid w:val="00E6032F"/>
    <w:rsid w:val="00E642B2"/>
    <w:rsid w:val="00E6453A"/>
    <w:rsid w:val="00E656E9"/>
    <w:rsid w:val="00E65991"/>
    <w:rsid w:val="00E65E6B"/>
    <w:rsid w:val="00E66136"/>
    <w:rsid w:val="00E66AF4"/>
    <w:rsid w:val="00E67197"/>
    <w:rsid w:val="00E67597"/>
    <w:rsid w:val="00E6781C"/>
    <w:rsid w:val="00E6787D"/>
    <w:rsid w:val="00E70C60"/>
    <w:rsid w:val="00E711E3"/>
    <w:rsid w:val="00E712CB"/>
    <w:rsid w:val="00E716C7"/>
    <w:rsid w:val="00E72D66"/>
    <w:rsid w:val="00E73CCC"/>
    <w:rsid w:val="00E748CA"/>
    <w:rsid w:val="00E7575C"/>
    <w:rsid w:val="00E76D67"/>
    <w:rsid w:val="00E7739B"/>
    <w:rsid w:val="00E80E6B"/>
    <w:rsid w:val="00E80E74"/>
    <w:rsid w:val="00E80FFA"/>
    <w:rsid w:val="00E81E81"/>
    <w:rsid w:val="00E81FDF"/>
    <w:rsid w:val="00E8235B"/>
    <w:rsid w:val="00E829C4"/>
    <w:rsid w:val="00E84B9D"/>
    <w:rsid w:val="00E85DCF"/>
    <w:rsid w:val="00E86E33"/>
    <w:rsid w:val="00E87208"/>
    <w:rsid w:val="00E8762D"/>
    <w:rsid w:val="00E902A1"/>
    <w:rsid w:val="00E9138D"/>
    <w:rsid w:val="00E92942"/>
    <w:rsid w:val="00E9401C"/>
    <w:rsid w:val="00E95C27"/>
    <w:rsid w:val="00E9696D"/>
    <w:rsid w:val="00EA0711"/>
    <w:rsid w:val="00EA121B"/>
    <w:rsid w:val="00EA1A3D"/>
    <w:rsid w:val="00EA2823"/>
    <w:rsid w:val="00EA288E"/>
    <w:rsid w:val="00EA2D27"/>
    <w:rsid w:val="00EA4D9B"/>
    <w:rsid w:val="00EA5E9B"/>
    <w:rsid w:val="00EB0182"/>
    <w:rsid w:val="00EB02C9"/>
    <w:rsid w:val="00EB02D8"/>
    <w:rsid w:val="00EB070B"/>
    <w:rsid w:val="00EB1830"/>
    <w:rsid w:val="00EB1B3D"/>
    <w:rsid w:val="00EB37E1"/>
    <w:rsid w:val="00EB4066"/>
    <w:rsid w:val="00EB5793"/>
    <w:rsid w:val="00EB5915"/>
    <w:rsid w:val="00EB68EA"/>
    <w:rsid w:val="00EB77E6"/>
    <w:rsid w:val="00EB7A5F"/>
    <w:rsid w:val="00EC0F67"/>
    <w:rsid w:val="00EC30AC"/>
    <w:rsid w:val="00EC3374"/>
    <w:rsid w:val="00EC45B3"/>
    <w:rsid w:val="00EC62DF"/>
    <w:rsid w:val="00EC672D"/>
    <w:rsid w:val="00EC68D6"/>
    <w:rsid w:val="00EC7995"/>
    <w:rsid w:val="00ED0ABA"/>
    <w:rsid w:val="00ED1288"/>
    <w:rsid w:val="00ED20DE"/>
    <w:rsid w:val="00ED29E7"/>
    <w:rsid w:val="00ED2DB3"/>
    <w:rsid w:val="00ED3BCA"/>
    <w:rsid w:val="00ED3E26"/>
    <w:rsid w:val="00ED49EC"/>
    <w:rsid w:val="00ED4D07"/>
    <w:rsid w:val="00ED5F37"/>
    <w:rsid w:val="00ED5F9F"/>
    <w:rsid w:val="00ED7D0C"/>
    <w:rsid w:val="00EE0B7D"/>
    <w:rsid w:val="00EE3A63"/>
    <w:rsid w:val="00EE4A85"/>
    <w:rsid w:val="00EE4E1E"/>
    <w:rsid w:val="00EE5090"/>
    <w:rsid w:val="00EE57E4"/>
    <w:rsid w:val="00EE59C9"/>
    <w:rsid w:val="00EE774F"/>
    <w:rsid w:val="00EF1A69"/>
    <w:rsid w:val="00EF255C"/>
    <w:rsid w:val="00EF37A9"/>
    <w:rsid w:val="00EF4952"/>
    <w:rsid w:val="00EF5953"/>
    <w:rsid w:val="00F00995"/>
    <w:rsid w:val="00F0109E"/>
    <w:rsid w:val="00F011C9"/>
    <w:rsid w:val="00F02157"/>
    <w:rsid w:val="00F0553C"/>
    <w:rsid w:val="00F07530"/>
    <w:rsid w:val="00F107A8"/>
    <w:rsid w:val="00F11A60"/>
    <w:rsid w:val="00F13740"/>
    <w:rsid w:val="00F138E0"/>
    <w:rsid w:val="00F14274"/>
    <w:rsid w:val="00F1440D"/>
    <w:rsid w:val="00F1491E"/>
    <w:rsid w:val="00F15C8E"/>
    <w:rsid w:val="00F16614"/>
    <w:rsid w:val="00F173BC"/>
    <w:rsid w:val="00F178A9"/>
    <w:rsid w:val="00F200F2"/>
    <w:rsid w:val="00F205E3"/>
    <w:rsid w:val="00F21842"/>
    <w:rsid w:val="00F229C4"/>
    <w:rsid w:val="00F23A1E"/>
    <w:rsid w:val="00F23A2C"/>
    <w:rsid w:val="00F241D8"/>
    <w:rsid w:val="00F2590D"/>
    <w:rsid w:val="00F31F14"/>
    <w:rsid w:val="00F32E4A"/>
    <w:rsid w:val="00F331E0"/>
    <w:rsid w:val="00F342C0"/>
    <w:rsid w:val="00F34EDF"/>
    <w:rsid w:val="00F34EF1"/>
    <w:rsid w:val="00F36CAD"/>
    <w:rsid w:val="00F36E1D"/>
    <w:rsid w:val="00F37CA4"/>
    <w:rsid w:val="00F37F3C"/>
    <w:rsid w:val="00F40655"/>
    <w:rsid w:val="00F4166A"/>
    <w:rsid w:val="00F42FC0"/>
    <w:rsid w:val="00F43479"/>
    <w:rsid w:val="00F4422F"/>
    <w:rsid w:val="00F45286"/>
    <w:rsid w:val="00F462CA"/>
    <w:rsid w:val="00F511C7"/>
    <w:rsid w:val="00F519A5"/>
    <w:rsid w:val="00F51A62"/>
    <w:rsid w:val="00F5203E"/>
    <w:rsid w:val="00F5385F"/>
    <w:rsid w:val="00F53FE9"/>
    <w:rsid w:val="00F55693"/>
    <w:rsid w:val="00F57C6B"/>
    <w:rsid w:val="00F607ED"/>
    <w:rsid w:val="00F60D35"/>
    <w:rsid w:val="00F61FFD"/>
    <w:rsid w:val="00F62103"/>
    <w:rsid w:val="00F63593"/>
    <w:rsid w:val="00F635F8"/>
    <w:rsid w:val="00F64104"/>
    <w:rsid w:val="00F642AD"/>
    <w:rsid w:val="00F64E6E"/>
    <w:rsid w:val="00F656AF"/>
    <w:rsid w:val="00F660C9"/>
    <w:rsid w:val="00F704B7"/>
    <w:rsid w:val="00F70B94"/>
    <w:rsid w:val="00F73E66"/>
    <w:rsid w:val="00F747D3"/>
    <w:rsid w:val="00F7486E"/>
    <w:rsid w:val="00F749F9"/>
    <w:rsid w:val="00F75152"/>
    <w:rsid w:val="00F75890"/>
    <w:rsid w:val="00F75EA1"/>
    <w:rsid w:val="00F807EE"/>
    <w:rsid w:val="00F80C77"/>
    <w:rsid w:val="00F81646"/>
    <w:rsid w:val="00F81712"/>
    <w:rsid w:val="00F81875"/>
    <w:rsid w:val="00F81DE8"/>
    <w:rsid w:val="00F84BDF"/>
    <w:rsid w:val="00F86523"/>
    <w:rsid w:val="00F867BB"/>
    <w:rsid w:val="00F86AF5"/>
    <w:rsid w:val="00F8711F"/>
    <w:rsid w:val="00F87E4D"/>
    <w:rsid w:val="00F9097F"/>
    <w:rsid w:val="00F917B1"/>
    <w:rsid w:val="00F94B7A"/>
    <w:rsid w:val="00F96789"/>
    <w:rsid w:val="00FA11C2"/>
    <w:rsid w:val="00FA2FF3"/>
    <w:rsid w:val="00FA5250"/>
    <w:rsid w:val="00FA5358"/>
    <w:rsid w:val="00FA5DE7"/>
    <w:rsid w:val="00FA60AB"/>
    <w:rsid w:val="00FA6B94"/>
    <w:rsid w:val="00FA7B91"/>
    <w:rsid w:val="00FB0697"/>
    <w:rsid w:val="00FB1176"/>
    <w:rsid w:val="00FB32D0"/>
    <w:rsid w:val="00FB4CD6"/>
    <w:rsid w:val="00FB577A"/>
    <w:rsid w:val="00FC0928"/>
    <w:rsid w:val="00FC137B"/>
    <w:rsid w:val="00FC1C93"/>
    <w:rsid w:val="00FC3EFF"/>
    <w:rsid w:val="00FC4412"/>
    <w:rsid w:val="00FC51C3"/>
    <w:rsid w:val="00FD137B"/>
    <w:rsid w:val="00FD1FBA"/>
    <w:rsid w:val="00FD331B"/>
    <w:rsid w:val="00FD3DE5"/>
    <w:rsid w:val="00FD6725"/>
    <w:rsid w:val="00FE0212"/>
    <w:rsid w:val="00FE0228"/>
    <w:rsid w:val="00FE0F7D"/>
    <w:rsid w:val="00FE1022"/>
    <w:rsid w:val="00FE119F"/>
    <w:rsid w:val="00FE1957"/>
    <w:rsid w:val="00FE3C94"/>
    <w:rsid w:val="00FE425E"/>
    <w:rsid w:val="00FE4F05"/>
    <w:rsid w:val="00FE7050"/>
    <w:rsid w:val="00FE7FE3"/>
    <w:rsid w:val="00FF05F6"/>
    <w:rsid w:val="00FF1635"/>
    <w:rsid w:val="00FF244D"/>
    <w:rsid w:val="00FF3867"/>
    <w:rsid w:val="00FF3E0B"/>
    <w:rsid w:val="00FF47F0"/>
    <w:rsid w:val="00FF732E"/>
    <w:rsid w:val="06C8848B"/>
    <w:rsid w:val="0A5E11C8"/>
    <w:rsid w:val="0E1C783F"/>
    <w:rsid w:val="0E4BCD4D"/>
    <w:rsid w:val="1145A0B1"/>
    <w:rsid w:val="160A5A36"/>
    <w:rsid w:val="1CB421EA"/>
    <w:rsid w:val="1CCB5209"/>
    <w:rsid w:val="2A541BE4"/>
    <w:rsid w:val="2C13D257"/>
    <w:rsid w:val="2FF7CEDC"/>
    <w:rsid w:val="2FFD59A2"/>
    <w:rsid w:val="343D570D"/>
    <w:rsid w:val="363E6A37"/>
    <w:rsid w:val="37FAC165"/>
    <w:rsid w:val="3B4BFAA9"/>
    <w:rsid w:val="42E96D55"/>
    <w:rsid w:val="445ECBF9"/>
    <w:rsid w:val="464683B5"/>
    <w:rsid w:val="482E3B71"/>
    <w:rsid w:val="49902997"/>
    <w:rsid w:val="520C9875"/>
    <w:rsid w:val="54946E54"/>
    <w:rsid w:val="55CA02CD"/>
    <w:rsid w:val="5A890753"/>
    <w:rsid w:val="5B17B908"/>
    <w:rsid w:val="5D993A39"/>
    <w:rsid w:val="607EBCA7"/>
    <w:rsid w:val="64F4A8B7"/>
    <w:rsid w:val="65391548"/>
    <w:rsid w:val="6567D6B7"/>
    <w:rsid w:val="65FD7CD9"/>
    <w:rsid w:val="685E6336"/>
    <w:rsid w:val="6C18B7A6"/>
    <w:rsid w:val="73F0549C"/>
    <w:rsid w:val="7448B189"/>
    <w:rsid w:val="7A18929B"/>
    <w:rsid w:val="7C6449A4"/>
    <w:rsid w:val="7DD7113C"/>
    <w:rsid w:val="7DE8FE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608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57B8"/>
    <w:pPr>
      <w:widowControl w:val="0"/>
      <w:autoSpaceDE w:val="0"/>
      <w:autoSpaceDN w:val="0"/>
      <w:adjustRightInd w:val="0"/>
    </w:pPr>
    <w:rPr>
      <w:sz w:val="24"/>
      <w:szCs w:val="24"/>
    </w:rPr>
  </w:style>
  <w:style w:type="paragraph" w:styleId="Heading1">
    <w:name w:val="heading 1"/>
    <w:basedOn w:val="Normal"/>
    <w:next w:val="Normal"/>
    <w:qFormat/>
    <w:rsid w:val="00ED20DE"/>
    <w:pPr>
      <w:keepNext/>
      <w:widowControl/>
      <w:autoSpaceDE/>
      <w:autoSpaceDN/>
      <w:adjustRightInd/>
      <w:outlineLvl w:val="0"/>
    </w:pPr>
    <w:rPr>
      <w:rFonts w:cs="Arial"/>
      <w:b/>
      <w:bCs/>
      <w:sz w:val="28"/>
      <w:u w:val="single"/>
    </w:rPr>
  </w:style>
  <w:style w:type="paragraph" w:styleId="Heading2">
    <w:name w:val="heading 2"/>
    <w:basedOn w:val="Normal"/>
    <w:next w:val="Normal"/>
    <w:qFormat/>
    <w:rsid w:val="007F6164"/>
    <w:pPr>
      <w:keepNext/>
      <w:widowControl/>
      <w:autoSpaceDE/>
      <w:autoSpaceDN/>
      <w:adjustRightInd/>
      <w:outlineLvl w:val="1"/>
    </w:pPr>
    <w:rPr>
      <w:rFonts w:cs="Arial"/>
      <w:b/>
      <w:bCs/>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link w:val="HTMLPreformattedChar"/>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customStyle="1" w:styleId="QuickFormat6">
    <w:name w:val="QuickFormat6"/>
    <w:basedOn w:val="Normal"/>
    <w:rsid w:val="008E327A"/>
    <w:rPr>
      <w:rFonts w:ascii="Courier" w:hAnsi="Courier"/>
      <w:color w:val="000000"/>
    </w:rPr>
  </w:style>
  <w:style w:type="paragraph" w:customStyle="1" w:styleId="gentext">
    <w:name w:val="gentext"/>
    <w:basedOn w:val="Normal"/>
    <w:rsid w:val="00D30FC9"/>
    <w:pPr>
      <w:widowControl/>
      <w:autoSpaceDE/>
      <w:autoSpaceDN/>
      <w:adjustRightInd/>
      <w:spacing w:before="100" w:beforeAutospacing="1" w:after="100" w:afterAutospacing="1"/>
    </w:pPr>
  </w:style>
  <w:style w:type="paragraph" w:styleId="BalloonText">
    <w:name w:val="Balloon Text"/>
    <w:basedOn w:val="Normal"/>
    <w:semiHidden/>
    <w:rsid w:val="00EF255C"/>
    <w:rPr>
      <w:rFonts w:ascii="Tahoma" w:hAnsi="Tahoma" w:cs="Tahoma"/>
      <w:sz w:val="16"/>
      <w:szCs w:val="16"/>
    </w:rPr>
  </w:style>
  <w:style w:type="paragraph" w:styleId="NormalWeb">
    <w:name w:val="Normal (Web)"/>
    <w:basedOn w:val="Normal"/>
    <w:uiPriority w:val="99"/>
    <w:unhideWhenUsed/>
    <w:rsid w:val="00226C38"/>
    <w:pPr>
      <w:widowControl/>
      <w:autoSpaceDE/>
      <w:autoSpaceDN/>
      <w:adjustRightInd/>
      <w:spacing w:after="180"/>
    </w:pPr>
  </w:style>
  <w:style w:type="character" w:customStyle="1" w:styleId="FooterChar">
    <w:name w:val="Footer Char"/>
    <w:link w:val="Footer"/>
    <w:uiPriority w:val="99"/>
    <w:rsid w:val="00015537"/>
    <w:rPr>
      <w:sz w:val="24"/>
      <w:szCs w:val="24"/>
    </w:rPr>
  </w:style>
  <w:style w:type="paragraph" w:customStyle="1" w:styleId="Body1">
    <w:name w:val="Body 1"/>
    <w:autoRedefine/>
    <w:rsid w:val="00600ACA"/>
    <w:pPr>
      <w:outlineLvl w:val="0"/>
    </w:pPr>
    <w:rPr>
      <w:rFonts w:eastAsia="Arial Unicode MS"/>
      <w:color w:val="000000"/>
      <w:u w:color="000000"/>
    </w:rPr>
  </w:style>
  <w:style w:type="character" w:styleId="CommentReference">
    <w:name w:val="annotation reference"/>
    <w:basedOn w:val="DefaultParagraphFont"/>
    <w:uiPriority w:val="99"/>
    <w:rsid w:val="00406874"/>
    <w:rPr>
      <w:sz w:val="16"/>
      <w:szCs w:val="16"/>
    </w:rPr>
  </w:style>
  <w:style w:type="paragraph" w:styleId="CommentText">
    <w:name w:val="annotation text"/>
    <w:basedOn w:val="Normal"/>
    <w:link w:val="CommentTextChar"/>
    <w:uiPriority w:val="99"/>
    <w:rsid w:val="00406874"/>
    <w:rPr>
      <w:sz w:val="20"/>
      <w:szCs w:val="20"/>
    </w:rPr>
  </w:style>
  <w:style w:type="character" w:customStyle="1" w:styleId="CommentTextChar">
    <w:name w:val="Comment Text Char"/>
    <w:basedOn w:val="DefaultParagraphFont"/>
    <w:link w:val="CommentText"/>
    <w:uiPriority w:val="99"/>
    <w:rsid w:val="00406874"/>
  </w:style>
  <w:style w:type="paragraph" w:styleId="CommentSubject">
    <w:name w:val="annotation subject"/>
    <w:basedOn w:val="CommentText"/>
    <w:next w:val="CommentText"/>
    <w:link w:val="CommentSubjectChar"/>
    <w:rsid w:val="00406874"/>
    <w:rPr>
      <w:b/>
      <w:bCs/>
    </w:rPr>
  </w:style>
  <w:style w:type="character" w:customStyle="1" w:styleId="CommentSubjectChar">
    <w:name w:val="Comment Subject Char"/>
    <w:basedOn w:val="CommentTextChar"/>
    <w:link w:val="CommentSubject"/>
    <w:rsid w:val="00406874"/>
    <w:rPr>
      <w:b/>
      <w:bCs/>
    </w:rPr>
  </w:style>
  <w:style w:type="paragraph" w:styleId="FootnoteText">
    <w:name w:val="footnote text"/>
    <w:basedOn w:val="Normal"/>
    <w:link w:val="FootnoteTextChar"/>
    <w:uiPriority w:val="99"/>
    <w:unhideWhenUsed/>
    <w:rsid w:val="001D25FD"/>
    <w:rPr>
      <w:sz w:val="20"/>
      <w:szCs w:val="20"/>
    </w:rPr>
  </w:style>
  <w:style w:type="character" w:customStyle="1" w:styleId="FootnoteTextChar">
    <w:name w:val="Footnote Text Char"/>
    <w:basedOn w:val="DefaultParagraphFont"/>
    <w:link w:val="FootnoteText"/>
    <w:uiPriority w:val="99"/>
    <w:rsid w:val="001D25FD"/>
  </w:style>
  <w:style w:type="character" w:customStyle="1" w:styleId="baec5a81-e4d6-4674-97f3-e9220f0136c1">
    <w:name w:val="baec5a81-e4d6-4674-97f3-e9220f0136c1"/>
    <w:basedOn w:val="DefaultParagraphFont"/>
    <w:rsid w:val="000451F6"/>
  </w:style>
  <w:style w:type="paragraph" w:styleId="ListParagraph">
    <w:name w:val="List Paragraph"/>
    <w:basedOn w:val="Normal"/>
    <w:uiPriority w:val="34"/>
    <w:qFormat/>
    <w:rsid w:val="00AD397D"/>
    <w:pPr>
      <w:ind w:left="720"/>
      <w:contextualSpacing/>
    </w:pPr>
  </w:style>
  <w:style w:type="table" w:styleId="TableGrid">
    <w:name w:val="Table Grid"/>
    <w:basedOn w:val="TableNormal"/>
    <w:rsid w:val="00CD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6EA"/>
    <w:rPr>
      <w:sz w:val="24"/>
      <w:szCs w:val="24"/>
    </w:rPr>
  </w:style>
  <w:style w:type="character" w:customStyle="1" w:styleId="HTMLPreformattedChar">
    <w:name w:val="HTML Preformatted Char"/>
    <w:basedOn w:val="DefaultParagraphFont"/>
    <w:link w:val="HTMLPreformatted"/>
    <w:rsid w:val="001C752E"/>
    <w:rPr>
      <w:rFonts w:ascii="Courier New" w:hAnsi="Courier New" w:cs="Courier New"/>
    </w:rPr>
  </w:style>
  <w:style w:type="paragraph" w:customStyle="1" w:styleId="Default">
    <w:name w:val="Default"/>
    <w:rsid w:val="005D66F1"/>
    <w:pPr>
      <w:autoSpaceDE w:val="0"/>
      <w:autoSpaceDN w:val="0"/>
      <w:adjustRightInd w:val="0"/>
    </w:pPr>
    <w:rPr>
      <w:rFonts w:ascii="Calibri" w:hAnsi="Calibri" w:eastAsiaTheme="minorHAnsi" w:cs="Calibri"/>
      <w:color w:val="000000"/>
      <w:sz w:val="24"/>
      <w:szCs w:val="24"/>
    </w:rPr>
  </w:style>
  <w:style w:type="paragraph" w:styleId="NoSpacing">
    <w:name w:val="No Spacing"/>
    <w:uiPriority w:val="1"/>
    <w:qFormat/>
    <w:rsid w:val="005D66F1"/>
    <w:pPr>
      <w:ind w:left="648" w:hanging="360"/>
    </w:pPr>
    <w:rPr>
      <w:rFonts w:asciiTheme="minorHAnsi" w:eastAsiaTheme="minorHAnsi" w:hAnsiTheme="minorHAnsi" w:cstheme="minorBidi"/>
      <w:sz w:val="22"/>
      <w:szCs w:val="22"/>
    </w:rPr>
  </w:style>
  <w:style w:type="paragraph" w:styleId="EndnoteText">
    <w:name w:val="endnote text"/>
    <w:basedOn w:val="Normal"/>
    <w:link w:val="EndnoteTextChar"/>
    <w:semiHidden/>
    <w:unhideWhenUsed/>
    <w:rsid w:val="002D457A"/>
    <w:rPr>
      <w:sz w:val="20"/>
      <w:szCs w:val="20"/>
    </w:rPr>
  </w:style>
  <w:style w:type="character" w:customStyle="1" w:styleId="EndnoteTextChar">
    <w:name w:val="Endnote Text Char"/>
    <w:basedOn w:val="DefaultParagraphFont"/>
    <w:link w:val="EndnoteText"/>
    <w:semiHidden/>
    <w:rsid w:val="002D457A"/>
  </w:style>
  <w:style w:type="character" w:styleId="EndnoteReference">
    <w:name w:val="endnote reference"/>
    <w:basedOn w:val="DefaultParagraphFont"/>
    <w:semiHidden/>
    <w:unhideWhenUsed/>
    <w:rsid w:val="002D457A"/>
    <w:rPr>
      <w:vertAlign w:val="superscript"/>
    </w:rPr>
  </w:style>
  <w:style w:type="character" w:styleId="FollowedHyperlink">
    <w:name w:val="FollowedHyperlink"/>
    <w:basedOn w:val="DefaultParagraphFont"/>
    <w:semiHidden/>
    <w:unhideWhenUsed/>
    <w:rsid w:val="002D457A"/>
    <w:rPr>
      <w:color w:val="800080" w:themeColor="followedHyperlink"/>
      <w:u w:val="single"/>
    </w:rPr>
  </w:style>
  <w:style w:type="character" w:customStyle="1" w:styleId="Heading4Char">
    <w:name w:val="Heading 4 Char"/>
    <w:basedOn w:val="DefaultParagraphFont"/>
    <w:link w:val="Heading4"/>
    <w:rsid w:val="002D457A"/>
    <w:rPr>
      <w:sz w:val="28"/>
      <w:szCs w:val="28"/>
    </w:rPr>
  </w:style>
  <w:style w:type="character" w:styleId="Emphasis">
    <w:name w:val="Emphasis"/>
    <w:basedOn w:val="DefaultParagraphFont"/>
    <w:qFormat/>
    <w:rsid w:val="008857B8"/>
    <w:rPr>
      <w:i/>
      <w:iCs/>
    </w:rPr>
  </w:style>
  <w:style w:type="character" w:customStyle="1" w:styleId="normaltextrun">
    <w:name w:val="normaltextrun"/>
    <w:basedOn w:val="DefaultParagraphFont"/>
    <w:rsid w:val="00092885"/>
  </w:style>
  <w:style w:type="paragraph" w:styleId="TOCHeading">
    <w:name w:val="TOC Heading"/>
    <w:basedOn w:val="Heading1"/>
    <w:next w:val="Normal"/>
    <w:uiPriority w:val="39"/>
    <w:unhideWhenUsed/>
    <w:qFormat/>
    <w:rsid w:val="00E06677"/>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E06677"/>
    <w:pPr>
      <w:spacing w:after="100"/>
    </w:pPr>
  </w:style>
  <w:style w:type="paragraph" w:styleId="TOC2">
    <w:name w:val="toc 2"/>
    <w:basedOn w:val="Normal"/>
    <w:next w:val="Normal"/>
    <w:autoRedefine/>
    <w:uiPriority w:val="39"/>
    <w:unhideWhenUsed/>
    <w:rsid w:val="00A23E26"/>
    <w:pPr>
      <w:tabs>
        <w:tab w:val="left" w:pos="900"/>
        <w:tab w:val="right" w:leader="dot" w:pos="9350"/>
      </w:tabs>
      <w:ind w:left="240"/>
    </w:pPr>
  </w:style>
  <w:style w:type="paragraph" w:styleId="Caption">
    <w:name w:val="caption"/>
    <w:basedOn w:val="Normal"/>
    <w:next w:val="Normal"/>
    <w:unhideWhenUsed/>
    <w:qFormat/>
    <w:rsid w:val="00B74827"/>
    <w:pPr>
      <w:spacing w:after="200"/>
    </w:pPr>
    <w:rPr>
      <w:b/>
      <w:iCs/>
      <w:color w:val="000000" w:themeColor="text1"/>
      <w:szCs w:val="18"/>
      <w:u w:val="single"/>
    </w:rPr>
  </w:style>
  <w:style w:type="paragraph" w:styleId="TableofFigures">
    <w:name w:val="table of figures"/>
    <w:basedOn w:val="Normal"/>
    <w:next w:val="Normal"/>
    <w:uiPriority w:val="99"/>
    <w:unhideWhenUsed/>
    <w:rsid w:val="003451FD"/>
  </w:style>
  <w:style w:type="paragraph" w:customStyle="1" w:styleId="listparagraph0">
    <w:name w:val="listparagraph"/>
    <w:basedOn w:val="Normal"/>
    <w:rsid w:val="0038367D"/>
    <w:pPr>
      <w:widowControl/>
      <w:autoSpaceDE/>
      <w:autoSpaceDN/>
      <w:adjustRightInd/>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ncbddd/developmentaldisabilities/facts-about-intellectual-disability.html" TargetMode="External" /><Relationship Id="rId2" Type="http://schemas.openxmlformats.org/officeDocument/2006/relationships/hyperlink" Target="https://www.cdc.gov/ncbddd/developmentaldisabilities/" TargetMode="External" /><Relationship Id="rId3" Type="http://schemas.openxmlformats.org/officeDocument/2006/relationships/hyperlink" Target="https://www.washingtongroup-disability.com/question-sets/wg-short-set-on-functioning-wg-ss/" TargetMode="External" /><Relationship Id="rId4" Type="http://schemas.openxmlformats.org/officeDocument/2006/relationships/hyperlink" Target="https://www.cdc.gov/ncbddd/autism/index.html" TargetMode="External" /><Relationship Id="rId5" Type="http://schemas.openxmlformats.org/officeDocument/2006/relationships/hyperlink" Target="https://www.cdc.gov/ncbddd/cp/facts.html" TargetMode="External" /><Relationship Id="rId6" Type="http://schemas.openxmlformats.org/officeDocument/2006/relationships/hyperlink" Target="https://journals.plos.org/plosone/article?id=10.1371/journal.pone.0124120" TargetMode="External" /><Relationship Id="rId7" Type="http://schemas.openxmlformats.org/officeDocument/2006/relationships/hyperlink" Target="https://www.specialolympics.org/" TargetMode="External" /><Relationship Id="rId8" Type="http://schemas.openxmlformats.org/officeDocument/2006/relationships/hyperlink" Target="https://www.aaidd.org/docs/default-source/sis-docs/sisguidelinesforinterviewing.pdf?sfvrsn&amp;hx003D;6ea53f4f_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B8300-88F3-46D3-BDE4-A863F6D9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2885</Words>
  <Characters>16449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2024-03-05T18:54:00Z</dcterms:created>
  <dcterms:modified xsi:type="dcterms:W3CDTF">2024-03-05T23:44:00Z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0de37e87-5565-4b92-884b-d0de4acf8146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2021-01-06T16:52:53Z</vt:lpwstr>
  </property>
  <property fmtid="{D5CDD505-2E9C-101B-9397-08002B2CF9AE}" pid="8" name="MSIP_Label_7b94a7b8-f06c-4dfe-bdcc-9b548fd58c31_SiteId">
    <vt:lpwstr>9ce70869-60db-44fd-abe8-d2767077fc8f</vt:lpwstr>
  </property>
</Properties>
</file>