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C7BAA" w:rsidRPr="00B211A0" w:rsidP="002C7BAA" w14:paraId="539B17CE" w14:textId="3A3A07EB">
      <w:pPr>
        <w:jc w:val="center"/>
        <w:rPr>
          <w:b/>
          <w:sz w:val="24"/>
          <w:szCs w:val="24"/>
        </w:rPr>
      </w:pPr>
      <w:r w:rsidRPr="00B211A0">
        <w:rPr>
          <w:b/>
          <w:sz w:val="24"/>
          <w:szCs w:val="24"/>
        </w:rPr>
        <w:t>Attachment</w:t>
      </w:r>
      <w:r w:rsidR="00895EE0">
        <w:rPr>
          <w:b/>
          <w:sz w:val="24"/>
          <w:szCs w:val="24"/>
        </w:rPr>
        <w:t xml:space="preserve"> </w:t>
      </w:r>
      <w:r w:rsidR="00115858">
        <w:rPr>
          <w:b/>
          <w:sz w:val="24"/>
          <w:szCs w:val="24"/>
        </w:rPr>
        <w:t>I</w:t>
      </w:r>
      <w:r>
        <w:rPr>
          <w:b/>
          <w:sz w:val="24"/>
          <w:szCs w:val="24"/>
        </w:rPr>
        <w:t>: Data Retrieval Call</w:t>
      </w:r>
    </w:p>
    <w:p w:rsidR="004E27AC" w14:paraId="7FED08F5" w14:textId="77777777"/>
    <w:p w:rsidR="002C7BAA" w14:paraId="437D9803" w14:textId="77777777"/>
    <w:p w:rsidR="002C7BAA" w:rsidRPr="007B14E9" w:rsidP="002C7BAA" w14:paraId="443D926B" w14:textId="77777777">
      <w:pPr>
        <w:jc w:val="right"/>
        <w:rPr>
          <w:sz w:val="18"/>
          <w:szCs w:val="18"/>
        </w:rPr>
      </w:pPr>
      <w:r w:rsidRPr="007B14E9">
        <w:rPr>
          <w:sz w:val="18"/>
          <w:szCs w:val="18"/>
        </w:rPr>
        <w:t xml:space="preserve">Form Approved </w:t>
      </w:r>
    </w:p>
    <w:p w:rsidR="002C7BAA" w:rsidRPr="007B14E9" w:rsidP="002C7BAA" w14:paraId="0926D8DC" w14:textId="08D67BCA">
      <w:pPr>
        <w:jc w:val="right"/>
        <w:rPr>
          <w:sz w:val="18"/>
          <w:szCs w:val="18"/>
        </w:rPr>
      </w:pPr>
      <w:r w:rsidRPr="007B14E9">
        <w:rPr>
          <w:sz w:val="18"/>
          <w:szCs w:val="18"/>
        </w:rPr>
        <w:t xml:space="preserve">OMB No. </w:t>
      </w:r>
      <w:r w:rsidRPr="006D3B0C" w:rsidR="006D3B0C">
        <w:rPr>
          <w:sz w:val="18"/>
          <w:szCs w:val="18"/>
        </w:rPr>
        <w:t>0920-0943</w:t>
      </w:r>
    </w:p>
    <w:p w:rsidR="002C7BAA" w:rsidRPr="007B14E9" w:rsidP="002C7BAA" w14:paraId="325A1610" w14:textId="77777777">
      <w:pPr>
        <w:jc w:val="right"/>
        <w:rPr>
          <w:sz w:val="18"/>
          <w:szCs w:val="18"/>
        </w:rPr>
      </w:pPr>
      <w:r w:rsidRPr="007B14E9">
        <w:rPr>
          <w:sz w:val="18"/>
          <w:szCs w:val="18"/>
        </w:rPr>
        <w:t>Exp. Date __xx/xx/20xx</w:t>
      </w:r>
    </w:p>
    <w:tbl>
      <w:tblPr>
        <w:tblW w:w="9540" w:type="dxa"/>
        <w:tblInd w:w="108" w:type="dxa"/>
        <w:tblLayout w:type="fixed"/>
        <w:tblLook w:val="01E0"/>
      </w:tblPr>
      <w:tblGrid>
        <w:gridCol w:w="9540"/>
      </w:tblGrid>
      <w:tr w14:paraId="4B071D16" w14:textId="77777777" w:rsidTr="00042218">
        <w:tblPrEx>
          <w:tblW w:w="9540" w:type="dxa"/>
          <w:tblInd w:w="108" w:type="dxa"/>
          <w:tblLayout w:type="fixed"/>
          <w:tblLook w:val="01E0"/>
        </w:tblPrEx>
        <w:trPr>
          <w:trHeight w:val="3140"/>
        </w:trPr>
        <w:tc>
          <w:tcPr>
            <w:tcW w:w="9540" w:type="dxa"/>
            <w:tcBorders>
              <w:top w:val="single" w:sz="4" w:space="0" w:color="auto"/>
              <w:left w:val="single" w:sz="4" w:space="0" w:color="auto"/>
              <w:bottom w:val="single" w:sz="4" w:space="0" w:color="auto"/>
              <w:right w:val="single" w:sz="4" w:space="0" w:color="auto"/>
            </w:tcBorders>
          </w:tcPr>
          <w:p w:rsidR="00AA08CD" w:rsidP="00AA08CD" w14:paraId="2558D472" w14:textId="46FFC5A9">
            <w:r>
              <w:t xml:space="preserve">Notice – </w:t>
            </w:r>
            <w:r w:rsidRPr="001230A5" w:rsidR="001230A5">
              <w:t xml:space="preserve">Public reporting burden of this collection of information is estimated to average </w:t>
            </w:r>
            <w:r w:rsidR="001230A5">
              <w:t>5</w:t>
            </w:r>
            <w:r w:rsidRPr="001230A5" w:rsidR="001230A5">
              <w:t xml:space="preserve"> minutes per response, including the time for reviewing instructions, searching existing data sources, </w:t>
            </w:r>
            <w:r w:rsidRPr="001230A5" w:rsidR="001230A5">
              <w:t>gathering</w:t>
            </w:r>
            <w:r w:rsidRPr="001230A5" w:rsidR="001230A5">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H21-8, Atlanta, GA 30333, ATTN: PRA (0920-XXXX).</w:t>
            </w:r>
          </w:p>
          <w:p w:rsidR="00AA08CD" w:rsidP="00AA08CD" w14:paraId="5BDAEAA3" w14:textId="77777777"/>
          <w:p w:rsidR="002C7BAA" w:rsidRPr="00D85385" w:rsidP="00AA08CD" w14:paraId="14137F4B" w14:textId="461397BA">
            <w:pPr>
              <w:rPr>
                <w:rFonts w:ascii="Arial" w:hAnsi="Arial" w:cs="Arial"/>
                <w:sz w:val="8"/>
                <w:szCs w:val="8"/>
              </w:rPr>
            </w:pPr>
            <w:r>
              <w:t xml:space="preserve">Assurance of Confidentiality – </w:t>
            </w:r>
            <w:r w:rsidRPr="001230A5" w:rsidR="001230A5">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or CIPSEA (44 U.S.C. 3561-3583).  In accordance with CIPSEA, every NCHS employee, contractor, and agent has taken an oath and is subject to a jail term of up to five years, a fine of up to $250,000, or both if he </w:t>
            </w:r>
            <w:r w:rsidRPr="001230A5" w:rsidR="001230A5">
              <w:t>or</w:t>
            </w:r>
            <w:r w:rsidRPr="001230A5" w:rsidR="001230A5">
              <w:t xml:space="preserve">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tc>
      </w:tr>
    </w:tbl>
    <w:p w:rsidR="002C7BAA" w14:paraId="6AF3C1B6" w14:textId="77777777"/>
    <w:p w:rsidR="002C7BAA" w14:paraId="245B5276" w14:textId="77777777"/>
    <w:p w:rsidR="00BD1B39" w:rsidP="00BD1B39" w14:paraId="5E774FB5" w14:textId="77777777">
      <w:pPr>
        <w:rPr>
          <w:sz w:val="24"/>
          <w:szCs w:val="24"/>
        </w:rPr>
      </w:pPr>
      <w:r w:rsidRPr="00BC6FBB">
        <w:rPr>
          <w:sz w:val="24"/>
          <w:szCs w:val="24"/>
        </w:rPr>
        <w:t xml:space="preserve">There </w:t>
      </w:r>
      <w:r>
        <w:rPr>
          <w:sz w:val="24"/>
          <w:szCs w:val="24"/>
        </w:rPr>
        <w:t xml:space="preserve">will </w:t>
      </w:r>
      <w:r w:rsidRPr="00BC6FBB">
        <w:rPr>
          <w:sz w:val="24"/>
          <w:szCs w:val="24"/>
        </w:rPr>
        <w:t>be data retrieval calls to RC</w:t>
      </w:r>
      <w:r w:rsidR="005B5FBC">
        <w:rPr>
          <w:sz w:val="24"/>
          <w:szCs w:val="24"/>
        </w:rPr>
        <w:t>C</w:t>
      </w:r>
      <w:r w:rsidRPr="00BC6FBB">
        <w:rPr>
          <w:sz w:val="24"/>
          <w:szCs w:val="24"/>
        </w:rPr>
        <w:t xml:space="preserve"> and A</w:t>
      </w:r>
      <w:r>
        <w:rPr>
          <w:sz w:val="24"/>
          <w:szCs w:val="24"/>
        </w:rPr>
        <w:t xml:space="preserve">DSC directors when </w:t>
      </w:r>
      <w:r w:rsidR="00F5551E">
        <w:rPr>
          <w:sz w:val="24"/>
          <w:szCs w:val="24"/>
        </w:rPr>
        <w:t xml:space="preserve">after receiving the </w:t>
      </w:r>
      <w:r w:rsidR="00BF53F6">
        <w:rPr>
          <w:sz w:val="24"/>
          <w:szCs w:val="24"/>
        </w:rPr>
        <w:t xml:space="preserve">submitted hardcopy mail </w:t>
      </w:r>
      <w:r w:rsidR="00F5551E">
        <w:rPr>
          <w:sz w:val="24"/>
          <w:szCs w:val="24"/>
        </w:rPr>
        <w:t xml:space="preserve">questionnaires </w:t>
      </w:r>
      <w:r>
        <w:rPr>
          <w:sz w:val="24"/>
          <w:szCs w:val="24"/>
        </w:rPr>
        <w:t xml:space="preserve">there is missing information for </w:t>
      </w:r>
      <w:r w:rsidR="00E26DF2">
        <w:rPr>
          <w:sz w:val="24"/>
          <w:szCs w:val="24"/>
        </w:rPr>
        <w:t>critical items, such as</w:t>
      </w:r>
      <w:r w:rsidR="00F54E5E">
        <w:rPr>
          <w:sz w:val="24"/>
          <w:szCs w:val="24"/>
        </w:rPr>
        <w:t xml:space="preserve"> average daily attendance</w:t>
      </w:r>
      <w:r w:rsidRPr="00C01366" w:rsidR="00F54E5E">
        <w:rPr>
          <w:sz w:val="24"/>
          <w:szCs w:val="24"/>
        </w:rPr>
        <w:t xml:space="preserve"> (ADSC only)</w:t>
      </w:r>
      <w:r w:rsidR="00F54E5E">
        <w:rPr>
          <w:sz w:val="24"/>
          <w:szCs w:val="24"/>
        </w:rPr>
        <w:t>, number of l</w:t>
      </w:r>
      <w:r w:rsidRPr="00C01366" w:rsidR="00F54E5E">
        <w:rPr>
          <w:sz w:val="24"/>
          <w:szCs w:val="24"/>
        </w:rPr>
        <w:t>icensed beds (RCC only)</w:t>
      </w:r>
      <w:r w:rsidR="00F54E5E">
        <w:rPr>
          <w:sz w:val="24"/>
          <w:szCs w:val="24"/>
        </w:rPr>
        <w:t>, and c</w:t>
      </w:r>
      <w:r w:rsidRPr="00C01366" w:rsidR="00F54E5E">
        <w:rPr>
          <w:sz w:val="24"/>
          <w:szCs w:val="24"/>
        </w:rPr>
        <w:t>urrent enrollment/residents</w:t>
      </w:r>
      <w:r w:rsidR="00F54E5E">
        <w:rPr>
          <w:sz w:val="24"/>
          <w:szCs w:val="24"/>
        </w:rPr>
        <w:t>.</w:t>
      </w:r>
    </w:p>
    <w:p w:rsidR="00BD1B39" w:rsidP="00BD1B39" w14:paraId="2239C09A" w14:textId="77777777">
      <w:pPr>
        <w:rPr>
          <w:sz w:val="24"/>
          <w:szCs w:val="24"/>
        </w:rPr>
      </w:pPr>
    </w:p>
    <w:p w:rsidR="00BD1B39" w:rsidP="00BD1B39" w14:paraId="1C9E925D" w14:textId="77777777">
      <w:pPr>
        <w:rPr>
          <w:sz w:val="24"/>
          <w:szCs w:val="24"/>
        </w:rPr>
      </w:pPr>
      <w:r w:rsidRPr="000806B7">
        <w:rPr>
          <w:sz w:val="24"/>
          <w:szCs w:val="24"/>
        </w:rPr>
        <w:t xml:space="preserve">In terms of respondent burden, we have assumed that the respondent will spend </w:t>
      </w:r>
      <w:r w:rsidR="004E70DA">
        <w:rPr>
          <w:sz w:val="24"/>
          <w:szCs w:val="24"/>
        </w:rPr>
        <w:t xml:space="preserve">on average </w:t>
      </w:r>
      <w:r w:rsidR="00F54E5E">
        <w:rPr>
          <w:sz w:val="24"/>
          <w:szCs w:val="24"/>
        </w:rPr>
        <w:t xml:space="preserve">5 </w:t>
      </w:r>
      <w:r w:rsidRPr="000806B7">
        <w:rPr>
          <w:sz w:val="24"/>
          <w:szCs w:val="24"/>
        </w:rPr>
        <w:t xml:space="preserve">minutes on the phone during the retrieval call, and that no more than </w:t>
      </w:r>
      <w:r w:rsidR="00F54E5E">
        <w:rPr>
          <w:sz w:val="24"/>
          <w:szCs w:val="24"/>
        </w:rPr>
        <w:t>5</w:t>
      </w:r>
      <w:r w:rsidRPr="000806B7">
        <w:rPr>
          <w:sz w:val="24"/>
          <w:szCs w:val="24"/>
        </w:rPr>
        <w:t>% of case</w:t>
      </w:r>
      <w:r>
        <w:rPr>
          <w:sz w:val="24"/>
          <w:szCs w:val="24"/>
        </w:rPr>
        <w:t>s</w:t>
      </w:r>
      <w:r w:rsidRPr="000806B7">
        <w:rPr>
          <w:sz w:val="24"/>
          <w:szCs w:val="24"/>
        </w:rPr>
        <w:t xml:space="preserve"> will require retrieval.</w:t>
      </w:r>
      <w:r>
        <w:rPr>
          <w:sz w:val="24"/>
          <w:szCs w:val="24"/>
        </w:rPr>
        <w:t xml:space="preserve">  </w:t>
      </w:r>
    </w:p>
    <w:p w:rsidR="002C7BAA" w14:paraId="0A61B907"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BAA"/>
    <w:rsid w:val="00054D64"/>
    <w:rsid w:val="000806B7"/>
    <w:rsid w:val="00115858"/>
    <w:rsid w:val="001230A5"/>
    <w:rsid w:val="001B7D60"/>
    <w:rsid w:val="002C7BAA"/>
    <w:rsid w:val="004A25C3"/>
    <w:rsid w:val="004E27AC"/>
    <w:rsid w:val="004E70DA"/>
    <w:rsid w:val="005B5FBC"/>
    <w:rsid w:val="006D3B0C"/>
    <w:rsid w:val="007B14E9"/>
    <w:rsid w:val="007E381F"/>
    <w:rsid w:val="00895EE0"/>
    <w:rsid w:val="009349A0"/>
    <w:rsid w:val="00A16A84"/>
    <w:rsid w:val="00A503B1"/>
    <w:rsid w:val="00A704D2"/>
    <w:rsid w:val="00AA08CD"/>
    <w:rsid w:val="00B211A0"/>
    <w:rsid w:val="00BC6FBB"/>
    <w:rsid w:val="00BD1B39"/>
    <w:rsid w:val="00BF53F6"/>
    <w:rsid w:val="00C01366"/>
    <w:rsid w:val="00C15AEE"/>
    <w:rsid w:val="00D20FD8"/>
    <w:rsid w:val="00D8146F"/>
    <w:rsid w:val="00D85385"/>
    <w:rsid w:val="00E26DF2"/>
    <w:rsid w:val="00F54E5E"/>
    <w:rsid w:val="00F5551E"/>
    <w:rsid w:val="00FE28F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9BFE50"/>
  <w15:docId w15:val="{955AB87E-7C5D-4EF5-AFC4-86511AFF1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7BA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BD1B39"/>
  </w:style>
  <w:style w:type="character" w:customStyle="1" w:styleId="CommentTextChar">
    <w:name w:val="Comment Text Char"/>
    <w:basedOn w:val="DefaultParagraphFont"/>
    <w:link w:val="CommentText"/>
    <w:semiHidden/>
    <w:rsid w:val="00BD1B39"/>
    <w:rPr>
      <w:rFonts w:ascii="Times New Roman" w:eastAsia="Times New Roman" w:hAnsi="Times New Roman" w:cs="Times New Roman"/>
      <w:sz w:val="20"/>
      <w:szCs w:val="20"/>
    </w:rPr>
  </w:style>
  <w:style w:type="character" w:styleId="CommentReference">
    <w:name w:val="annotation reference"/>
    <w:uiPriority w:val="99"/>
    <w:rsid w:val="00BD1B39"/>
    <w:rPr>
      <w:sz w:val="16"/>
      <w:szCs w:val="16"/>
    </w:rPr>
  </w:style>
  <w:style w:type="paragraph" w:styleId="BalloonText">
    <w:name w:val="Balloon Text"/>
    <w:basedOn w:val="Normal"/>
    <w:link w:val="BalloonTextChar"/>
    <w:uiPriority w:val="99"/>
    <w:semiHidden/>
    <w:unhideWhenUsed/>
    <w:rsid w:val="00BD1B39"/>
    <w:rPr>
      <w:rFonts w:ascii="Tahoma" w:hAnsi="Tahoma" w:cs="Tahoma"/>
      <w:sz w:val="16"/>
      <w:szCs w:val="16"/>
    </w:rPr>
  </w:style>
  <w:style w:type="character" w:customStyle="1" w:styleId="BalloonTextChar">
    <w:name w:val="Balloon Text Char"/>
    <w:basedOn w:val="DefaultParagraphFont"/>
    <w:link w:val="BalloonText"/>
    <w:uiPriority w:val="99"/>
    <w:semiHidden/>
    <w:rsid w:val="00BD1B3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dc:creator>
  <cp:lastModifiedBy>Caffrey, Christine (CDC/IOD/OPHDST/NCHS)</cp:lastModifiedBy>
  <cp:revision>11</cp:revision>
  <cp:lastPrinted>2012-03-02T17:27:00Z</cp:lastPrinted>
  <dcterms:created xsi:type="dcterms:W3CDTF">2020-01-28T15:22:00Z</dcterms:created>
  <dcterms:modified xsi:type="dcterms:W3CDTF">2024-03-08T18:59:00Z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c304c84e-9508-45fa-9b30-244510b93f50</vt:lpwstr>
  </property>
  <property fmtid="{D5CDD505-2E9C-101B-9397-08002B2CF9AE}" pid="3" name="MSIP_Label_7b94a7b8-f06c-4dfe-bdcc-9b548fd58c31_Application">
    <vt:lpwstr>Microsoft Azure Information Protection</vt:lpwstr>
  </property>
  <property fmtid="{D5CDD505-2E9C-101B-9397-08002B2CF9AE}" pid="4" name="MSIP_Label_7b94a7b8-f06c-4dfe-bdcc-9b548fd58c31_Enabled">
    <vt:lpwstr>True</vt:lpwstr>
  </property>
  <property fmtid="{D5CDD505-2E9C-101B-9397-08002B2CF9AE}" pid="5" name="MSIP_Label_7b94a7b8-f06c-4dfe-bdcc-9b548fd58c31_Extended_MSFT_Method">
    <vt:lpwstr>Manual</vt:lpwstr>
  </property>
  <property fmtid="{D5CDD505-2E9C-101B-9397-08002B2CF9AE}" pid="6" name="MSIP_Label_7b94a7b8-f06c-4dfe-bdcc-9b548fd58c31_Name">
    <vt:lpwstr>General</vt:lpwstr>
  </property>
  <property fmtid="{D5CDD505-2E9C-101B-9397-08002B2CF9AE}" pid="7" name="MSIP_Label_7b94a7b8-f06c-4dfe-bdcc-9b548fd58c31_Owner">
    <vt:lpwstr>gwo9@cdc.gov</vt:lpwstr>
  </property>
  <property fmtid="{D5CDD505-2E9C-101B-9397-08002B2CF9AE}" pid="8" name="MSIP_Label_7b94a7b8-f06c-4dfe-bdcc-9b548fd58c31_SetDate">
    <vt:lpwstr>2020-07-09T18:07:18.3285169Z</vt:lpwstr>
  </property>
  <property fmtid="{D5CDD505-2E9C-101B-9397-08002B2CF9AE}" pid="9" name="MSIP_Label_7b94a7b8-f06c-4dfe-bdcc-9b548fd58c31_SiteId">
    <vt:lpwstr>9ce70869-60db-44fd-abe8-d2767077fc8f</vt:lpwstr>
  </property>
  <property fmtid="{D5CDD505-2E9C-101B-9397-08002B2CF9AE}" pid="10" name="Sensitivity">
    <vt:lpwstr>General</vt:lpwstr>
  </property>
</Properties>
</file>