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904" w:rsidP="00E95904" w14:paraId="3E4DCD78" w14:textId="77777777">
      <w:pPr>
        <w:jc w:val="center"/>
        <w:rPr>
          <w:b/>
          <w:bCs/>
          <w:sz w:val="24"/>
          <w:szCs w:val="24"/>
        </w:rPr>
      </w:pPr>
    </w:p>
    <w:p w:rsidR="00E95904" w:rsidP="00E95904" w14:paraId="5524A39A" w14:textId="1F8EF114">
      <w:pPr>
        <w:jc w:val="center"/>
        <w:rPr>
          <w:b/>
          <w:bCs/>
          <w:sz w:val="24"/>
          <w:szCs w:val="24"/>
        </w:rPr>
      </w:pPr>
      <w:r>
        <w:rPr>
          <w:b/>
          <w:bCs/>
          <w:sz w:val="24"/>
          <w:szCs w:val="24"/>
        </w:rPr>
        <w:t>Change Request</w:t>
      </w:r>
    </w:p>
    <w:p w:rsidR="00E95904" w:rsidRPr="00E15920" w:rsidP="00E95904" w14:paraId="3A068F55" w14:textId="49D03F99">
      <w:pPr>
        <w:spacing w:after="0" w:line="240" w:lineRule="auto"/>
        <w:jc w:val="center"/>
        <w:rPr>
          <w:b/>
          <w:bCs/>
          <w:sz w:val="24"/>
          <w:szCs w:val="24"/>
        </w:rPr>
      </w:pPr>
      <w:r w:rsidRPr="00E15920">
        <w:rPr>
          <w:b/>
          <w:bCs/>
          <w:sz w:val="24"/>
          <w:szCs w:val="24"/>
        </w:rPr>
        <w:t>DEPARTMENT OF HEALTH AND HUMAN SERVICES</w:t>
      </w:r>
    </w:p>
    <w:p w:rsidR="00E95904" w:rsidP="00911FE6" w14:paraId="28B58812" w14:textId="77777777">
      <w:pPr>
        <w:spacing w:after="0" w:line="240" w:lineRule="auto"/>
        <w:jc w:val="center"/>
        <w:rPr>
          <w:b/>
          <w:bCs/>
          <w:sz w:val="24"/>
          <w:szCs w:val="24"/>
        </w:rPr>
      </w:pPr>
      <w:r w:rsidRPr="00E15920">
        <w:rPr>
          <w:b/>
          <w:bCs/>
          <w:sz w:val="24"/>
          <w:szCs w:val="24"/>
        </w:rPr>
        <w:t>Centers for Disease Control and Prevention</w:t>
      </w:r>
    </w:p>
    <w:p w:rsidR="00911FE6" w:rsidRPr="00E15920" w:rsidP="00911FE6" w14:paraId="1B4F4A83" w14:textId="77777777">
      <w:pPr>
        <w:spacing w:after="0" w:line="240" w:lineRule="auto"/>
        <w:jc w:val="center"/>
        <w:rPr>
          <w:b/>
          <w:bCs/>
          <w:sz w:val="24"/>
          <w:szCs w:val="24"/>
        </w:rPr>
      </w:pPr>
    </w:p>
    <w:p w:rsidR="00E95904" w:rsidP="00E95904" w14:paraId="5731EC5C" w14:textId="22AAFECE">
      <w:pPr>
        <w:jc w:val="center"/>
      </w:pPr>
      <w:r>
        <w:t>Pregnancy Risk Assessment Monitoring System</w:t>
      </w:r>
      <w:r w:rsidR="555719D4">
        <w:t xml:space="preserve"> (PRAMS)</w:t>
      </w:r>
    </w:p>
    <w:p w:rsidR="00E95904" w:rsidP="00E95904" w14:paraId="4F69C7BB" w14:textId="5E34726E">
      <w:pPr>
        <w:spacing w:after="0" w:line="240" w:lineRule="auto"/>
        <w:jc w:val="center"/>
      </w:pPr>
      <w:r>
        <w:t>(</w:t>
      </w:r>
      <w:r>
        <w:t>OMB Control No. 0920-1273</w:t>
      </w:r>
      <w:r w:rsidR="4A967ADF">
        <w:t>,</w:t>
      </w:r>
      <w:r w:rsidR="7AE4BA4A">
        <w:t xml:space="preserve"> </w:t>
      </w:r>
      <w:r>
        <w:t>Expiration Date: 03/31/2026</w:t>
      </w:r>
      <w:r w:rsidR="6E2B3750">
        <w:t>)</w:t>
      </w:r>
    </w:p>
    <w:p w:rsidR="00E95904" w:rsidP="00E95904" w14:paraId="282043CD" w14:textId="77777777">
      <w:pPr>
        <w:jc w:val="center"/>
      </w:pPr>
    </w:p>
    <w:p w:rsidR="00E95904" w:rsidRPr="00E15920" w:rsidP="00E95904" w14:paraId="78D5D467" w14:textId="77777777">
      <w:pPr>
        <w:jc w:val="center"/>
        <w:rPr>
          <w:b/>
          <w:bCs/>
        </w:rPr>
      </w:pPr>
      <w:r w:rsidRPr="00E15920">
        <w:rPr>
          <w:b/>
          <w:bCs/>
        </w:rPr>
        <w:t>JUSTIFICATION MEMORANDUM FOR NON-SUBSTANTIVE CHANGE REQUEST</w:t>
      </w:r>
    </w:p>
    <w:p w:rsidR="00E95904" w:rsidP="00E95904" w14:paraId="3E4277D1" w14:textId="77777777"/>
    <w:p w:rsidR="00E95904" w:rsidRPr="00E95904" w:rsidP="00E95904" w14:paraId="03F97ED7" w14:textId="51D6CBBD">
      <w:pPr>
        <w:rPr>
          <w:b/>
          <w:bCs/>
        </w:rPr>
      </w:pPr>
      <w:r w:rsidRPr="00E95904">
        <w:rPr>
          <w:b/>
          <w:bCs/>
        </w:rPr>
        <w:t>Summary</w:t>
      </w:r>
    </w:p>
    <w:p w:rsidR="00E95904" w:rsidP="00E95904" w14:paraId="16FB6545" w14:textId="6F015DF3">
      <w:r>
        <w:t xml:space="preserve">We </w:t>
      </w:r>
      <w:r>
        <w:t xml:space="preserve">request a non-substantive change to OMB control number 0920-1273 to </w:t>
      </w:r>
      <w:r w:rsidR="00985023">
        <w:t xml:space="preserve">1) </w:t>
      </w:r>
      <w:r>
        <w:t xml:space="preserve">remove the current response threshold requirement so all jurisdiction data are available for release to </w:t>
      </w:r>
      <w:r w:rsidR="009D57C7">
        <w:t xml:space="preserve">internal and </w:t>
      </w:r>
      <w:r>
        <w:t>external researchers</w:t>
      </w:r>
      <w:r w:rsidR="000066F5">
        <w:t xml:space="preserve"> and </w:t>
      </w:r>
      <w:r w:rsidR="00985023">
        <w:t xml:space="preserve">2) </w:t>
      </w:r>
      <w:r w:rsidR="00DB122D">
        <w:t xml:space="preserve">change </w:t>
      </w:r>
      <w:r w:rsidR="000066F5">
        <w:t xml:space="preserve">release </w:t>
      </w:r>
      <w:r w:rsidR="00DB122D">
        <w:t xml:space="preserve">of </w:t>
      </w:r>
      <w:r w:rsidR="000066F5">
        <w:t>PRAM</w:t>
      </w:r>
      <w:r w:rsidR="009F3368">
        <w:t>S</w:t>
      </w:r>
      <w:r w:rsidR="000066F5">
        <w:t xml:space="preserve"> multi-</w:t>
      </w:r>
      <w:r w:rsidR="00986EEE">
        <w:t>jurisdiction</w:t>
      </w:r>
      <w:r w:rsidR="000066F5">
        <w:t xml:space="preserve"> data </w:t>
      </w:r>
      <w:r w:rsidR="00DB122D">
        <w:t xml:space="preserve">from </w:t>
      </w:r>
      <w:r w:rsidR="00BA1AA5">
        <w:t xml:space="preserve">previously </w:t>
      </w:r>
      <w:r w:rsidR="00163519">
        <w:t>documented</w:t>
      </w:r>
      <w:r w:rsidR="00DB122D">
        <w:t xml:space="preserve"> proposal process </w:t>
      </w:r>
      <w:r w:rsidR="00BA1AA5">
        <w:t xml:space="preserve">to the </w:t>
      </w:r>
      <w:r w:rsidR="000066F5">
        <w:t>PRAMS Automated R</w:t>
      </w:r>
      <w:r w:rsidR="00986EEE">
        <w:t>e</w:t>
      </w:r>
      <w:r w:rsidR="000066F5">
        <w:t>search</w:t>
      </w:r>
      <w:r w:rsidR="00986EEE">
        <w:t xml:space="preserve"> File </w:t>
      </w:r>
      <w:r w:rsidR="00985023">
        <w:t xml:space="preserve">(ARF) </w:t>
      </w:r>
      <w:r w:rsidR="00986EEE">
        <w:t>process</w:t>
      </w:r>
      <w:r>
        <w:t>.</w:t>
      </w:r>
    </w:p>
    <w:p w:rsidR="00E95904" w:rsidP="00E95904" w14:paraId="7AF00099" w14:textId="77777777"/>
    <w:p w:rsidR="00E95904" w:rsidRPr="00911FE6" w:rsidP="00E95904" w14:paraId="03856D58" w14:textId="746ECF85">
      <w:pPr>
        <w:rPr>
          <w:b/>
          <w:bCs/>
        </w:rPr>
      </w:pPr>
      <w:r w:rsidRPr="6D20D8E7">
        <w:rPr>
          <w:b/>
          <w:bCs/>
        </w:rPr>
        <w:t>Attachment</w:t>
      </w:r>
      <w:r w:rsidRPr="6D20D8E7" w:rsidR="2411AD4C">
        <w:rPr>
          <w:b/>
          <w:bCs/>
        </w:rPr>
        <w:t>s</w:t>
      </w:r>
    </w:p>
    <w:p w:rsidR="00E95904" w:rsidP="00E95904" w14:paraId="219DF040" w14:textId="34ADA856">
      <w:pPr>
        <w:pStyle w:val="ListParagraph"/>
        <w:numPr>
          <w:ilvl w:val="0"/>
          <w:numId w:val="1"/>
        </w:numPr>
      </w:pPr>
      <w:r>
        <w:t xml:space="preserve">Attachment 19a: </w:t>
      </w:r>
      <w:r w:rsidR="00911FE6">
        <w:t>PRAMS Nonresponse Bias Assessment of 2020 and 2021 Data</w:t>
      </w:r>
    </w:p>
    <w:p w:rsidR="00986EEE" w:rsidP="00E95904" w14:paraId="3B9732E9" w14:textId="35B9AA94">
      <w:pPr>
        <w:pStyle w:val="ListParagraph"/>
        <w:numPr>
          <w:ilvl w:val="0"/>
          <w:numId w:val="1"/>
        </w:numPr>
      </w:pPr>
      <w:r>
        <w:t>S</w:t>
      </w:r>
      <w:r w:rsidR="408785E9">
        <w:t xml:space="preserve">upporting Statement </w:t>
      </w:r>
      <w:r>
        <w:t>A</w:t>
      </w:r>
      <w:r w:rsidR="735CD9F5">
        <w:t>, clean and track changes</w:t>
      </w:r>
    </w:p>
    <w:p w:rsidR="00986EEE" w:rsidP="00E95904" w14:paraId="76BC9104" w14:textId="2ED1CDF4">
      <w:pPr>
        <w:pStyle w:val="ListParagraph"/>
        <w:numPr>
          <w:ilvl w:val="0"/>
          <w:numId w:val="1"/>
        </w:numPr>
      </w:pPr>
      <w:r>
        <w:t>S</w:t>
      </w:r>
      <w:r w:rsidR="2CDD8095">
        <w:t xml:space="preserve">upporting Statement </w:t>
      </w:r>
      <w:r>
        <w:t>B</w:t>
      </w:r>
      <w:r w:rsidR="5A4E5275">
        <w:t>, clean and track changes</w:t>
      </w:r>
    </w:p>
    <w:p w:rsidR="00911FE6" w:rsidP="00E95904" w14:paraId="47516D46" w14:textId="77777777">
      <w:pPr>
        <w:rPr>
          <w:u w:val="single"/>
        </w:rPr>
      </w:pPr>
    </w:p>
    <w:p w:rsidR="00911FE6" w:rsidRPr="00911FE6" w:rsidP="00E95904" w14:paraId="56E3AFC2" w14:textId="30C65C99">
      <w:pPr>
        <w:rPr>
          <w:b/>
          <w:bCs/>
        </w:rPr>
      </w:pPr>
      <w:r w:rsidRPr="00911FE6">
        <w:rPr>
          <w:b/>
          <w:bCs/>
        </w:rPr>
        <w:t>Background and Justification</w:t>
      </w:r>
    </w:p>
    <w:p w:rsidR="00E95904" w:rsidP="00E95904" w14:paraId="4568C176" w14:textId="1197CB26">
      <w:r w:rsidRPr="364B2E32">
        <w:rPr>
          <w:u w:val="single"/>
        </w:rPr>
        <w:t>Background.</w:t>
      </w:r>
      <w:r>
        <w:t xml:space="preserve">  In the last extension and revision request approved by OMB on March 30, 2023, PRAMS provided results of 2019 nonresponse bias analyses (previously submitted as Attachment 19) with the goal </w:t>
      </w:r>
      <w:r w:rsidR="38EAEB2F">
        <w:t xml:space="preserve">to </w:t>
      </w:r>
      <w:r>
        <w:t>inform</w:t>
      </w:r>
      <w:r w:rsidR="729BA8E5">
        <w:t xml:space="preserve"> the use of a </w:t>
      </w:r>
      <w:r>
        <w:t xml:space="preserve">response </w:t>
      </w:r>
      <w:r w:rsidR="7E24B3A8">
        <w:t xml:space="preserve">rate </w:t>
      </w:r>
      <w:r>
        <w:t>threshold as a criterion to release PRAMS jurisdiction data for use by researchers. Results of the 2019 nonresponse bias analyses suggested minimal bias in the data overall, by jurisdiction, and by indicators. OMB requested that these analyses be repeated for 2020 data.</w:t>
      </w:r>
    </w:p>
    <w:p w:rsidR="0076127C" w:rsidP="00E95904" w14:paraId="72298D82" w14:textId="53D26F63">
      <w:r>
        <w:t xml:space="preserve">Multi-jurisdictional </w:t>
      </w:r>
      <w:r w:rsidR="00205782">
        <w:t xml:space="preserve">PRAMS data </w:t>
      </w:r>
      <w:r w:rsidR="00A8130B">
        <w:t>has been provided to researchers (internal and external to CDC)</w:t>
      </w:r>
      <w:r w:rsidR="001B2998">
        <w:t xml:space="preserve"> through a proposal process which requires researchers to submit </w:t>
      </w:r>
      <w:r w:rsidR="234582C0">
        <w:t>individual</w:t>
      </w:r>
      <w:r w:rsidR="001B2998">
        <w:t xml:space="preserve"> data proposal application</w:t>
      </w:r>
      <w:r w:rsidR="2A80DED5">
        <w:t>s</w:t>
      </w:r>
      <w:r w:rsidR="57143F48">
        <w:t xml:space="preserve"> for approval by CDC and jurisdi</w:t>
      </w:r>
      <w:r w:rsidR="5DCE00FD">
        <w:t>ctions</w:t>
      </w:r>
      <w:r w:rsidR="001B2998">
        <w:t>.</w:t>
      </w:r>
      <w:r w:rsidR="58742206">
        <w:t xml:space="preserve"> </w:t>
      </w:r>
    </w:p>
    <w:p w:rsidR="4D7384CE" w:rsidP="4D7384CE" w14:paraId="3F8064F7" w14:textId="2C855197">
      <w:r w:rsidRPr="4D7384CE">
        <w:rPr>
          <w:u w:val="single"/>
        </w:rPr>
        <w:t>Justification</w:t>
      </w:r>
      <w:r w:rsidR="00E95904">
        <w:t>. PRAMS has completed the addendum nonresponse bias analyses for 2020</w:t>
      </w:r>
      <w:r w:rsidR="00A06D26">
        <w:t xml:space="preserve"> and </w:t>
      </w:r>
      <w:r w:rsidR="00E95904">
        <w:t xml:space="preserve">2021 data.  Results of the analysis are summarized </w:t>
      </w:r>
      <w:r w:rsidRPr="00EF3424" w:rsidR="00E95904">
        <w:rPr>
          <w:b/>
          <w:bCs/>
        </w:rPr>
        <w:t>in Attachment 19a</w:t>
      </w:r>
      <w:r w:rsidR="00E95904">
        <w:t xml:space="preserve"> titled, “PRAMS Non-Response Bias Assessment of 2020 and 2021 Data.” The current report provides results from analyses of 2020 and 2021 PRAMS data.</w:t>
      </w:r>
      <w:r w:rsidRPr="4D7384CE" w:rsidR="00E95904">
        <w:rPr>
          <w:rStyle w:val="normaltextrun"/>
          <w:i/>
          <w:iCs/>
        </w:rPr>
        <w:t xml:space="preserve"> </w:t>
      </w:r>
      <w:r w:rsidR="00E95904">
        <w:t xml:space="preserve">These results align with the previous 2019 results, suggesting little bias in the data overall and a modest relationship between bias and response rate. Based on our findings from 2019-2021 data, PRAMS is requesting to remove the current response threshold requirement and to release all </w:t>
      </w:r>
      <w:r w:rsidR="00E95904">
        <w:t>jurisdiction data</w:t>
      </w:r>
      <w:r w:rsidR="12BC5D66">
        <w:t xml:space="preserve"> that agree to participate in the ARF</w:t>
      </w:r>
      <w:r w:rsidR="00E95904">
        <w:t>, regardless of the response rate achieved by jurisdiction.</w:t>
      </w:r>
    </w:p>
    <w:p w:rsidR="00911FE6" w:rsidRPr="008A4B7C" w:rsidP="00E95904" w14:paraId="5E6A530B" w14:textId="344AE78B">
      <w:pPr>
        <w:rPr>
          <w:rFonts w:ascii="Calibri" w:eastAsia="Calibri" w:hAnsi="Calibri" w:cs="Calibri"/>
        </w:rPr>
      </w:pPr>
      <w:r>
        <w:t xml:space="preserve">The </w:t>
      </w:r>
      <w:r w:rsidR="43AE0A8E">
        <w:t xml:space="preserve">previous </w:t>
      </w:r>
      <w:r>
        <w:t xml:space="preserve">data proposal process for access to PRAMS data for analytical purposes </w:t>
      </w:r>
      <w:r w:rsidR="29CCD1E5">
        <w:t xml:space="preserve">could take 2-3 months from submission to approval. PRAMS implemented the </w:t>
      </w:r>
      <w:r w:rsidR="6E9998A3">
        <w:t>PRAMS</w:t>
      </w:r>
      <w:r w:rsidR="103B1B37">
        <w:t xml:space="preserve"> Automated Research File (ARF) process to release multi-</w:t>
      </w:r>
      <w:r w:rsidR="446051A1">
        <w:t>jurisdictional</w:t>
      </w:r>
      <w:r w:rsidR="103B1B37">
        <w:t xml:space="preserve"> data to researchers</w:t>
      </w:r>
      <w:r w:rsidR="5CC41222">
        <w:t xml:space="preserve"> without a data proposal process</w:t>
      </w:r>
      <w:r w:rsidR="4D1EF189">
        <w:t xml:space="preserve">. </w:t>
      </w:r>
      <w:r w:rsidR="07F84E9D">
        <w:t xml:space="preserve">With this process, researchers can download PRAMS datasets from the PRAMS ARF web portal. </w:t>
      </w:r>
      <w:r w:rsidR="4D1EF189">
        <w:t xml:space="preserve">The new ARF process makes it easier </w:t>
      </w:r>
      <w:r w:rsidR="13475CB5">
        <w:t xml:space="preserve">and faster </w:t>
      </w:r>
      <w:r w:rsidR="4D1EF189">
        <w:t>for research</w:t>
      </w:r>
      <w:r w:rsidR="5FACF190">
        <w:t>ers to request and access PRAMS data</w:t>
      </w:r>
      <w:r w:rsidR="2DCB96FE">
        <w:t xml:space="preserve"> (24-48 hours)</w:t>
      </w:r>
      <w:r w:rsidR="5FACF190">
        <w:t>.</w:t>
      </w:r>
      <w:r w:rsidR="33957E81">
        <w:t xml:space="preserve"> With </w:t>
      </w:r>
      <w:r w:rsidR="4A703AC3">
        <w:t xml:space="preserve">approval to remove </w:t>
      </w:r>
      <w:r w:rsidR="33957E81">
        <w:t xml:space="preserve">the response rate threshold described above, </w:t>
      </w:r>
      <w:r w:rsidR="79DEB1BB">
        <w:t>d</w:t>
      </w:r>
      <w:r w:rsidRPr="21D74AB5" w:rsidR="79DEB1BB">
        <w:rPr>
          <w:rFonts w:ascii="Calibri" w:eastAsia="Calibri" w:hAnsi="Calibri" w:cs="Calibri"/>
        </w:rPr>
        <w:t xml:space="preserve">ata for the 2023 calendar year of births (first year of Phase 9) </w:t>
      </w:r>
      <w:r w:rsidRPr="21D74AB5" w:rsidR="13A00D17">
        <w:rPr>
          <w:rFonts w:ascii="Calibri" w:eastAsia="Calibri" w:hAnsi="Calibri" w:cs="Calibri"/>
        </w:rPr>
        <w:t xml:space="preserve">and subsequent years </w:t>
      </w:r>
      <w:r w:rsidRPr="21D74AB5" w:rsidR="79DEB1BB">
        <w:rPr>
          <w:rFonts w:ascii="Calibri" w:eastAsia="Calibri" w:hAnsi="Calibri" w:cs="Calibri"/>
        </w:rPr>
        <w:t xml:space="preserve">will be released without a response rate threshold. For </w:t>
      </w:r>
      <w:r w:rsidRPr="21D74AB5" w:rsidR="4B513161">
        <w:rPr>
          <w:rFonts w:ascii="Calibri" w:eastAsia="Calibri" w:hAnsi="Calibri" w:cs="Calibri"/>
        </w:rPr>
        <w:t xml:space="preserve">selected </w:t>
      </w:r>
      <w:r w:rsidRPr="21D74AB5" w:rsidR="79DEB1BB">
        <w:rPr>
          <w:rFonts w:ascii="Calibri" w:eastAsia="Calibri" w:hAnsi="Calibri" w:cs="Calibri"/>
        </w:rPr>
        <w:t>previous calendar years of births (Phase 8 years 2016 to 2022), data for jurisdictions that had not been previously released based on a response rate threshold will be uploaded to the A</w:t>
      </w:r>
      <w:r w:rsidRPr="21D74AB5" w:rsidR="33D39627">
        <w:rPr>
          <w:rFonts w:ascii="Calibri" w:eastAsia="Calibri" w:hAnsi="Calibri" w:cs="Calibri"/>
        </w:rPr>
        <w:t>RF</w:t>
      </w:r>
      <w:r w:rsidRPr="21D74AB5" w:rsidR="79DEB1BB">
        <w:rPr>
          <w:rFonts w:ascii="Calibri" w:eastAsia="Calibri" w:hAnsi="Calibri" w:cs="Calibri"/>
        </w:rPr>
        <w:t>.</w:t>
      </w:r>
    </w:p>
    <w:p w:rsidR="00911FE6" w:rsidP="00911FE6" w14:paraId="5188BC47" w14:textId="77777777">
      <w:pPr>
        <w:pStyle w:val="Default"/>
        <w:rPr>
          <w:b/>
          <w:bCs/>
          <w:sz w:val="22"/>
          <w:szCs w:val="22"/>
        </w:rPr>
      </w:pPr>
    </w:p>
    <w:p w:rsidR="00911FE6" w:rsidP="00911FE6" w14:paraId="62FEB62F" w14:textId="79371760">
      <w:pPr>
        <w:pStyle w:val="Default"/>
        <w:rPr>
          <w:b/>
          <w:bCs/>
          <w:sz w:val="22"/>
          <w:szCs w:val="22"/>
        </w:rPr>
      </w:pPr>
      <w:r>
        <w:rPr>
          <w:b/>
          <w:bCs/>
          <w:sz w:val="22"/>
          <w:szCs w:val="22"/>
        </w:rPr>
        <w:t>Effect of Proposed Changes on Currently Approved Instruments</w:t>
      </w:r>
    </w:p>
    <w:p w:rsidR="004D225A" w:rsidP="00911FE6" w14:paraId="106F4AEC" w14:textId="77777777">
      <w:pPr>
        <w:pStyle w:val="Default"/>
        <w:rPr>
          <w:b/>
          <w:bCs/>
          <w:sz w:val="22"/>
          <w:szCs w:val="22"/>
        </w:rPr>
      </w:pPr>
    </w:p>
    <w:tbl>
      <w:tblPr>
        <w:tblStyle w:val="TableGrid"/>
        <w:tblW w:w="0" w:type="auto"/>
        <w:tblLook w:val="04A0"/>
      </w:tblPr>
      <w:tblGrid>
        <w:gridCol w:w="3116"/>
        <w:gridCol w:w="3117"/>
        <w:gridCol w:w="3117"/>
      </w:tblGrid>
      <w:tr w14:paraId="5107A135" w14:textId="77777777" w:rsidTr="004D225A">
        <w:tblPrEx>
          <w:tblW w:w="0" w:type="auto"/>
          <w:tblLook w:val="04A0"/>
        </w:tblPrEx>
        <w:tc>
          <w:tcPr>
            <w:tcW w:w="3116" w:type="dxa"/>
          </w:tcPr>
          <w:p w:rsidR="004D225A" w:rsidP="004D225A" w14:paraId="0A0F6432" w14:textId="61C33251">
            <w:pPr>
              <w:pStyle w:val="Default"/>
            </w:pPr>
            <w:r>
              <w:rPr>
                <w:b/>
                <w:bCs/>
                <w:sz w:val="22"/>
                <w:szCs w:val="22"/>
              </w:rPr>
              <w:t>Form</w:t>
            </w:r>
          </w:p>
        </w:tc>
        <w:tc>
          <w:tcPr>
            <w:tcW w:w="3117" w:type="dxa"/>
          </w:tcPr>
          <w:p w:rsidR="004D225A" w:rsidP="004D225A" w14:paraId="0B839454" w14:textId="22B16A6A">
            <w:pPr>
              <w:pStyle w:val="Default"/>
            </w:pPr>
            <w:r>
              <w:rPr>
                <w:b/>
                <w:bCs/>
                <w:sz w:val="22"/>
                <w:szCs w:val="22"/>
              </w:rPr>
              <w:t xml:space="preserve">Current Question/Item </w:t>
            </w:r>
          </w:p>
        </w:tc>
        <w:tc>
          <w:tcPr>
            <w:tcW w:w="3117" w:type="dxa"/>
          </w:tcPr>
          <w:p w:rsidR="004D225A" w:rsidP="004D225A" w14:paraId="51DE1CE7" w14:textId="078F3855">
            <w:pPr>
              <w:pStyle w:val="Default"/>
            </w:pPr>
            <w:r>
              <w:rPr>
                <w:b/>
                <w:bCs/>
                <w:sz w:val="22"/>
                <w:szCs w:val="22"/>
              </w:rPr>
              <w:t>Requested Change</w:t>
            </w:r>
          </w:p>
        </w:tc>
      </w:tr>
      <w:tr w14:paraId="025773B0" w14:textId="77777777" w:rsidTr="004D225A">
        <w:tblPrEx>
          <w:tblW w:w="0" w:type="auto"/>
          <w:tblLook w:val="04A0"/>
        </w:tblPrEx>
        <w:tc>
          <w:tcPr>
            <w:tcW w:w="3116" w:type="dxa"/>
          </w:tcPr>
          <w:p w:rsidR="000F69C2" w:rsidP="004D225A" w14:paraId="2CC05F8C" w14:textId="558B7BDA">
            <w:pPr>
              <w:pStyle w:val="Default"/>
            </w:pPr>
            <w:r>
              <w:t>SSA</w:t>
            </w:r>
            <w:r w:rsidR="0040572C">
              <w:t xml:space="preserve"> and </w:t>
            </w:r>
            <w:r>
              <w:t>SSB</w:t>
            </w:r>
          </w:p>
        </w:tc>
        <w:tc>
          <w:tcPr>
            <w:tcW w:w="3117" w:type="dxa"/>
          </w:tcPr>
          <w:p w:rsidR="004D225A" w:rsidP="004D225A" w14:paraId="6B1E49E9" w14:textId="62517DAF">
            <w:pPr>
              <w:pStyle w:val="Default"/>
            </w:pPr>
            <w:r w:rsidRPr="00911FE6">
              <w:rPr>
                <w:sz w:val="22"/>
                <w:szCs w:val="22"/>
              </w:rPr>
              <w:t>N/A</w:t>
            </w:r>
            <w:r>
              <w:rPr>
                <w:sz w:val="22"/>
                <w:szCs w:val="22"/>
              </w:rPr>
              <w:t>: Current change request does not affect approved instruments</w:t>
            </w:r>
          </w:p>
        </w:tc>
        <w:tc>
          <w:tcPr>
            <w:tcW w:w="3117" w:type="dxa"/>
          </w:tcPr>
          <w:p w:rsidR="00AF52BC" w:rsidP="00AF52BC" w14:paraId="1A97ECEE" w14:textId="696CEFEB">
            <w:pPr>
              <w:pStyle w:val="Default"/>
              <w:numPr>
                <w:ilvl w:val="0"/>
                <w:numId w:val="3"/>
              </w:numPr>
              <w:ind w:left="310" w:hanging="270"/>
            </w:pPr>
            <w:r>
              <w:t xml:space="preserve"> </w:t>
            </w:r>
            <w:r w:rsidRPr="004D225A" w:rsidR="004D225A">
              <w:t>Remove response rate threshold requirement for data release</w:t>
            </w:r>
            <w:r>
              <w:t>.</w:t>
            </w:r>
          </w:p>
          <w:p w:rsidR="004D225A" w:rsidP="00EF3424" w14:paraId="04065780" w14:textId="0CFF6BE6">
            <w:pPr>
              <w:pStyle w:val="Default"/>
              <w:numPr>
                <w:ilvl w:val="0"/>
                <w:numId w:val="3"/>
              </w:numPr>
              <w:ind w:left="310" w:hanging="270"/>
            </w:pPr>
            <w:r>
              <w:t xml:space="preserve"> </w:t>
            </w:r>
            <w:r w:rsidR="00AF52BC">
              <w:t>T</w:t>
            </w:r>
            <w:r>
              <w:t xml:space="preserve">ransition </w:t>
            </w:r>
            <w:r w:rsidR="00AF52BC">
              <w:t xml:space="preserve">access </w:t>
            </w:r>
            <w:r w:rsidR="00505A0A">
              <w:t>of multi</w:t>
            </w:r>
            <w:r w:rsidR="005112C1">
              <w:t xml:space="preserve">-jurisdictional PRAMS data from a proposal process </w:t>
            </w:r>
            <w:r>
              <w:t xml:space="preserve">to the </w:t>
            </w:r>
            <w:r w:rsidR="0070194B">
              <w:t>ARF</w:t>
            </w:r>
            <w:r w:rsidRPr="004D225A">
              <w:t>.</w:t>
            </w:r>
          </w:p>
        </w:tc>
      </w:tr>
    </w:tbl>
    <w:p w:rsidR="004D225A" w:rsidP="00911FE6" w14:paraId="66FFBA2C" w14:textId="77777777">
      <w:pPr>
        <w:pStyle w:val="Default"/>
      </w:pPr>
    </w:p>
    <w:p w:rsidR="004D225A" w:rsidP="004D225A" w14:paraId="1EC92056" w14:textId="77777777">
      <w:pPr>
        <w:pStyle w:val="Default"/>
        <w:rPr>
          <w:b/>
          <w:bCs/>
          <w:sz w:val="22"/>
          <w:szCs w:val="22"/>
        </w:rPr>
      </w:pPr>
      <w:r>
        <w:rPr>
          <w:b/>
          <w:bCs/>
          <w:sz w:val="22"/>
          <w:szCs w:val="22"/>
        </w:rPr>
        <w:t xml:space="preserve">Effect on Burden Estimate </w:t>
      </w:r>
    </w:p>
    <w:p w:rsidR="004D225A" w:rsidP="004D225A" w14:paraId="528DA393" w14:textId="3DDB192B">
      <w:pPr>
        <w:pStyle w:val="Default"/>
      </w:pPr>
      <w:r>
        <w:rPr>
          <w:sz w:val="22"/>
          <w:szCs w:val="22"/>
        </w:rPr>
        <w:t>There are no changes to</w:t>
      </w:r>
      <w:r w:rsidR="00CB49EC">
        <w:rPr>
          <w:sz w:val="22"/>
          <w:szCs w:val="22"/>
        </w:rPr>
        <w:t xml:space="preserve"> estimated</w:t>
      </w:r>
      <w:r>
        <w:rPr>
          <w:sz w:val="22"/>
          <w:szCs w:val="22"/>
        </w:rPr>
        <w:t xml:space="preserve"> burden for this information collection as no </w:t>
      </w:r>
      <w:r w:rsidR="007A7F2E">
        <w:rPr>
          <w:sz w:val="22"/>
          <w:szCs w:val="22"/>
        </w:rPr>
        <w:t xml:space="preserve">changes to </w:t>
      </w:r>
      <w:r>
        <w:rPr>
          <w:sz w:val="22"/>
          <w:szCs w:val="22"/>
        </w:rPr>
        <w:t>data collection instruments</w:t>
      </w:r>
      <w:r w:rsidR="007A7F2E">
        <w:rPr>
          <w:sz w:val="22"/>
          <w:szCs w:val="22"/>
        </w:rPr>
        <w:t xml:space="preserve"> and procedures are proposed.</w:t>
      </w:r>
      <w:r w:rsidR="00DF69A2">
        <w:rPr>
          <w:sz w:val="22"/>
          <w:szCs w:val="22"/>
        </w:rPr>
        <w:t xml:space="preserve"> The table below documents the approved burden for the total information collection, which remains unchanged in this change request. </w:t>
      </w:r>
    </w:p>
    <w:tbl>
      <w:tblPr>
        <w:tblStyle w:val="TableGrid"/>
        <w:tblW w:w="0" w:type="auto"/>
        <w:tblLook w:val="04A0"/>
      </w:tblPr>
      <w:tblGrid>
        <w:gridCol w:w="3116"/>
        <w:gridCol w:w="3117"/>
        <w:gridCol w:w="3117"/>
      </w:tblGrid>
      <w:tr w14:paraId="61635161" w14:textId="77777777" w:rsidTr="6D20D8E7">
        <w:tblPrEx>
          <w:tblW w:w="0" w:type="auto"/>
          <w:tblLook w:val="04A0"/>
        </w:tblPrEx>
        <w:tc>
          <w:tcPr>
            <w:tcW w:w="3116" w:type="dxa"/>
          </w:tcPr>
          <w:p w:rsidR="004D225A" w:rsidP="00E95904" w14:paraId="1D21BC83" w14:textId="0A431984">
            <w:r>
              <w:rPr>
                <w:b/>
                <w:bCs/>
              </w:rPr>
              <w:t>Form</w:t>
            </w:r>
          </w:p>
        </w:tc>
        <w:tc>
          <w:tcPr>
            <w:tcW w:w="3117" w:type="dxa"/>
          </w:tcPr>
          <w:p w:rsidR="004D225A" w:rsidP="00E95904" w14:paraId="3249A304" w14:textId="0A7C93AB">
            <w:r>
              <w:rPr>
                <w:b/>
                <w:bCs/>
              </w:rPr>
              <w:t>Approved Burden</w:t>
            </w:r>
          </w:p>
        </w:tc>
        <w:tc>
          <w:tcPr>
            <w:tcW w:w="3117" w:type="dxa"/>
          </w:tcPr>
          <w:p w:rsidR="004D225A" w:rsidP="00E95904" w14:paraId="4DFF977C" w14:textId="056F490E">
            <w:r>
              <w:rPr>
                <w:b/>
                <w:bCs/>
              </w:rPr>
              <w:t>Requested Burden</w:t>
            </w:r>
          </w:p>
        </w:tc>
      </w:tr>
      <w:tr w14:paraId="21D216EC" w14:textId="77777777" w:rsidTr="6D20D8E7">
        <w:tblPrEx>
          <w:tblW w:w="0" w:type="auto"/>
          <w:tblLook w:val="04A0"/>
        </w:tblPrEx>
        <w:tc>
          <w:tcPr>
            <w:tcW w:w="3116" w:type="dxa"/>
            <w:tcBorders>
              <w:bottom w:val="single" w:sz="18" w:space="0" w:color="000000" w:themeColor="text1"/>
            </w:tcBorders>
          </w:tcPr>
          <w:p w:rsidR="000F69C2" w:rsidP="00E95904" w14:paraId="3A35CE34" w14:textId="6A19F6B7">
            <w:r>
              <w:t>SSA</w:t>
            </w:r>
            <w:r w:rsidR="001572C4">
              <w:t xml:space="preserve"> and </w:t>
            </w:r>
            <w:r>
              <w:t>SSB</w:t>
            </w:r>
          </w:p>
        </w:tc>
        <w:tc>
          <w:tcPr>
            <w:tcW w:w="3117" w:type="dxa"/>
            <w:tcBorders>
              <w:bottom w:val="single" w:sz="18" w:space="0" w:color="000000" w:themeColor="text1"/>
            </w:tcBorders>
          </w:tcPr>
          <w:p w:rsidR="004D225A" w:rsidP="00E95904" w14:paraId="3D34842C" w14:textId="011AA7C5">
            <w:r w:rsidRPr="00720167">
              <w:t>31,268 hours</w:t>
            </w:r>
          </w:p>
        </w:tc>
        <w:tc>
          <w:tcPr>
            <w:tcW w:w="3117" w:type="dxa"/>
            <w:tcBorders>
              <w:bottom w:val="single" w:sz="18" w:space="0" w:color="000000" w:themeColor="text1"/>
            </w:tcBorders>
          </w:tcPr>
          <w:p w:rsidR="004D225A" w:rsidP="004D225A" w14:paraId="22BF5950" w14:textId="3C706FAB">
            <w:r>
              <w:t xml:space="preserve"> </w:t>
            </w:r>
            <w:r w:rsidRPr="00720167">
              <w:t>31,268 hours</w:t>
            </w:r>
          </w:p>
        </w:tc>
      </w:tr>
      <w:tr w14:paraId="250887F9" w14:textId="77777777" w:rsidTr="6D20D8E7">
        <w:tblPrEx>
          <w:tblW w:w="0" w:type="auto"/>
          <w:tblLook w:val="04A0"/>
        </w:tblPrEx>
        <w:tc>
          <w:tcPr>
            <w:tcW w:w="31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4D225A" w:rsidP="00E95904" w14:paraId="13C632CE" w14:textId="173B1EC8">
            <w:r>
              <w:t>Total</w:t>
            </w:r>
          </w:p>
        </w:tc>
        <w:tc>
          <w:tcPr>
            <w:tcW w:w="31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4D225A" w:rsidP="00E95904" w14:paraId="3597BEDC" w14:textId="4078CACA">
            <w:r w:rsidRPr="008F41CD">
              <w:t>31,268 hours</w:t>
            </w:r>
          </w:p>
        </w:tc>
        <w:tc>
          <w:tcPr>
            <w:tcW w:w="31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4D225A" w:rsidP="00E95904" w14:paraId="1981D657" w14:textId="75086EC9">
            <w:r w:rsidRPr="008F41CD">
              <w:t>31,268 hours</w:t>
            </w:r>
          </w:p>
        </w:tc>
      </w:tr>
    </w:tbl>
    <w:p w:rsidR="00911FE6" w:rsidP="00E95904" w14:paraId="25354418" w14:textId="77777777"/>
    <w:p w:rsidR="00911FE6" w:rsidP="00911FE6" w14:paraId="258B4C1A" w14:textId="77777777">
      <w:pPr>
        <w:pStyle w:val="Default"/>
      </w:pPr>
    </w:p>
    <w:p w:rsidR="00911FE6" w:rsidP="00911FE6" w14:paraId="1F9B1598" w14:textId="15DD1314">
      <w:pPr>
        <w:pStyle w:val="Default"/>
        <w:rPr>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C391A"/>
    <w:multiLevelType w:val="hybridMultilevel"/>
    <w:tmpl w:val="245C2C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9B1B42"/>
    <w:multiLevelType w:val="hybridMultilevel"/>
    <w:tmpl w:val="55564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424991"/>
    <w:multiLevelType w:val="hybridMultilevel"/>
    <w:tmpl w:val="FEB64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5470364">
    <w:abstractNumId w:val="2"/>
  </w:num>
  <w:num w:numId="2" w16cid:durableId="1199048536">
    <w:abstractNumId w:val="0"/>
  </w:num>
  <w:num w:numId="3" w16cid:durableId="1009217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04"/>
    <w:rsid w:val="000066F5"/>
    <w:rsid w:val="000257FC"/>
    <w:rsid w:val="00034A4C"/>
    <w:rsid w:val="000606BC"/>
    <w:rsid w:val="000E7C71"/>
    <w:rsid w:val="000F69C2"/>
    <w:rsid w:val="00126AA2"/>
    <w:rsid w:val="001572C4"/>
    <w:rsid w:val="00163519"/>
    <w:rsid w:val="0018595D"/>
    <w:rsid w:val="001B2998"/>
    <w:rsid w:val="00205782"/>
    <w:rsid w:val="0026513E"/>
    <w:rsid w:val="002B126C"/>
    <w:rsid w:val="002E3018"/>
    <w:rsid w:val="003168DE"/>
    <w:rsid w:val="00335DA5"/>
    <w:rsid w:val="003550B5"/>
    <w:rsid w:val="00391708"/>
    <w:rsid w:val="00400D30"/>
    <w:rsid w:val="0040572C"/>
    <w:rsid w:val="004229D4"/>
    <w:rsid w:val="00424AB7"/>
    <w:rsid w:val="00462E65"/>
    <w:rsid w:val="004D225A"/>
    <w:rsid w:val="00505A0A"/>
    <w:rsid w:val="005071FD"/>
    <w:rsid w:val="005112C1"/>
    <w:rsid w:val="00623749"/>
    <w:rsid w:val="006527DD"/>
    <w:rsid w:val="0070194B"/>
    <w:rsid w:val="00720167"/>
    <w:rsid w:val="0074033A"/>
    <w:rsid w:val="0076127C"/>
    <w:rsid w:val="007807BF"/>
    <w:rsid w:val="007A7F2E"/>
    <w:rsid w:val="00842BC9"/>
    <w:rsid w:val="008531C7"/>
    <w:rsid w:val="008A4B7C"/>
    <w:rsid w:val="008C0608"/>
    <w:rsid w:val="008F41CD"/>
    <w:rsid w:val="00910514"/>
    <w:rsid w:val="00911FE6"/>
    <w:rsid w:val="00985023"/>
    <w:rsid w:val="00986EEE"/>
    <w:rsid w:val="00987FCC"/>
    <w:rsid w:val="009D57C7"/>
    <w:rsid w:val="009F3368"/>
    <w:rsid w:val="00A06D26"/>
    <w:rsid w:val="00A4701F"/>
    <w:rsid w:val="00A75FD9"/>
    <w:rsid w:val="00A8130B"/>
    <w:rsid w:val="00AF52BC"/>
    <w:rsid w:val="00B34D55"/>
    <w:rsid w:val="00BA1AA5"/>
    <w:rsid w:val="00BE5CDF"/>
    <w:rsid w:val="00C77732"/>
    <w:rsid w:val="00C869FE"/>
    <w:rsid w:val="00CB49EC"/>
    <w:rsid w:val="00D92E0B"/>
    <w:rsid w:val="00DB122D"/>
    <w:rsid w:val="00DF69A2"/>
    <w:rsid w:val="00E15920"/>
    <w:rsid w:val="00E56E8B"/>
    <w:rsid w:val="00E95904"/>
    <w:rsid w:val="00EB0275"/>
    <w:rsid w:val="00EC39DB"/>
    <w:rsid w:val="00EF3424"/>
    <w:rsid w:val="00F02DE9"/>
    <w:rsid w:val="00F17873"/>
    <w:rsid w:val="00F454B1"/>
    <w:rsid w:val="00F64372"/>
    <w:rsid w:val="02DFD872"/>
    <w:rsid w:val="056D89BB"/>
    <w:rsid w:val="07F84E9D"/>
    <w:rsid w:val="0C329237"/>
    <w:rsid w:val="103B1B37"/>
    <w:rsid w:val="108E7F9E"/>
    <w:rsid w:val="1198D0E0"/>
    <w:rsid w:val="12BC5D66"/>
    <w:rsid w:val="13475CB5"/>
    <w:rsid w:val="13A00D17"/>
    <w:rsid w:val="14429373"/>
    <w:rsid w:val="1445B6E0"/>
    <w:rsid w:val="14C5123A"/>
    <w:rsid w:val="186E729E"/>
    <w:rsid w:val="20659BF9"/>
    <w:rsid w:val="21D74AB5"/>
    <w:rsid w:val="234582C0"/>
    <w:rsid w:val="2411AD4C"/>
    <w:rsid w:val="2609BF37"/>
    <w:rsid w:val="27D6FAA3"/>
    <w:rsid w:val="29CCD1E5"/>
    <w:rsid w:val="29D0DA24"/>
    <w:rsid w:val="2A80DED5"/>
    <w:rsid w:val="2CDC8840"/>
    <w:rsid w:val="2CDD8095"/>
    <w:rsid w:val="2DCB96FE"/>
    <w:rsid w:val="2DDA5FB8"/>
    <w:rsid w:val="2E39E9FA"/>
    <w:rsid w:val="331B8EC7"/>
    <w:rsid w:val="33957E81"/>
    <w:rsid w:val="33D39627"/>
    <w:rsid w:val="35FE2BB1"/>
    <w:rsid w:val="364B2E32"/>
    <w:rsid w:val="38EAEB2F"/>
    <w:rsid w:val="392DBD89"/>
    <w:rsid w:val="39F90D82"/>
    <w:rsid w:val="3C4DCD98"/>
    <w:rsid w:val="408785E9"/>
    <w:rsid w:val="42095D80"/>
    <w:rsid w:val="436FF9DC"/>
    <w:rsid w:val="43AE0A8E"/>
    <w:rsid w:val="44431338"/>
    <w:rsid w:val="446051A1"/>
    <w:rsid w:val="46BBB743"/>
    <w:rsid w:val="4775BECF"/>
    <w:rsid w:val="4A703AC3"/>
    <w:rsid w:val="4A967ADF"/>
    <w:rsid w:val="4B018A51"/>
    <w:rsid w:val="4B4FD753"/>
    <w:rsid w:val="4B513161"/>
    <w:rsid w:val="4D1EF189"/>
    <w:rsid w:val="4D7384CE"/>
    <w:rsid w:val="4DF1E91A"/>
    <w:rsid w:val="4E4614F9"/>
    <w:rsid w:val="504FBE1B"/>
    <w:rsid w:val="5061F95A"/>
    <w:rsid w:val="51FA8917"/>
    <w:rsid w:val="555719D4"/>
    <w:rsid w:val="57143F48"/>
    <w:rsid w:val="58218371"/>
    <w:rsid w:val="58742206"/>
    <w:rsid w:val="5A4E5275"/>
    <w:rsid w:val="5CC41222"/>
    <w:rsid w:val="5DCE00FD"/>
    <w:rsid w:val="5E28CA0B"/>
    <w:rsid w:val="5E71CA6F"/>
    <w:rsid w:val="5F8C21F0"/>
    <w:rsid w:val="5FACF190"/>
    <w:rsid w:val="62B192E5"/>
    <w:rsid w:val="664B1EB9"/>
    <w:rsid w:val="6A4C8100"/>
    <w:rsid w:val="6D20D8E7"/>
    <w:rsid w:val="6E2B3750"/>
    <w:rsid w:val="6E676484"/>
    <w:rsid w:val="6E9998A3"/>
    <w:rsid w:val="729BA8E5"/>
    <w:rsid w:val="735CD9F5"/>
    <w:rsid w:val="75CA5AF4"/>
    <w:rsid w:val="79DEB1BB"/>
    <w:rsid w:val="7A02D1B5"/>
    <w:rsid w:val="7A9A8C1F"/>
    <w:rsid w:val="7AE4BA4A"/>
    <w:rsid w:val="7C1B6B0B"/>
    <w:rsid w:val="7D821604"/>
    <w:rsid w:val="7E24B3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321944"/>
  <w15:chartTrackingRefBased/>
  <w15:docId w15:val="{2DF22E31-7637-4EC5-9442-DB97E9A3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95904"/>
  </w:style>
  <w:style w:type="paragraph" w:styleId="ListParagraph">
    <w:name w:val="List Paragraph"/>
    <w:basedOn w:val="Normal"/>
    <w:uiPriority w:val="34"/>
    <w:qFormat/>
    <w:rsid w:val="00E95904"/>
    <w:pPr>
      <w:ind w:left="720"/>
      <w:contextualSpacing/>
    </w:pPr>
  </w:style>
  <w:style w:type="paragraph" w:customStyle="1" w:styleId="Default">
    <w:name w:val="Default"/>
    <w:rsid w:val="00911FE6"/>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4D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FCC"/>
    <w:rPr>
      <w:sz w:val="16"/>
      <w:szCs w:val="16"/>
    </w:rPr>
  </w:style>
  <w:style w:type="paragraph" w:styleId="CommentText">
    <w:name w:val="annotation text"/>
    <w:basedOn w:val="Normal"/>
    <w:link w:val="CommentTextChar"/>
    <w:uiPriority w:val="99"/>
    <w:unhideWhenUsed/>
    <w:rsid w:val="00987FCC"/>
    <w:pPr>
      <w:spacing w:line="240" w:lineRule="auto"/>
    </w:pPr>
    <w:rPr>
      <w:sz w:val="20"/>
      <w:szCs w:val="20"/>
    </w:rPr>
  </w:style>
  <w:style w:type="character" w:customStyle="1" w:styleId="CommentTextChar">
    <w:name w:val="Comment Text Char"/>
    <w:basedOn w:val="DefaultParagraphFont"/>
    <w:link w:val="CommentText"/>
    <w:uiPriority w:val="99"/>
    <w:rsid w:val="00987FCC"/>
    <w:rPr>
      <w:sz w:val="20"/>
      <w:szCs w:val="20"/>
    </w:rPr>
  </w:style>
  <w:style w:type="paragraph" w:styleId="CommentSubject">
    <w:name w:val="annotation subject"/>
    <w:basedOn w:val="CommentText"/>
    <w:next w:val="CommentText"/>
    <w:link w:val="CommentSubjectChar"/>
    <w:uiPriority w:val="99"/>
    <w:semiHidden/>
    <w:unhideWhenUsed/>
    <w:rsid w:val="00987FCC"/>
    <w:rPr>
      <w:b/>
      <w:bCs/>
    </w:rPr>
  </w:style>
  <w:style w:type="character" w:customStyle="1" w:styleId="CommentSubjectChar">
    <w:name w:val="Comment Subject Char"/>
    <w:basedOn w:val="CommentTextChar"/>
    <w:link w:val="CommentSubject"/>
    <w:uiPriority w:val="99"/>
    <w:semiHidden/>
    <w:rsid w:val="00987FCC"/>
    <w:rPr>
      <w:b/>
      <w:bCs/>
      <w:sz w:val="20"/>
      <w:szCs w:val="20"/>
    </w:rPr>
  </w:style>
  <w:style w:type="paragraph" w:styleId="Revision">
    <w:name w:val="Revision"/>
    <w:hidden/>
    <w:uiPriority w:val="99"/>
    <w:semiHidden/>
    <w:rsid w:val="00987FCC"/>
    <w:pPr>
      <w:spacing w:after="0" w:line="240" w:lineRule="auto"/>
    </w:pPr>
  </w:style>
  <w:style w:type="character" w:styleId="Hyperlink">
    <w:name w:val="Hyperlink"/>
    <w:basedOn w:val="DefaultParagraphFont"/>
    <w:uiPriority w:val="99"/>
    <w:unhideWhenUsed/>
    <w:rsid w:val="00A75FD9"/>
    <w:rPr>
      <w:color w:val="0563C1" w:themeColor="hyperlink"/>
      <w:u w:val="single"/>
    </w:rPr>
  </w:style>
  <w:style w:type="character" w:styleId="UnresolvedMention">
    <w:name w:val="Unresolved Mention"/>
    <w:basedOn w:val="DefaultParagraphFont"/>
    <w:uiPriority w:val="99"/>
    <w:semiHidden/>
    <w:unhideWhenUsed/>
    <w:rsid w:val="00A75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(CDC/NCCDPHP/DRH)</dc:creator>
  <cp:lastModifiedBy>Demissie, Zewditu (CDC/NCCDPHP/DRH)</cp:lastModifiedBy>
  <cp:revision>5</cp:revision>
  <dcterms:created xsi:type="dcterms:W3CDTF">2024-11-13T19:00:00Z</dcterms:created>
  <dcterms:modified xsi:type="dcterms:W3CDTF">2024-11-13T19:25:00Z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50b6196b-46af-45a1-81ef-1b5dfa89883d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2024-10-21T18:44:42Z</vt:lpwstr>
  </property>
  <property fmtid="{D5CDD505-2E9C-101B-9397-08002B2CF9AE}" pid="8" name="MSIP_Label_7b94a7b8-f06c-4dfe-bdcc-9b548fd58c31_SiteId">
    <vt:lpwstr>9ce70869-60db-44fd-abe8-d2767077fc8f</vt:lpwstr>
  </property>
</Properties>
</file>