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1714" w:rsidRPr="00106BBE" w:rsidP="0070438F" w14:paraId="640AAE0D" w14:textId="77777777">
      <w:pPr>
        <w:pStyle w:val="Title"/>
        <w:widowControl/>
        <w:rPr>
          <w:rFonts w:ascii="Times New Roman" w:hAnsi="Times New Roman" w:cs="Times New Roman"/>
          <w:b/>
          <w:sz w:val="24"/>
          <w:szCs w:val="24"/>
        </w:rPr>
      </w:pPr>
    </w:p>
    <w:p w:rsidR="00631714" w:rsidRPr="00106BBE" w:rsidP="0070438F" w14:paraId="08C42555" w14:textId="7738A39D">
      <w:pPr>
        <w:pStyle w:val="Title"/>
        <w:widowControl/>
        <w:rPr>
          <w:rFonts w:ascii="Times New Roman" w:hAnsi="Times New Roman" w:cs="Times New Roman"/>
          <w:b/>
          <w:sz w:val="24"/>
          <w:szCs w:val="24"/>
        </w:rPr>
      </w:pPr>
    </w:p>
    <w:p w:rsidR="00984854" w:rsidRPr="00106BBE" w:rsidP="0070438F" w14:paraId="7BDA1F53" w14:textId="02D44473">
      <w:pPr>
        <w:pStyle w:val="Title"/>
        <w:widowControl/>
        <w:rPr>
          <w:rFonts w:ascii="Times New Roman" w:hAnsi="Times New Roman" w:cs="Times New Roman"/>
          <w:b/>
          <w:sz w:val="24"/>
          <w:szCs w:val="24"/>
        </w:rPr>
      </w:pPr>
    </w:p>
    <w:p w:rsidR="00631714" w:rsidRPr="00106BBE" w:rsidP="0070438F" w14:paraId="67D8E3FA" w14:textId="77777777">
      <w:pPr>
        <w:pStyle w:val="Title"/>
        <w:widowControl/>
        <w:rPr>
          <w:rFonts w:ascii="Times New Roman" w:hAnsi="Times New Roman" w:cs="Times New Roman"/>
          <w:b/>
          <w:sz w:val="24"/>
          <w:szCs w:val="24"/>
        </w:rPr>
      </w:pPr>
    </w:p>
    <w:p w:rsidR="00984854" w:rsidRPr="00106BBE" w:rsidP="00984854" w14:paraId="18C3CD8D" w14:textId="77777777">
      <w:pPr>
        <w:pStyle w:val="Title"/>
        <w:widowControl/>
        <w:rPr>
          <w:rFonts w:ascii="Times New Roman" w:hAnsi="Times New Roman" w:cs="Times New Roman"/>
          <w:b/>
        </w:rPr>
      </w:pPr>
      <w:r w:rsidRPr="00106BBE">
        <w:rPr>
          <w:rFonts w:ascii="Times New Roman" w:hAnsi="Times New Roman" w:cs="Times New Roman"/>
          <w:b/>
        </w:rPr>
        <w:t xml:space="preserve">Birth Defects Study To Evaluate Pregnancy </w:t>
      </w:r>
      <w:r w:rsidRPr="00106BBE">
        <w:rPr>
          <w:rFonts w:ascii="Times New Roman" w:hAnsi="Times New Roman" w:cs="Times New Roman"/>
          <w:b/>
        </w:rPr>
        <w:t>exposureS</w:t>
      </w:r>
    </w:p>
    <w:p w:rsidR="00984854" w:rsidRPr="00106BBE" w:rsidP="00984854" w14:paraId="2AB14F93" w14:textId="77777777">
      <w:pPr>
        <w:pStyle w:val="Title"/>
        <w:widowControl/>
        <w:rPr>
          <w:rFonts w:ascii="Times New Roman" w:hAnsi="Times New Roman" w:cs="Times New Roman"/>
          <w:b/>
        </w:rPr>
      </w:pPr>
      <w:r w:rsidRPr="00106BBE">
        <w:rPr>
          <w:rFonts w:ascii="Times New Roman" w:hAnsi="Times New Roman" w:cs="Times New Roman"/>
          <w:b/>
        </w:rPr>
        <w:t>(BD-STEPS)</w:t>
      </w:r>
    </w:p>
    <w:p w:rsidR="00984854" w:rsidRPr="00106BBE" w:rsidP="00984854" w14:paraId="6F467A77" w14:textId="77777777">
      <w:pPr>
        <w:widowControl/>
        <w:jc w:val="center"/>
        <w:rPr>
          <w:b/>
          <w:sz w:val="36"/>
          <w:szCs w:val="36"/>
        </w:rPr>
      </w:pPr>
      <w:r w:rsidRPr="00106BBE">
        <w:rPr>
          <w:b/>
          <w:sz w:val="36"/>
          <w:szCs w:val="36"/>
        </w:rPr>
        <w:t>OMB # 0920-0010</w:t>
      </w:r>
    </w:p>
    <w:p w:rsidR="00984854" w:rsidRPr="00106BBE" w:rsidP="00984854" w14:paraId="7DD50CAE" w14:textId="77777777">
      <w:pPr>
        <w:widowControl/>
        <w:jc w:val="center"/>
        <w:rPr>
          <w:b/>
          <w:sz w:val="36"/>
          <w:szCs w:val="36"/>
        </w:rPr>
      </w:pPr>
    </w:p>
    <w:p w:rsidR="00984854" w:rsidRPr="00106BBE" w:rsidP="00984854" w14:paraId="71546D50" w14:textId="77777777">
      <w:pPr>
        <w:widowControl/>
        <w:jc w:val="center"/>
        <w:rPr>
          <w:b/>
          <w:sz w:val="36"/>
          <w:szCs w:val="36"/>
        </w:rPr>
      </w:pPr>
    </w:p>
    <w:p w:rsidR="00984854" w:rsidRPr="00106BBE" w:rsidP="00984854" w14:paraId="4EF28AE0" w14:textId="77777777">
      <w:pPr>
        <w:pStyle w:val="Title"/>
        <w:widowControl/>
        <w:rPr>
          <w:rFonts w:ascii="Times New Roman" w:hAnsi="Times New Roman" w:cs="Times New Roman"/>
          <w:b/>
        </w:rPr>
      </w:pPr>
    </w:p>
    <w:p w:rsidR="00984854" w:rsidRPr="00106BBE" w:rsidP="00984854" w14:paraId="49C6941B" w14:textId="1382E7F0">
      <w:pPr>
        <w:widowControl/>
        <w:jc w:val="center"/>
        <w:rPr>
          <w:sz w:val="36"/>
          <w:szCs w:val="36"/>
        </w:rPr>
      </w:pPr>
      <w:r w:rsidRPr="00106BBE">
        <w:rPr>
          <w:b/>
          <w:sz w:val="36"/>
          <w:szCs w:val="36"/>
        </w:rPr>
        <w:t>Supporting Statement B</w:t>
      </w:r>
    </w:p>
    <w:p w:rsidR="00984854" w:rsidRPr="00106BBE" w:rsidP="00984854" w14:paraId="622CBCC1" w14:textId="77777777">
      <w:pPr>
        <w:widowControl/>
        <w:jc w:val="center"/>
        <w:rPr>
          <w:b/>
          <w:sz w:val="36"/>
          <w:szCs w:val="36"/>
        </w:rPr>
      </w:pPr>
      <w:r w:rsidRPr="00106BBE">
        <w:rPr>
          <w:b/>
          <w:sz w:val="36"/>
          <w:szCs w:val="36"/>
        </w:rPr>
        <w:t>Revision</w:t>
      </w:r>
    </w:p>
    <w:p w:rsidR="00984854" w:rsidRPr="00106BBE" w:rsidP="00984854" w14:paraId="695215FF" w14:textId="77777777">
      <w:pPr>
        <w:widowControl/>
        <w:jc w:val="center"/>
        <w:rPr>
          <w:b/>
          <w:sz w:val="52"/>
          <w:szCs w:val="52"/>
        </w:rPr>
      </w:pPr>
    </w:p>
    <w:p w:rsidR="00984854" w:rsidRPr="00106BBE" w:rsidP="00984854" w14:paraId="0D22C855" w14:textId="77777777">
      <w:pPr>
        <w:widowControl/>
        <w:jc w:val="center"/>
        <w:rPr>
          <w:b/>
          <w:sz w:val="52"/>
          <w:szCs w:val="52"/>
        </w:rPr>
      </w:pPr>
    </w:p>
    <w:p w:rsidR="00984854" w:rsidRPr="00106BBE" w:rsidP="00984854" w14:paraId="0A6C1F8D" w14:textId="77777777">
      <w:pPr>
        <w:widowControl/>
        <w:jc w:val="center"/>
        <w:rPr>
          <w:b/>
          <w:sz w:val="52"/>
          <w:szCs w:val="52"/>
        </w:rPr>
      </w:pPr>
    </w:p>
    <w:p w:rsidR="00984854" w:rsidRPr="00106BBE" w:rsidP="00984854" w14:paraId="71032050" w14:textId="77777777">
      <w:pPr>
        <w:widowControl/>
        <w:jc w:val="center"/>
        <w:rPr>
          <w:b/>
          <w:sz w:val="52"/>
          <w:szCs w:val="52"/>
        </w:rPr>
      </w:pPr>
    </w:p>
    <w:p w:rsidR="00984854" w:rsidRPr="00106BBE" w:rsidP="00984854" w14:paraId="1FFB90D4" w14:textId="4CCD7E6E">
      <w:pPr>
        <w:widowControl/>
        <w:jc w:val="center"/>
        <w:rPr>
          <w:b/>
          <w:sz w:val="28"/>
          <w:szCs w:val="28"/>
        </w:rPr>
      </w:pPr>
      <w:r w:rsidRPr="00106BBE">
        <w:rPr>
          <w:b/>
          <w:sz w:val="28"/>
          <w:szCs w:val="28"/>
        </w:rPr>
        <w:t>Scientific Lead</w:t>
      </w:r>
      <w:r w:rsidRPr="00106BBE">
        <w:rPr>
          <w:b/>
          <w:sz w:val="28"/>
          <w:szCs w:val="28"/>
        </w:rPr>
        <w:t>:</w:t>
      </w:r>
    </w:p>
    <w:p w:rsidR="00DF4124" w:rsidRPr="00106BBE" w:rsidP="00DF4124" w14:paraId="01C12B88" w14:textId="77777777">
      <w:pPr>
        <w:widowControl/>
        <w:jc w:val="center"/>
        <w:rPr>
          <w:sz w:val="28"/>
          <w:szCs w:val="28"/>
        </w:rPr>
      </w:pPr>
      <w:r w:rsidRPr="00106BBE">
        <w:rPr>
          <w:sz w:val="28"/>
          <w:szCs w:val="28"/>
        </w:rPr>
        <w:t>Elizabeth Ailes, PhD</w:t>
      </w:r>
    </w:p>
    <w:p w:rsidR="00DF4124" w:rsidRPr="00106BBE" w:rsidP="00DF4124" w14:paraId="6AAFAF29" w14:textId="77777777">
      <w:pPr>
        <w:widowControl/>
        <w:jc w:val="center"/>
        <w:rPr>
          <w:sz w:val="28"/>
          <w:szCs w:val="28"/>
        </w:rPr>
      </w:pPr>
      <w:r w:rsidRPr="00106BBE">
        <w:rPr>
          <w:sz w:val="28"/>
          <w:szCs w:val="28"/>
        </w:rPr>
        <w:t>Health Scientist</w:t>
      </w:r>
    </w:p>
    <w:p w:rsidR="00DF4124" w:rsidRPr="00106BBE" w:rsidP="00DF4124" w14:paraId="70DF9EEC" w14:textId="77777777">
      <w:pPr>
        <w:widowControl/>
        <w:jc w:val="center"/>
        <w:rPr>
          <w:sz w:val="28"/>
          <w:szCs w:val="28"/>
        </w:rPr>
      </w:pPr>
      <w:r w:rsidRPr="00106BBE">
        <w:rPr>
          <w:sz w:val="28"/>
          <w:szCs w:val="28"/>
        </w:rPr>
        <w:t>Division of Birth Defects &amp; Infant Disorders (DBDID)</w:t>
      </w:r>
    </w:p>
    <w:p w:rsidR="00DF4124" w:rsidRPr="00106BBE" w:rsidP="00DF4124" w14:paraId="4DE0AB36" w14:textId="77777777">
      <w:pPr>
        <w:widowControl/>
        <w:jc w:val="center"/>
        <w:rPr>
          <w:sz w:val="28"/>
          <w:szCs w:val="28"/>
        </w:rPr>
      </w:pPr>
      <w:r w:rsidRPr="00106BBE">
        <w:rPr>
          <w:sz w:val="28"/>
          <w:szCs w:val="28"/>
        </w:rPr>
        <w:t>National Center on Birth Defects and Developmental Disabilities (NCBDDD)</w:t>
      </w:r>
    </w:p>
    <w:p w:rsidR="00DF4124" w:rsidRPr="00106BBE" w:rsidP="00DF4124" w14:paraId="3F150A9D" w14:textId="77777777">
      <w:pPr>
        <w:widowControl/>
        <w:jc w:val="center"/>
        <w:rPr>
          <w:sz w:val="28"/>
          <w:szCs w:val="28"/>
        </w:rPr>
      </w:pPr>
      <w:r w:rsidRPr="00106BBE">
        <w:rPr>
          <w:sz w:val="28"/>
          <w:szCs w:val="28"/>
        </w:rPr>
        <w:t>Centers for Disease Control and Prevention (CDC)</w:t>
      </w:r>
    </w:p>
    <w:p w:rsidR="00DF4124" w:rsidRPr="00106BBE" w:rsidP="00DF4124" w14:paraId="2544F444" w14:textId="77777777">
      <w:pPr>
        <w:widowControl/>
        <w:jc w:val="center"/>
        <w:rPr>
          <w:sz w:val="28"/>
          <w:szCs w:val="28"/>
        </w:rPr>
      </w:pPr>
      <w:r w:rsidRPr="00106BBE">
        <w:rPr>
          <w:sz w:val="28"/>
          <w:szCs w:val="28"/>
        </w:rPr>
        <w:t>Phone: (404) 498-3946</w:t>
      </w:r>
    </w:p>
    <w:p w:rsidR="00DF4124" w:rsidRPr="00106BBE" w:rsidP="00DF4124" w14:paraId="615B9644" w14:textId="0509C4F6">
      <w:pPr>
        <w:widowControl/>
        <w:jc w:val="center"/>
        <w:rPr>
          <w:sz w:val="28"/>
          <w:szCs w:val="28"/>
        </w:rPr>
      </w:pPr>
      <w:r w:rsidRPr="00106BBE">
        <w:rPr>
          <w:sz w:val="28"/>
          <w:szCs w:val="28"/>
        </w:rPr>
        <w:t>Fax:</w:t>
      </w:r>
      <w:r w:rsidR="00106BBE">
        <w:rPr>
          <w:sz w:val="28"/>
          <w:szCs w:val="28"/>
        </w:rPr>
        <w:t xml:space="preserve"> </w:t>
      </w:r>
      <w:r w:rsidRPr="00106BBE">
        <w:rPr>
          <w:sz w:val="28"/>
          <w:szCs w:val="28"/>
        </w:rPr>
        <w:t>(770) 488-3263</w:t>
      </w:r>
    </w:p>
    <w:p w:rsidR="00DF4124" w:rsidRPr="00106BBE" w:rsidP="00DF4124" w14:paraId="11A08613" w14:textId="62D5B734">
      <w:pPr>
        <w:widowControl/>
        <w:jc w:val="center"/>
        <w:rPr>
          <w:b/>
          <w:sz w:val="28"/>
          <w:szCs w:val="28"/>
        </w:rPr>
      </w:pPr>
      <w:r w:rsidRPr="00106BBE">
        <w:rPr>
          <w:sz w:val="28"/>
          <w:szCs w:val="28"/>
        </w:rPr>
        <w:t>Email:</w:t>
      </w:r>
      <w:r w:rsidR="00106BBE">
        <w:rPr>
          <w:sz w:val="28"/>
          <w:szCs w:val="28"/>
        </w:rPr>
        <w:t xml:space="preserve"> </w:t>
      </w:r>
      <w:r w:rsidRPr="00106BBE">
        <w:rPr>
          <w:sz w:val="28"/>
          <w:szCs w:val="28"/>
        </w:rPr>
        <w:t>EHA0@cdc.gov</w:t>
      </w:r>
    </w:p>
    <w:p w:rsidR="00DF4124" w:rsidRPr="00106BBE" w:rsidP="00DF4124" w14:paraId="5644326F" w14:textId="77777777">
      <w:pPr>
        <w:widowControl/>
        <w:jc w:val="center"/>
        <w:rPr>
          <w:b/>
          <w:sz w:val="28"/>
          <w:szCs w:val="28"/>
        </w:rPr>
      </w:pPr>
    </w:p>
    <w:p w:rsidR="00DF4124" w:rsidRPr="00106BBE" w:rsidP="00DF4124" w14:paraId="114FBA9F" w14:textId="77777777">
      <w:pPr>
        <w:widowControl/>
        <w:jc w:val="center"/>
        <w:rPr>
          <w:b/>
          <w:sz w:val="28"/>
          <w:szCs w:val="28"/>
        </w:rPr>
      </w:pPr>
    </w:p>
    <w:p w:rsidR="00DF4124" w:rsidRPr="00106BBE" w:rsidP="00DF4124" w14:paraId="3AB727A0" w14:textId="77777777">
      <w:pPr>
        <w:widowControl/>
        <w:jc w:val="center"/>
        <w:rPr>
          <w:b/>
          <w:sz w:val="28"/>
          <w:szCs w:val="28"/>
        </w:rPr>
      </w:pPr>
    </w:p>
    <w:p w:rsidR="00DF4124" w:rsidRPr="00106BBE" w:rsidP="00DF4124" w14:paraId="1F77F201" w14:textId="77777777">
      <w:pPr>
        <w:widowControl/>
        <w:jc w:val="center"/>
        <w:rPr>
          <w:b/>
          <w:sz w:val="28"/>
          <w:szCs w:val="28"/>
        </w:rPr>
      </w:pPr>
    </w:p>
    <w:p w:rsidR="00DF4124" w:rsidRPr="00106BBE" w:rsidP="00DF4124" w14:paraId="578BD1C6" w14:textId="77777777">
      <w:pPr>
        <w:widowControl/>
        <w:jc w:val="center"/>
        <w:rPr>
          <w:b/>
          <w:sz w:val="28"/>
          <w:szCs w:val="28"/>
        </w:rPr>
      </w:pPr>
    </w:p>
    <w:p w:rsidR="00DF4124" w:rsidRPr="00106BBE" w:rsidP="00DF4124" w14:paraId="29FB88B9" w14:textId="77777777">
      <w:pPr>
        <w:pStyle w:val="Title"/>
        <w:widowControl/>
        <w:jc w:val="left"/>
        <w:rPr>
          <w:rFonts w:ascii="Times New Roman" w:hAnsi="Times New Roman" w:cs="Times New Roman"/>
          <w:b/>
          <w:sz w:val="28"/>
          <w:szCs w:val="28"/>
        </w:rPr>
      </w:pPr>
    </w:p>
    <w:p w:rsidR="00DF4124" w:rsidRPr="00106BBE" w:rsidP="00DF4124" w14:paraId="31B8FB59" w14:textId="6F3B2B59">
      <w:pPr>
        <w:spacing w:line="480" w:lineRule="auto"/>
        <w:jc w:val="center"/>
        <w:rPr>
          <w:b/>
        </w:rPr>
      </w:pPr>
      <w:r>
        <w:rPr>
          <w:b/>
        </w:rPr>
        <w:t>October</w:t>
      </w:r>
      <w:r w:rsidRPr="00106BBE">
        <w:rPr>
          <w:b/>
        </w:rPr>
        <w:t xml:space="preserve"> </w:t>
      </w:r>
      <w:r>
        <w:rPr>
          <w:b/>
        </w:rPr>
        <w:t>4</w:t>
      </w:r>
      <w:r w:rsidRPr="00106BBE">
        <w:rPr>
          <w:b/>
        </w:rPr>
        <w:t>, 2022</w:t>
      </w:r>
    </w:p>
    <w:p w:rsidR="005D34F0" w:rsidRPr="00106BBE" w:rsidP="007E20C2" w14:paraId="04E97D2B" w14:textId="77777777">
      <w:pPr>
        <w:pStyle w:val="Title"/>
        <w:widowControl/>
        <w:rPr>
          <w:rFonts w:ascii="Times New Roman" w:hAnsi="Times New Roman" w:cs="Times New Roman"/>
          <w:b/>
          <w:sz w:val="24"/>
          <w:szCs w:val="24"/>
        </w:rPr>
      </w:pPr>
    </w:p>
    <w:p w:rsidR="005D34F0" w:rsidRPr="00106BBE" w:rsidP="007E20C2" w14:paraId="0C739E82" w14:textId="77777777">
      <w:pPr>
        <w:pStyle w:val="Title"/>
        <w:widowControl/>
        <w:rPr>
          <w:rFonts w:ascii="Times New Roman" w:hAnsi="Times New Roman" w:cs="Times New Roman"/>
          <w:b/>
          <w:sz w:val="24"/>
          <w:szCs w:val="24"/>
        </w:rPr>
      </w:pPr>
    </w:p>
    <w:p w:rsidR="004A309F" w:rsidRPr="00106BBE" w:rsidP="007E20C2" w14:paraId="4A94AA6E" w14:textId="15E33AFB">
      <w:pPr>
        <w:pStyle w:val="Title"/>
        <w:widowControl/>
        <w:rPr>
          <w:rFonts w:ascii="Times New Roman" w:hAnsi="Times New Roman" w:cs="Times New Roman"/>
          <w:b/>
          <w:sz w:val="24"/>
          <w:szCs w:val="24"/>
        </w:rPr>
      </w:pPr>
      <w:r w:rsidRPr="00106BBE">
        <w:rPr>
          <w:rFonts w:ascii="Times New Roman" w:hAnsi="Times New Roman" w:cs="Times New Roman"/>
          <w:b/>
          <w:sz w:val="24"/>
          <w:szCs w:val="24"/>
        </w:rPr>
        <w:t>Birth Defect</w:t>
      </w:r>
      <w:r w:rsidRPr="00106BBE" w:rsidR="004A403B">
        <w:rPr>
          <w:rFonts w:ascii="Times New Roman" w:hAnsi="Times New Roman" w:cs="Times New Roman"/>
          <w:b/>
          <w:sz w:val="24"/>
          <w:szCs w:val="24"/>
        </w:rPr>
        <w:t>s</w:t>
      </w:r>
      <w:r w:rsidRPr="00106BBE">
        <w:rPr>
          <w:rFonts w:ascii="Times New Roman" w:hAnsi="Times New Roman" w:cs="Times New Roman"/>
          <w:b/>
          <w:sz w:val="24"/>
          <w:szCs w:val="24"/>
        </w:rPr>
        <w:t xml:space="preserve"> Study</w:t>
      </w:r>
      <w:r w:rsidRPr="00106BBE" w:rsidR="002D1C35">
        <w:rPr>
          <w:rFonts w:ascii="Times New Roman" w:hAnsi="Times New Roman" w:cs="Times New Roman"/>
          <w:b/>
          <w:sz w:val="24"/>
          <w:szCs w:val="24"/>
        </w:rPr>
        <w:t xml:space="preserve"> </w:t>
      </w:r>
      <w:r w:rsidRPr="00106BBE" w:rsidR="00E941B9">
        <w:rPr>
          <w:rFonts w:ascii="Times New Roman" w:hAnsi="Times New Roman" w:cs="Times New Roman"/>
          <w:b/>
          <w:sz w:val="24"/>
          <w:szCs w:val="24"/>
        </w:rPr>
        <w:t>T</w:t>
      </w:r>
      <w:r w:rsidRPr="00106BBE" w:rsidR="002D1C35">
        <w:rPr>
          <w:rFonts w:ascii="Times New Roman" w:hAnsi="Times New Roman" w:cs="Times New Roman"/>
          <w:b/>
          <w:sz w:val="24"/>
          <w:szCs w:val="24"/>
        </w:rPr>
        <w:t xml:space="preserve">o Evaluate Pregnancy </w:t>
      </w:r>
      <w:r w:rsidRPr="00106BBE" w:rsidR="002D1C35">
        <w:rPr>
          <w:rFonts w:ascii="Times New Roman" w:hAnsi="Times New Roman" w:cs="Times New Roman"/>
          <w:b/>
          <w:sz w:val="24"/>
          <w:szCs w:val="24"/>
        </w:rPr>
        <w:t>exposureS</w:t>
      </w:r>
    </w:p>
    <w:p w:rsidR="005D34F0" w:rsidRPr="00106BBE" w:rsidP="007E20C2" w14:paraId="445B298F" w14:textId="77777777">
      <w:pPr>
        <w:pStyle w:val="Title"/>
        <w:widowControl/>
        <w:jc w:val="left"/>
        <w:rPr>
          <w:rFonts w:ascii="Times New Roman" w:hAnsi="Times New Roman" w:cs="Times New Roman"/>
          <w:b/>
          <w:sz w:val="24"/>
          <w:szCs w:val="24"/>
        </w:rPr>
      </w:pPr>
    </w:p>
    <w:p w:rsidR="008F42C3" w:rsidRPr="00106BBE" w:rsidP="007E20C2" w14:paraId="7856267E" w14:textId="77777777">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rsidR="004A309F" w:rsidRPr="00106BBE" w:rsidP="007E20C2" w14:paraId="1C0F9DEC" w14:textId="77777777">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r w:rsidRPr="00106BBE">
        <w:rPr>
          <w:rFonts w:ascii="Times New Roman" w:hAnsi="Times New Roman" w:cs="Times New Roman"/>
          <w:b/>
          <w:bCs/>
          <w:sz w:val="24"/>
          <w:szCs w:val="24"/>
          <w:u w:val="none"/>
        </w:rPr>
        <w:t>B.</w:t>
      </w:r>
      <w:r w:rsidRPr="00106BBE">
        <w:rPr>
          <w:rFonts w:ascii="Times New Roman" w:hAnsi="Times New Roman" w:cs="Times New Roman"/>
          <w:b/>
          <w:bCs/>
          <w:sz w:val="24"/>
          <w:szCs w:val="24"/>
          <w:u w:val="none"/>
        </w:rPr>
        <w:tab/>
        <w:t>Collection of Information Employing Statistical Methods</w:t>
      </w:r>
    </w:p>
    <w:p w:rsidR="00B00B94" w:rsidRPr="00106BBE" w:rsidP="007E20C2" w14:paraId="1E2A1AD0" w14:textId="498F9A89"/>
    <w:p w:rsidR="004A309F" w:rsidRPr="00106BBE" w:rsidP="00913E13" w14:paraId="50535A41" w14:textId="00DBEF56">
      <w:pPr>
        <w:pStyle w:val="Heading2"/>
        <w:spacing w:line="360" w:lineRule="auto"/>
        <w:rPr>
          <w:u w:val="single"/>
        </w:rPr>
      </w:pPr>
      <w:r w:rsidRPr="00106BBE">
        <w:rPr>
          <w:u w:val="single"/>
        </w:rPr>
        <w:t>B.1.</w:t>
      </w:r>
      <w:r w:rsidRPr="00106BBE">
        <w:rPr>
          <w:u w:val="single"/>
        </w:rPr>
        <w:tab/>
        <w:t>Respondent Universe and Sampling Methods</w:t>
      </w:r>
      <w:r w:rsidRPr="00106BBE" w:rsidR="00552066">
        <w:rPr>
          <w:u w:val="single"/>
        </w:rPr>
        <w:t xml:space="preserve"> </w:t>
      </w:r>
    </w:p>
    <w:p w:rsidR="008C11FA" w:rsidRPr="00106BBE" w:rsidP="00913E13" w14:paraId="2765FD41" w14:textId="77777777">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hanging="864"/>
        <w:jc w:val="both"/>
      </w:pPr>
    </w:p>
    <w:p w:rsidR="004A309F" w:rsidRPr="00106BBE" w:rsidP="00913E13" w14:paraId="28BA4E66" w14:textId="7B93EA4D">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rPr>
          <w:rFonts w:ascii="Times New Roman" w:hAnsi="Times New Roman" w:cs="Times New Roman"/>
          <w:sz w:val="24"/>
          <w:szCs w:val="24"/>
        </w:rPr>
      </w:pPr>
      <w:r w:rsidRPr="00106BBE">
        <w:rPr>
          <w:rFonts w:ascii="Times New Roman" w:hAnsi="Times New Roman" w:cs="Times New Roman"/>
          <w:sz w:val="24"/>
          <w:szCs w:val="24"/>
        </w:rPr>
        <w:t xml:space="preserve">Seven Centers for Birth Defects Research and Prevention (CBDRP) currently participate in BD-STEPS: Arkansas (AR), California (CA), Iowa (IA), Massachusetts (MA), North Carolina (NC), New York (NY), and CDC/NCBDDD’s Division of </w:t>
      </w:r>
      <w:r w:rsidRPr="00106BBE" w:rsidR="00E941B9">
        <w:rPr>
          <w:rFonts w:ascii="Times New Roman" w:hAnsi="Times New Roman" w:cs="Times New Roman"/>
          <w:sz w:val="24"/>
          <w:szCs w:val="24"/>
        </w:rPr>
        <w:t>Birth Defects and Infant Disorders</w:t>
      </w:r>
      <w:r w:rsidRPr="00106BBE">
        <w:rPr>
          <w:rFonts w:ascii="Times New Roman" w:hAnsi="Times New Roman" w:cs="Times New Roman"/>
          <w:sz w:val="24"/>
          <w:szCs w:val="24"/>
        </w:rPr>
        <w:t xml:space="preserve"> (D</w:t>
      </w:r>
      <w:r w:rsidRPr="00106BBE" w:rsidR="00E941B9">
        <w:rPr>
          <w:rFonts w:ascii="Times New Roman" w:hAnsi="Times New Roman" w:cs="Times New Roman"/>
          <w:sz w:val="24"/>
          <w:szCs w:val="24"/>
        </w:rPr>
        <w:t>BDID</w:t>
      </w:r>
      <w:r w:rsidRPr="00106BBE">
        <w:rPr>
          <w:rFonts w:ascii="Times New Roman" w:hAnsi="Times New Roman" w:cs="Times New Roman"/>
          <w:sz w:val="24"/>
          <w:szCs w:val="24"/>
        </w:rPr>
        <w:t>) serves as the site of record for Georgia (GA)</w:t>
      </w:r>
      <w:r w:rsidRPr="00106BBE" w:rsidR="00C27AAD">
        <w:rPr>
          <w:rFonts w:ascii="Times New Roman" w:hAnsi="Times New Roman" w:cs="Times New Roman"/>
          <w:sz w:val="24"/>
          <w:szCs w:val="24"/>
        </w:rPr>
        <w:t xml:space="preserve"> </w:t>
      </w:r>
      <w:r w:rsidRPr="00106BBE">
        <w:rPr>
          <w:rFonts w:ascii="Times New Roman" w:hAnsi="Times New Roman" w:cs="Times New Roman"/>
          <w:sz w:val="24"/>
          <w:szCs w:val="24"/>
        </w:rPr>
        <w:t>.</w:t>
      </w:r>
      <w:r w:rsidR="00106BBE">
        <w:rPr>
          <w:rFonts w:ascii="Times New Roman" w:hAnsi="Times New Roman" w:cs="Times New Roman"/>
          <w:sz w:val="24"/>
          <w:szCs w:val="24"/>
        </w:rPr>
        <w:t xml:space="preserve"> </w:t>
      </w:r>
      <w:r w:rsidRPr="00106BBE">
        <w:rPr>
          <w:rFonts w:ascii="Times New Roman" w:hAnsi="Times New Roman" w:cs="Times New Roman"/>
          <w:sz w:val="24"/>
          <w:szCs w:val="24"/>
        </w:rPr>
        <w:t xml:space="preserve">Cases for </w:t>
      </w:r>
      <w:r w:rsidRPr="00106BBE" w:rsidR="00C23454">
        <w:rPr>
          <w:rFonts w:ascii="Times New Roman" w:hAnsi="Times New Roman" w:cs="Times New Roman"/>
          <w:sz w:val="24"/>
          <w:szCs w:val="24"/>
        </w:rPr>
        <w:t xml:space="preserve">BD-STEPS </w:t>
      </w:r>
      <w:r w:rsidRPr="00106BBE">
        <w:rPr>
          <w:rFonts w:ascii="Times New Roman" w:hAnsi="Times New Roman" w:cs="Times New Roman"/>
          <w:sz w:val="24"/>
          <w:szCs w:val="24"/>
        </w:rPr>
        <w:t xml:space="preserve">in Atlanta are selected from the </w:t>
      </w:r>
      <w:r w:rsidRPr="00106BBE">
        <w:rPr>
          <w:rFonts w:ascii="Times New Roman" w:hAnsi="Times New Roman" w:cs="Times New Roman"/>
          <w:sz w:val="24"/>
          <w:szCs w:val="24"/>
        </w:rPr>
        <w:t>Metropolitan Atlanta Congenital Defects Program (</w:t>
      </w:r>
      <w:r w:rsidRPr="00106BBE">
        <w:rPr>
          <w:rFonts w:ascii="Times New Roman" w:hAnsi="Times New Roman" w:cs="Times New Roman"/>
          <w:sz w:val="24"/>
          <w:szCs w:val="24"/>
        </w:rPr>
        <w:t>MACDP</w:t>
      </w:r>
      <w:r w:rsidRPr="00106BBE">
        <w:rPr>
          <w:rFonts w:ascii="Times New Roman" w:hAnsi="Times New Roman" w:cs="Times New Roman"/>
          <w:sz w:val="24"/>
          <w:szCs w:val="24"/>
        </w:rPr>
        <w:t>)</w:t>
      </w:r>
      <w:r w:rsidRPr="00106BBE">
        <w:rPr>
          <w:rFonts w:ascii="Times New Roman" w:hAnsi="Times New Roman" w:cs="Times New Roman"/>
          <w:sz w:val="24"/>
          <w:szCs w:val="24"/>
        </w:rPr>
        <w:t xml:space="preserve"> surveillance system</w:t>
      </w:r>
      <w:r w:rsidRPr="00106BBE" w:rsidR="00C23454">
        <w:rPr>
          <w:rFonts w:ascii="Times New Roman" w:hAnsi="Times New Roman" w:cs="Times New Roman"/>
          <w:sz w:val="24"/>
          <w:szCs w:val="24"/>
        </w:rPr>
        <w:t>, and cases for all other Centers are selected from established state surveillance systems</w:t>
      </w:r>
      <w:r w:rsidRPr="00106BBE">
        <w:rPr>
          <w:rFonts w:ascii="Times New Roman" w:hAnsi="Times New Roman" w:cs="Times New Roman"/>
          <w:sz w:val="24"/>
          <w:szCs w:val="24"/>
        </w:rPr>
        <w:t>.</w:t>
      </w:r>
      <w:r w:rsidR="00106BBE">
        <w:rPr>
          <w:rFonts w:ascii="Times New Roman" w:hAnsi="Times New Roman" w:cs="Times New Roman"/>
          <w:sz w:val="24"/>
          <w:szCs w:val="24"/>
        </w:rPr>
        <w:t xml:space="preserve"> </w:t>
      </w:r>
      <w:r w:rsidRPr="00106BBE">
        <w:rPr>
          <w:rFonts w:ascii="Times New Roman" w:hAnsi="Times New Roman" w:cs="Times New Roman"/>
          <w:sz w:val="24"/>
          <w:szCs w:val="24"/>
        </w:rPr>
        <w:t xml:space="preserve">The collection of information for cases of selected birth defects does not employ statistical methods because all infants with </w:t>
      </w:r>
      <w:r w:rsidRPr="00106BBE" w:rsidR="003E7209">
        <w:rPr>
          <w:rFonts w:ascii="Times New Roman" w:hAnsi="Times New Roman" w:cs="Times New Roman"/>
          <w:sz w:val="24"/>
          <w:szCs w:val="24"/>
        </w:rPr>
        <w:t xml:space="preserve">one of </w:t>
      </w:r>
      <w:r w:rsidRPr="00106BBE">
        <w:rPr>
          <w:rFonts w:ascii="Times New Roman" w:hAnsi="Times New Roman" w:cs="Times New Roman"/>
          <w:sz w:val="24"/>
          <w:szCs w:val="24"/>
        </w:rPr>
        <w:t>the</w:t>
      </w:r>
      <w:r w:rsidRPr="00106BBE" w:rsidR="002D439D">
        <w:rPr>
          <w:rFonts w:ascii="Times New Roman" w:hAnsi="Times New Roman" w:cs="Times New Roman"/>
          <w:sz w:val="24"/>
          <w:szCs w:val="24"/>
        </w:rPr>
        <w:t xml:space="preserve"> </w:t>
      </w:r>
      <w:r w:rsidRPr="00106BBE" w:rsidR="00940466">
        <w:rPr>
          <w:rFonts w:ascii="Times New Roman" w:hAnsi="Times New Roman" w:cs="Times New Roman"/>
          <w:sz w:val="24"/>
          <w:szCs w:val="24"/>
        </w:rPr>
        <w:t>22</w:t>
      </w:r>
      <w:r w:rsidRPr="00106BBE">
        <w:rPr>
          <w:rFonts w:ascii="Times New Roman" w:hAnsi="Times New Roman" w:cs="Times New Roman"/>
          <w:sz w:val="24"/>
          <w:szCs w:val="24"/>
        </w:rPr>
        <w:t xml:space="preserve"> birth defects are included</w:t>
      </w:r>
      <w:r w:rsidRPr="00106BBE" w:rsidR="00600C82">
        <w:rPr>
          <w:rFonts w:ascii="Times New Roman" w:hAnsi="Times New Roman" w:cs="Times New Roman"/>
          <w:sz w:val="24"/>
          <w:szCs w:val="24"/>
        </w:rPr>
        <w:t xml:space="preserve"> (see </w:t>
      </w:r>
      <w:r w:rsidRPr="00106BBE" w:rsidR="00D67E8D">
        <w:rPr>
          <w:rFonts w:ascii="Times New Roman" w:hAnsi="Times New Roman" w:cs="Times New Roman"/>
          <w:b/>
          <w:sz w:val="24"/>
          <w:szCs w:val="24"/>
        </w:rPr>
        <w:t>Attachment</w:t>
      </w:r>
      <w:r w:rsidRPr="00106BBE" w:rsidR="00600C82">
        <w:rPr>
          <w:rFonts w:ascii="Times New Roman" w:hAnsi="Times New Roman" w:cs="Times New Roman"/>
          <w:sz w:val="24"/>
          <w:szCs w:val="24"/>
        </w:rPr>
        <w:t xml:space="preserve"> </w:t>
      </w:r>
      <w:r w:rsidRPr="00106BBE" w:rsidR="00FA117E">
        <w:rPr>
          <w:rFonts w:ascii="Times New Roman" w:hAnsi="Times New Roman" w:cs="Times New Roman"/>
          <w:b/>
          <w:sz w:val="24"/>
          <w:szCs w:val="24"/>
        </w:rPr>
        <w:t>J</w:t>
      </w:r>
      <w:r w:rsidRPr="00106BBE" w:rsidR="00600C82">
        <w:rPr>
          <w:rFonts w:ascii="Times New Roman" w:hAnsi="Times New Roman" w:cs="Times New Roman"/>
          <w:sz w:val="24"/>
          <w:szCs w:val="24"/>
        </w:rPr>
        <w:t>)</w:t>
      </w:r>
      <w:r w:rsidRPr="00106BBE" w:rsidR="00C23454">
        <w:rPr>
          <w:rFonts w:ascii="Times New Roman" w:hAnsi="Times New Roman" w:cs="Times New Roman"/>
          <w:sz w:val="24"/>
          <w:szCs w:val="24"/>
        </w:rPr>
        <w:t xml:space="preserve"> in </w:t>
      </w:r>
      <w:r w:rsidRPr="00106BBE" w:rsidR="00622D1F">
        <w:rPr>
          <w:rFonts w:ascii="Times New Roman" w:hAnsi="Times New Roman" w:cs="Times New Roman"/>
          <w:sz w:val="24"/>
          <w:szCs w:val="24"/>
        </w:rPr>
        <w:t xml:space="preserve">the state birth defects </w:t>
      </w:r>
      <w:r w:rsidRPr="00106BBE" w:rsidR="00C23454">
        <w:rPr>
          <w:rFonts w:ascii="Times New Roman" w:hAnsi="Times New Roman" w:cs="Times New Roman"/>
          <w:sz w:val="24"/>
          <w:szCs w:val="24"/>
        </w:rPr>
        <w:t>surveillance systems</w:t>
      </w:r>
      <w:r w:rsidRPr="00106BBE" w:rsidR="00622D1F">
        <w:rPr>
          <w:rFonts w:ascii="Times New Roman" w:hAnsi="Times New Roman" w:cs="Times New Roman"/>
          <w:sz w:val="24"/>
          <w:szCs w:val="24"/>
        </w:rPr>
        <w:t xml:space="preserve"> from which eligible cases are ascertained, and all cases with an eligible defect are include</w:t>
      </w:r>
      <w:r w:rsidRPr="00106BBE" w:rsidR="00E72777">
        <w:rPr>
          <w:rFonts w:ascii="Times New Roman" w:hAnsi="Times New Roman" w:cs="Times New Roman"/>
          <w:sz w:val="24"/>
          <w:szCs w:val="24"/>
        </w:rPr>
        <w:t>d</w:t>
      </w:r>
      <w:r w:rsidRPr="00106BBE">
        <w:rPr>
          <w:rFonts w:ascii="Times New Roman" w:hAnsi="Times New Roman" w:cs="Times New Roman"/>
          <w:sz w:val="24"/>
          <w:szCs w:val="24"/>
        </w:rPr>
        <w:t>, not just</w:t>
      </w:r>
      <w:r w:rsidRPr="00106BBE" w:rsidR="00E72777">
        <w:rPr>
          <w:rFonts w:ascii="Times New Roman" w:hAnsi="Times New Roman" w:cs="Times New Roman"/>
          <w:sz w:val="24"/>
          <w:szCs w:val="24"/>
        </w:rPr>
        <w:t xml:space="preserve"> a</w:t>
      </w:r>
      <w:r w:rsidRPr="00106BBE">
        <w:rPr>
          <w:rFonts w:ascii="Times New Roman" w:hAnsi="Times New Roman" w:cs="Times New Roman"/>
          <w:sz w:val="24"/>
          <w:szCs w:val="24"/>
        </w:rPr>
        <w:t xml:space="preserve"> sample</w:t>
      </w:r>
      <w:r w:rsidRPr="00106BBE" w:rsidR="00E72777">
        <w:rPr>
          <w:rFonts w:ascii="Times New Roman" w:hAnsi="Times New Roman" w:cs="Times New Roman"/>
          <w:sz w:val="24"/>
          <w:szCs w:val="24"/>
        </w:rPr>
        <w:t xml:space="preserve"> of case</w:t>
      </w:r>
      <w:r w:rsidRPr="00106BBE" w:rsidR="00C23454">
        <w:rPr>
          <w:rFonts w:ascii="Times New Roman" w:hAnsi="Times New Roman" w:cs="Times New Roman"/>
          <w:sz w:val="24"/>
          <w:szCs w:val="24"/>
        </w:rPr>
        <w:t>s</w:t>
      </w:r>
      <w:r w:rsidRPr="00106BBE">
        <w:rPr>
          <w:rFonts w:ascii="Times New Roman" w:hAnsi="Times New Roman" w:cs="Times New Roman"/>
          <w:sz w:val="24"/>
          <w:szCs w:val="24"/>
        </w:rPr>
        <w:t>.</w:t>
      </w:r>
      <w:r w:rsidR="00106BBE">
        <w:rPr>
          <w:rFonts w:ascii="Times New Roman" w:hAnsi="Times New Roman" w:cs="Times New Roman"/>
          <w:sz w:val="24"/>
          <w:szCs w:val="24"/>
        </w:rPr>
        <w:t xml:space="preserve"> </w:t>
      </w:r>
      <w:r w:rsidRPr="00106BBE">
        <w:rPr>
          <w:rFonts w:ascii="Times New Roman" w:hAnsi="Times New Roman" w:cs="Times New Roman"/>
          <w:sz w:val="24"/>
          <w:szCs w:val="24"/>
        </w:rPr>
        <w:t xml:space="preserve">Individual birth defects are rare </w:t>
      </w:r>
      <w:r w:rsidRPr="00106BBE" w:rsidR="00DC1609">
        <w:rPr>
          <w:rFonts w:ascii="Times New Roman" w:hAnsi="Times New Roman" w:cs="Times New Roman"/>
          <w:sz w:val="24"/>
          <w:szCs w:val="24"/>
        </w:rPr>
        <w:t>occurrences,</w:t>
      </w:r>
      <w:r w:rsidRPr="00106BBE">
        <w:rPr>
          <w:rFonts w:ascii="Times New Roman" w:hAnsi="Times New Roman" w:cs="Times New Roman"/>
          <w:sz w:val="24"/>
          <w:szCs w:val="24"/>
        </w:rPr>
        <w:t xml:space="preserve"> so it is necessary to ascertain all cases in order to have enough cases of specific defects to study. </w:t>
      </w:r>
      <w:r w:rsidRPr="00106BBE" w:rsidR="00F30F40">
        <w:rPr>
          <w:rFonts w:ascii="Times New Roman" w:hAnsi="Times New Roman" w:cs="Times New Roman"/>
          <w:sz w:val="24"/>
          <w:szCs w:val="24"/>
        </w:rPr>
        <w:t xml:space="preserve">Two Centers </w:t>
      </w:r>
      <w:r w:rsidRPr="00106BBE" w:rsidR="00895AD4">
        <w:rPr>
          <w:rFonts w:ascii="Times New Roman" w:hAnsi="Times New Roman" w:cs="Times New Roman"/>
          <w:sz w:val="24"/>
          <w:szCs w:val="24"/>
        </w:rPr>
        <w:t xml:space="preserve">also </w:t>
      </w:r>
      <w:r w:rsidRPr="00106BBE" w:rsidR="00F30F40">
        <w:rPr>
          <w:rFonts w:ascii="Times New Roman" w:hAnsi="Times New Roman" w:cs="Times New Roman"/>
          <w:sz w:val="24"/>
          <w:szCs w:val="24"/>
        </w:rPr>
        <w:t xml:space="preserve">collect information for all stillbirths without major defects </w:t>
      </w:r>
      <w:r w:rsidRPr="00106BBE" w:rsidR="00FA117E">
        <w:rPr>
          <w:rFonts w:ascii="Times New Roman" w:hAnsi="Times New Roman" w:cs="Times New Roman"/>
          <w:sz w:val="24"/>
          <w:szCs w:val="24"/>
        </w:rPr>
        <w:t xml:space="preserve">(see </w:t>
      </w:r>
      <w:r w:rsidRPr="00106BBE" w:rsidR="00FA117E">
        <w:rPr>
          <w:rFonts w:ascii="Times New Roman" w:hAnsi="Times New Roman" w:cs="Times New Roman"/>
          <w:b/>
          <w:sz w:val="24"/>
          <w:szCs w:val="24"/>
        </w:rPr>
        <w:t>Attachment</w:t>
      </w:r>
      <w:r w:rsidRPr="00106BBE" w:rsidR="00FA117E">
        <w:rPr>
          <w:rFonts w:ascii="Times New Roman" w:hAnsi="Times New Roman" w:cs="Times New Roman"/>
          <w:sz w:val="24"/>
          <w:szCs w:val="24"/>
        </w:rPr>
        <w:t xml:space="preserve"> </w:t>
      </w:r>
      <w:r w:rsidRPr="00106BBE" w:rsidR="00FA117E">
        <w:rPr>
          <w:rFonts w:ascii="Times New Roman" w:hAnsi="Times New Roman" w:cs="Times New Roman"/>
          <w:b/>
          <w:sz w:val="24"/>
          <w:szCs w:val="24"/>
        </w:rPr>
        <w:t>K</w:t>
      </w:r>
      <w:r w:rsidRPr="00106BBE" w:rsidR="00FA117E">
        <w:rPr>
          <w:rFonts w:ascii="Times New Roman" w:hAnsi="Times New Roman" w:cs="Times New Roman"/>
          <w:sz w:val="24"/>
          <w:szCs w:val="24"/>
        </w:rPr>
        <w:t xml:space="preserve">) </w:t>
      </w:r>
      <w:r w:rsidRPr="00106BBE" w:rsidR="00F30F40">
        <w:rPr>
          <w:rFonts w:ascii="Times New Roman" w:hAnsi="Times New Roman" w:cs="Times New Roman"/>
          <w:sz w:val="24"/>
          <w:szCs w:val="24"/>
        </w:rPr>
        <w:t>in the</w:t>
      </w:r>
      <w:r w:rsidRPr="00106BBE" w:rsidR="00622D1F">
        <w:rPr>
          <w:rFonts w:ascii="Times New Roman" w:hAnsi="Times New Roman" w:cs="Times New Roman"/>
          <w:sz w:val="24"/>
          <w:szCs w:val="24"/>
        </w:rPr>
        <w:t>ir</w:t>
      </w:r>
      <w:r w:rsidRPr="00106BBE" w:rsidR="00F30F40">
        <w:rPr>
          <w:rFonts w:ascii="Times New Roman" w:hAnsi="Times New Roman" w:cs="Times New Roman"/>
          <w:sz w:val="24"/>
          <w:szCs w:val="24"/>
        </w:rPr>
        <w:t xml:space="preserve"> respective </w:t>
      </w:r>
      <w:r w:rsidRPr="00106BBE" w:rsidR="00622D1F">
        <w:rPr>
          <w:rFonts w:ascii="Times New Roman" w:hAnsi="Times New Roman" w:cs="Times New Roman"/>
          <w:sz w:val="24"/>
          <w:szCs w:val="24"/>
        </w:rPr>
        <w:t>study area</w:t>
      </w:r>
      <w:r w:rsidRPr="00106BBE" w:rsidR="00F30F40">
        <w:rPr>
          <w:rFonts w:ascii="Times New Roman" w:hAnsi="Times New Roman" w:cs="Times New Roman"/>
          <w:sz w:val="24"/>
          <w:szCs w:val="24"/>
        </w:rPr>
        <w:t xml:space="preserve">. </w:t>
      </w:r>
      <w:r w:rsidRPr="00106BBE">
        <w:rPr>
          <w:rFonts w:ascii="Times New Roman" w:hAnsi="Times New Roman" w:cs="Times New Roman"/>
          <w:sz w:val="24"/>
          <w:szCs w:val="24"/>
        </w:rPr>
        <w:t xml:space="preserve">However, the controls in </w:t>
      </w:r>
      <w:r w:rsidRPr="00106BBE" w:rsidR="00C23454">
        <w:rPr>
          <w:rFonts w:ascii="Times New Roman" w:hAnsi="Times New Roman" w:cs="Times New Roman"/>
          <w:sz w:val="24"/>
          <w:szCs w:val="24"/>
        </w:rPr>
        <w:t xml:space="preserve">BD-STEPS </w:t>
      </w:r>
      <w:r w:rsidRPr="00106BBE">
        <w:rPr>
          <w:rFonts w:ascii="Times New Roman" w:hAnsi="Times New Roman" w:cs="Times New Roman"/>
          <w:sz w:val="24"/>
          <w:szCs w:val="24"/>
        </w:rPr>
        <w:t xml:space="preserve">are selected by a sampling process. </w:t>
      </w:r>
    </w:p>
    <w:p w:rsidR="004A309F" w:rsidRPr="00106BBE" w:rsidP="00913E13" w14:paraId="0E5E7048"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rPr>
          <w:highlight w:val="yellow"/>
        </w:rPr>
      </w:pPr>
    </w:p>
    <w:p w:rsidR="008D5258" w:rsidRPr="00106BBE" w:rsidP="00913E13" w14:paraId="580629BC" w14:textId="68EE25A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06BBE">
        <w:t xml:space="preserve">For BD-STEPS, each of the CBDRP will select randomly from the population (from either vital records or hospital birth logs) approximately </w:t>
      </w:r>
      <w:r w:rsidRPr="00106BBE" w:rsidR="0017231B">
        <w:t xml:space="preserve">100 </w:t>
      </w:r>
      <w:r w:rsidRPr="00106BBE">
        <w:t>eligible controls each year for inclusion in the study. Whether hospital records or birth certificates are used as the source for control</w:t>
      </w:r>
      <w:r w:rsidRPr="00106BBE" w:rsidR="00895AD4">
        <w:t xml:space="preserve"> </w:t>
      </w:r>
      <w:r w:rsidRPr="00106BBE">
        <w:t>infants, the records are reviewed to ensure that, given the available information, the selected control-infant does not have a birth defect. Records are also reviewed to abstract information for the purpose of follow up and contact.</w:t>
      </w:r>
      <w:r w:rsidR="00106BBE">
        <w:t xml:space="preserve"> </w:t>
      </w:r>
    </w:p>
    <w:p w:rsidR="001E164D" w:rsidRPr="00106BBE" w:rsidP="007E20C2" w14:paraId="7F7BF83F" w14:textId="1B8E5D38">
      <w:pPr>
        <w:widowControl/>
        <w:tabs>
          <w:tab w:val="left" w:pos="0"/>
          <w:tab w:val="left" w:pos="864"/>
          <w:tab w:val="left" w:pos="1440"/>
          <w:tab w:val="left" w:pos="2016"/>
          <w:tab w:val="left" w:pos="6192"/>
          <w:tab w:val="left" w:pos="6480"/>
          <w:tab w:val="left" w:pos="7200"/>
          <w:tab w:val="left" w:pos="7920"/>
          <w:tab w:val="left" w:pos="8640"/>
          <w:tab w:val="left" w:pos="9360"/>
        </w:tabs>
      </w:pPr>
      <w:r w:rsidRPr="00106BBE">
        <w:t xml:space="preserve"> </w:t>
      </w:r>
    </w:p>
    <w:p w:rsidR="001E164D" w:rsidRPr="00106BBE" w14:paraId="3F9ADE59" w14:textId="77777777">
      <w:pPr>
        <w:widowControl/>
        <w:autoSpaceDE/>
        <w:autoSpaceDN/>
        <w:adjustRightInd/>
      </w:pPr>
      <w:r w:rsidRPr="00106BBE">
        <w:br w:type="page"/>
      </w:r>
    </w:p>
    <w:p w:rsidR="004A309F" w:rsidRPr="00106BBE" w:rsidP="007E20C2" w14:paraId="523021D2"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highlight w:val="yellow"/>
        </w:rPr>
      </w:pPr>
    </w:p>
    <w:p w:rsidR="008C11FA" w:rsidRPr="00106BBE" w:rsidP="00BD118A" w14:paraId="1D2DE22B" w14:textId="48D45744">
      <w:pPr>
        <w:pStyle w:val="Heading3"/>
        <w:tabs>
          <w:tab w:val="clear" w:pos="0"/>
        </w:tabs>
        <w:ind w:left="-990"/>
        <w:rPr>
          <w:sz w:val="24"/>
          <w:szCs w:val="24"/>
        </w:rPr>
      </w:pPr>
      <w:r w:rsidRPr="00106BBE">
        <w:rPr>
          <w:sz w:val="24"/>
          <w:szCs w:val="24"/>
        </w:rPr>
        <w:t xml:space="preserve">Table B.1. BD-STEPS </w:t>
      </w:r>
      <w:r w:rsidRPr="00106BBE" w:rsidR="00AD71FA">
        <w:rPr>
          <w:sz w:val="24"/>
          <w:szCs w:val="24"/>
        </w:rPr>
        <w:t xml:space="preserve">Potential Sample </w:t>
      </w:r>
      <w:r w:rsidRPr="00106BBE">
        <w:rPr>
          <w:sz w:val="24"/>
          <w:szCs w:val="24"/>
        </w:rPr>
        <w:t>of Respondents.</w:t>
      </w:r>
    </w:p>
    <w:tbl>
      <w:tblPr>
        <w:tblW w:w="11245" w:type="dxa"/>
        <w:tblInd w:w="-990" w:type="dxa"/>
        <w:tblLayout w:type="fixed"/>
        <w:tblCellMar>
          <w:left w:w="29" w:type="dxa"/>
          <w:right w:w="29" w:type="dxa"/>
        </w:tblCellMar>
        <w:tblLook w:val="04A0"/>
      </w:tblPr>
      <w:tblGrid>
        <w:gridCol w:w="1345"/>
        <w:gridCol w:w="1260"/>
        <w:gridCol w:w="8"/>
        <w:gridCol w:w="1342"/>
        <w:gridCol w:w="1260"/>
        <w:gridCol w:w="1170"/>
        <w:gridCol w:w="1530"/>
        <w:gridCol w:w="1620"/>
        <w:gridCol w:w="1710"/>
      </w:tblGrid>
      <w:tr w14:paraId="44D4D42B" w14:textId="431855B2" w:rsidTr="00BD118A">
        <w:tblPrEx>
          <w:tblW w:w="11245" w:type="dxa"/>
          <w:tblInd w:w="-990" w:type="dxa"/>
          <w:tblLayout w:type="fixed"/>
          <w:tblCellMar>
            <w:left w:w="29" w:type="dxa"/>
            <w:right w:w="29" w:type="dxa"/>
          </w:tblCellMar>
          <w:tblLook w:val="04A0"/>
        </w:tblPrEx>
        <w:trPr>
          <w:trHeight w:val="278"/>
        </w:trPr>
        <w:tc>
          <w:tcPr>
            <w:tcW w:w="2613" w:type="dxa"/>
            <w:gridSpan w:val="3"/>
            <w:tcBorders>
              <w:top w:val="single" w:sz="4" w:space="0" w:color="auto"/>
              <w:left w:val="single" w:sz="4" w:space="0" w:color="auto"/>
              <w:bottom w:val="single" w:sz="4" w:space="0" w:color="auto"/>
              <w:right w:val="nil"/>
            </w:tcBorders>
            <w:shd w:val="clear" w:color="auto" w:fill="auto"/>
            <w:vAlign w:val="center"/>
            <w:hideMark/>
          </w:tcPr>
          <w:p w:rsidR="00C95CFC" w:rsidRPr="00106BBE" w:rsidP="001B7450" w14:paraId="654EF41E"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8632" w:type="dxa"/>
            <w:gridSpan w:val="6"/>
            <w:tcBorders>
              <w:top w:val="single" w:sz="4" w:space="0" w:color="auto"/>
              <w:left w:val="single" w:sz="4" w:space="0" w:color="auto"/>
              <w:bottom w:val="single" w:sz="4" w:space="0" w:color="auto"/>
              <w:right w:val="single" w:sz="4" w:space="0" w:color="auto"/>
            </w:tcBorders>
          </w:tcPr>
          <w:p w:rsidR="00C95CFC" w:rsidRPr="00106BBE" w:rsidP="00C95CFC" w14:paraId="179C5C57" w14:textId="7194099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 xml:space="preserve">Annual Number of Interviews by Type of Respondent and Site Type </w:t>
            </w:r>
          </w:p>
        </w:tc>
      </w:tr>
      <w:tr w14:paraId="3138D63F" w14:textId="648F44CE" w:rsidTr="00BD118A">
        <w:tblPrEx>
          <w:tblW w:w="11245" w:type="dxa"/>
          <w:tblInd w:w="-990" w:type="dxa"/>
          <w:tblLayout w:type="fixed"/>
          <w:tblCellMar>
            <w:left w:w="29" w:type="dxa"/>
            <w:right w:w="29" w:type="dxa"/>
          </w:tblCellMar>
          <w:tblLook w:val="04A0"/>
        </w:tblPrEx>
        <w:trPr>
          <w:trHeight w:val="1275"/>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75E" w:rsidRPr="00106BBE" w:rsidP="008204EC" w14:paraId="1D3DA113" w14:textId="5A5BB069">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Center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0175E" w:rsidRPr="00106BBE" w:rsidP="00793D4B" w14:paraId="60590EEC" w14:textId="41F7ABF5">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Type of Respondent (Mother of…)</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50175E" w:rsidRPr="00106BBE" w:rsidP="00793D4B" w14:paraId="7C6322F1" w14:textId="5DADE175">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415D1">
              <w:rPr>
                <w:sz w:val="22"/>
                <w:szCs w:val="22"/>
              </w:rPr>
              <w:t>Core Computer Assisted Telephone Interview</w:t>
            </w:r>
          </w:p>
        </w:tc>
        <w:tc>
          <w:tcPr>
            <w:tcW w:w="1260" w:type="dxa"/>
            <w:tcBorders>
              <w:top w:val="single" w:sz="4" w:space="0" w:color="auto"/>
              <w:left w:val="nil"/>
              <w:bottom w:val="single" w:sz="4" w:space="0" w:color="auto"/>
              <w:right w:val="single" w:sz="4" w:space="0" w:color="auto"/>
            </w:tcBorders>
            <w:vAlign w:val="center"/>
          </w:tcPr>
          <w:p w:rsidR="0050175E" w:rsidRPr="00106BBE" w:rsidP="00793D4B" w14:paraId="4637C39E" w14:textId="7B0F7524">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60B7F">
              <w:rPr>
                <w:sz w:val="22"/>
                <w:szCs w:val="22"/>
              </w:rPr>
              <w:t>Linkage to Reportable Infectious Disease</w:t>
            </w:r>
          </w:p>
        </w:tc>
        <w:tc>
          <w:tcPr>
            <w:tcW w:w="1170" w:type="dxa"/>
            <w:tcBorders>
              <w:top w:val="single" w:sz="4" w:space="0" w:color="auto"/>
              <w:left w:val="single" w:sz="4" w:space="0" w:color="auto"/>
              <w:bottom w:val="single" w:sz="4" w:space="0" w:color="auto"/>
              <w:right w:val="single" w:sz="4" w:space="0" w:color="auto"/>
            </w:tcBorders>
            <w:vAlign w:val="center"/>
          </w:tcPr>
          <w:p w:rsidR="0050175E" w:rsidRPr="00106BBE" w:rsidP="00793D4B" w14:paraId="64955719" w14:textId="3DE3EAF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60B7F">
              <w:rPr>
                <w:sz w:val="22"/>
                <w:szCs w:val="22"/>
              </w:rPr>
              <w:t>Residual Newborn Bloodspot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75E" w:rsidRPr="00106BBE" w:rsidP="00793D4B" w14:paraId="612FF6A0" w14:textId="634B8E0C">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Online Occupational Questionnaire</w:t>
            </w:r>
          </w:p>
        </w:tc>
        <w:tc>
          <w:tcPr>
            <w:tcW w:w="1620" w:type="dxa"/>
            <w:tcBorders>
              <w:top w:val="single" w:sz="4" w:space="0" w:color="auto"/>
              <w:left w:val="nil"/>
              <w:bottom w:val="single" w:sz="4" w:space="0" w:color="auto"/>
              <w:right w:val="single" w:sz="4" w:space="0" w:color="auto"/>
            </w:tcBorders>
            <w:vAlign w:val="center"/>
          </w:tcPr>
          <w:p w:rsidR="0050175E" w:rsidRPr="00106BBE" w:rsidP="00793D4B" w14:paraId="4D394AFB" w14:textId="7CF7012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Supplemental Computer Assisted Telephone Interview</w:t>
            </w:r>
          </w:p>
        </w:tc>
        <w:tc>
          <w:tcPr>
            <w:tcW w:w="1710" w:type="dxa"/>
            <w:tcBorders>
              <w:top w:val="single" w:sz="4" w:space="0" w:color="auto"/>
              <w:left w:val="nil"/>
              <w:bottom w:val="single" w:sz="4" w:space="0" w:color="auto"/>
              <w:right w:val="single" w:sz="4" w:space="0" w:color="auto"/>
            </w:tcBorders>
          </w:tcPr>
          <w:p w:rsidR="0050175E" w:rsidRPr="00106BBE" w:rsidP="00793D4B" w14:paraId="674F6C73" w14:textId="508800E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50175E">
              <w:rPr>
                <w:sz w:val="22"/>
                <w:szCs w:val="22"/>
              </w:rPr>
              <w:t>Authorization Form for Stillbirth COVID-19 Sub-Study</w:t>
            </w:r>
            <w:r w:rsidR="00C95CFC">
              <w:rPr>
                <w:sz w:val="22"/>
                <w:szCs w:val="22"/>
              </w:rPr>
              <w:t>*</w:t>
            </w:r>
          </w:p>
        </w:tc>
      </w:tr>
      <w:tr w14:paraId="626E6D08" w14:textId="6D005AE8" w:rsidTr="00BD118A">
        <w:tblPrEx>
          <w:tblW w:w="11245" w:type="dxa"/>
          <w:tblInd w:w="-990" w:type="dxa"/>
          <w:tblLayout w:type="fixed"/>
          <w:tblCellMar>
            <w:left w:w="29" w:type="dxa"/>
            <w:right w:w="29" w:type="dxa"/>
          </w:tblCellMar>
          <w:tblLook w:val="04A0"/>
        </w:tblPrEx>
        <w:trPr>
          <w:trHeight w:val="287"/>
        </w:trPr>
        <w:tc>
          <w:tcPr>
            <w:tcW w:w="1345" w:type="dxa"/>
            <w:tcBorders>
              <w:top w:val="nil"/>
              <w:left w:val="single" w:sz="4" w:space="0" w:color="auto"/>
              <w:bottom w:val="single" w:sz="4" w:space="0" w:color="auto"/>
              <w:right w:val="single" w:sz="4" w:space="0" w:color="auto"/>
            </w:tcBorders>
            <w:shd w:val="clear" w:color="auto" w:fill="auto"/>
            <w:vAlign w:val="center"/>
          </w:tcPr>
          <w:p w:rsidR="00BD118A" w:rsidRPr="00106BBE" w:rsidP="00BD118A" w14:paraId="6C800487" w14:textId="6B966F82">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rsidR="00BD118A" w:rsidRPr="00106BBE" w:rsidP="00BD118A" w14:paraId="063AA07D" w14:textId="1A9275C0">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Pr>
                <w:sz w:val="22"/>
                <w:szCs w:val="22"/>
              </w:rPr>
              <w:t>(</w:t>
            </w:r>
            <w:r w:rsidRPr="00106BBE">
              <w:rPr>
                <w:sz w:val="22"/>
                <w:szCs w:val="22"/>
              </w:rPr>
              <w:t>Form</w:t>
            </w:r>
            <w:r>
              <w:rPr>
                <w:sz w:val="22"/>
                <w:szCs w:val="22"/>
              </w:rPr>
              <w:t>)</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2C20EB9F" w14:textId="0540B82E">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b/>
                <w:bCs/>
                <w:sz w:val="22"/>
                <w:szCs w:val="22"/>
              </w:rPr>
              <w:t>C1</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2BB42C63" w14:textId="088D2514">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Pr>
                <w:b/>
                <w:bCs/>
                <w:sz w:val="22"/>
                <w:szCs w:val="22"/>
              </w:rPr>
              <w:t>D2-D3</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0A3DF6AB" w14:textId="1D15CC3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Pr>
                <w:b/>
                <w:bCs/>
                <w:sz w:val="22"/>
                <w:szCs w:val="22"/>
              </w:rPr>
              <w:t>E2-E5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18A" w:rsidRPr="00106BBE" w:rsidP="00BD118A" w14:paraId="2CC4A880" w14:textId="1EE66A32">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b/>
                <w:bCs/>
                <w:sz w:val="22"/>
                <w:szCs w:val="22"/>
              </w:rPr>
              <w:t>F1</w:t>
            </w:r>
          </w:p>
        </w:tc>
        <w:tc>
          <w:tcPr>
            <w:tcW w:w="1620" w:type="dxa"/>
            <w:tcBorders>
              <w:top w:val="nil"/>
              <w:left w:val="nil"/>
              <w:bottom w:val="single" w:sz="4" w:space="0" w:color="auto"/>
              <w:right w:val="single" w:sz="4" w:space="0" w:color="auto"/>
            </w:tcBorders>
            <w:vAlign w:val="center"/>
          </w:tcPr>
          <w:p w:rsidR="00BD118A" w:rsidRPr="00106BBE" w:rsidP="00BD118A" w14:paraId="1E0048F9" w14:textId="0884BD7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b/>
                <w:bCs/>
                <w:sz w:val="22"/>
                <w:szCs w:val="22"/>
              </w:rPr>
              <w:t>G1</w:t>
            </w:r>
          </w:p>
        </w:tc>
        <w:tc>
          <w:tcPr>
            <w:tcW w:w="1710" w:type="dxa"/>
            <w:tcBorders>
              <w:top w:val="nil"/>
              <w:left w:val="nil"/>
              <w:bottom w:val="single" w:sz="4" w:space="0" w:color="auto"/>
              <w:right w:val="single" w:sz="4" w:space="0" w:color="auto"/>
            </w:tcBorders>
            <w:vAlign w:val="center"/>
          </w:tcPr>
          <w:p w:rsidR="00BD118A" w:rsidRPr="00106BBE" w:rsidP="00BD118A" w14:paraId="41AC5C09" w14:textId="20D5AB6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b/>
                <w:bCs/>
                <w:sz w:val="22"/>
                <w:szCs w:val="22"/>
              </w:rPr>
              <w:t>G</w:t>
            </w:r>
            <w:r>
              <w:rPr>
                <w:b/>
                <w:bCs/>
                <w:sz w:val="22"/>
                <w:szCs w:val="22"/>
              </w:rPr>
              <w:t>6</w:t>
            </w:r>
          </w:p>
        </w:tc>
      </w:tr>
      <w:tr w14:paraId="2863D4FE" w14:textId="0C539286"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63E3E804"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Arkansas</w:t>
            </w:r>
          </w:p>
          <w:p w:rsidR="00BD118A" w:rsidRPr="00106BBE" w:rsidP="00BD118A" w14:paraId="3948BFDD"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p w:rsidR="00BD118A" w:rsidRPr="00106BBE" w:rsidP="00BD118A" w14:paraId="4159A6B8" w14:textId="36F55608">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275DC061"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61B7C2F7"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37A5A0D7" w14:textId="68690934">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7CD0FECD" w14:textId="650EB5A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748829E7" w14:textId="062CB965">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87</w:t>
            </w:r>
          </w:p>
        </w:tc>
        <w:tc>
          <w:tcPr>
            <w:tcW w:w="1620" w:type="dxa"/>
            <w:tcBorders>
              <w:top w:val="nil"/>
              <w:left w:val="nil"/>
              <w:bottom w:val="single" w:sz="4" w:space="0" w:color="auto"/>
              <w:right w:val="single" w:sz="4" w:space="0" w:color="auto"/>
            </w:tcBorders>
            <w:vAlign w:val="center"/>
          </w:tcPr>
          <w:p w:rsidR="00BD118A" w:rsidRPr="00106BBE" w:rsidP="00BD118A" w14:paraId="68950ECC" w14:textId="7FB35F78">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7D28DC9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12DA85B3" w14:textId="23A2A83B"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right w:val="single" w:sz="4" w:space="0" w:color="auto"/>
            </w:tcBorders>
            <w:shd w:val="clear" w:color="auto" w:fill="auto"/>
            <w:vAlign w:val="center"/>
            <w:hideMark/>
          </w:tcPr>
          <w:p w:rsidR="00BD118A" w:rsidRPr="00106BBE" w:rsidP="00BD118A" w14:paraId="18EEECFE" w14:textId="437468C3">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21068226"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694CD71F"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7FB48B73" w14:textId="20931198">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43E7D0C0" w14:textId="005B2DE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577996C2" w14:textId="78CBF7A1">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0B449EC2" w14:textId="3D329238">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710" w:type="dxa"/>
            <w:tcBorders>
              <w:top w:val="nil"/>
              <w:left w:val="nil"/>
              <w:bottom w:val="single" w:sz="4" w:space="0" w:color="auto"/>
              <w:right w:val="single" w:sz="4" w:space="0" w:color="auto"/>
            </w:tcBorders>
            <w:vAlign w:val="center"/>
          </w:tcPr>
          <w:p w:rsidR="00BD118A" w:rsidRPr="00106BBE" w:rsidP="00BD118A" w14:paraId="321C9529"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5F319967" w14:textId="0D930271"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right w:val="single" w:sz="4" w:space="0" w:color="auto"/>
            </w:tcBorders>
            <w:shd w:val="clear" w:color="auto" w:fill="auto"/>
            <w:vAlign w:val="center"/>
            <w:hideMark/>
          </w:tcPr>
          <w:p w:rsidR="00BD118A" w:rsidRPr="00106BBE" w:rsidP="00BD118A" w14:paraId="6447D5B4" w14:textId="19655908">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32DE44A4"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Stillbirth</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481CB44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220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35EE4554" w14:textId="1F628DB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4DFB33AE" w14:textId="22E3303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0E02E024" w14:textId="2F4039EE">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620" w:type="dxa"/>
            <w:tcBorders>
              <w:top w:val="nil"/>
              <w:left w:val="nil"/>
              <w:bottom w:val="single" w:sz="4" w:space="0" w:color="auto"/>
              <w:right w:val="single" w:sz="4" w:space="0" w:color="auto"/>
            </w:tcBorders>
            <w:vAlign w:val="center"/>
          </w:tcPr>
          <w:p w:rsidR="00BD118A" w:rsidRPr="00106BBE" w:rsidP="00BD118A" w14:paraId="0E1C9898" w14:textId="58204795">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220</w:t>
            </w:r>
          </w:p>
        </w:tc>
        <w:tc>
          <w:tcPr>
            <w:tcW w:w="1710" w:type="dxa"/>
            <w:tcBorders>
              <w:top w:val="nil"/>
              <w:left w:val="nil"/>
              <w:bottom w:val="single" w:sz="4" w:space="0" w:color="auto"/>
              <w:right w:val="single" w:sz="4" w:space="0" w:color="auto"/>
            </w:tcBorders>
            <w:vAlign w:val="center"/>
          </w:tcPr>
          <w:p w:rsidR="00BD118A" w:rsidRPr="00106BBE" w:rsidP="00BD118A" w14:paraId="5BD15389" w14:textId="4E9DFA41">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Pr>
                <w:sz w:val="22"/>
                <w:szCs w:val="22"/>
              </w:rPr>
              <w:t>10</w:t>
            </w:r>
          </w:p>
        </w:tc>
      </w:tr>
      <w:tr w14:paraId="2097DF5C" w14:textId="77777777"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tcPr>
          <w:p w:rsidR="00BD118A" w:rsidRPr="00106BBE" w:rsidP="00BD118A" w14:paraId="786078A9"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tcPr>
          <w:p w:rsidR="00BD118A" w:rsidRPr="00106BBE" w:rsidP="00BD118A" w14:paraId="2801D0ED" w14:textId="182528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Stillbirth</w:t>
            </w:r>
          </w:p>
        </w:tc>
        <w:tc>
          <w:tcPr>
            <w:tcW w:w="1350" w:type="dxa"/>
            <w:gridSpan w:val="2"/>
            <w:tcBorders>
              <w:top w:val="nil"/>
              <w:left w:val="nil"/>
              <w:bottom w:val="single" w:sz="4" w:space="0" w:color="auto"/>
              <w:right w:val="single" w:sz="4" w:space="0" w:color="auto"/>
            </w:tcBorders>
            <w:shd w:val="clear" w:color="auto" w:fill="auto"/>
            <w:vAlign w:val="center"/>
          </w:tcPr>
          <w:p w:rsidR="00BD118A" w:rsidRPr="00106BBE" w:rsidP="00BD118A" w14:paraId="68B8CC5E" w14:textId="5AB1B2D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260" w:type="dxa"/>
            <w:tcBorders>
              <w:top w:val="single" w:sz="4" w:space="0" w:color="auto"/>
              <w:left w:val="nil"/>
              <w:bottom w:val="single" w:sz="4" w:space="0" w:color="auto"/>
              <w:right w:val="single" w:sz="4" w:space="0" w:color="auto"/>
            </w:tcBorders>
            <w:vAlign w:val="center"/>
          </w:tcPr>
          <w:p w:rsidR="00BD118A" w:rsidRPr="00AD71FA" w:rsidP="00BD118A" w14:paraId="14851BCD" w14:textId="3E4791D0">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AD71FA" w:rsidP="00BD118A" w14:paraId="51883F4B" w14:textId="20B441A8">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18A" w:rsidRPr="00106BBE" w:rsidP="00BD118A" w14:paraId="72F10672" w14:textId="229A9E3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620" w:type="dxa"/>
            <w:tcBorders>
              <w:top w:val="nil"/>
              <w:left w:val="nil"/>
              <w:bottom w:val="single" w:sz="4" w:space="0" w:color="auto"/>
              <w:right w:val="single" w:sz="4" w:space="0" w:color="auto"/>
            </w:tcBorders>
            <w:vAlign w:val="center"/>
          </w:tcPr>
          <w:p w:rsidR="00BD118A" w:rsidRPr="00106BBE" w:rsidP="00BD118A" w14:paraId="23913A54" w14:textId="01E0A80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P="00BD118A" w14:paraId="1577662F" w14:textId="097252D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Pr>
                <w:sz w:val="22"/>
                <w:szCs w:val="22"/>
              </w:rPr>
              <w:t>18</w:t>
            </w:r>
          </w:p>
        </w:tc>
      </w:tr>
      <w:tr w14:paraId="64159FB1" w14:textId="087E883D"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5057DECA"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California</w:t>
            </w:r>
          </w:p>
          <w:p w:rsidR="00BD118A" w:rsidRPr="00106BBE" w:rsidP="00BD118A" w14:paraId="0CD6FB42" w14:textId="560AC3B9">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2E71C99A"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38C6615C"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74F7BD7F" w14:textId="13962D89">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7C345D87" w14:textId="00BCC709">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220CD878" w14:textId="38FA7A58">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87</w:t>
            </w:r>
          </w:p>
        </w:tc>
        <w:tc>
          <w:tcPr>
            <w:tcW w:w="1620" w:type="dxa"/>
            <w:tcBorders>
              <w:top w:val="nil"/>
              <w:left w:val="nil"/>
              <w:bottom w:val="single" w:sz="4" w:space="0" w:color="auto"/>
              <w:right w:val="single" w:sz="4" w:space="0" w:color="auto"/>
            </w:tcBorders>
            <w:vAlign w:val="center"/>
          </w:tcPr>
          <w:p w:rsidR="00BD118A" w:rsidRPr="00106BBE" w:rsidP="00BD118A" w14:paraId="55AF52DE" w14:textId="652C41B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793D3AFD"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4CD44D07" w14:textId="3D0CE9E8"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hideMark/>
          </w:tcPr>
          <w:p w:rsidR="00BD118A" w:rsidRPr="00106BBE" w:rsidP="00BD118A" w14:paraId="2C9C26E3" w14:textId="7D0F55B4">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7D8CA748"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7C41B583"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759D5813" w14:textId="035D9021">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757CF8F5" w14:textId="6DE1F214">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62B34E80" w14:textId="7FF502E5">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386BCABD" w14:textId="1010E47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337635A2"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0038E7E0" w14:textId="58F46536"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5C01B3B2" w14:textId="6764FB4E">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Georgia</w:t>
            </w:r>
          </w:p>
          <w:p w:rsidR="00BD118A" w:rsidRPr="00106BBE" w:rsidP="00BD118A" w14:paraId="079BF604" w14:textId="48579A9E">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05399D39"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5C89C5C0"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70CD95B1" w14:textId="376EEDAC">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68202F04" w14:textId="7318DAED">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67F02776" w14:textId="5667D340">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87</w:t>
            </w:r>
          </w:p>
        </w:tc>
        <w:tc>
          <w:tcPr>
            <w:tcW w:w="1620" w:type="dxa"/>
            <w:tcBorders>
              <w:top w:val="nil"/>
              <w:left w:val="nil"/>
              <w:bottom w:val="single" w:sz="4" w:space="0" w:color="auto"/>
              <w:right w:val="single" w:sz="4" w:space="0" w:color="auto"/>
            </w:tcBorders>
            <w:vAlign w:val="center"/>
          </w:tcPr>
          <w:p w:rsidR="00BD118A" w:rsidRPr="00106BBE" w:rsidP="00BD118A" w14:paraId="28E57E44" w14:textId="1B93BD6C">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32DBAEE5"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7681324E" w14:textId="30D15EB5"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hideMark/>
          </w:tcPr>
          <w:p w:rsidR="00BD118A" w:rsidRPr="00106BBE" w:rsidP="00BD118A" w14:paraId="222438FF" w14:textId="0768D6B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62AB5716"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37922E4F"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5A7FE989" w14:textId="35A0B55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0524047B" w14:textId="0DD68D8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16FF57D0" w14:textId="35B89474">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661BE53E" w14:textId="7AFF93AF">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6B2B2596"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11002F27" w14:textId="714DD18B"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6A058DE3"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Iowa</w:t>
            </w:r>
          </w:p>
          <w:p w:rsidR="00BD118A" w:rsidRPr="00106BBE" w:rsidP="00BD118A" w14:paraId="5573C568" w14:textId="72211D12">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55691659"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6820610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4278D9AD" w14:textId="715A1DAD">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2EDAA964" w14:textId="47B3669F">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5AF01712" w14:textId="51CC8A18">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87</w:t>
            </w:r>
          </w:p>
        </w:tc>
        <w:tc>
          <w:tcPr>
            <w:tcW w:w="1620" w:type="dxa"/>
            <w:tcBorders>
              <w:top w:val="nil"/>
              <w:left w:val="nil"/>
              <w:bottom w:val="single" w:sz="4" w:space="0" w:color="auto"/>
              <w:right w:val="single" w:sz="4" w:space="0" w:color="auto"/>
            </w:tcBorders>
            <w:vAlign w:val="center"/>
          </w:tcPr>
          <w:p w:rsidR="00BD118A" w:rsidRPr="00106BBE" w:rsidP="00BD118A" w14:paraId="5AF9DC82" w14:textId="39D18A2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516CAA9F"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5C660463" w14:textId="50DA699B"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hideMark/>
          </w:tcPr>
          <w:p w:rsidR="00BD118A" w:rsidRPr="00106BBE" w:rsidP="00BD118A" w14:paraId="4F1DA1CA" w14:textId="4B2BCA88">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3ED4AC2F"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0E366558"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08FAC926" w14:textId="293169D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6148C1C1" w14:textId="4874AD70">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6C4AF0A0" w14:textId="15A11FAC">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4C4AF7BE" w14:textId="36ADAB19">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661242F6"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6347F486" w14:textId="659FC788"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208A9EFF"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Massachusetts</w:t>
            </w:r>
          </w:p>
          <w:p w:rsidR="00BD118A" w:rsidRPr="00106BBE" w:rsidP="00BD118A" w14:paraId="010252E4"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p w:rsidR="00BD118A" w:rsidRPr="00106BBE" w:rsidP="00BD118A" w14:paraId="50C31EC8" w14:textId="5132956C">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6880D02C"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2BC6E10A"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568418A7" w14:textId="67B61779">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46970106" w14:textId="3F2E8D0F">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27909D04" w14:textId="3F3DF2C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86</w:t>
            </w:r>
          </w:p>
        </w:tc>
        <w:tc>
          <w:tcPr>
            <w:tcW w:w="1620" w:type="dxa"/>
            <w:tcBorders>
              <w:top w:val="nil"/>
              <w:left w:val="nil"/>
              <w:bottom w:val="single" w:sz="4" w:space="0" w:color="auto"/>
              <w:right w:val="single" w:sz="4" w:space="0" w:color="auto"/>
            </w:tcBorders>
            <w:vAlign w:val="center"/>
          </w:tcPr>
          <w:p w:rsidR="00BD118A" w:rsidRPr="00106BBE" w:rsidP="00BD118A" w14:paraId="25EF4DCD" w14:textId="3F89A90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3DB6A963"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558CE24A" w14:textId="238D13E8"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right w:val="single" w:sz="4" w:space="0" w:color="auto"/>
            </w:tcBorders>
            <w:shd w:val="clear" w:color="auto" w:fill="auto"/>
            <w:vAlign w:val="center"/>
            <w:hideMark/>
          </w:tcPr>
          <w:p w:rsidR="00BD118A" w:rsidRPr="00106BBE" w:rsidP="00BD118A" w14:paraId="5A7C9C68" w14:textId="4EC2C19E">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798938EA"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200C5B0A"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768B171D" w14:textId="4FAF69E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22B36527" w14:textId="77E65D7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4E21CBD3" w14:textId="2A0F2962">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560DF37F" w14:textId="1DAFA39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710" w:type="dxa"/>
            <w:tcBorders>
              <w:top w:val="nil"/>
              <w:left w:val="nil"/>
              <w:bottom w:val="single" w:sz="4" w:space="0" w:color="auto"/>
              <w:right w:val="single" w:sz="4" w:space="0" w:color="auto"/>
            </w:tcBorders>
            <w:vAlign w:val="center"/>
          </w:tcPr>
          <w:p w:rsidR="00BD118A" w:rsidRPr="00106BBE" w:rsidP="00BD118A" w14:paraId="7641760F"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5AD5F917" w14:textId="485B01EE"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right w:val="single" w:sz="4" w:space="0" w:color="auto"/>
            </w:tcBorders>
            <w:shd w:val="clear" w:color="auto" w:fill="auto"/>
            <w:vAlign w:val="center"/>
            <w:hideMark/>
          </w:tcPr>
          <w:p w:rsidR="00BD118A" w:rsidRPr="00106BBE" w:rsidP="00BD118A" w14:paraId="18D20688" w14:textId="5BE0A43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4C513F96"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Stillbirth</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1C86B722"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220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6F7CADFE" w14:textId="1F25A425">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3E736628" w14:textId="0216E0EF">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17BD586D" w14:textId="573C46C2">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620" w:type="dxa"/>
            <w:tcBorders>
              <w:top w:val="nil"/>
              <w:left w:val="nil"/>
              <w:bottom w:val="single" w:sz="4" w:space="0" w:color="auto"/>
              <w:right w:val="single" w:sz="4" w:space="0" w:color="auto"/>
            </w:tcBorders>
            <w:vAlign w:val="center"/>
          </w:tcPr>
          <w:p w:rsidR="00BD118A" w:rsidRPr="00106BBE" w:rsidP="00BD118A" w14:paraId="5D92F8F4" w14:textId="762417D2">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220</w:t>
            </w:r>
          </w:p>
        </w:tc>
        <w:tc>
          <w:tcPr>
            <w:tcW w:w="1710" w:type="dxa"/>
            <w:tcBorders>
              <w:top w:val="nil"/>
              <w:left w:val="nil"/>
              <w:bottom w:val="single" w:sz="4" w:space="0" w:color="auto"/>
              <w:right w:val="single" w:sz="4" w:space="0" w:color="auto"/>
            </w:tcBorders>
            <w:vAlign w:val="center"/>
          </w:tcPr>
          <w:p w:rsidR="00BD118A" w:rsidRPr="00106BBE" w:rsidP="00BD118A" w14:paraId="6665D143" w14:textId="2D7822E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Pr>
                <w:sz w:val="22"/>
                <w:szCs w:val="22"/>
              </w:rPr>
              <w:t>42</w:t>
            </w:r>
          </w:p>
        </w:tc>
      </w:tr>
      <w:tr w14:paraId="346B34FE" w14:textId="77777777"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tcPr>
          <w:p w:rsidR="00BD118A" w:rsidRPr="00106BBE" w:rsidP="00BD118A" w14:paraId="3C067AA7"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tcPr>
          <w:p w:rsidR="00BD118A" w:rsidRPr="00106BBE" w:rsidP="00BD118A" w14:paraId="5F9C2DB6" w14:textId="1F9C06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Stillbirth</w:t>
            </w:r>
          </w:p>
        </w:tc>
        <w:tc>
          <w:tcPr>
            <w:tcW w:w="1350" w:type="dxa"/>
            <w:gridSpan w:val="2"/>
            <w:tcBorders>
              <w:top w:val="nil"/>
              <w:left w:val="nil"/>
              <w:bottom w:val="single" w:sz="4" w:space="0" w:color="auto"/>
              <w:right w:val="single" w:sz="4" w:space="0" w:color="auto"/>
            </w:tcBorders>
            <w:shd w:val="clear" w:color="auto" w:fill="auto"/>
            <w:vAlign w:val="center"/>
          </w:tcPr>
          <w:p w:rsidR="00BD118A" w:rsidRPr="00106BBE" w:rsidP="00BD118A" w14:paraId="05927F2E"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260" w:type="dxa"/>
            <w:tcBorders>
              <w:top w:val="single" w:sz="4" w:space="0" w:color="auto"/>
              <w:left w:val="nil"/>
              <w:bottom w:val="single" w:sz="4" w:space="0" w:color="auto"/>
              <w:right w:val="single" w:sz="4" w:space="0" w:color="auto"/>
            </w:tcBorders>
            <w:vAlign w:val="center"/>
          </w:tcPr>
          <w:p w:rsidR="00BD118A" w:rsidRPr="00AD71FA" w:rsidP="00BD118A" w14:paraId="6025B5F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AD71FA" w:rsidP="00BD118A" w14:paraId="21C1BB2A"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18A" w:rsidRPr="00106BBE" w:rsidP="00BD118A" w14:paraId="20360138"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620" w:type="dxa"/>
            <w:tcBorders>
              <w:top w:val="nil"/>
              <w:left w:val="nil"/>
              <w:bottom w:val="single" w:sz="4" w:space="0" w:color="auto"/>
              <w:right w:val="single" w:sz="4" w:space="0" w:color="auto"/>
            </w:tcBorders>
            <w:vAlign w:val="center"/>
          </w:tcPr>
          <w:p w:rsidR="00BD118A" w:rsidRPr="00106BBE" w:rsidP="00BD118A" w14:paraId="52D97558"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P="00BD118A" w14:paraId="7B778D0D" w14:textId="6F8F261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Pr>
                <w:sz w:val="22"/>
                <w:szCs w:val="22"/>
              </w:rPr>
              <w:t>87</w:t>
            </w:r>
          </w:p>
        </w:tc>
      </w:tr>
      <w:tr w14:paraId="36FA621E" w14:textId="6B19F451"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6B4767C2"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New York</w:t>
            </w:r>
          </w:p>
          <w:p w:rsidR="00BD118A" w:rsidRPr="00106BBE" w:rsidP="00BD118A" w14:paraId="5DC1BF8B" w14:textId="2D647B82">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6CDE2FAE"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558C2D3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34BD8C47" w14:textId="6FEBC92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0EF89E33" w14:textId="0A9D6CC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67355302" w14:textId="6C22D2A9">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86</w:t>
            </w:r>
          </w:p>
        </w:tc>
        <w:tc>
          <w:tcPr>
            <w:tcW w:w="1620" w:type="dxa"/>
            <w:tcBorders>
              <w:top w:val="nil"/>
              <w:left w:val="nil"/>
              <w:bottom w:val="single" w:sz="4" w:space="0" w:color="auto"/>
              <w:right w:val="single" w:sz="4" w:space="0" w:color="auto"/>
            </w:tcBorders>
            <w:vAlign w:val="center"/>
          </w:tcPr>
          <w:p w:rsidR="00BD118A" w:rsidRPr="00106BBE" w:rsidP="00BD118A" w14:paraId="55CF5D63" w14:textId="42BFDADC">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5DBEC6BA"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190E46D6" w14:textId="7ADABEC9"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hideMark/>
          </w:tcPr>
          <w:p w:rsidR="00BD118A" w:rsidRPr="00106BBE" w:rsidP="00BD118A" w14:paraId="3E92D7FD" w14:textId="1215D9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2274DC81"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310AC8E8"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3B819800" w14:textId="4391314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27BF6E00" w14:textId="54623521">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2FEDBF74" w14:textId="72D9C74B">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6A400D6B" w14:textId="553BFFF1">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34D61078"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7B57CD13" w14:textId="1342915B" w:rsidTr="00BD118A">
        <w:tblPrEx>
          <w:tblW w:w="11245" w:type="dxa"/>
          <w:tblInd w:w="-990" w:type="dxa"/>
          <w:tblLayout w:type="fixed"/>
          <w:tblCellMar>
            <w:left w:w="29" w:type="dxa"/>
            <w:right w:w="29" w:type="dxa"/>
          </w:tblCellMar>
          <w:tblLook w:val="04A0"/>
        </w:tblPrEx>
        <w:trPr>
          <w:trHeight w:val="288"/>
        </w:trPr>
        <w:tc>
          <w:tcPr>
            <w:tcW w:w="1345" w:type="dxa"/>
            <w:vMerge w:val="restart"/>
            <w:tcBorders>
              <w:top w:val="nil"/>
              <w:left w:val="single" w:sz="4" w:space="0" w:color="auto"/>
              <w:right w:val="single" w:sz="4" w:space="0" w:color="auto"/>
            </w:tcBorders>
            <w:shd w:val="clear" w:color="auto" w:fill="auto"/>
            <w:vAlign w:val="center"/>
            <w:hideMark/>
          </w:tcPr>
          <w:p w:rsidR="00BD118A" w:rsidRPr="00106BBE" w:rsidP="00BD118A" w14:paraId="53C03025" w14:textId="39398FFA">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North Carolina</w:t>
            </w: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0F03E252"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Case</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70E1236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270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233D2B58" w14:textId="341CC66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70AE5280" w14:textId="569D06FB">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270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09008220" w14:textId="75EBC340">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86</w:t>
            </w:r>
          </w:p>
        </w:tc>
        <w:tc>
          <w:tcPr>
            <w:tcW w:w="1620" w:type="dxa"/>
            <w:tcBorders>
              <w:top w:val="nil"/>
              <w:left w:val="nil"/>
              <w:bottom w:val="single" w:sz="4" w:space="0" w:color="auto"/>
              <w:right w:val="single" w:sz="4" w:space="0" w:color="auto"/>
            </w:tcBorders>
            <w:vAlign w:val="center"/>
          </w:tcPr>
          <w:p w:rsidR="00BD118A" w:rsidRPr="00106BBE" w:rsidP="00BD118A" w14:paraId="2D3C9FEC" w14:textId="79D69F1B">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7BCF07A7"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0CCCDEEE" w14:textId="50658954" w:rsidTr="00BD118A">
        <w:tblPrEx>
          <w:tblW w:w="11245" w:type="dxa"/>
          <w:tblInd w:w="-990" w:type="dxa"/>
          <w:tblLayout w:type="fixed"/>
          <w:tblCellMar>
            <w:left w:w="29" w:type="dxa"/>
            <w:right w:w="29" w:type="dxa"/>
          </w:tblCellMar>
          <w:tblLook w:val="04A0"/>
        </w:tblPrEx>
        <w:trPr>
          <w:trHeight w:val="288"/>
        </w:trPr>
        <w:tc>
          <w:tcPr>
            <w:tcW w:w="1345" w:type="dxa"/>
            <w:vMerge/>
            <w:tcBorders>
              <w:left w:val="single" w:sz="4" w:space="0" w:color="auto"/>
              <w:bottom w:val="single" w:sz="4" w:space="0" w:color="auto"/>
              <w:right w:val="single" w:sz="4" w:space="0" w:color="auto"/>
            </w:tcBorders>
            <w:shd w:val="clear" w:color="auto" w:fill="auto"/>
            <w:vAlign w:val="center"/>
            <w:hideMark/>
          </w:tcPr>
          <w:p w:rsidR="00BD118A" w:rsidRPr="00106BBE" w:rsidP="00BD118A" w14:paraId="72635A32" w14:textId="693CAE1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rsidR="00BD118A" w:rsidRPr="00106BBE" w:rsidP="00BD118A" w14:paraId="68881996"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Control</w:t>
            </w:r>
          </w:p>
        </w:tc>
        <w:tc>
          <w:tcPr>
            <w:tcW w:w="1350" w:type="dxa"/>
            <w:gridSpan w:val="2"/>
            <w:tcBorders>
              <w:top w:val="nil"/>
              <w:left w:val="nil"/>
              <w:bottom w:val="single" w:sz="4" w:space="0" w:color="auto"/>
              <w:right w:val="single" w:sz="4" w:space="0" w:color="auto"/>
            </w:tcBorders>
            <w:shd w:val="clear" w:color="auto" w:fill="auto"/>
            <w:vAlign w:val="center"/>
            <w:hideMark/>
          </w:tcPr>
          <w:p w:rsidR="00BD118A" w:rsidRPr="00106BBE" w:rsidP="00BD118A" w14:paraId="6CFF0DC9"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100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34649C6E" w14:textId="4EF4A4E0">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164E608E" w14:textId="6121BCC6">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AD71FA">
              <w:rPr>
                <w:sz w:val="22"/>
                <w:szCs w:val="22"/>
              </w:rPr>
              <w:t>100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720E07B5" w14:textId="6A9FFA3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106BBE">
              <w:rPr>
                <w:sz w:val="22"/>
                <w:szCs w:val="22"/>
              </w:rPr>
              <w:t>32</w:t>
            </w:r>
          </w:p>
        </w:tc>
        <w:tc>
          <w:tcPr>
            <w:tcW w:w="1620" w:type="dxa"/>
            <w:tcBorders>
              <w:top w:val="nil"/>
              <w:left w:val="nil"/>
              <w:bottom w:val="single" w:sz="4" w:space="0" w:color="auto"/>
              <w:right w:val="single" w:sz="4" w:space="0" w:color="auto"/>
            </w:tcBorders>
            <w:vAlign w:val="center"/>
          </w:tcPr>
          <w:p w:rsidR="00BD118A" w:rsidRPr="00106BBE" w:rsidP="00BD118A" w14:paraId="05BF2546" w14:textId="39A2D7D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c>
          <w:tcPr>
            <w:tcW w:w="1710" w:type="dxa"/>
            <w:tcBorders>
              <w:top w:val="nil"/>
              <w:left w:val="nil"/>
              <w:bottom w:val="single" w:sz="4" w:space="0" w:color="auto"/>
              <w:right w:val="single" w:sz="4" w:space="0" w:color="auto"/>
            </w:tcBorders>
            <w:vAlign w:val="center"/>
          </w:tcPr>
          <w:p w:rsidR="00BD118A" w:rsidRPr="00106BBE" w:rsidP="00BD118A" w14:paraId="62523880"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p>
        </w:tc>
      </w:tr>
      <w:tr w14:paraId="738186CF" w14:textId="074E704D" w:rsidTr="00BD118A">
        <w:tblPrEx>
          <w:tblW w:w="11245" w:type="dxa"/>
          <w:tblInd w:w="-990" w:type="dxa"/>
          <w:tblLayout w:type="fixed"/>
          <w:tblCellMar>
            <w:left w:w="29" w:type="dxa"/>
            <w:right w:w="29" w:type="dxa"/>
          </w:tblCellMar>
          <w:tblLook w:val="04A0"/>
        </w:tblPrEx>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18A" w:rsidRPr="00106BBE" w:rsidP="00BD118A" w14:paraId="2A91012A"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106BBE">
              <w:rPr>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BD118A" w:rsidRPr="00106BBE" w:rsidP="00BD118A" w14:paraId="17E684A6" w14:textId="77777777">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106BBE">
              <w:rPr>
                <w:b/>
                <w:bCs/>
                <w:sz w:val="22"/>
                <w:szCs w:val="22"/>
              </w:rPr>
              <w:t>TOTAL</w:t>
            </w:r>
          </w:p>
        </w:tc>
        <w:tc>
          <w:tcPr>
            <w:tcW w:w="1350" w:type="dxa"/>
            <w:gridSpan w:val="2"/>
            <w:tcBorders>
              <w:top w:val="nil"/>
              <w:left w:val="nil"/>
              <w:bottom w:val="single" w:sz="4" w:space="0" w:color="auto"/>
              <w:right w:val="single" w:sz="4" w:space="0" w:color="auto"/>
            </w:tcBorders>
            <w:shd w:val="clear" w:color="auto" w:fill="auto"/>
            <w:noWrap/>
            <w:vAlign w:val="center"/>
            <w:hideMark/>
          </w:tcPr>
          <w:p w:rsidR="00BD118A" w:rsidRPr="00106BBE" w:rsidP="00BD118A" w14:paraId="7ADE37C8" w14:textId="1EDEC06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sz w:val="22"/>
                <w:szCs w:val="22"/>
              </w:rPr>
              <w:t xml:space="preserve">Total unique respondents = </w:t>
            </w:r>
            <w:r w:rsidRPr="00106BBE">
              <w:rPr>
                <w:b/>
                <w:bCs/>
                <w:sz w:val="22"/>
                <w:szCs w:val="22"/>
              </w:rPr>
              <w:t>3,030</w:t>
            </w:r>
          </w:p>
        </w:tc>
        <w:tc>
          <w:tcPr>
            <w:tcW w:w="1260" w:type="dxa"/>
            <w:tcBorders>
              <w:top w:val="single" w:sz="4" w:space="0" w:color="auto"/>
              <w:left w:val="nil"/>
              <w:bottom w:val="single" w:sz="4" w:space="0" w:color="auto"/>
              <w:right w:val="single" w:sz="4" w:space="0" w:color="auto"/>
            </w:tcBorders>
            <w:vAlign w:val="center"/>
          </w:tcPr>
          <w:p w:rsidR="00BD118A" w:rsidRPr="00106BBE" w:rsidP="00BD118A" w14:paraId="1E53DEDF" w14:textId="1A661373">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AD71FA">
              <w:rPr>
                <w:b/>
                <w:bCs/>
                <w:sz w:val="22"/>
                <w:szCs w:val="22"/>
              </w:rPr>
              <w:t>2,590</w:t>
            </w:r>
          </w:p>
        </w:tc>
        <w:tc>
          <w:tcPr>
            <w:tcW w:w="1170" w:type="dxa"/>
            <w:tcBorders>
              <w:top w:val="single" w:sz="4" w:space="0" w:color="auto"/>
              <w:left w:val="single" w:sz="4" w:space="0" w:color="auto"/>
              <w:bottom w:val="single" w:sz="4" w:space="0" w:color="auto"/>
              <w:right w:val="single" w:sz="4" w:space="0" w:color="auto"/>
            </w:tcBorders>
            <w:vAlign w:val="center"/>
          </w:tcPr>
          <w:p w:rsidR="00BD118A" w:rsidRPr="00106BBE" w:rsidP="00BD118A" w14:paraId="02326511" w14:textId="6653DFDA">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AD71FA">
              <w:rPr>
                <w:b/>
                <w:bCs/>
                <w:sz w:val="22"/>
                <w:szCs w:val="22"/>
              </w:rPr>
              <w:t>1,850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18A" w:rsidRPr="00106BBE" w:rsidP="00BD118A" w14:paraId="2A9A510E" w14:textId="57DADBE2">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b/>
                <w:bCs/>
                <w:sz w:val="22"/>
                <w:szCs w:val="22"/>
              </w:rPr>
              <w:t>830</w:t>
            </w:r>
          </w:p>
        </w:tc>
        <w:tc>
          <w:tcPr>
            <w:tcW w:w="1620" w:type="dxa"/>
            <w:tcBorders>
              <w:top w:val="nil"/>
              <w:left w:val="nil"/>
              <w:bottom w:val="single" w:sz="4" w:space="0" w:color="auto"/>
              <w:right w:val="single" w:sz="4" w:space="0" w:color="auto"/>
            </w:tcBorders>
            <w:vAlign w:val="center"/>
          </w:tcPr>
          <w:p w:rsidR="00BD118A" w:rsidRPr="00106BBE" w:rsidP="00BD118A" w14:paraId="2203FD3A" w14:textId="67A4B879">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sidRPr="00106BBE">
              <w:rPr>
                <w:b/>
                <w:bCs/>
                <w:sz w:val="22"/>
                <w:szCs w:val="22"/>
              </w:rPr>
              <w:t>640</w:t>
            </w:r>
          </w:p>
        </w:tc>
        <w:tc>
          <w:tcPr>
            <w:tcW w:w="1710" w:type="dxa"/>
            <w:tcBorders>
              <w:top w:val="nil"/>
              <w:left w:val="nil"/>
              <w:bottom w:val="single" w:sz="4" w:space="0" w:color="auto"/>
              <w:right w:val="single" w:sz="4" w:space="0" w:color="auto"/>
            </w:tcBorders>
            <w:vAlign w:val="center"/>
          </w:tcPr>
          <w:p w:rsidR="00BD118A" w:rsidP="00BD118A" w14:paraId="172C1BFE"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center"/>
              <w:rPr>
                <w:b/>
                <w:bCs/>
                <w:sz w:val="22"/>
                <w:szCs w:val="22"/>
              </w:rPr>
            </w:pPr>
            <w:r>
              <w:rPr>
                <w:b/>
                <w:bCs/>
                <w:sz w:val="22"/>
                <w:szCs w:val="22"/>
              </w:rPr>
              <w:t xml:space="preserve">157 </w:t>
            </w:r>
          </w:p>
          <w:p w:rsidR="00BD118A" w:rsidRPr="00C95CFC" w:rsidP="00BD118A" w14:paraId="6736FFBB" w14:textId="11B80BB1">
            <w:pPr>
              <w:widowControl/>
              <w:tabs>
                <w:tab w:val="left" w:pos="0"/>
                <w:tab w:val="left" w:pos="864"/>
                <w:tab w:val="left" w:pos="1440"/>
                <w:tab w:val="left" w:pos="2016"/>
                <w:tab w:val="left" w:pos="6192"/>
                <w:tab w:val="left" w:pos="6480"/>
                <w:tab w:val="left" w:pos="7200"/>
                <w:tab w:val="left" w:pos="7920"/>
                <w:tab w:val="left" w:pos="8640"/>
                <w:tab w:val="left" w:pos="9360"/>
              </w:tabs>
              <w:jc w:val="center"/>
              <w:rPr>
                <w:sz w:val="22"/>
                <w:szCs w:val="22"/>
              </w:rPr>
            </w:pPr>
            <w:r w:rsidRPr="00C95CFC">
              <w:rPr>
                <w:sz w:val="22"/>
                <w:szCs w:val="22"/>
              </w:rPr>
              <w:t xml:space="preserve">(52 previous+105 </w:t>
            </w:r>
            <w:r>
              <w:rPr>
                <w:sz w:val="22"/>
                <w:szCs w:val="22"/>
              </w:rPr>
              <w:t>additional</w:t>
            </w:r>
            <w:r w:rsidRPr="00C95CFC">
              <w:rPr>
                <w:sz w:val="22"/>
                <w:szCs w:val="22"/>
              </w:rPr>
              <w:t xml:space="preserve"> unique respondents) </w:t>
            </w:r>
          </w:p>
        </w:tc>
      </w:tr>
    </w:tbl>
    <w:p w:rsidR="00793D4B" w:rsidRPr="00793D4B" w:rsidP="00793D4B" w14:paraId="3CDC34B6" w14:textId="72190E2E">
      <w:pPr>
        <w:ind w:left="-990"/>
        <w:rPr>
          <w:sz w:val="18"/>
          <w:szCs w:val="18"/>
        </w:rPr>
      </w:pPr>
      <w:r w:rsidRPr="00793D4B">
        <w:rPr>
          <w:sz w:val="18"/>
          <w:szCs w:val="18"/>
        </w:rPr>
        <w:t xml:space="preserve">* </w:t>
      </w:r>
      <w:r w:rsidR="00C95CFC">
        <w:rPr>
          <w:sz w:val="18"/>
          <w:szCs w:val="18"/>
        </w:rPr>
        <w:t xml:space="preserve">Both BD-STEPS participants and non-participants (as demonstrated by the lack of data in the Core </w:t>
      </w:r>
      <w:r w:rsidRPr="00C95CFC" w:rsidR="00C95CFC">
        <w:rPr>
          <w:sz w:val="18"/>
          <w:szCs w:val="18"/>
        </w:rPr>
        <w:t>Assisted Telephone Interview</w:t>
      </w:r>
      <w:r w:rsidR="00C95CFC">
        <w:rPr>
          <w:sz w:val="18"/>
          <w:szCs w:val="18"/>
        </w:rPr>
        <w:t>, etc. columns) will be approached about this consent</w:t>
      </w:r>
      <w:r w:rsidR="0050175E">
        <w:rPr>
          <w:sz w:val="18"/>
          <w:szCs w:val="18"/>
        </w:rPr>
        <w:t xml:space="preserve">. </w:t>
      </w:r>
    </w:p>
    <w:p w:rsidR="001B7450" w:rsidRPr="00106BBE" w:rsidP="007E20C2" w14:paraId="2D84EEA3" w14:textId="66DF0BBF">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106BBE" w:rsidP="007E20C2" w14:paraId="51EF78C1" w14:textId="77777777">
      <w:pPr>
        <w:widowControl/>
        <w:tabs>
          <w:tab w:val="left" w:pos="0"/>
          <w:tab w:val="left" w:pos="864"/>
          <w:tab w:val="left" w:pos="1440"/>
          <w:tab w:val="left" w:pos="2016"/>
          <w:tab w:val="left" w:pos="6192"/>
          <w:tab w:val="left" w:pos="6480"/>
          <w:tab w:val="left" w:pos="7200"/>
          <w:tab w:val="left" w:pos="7920"/>
          <w:tab w:val="left" w:pos="8640"/>
          <w:tab w:val="left" w:pos="9360"/>
        </w:tabs>
        <w:jc w:val="both"/>
      </w:pPr>
    </w:p>
    <w:p w:rsidR="004A309F" w:rsidRPr="00106BBE" w:rsidP="00913E13" w14:paraId="6AF8654B" w14:textId="1C363951">
      <w:pPr>
        <w:pStyle w:val="Heading2"/>
        <w:spacing w:line="360" w:lineRule="auto"/>
        <w:rPr>
          <w:sz w:val="24"/>
          <w:szCs w:val="24"/>
          <w:u w:val="single"/>
        </w:rPr>
      </w:pPr>
      <w:r w:rsidRPr="00106BBE">
        <w:rPr>
          <w:sz w:val="24"/>
          <w:szCs w:val="24"/>
          <w:u w:val="single"/>
        </w:rPr>
        <w:t>B.2.</w:t>
      </w:r>
      <w:r w:rsidRPr="00106BBE">
        <w:rPr>
          <w:sz w:val="24"/>
          <w:szCs w:val="24"/>
          <w:u w:val="single"/>
        </w:rPr>
        <w:tab/>
        <w:t xml:space="preserve">Procedures for the Collection of Information </w:t>
      </w:r>
    </w:p>
    <w:p w:rsidR="008C11FA" w:rsidRPr="00106BBE" w:rsidP="00913E13" w14:paraId="67419A6F" w14:textId="77777777">
      <w:pPr>
        <w:widowControl/>
        <w:tabs>
          <w:tab w:val="left" w:pos="864"/>
          <w:tab w:val="left" w:pos="1440"/>
          <w:tab w:val="left" w:pos="2016"/>
          <w:tab w:val="left" w:pos="6192"/>
          <w:tab w:val="left" w:pos="6480"/>
          <w:tab w:val="left" w:pos="7200"/>
          <w:tab w:val="left" w:pos="7920"/>
          <w:tab w:val="left" w:pos="8640"/>
          <w:tab w:val="left" w:pos="9360"/>
        </w:tabs>
        <w:spacing w:line="360" w:lineRule="auto"/>
        <w:jc w:val="both"/>
      </w:pPr>
    </w:p>
    <w:p w:rsidR="004A309F" w:rsidRPr="00106BBE" w:rsidP="00913E13" w14:paraId="5652DEA3" w14:textId="28C4FA5F">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06BBE">
        <w:t>State-specific birth defects s</w:t>
      </w:r>
      <w:r w:rsidRPr="00106BBE">
        <w:t xml:space="preserve">urveillance data </w:t>
      </w:r>
      <w:r w:rsidRPr="00106BBE">
        <w:t xml:space="preserve">are </w:t>
      </w:r>
      <w:r w:rsidRPr="00106BBE">
        <w:t xml:space="preserve">used to identify case subjects for </w:t>
      </w:r>
      <w:r w:rsidRPr="00106BBE" w:rsidR="008D5258">
        <w:t>BD-STEPS</w:t>
      </w:r>
      <w:r w:rsidRPr="00106BBE" w:rsidR="003360A3">
        <w:t>.</w:t>
      </w:r>
      <w:r w:rsidRPr="00106BBE">
        <w:t xml:space="preserve"> The selection of </w:t>
      </w:r>
      <w:r w:rsidRPr="00106BBE" w:rsidR="008D5258">
        <w:t xml:space="preserve">BD-STEPS </w:t>
      </w:r>
      <w:r w:rsidRPr="00106BBE">
        <w:t>controls is described in Section B.1.</w:t>
      </w:r>
      <w:r w:rsidR="00106BBE">
        <w:t xml:space="preserve"> </w:t>
      </w:r>
      <w:r w:rsidRPr="00106BBE">
        <w:t xml:space="preserve">Once </w:t>
      </w:r>
      <w:r w:rsidRPr="00106BBE" w:rsidR="00025AD4">
        <w:t>potentially eligible subjects</w:t>
      </w:r>
      <w:r w:rsidRPr="00106BBE">
        <w:t xml:space="preserve"> are identified for the study, a clinical geneticist reviews the information abstracted from the medical record to determine if they meet the case definition and are eligible for the study.</w:t>
      </w:r>
      <w:r w:rsidR="00106BBE">
        <w:t xml:space="preserve"> </w:t>
      </w:r>
      <w:r w:rsidRPr="00106BBE" w:rsidR="00E12747">
        <w:t>The first contact</w:t>
      </w:r>
      <w:r w:rsidRPr="00106BBE" w:rsidR="00105609">
        <w:t>,</w:t>
      </w:r>
      <w:r w:rsidRPr="00106BBE" w:rsidR="00E12747">
        <w:t xml:space="preserve"> </w:t>
      </w:r>
      <w:r w:rsidRPr="00106BBE" w:rsidR="00105609">
        <w:t xml:space="preserve">sent by mail to the mothers, </w:t>
      </w:r>
      <w:r w:rsidRPr="00106BBE" w:rsidR="00E12747">
        <w:t>is</w:t>
      </w:r>
      <w:r w:rsidRPr="00106BBE" w:rsidR="00984648">
        <w:t xml:space="preserve"> </w:t>
      </w:r>
      <w:r w:rsidRPr="00106BBE">
        <w:t>a</w:t>
      </w:r>
      <w:r w:rsidRPr="00106BBE" w:rsidR="00E12747">
        <w:t xml:space="preserve">n introductory letter, </w:t>
      </w:r>
      <w:r w:rsidRPr="00106BBE" w:rsidR="00283A0A">
        <w:t xml:space="preserve">along with </w:t>
      </w:r>
      <w:r w:rsidRPr="00106BBE" w:rsidR="00E12747">
        <w:t xml:space="preserve">a </w:t>
      </w:r>
      <w:r w:rsidRPr="00106BBE" w:rsidR="008D5258">
        <w:t xml:space="preserve">“Human Subjects” </w:t>
      </w:r>
      <w:r w:rsidRPr="00106BBE" w:rsidR="00E12747">
        <w:t>fact sheet,</w:t>
      </w:r>
      <w:r w:rsidRPr="00106BBE">
        <w:t xml:space="preserve"> </w:t>
      </w:r>
      <w:r w:rsidRPr="00106BBE" w:rsidR="00283A0A">
        <w:t xml:space="preserve">a </w:t>
      </w:r>
      <w:r w:rsidRPr="00106BBE" w:rsidR="008D5258">
        <w:t>“Question and Answer” sheet</w:t>
      </w:r>
      <w:r w:rsidRPr="00106BBE" w:rsidR="00251305">
        <w:t xml:space="preserve">, </w:t>
      </w:r>
      <w:r w:rsidRPr="0070571E" w:rsidR="0070571E">
        <w:t xml:space="preserve">Privacy </w:t>
      </w:r>
      <w:r w:rsidR="00CF04F2">
        <w:t>Act</w:t>
      </w:r>
      <w:r w:rsidRPr="0070571E" w:rsidR="0070571E">
        <w:t xml:space="preserve"> Statement</w:t>
      </w:r>
      <w:r w:rsidR="0070571E">
        <w:t>,</w:t>
      </w:r>
      <w:r w:rsidRPr="0070571E" w:rsidR="0070571E">
        <w:t xml:space="preserve"> </w:t>
      </w:r>
      <w:r w:rsidRPr="00106BBE" w:rsidR="00251305">
        <w:t>and an “Address Correction Form”</w:t>
      </w:r>
      <w:r w:rsidRPr="00106BBE" w:rsidR="008D5258">
        <w:t xml:space="preserve"> </w:t>
      </w:r>
      <w:r w:rsidRPr="00106BBE" w:rsidR="00025AD4">
        <w:rPr>
          <w:bCs/>
        </w:rPr>
        <w:t>sent by the Center from which the case or control subject originated</w:t>
      </w:r>
      <w:r w:rsidRPr="00106BBE" w:rsidR="00FA117E">
        <w:rPr>
          <w:bCs/>
        </w:rPr>
        <w:t xml:space="preserve"> </w:t>
      </w:r>
      <w:r w:rsidRPr="00106BBE" w:rsidR="00FA117E">
        <w:t xml:space="preserve">(see </w:t>
      </w:r>
      <w:r w:rsidRPr="00106BBE" w:rsidR="00FA117E">
        <w:rPr>
          <w:b/>
        </w:rPr>
        <w:t>Attachment</w:t>
      </w:r>
      <w:r w:rsidRPr="00106BBE" w:rsidR="00251305">
        <w:rPr>
          <w:b/>
        </w:rPr>
        <w:t>s</w:t>
      </w:r>
      <w:r w:rsidRPr="00106BBE" w:rsidR="00FA117E">
        <w:rPr>
          <w:b/>
        </w:rPr>
        <w:t xml:space="preserve"> </w:t>
      </w:r>
      <w:r w:rsidRPr="00106BBE" w:rsidR="00251305">
        <w:rPr>
          <w:b/>
        </w:rPr>
        <w:t>C2-C</w:t>
      </w:r>
      <w:r w:rsidR="0070571E">
        <w:rPr>
          <w:b/>
        </w:rPr>
        <w:t>6</w:t>
      </w:r>
      <w:r w:rsidRPr="00106BBE" w:rsidR="00FA117E">
        <w:t>)</w:t>
      </w:r>
      <w:r w:rsidRPr="00106BBE">
        <w:t>.</w:t>
      </w:r>
      <w:r w:rsidR="00106BBE">
        <w:t xml:space="preserve"> </w:t>
      </w:r>
    </w:p>
    <w:p w:rsidR="004A309F" w:rsidRPr="00106BBE" w:rsidP="00913E13" w14:paraId="4433FEBD"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rsidR="00C6291B" w:rsidRPr="00106BBE" w:rsidP="00913E13" w14:paraId="19C0653D" w14:textId="0C39F5E5">
      <w:pPr>
        <w:spacing w:line="360" w:lineRule="auto"/>
      </w:pPr>
      <w:r w:rsidRPr="00106BBE">
        <w:t xml:space="preserve">Approximately 10 days after the </w:t>
      </w:r>
      <w:r w:rsidRPr="00106BBE" w:rsidR="006E41D8">
        <w:t>introductory packet</w:t>
      </w:r>
      <w:r w:rsidRPr="00106BBE">
        <w:t xml:space="preserve"> has been sent, </w:t>
      </w:r>
      <w:r w:rsidRPr="00106BBE" w:rsidR="008D5258">
        <w:t xml:space="preserve">the centralized interview contractor </w:t>
      </w:r>
      <w:r w:rsidRPr="00106BBE">
        <w:t xml:space="preserve">makes phone </w:t>
      </w:r>
      <w:r w:rsidRPr="00106BBE" w:rsidR="00E12747">
        <w:t xml:space="preserve">contact with </w:t>
      </w:r>
      <w:r w:rsidRPr="00106BBE">
        <w:t xml:space="preserve">the </w:t>
      </w:r>
      <w:r w:rsidRPr="00106BBE" w:rsidR="00025AD4">
        <w:t>mother</w:t>
      </w:r>
      <w:r w:rsidRPr="00106BBE">
        <w:t xml:space="preserve">. </w:t>
      </w:r>
      <w:r w:rsidRPr="00106BBE" w:rsidR="00E12747">
        <w:t>During this phone call,</w:t>
      </w:r>
      <w:r w:rsidRPr="00106BBE" w:rsidR="00984648">
        <w:t xml:space="preserve"> </w:t>
      </w:r>
      <w:r w:rsidRPr="00106BBE" w:rsidR="00283A0A">
        <w:t>the interviewer</w:t>
      </w:r>
      <w:r w:rsidRPr="00106BBE">
        <w:t xml:space="preserve"> obtains oral consent for the interview and either conducts the interview then or schedules the interview at a time convenient for the </w:t>
      </w:r>
      <w:r w:rsidRPr="00106BBE" w:rsidR="00025AD4">
        <w:t>mother</w:t>
      </w:r>
      <w:r w:rsidRPr="00106BBE">
        <w:t xml:space="preserve">. The </w:t>
      </w:r>
      <w:r w:rsidRPr="00106BBE" w:rsidR="00DE3722">
        <w:t>questionnaire</w:t>
      </w:r>
      <w:r w:rsidRPr="00106BBE">
        <w:t xml:space="preserve"> is </w:t>
      </w:r>
      <w:r w:rsidRPr="00106BBE" w:rsidR="00DE3722">
        <w:t>administered using</w:t>
      </w:r>
      <w:r w:rsidRPr="00106BBE">
        <w:t xml:space="preserve"> a</w:t>
      </w:r>
      <w:r w:rsidRPr="00106BBE" w:rsidR="0017231B">
        <w:t xml:space="preserve"> computer assisted telephone interview</w:t>
      </w:r>
      <w:r w:rsidRPr="00106BBE">
        <w:t xml:space="preserve"> </w:t>
      </w:r>
      <w:r w:rsidRPr="00106BBE" w:rsidR="0017231B">
        <w:t>(</w:t>
      </w:r>
      <w:r w:rsidRPr="00106BBE">
        <w:t>CATI</w:t>
      </w:r>
      <w:r w:rsidRPr="00106BBE" w:rsidR="0017231B">
        <w:t>)</w:t>
      </w:r>
      <w:r w:rsidRPr="00106BBE">
        <w:t xml:space="preserve"> (see </w:t>
      </w:r>
      <w:r w:rsidRPr="00106BBE" w:rsidR="00D67E8D">
        <w:rPr>
          <w:b/>
          <w:bCs/>
        </w:rPr>
        <w:t>Attachment</w:t>
      </w:r>
      <w:r w:rsidRPr="00106BBE">
        <w:rPr>
          <w:b/>
          <w:bCs/>
        </w:rPr>
        <w:t xml:space="preserve"> </w:t>
      </w:r>
      <w:r w:rsidRPr="00106BBE" w:rsidR="00251305">
        <w:rPr>
          <w:b/>
          <w:bCs/>
        </w:rPr>
        <w:t>C1</w:t>
      </w:r>
      <w:r w:rsidRPr="00106BBE" w:rsidR="00E83096">
        <w:t xml:space="preserve"> </w:t>
      </w:r>
      <w:r w:rsidRPr="00106BBE">
        <w:t>for a hard copy of the questionnaire).</w:t>
      </w:r>
      <w:r w:rsidR="00106BBE">
        <w:t xml:space="preserve"> </w:t>
      </w:r>
      <w:r w:rsidRPr="00106BBE">
        <w:t>The script used in the telephone interview</w:t>
      </w:r>
      <w:r w:rsidRPr="00106BBE" w:rsidR="002E5806">
        <w:t xml:space="preserve"> (including oral consent)</w:t>
      </w:r>
      <w:r w:rsidRPr="00106BBE">
        <w:t xml:space="preserve"> is in </w:t>
      </w:r>
      <w:r w:rsidRPr="00106BBE" w:rsidR="00D67E8D">
        <w:rPr>
          <w:b/>
          <w:bCs/>
        </w:rPr>
        <w:t>Attachment</w:t>
      </w:r>
      <w:r w:rsidRPr="00106BBE">
        <w:rPr>
          <w:b/>
          <w:bCs/>
        </w:rPr>
        <w:t xml:space="preserve"> </w:t>
      </w:r>
      <w:r w:rsidRPr="00106BBE" w:rsidR="00251305">
        <w:rPr>
          <w:b/>
          <w:bCs/>
        </w:rPr>
        <w:t>C</w:t>
      </w:r>
      <w:r w:rsidR="0070571E">
        <w:rPr>
          <w:b/>
          <w:bCs/>
        </w:rPr>
        <w:t>7</w:t>
      </w:r>
      <w:r w:rsidRPr="00106BBE">
        <w:t>.</w:t>
      </w:r>
      <w:r w:rsidR="00106BBE">
        <w:t xml:space="preserve"> </w:t>
      </w:r>
      <w:r w:rsidRPr="00106BBE" w:rsidR="008D5258">
        <w:t>T</w:t>
      </w:r>
      <w:r w:rsidRPr="00106BBE">
        <w:t xml:space="preserve">he script varies slightly depending on the status of the child: control, living case, </w:t>
      </w:r>
      <w:r w:rsidRPr="00106BBE" w:rsidR="00E72777">
        <w:t>deceased case,</w:t>
      </w:r>
      <w:r w:rsidRPr="00106BBE">
        <w:t xml:space="preserve"> or stillborn</w:t>
      </w:r>
      <w:r w:rsidRPr="00106BBE" w:rsidR="004A36F1">
        <w:t>/termination</w:t>
      </w:r>
      <w:r w:rsidRPr="00106BBE">
        <w:t xml:space="preserve"> case. </w:t>
      </w:r>
      <w:r w:rsidRPr="00106BBE" w:rsidR="003914CD">
        <w:t>The CATI makes it possible to complete the interview in segments so that participants have the option of completing the interview in several sessions rather than all at once.</w:t>
      </w:r>
    </w:p>
    <w:p w:rsidR="00C6291B" w:rsidRPr="00106BBE" w:rsidP="00913E13" w14:paraId="04F8A111" w14:textId="77777777">
      <w:pPr>
        <w:spacing w:line="360" w:lineRule="auto"/>
        <w:rPr>
          <w:highlight w:val="yellow"/>
        </w:rPr>
      </w:pPr>
    </w:p>
    <w:p w:rsidR="00251305" w:rsidRPr="00106BBE" w:rsidP="00251305" w14:paraId="2B49CD11" w14:textId="3965CD9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06BBE">
        <w:t xml:space="preserve">A thank you letter is sent after </w:t>
      </w:r>
      <w:r w:rsidRPr="00106BBE" w:rsidR="004A36F1">
        <w:t xml:space="preserve">the </w:t>
      </w:r>
      <w:r w:rsidRPr="00106BBE" w:rsidR="0031463B">
        <w:t xml:space="preserve">telephone </w:t>
      </w:r>
      <w:r w:rsidRPr="00106BBE" w:rsidR="00940466">
        <w:t>interview</w:t>
      </w:r>
      <w:r w:rsidRPr="00106BBE" w:rsidR="004A36F1">
        <w:t xml:space="preserve"> is completed</w:t>
      </w:r>
      <w:r w:rsidRPr="00106BBE" w:rsidR="00940466">
        <w:t xml:space="preserve"> (</w:t>
      </w:r>
      <w:r w:rsidRPr="00106BBE" w:rsidR="00D67E8D">
        <w:rPr>
          <w:b/>
        </w:rPr>
        <w:t>Attachment</w:t>
      </w:r>
      <w:r w:rsidRPr="00106BBE" w:rsidR="00940466">
        <w:rPr>
          <w:b/>
        </w:rPr>
        <w:t xml:space="preserve"> </w:t>
      </w:r>
      <w:r w:rsidRPr="00106BBE">
        <w:rPr>
          <w:b/>
        </w:rPr>
        <w:t>C</w:t>
      </w:r>
      <w:r w:rsidR="0070571E">
        <w:rPr>
          <w:b/>
        </w:rPr>
        <w:t>8</w:t>
      </w:r>
      <w:r w:rsidRPr="00106BBE" w:rsidR="008D044A">
        <w:t xml:space="preserve">). </w:t>
      </w:r>
      <w:r w:rsidRPr="00106BBE" w:rsidR="00562744">
        <w:t>A</w:t>
      </w:r>
      <w:r w:rsidR="00935191">
        <w:t xml:space="preserve"> </w:t>
      </w:r>
      <w:r w:rsidRPr="00106BBE" w:rsidR="00935191">
        <w:rPr>
          <w:rFonts w:cstheme="minorHAnsi"/>
        </w:rPr>
        <w:t xml:space="preserve">fact sheet describing </w:t>
      </w:r>
      <w:r w:rsidR="00935191">
        <w:t xml:space="preserve">a request for </w:t>
      </w:r>
      <w:r w:rsidRPr="00106BBE" w:rsidR="00562744">
        <w:t>Release of Reportable Infectious Disease information</w:t>
      </w:r>
      <w:r w:rsidR="00935191">
        <w:t xml:space="preserve"> and a written consent form </w:t>
      </w:r>
      <w:r w:rsidRPr="00106BBE" w:rsidR="00562744">
        <w:rPr>
          <w:rFonts w:cstheme="minorHAnsi"/>
        </w:rPr>
        <w:t>(</w:t>
      </w:r>
      <w:r w:rsidRPr="00106BBE" w:rsidR="008F034C">
        <w:rPr>
          <w:b/>
        </w:rPr>
        <w:t xml:space="preserve">Attachment </w:t>
      </w:r>
      <w:r w:rsidRPr="00106BBE" w:rsidR="008F034C">
        <w:rPr>
          <w:b/>
          <w:bCs/>
        </w:rPr>
        <w:t>D</w:t>
      </w:r>
      <w:r w:rsidR="00935191">
        <w:rPr>
          <w:b/>
          <w:bCs/>
        </w:rPr>
        <w:t>1-D</w:t>
      </w:r>
      <w:r w:rsidRPr="00106BBE" w:rsidR="008F034C">
        <w:rPr>
          <w:b/>
          <w:bCs/>
        </w:rPr>
        <w:t>2</w:t>
      </w:r>
      <w:r w:rsidRPr="00106BBE" w:rsidR="00562744">
        <w:rPr>
          <w:rFonts w:cstheme="minorHAnsi"/>
        </w:rPr>
        <w:t>),</w:t>
      </w:r>
      <w:r w:rsidRPr="00106BBE" w:rsidR="00562744">
        <w:t xml:space="preserve"> </w:t>
      </w:r>
      <w:r w:rsidR="00935191">
        <w:t>are</w:t>
      </w:r>
      <w:r w:rsidRPr="00106BBE">
        <w:t xml:space="preserve"> included with the interview thank you letter. </w:t>
      </w:r>
      <w:r w:rsidRPr="00106BBE" w:rsidR="00562744">
        <w:rPr>
          <w:rFonts w:cstheme="minorHAnsi"/>
        </w:rPr>
        <w:t>Verbal consent scrips are also available (</w:t>
      </w:r>
      <w:r w:rsidRPr="00106BBE" w:rsidR="008F034C">
        <w:rPr>
          <w:b/>
        </w:rPr>
        <w:t xml:space="preserve">Attachment </w:t>
      </w:r>
      <w:r w:rsidRPr="00106BBE" w:rsidR="008F034C">
        <w:rPr>
          <w:b/>
          <w:bCs/>
        </w:rPr>
        <w:t>D3</w:t>
      </w:r>
      <w:r w:rsidRPr="00106BBE" w:rsidR="00562744">
        <w:rPr>
          <w:rFonts w:cstheme="minorHAnsi"/>
        </w:rPr>
        <w:t>).</w:t>
      </w:r>
      <w:r w:rsidR="00106BBE">
        <w:rPr>
          <w:rFonts w:cstheme="minorHAnsi"/>
        </w:rPr>
        <w:t xml:space="preserve"> </w:t>
      </w:r>
      <w:r w:rsidRPr="00106BBE">
        <w:t xml:space="preserve">After participants </w:t>
      </w:r>
      <w:r w:rsidRPr="00106BBE" w:rsidR="00562744">
        <w:t>provide consent</w:t>
      </w:r>
      <w:r w:rsidRPr="00106BBE">
        <w:t xml:space="preserve">, they will receive </w:t>
      </w:r>
      <w:r w:rsidRPr="00106BBE">
        <w:rPr>
          <w:rFonts w:cstheme="minorHAnsi"/>
        </w:rPr>
        <w:t>a thank you letter (</w:t>
      </w:r>
      <w:r w:rsidRPr="00106BBE">
        <w:rPr>
          <w:rFonts w:cstheme="minorHAnsi"/>
          <w:b/>
        </w:rPr>
        <w:t xml:space="preserve">Attachment </w:t>
      </w:r>
      <w:r w:rsidRPr="00106BBE" w:rsidR="008F034C">
        <w:rPr>
          <w:b/>
          <w:bCs/>
        </w:rPr>
        <w:t>D4</w:t>
      </w:r>
      <w:r w:rsidRPr="00106BBE">
        <w:rPr>
          <w:rFonts w:cstheme="minorHAnsi"/>
        </w:rPr>
        <w:t>).</w:t>
      </w:r>
    </w:p>
    <w:p w:rsidR="00251305" w:rsidRPr="00106BBE" w:rsidP="00913E13" w14:paraId="4618268F" w14:textId="77777777">
      <w:pPr>
        <w:spacing w:line="360" w:lineRule="auto"/>
        <w:rPr>
          <w:rFonts w:cstheme="minorHAnsi"/>
        </w:rPr>
      </w:pPr>
    </w:p>
    <w:p w:rsidR="00C6291B" w:rsidRPr="00106BBE" w:rsidP="00913E13" w14:paraId="5147BCBA" w14:textId="3AC77DC1">
      <w:pPr>
        <w:spacing w:line="360" w:lineRule="auto"/>
        <w:rPr>
          <w:rFonts w:cstheme="minorHAnsi"/>
        </w:rPr>
      </w:pPr>
      <w:r w:rsidRPr="00106BBE">
        <w:rPr>
          <w:rFonts w:cstheme="minorHAnsi"/>
        </w:rPr>
        <w:t xml:space="preserve">For the states that allow CBDRP access </w:t>
      </w:r>
      <w:r w:rsidRPr="00106BBE" w:rsidR="004A36F1">
        <w:rPr>
          <w:rFonts w:cstheme="minorHAnsi"/>
        </w:rPr>
        <w:t>to</w:t>
      </w:r>
      <w:r w:rsidRPr="00106BBE">
        <w:rPr>
          <w:rFonts w:cstheme="minorHAnsi"/>
        </w:rPr>
        <w:t xml:space="preserve"> newborn bloodspots and require </w:t>
      </w:r>
      <w:r w:rsidRPr="00106BBE" w:rsidR="00DE3722">
        <w:rPr>
          <w:rFonts w:cstheme="minorHAnsi"/>
        </w:rPr>
        <w:t>parental</w:t>
      </w:r>
      <w:r w:rsidRPr="00106BBE">
        <w:rPr>
          <w:rFonts w:cstheme="minorHAnsi"/>
        </w:rPr>
        <w:t xml:space="preserve"> con</w:t>
      </w:r>
      <w:r w:rsidRPr="00106BBE" w:rsidR="00B5297E">
        <w:rPr>
          <w:rFonts w:cstheme="minorHAnsi"/>
        </w:rPr>
        <w:t>s</w:t>
      </w:r>
      <w:r w:rsidRPr="00106BBE">
        <w:rPr>
          <w:rFonts w:cstheme="minorHAnsi"/>
        </w:rPr>
        <w:t xml:space="preserve">ent, a </w:t>
      </w:r>
      <w:r w:rsidRPr="00106BBE" w:rsidR="00DE3722">
        <w:rPr>
          <w:rFonts w:cstheme="minorHAnsi"/>
        </w:rPr>
        <w:t>fact sheet</w:t>
      </w:r>
      <w:r w:rsidRPr="00106BBE" w:rsidR="005C0DF1">
        <w:rPr>
          <w:rFonts w:cstheme="minorHAnsi"/>
        </w:rPr>
        <w:t xml:space="preserve"> describing the </w:t>
      </w:r>
      <w:r w:rsidRPr="00106BBE" w:rsidR="00DE3722">
        <w:rPr>
          <w:rFonts w:cstheme="minorHAnsi"/>
        </w:rPr>
        <w:t xml:space="preserve">previous </w:t>
      </w:r>
      <w:r w:rsidRPr="00106BBE" w:rsidR="00EC3557">
        <w:rPr>
          <w:rFonts w:cstheme="minorHAnsi"/>
        </w:rPr>
        <w:t>collection</w:t>
      </w:r>
      <w:r w:rsidRPr="00106BBE">
        <w:rPr>
          <w:rFonts w:cstheme="minorHAnsi"/>
        </w:rPr>
        <w:t xml:space="preserve"> of newborn bloodspots </w:t>
      </w:r>
      <w:r w:rsidRPr="00106BBE" w:rsidR="00DE3722">
        <w:rPr>
          <w:rFonts w:cstheme="minorHAnsi"/>
        </w:rPr>
        <w:t xml:space="preserve">and why researchers are requesting permission to access any </w:t>
      </w:r>
      <w:r w:rsidRPr="00106BBE" w:rsidR="00066B53">
        <w:rPr>
          <w:rFonts w:cstheme="minorHAnsi"/>
        </w:rPr>
        <w:t>leftover</w:t>
      </w:r>
      <w:r w:rsidRPr="00106BBE" w:rsidR="00DE3722">
        <w:rPr>
          <w:rFonts w:cstheme="minorHAnsi"/>
        </w:rPr>
        <w:t xml:space="preserve"> bloodspots </w:t>
      </w:r>
      <w:r w:rsidRPr="00106BBE">
        <w:rPr>
          <w:rFonts w:cstheme="minorHAnsi"/>
        </w:rPr>
        <w:t xml:space="preserve">is included </w:t>
      </w:r>
      <w:r w:rsidRPr="00106BBE" w:rsidR="0031463B">
        <w:rPr>
          <w:rFonts w:cstheme="minorHAnsi"/>
        </w:rPr>
        <w:t>with</w:t>
      </w:r>
      <w:r w:rsidRPr="00106BBE">
        <w:rPr>
          <w:rFonts w:cstheme="minorHAnsi"/>
        </w:rPr>
        <w:t xml:space="preserve"> the interview thank you letter (</w:t>
      </w:r>
      <w:r w:rsidRPr="00106BBE" w:rsidR="00D67E8D">
        <w:rPr>
          <w:rFonts w:cstheme="minorHAnsi"/>
          <w:b/>
        </w:rPr>
        <w:t>Attachment</w:t>
      </w:r>
      <w:r w:rsidRPr="00106BBE" w:rsidR="00762964">
        <w:rPr>
          <w:rFonts w:cstheme="minorHAnsi"/>
          <w:b/>
        </w:rPr>
        <w:t xml:space="preserve"> </w:t>
      </w:r>
      <w:r w:rsidRPr="00106BBE" w:rsidR="00251305">
        <w:rPr>
          <w:b/>
        </w:rPr>
        <w:t>E1</w:t>
      </w:r>
      <w:r w:rsidRPr="00106BBE">
        <w:rPr>
          <w:rFonts w:cstheme="minorHAnsi"/>
        </w:rPr>
        <w:t xml:space="preserve">), </w:t>
      </w:r>
      <w:r w:rsidRPr="00106BBE" w:rsidR="0031463B">
        <w:rPr>
          <w:rFonts w:cstheme="minorHAnsi"/>
        </w:rPr>
        <w:t>as well as</w:t>
      </w:r>
      <w:r w:rsidRPr="00106BBE">
        <w:rPr>
          <w:rFonts w:cstheme="minorHAnsi"/>
        </w:rPr>
        <w:t xml:space="preserve"> a written consent form </w:t>
      </w:r>
      <w:r w:rsidRPr="00106BBE" w:rsidR="00DE3722">
        <w:rPr>
          <w:rFonts w:cstheme="minorHAnsi"/>
        </w:rPr>
        <w:t xml:space="preserve">requesting </w:t>
      </w:r>
      <w:r w:rsidRPr="00106BBE" w:rsidR="00066B53">
        <w:rPr>
          <w:rFonts w:cstheme="minorHAnsi"/>
        </w:rPr>
        <w:t xml:space="preserve">parental </w:t>
      </w:r>
      <w:r w:rsidRPr="00106BBE" w:rsidR="00DE3722">
        <w:rPr>
          <w:rFonts w:cstheme="minorHAnsi"/>
        </w:rPr>
        <w:t>permission</w:t>
      </w:r>
      <w:r w:rsidRPr="00106BBE">
        <w:rPr>
          <w:rFonts w:cstheme="minorHAnsi"/>
        </w:rPr>
        <w:t xml:space="preserve"> to </w:t>
      </w:r>
      <w:r w:rsidRPr="00106BBE" w:rsidR="00DE3722">
        <w:rPr>
          <w:rFonts w:cstheme="minorHAnsi"/>
        </w:rPr>
        <w:t>access</w:t>
      </w:r>
      <w:r w:rsidRPr="00106BBE" w:rsidR="00066B53">
        <w:rPr>
          <w:rFonts w:cstheme="minorHAnsi"/>
        </w:rPr>
        <w:t xml:space="preserve"> their infant’s</w:t>
      </w:r>
      <w:r w:rsidRPr="00106BBE" w:rsidR="00DE3722">
        <w:rPr>
          <w:rFonts w:cstheme="minorHAnsi"/>
        </w:rPr>
        <w:t xml:space="preserve"> </w:t>
      </w:r>
      <w:r w:rsidRPr="00106BBE">
        <w:rPr>
          <w:rFonts w:cstheme="minorHAnsi"/>
        </w:rPr>
        <w:t>bloodspots (</w:t>
      </w:r>
      <w:r w:rsidRPr="00106BBE" w:rsidR="00D67E8D">
        <w:rPr>
          <w:rFonts w:cstheme="minorHAnsi"/>
          <w:b/>
        </w:rPr>
        <w:t>Attachment</w:t>
      </w:r>
      <w:r w:rsidRPr="00106BBE">
        <w:rPr>
          <w:rFonts w:cstheme="minorHAnsi"/>
          <w:b/>
        </w:rPr>
        <w:t xml:space="preserve"> </w:t>
      </w:r>
      <w:r w:rsidRPr="00106BBE" w:rsidR="00251305">
        <w:rPr>
          <w:rFonts w:cstheme="minorHAnsi"/>
          <w:b/>
        </w:rPr>
        <w:t>E2</w:t>
      </w:r>
      <w:r w:rsidRPr="00106BBE">
        <w:rPr>
          <w:rFonts w:cstheme="minorHAnsi"/>
        </w:rPr>
        <w:t>). For parents of multiples (e.g.</w:t>
      </w:r>
      <w:r w:rsidRPr="00106BBE" w:rsidR="008704A2">
        <w:rPr>
          <w:rFonts w:cstheme="minorHAnsi"/>
        </w:rPr>
        <w:t>,</w:t>
      </w:r>
      <w:r w:rsidRPr="00106BBE">
        <w:rPr>
          <w:rFonts w:cstheme="minorHAnsi"/>
        </w:rPr>
        <w:t xml:space="preserve"> twins or triplets), consent for </w:t>
      </w:r>
      <w:r w:rsidRPr="00106BBE" w:rsidR="003A6679">
        <w:rPr>
          <w:rFonts w:cstheme="minorHAnsi"/>
        </w:rPr>
        <w:t>sharing dat</w:t>
      </w:r>
      <w:r w:rsidRPr="00106BBE" w:rsidR="00876238">
        <w:rPr>
          <w:rFonts w:cstheme="minorHAnsi"/>
        </w:rPr>
        <w:t>a</w:t>
      </w:r>
      <w:r w:rsidRPr="00106BBE" w:rsidR="003A6679">
        <w:rPr>
          <w:rFonts w:cstheme="minorHAnsi"/>
        </w:rPr>
        <w:t xml:space="preserve"> (including </w:t>
      </w:r>
      <w:r w:rsidRPr="00106BBE">
        <w:rPr>
          <w:rFonts w:cstheme="minorHAnsi"/>
        </w:rPr>
        <w:t>newborn bloodspots</w:t>
      </w:r>
      <w:r w:rsidRPr="00106BBE" w:rsidR="003A6679">
        <w:rPr>
          <w:rFonts w:cstheme="minorHAnsi"/>
        </w:rPr>
        <w:t>)</w:t>
      </w:r>
      <w:r w:rsidRPr="00106BBE">
        <w:rPr>
          <w:rFonts w:cstheme="minorHAnsi"/>
        </w:rPr>
        <w:t xml:space="preserve"> of the siblings that were part of the multiple birth </w:t>
      </w:r>
      <w:r w:rsidRPr="00106BBE" w:rsidR="004A36F1">
        <w:rPr>
          <w:rFonts w:cstheme="minorHAnsi"/>
        </w:rPr>
        <w:t>is</w:t>
      </w:r>
      <w:r w:rsidRPr="00106BBE">
        <w:rPr>
          <w:rFonts w:cstheme="minorHAnsi"/>
        </w:rPr>
        <w:t xml:space="preserve"> requested (</w:t>
      </w:r>
      <w:r w:rsidRPr="00106BBE" w:rsidR="00D67E8D">
        <w:rPr>
          <w:rFonts w:cstheme="minorHAnsi"/>
          <w:b/>
        </w:rPr>
        <w:t>Attachment</w:t>
      </w:r>
      <w:r w:rsidRPr="00106BBE">
        <w:rPr>
          <w:rFonts w:cstheme="minorHAnsi"/>
          <w:b/>
        </w:rPr>
        <w:t xml:space="preserve"> </w:t>
      </w:r>
      <w:r w:rsidRPr="00106BBE" w:rsidR="00251305">
        <w:rPr>
          <w:rFonts w:cstheme="minorHAnsi"/>
          <w:b/>
        </w:rPr>
        <w:t>E3</w:t>
      </w:r>
      <w:r w:rsidRPr="00106BBE">
        <w:rPr>
          <w:rFonts w:cstheme="minorHAnsi"/>
        </w:rPr>
        <w:t>).</w:t>
      </w:r>
      <w:r w:rsidR="00106BBE">
        <w:rPr>
          <w:rFonts w:cstheme="minorHAnsi"/>
        </w:rPr>
        <w:t xml:space="preserve"> </w:t>
      </w:r>
      <w:r w:rsidRPr="00106BBE" w:rsidR="00251305">
        <w:rPr>
          <w:rFonts w:cstheme="minorHAnsi"/>
        </w:rPr>
        <w:t>Verbal consent scrips are also available (</w:t>
      </w:r>
      <w:r w:rsidRPr="00106BBE" w:rsidR="008F034C">
        <w:rPr>
          <w:rFonts w:cstheme="minorHAnsi"/>
          <w:b/>
        </w:rPr>
        <w:t xml:space="preserve">Attachment </w:t>
      </w:r>
      <w:r w:rsidRPr="00106BBE" w:rsidR="00251305">
        <w:rPr>
          <w:rFonts w:cstheme="minorHAnsi"/>
          <w:b/>
          <w:bCs/>
        </w:rPr>
        <w:t>E4-E5</w:t>
      </w:r>
      <w:r w:rsidRPr="00106BBE" w:rsidR="00251305">
        <w:rPr>
          <w:rFonts w:cstheme="minorHAnsi"/>
        </w:rPr>
        <w:t xml:space="preserve">). </w:t>
      </w:r>
      <w:r w:rsidRPr="00106BBE" w:rsidR="00066B53">
        <w:t xml:space="preserve">After participants consent to access their infant’s bloodspots, they will receive </w:t>
      </w:r>
      <w:r w:rsidRPr="00106BBE" w:rsidR="00066B53">
        <w:rPr>
          <w:rFonts w:cstheme="minorHAnsi"/>
        </w:rPr>
        <w:t>a thank you letter (</w:t>
      </w:r>
      <w:r w:rsidRPr="00106BBE" w:rsidR="008F034C">
        <w:rPr>
          <w:rFonts w:cstheme="minorHAnsi"/>
          <w:b/>
        </w:rPr>
        <w:t xml:space="preserve">Attachment </w:t>
      </w:r>
      <w:r w:rsidRPr="00106BBE" w:rsidR="008F034C">
        <w:rPr>
          <w:rFonts w:cstheme="minorHAnsi"/>
          <w:b/>
          <w:bCs/>
        </w:rPr>
        <w:t>E6</w:t>
      </w:r>
      <w:r w:rsidRPr="00106BBE" w:rsidR="00251305">
        <w:rPr>
          <w:rFonts w:cstheme="minorHAnsi"/>
          <w:bCs/>
        </w:rPr>
        <w:t>)</w:t>
      </w:r>
      <w:r w:rsidRPr="00106BBE" w:rsidR="008F034C">
        <w:rPr>
          <w:rFonts w:cstheme="minorHAnsi"/>
          <w:bCs/>
        </w:rPr>
        <w:t>.</w:t>
      </w:r>
    </w:p>
    <w:p w:rsidR="00296A15" w:rsidRPr="00106BBE" w:rsidP="00913E13" w14:paraId="3DE2688D"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rsidR="0031463B" w:rsidRPr="00106BBE" w:rsidP="00913E13" w14:paraId="6F54D41F" w14:textId="5ECF9BBD">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06BBE">
        <w:t xml:space="preserve">In addition, </w:t>
      </w:r>
      <w:bookmarkStart w:id="0" w:name="_Hlk114554020"/>
      <w:r w:rsidRPr="00106BBE">
        <w:t xml:space="preserve">participants are asked </w:t>
      </w:r>
      <w:r w:rsidRPr="00106BBE" w:rsidR="005C0DF1">
        <w:t>during the interview</w:t>
      </w:r>
      <w:r w:rsidRPr="00106BBE">
        <w:t xml:space="preserve"> if they work in one of eight occupational categories of interest. If yes, participants are sent a</w:t>
      </w:r>
      <w:r w:rsidRPr="00106BBE" w:rsidR="00985698">
        <w:t>n</w:t>
      </w:r>
      <w:r w:rsidRPr="00106BBE">
        <w:t xml:space="preserve"> introductory </w:t>
      </w:r>
      <w:r w:rsidRPr="00106BBE" w:rsidR="000C4132">
        <w:t>invitation</w:t>
      </w:r>
      <w:r w:rsidRPr="00106BBE" w:rsidR="00985698">
        <w:t xml:space="preserve"> via email</w:t>
      </w:r>
      <w:r w:rsidRPr="00106BBE" w:rsidR="000C4132">
        <w:t xml:space="preserve"> that</w:t>
      </w:r>
      <w:r w:rsidRPr="00106BBE">
        <w:t xml:space="preserve"> includes information about the online questionnaire</w:t>
      </w:r>
      <w:r w:rsidRPr="00106BBE" w:rsidR="00B5297E">
        <w:t xml:space="preserve"> and </w:t>
      </w:r>
      <w:r w:rsidRPr="00106BBE">
        <w:t xml:space="preserve">a link to the </w:t>
      </w:r>
      <w:r w:rsidRPr="00106BBE" w:rsidR="005C0DF1">
        <w:t xml:space="preserve">online </w:t>
      </w:r>
      <w:r w:rsidRPr="00106BBE">
        <w:t>questionnaire</w:t>
      </w:r>
      <w:r w:rsidRPr="00106BBE" w:rsidR="008F034C">
        <w:t>, which varies slightly depending upon the participant’s reported occupation</w:t>
      </w:r>
      <w:r w:rsidRPr="00106BBE">
        <w:t xml:space="preserve"> </w:t>
      </w:r>
      <w:bookmarkEnd w:id="0"/>
      <w:r w:rsidRPr="00106BBE">
        <w:rPr>
          <w:rFonts w:cstheme="minorHAnsi"/>
        </w:rPr>
        <w:t>(</w:t>
      </w:r>
      <w:r w:rsidRPr="00106BBE" w:rsidR="00D67E8D">
        <w:rPr>
          <w:rFonts w:cstheme="minorHAnsi"/>
          <w:b/>
        </w:rPr>
        <w:t>Attachment</w:t>
      </w:r>
      <w:r w:rsidRPr="00106BBE">
        <w:rPr>
          <w:rFonts w:cstheme="minorHAnsi"/>
          <w:b/>
        </w:rPr>
        <w:t xml:space="preserve"> </w:t>
      </w:r>
      <w:r w:rsidRPr="00106BBE" w:rsidR="008F034C">
        <w:rPr>
          <w:rFonts w:cstheme="minorHAnsi"/>
          <w:b/>
        </w:rPr>
        <w:t>F1</w:t>
      </w:r>
      <w:r w:rsidRPr="00106BBE">
        <w:rPr>
          <w:rFonts w:cstheme="minorHAnsi"/>
        </w:rPr>
        <w:t xml:space="preserve">). </w:t>
      </w:r>
      <w:r w:rsidRPr="00106BBE">
        <w:rPr>
          <w:rFonts w:cstheme="minorHAnsi"/>
        </w:rPr>
        <w:t xml:space="preserve">After </w:t>
      </w:r>
      <w:r w:rsidRPr="00106BBE" w:rsidR="00F803F0">
        <w:rPr>
          <w:rFonts w:cstheme="minorHAnsi"/>
        </w:rPr>
        <w:t>participants</w:t>
      </w:r>
      <w:r w:rsidRPr="00106BBE">
        <w:rPr>
          <w:rFonts w:cstheme="minorHAnsi"/>
        </w:rPr>
        <w:t xml:space="preserve"> complete the online </w:t>
      </w:r>
      <w:r w:rsidRPr="00106BBE" w:rsidR="00661D23">
        <w:rPr>
          <w:rFonts w:cstheme="minorHAnsi"/>
        </w:rPr>
        <w:t>questionnaire,</w:t>
      </w:r>
      <w:r w:rsidRPr="00106BBE">
        <w:rPr>
          <w:rFonts w:cstheme="minorHAnsi"/>
        </w:rPr>
        <w:t xml:space="preserve"> </w:t>
      </w:r>
      <w:r w:rsidRPr="00106BBE" w:rsidR="00066B53">
        <w:rPr>
          <w:rFonts w:cstheme="minorHAnsi"/>
        </w:rPr>
        <w:t xml:space="preserve">they will receive </w:t>
      </w:r>
      <w:r w:rsidRPr="00106BBE">
        <w:rPr>
          <w:rFonts w:cstheme="minorHAnsi"/>
        </w:rPr>
        <w:t>a thank you letter</w:t>
      </w:r>
      <w:r w:rsidRPr="00106BBE" w:rsidR="008F034C">
        <w:rPr>
          <w:rFonts w:cstheme="minorHAnsi"/>
        </w:rPr>
        <w:t xml:space="preserve"> (</w:t>
      </w:r>
      <w:r w:rsidRPr="00106BBE" w:rsidR="008F034C">
        <w:rPr>
          <w:rFonts w:cstheme="minorHAnsi"/>
          <w:b/>
        </w:rPr>
        <w:t>Attachment F</w:t>
      </w:r>
      <w:r w:rsidR="00106BBE">
        <w:rPr>
          <w:rFonts w:cstheme="minorHAnsi"/>
          <w:b/>
        </w:rPr>
        <w:t>2</w:t>
      </w:r>
      <w:r w:rsidRPr="00106BBE" w:rsidR="008F034C">
        <w:rPr>
          <w:rFonts w:cstheme="minorHAnsi"/>
        </w:rPr>
        <w:t>)</w:t>
      </w:r>
      <w:r w:rsidRPr="00106BBE">
        <w:rPr>
          <w:rFonts w:cstheme="minorHAnsi"/>
        </w:rPr>
        <w:t>.</w:t>
      </w:r>
    </w:p>
    <w:p w:rsidR="00C43F72" w:rsidRPr="00106BBE" w:rsidP="00913E13" w14:paraId="312F8108"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rPr>
          <w:highlight w:val="yellow"/>
        </w:rPr>
      </w:pPr>
    </w:p>
    <w:p w:rsidR="00C43F72" w:rsidRPr="00106BBE" w:rsidP="00913E13" w14:paraId="0A6946C5" w14:textId="1BFA66C8">
      <w:pPr>
        <w:spacing w:line="360" w:lineRule="auto"/>
      </w:pPr>
      <w:r w:rsidRPr="00106BBE">
        <w:t xml:space="preserve">Finally, two Centers ask </w:t>
      </w:r>
      <w:r w:rsidRPr="00106BBE" w:rsidR="00E30E22">
        <w:t>women</w:t>
      </w:r>
      <w:r w:rsidRPr="00106BBE">
        <w:t xml:space="preserve"> </w:t>
      </w:r>
      <w:r w:rsidRPr="00106BBE" w:rsidR="00985698">
        <w:t>whose pregnancies ended in stillbirth</w:t>
      </w:r>
      <w:r w:rsidRPr="00106BBE">
        <w:t xml:space="preserve"> with or without birth defects and </w:t>
      </w:r>
      <w:r w:rsidRPr="00106BBE" w:rsidR="00E30E22">
        <w:t xml:space="preserve">mothers of liveborn </w:t>
      </w:r>
      <w:r w:rsidRPr="00106BBE">
        <w:t xml:space="preserve">controls to participate in a </w:t>
      </w:r>
      <w:r w:rsidR="00140DF3">
        <w:t>supplemental</w:t>
      </w:r>
      <w:r w:rsidRPr="00106BBE" w:rsidR="005F3809">
        <w:t xml:space="preserve"> </w:t>
      </w:r>
      <w:r w:rsidRPr="00106BBE" w:rsidR="009B48A9">
        <w:t xml:space="preserve">telephone </w:t>
      </w:r>
      <w:r w:rsidRPr="00106BBE">
        <w:t>interview</w:t>
      </w:r>
      <w:r w:rsidRPr="00106BBE" w:rsidR="00895AD4">
        <w:t xml:space="preserve"> that ascertains additional information related to risk factors for stillbirth</w:t>
      </w:r>
      <w:r w:rsidRPr="00106BBE" w:rsidR="005835E2">
        <w:t xml:space="preserve"> (</w:t>
      </w:r>
      <w:r w:rsidRPr="00106BBE" w:rsidR="005835E2">
        <w:rPr>
          <w:b/>
          <w:bCs/>
        </w:rPr>
        <w:t>Attachment G1</w:t>
      </w:r>
      <w:r w:rsidRPr="00106BBE" w:rsidR="005835E2">
        <w:t>)</w:t>
      </w:r>
      <w:r w:rsidRPr="00106BBE">
        <w:t xml:space="preserve">. </w:t>
      </w:r>
      <w:r w:rsidRPr="00106BBE" w:rsidR="00E30E22">
        <w:t>Eligible women</w:t>
      </w:r>
      <w:r w:rsidRPr="00106BBE">
        <w:t xml:space="preserve"> </w:t>
      </w:r>
      <w:r w:rsidRPr="00106BBE" w:rsidR="00895AD4">
        <w:t>are</w:t>
      </w:r>
      <w:r w:rsidRPr="00106BBE">
        <w:t xml:space="preserve"> sent </w:t>
      </w:r>
      <w:r w:rsidRPr="00106BBE" w:rsidR="0040300F">
        <w:t>a</w:t>
      </w:r>
      <w:r w:rsidRPr="00106BBE" w:rsidR="005C0DF1">
        <w:t>n</w:t>
      </w:r>
      <w:r w:rsidRPr="00106BBE">
        <w:t xml:space="preserve"> invitation that includes information about the interview</w:t>
      </w:r>
      <w:r w:rsidRPr="00106BBE" w:rsidR="005835E2">
        <w:t xml:space="preserve"> (</w:t>
      </w:r>
      <w:r w:rsidRPr="00106BBE" w:rsidR="005835E2">
        <w:rPr>
          <w:b/>
          <w:bCs/>
        </w:rPr>
        <w:t>Attachment G2</w:t>
      </w:r>
      <w:r w:rsidRPr="00106BBE" w:rsidR="005835E2">
        <w:t>)</w:t>
      </w:r>
      <w:r w:rsidRPr="00106BBE">
        <w:t>.</w:t>
      </w:r>
      <w:r w:rsidRPr="00106BBE" w:rsidR="004B2BFF">
        <w:t xml:space="preserve"> At the end of the first interview</w:t>
      </w:r>
      <w:r w:rsidRPr="00106BBE">
        <w:t xml:space="preserve">, the interviewer </w:t>
      </w:r>
      <w:r w:rsidRPr="00106BBE" w:rsidR="00895AD4">
        <w:t xml:space="preserve">either </w:t>
      </w:r>
      <w:r w:rsidRPr="00106BBE">
        <w:t>obtains oral consent for the</w:t>
      </w:r>
      <w:r w:rsidRPr="00106BBE" w:rsidR="00895AD4">
        <w:t xml:space="preserve"> supplemental</w:t>
      </w:r>
      <w:r w:rsidRPr="00106BBE" w:rsidR="005F3809">
        <w:t xml:space="preserve"> second part of the</w:t>
      </w:r>
      <w:r w:rsidRPr="00106BBE">
        <w:t xml:space="preserve"> interview and conducts the interview </w:t>
      </w:r>
      <w:r w:rsidRPr="00106BBE" w:rsidR="00895AD4">
        <w:t xml:space="preserve">at that time </w:t>
      </w:r>
      <w:r w:rsidRPr="00106BBE">
        <w:t xml:space="preserve">or schedules the </w:t>
      </w:r>
      <w:r w:rsidRPr="00106BBE" w:rsidR="00B87F49">
        <w:t xml:space="preserve">supplemental </w:t>
      </w:r>
      <w:r w:rsidRPr="00106BBE">
        <w:t>interview at a</w:t>
      </w:r>
      <w:r w:rsidRPr="00106BBE" w:rsidR="00895AD4">
        <w:t>nother</w:t>
      </w:r>
      <w:r w:rsidRPr="00106BBE">
        <w:t xml:space="preserve"> time convenient for the </w:t>
      </w:r>
      <w:r w:rsidRPr="00106BBE" w:rsidR="00985698">
        <w:t>mother</w:t>
      </w:r>
      <w:r w:rsidRPr="00106BBE">
        <w:t xml:space="preserve">. The </w:t>
      </w:r>
      <w:r w:rsidRPr="00106BBE" w:rsidR="00B87F49">
        <w:t>supplemental questionnaire</w:t>
      </w:r>
      <w:r w:rsidRPr="00106BBE">
        <w:t xml:space="preserve"> is </w:t>
      </w:r>
      <w:r w:rsidRPr="00106BBE" w:rsidR="00B87F49">
        <w:t>administered using a CATI</w:t>
      </w:r>
      <w:r w:rsidRPr="00106BBE">
        <w:t xml:space="preserve"> (</w:t>
      </w:r>
      <w:r w:rsidRPr="00106BBE" w:rsidR="005835E2">
        <w:rPr>
          <w:b/>
          <w:bCs/>
        </w:rPr>
        <w:t>Attachment G1</w:t>
      </w:r>
      <w:r w:rsidRPr="00106BBE">
        <w:t>).</w:t>
      </w:r>
      <w:r w:rsidR="00106BBE">
        <w:t xml:space="preserve"> </w:t>
      </w:r>
      <w:r w:rsidRPr="00106BBE">
        <w:t xml:space="preserve">The script used in the telephone interview (including oral consent) is in </w:t>
      </w:r>
      <w:r w:rsidRPr="00106BBE" w:rsidR="00D67E8D">
        <w:rPr>
          <w:b/>
          <w:bCs/>
        </w:rPr>
        <w:t>Attachment</w:t>
      </w:r>
      <w:r w:rsidRPr="00106BBE">
        <w:rPr>
          <w:b/>
          <w:bCs/>
        </w:rPr>
        <w:t xml:space="preserve"> </w:t>
      </w:r>
      <w:r w:rsidRPr="00106BBE" w:rsidR="005835E2">
        <w:rPr>
          <w:b/>
          <w:bCs/>
        </w:rPr>
        <w:t>G3</w:t>
      </w:r>
      <w:r w:rsidRPr="00106BBE">
        <w:t>. The script varies slightly depending on th</w:t>
      </w:r>
      <w:r w:rsidRPr="00106BBE" w:rsidR="005019D8">
        <w:t xml:space="preserve">e status of the child: control or </w:t>
      </w:r>
      <w:r w:rsidRPr="00106BBE">
        <w:t xml:space="preserve">stillborn case. </w:t>
      </w:r>
      <w:r w:rsidRPr="00106BBE" w:rsidR="00940466">
        <w:t>P</w:t>
      </w:r>
      <w:r w:rsidRPr="00106BBE" w:rsidR="00F803F0">
        <w:rPr>
          <w:rFonts w:cstheme="minorHAnsi"/>
        </w:rPr>
        <w:t>articipants</w:t>
      </w:r>
      <w:r w:rsidRPr="00106BBE" w:rsidR="00940466">
        <w:rPr>
          <w:rFonts w:cstheme="minorHAnsi"/>
        </w:rPr>
        <w:t xml:space="preserve"> receive a thank you letter after they</w:t>
      </w:r>
      <w:r w:rsidRPr="00106BBE" w:rsidR="00F803F0">
        <w:rPr>
          <w:rFonts w:cstheme="minorHAnsi"/>
        </w:rPr>
        <w:t xml:space="preserve"> complete the </w:t>
      </w:r>
      <w:r w:rsidRPr="00106BBE" w:rsidR="00895AD4">
        <w:rPr>
          <w:rFonts w:cstheme="minorHAnsi"/>
        </w:rPr>
        <w:t>second/</w:t>
      </w:r>
      <w:r w:rsidRPr="00106BBE" w:rsidR="00940466">
        <w:rPr>
          <w:rFonts w:cstheme="minorHAnsi"/>
        </w:rPr>
        <w:t>supplemental telephone interview (</w:t>
      </w:r>
      <w:r w:rsidRPr="00106BBE" w:rsidR="005835E2">
        <w:rPr>
          <w:b/>
          <w:bCs/>
        </w:rPr>
        <w:t>Attachment G4</w:t>
      </w:r>
      <w:r w:rsidRPr="00106BBE" w:rsidR="008D044A">
        <w:rPr>
          <w:rFonts w:cstheme="minorHAnsi"/>
        </w:rPr>
        <w:t>).</w:t>
      </w:r>
      <w:r w:rsidRPr="00106BBE" w:rsidR="00131F13">
        <w:rPr>
          <w:rFonts w:cstheme="minorHAnsi"/>
        </w:rPr>
        <w:t xml:space="preserve"> </w:t>
      </w:r>
      <w:r w:rsidRPr="00106BBE" w:rsidR="00131F13">
        <w:t xml:space="preserve">A subset of women from these two </w:t>
      </w:r>
      <w:r w:rsidRPr="00106BBE" w:rsidR="00B87F49">
        <w:t xml:space="preserve">Centers </w:t>
      </w:r>
      <w:r w:rsidRPr="00106BBE" w:rsidR="00131F13">
        <w:t xml:space="preserve">will also be invited to participate in a COVID-19-related sub-study. </w:t>
      </w:r>
      <w:r w:rsidRPr="00106BBE" w:rsidR="00B87F49">
        <w:t>Women who experienced a stillbirth</w:t>
      </w:r>
      <w:r w:rsidRPr="00106BBE" w:rsidR="00131F13">
        <w:t xml:space="preserve"> between January 1, 2017 and October 31, 2019 who have </w:t>
      </w:r>
      <w:r w:rsidRPr="00106BBE" w:rsidR="00B87F49">
        <w:t xml:space="preserve">records of </w:t>
      </w:r>
      <w:r w:rsidRPr="00106BBE" w:rsidR="00131F13">
        <w:t>placental and</w:t>
      </w:r>
      <w:r w:rsidRPr="00106BBE" w:rsidR="00B87F49">
        <w:t>/or</w:t>
      </w:r>
      <w:r w:rsidRPr="00106BBE" w:rsidR="00131F13">
        <w:t xml:space="preserve"> fetal tissue samples, regardless of prior participation in the BD-STEPS interview, will be </w:t>
      </w:r>
      <w:r w:rsidRPr="00106BBE" w:rsidR="005835E2">
        <w:t xml:space="preserve">sent a letter and request </w:t>
      </w:r>
      <w:r w:rsidRPr="00106BBE" w:rsidR="00131F13">
        <w:t xml:space="preserve">for written authorization </w:t>
      </w:r>
      <w:r w:rsidRPr="00106BBE" w:rsidR="00131F13">
        <w:rPr>
          <w:rFonts w:cstheme="minorHAnsi"/>
        </w:rPr>
        <w:t>(</w:t>
      </w:r>
      <w:r w:rsidRPr="00106BBE" w:rsidR="005835E2">
        <w:rPr>
          <w:b/>
          <w:bCs/>
        </w:rPr>
        <w:t>Attachments G5-G6)</w:t>
      </w:r>
      <w:r w:rsidRPr="00106BBE" w:rsidR="00131F13">
        <w:rPr>
          <w:rFonts w:cstheme="minorHAnsi"/>
        </w:rPr>
        <w:t xml:space="preserve"> </w:t>
      </w:r>
      <w:r w:rsidRPr="00106BBE" w:rsidR="00131F13">
        <w:t xml:space="preserve">to have these samples shipped to CDC for </w:t>
      </w:r>
      <w:r w:rsidRPr="00106BBE" w:rsidR="00B87F49">
        <w:t>COVID-19-related</w:t>
      </w:r>
      <w:r w:rsidRPr="00106BBE" w:rsidR="00131F13">
        <w:t xml:space="preserve"> testing.</w:t>
      </w:r>
    </w:p>
    <w:p w:rsidR="00C43F72" w:rsidRPr="00106BBE" w:rsidP="00913E13" w14:paraId="0675D79E" w14:textId="2644B9F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rsidR="007508E0" w:rsidRPr="00106BBE" w:rsidP="00913E13" w14:paraId="359FB251" w14:textId="7045D58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06BBE">
        <w:t>A large portion of the BD-STEPS interview has been maintained from the</w:t>
      </w:r>
      <w:r w:rsidRPr="00106BBE" w:rsidR="00B87F49">
        <w:t xml:space="preserve"> previous iteration of the CBDRP’s case control study of birth defect</w:t>
      </w:r>
      <w:r w:rsidRPr="00106BBE" w:rsidR="005C1890">
        <w:t>s</w:t>
      </w:r>
      <w:r w:rsidRPr="00106BBE" w:rsidR="00B87F49">
        <w:t xml:space="preserve"> risk factors, the National Birth Defects Prevention Study</w:t>
      </w:r>
      <w:r w:rsidRPr="00106BBE">
        <w:t xml:space="preserve"> </w:t>
      </w:r>
      <w:r w:rsidRPr="00106BBE" w:rsidR="005C1890">
        <w:t>(</w:t>
      </w:r>
      <w:r w:rsidRPr="00106BBE">
        <w:t>NBDPS</w:t>
      </w:r>
      <w:r w:rsidRPr="00106BBE" w:rsidR="005C1890">
        <w:t>),</w:t>
      </w:r>
      <w:r w:rsidRPr="00106BBE">
        <w:t xml:space="preserve"> to make pooling of the CBDRP’s NBDPS and BD-STEPS data possible; pooled data will facilitate the analysis of rare exposures and the examination of trends over time. The BD-STEPS interview retained topics including pregnancy history, family history, multiple births, fertility, maternal conditions and illnesses (including diabetes, genitourinary infections, and fevers), medication and herbal use, emotional stress, physical activity, obesity, alcohol and tobacco use, residential history, occupational history, and demographic characteristics (including race, ethnicity, acculturation status, and education).</w:t>
      </w:r>
      <w:r w:rsidR="00106BBE">
        <w:t xml:space="preserve"> </w:t>
      </w:r>
    </w:p>
    <w:p w:rsidR="00373CF8" w:rsidRPr="00106BBE" w:rsidP="00913E13" w14:paraId="6FCD5B67"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rsidR="004A309F" w:rsidRPr="00106BBE" w:rsidP="00913E13" w14:paraId="34388285" w14:textId="4A9C7A9C">
      <w:pPr>
        <w:pStyle w:val="Heading2"/>
        <w:spacing w:line="360" w:lineRule="auto"/>
        <w:rPr>
          <w:sz w:val="24"/>
          <w:szCs w:val="24"/>
          <w:u w:val="single"/>
        </w:rPr>
      </w:pPr>
      <w:r w:rsidRPr="00106BBE">
        <w:rPr>
          <w:sz w:val="24"/>
          <w:szCs w:val="24"/>
          <w:u w:val="single"/>
        </w:rPr>
        <w:t>B.3.</w:t>
      </w:r>
      <w:r w:rsidRPr="00106BBE">
        <w:rPr>
          <w:sz w:val="24"/>
          <w:szCs w:val="24"/>
          <w:u w:val="single"/>
        </w:rPr>
        <w:tab/>
        <w:t xml:space="preserve">Methods to Maximize Response Rates and Deal </w:t>
      </w:r>
      <w:r w:rsidRPr="00106BBE" w:rsidR="00182EE2">
        <w:rPr>
          <w:sz w:val="24"/>
          <w:szCs w:val="24"/>
          <w:u w:val="single"/>
        </w:rPr>
        <w:t>w</w:t>
      </w:r>
      <w:r w:rsidRPr="00106BBE">
        <w:rPr>
          <w:sz w:val="24"/>
          <w:szCs w:val="24"/>
          <w:u w:val="single"/>
        </w:rPr>
        <w:t xml:space="preserve">ith Nonresponse </w:t>
      </w:r>
    </w:p>
    <w:p w:rsidR="008C11FA" w:rsidRPr="00106BBE" w:rsidP="00913E13" w14:paraId="70189A38" w14:textId="77777777">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hanging="864"/>
        <w:jc w:val="both"/>
      </w:pPr>
    </w:p>
    <w:p w:rsidR="0040300F" w:rsidRPr="00106BBE" w:rsidP="00A202F6" w14:paraId="29E08752" w14:textId="29082F8E">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06BBE">
        <w:t xml:space="preserve">The response rate </w:t>
      </w:r>
      <w:r w:rsidRPr="00106BBE" w:rsidR="00A95206">
        <w:t xml:space="preserve">during the </w:t>
      </w:r>
      <w:r w:rsidRPr="00106BBE" w:rsidR="00B00B94">
        <w:t>first year</w:t>
      </w:r>
      <w:r w:rsidRPr="00106BBE" w:rsidR="00A95206">
        <w:t xml:space="preserve"> of the NBDPS</w:t>
      </w:r>
      <w:r w:rsidRPr="00106BBE">
        <w:t xml:space="preserve"> </w:t>
      </w:r>
      <w:r w:rsidRPr="00106BBE" w:rsidR="005C1890">
        <w:t xml:space="preserve">(1998) </w:t>
      </w:r>
      <w:r w:rsidRPr="00106BBE">
        <w:t xml:space="preserve">was </w:t>
      </w:r>
      <w:r w:rsidRPr="00106BBE" w:rsidR="003E01D6">
        <w:t>approximately 60%</w:t>
      </w:r>
      <w:r w:rsidRPr="00106BBE">
        <w:t xml:space="preserve"> for cases and controls.</w:t>
      </w:r>
      <w:r w:rsidR="00106BBE">
        <w:t xml:space="preserve"> </w:t>
      </w:r>
      <w:r w:rsidRPr="00106BBE" w:rsidR="00A95206">
        <w:t xml:space="preserve">With the addition of </w:t>
      </w:r>
      <w:r w:rsidRPr="00106BBE" w:rsidR="005C1890">
        <w:t>a</w:t>
      </w:r>
      <w:r w:rsidRPr="00106BBE" w:rsidR="00A95206">
        <w:t xml:space="preserve"> $20 money order in the introductory packet, interview participation rates increased to</w:t>
      </w:r>
      <w:r w:rsidRPr="00106BBE" w:rsidR="003E01D6">
        <w:t xml:space="preserve"> over 70%</w:t>
      </w:r>
      <w:r w:rsidRPr="00106BBE" w:rsidR="00A95206">
        <w:t xml:space="preserve"> in 2000.</w:t>
      </w:r>
      <w:r w:rsidRPr="00106BBE" w:rsidR="00E67CE6">
        <w:t xml:space="preserve"> Interview participation rates </w:t>
      </w:r>
      <w:r w:rsidRPr="00106BBE" w:rsidR="00D15122">
        <w:t>range</w:t>
      </w:r>
      <w:r w:rsidRPr="00106BBE" w:rsidR="00693164">
        <w:t>d</w:t>
      </w:r>
      <w:r w:rsidRPr="00106BBE" w:rsidR="00D15122">
        <w:t xml:space="preserve"> </w:t>
      </w:r>
      <w:r w:rsidRPr="00106BBE" w:rsidR="003E01D6">
        <w:t>from approximately</w:t>
      </w:r>
      <w:r w:rsidRPr="00106BBE" w:rsidR="00D15122">
        <w:t xml:space="preserve"> </w:t>
      </w:r>
      <w:r w:rsidRPr="00106BBE" w:rsidR="00A130E0">
        <w:t>60-</w:t>
      </w:r>
      <w:r w:rsidRPr="00106BBE" w:rsidR="003E01D6">
        <w:t>70%</w:t>
      </w:r>
      <w:r w:rsidRPr="00106BBE" w:rsidR="00A130E0">
        <w:t xml:space="preserve"> from 2005-2009.</w:t>
      </w:r>
      <w:r w:rsidRPr="00106BBE" w:rsidR="00F803F0">
        <w:t xml:space="preserve"> </w:t>
      </w:r>
      <w:r w:rsidRPr="00106BBE" w:rsidR="00DC1609">
        <w:t xml:space="preserve">As of 2019, </w:t>
      </w:r>
      <w:r w:rsidRPr="00106BBE" w:rsidR="005C1890">
        <w:t xml:space="preserve">BD-STEPS </w:t>
      </w:r>
      <w:r w:rsidRPr="00106BBE" w:rsidR="00940466">
        <w:t xml:space="preserve">participants </w:t>
      </w:r>
      <w:r w:rsidRPr="00106BBE" w:rsidR="00DC1609">
        <w:t xml:space="preserve">are </w:t>
      </w:r>
      <w:r w:rsidRPr="00106BBE" w:rsidR="00940466">
        <w:t xml:space="preserve">offered an additional </w:t>
      </w:r>
      <w:r w:rsidRPr="00106BBE" w:rsidR="00373449">
        <w:t xml:space="preserve">token of appreciation </w:t>
      </w:r>
      <w:r w:rsidRPr="00106BBE" w:rsidR="00940466">
        <w:t>upon completing the telephone interview, a $30 gift card</w:t>
      </w:r>
      <w:r w:rsidRPr="00106BBE" w:rsidR="00DC1609">
        <w:t xml:space="preserve"> is</w:t>
      </w:r>
      <w:r w:rsidRPr="00106BBE" w:rsidR="00940466">
        <w:t xml:space="preserve"> included with the thank you letter mailing</w:t>
      </w:r>
      <w:r w:rsidRPr="00106BBE" w:rsidR="00DC1609">
        <w:t>, to account for inflation and the well-documented decrease in participation across many studies that employ phone-based interviewing.</w:t>
      </w:r>
      <w:r w:rsidRPr="00106BBE" w:rsidR="00A202F6">
        <w:t xml:space="preserve"> </w:t>
      </w:r>
      <w:r w:rsidRPr="00106BBE" w:rsidR="001F7870">
        <w:t>The token of appreciation amount for the online questionnaire</w:t>
      </w:r>
      <w:r w:rsidRPr="00106BBE" w:rsidR="00F803F0">
        <w:t xml:space="preserve">, </w:t>
      </w:r>
      <w:r w:rsidRPr="00106BBE" w:rsidR="001F7870">
        <w:t xml:space="preserve">the </w:t>
      </w:r>
      <w:r w:rsidRPr="00106BBE" w:rsidR="00C713A9">
        <w:t xml:space="preserve">newborn </w:t>
      </w:r>
      <w:r w:rsidRPr="00106BBE" w:rsidR="001F7870">
        <w:t>bloodspot consent request</w:t>
      </w:r>
      <w:r w:rsidRPr="00106BBE" w:rsidR="00F803F0">
        <w:t xml:space="preserve">, and the </w:t>
      </w:r>
      <w:r w:rsidRPr="00106BBE" w:rsidR="005C1890">
        <w:t xml:space="preserve">consent to </w:t>
      </w:r>
      <w:r w:rsidRPr="00106BBE" w:rsidR="00F803F0">
        <w:t>release reportable infectious disease results</w:t>
      </w:r>
      <w:r w:rsidRPr="00106BBE" w:rsidR="001F7870">
        <w:t xml:space="preserve"> is ten dollars</w:t>
      </w:r>
      <w:r w:rsidRPr="00106BBE" w:rsidR="00AD71FA">
        <w:t xml:space="preserve"> for each component</w:t>
      </w:r>
      <w:r w:rsidRPr="00106BBE" w:rsidR="001F7870">
        <w:t xml:space="preserve">. </w:t>
      </w:r>
      <w:r w:rsidRPr="00106BBE" w:rsidR="005C0DF1">
        <w:t>T</w:t>
      </w:r>
      <w:r w:rsidRPr="00106BBE">
        <w:t>he two Centers</w:t>
      </w:r>
      <w:r w:rsidRPr="00106BBE" w:rsidR="00971EFA">
        <w:t xml:space="preserve"> contributing to the stillbirth component of the study</w:t>
      </w:r>
      <w:r w:rsidRPr="00106BBE">
        <w:t xml:space="preserve"> </w:t>
      </w:r>
      <w:r w:rsidRPr="00106BBE" w:rsidR="005C0DF1">
        <w:t xml:space="preserve">will send </w:t>
      </w:r>
      <w:r w:rsidRPr="00106BBE">
        <w:t>a</w:t>
      </w:r>
      <w:r w:rsidRPr="00106BBE" w:rsidR="00555C8A">
        <w:t>n additional</w:t>
      </w:r>
      <w:r w:rsidRPr="00106BBE">
        <w:t xml:space="preserve"> $</w:t>
      </w:r>
      <w:r w:rsidRPr="00106BBE" w:rsidR="00A100B7">
        <w:t xml:space="preserve">20 </w:t>
      </w:r>
      <w:r w:rsidRPr="00106BBE">
        <w:t xml:space="preserve">gift card </w:t>
      </w:r>
      <w:r w:rsidRPr="00106BBE" w:rsidR="005C1890">
        <w:t xml:space="preserve">with the </w:t>
      </w:r>
      <w:r w:rsidRPr="00106BBE" w:rsidR="009165E8">
        <w:t>thank you letter</w:t>
      </w:r>
      <w:r w:rsidRPr="00106BBE" w:rsidR="005C1890">
        <w:t xml:space="preserve"> </w:t>
      </w:r>
      <w:r w:rsidRPr="00106BBE">
        <w:t xml:space="preserve">to </w:t>
      </w:r>
      <w:r w:rsidRPr="00106BBE" w:rsidR="005C1890">
        <w:t>women</w:t>
      </w:r>
      <w:r w:rsidRPr="00106BBE">
        <w:t xml:space="preserve"> asked to participate in the </w:t>
      </w:r>
      <w:r w:rsidRPr="00106BBE" w:rsidR="00555C8A">
        <w:t>two-part</w:t>
      </w:r>
      <w:r w:rsidRPr="00106BBE">
        <w:t xml:space="preserve"> telephone interview</w:t>
      </w:r>
      <w:r w:rsidRPr="00106BBE" w:rsidR="009B48A9">
        <w:t>.</w:t>
      </w:r>
      <w:r w:rsidRPr="00106BBE" w:rsidR="00F803F0">
        <w:t xml:space="preserve"> </w:t>
      </w:r>
    </w:p>
    <w:p w:rsidR="00983DB5" w:rsidRPr="00106BBE" w:rsidP="00913E13" w14:paraId="39AB34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rsidR="004A309F" w:rsidRPr="00106BBE" w:rsidP="00913E13" w14:paraId="7809811D" w14:textId="767344C3">
      <w:pPr>
        <w:pStyle w:val="Heading2"/>
        <w:spacing w:line="360" w:lineRule="auto"/>
        <w:rPr>
          <w:sz w:val="24"/>
          <w:szCs w:val="24"/>
          <w:u w:val="single"/>
        </w:rPr>
      </w:pPr>
      <w:r w:rsidRPr="00106BBE">
        <w:rPr>
          <w:sz w:val="24"/>
          <w:szCs w:val="24"/>
          <w:u w:val="single"/>
        </w:rPr>
        <w:t>B.4.</w:t>
      </w:r>
      <w:r w:rsidRPr="00106BBE">
        <w:rPr>
          <w:sz w:val="24"/>
          <w:szCs w:val="24"/>
          <w:u w:val="single"/>
        </w:rPr>
        <w:tab/>
        <w:t>Tests of Procedures or Methods to be Undertaken</w:t>
      </w:r>
    </w:p>
    <w:p w:rsidR="008C11FA" w:rsidRPr="00106BBE" w:rsidP="00913E13" w14:paraId="3F21E58D" w14:textId="77777777">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hanging="864"/>
        <w:jc w:val="both"/>
      </w:pPr>
    </w:p>
    <w:p w:rsidR="00B57C2D" w:rsidRPr="00106BBE" w:rsidP="00A202F6" w14:paraId="17A78716" w14:textId="6B729068">
      <w:pPr>
        <w:spacing w:line="360" w:lineRule="auto"/>
      </w:pPr>
      <w:r w:rsidRPr="00106BBE">
        <w:t>Many data elements ascertained in</w:t>
      </w:r>
      <w:r w:rsidRPr="00106BBE" w:rsidR="00556D5F">
        <w:t xml:space="preserve"> the BD-STEPS interview</w:t>
      </w:r>
      <w:r w:rsidRPr="00106BBE" w:rsidR="001E5ACE">
        <w:t>s</w:t>
      </w:r>
      <w:r w:rsidRPr="00106BBE" w:rsidR="00556D5F">
        <w:t xml:space="preserve"> </w:t>
      </w:r>
      <w:r w:rsidRPr="00106BBE">
        <w:t>are consistent with those</w:t>
      </w:r>
      <w:r w:rsidRPr="00106BBE" w:rsidR="00556D5F">
        <w:t xml:space="preserve"> from the NBDPS</w:t>
      </w:r>
      <w:r w:rsidRPr="00106BBE">
        <w:t xml:space="preserve"> interviews,</w:t>
      </w:r>
      <w:r w:rsidRPr="00106BBE" w:rsidR="00556D5F">
        <w:t xml:space="preserve"> </w:t>
      </w:r>
      <w:r w:rsidRPr="00106BBE">
        <w:t xml:space="preserve">which </w:t>
      </w:r>
      <w:r w:rsidRPr="00106BBE" w:rsidR="00556D5F">
        <w:t>make</w:t>
      </w:r>
      <w:r w:rsidRPr="00106BBE">
        <w:t>s</w:t>
      </w:r>
      <w:r w:rsidRPr="00106BBE" w:rsidR="00556D5F">
        <w:t xml:space="preserve"> pooling of the CBDRP’s NBDPS and BD-STEPS data possible</w:t>
      </w:r>
      <w:r w:rsidRPr="00106BBE" w:rsidR="00F804DC">
        <w:t xml:space="preserve">. </w:t>
      </w:r>
      <w:r w:rsidRPr="00106BBE" w:rsidR="009779CA">
        <w:t>BD-STEPS is being conducted at seven locations around the country</w:t>
      </w:r>
      <w:r w:rsidRPr="00106BBE" w:rsidR="00A202F6">
        <w:t xml:space="preserve"> and data</w:t>
      </w:r>
      <w:r w:rsidRPr="00106BBE" w:rsidR="009779CA">
        <w:t xml:space="preserve"> will be used in statistical analyses by collaborators at each of the CBDRP. Data will be released at regular intervals based on completed cohorts defined by expected date of delivery for each calendar year. Several data cleaning steps will be implemented before release of the data.</w:t>
      </w:r>
      <w:r w:rsidRPr="00106BBE" w:rsidR="00A202F6">
        <w:t xml:space="preserve"> </w:t>
      </w:r>
    </w:p>
    <w:p w:rsidR="00A202F6" w:rsidRPr="00106BBE" w:rsidP="00A202F6" w14:paraId="06D17597" w14:textId="19EDA1EF">
      <w:pPr>
        <w:spacing w:line="360" w:lineRule="auto"/>
        <w:rPr>
          <w:b/>
          <w:bCs/>
        </w:rPr>
      </w:pPr>
    </w:p>
    <w:p w:rsidR="00933CBC" w:rsidRPr="00106BBE" w:rsidP="00933CBC" w14:paraId="4C69FD8E" w14:textId="0D328E1A">
      <w:pPr>
        <w:spacing w:line="360" w:lineRule="auto"/>
      </w:pPr>
      <w:r w:rsidRPr="00106BBE">
        <w:t>Innovative questions were previously added for BD-STEPS and approved by OMB, and are detailed in section A.3. The online occupational questionnaire represents a newer method for data collection for the study that began in 2017. In addition, after the telephone interview, requests to obtain consent for newborn screening bloodspots and release of reportable infectious disease information are sent to participants. Reportable infectious disease information includes data reported to the state health department by medical professional</w:t>
      </w:r>
      <w:r w:rsidR="00EC0A9F">
        <w:t>s</w:t>
      </w:r>
      <w:r w:rsidRPr="00106BBE">
        <w:t>.</w:t>
      </w:r>
    </w:p>
    <w:p w:rsidR="00933CBC" w:rsidRPr="00106BBE" w:rsidP="00933CBC" w14:paraId="4BBF7690" w14:textId="77777777">
      <w:pPr>
        <w:spacing w:line="360" w:lineRule="auto"/>
      </w:pPr>
    </w:p>
    <w:p w:rsidR="004A309F" w:rsidRPr="00106BBE" w:rsidP="00913E13" w14:paraId="10F60F7E" w14:textId="77777777">
      <w:pPr>
        <w:pStyle w:val="Heading2"/>
        <w:spacing w:line="360" w:lineRule="auto"/>
        <w:rPr>
          <w:sz w:val="24"/>
          <w:szCs w:val="24"/>
          <w:u w:val="single"/>
        </w:rPr>
      </w:pPr>
      <w:r w:rsidRPr="00106BBE">
        <w:rPr>
          <w:sz w:val="24"/>
          <w:szCs w:val="24"/>
        </w:rPr>
        <w:t>B.5.</w:t>
      </w:r>
      <w:r w:rsidRPr="00106BBE">
        <w:rPr>
          <w:sz w:val="24"/>
          <w:szCs w:val="24"/>
        </w:rPr>
        <w:tab/>
      </w:r>
      <w:r w:rsidRPr="00106BBE">
        <w:rPr>
          <w:sz w:val="24"/>
          <w:szCs w:val="24"/>
          <w:u w:val="single"/>
        </w:rPr>
        <w:t>Individuals Consulted on Statistical Aspects and Individuals Collecting and/or Analyzing Data</w:t>
      </w:r>
    </w:p>
    <w:p w:rsidR="008F42C3" w:rsidRPr="00106BBE" w:rsidP="00913E13" w14:paraId="4ABD069A"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rsidR="004A309F" w:rsidRPr="00106BBE" w:rsidP="00913E13" w14:paraId="50B313C4" w14:textId="36577F3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06BBE">
        <w:t>The statistical aspec</w:t>
      </w:r>
      <w:r w:rsidRPr="00106BBE" w:rsidR="00892C72">
        <w:t xml:space="preserve">ts of the design of the </w:t>
      </w:r>
      <w:r w:rsidRPr="00106BBE" w:rsidR="00442A6D">
        <w:t>BD-STEPS</w:t>
      </w:r>
      <w:r w:rsidRPr="00106BBE" w:rsidR="00075B26">
        <w:t xml:space="preserve"> </w:t>
      </w:r>
      <w:r w:rsidRPr="00106BBE" w:rsidR="00296A15">
        <w:t xml:space="preserve">data collection </w:t>
      </w:r>
      <w:r w:rsidRPr="00106BBE" w:rsidR="00892C72">
        <w:t>are</w:t>
      </w:r>
      <w:r w:rsidRPr="00106BBE">
        <w:t xml:space="preserve"> the responsibility of the </w:t>
      </w:r>
      <w:r w:rsidRPr="00106BBE" w:rsidR="00D67E8D">
        <w:t>Scientific Lead</w:t>
      </w:r>
      <w:r w:rsidRPr="00106BBE">
        <w:t>:</w:t>
      </w:r>
    </w:p>
    <w:p w:rsidR="004A309F" w:rsidRPr="00106BBE" w:rsidP="00913E13" w14:paraId="7E818063" w14:textId="485A2D12">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pPr>
      <w:r w:rsidRPr="00106BBE">
        <w:t>Elizabeth Ailes</w:t>
      </w:r>
      <w:r w:rsidRPr="00106BBE" w:rsidR="0038537D">
        <w:t>,</w:t>
      </w:r>
      <w:r w:rsidRPr="00106BBE" w:rsidR="00A95206">
        <w:t xml:space="preserve"> Ph</w:t>
      </w:r>
      <w:r w:rsidRPr="00106BBE" w:rsidR="00863B61">
        <w:t>D</w:t>
      </w:r>
    </w:p>
    <w:p w:rsidR="004A309F" w:rsidRPr="00106BBE" w:rsidP="00913E13" w14:paraId="492748D5" w14:textId="1C27FDE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06BBE">
        <w:t xml:space="preserve">Epidemiologist &amp; </w:t>
      </w:r>
      <w:r w:rsidRPr="00106BBE" w:rsidR="00F771F5">
        <w:t>Scientific Lead</w:t>
      </w:r>
      <w:r w:rsidRPr="00106BBE">
        <w:t xml:space="preserve">, </w:t>
      </w:r>
      <w:r w:rsidRPr="00106BBE" w:rsidR="00442A6D">
        <w:t>BD-STEPS</w:t>
      </w:r>
    </w:p>
    <w:p w:rsidR="00D67E8D" w:rsidRPr="00106BBE" w:rsidP="00913E13" w14:paraId="3C58B157"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06BBE">
        <w:t>Division of Birth Defects &amp; Infant Disorders (DBDID)</w:t>
      </w:r>
    </w:p>
    <w:p w:rsidR="004A309F" w:rsidRPr="00106BBE" w:rsidP="00913E13" w14:paraId="4631DF0D" w14:textId="042C8E38">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06BBE">
        <w:t xml:space="preserve">National Center </w:t>
      </w:r>
      <w:r w:rsidRPr="00106BBE" w:rsidR="00CD5ADE">
        <w:t>on Birth Defects and Developmental Disabilities</w:t>
      </w:r>
      <w:r w:rsidRPr="00106BBE" w:rsidR="001B7450">
        <w:t xml:space="preserve"> (NCBDDD)</w:t>
      </w:r>
    </w:p>
    <w:p w:rsidR="004A309F" w:rsidRPr="00106BBE" w:rsidP="00913E13" w14:paraId="0246DB68" w14:textId="4B15E60A">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06BBE">
        <w:t>Centers for Disease Control &amp; Prevention</w:t>
      </w:r>
      <w:r w:rsidRPr="00106BBE" w:rsidR="001B7450">
        <w:t xml:space="preserve"> (CDC)</w:t>
      </w:r>
    </w:p>
    <w:p w:rsidR="00106BBE" w:rsidRPr="00106BBE" w:rsidP="00106BBE" w14:paraId="7BBE5339"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rPr>
          <w:rFonts w:eastAsia="SimSun"/>
          <w:lang w:eastAsia="zh-CN"/>
        </w:rPr>
      </w:pPr>
      <w:r w:rsidRPr="00106BBE">
        <w:rPr>
          <w:rFonts w:eastAsia="SimSun"/>
          <w:lang w:eastAsia="zh-CN"/>
        </w:rPr>
        <w:t>4770 Buford Highway NE, MS E-86</w:t>
      </w:r>
    </w:p>
    <w:p w:rsidR="00106BBE" w:rsidRPr="00106BBE" w:rsidP="00106BBE" w14:paraId="4B34202C" w14:textId="07940DD1">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rPr>
          <w:rFonts w:eastAsia="SimSun"/>
          <w:lang w:eastAsia="zh-CN"/>
        </w:rPr>
      </w:pPr>
      <w:r w:rsidRPr="00106BBE">
        <w:rPr>
          <w:rFonts w:eastAsia="SimSun"/>
          <w:lang w:eastAsia="zh-CN"/>
        </w:rPr>
        <w:t>Atlanta, GA  30341-3717</w:t>
      </w:r>
    </w:p>
    <w:p w:rsidR="004A309F" w:rsidRPr="00106BBE" w:rsidP="00913E13" w14:paraId="42E525FB" w14:textId="1D713F7D">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06BBE">
        <w:t xml:space="preserve">Phone: </w:t>
      </w:r>
      <w:r w:rsidRPr="00106BBE" w:rsidR="00892C72">
        <w:t>404-498-</w:t>
      </w:r>
      <w:r w:rsidRPr="00106BBE" w:rsidR="001B7450">
        <w:t>3</w:t>
      </w:r>
      <w:r w:rsidRPr="00106BBE" w:rsidR="00D67E8D">
        <w:t>946</w:t>
      </w:r>
    </w:p>
    <w:p w:rsidR="004A309F" w:rsidRPr="00106BBE" w:rsidP="00913E13" w14:paraId="6BEED523"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rsidR="004A309F" w:rsidRPr="00106BBE" w:rsidP="00913E13" w14:paraId="4473A071" w14:textId="791611DD">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06BBE">
        <w:t xml:space="preserve">Additional consultation on the development of the </w:t>
      </w:r>
      <w:r w:rsidRPr="00106BBE" w:rsidR="00442A6D">
        <w:t xml:space="preserve">BD-STEPS </w:t>
      </w:r>
      <w:r w:rsidRPr="00106BBE">
        <w:t xml:space="preserve">was obtained from the Principal Investigators of the CBDRP. </w:t>
      </w:r>
      <w:r w:rsidRPr="00106BBE" w:rsidR="004A48C2">
        <w:t>Abt</w:t>
      </w:r>
      <w:r w:rsidRPr="00106BBE" w:rsidR="00075B26">
        <w:t xml:space="preserve"> </w:t>
      </w:r>
      <w:r w:rsidRPr="00106BBE" w:rsidR="004A48C2">
        <w:t xml:space="preserve">Associates </w:t>
      </w:r>
      <w:r w:rsidRPr="00106BBE" w:rsidR="00B570EF">
        <w:t xml:space="preserve">is </w:t>
      </w:r>
      <w:r w:rsidRPr="00106BBE" w:rsidR="00DB2AAF">
        <w:t>currently</w:t>
      </w:r>
      <w:r w:rsidRPr="00106BBE" w:rsidR="00B570EF">
        <w:t xml:space="preserve"> </w:t>
      </w:r>
      <w:r w:rsidRPr="00106BBE">
        <w:t xml:space="preserve">contracted by CDC to </w:t>
      </w:r>
      <w:r w:rsidRPr="00106BBE" w:rsidR="00283A0A">
        <w:t xml:space="preserve">manage </w:t>
      </w:r>
      <w:r w:rsidRPr="00106BBE" w:rsidR="00224E46">
        <w:t xml:space="preserve">all </w:t>
      </w:r>
      <w:r w:rsidRPr="00106BBE" w:rsidR="00F03BAC">
        <w:t xml:space="preserve">BD-STEPS interviewing </w:t>
      </w:r>
      <w:r w:rsidRPr="00106BBE" w:rsidR="00283A0A">
        <w:t>activities</w:t>
      </w:r>
      <w:r w:rsidRPr="00106BBE" w:rsidR="00224E46">
        <w:t xml:space="preserve">; the </w:t>
      </w:r>
      <w:r w:rsidRPr="00106BBE" w:rsidR="00296A15">
        <w:t>Abt</w:t>
      </w:r>
      <w:r w:rsidRPr="00106BBE" w:rsidR="00296A15">
        <w:t xml:space="preserve"> Associates </w:t>
      </w:r>
      <w:r w:rsidRPr="00106BBE" w:rsidR="00224E46">
        <w:t>primary contact is the following:</w:t>
      </w:r>
    </w:p>
    <w:p w:rsidR="00296A15" w:rsidRPr="00106BBE" w:rsidP="00913E13" w14:paraId="6AF903BA"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06BBE">
        <w:rPr>
          <w:rFonts w:eastAsiaTheme="minorHAnsi"/>
        </w:rPr>
        <w:t>Gabriella Newes-Adeyi, PhD, MPH</w:t>
      </w:r>
    </w:p>
    <w:p w:rsidR="00296A15" w:rsidRPr="00106BBE" w:rsidP="00913E13" w14:paraId="6E10E4DD"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06BBE">
        <w:rPr>
          <w:rFonts w:eastAsiaTheme="minorHAnsi"/>
        </w:rPr>
        <w:t>Abt</w:t>
      </w:r>
      <w:r w:rsidRPr="00106BBE">
        <w:rPr>
          <w:rFonts w:eastAsiaTheme="minorHAnsi"/>
        </w:rPr>
        <w:t xml:space="preserve"> Associates Inc.</w:t>
      </w:r>
    </w:p>
    <w:p w:rsidR="00296A15" w:rsidRPr="00106BBE" w:rsidP="00913E13" w14:paraId="1928DA83"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06BBE">
        <w:rPr>
          <w:rFonts w:eastAsiaTheme="minorHAnsi"/>
        </w:rPr>
        <w:t>6130 Executive Boulevard</w:t>
      </w:r>
    </w:p>
    <w:p w:rsidR="00296A15" w:rsidRPr="00106BBE" w:rsidP="00913E13" w14:paraId="4F53A08A"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06BBE">
        <w:rPr>
          <w:rFonts w:eastAsiaTheme="minorHAnsi"/>
        </w:rPr>
        <w:t>Rockville, MD 20852</w:t>
      </w:r>
    </w:p>
    <w:p w:rsidR="00296A15" w:rsidP="00913E13" w14:paraId="5642BCE0" w14:textId="5EB854ED">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06BBE">
        <w:rPr>
          <w:rFonts w:eastAsiaTheme="minorHAnsi"/>
        </w:rPr>
        <w:t>Phone: 301-634-1758</w:t>
      </w:r>
    </w:p>
    <w:p w:rsidR="00F937E6" w:rsidRPr="00106BBE" w:rsidP="00913E13" w14:paraId="609EFBDC" w14:textId="77777777">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p>
    <w:p w:rsidR="004A309F" w:rsidRPr="00106BBE" w:rsidP="00DC1609" w14:paraId="0F9C5559" w14:textId="7C8561CC">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rPr>
          <w:rFonts w:ascii="Times New Roman" w:hAnsi="Times New Roman" w:cs="Times New Roman"/>
          <w:sz w:val="24"/>
          <w:szCs w:val="24"/>
        </w:rPr>
      </w:pPr>
      <w:r w:rsidRPr="00106BBE">
        <w:rPr>
          <w:rFonts w:ascii="Times New Roman" w:hAnsi="Times New Roman" w:cs="Times New Roman"/>
          <w:sz w:val="24"/>
          <w:szCs w:val="24"/>
        </w:rPr>
        <w:t xml:space="preserve">Analysis of </w:t>
      </w:r>
      <w:r w:rsidRPr="00106BBE" w:rsidR="00442A6D">
        <w:rPr>
          <w:rFonts w:ascii="Times New Roman" w:hAnsi="Times New Roman" w:cs="Times New Roman"/>
          <w:sz w:val="24"/>
          <w:szCs w:val="24"/>
        </w:rPr>
        <w:t>BD-STEPS</w:t>
      </w:r>
      <w:r w:rsidRPr="00106BBE" w:rsidR="00075B26">
        <w:rPr>
          <w:rFonts w:ascii="Times New Roman" w:hAnsi="Times New Roman" w:cs="Times New Roman"/>
          <w:sz w:val="24"/>
          <w:szCs w:val="24"/>
        </w:rPr>
        <w:t xml:space="preserve"> </w:t>
      </w:r>
      <w:r w:rsidRPr="00106BBE">
        <w:rPr>
          <w:rFonts w:ascii="Times New Roman" w:hAnsi="Times New Roman" w:cs="Times New Roman"/>
          <w:sz w:val="24"/>
          <w:szCs w:val="24"/>
        </w:rPr>
        <w:t xml:space="preserve">data is the primary responsibility of Dr. </w:t>
      </w:r>
      <w:r w:rsidRPr="00106BBE" w:rsidR="00F771F5">
        <w:rPr>
          <w:rFonts w:ascii="Times New Roman" w:hAnsi="Times New Roman" w:cs="Times New Roman"/>
          <w:sz w:val="24"/>
          <w:szCs w:val="24"/>
        </w:rPr>
        <w:t>Ailes</w:t>
      </w:r>
      <w:r w:rsidRPr="00106BBE">
        <w:rPr>
          <w:rFonts w:ascii="Times New Roman" w:hAnsi="Times New Roman" w:cs="Times New Roman"/>
          <w:sz w:val="24"/>
          <w:szCs w:val="24"/>
        </w:rPr>
        <w:t>, with assistance from the Principal Investigators of the CBDRP.</w:t>
      </w:r>
    </w:p>
    <w:sectPr w:rsidSect="00EA4A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1440" w:footer="720" w:gutter="0"/>
      <w:pgNumType w:start="2"/>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124" w14:paraId="02BD4C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5C8" w:rsidP="0070438F" w14:paraId="2E9AD5EB" w14:textId="2BC326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F66">
      <w:rPr>
        <w:rStyle w:val="PageNumber"/>
        <w:noProof/>
      </w:rPr>
      <w:t>9</w:t>
    </w:r>
    <w:r>
      <w:rPr>
        <w:rStyle w:val="PageNumber"/>
      </w:rPr>
      <w:fldChar w:fldCharType="end"/>
    </w:r>
  </w:p>
  <w:p w:rsidR="007175C8" w:rsidP="00823D03" w14:paraId="050D62B4" w14:textId="77777777">
    <w:pPr>
      <w:spacing w:line="240" w:lineRule="exact"/>
      <w:ind w:right="360"/>
    </w:pPr>
  </w:p>
  <w:p w:rsidR="007175C8" w14:paraId="6D904E0F" w14:textId="77777777">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124" w14:paraId="658F90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5C8" w14:paraId="5A534B51"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360A3" w:rsidP="003360A3"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3360A3" w:rsidP="003360A3" w14:paraId="7F4DB643"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124" w14:paraId="455EEA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124" w14:paraId="24094A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7C351F1"/>
    <w:multiLevelType w:val="hybrid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F7E52D7"/>
    <w:multiLevelType w:val="hybridMultilevel"/>
    <w:tmpl w:val="0D7828D6"/>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801B46"/>
    <w:multiLevelType w:val="hybridMultilevel"/>
    <w:tmpl w:val="F9C0ED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B2850AA"/>
    <w:multiLevelType w:val="hybridMultilevel"/>
    <w:tmpl w:val="8A6E356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FEF4826"/>
    <w:multiLevelType w:val="hybridMultilevel"/>
    <w:tmpl w:val="F978380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9F2FFD"/>
    <w:multiLevelType w:val="hybridMultilevel"/>
    <w:tmpl w:val="6004F0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0C84394"/>
    <w:multiLevelType w:val="hybridMultilevel"/>
    <w:tmpl w:val="88046E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0">
    <w:nsid w:val="5C032B8E"/>
    <w:multiLevelType w:val="hybridMultilevel"/>
    <w:tmpl w:val="4B50CA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42C3F15"/>
    <w:multiLevelType w:val="hybridMultilevel"/>
    <w:tmpl w:val="08E0F5D2"/>
    <w:lvl w:ilvl="0">
      <w:start w:val="0"/>
      <w:numFmt w:val="bullet"/>
      <w:lvlText w:val=""/>
      <w:lvlJc w:val="left"/>
      <w:pPr>
        <w:tabs>
          <w:tab w:val="num" w:pos="1080"/>
        </w:tabs>
        <w:ind w:left="1080" w:hanging="72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C4A23CE"/>
    <w:multiLevelType w:val="hybridMultilevel"/>
    <w:tmpl w:val="98E4DCAA"/>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ED2244E"/>
    <w:multiLevelType w:val="hybridMultilevel"/>
    <w:tmpl w:val="D53AC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8"/>
  </w:num>
  <w:num w:numId="5">
    <w:abstractNumId w:val="10"/>
  </w:num>
  <w:num w:numId="6">
    <w:abstractNumId w:val="7"/>
  </w:num>
  <w:num w:numId="7">
    <w:abstractNumId w:val="1"/>
  </w:num>
  <w:num w:numId="8">
    <w:abstractNumId w:val="6"/>
  </w:num>
  <w:num w:numId="9">
    <w:abstractNumId w:val="13"/>
  </w:num>
  <w:num w:numId="10">
    <w:abstractNumId w:val="9"/>
  </w:num>
  <w:num w:numId="11">
    <w:abstractNumId w:val="2"/>
  </w:num>
  <w:num w:numId="12">
    <w:abstractNumId w:val="5"/>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9F"/>
    <w:rsid w:val="0000467C"/>
    <w:rsid w:val="0000727C"/>
    <w:rsid w:val="0001063C"/>
    <w:rsid w:val="0001665F"/>
    <w:rsid w:val="00017989"/>
    <w:rsid w:val="00025AD4"/>
    <w:rsid w:val="00031E30"/>
    <w:rsid w:val="000449D1"/>
    <w:rsid w:val="0005191B"/>
    <w:rsid w:val="00052B90"/>
    <w:rsid w:val="0005407C"/>
    <w:rsid w:val="000549E9"/>
    <w:rsid w:val="00055FEA"/>
    <w:rsid w:val="000603AB"/>
    <w:rsid w:val="000605D7"/>
    <w:rsid w:val="00062B76"/>
    <w:rsid w:val="00062D12"/>
    <w:rsid w:val="000656BC"/>
    <w:rsid w:val="00066B53"/>
    <w:rsid w:val="0007362C"/>
    <w:rsid w:val="00075B26"/>
    <w:rsid w:val="00077B92"/>
    <w:rsid w:val="000806D4"/>
    <w:rsid w:val="000A2B9A"/>
    <w:rsid w:val="000A78B5"/>
    <w:rsid w:val="000B23D3"/>
    <w:rsid w:val="000B3CF9"/>
    <w:rsid w:val="000C0B17"/>
    <w:rsid w:val="000C0EEB"/>
    <w:rsid w:val="000C4132"/>
    <w:rsid w:val="000C69C3"/>
    <w:rsid w:val="000D16FE"/>
    <w:rsid w:val="000D3517"/>
    <w:rsid w:val="000D6F83"/>
    <w:rsid w:val="000E3E0A"/>
    <w:rsid w:val="000E6F48"/>
    <w:rsid w:val="000F290E"/>
    <w:rsid w:val="000F3085"/>
    <w:rsid w:val="000F3EE4"/>
    <w:rsid w:val="000F45ED"/>
    <w:rsid w:val="00100D9A"/>
    <w:rsid w:val="0010309F"/>
    <w:rsid w:val="00105218"/>
    <w:rsid w:val="00105609"/>
    <w:rsid w:val="00106BBE"/>
    <w:rsid w:val="00111EE0"/>
    <w:rsid w:val="00112F15"/>
    <w:rsid w:val="00123100"/>
    <w:rsid w:val="00131F13"/>
    <w:rsid w:val="0013229B"/>
    <w:rsid w:val="001345F4"/>
    <w:rsid w:val="00134783"/>
    <w:rsid w:val="00135577"/>
    <w:rsid w:val="00140DF3"/>
    <w:rsid w:val="001415D1"/>
    <w:rsid w:val="0014611F"/>
    <w:rsid w:val="0015030D"/>
    <w:rsid w:val="00151D1E"/>
    <w:rsid w:val="00157C98"/>
    <w:rsid w:val="00160B7F"/>
    <w:rsid w:val="0017231B"/>
    <w:rsid w:val="00173EB9"/>
    <w:rsid w:val="001750C0"/>
    <w:rsid w:val="00176D6D"/>
    <w:rsid w:val="00177B15"/>
    <w:rsid w:val="001808E4"/>
    <w:rsid w:val="00180C2D"/>
    <w:rsid w:val="00182943"/>
    <w:rsid w:val="00182EE2"/>
    <w:rsid w:val="001862FE"/>
    <w:rsid w:val="00187F67"/>
    <w:rsid w:val="001937DB"/>
    <w:rsid w:val="001952B4"/>
    <w:rsid w:val="001A07D7"/>
    <w:rsid w:val="001A2290"/>
    <w:rsid w:val="001B1913"/>
    <w:rsid w:val="001B7450"/>
    <w:rsid w:val="001C2887"/>
    <w:rsid w:val="001D15DA"/>
    <w:rsid w:val="001D16C6"/>
    <w:rsid w:val="001D360F"/>
    <w:rsid w:val="001D387B"/>
    <w:rsid w:val="001D47FD"/>
    <w:rsid w:val="001D67CA"/>
    <w:rsid w:val="001E05A2"/>
    <w:rsid w:val="001E164D"/>
    <w:rsid w:val="001E5ACE"/>
    <w:rsid w:val="001F4A56"/>
    <w:rsid w:val="001F58FD"/>
    <w:rsid w:val="001F6D97"/>
    <w:rsid w:val="001F7870"/>
    <w:rsid w:val="00200A3A"/>
    <w:rsid w:val="00204819"/>
    <w:rsid w:val="00205001"/>
    <w:rsid w:val="00210924"/>
    <w:rsid w:val="002118F1"/>
    <w:rsid w:val="00214FD3"/>
    <w:rsid w:val="00216892"/>
    <w:rsid w:val="002177B2"/>
    <w:rsid w:val="00217AB0"/>
    <w:rsid w:val="00220A08"/>
    <w:rsid w:val="00224E46"/>
    <w:rsid w:val="002268E3"/>
    <w:rsid w:val="002273E9"/>
    <w:rsid w:val="00231B94"/>
    <w:rsid w:val="00231BCF"/>
    <w:rsid w:val="002350E2"/>
    <w:rsid w:val="00241901"/>
    <w:rsid w:val="00242F5D"/>
    <w:rsid w:val="002456C3"/>
    <w:rsid w:val="00251305"/>
    <w:rsid w:val="0025358B"/>
    <w:rsid w:val="00261E7E"/>
    <w:rsid w:val="002665AC"/>
    <w:rsid w:val="002704A1"/>
    <w:rsid w:val="0027158C"/>
    <w:rsid w:val="00272BF7"/>
    <w:rsid w:val="00282283"/>
    <w:rsid w:val="00282ED9"/>
    <w:rsid w:val="00283A0A"/>
    <w:rsid w:val="0028607B"/>
    <w:rsid w:val="0028774C"/>
    <w:rsid w:val="00294195"/>
    <w:rsid w:val="00296A15"/>
    <w:rsid w:val="002A21F0"/>
    <w:rsid w:val="002A6121"/>
    <w:rsid w:val="002B0C05"/>
    <w:rsid w:val="002B3BC1"/>
    <w:rsid w:val="002B6FE2"/>
    <w:rsid w:val="002C5227"/>
    <w:rsid w:val="002D1336"/>
    <w:rsid w:val="002D1C35"/>
    <w:rsid w:val="002D3C3C"/>
    <w:rsid w:val="002D439D"/>
    <w:rsid w:val="002D5767"/>
    <w:rsid w:val="002E1305"/>
    <w:rsid w:val="002E305A"/>
    <w:rsid w:val="002E5806"/>
    <w:rsid w:val="002E6262"/>
    <w:rsid w:val="002E68A0"/>
    <w:rsid w:val="002F3089"/>
    <w:rsid w:val="002F435B"/>
    <w:rsid w:val="002F7419"/>
    <w:rsid w:val="002F7F6C"/>
    <w:rsid w:val="00306CCA"/>
    <w:rsid w:val="00310295"/>
    <w:rsid w:val="00311AAD"/>
    <w:rsid w:val="0031463B"/>
    <w:rsid w:val="00317436"/>
    <w:rsid w:val="00323BEC"/>
    <w:rsid w:val="003319C3"/>
    <w:rsid w:val="00332C80"/>
    <w:rsid w:val="00334AF4"/>
    <w:rsid w:val="003360A3"/>
    <w:rsid w:val="003378EB"/>
    <w:rsid w:val="0034148B"/>
    <w:rsid w:val="00343DFF"/>
    <w:rsid w:val="003564CC"/>
    <w:rsid w:val="00360609"/>
    <w:rsid w:val="00361F85"/>
    <w:rsid w:val="003644C0"/>
    <w:rsid w:val="00366B71"/>
    <w:rsid w:val="00372F2B"/>
    <w:rsid w:val="00373449"/>
    <w:rsid w:val="00373C48"/>
    <w:rsid w:val="00373CF8"/>
    <w:rsid w:val="00373F66"/>
    <w:rsid w:val="0038060F"/>
    <w:rsid w:val="0038537D"/>
    <w:rsid w:val="00386806"/>
    <w:rsid w:val="0038704C"/>
    <w:rsid w:val="003914CD"/>
    <w:rsid w:val="00394EB2"/>
    <w:rsid w:val="00395421"/>
    <w:rsid w:val="00396D48"/>
    <w:rsid w:val="003A2D46"/>
    <w:rsid w:val="003A3B8A"/>
    <w:rsid w:val="003A5694"/>
    <w:rsid w:val="003A6679"/>
    <w:rsid w:val="003A6C43"/>
    <w:rsid w:val="003A72BA"/>
    <w:rsid w:val="003A76F8"/>
    <w:rsid w:val="003B5A10"/>
    <w:rsid w:val="003B69E7"/>
    <w:rsid w:val="003B75E4"/>
    <w:rsid w:val="003C2333"/>
    <w:rsid w:val="003C2C6B"/>
    <w:rsid w:val="003E01D6"/>
    <w:rsid w:val="003E7209"/>
    <w:rsid w:val="003F190B"/>
    <w:rsid w:val="003F60C0"/>
    <w:rsid w:val="00401AE2"/>
    <w:rsid w:val="0040300F"/>
    <w:rsid w:val="004040B6"/>
    <w:rsid w:val="004068A5"/>
    <w:rsid w:val="00407970"/>
    <w:rsid w:val="0041118E"/>
    <w:rsid w:val="00414DD8"/>
    <w:rsid w:val="00416AB9"/>
    <w:rsid w:val="0042147E"/>
    <w:rsid w:val="0042444E"/>
    <w:rsid w:val="00430B50"/>
    <w:rsid w:val="004327C8"/>
    <w:rsid w:val="004338B4"/>
    <w:rsid w:val="00433AE6"/>
    <w:rsid w:val="004341DC"/>
    <w:rsid w:val="00434F1B"/>
    <w:rsid w:val="00437A36"/>
    <w:rsid w:val="00442A6D"/>
    <w:rsid w:val="00442E7A"/>
    <w:rsid w:val="004444C4"/>
    <w:rsid w:val="0044457E"/>
    <w:rsid w:val="004506C5"/>
    <w:rsid w:val="00450CD6"/>
    <w:rsid w:val="00452663"/>
    <w:rsid w:val="00455077"/>
    <w:rsid w:val="004559EF"/>
    <w:rsid w:val="00461271"/>
    <w:rsid w:val="0046187C"/>
    <w:rsid w:val="00462CAB"/>
    <w:rsid w:val="004669BD"/>
    <w:rsid w:val="00467D92"/>
    <w:rsid w:val="00467F72"/>
    <w:rsid w:val="0047433D"/>
    <w:rsid w:val="0047668D"/>
    <w:rsid w:val="00480468"/>
    <w:rsid w:val="00493294"/>
    <w:rsid w:val="004969A9"/>
    <w:rsid w:val="004A0573"/>
    <w:rsid w:val="004A218C"/>
    <w:rsid w:val="004A309F"/>
    <w:rsid w:val="004A36F1"/>
    <w:rsid w:val="004A403B"/>
    <w:rsid w:val="004A48C2"/>
    <w:rsid w:val="004B2BFF"/>
    <w:rsid w:val="004C1FD5"/>
    <w:rsid w:val="004C2F1A"/>
    <w:rsid w:val="004D2968"/>
    <w:rsid w:val="004D2F63"/>
    <w:rsid w:val="004D305F"/>
    <w:rsid w:val="004E1B55"/>
    <w:rsid w:val="004E32E2"/>
    <w:rsid w:val="004F7BB0"/>
    <w:rsid w:val="00501316"/>
    <w:rsid w:val="0050175E"/>
    <w:rsid w:val="005019D8"/>
    <w:rsid w:val="00504F0B"/>
    <w:rsid w:val="00505A2B"/>
    <w:rsid w:val="00514092"/>
    <w:rsid w:val="005170A8"/>
    <w:rsid w:val="00523BB5"/>
    <w:rsid w:val="0052545C"/>
    <w:rsid w:val="00526BD5"/>
    <w:rsid w:val="00533795"/>
    <w:rsid w:val="00542180"/>
    <w:rsid w:val="00543570"/>
    <w:rsid w:val="005456A2"/>
    <w:rsid w:val="005459C5"/>
    <w:rsid w:val="00552066"/>
    <w:rsid w:val="00552070"/>
    <w:rsid w:val="005520E9"/>
    <w:rsid w:val="00554E99"/>
    <w:rsid w:val="00554FC2"/>
    <w:rsid w:val="00555C8A"/>
    <w:rsid w:val="00556D5F"/>
    <w:rsid w:val="00557CBD"/>
    <w:rsid w:val="00560341"/>
    <w:rsid w:val="00560CB1"/>
    <w:rsid w:val="005624C2"/>
    <w:rsid w:val="00562744"/>
    <w:rsid w:val="00562E53"/>
    <w:rsid w:val="005661C7"/>
    <w:rsid w:val="00571826"/>
    <w:rsid w:val="00573A6A"/>
    <w:rsid w:val="00573B7E"/>
    <w:rsid w:val="00575200"/>
    <w:rsid w:val="005834DD"/>
    <w:rsid w:val="005835E2"/>
    <w:rsid w:val="00596449"/>
    <w:rsid w:val="00596EF0"/>
    <w:rsid w:val="0059723B"/>
    <w:rsid w:val="005A6B79"/>
    <w:rsid w:val="005B1B33"/>
    <w:rsid w:val="005B2236"/>
    <w:rsid w:val="005B5182"/>
    <w:rsid w:val="005B7DA2"/>
    <w:rsid w:val="005C0DF1"/>
    <w:rsid w:val="005C1890"/>
    <w:rsid w:val="005C6A4A"/>
    <w:rsid w:val="005C736E"/>
    <w:rsid w:val="005D34F0"/>
    <w:rsid w:val="005D66B6"/>
    <w:rsid w:val="005E5D93"/>
    <w:rsid w:val="005F01F9"/>
    <w:rsid w:val="005F083F"/>
    <w:rsid w:val="005F0AB7"/>
    <w:rsid w:val="005F1155"/>
    <w:rsid w:val="005F2F05"/>
    <w:rsid w:val="005F3809"/>
    <w:rsid w:val="005F76F1"/>
    <w:rsid w:val="00600C82"/>
    <w:rsid w:val="00613DBF"/>
    <w:rsid w:val="0062054B"/>
    <w:rsid w:val="00622D1F"/>
    <w:rsid w:val="00631714"/>
    <w:rsid w:val="00632597"/>
    <w:rsid w:val="00634C0E"/>
    <w:rsid w:val="0065140E"/>
    <w:rsid w:val="00655B06"/>
    <w:rsid w:val="00657B1A"/>
    <w:rsid w:val="00661D23"/>
    <w:rsid w:val="00671C18"/>
    <w:rsid w:val="0068211D"/>
    <w:rsid w:val="00686B26"/>
    <w:rsid w:val="00692322"/>
    <w:rsid w:val="00693164"/>
    <w:rsid w:val="0069521F"/>
    <w:rsid w:val="00695544"/>
    <w:rsid w:val="00696834"/>
    <w:rsid w:val="006A1199"/>
    <w:rsid w:val="006A6729"/>
    <w:rsid w:val="006A7709"/>
    <w:rsid w:val="006A7C3C"/>
    <w:rsid w:val="006B55F6"/>
    <w:rsid w:val="006B7B82"/>
    <w:rsid w:val="006C221E"/>
    <w:rsid w:val="006C5892"/>
    <w:rsid w:val="006D248B"/>
    <w:rsid w:val="006D4BA6"/>
    <w:rsid w:val="006D6845"/>
    <w:rsid w:val="006E41D8"/>
    <w:rsid w:val="006E6110"/>
    <w:rsid w:val="006F1B12"/>
    <w:rsid w:val="006F389B"/>
    <w:rsid w:val="006F53AF"/>
    <w:rsid w:val="006F5436"/>
    <w:rsid w:val="006F577D"/>
    <w:rsid w:val="00700D77"/>
    <w:rsid w:val="0070438F"/>
    <w:rsid w:val="0070495C"/>
    <w:rsid w:val="0070571E"/>
    <w:rsid w:val="007175C8"/>
    <w:rsid w:val="007270A4"/>
    <w:rsid w:val="00731C04"/>
    <w:rsid w:val="00734457"/>
    <w:rsid w:val="00737AB7"/>
    <w:rsid w:val="00740C97"/>
    <w:rsid w:val="007428D7"/>
    <w:rsid w:val="0075011D"/>
    <w:rsid w:val="007508E0"/>
    <w:rsid w:val="00762964"/>
    <w:rsid w:val="00770C15"/>
    <w:rsid w:val="007757D5"/>
    <w:rsid w:val="00776035"/>
    <w:rsid w:val="00787252"/>
    <w:rsid w:val="00791661"/>
    <w:rsid w:val="00793D4B"/>
    <w:rsid w:val="007A7A23"/>
    <w:rsid w:val="007B010B"/>
    <w:rsid w:val="007B0775"/>
    <w:rsid w:val="007B0B18"/>
    <w:rsid w:val="007B263A"/>
    <w:rsid w:val="007C46A6"/>
    <w:rsid w:val="007C777C"/>
    <w:rsid w:val="007E20C2"/>
    <w:rsid w:val="007F1321"/>
    <w:rsid w:val="007F2C8B"/>
    <w:rsid w:val="007F68B0"/>
    <w:rsid w:val="007F6A85"/>
    <w:rsid w:val="007F7A1C"/>
    <w:rsid w:val="008021F7"/>
    <w:rsid w:val="00802925"/>
    <w:rsid w:val="00810615"/>
    <w:rsid w:val="00811B04"/>
    <w:rsid w:val="008204EC"/>
    <w:rsid w:val="00822A7B"/>
    <w:rsid w:val="00823D03"/>
    <w:rsid w:val="0082413C"/>
    <w:rsid w:val="00830D2A"/>
    <w:rsid w:val="00830F81"/>
    <w:rsid w:val="008324B5"/>
    <w:rsid w:val="00833C15"/>
    <w:rsid w:val="008437DF"/>
    <w:rsid w:val="00851DD6"/>
    <w:rsid w:val="00857ED2"/>
    <w:rsid w:val="008603BB"/>
    <w:rsid w:val="00861194"/>
    <w:rsid w:val="00863B61"/>
    <w:rsid w:val="008704A2"/>
    <w:rsid w:val="00870532"/>
    <w:rsid w:val="00871863"/>
    <w:rsid w:val="0087216C"/>
    <w:rsid w:val="0087310E"/>
    <w:rsid w:val="00874F50"/>
    <w:rsid w:val="00876238"/>
    <w:rsid w:val="00883190"/>
    <w:rsid w:val="0088561C"/>
    <w:rsid w:val="0088731D"/>
    <w:rsid w:val="00890C74"/>
    <w:rsid w:val="00892C72"/>
    <w:rsid w:val="00894AFE"/>
    <w:rsid w:val="00895AD4"/>
    <w:rsid w:val="00895CC9"/>
    <w:rsid w:val="008A0CAD"/>
    <w:rsid w:val="008A3524"/>
    <w:rsid w:val="008B030E"/>
    <w:rsid w:val="008B084E"/>
    <w:rsid w:val="008B2F71"/>
    <w:rsid w:val="008B6B8B"/>
    <w:rsid w:val="008C11FA"/>
    <w:rsid w:val="008D044A"/>
    <w:rsid w:val="008D3CEF"/>
    <w:rsid w:val="008D5117"/>
    <w:rsid w:val="008D5258"/>
    <w:rsid w:val="008D5B43"/>
    <w:rsid w:val="008D68E3"/>
    <w:rsid w:val="008D6FD2"/>
    <w:rsid w:val="008F034C"/>
    <w:rsid w:val="008F42C3"/>
    <w:rsid w:val="00907D19"/>
    <w:rsid w:val="00911666"/>
    <w:rsid w:val="00913516"/>
    <w:rsid w:val="00913E13"/>
    <w:rsid w:val="00915B93"/>
    <w:rsid w:val="009165E8"/>
    <w:rsid w:val="00917A08"/>
    <w:rsid w:val="009205DC"/>
    <w:rsid w:val="00921D04"/>
    <w:rsid w:val="00922E72"/>
    <w:rsid w:val="0092416F"/>
    <w:rsid w:val="00933CBC"/>
    <w:rsid w:val="00935191"/>
    <w:rsid w:val="00940466"/>
    <w:rsid w:val="00943220"/>
    <w:rsid w:val="009439E9"/>
    <w:rsid w:val="00945652"/>
    <w:rsid w:val="00961F9F"/>
    <w:rsid w:val="009677AB"/>
    <w:rsid w:val="00971EFA"/>
    <w:rsid w:val="0097715A"/>
    <w:rsid w:val="009778D8"/>
    <w:rsid w:val="009779CA"/>
    <w:rsid w:val="00980A18"/>
    <w:rsid w:val="0098239B"/>
    <w:rsid w:val="00983DB5"/>
    <w:rsid w:val="00984648"/>
    <w:rsid w:val="00984854"/>
    <w:rsid w:val="00984BD0"/>
    <w:rsid w:val="00985698"/>
    <w:rsid w:val="00994DBD"/>
    <w:rsid w:val="009A0794"/>
    <w:rsid w:val="009A1E9D"/>
    <w:rsid w:val="009A29C7"/>
    <w:rsid w:val="009A3451"/>
    <w:rsid w:val="009A559E"/>
    <w:rsid w:val="009B1C91"/>
    <w:rsid w:val="009B48A9"/>
    <w:rsid w:val="009B5685"/>
    <w:rsid w:val="009C5E20"/>
    <w:rsid w:val="009C6060"/>
    <w:rsid w:val="009D2FF6"/>
    <w:rsid w:val="009D3A98"/>
    <w:rsid w:val="009E1A28"/>
    <w:rsid w:val="009E1F59"/>
    <w:rsid w:val="009E2B85"/>
    <w:rsid w:val="009F114E"/>
    <w:rsid w:val="009F240A"/>
    <w:rsid w:val="00A021F7"/>
    <w:rsid w:val="00A04798"/>
    <w:rsid w:val="00A05B4B"/>
    <w:rsid w:val="00A100B7"/>
    <w:rsid w:val="00A11624"/>
    <w:rsid w:val="00A117C9"/>
    <w:rsid w:val="00A130E0"/>
    <w:rsid w:val="00A13D3D"/>
    <w:rsid w:val="00A202F6"/>
    <w:rsid w:val="00A218EC"/>
    <w:rsid w:val="00A22B5D"/>
    <w:rsid w:val="00A23B28"/>
    <w:rsid w:val="00A339D8"/>
    <w:rsid w:val="00A35233"/>
    <w:rsid w:val="00A36D5A"/>
    <w:rsid w:val="00A404F6"/>
    <w:rsid w:val="00A45DB0"/>
    <w:rsid w:val="00A50BE4"/>
    <w:rsid w:val="00A53180"/>
    <w:rsid w:val="00A57ACB"/>
    <w:rsid w:val="00A70EF3"/>
    <w:rsid w:val="00A71A56"/>
    <w:rsid w:val="00A838B4"/>
    <w:rsid w:val="00A85C5E"/>
    <w:rsid w:val="00A868B4"/>
    <w:rsid w:val="00A90391"/>
    <w:rsid w:val="00A92EEA"/>
    <w:rsid w:val="00A95206"/>
    <w:rsid w:val="00A95A3B"/>
    <w:rsid w:val="00A96E23"/>
    <w:rsid w:val="00AA0D64"/>
    <w:rsid w:val="00AA1F17"/>
    <w:rsid w:val="00AA21AA"/>
    <w:rsid w:val="00AA459C"/>
    <w:rsid w:val="00AA6F1B"/>
    <w:rsid w:val="00AA7B79"/>
    <w:rsid w:val="00AB2FA5"/>
    <w:rsid w:val="00AB5CFE"/>
    <w:rsid w:val="00AB6038"/>
    <w:rsid w:val="00AB76D9"/>
    <w:rsid w:val="00AC0A5A"/>
    <w:rsid w:val="00AC0B77"/>
    <w:rsid w:val="00AC276E"/>
    <w:rsid w:val="00AC43D0"/>
    <w:rsid w:val="00AC4940"/>
    <w:rsid w:val="00AC53E2"/>
    <w:rsid w:val="00AC7151"/>
    <w:rsid w:val="00AD1C13"/>
    <w:rsid w:val="00AD3881"/>
    <w:rsid w:val="00AD71FA"/>
    <w:rsid w:val="00AE2F81"/>
    <w:rsid w:val="00AE3C64"/>
    <w:rsid w:val="00AF2830"/>
    <w:rsid w:val="00AF4FB3"/>
    <w:rsid w:val="00AF7D1F"/>
    <w:rsid w:val="00B00B94"/>
    <w:rsid w:val="00B01786"/>
    <w:rsid w:val="00B06EE5"/>
    <w:rsid w:val="00B10042"/>
    <w:rsid w:val="00B1018C"/>
    <w:rsid w:val="00B12C7E"/>
    <w:rsid w:val="00B137D9"/>
    <w:rsid w:val="00B15734"/>
    <w:rsid w:val="00B2153A"/>
    <w:rsid w:val="00B2231C"/>
    <w:rsid w:val="00B23528"/>
    <w:rsid w:val="00B27FAC"/>
    <w:rsid w:val="00B30EB8"/>
    <w:rsid w:val="00B313E4"/>
    <w:rsid w:val="00B36568"/>
    <w:rsid w:val="00B5113C"/>
    <w:rsid w:val="00B523FA"/>
    <w:rsid w:val="00B52875"/>
    <w:rsid w:val="00B5297E"/>
    <w:rsid w:val="00B54595"/>
    <w:rsid w:val="00B570EF"/>
    <w:rsid w:val="00B57C2D"/>
    <w:rsid w:val="00B609FF"/>
    <w:rsid w:val="00B60FE4"/>
    <w:rsid w:val="00B64FBC"/>
    <w:rsid w:val="00B673FC"/>
    <w:rsid w:val="00B73118"/>
    <w:rsid w:val="00B739D3"/>
    <w:rsid w:val="00B75D4B"/>
    <w:rsid w:val="00B75FD3"/>
    <w:rsid w:val="00B76737"/>
    <w:rsid w:val="00B76F5D"/>
    <w:rsid w:val="00B77D7E"/>
    <w:rsid w:val="00B81144"/>
    <w:rsid w:val="00B83E14"/>
    <w:rsid w:val="00B84ACF"/>
    <w:rsid w:val="00B87F49"/>
    <w:rsid w:val="00BA2455"/>
    <w:rsid w:val="00BA392A"/>
    <w:rsid w:val="00BB320C"/>
    <w:rsid w:val="00BC4BE4"/>
    <w:rsid w:val="00BC5D27"/>
    <w:rsid w:val="00BD118A"/>
    <w:rsid w:val="00BD2181"/>
    <w:rsid w:val="00BD3898"/>
    <w:rsid w:val="00BD664E"/>
    <w:rsid w:val="00BF0B21"/>
    <w:rsid w:val="00C03390"/>
    <w:rsid w:val="00C07B6A"/>
    <w:rsid w:val="00C11D87"/>
    <w:rsid w:val="00C21BB0"/>
    <w:rsid w:val="00C22AFB"/>
    <w:rsid w:val="00C22F47"/>
    <w:rsid w:val="00C23454"/>
    <w:rsid w:val="00C27AAD"/>
    <w:rsid w:val="00C30E26"/>
    <w:rsid w:val="00C34BFE"/>
    <w:rsid w:val="00C3531A"/>
    <w:rsid w:val="00C43F72"/>
    <w:rsid w:val="00C47DFF"/>
    <w:rsid w:val="00C6291B"/>
    <w:rsid w:val="00C63BAA"/>
    <w:rsid w:val="00C713A9"/>
    <w:rsid w:val="00C7433C"/>
    <w:rsid w:val="00C748CC"/>
    <w:rsid w:val="00C75916"/>
    <w:rsid w:val="00C75D9E"/>
    <w:rsid w:val="00C87007"/>
    <w:rsid w:val="00C92F30"/>
    <w:rsid w:val="00C95CFC"/>
    <w:rsid w:val="00CA71DA"/>
    <w:rsid w:val="00CB0364"/>
    <w:rsid w:val="00CC4BB8"/>
    <w:rsid w:val="00CD1D34"/>
    <w:rsid w:val="00CD5ADE"/>
    <w:rsid w:val="00CD658F"/>
    <w:rsid w:val="00CE3B39"/>
    <w:rsid w:val="00CF04F2"/>
    <w:rsid w:val="00CF493A"/>
    <w:rsid w:val="00D0400A"/>
    <w:rsid w:val="00D10ECF"/>
    <w:rsid w:val="00D14BB1"/>
    <w:rsid w:val="00D15122"/>
    <w:rsid w:val="00D1675E"/>
    <w:rsid w:val="00D276D3"/>
    <w:rsid w:val="00D27791"/>
    <w:rsid w:val="00D33275"/>
    <w:rsid w:val="00D3501C"/>
    <w:rsid w:val="00D367D2"/>
    <w:rsid w:val="00D37C7D"/>
    <w:rsid w:val="00D40A99"/>
    <w:rsid w:val="00D46CF7"/>
    <w:rsid w:val="00D502A1"/>
    <w:rsid w:val="00D54D0A"/>
    <w:rsid w:val="00D639C0"/>
    <w:rsid w:val="00D67E8D"/>
    <w:rsid w:val="00D70107"/>
    <w:rsid w:val="00D8243A"/>
    <w:rsid w:val="00D8330E"/>
    <w:rsid w:val="00D8479C"/>
    <w:rsid w:val="00D86B43"/>
    <w:rsid w:val="00D87B01"/>
    <w:rsid w:val="00D9535E"/>
    <w:rsid w:val="00D97543"/>
    <w:rsid w:val="00DA2D56"/>
    <w:rsid w:val="00DA4592"/>
    <w:rsid w:val="00DA595A"/>
    <w:rsid w:val="00DB2AAF"/>
    <w:rsid w:val="00DB37C5"/>
    <w:rsid w:val="00DB7DE8"/>
    <w:rsid w:val="00DC1609"/>
    <w:rsid w:val="00DC34F5"/>
    <w:rsid w:val="00DE3722"/>
    <w:rsid w:val="00DE43FB"/>
    <w:rsid w:val="00DF4124"/>
    <w:rsid w:val="00DF45E0"/>
    <w:rsid w:val="00DF49A6"/>
    <w:rsid w:val="00DF7765"/>
    <w:rsid w:val="00DF7AEF"/>
    <w:rsid w:val="00E00B0A"/>
    <w:rsid w:val="00E01226"/>
    <w:rsid w:val="00E02151"/>
    <w:rsid w:val="00E02C8A"/>
    <w:rsid w:val="00E050F8"/>
    <w:rsid w:val="00E0725A"/>
    <w:rsid w:val="00E103DE"/>
    <w:rsid w:val="00E10BA9"/>
    <w:rsid w:val="00E11568"/>
    <w:rsid w:val="00E126ED"/>
    <w:rsid w:val="00E12747"/>
    <w:rsid w:val="00E22F17"/>
    <w:rsid w:val="00E23219"/>
    <w:rsid w:val="00E23D75"/>
    <w:rsid w:val="00E27802"/>
    <w:rsid w:val="00E30E22"/>
    <w:rsid w:val="00E3202B"/>
    <w:rsid w:val="00E35D9C"/>
    <w:rsid w:val="00E442F8"/>
    <w:rsid w:val="00E51651"/>
    <w:rsid w:val="00E54FD6"/>
    <w:rsid w:val="00E55CFB"/>
    <w:rsid w:val="00E56E1C"/>
    <w:rsid w:val="00E60BD5"/>
    <w:rsid w:val="00E654B3"/>
    <w:rsid w:val="00E67407"/>
    <w:rsid w:val="00E67CE6"/>
    <w:rsid w:val="00E72777"/>
    <w:rsid w:val="00E7330A"/>
    <w:rsid w:val="00E761D3"/>
    <w:rsid w:val="00E83096"/>
    <w:rsid w:val="00E848C6"/>
    <w:rsid w:val="00E85EF3"/>
    <w:rsid w:val="00E86F1C"/>
    <w:rsid w:val="00E92E0C"/>
    <w:rsid w:val="00E941B9"/>
    <w:rsid w:val="00E94DC6"/>
    <w:rsid w:val="00EA0E37"/>
    <w:rsid w:val="00EA4ABB"/>
    <w:rsid w:val="00EA5249"/>
    <w:rsid w:val="00EA6FA9"/>
    <w:rsid w:val="00EB0EA6"/>
    <w:rsid w:val="00EB206B"/>
    <w:rsid w:val="00EB3006"/>
    <w:rsid w:val="00EB326B"/>
    <w:rsid w:val="00EB35AC"/>
    <w:rsid w:val="00EB4696"/>
    <w:rsid w:val="00EC0A9F"/>
    <w:rsid w:val="00EC0EED"/>
    <w:rsid w:val="00EC3557"/>
    <w:rsid w:val="00EC4AD0"/>
    <w:rsid w:val="00ED4E69"/>
    <w:rsid w:val="00ED5AC8"/>
    <w:rsid w:val="00EE7954"/>
    <w:rsid w:val="00EE7AD8"/>
    <w:rsid w:val="00EF109C"/>
    <w:rsid w:val="00EF2FAB"/>
    <w:rsid w:val="00EF6910"/>
    <w:rsid w:val="00F03BAC"/>
    <w:rsid w:val="00F03F68"/>
    <w:rsid w:val="00F06180"/>
    <w:rsid w:val="00F07288"/>
    <w:rsid w:val="00F12CEE"/>
    <w:rsid w:val="00F235AE"/>
    <w:rsid w:val="00F260EB"/>
    <w:rsid w:val="00F27FFE"/>
    <w:rsid w:val="00F30F40"/>
    <w:rsid w:val="00F320AB"/>
    <w:rsid w:val="00F350B8"/>
    <w:rsid w:val="00F354B6"/>
    <w:rsid w:val="00F36999"/>
    <w:rsid w:val="00F43737"/>
    <w:rsid w:val="00F45C40"/>
    <w:rsid w:val="00F47929"/>
    <w:rsid w:val="00F53E69"/>
    <w:rsid w:val="00F546CB"/>
    <w:rsid w:val="00F575BB"/>
    <w:rsid w:val="00F75F74"/>
    <w:rsid w:val="00F77044"/>
    <w:rsid w:val="00F771F5"/>
    <w:rsid w:val="00F77BA3"/>
    <w:rsid w:val="00F803F0"/>
    <w:rsid w:val="00F804DC"/>
    <w:rsid w:val="00F80895"/>
    <w:rsid w:val="00F808C4"/>
    <w:rsid w:val="00F83A76"/>
    <w:rsid w:val="00F8676D"/>
    <w:rsid w:val="00F937E6"/>
    <w:rsid w:val="00FA117E"/>
    <w:rsid w:val="00FA2C03"/>
    <w:rsid w:val="00FA5093"/>
    <w:rsid w:val="00FA6306"/>
    <w:rsid w:val="00FB15BB"/>
    <w:rsid w:val="00FC300B"/>
    <w:rsid w:val="00FC3DFA"/>
    <w:rsid w:val="00FD09AC"/>
    <w:rsid w:val="00FE2E06"/>
    <w:rsid w:val="00FF28C0"/>
    <w:rsid w:val="00FF3D3C"/>
    <w:rsid w:val="00FF50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B4EA6D7"/>
  <w15:docId w15:val="{FA698727-2EDB-470F-9753-DE229C14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link w:val="TitleChar"/>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PlainText">
    <w:name w:val="Plain Text"/>
    <w:basedOn w:val="Normal"/>
    <w:link w:val="PlainTextChar"/>
    <w:uiPriority w:val="99"/>
    <w:unhideWhenUsed/>
    <w:rsid w:val="00F03BAC"/>
    <w:pPr>
      <w:widowControl/>
      <w:autoSpaceDE/>
      <w:autoSpaceDN/>
      <w:adjustRightInd/>
    </w:pPr>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F03BAC"/>
    <w:rPr>
      <w:rFonts w:ascii="Calibri" w:hAnsi="Calibri" w:eastAsiaTheme="minorHAnsi" w:cs="Consolas"/>
      <w:sz w:val="22"/>
      <w:szCs w:val="21"/>
    </w:rPr>
  </w:style>
  <w:style w:type="character" w:customStyle="1" w:styleId="TitleChar">
    <w:name w:val="Title Char"/>
    <w:basedOn w:val="DefaultParagraphFont"/>
    <w:link w:val="Title"/>
    <w:rsid w:val="00984854"/>
    <w:rPr>
      <w:rFonts w:ascii="CG Times" w:hAnsi="CG Times" w:cs="CG Times"/>
      <w:sz w:val="36"/>
      <w:szCs w:val="36"/>
    </w:rPr>
  </w:style>
  <w:style w:type="paragraph" w:styleId="Revision">
    <w:name w:val="Revision"/>
    <w:hidden/>
    <w:uiPriority w:val="99"/>
    <w:semiHidden/>
    <w:rsid w:val="004559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6C65-16B7-4F10-8EFE-A8F93CB431F8}">
  <ds:schemaRefs>
    <ds:schemaRef ds:uri="http://schemas.openxmlformats.org/officeDocument/2006/bibliography"/>
  </ds:schemaRefs>
</ds:datastoreItem>
</file>

<file path=customXml/itemProps2.xml><?xml version="1.0" encoding="utf-8"?>
<ds:datastoreItem xmlns:ds="http://schemas.openxmlformats.org/officeDocument/2006/customXml" ds:itemID="{5113CF55-D9B8-47BB-9A21-C6808E08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1836</Words>
  <Characters>10684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kan3</dc:creator>
  <cp:lastModifiedBy>Ailes, Elizabeth (CDC/DDNID/NCBDDD/DBDID)</cp:lastModifiedBy>
  <cp:revision>2</cp:revision>
  <cp:lastPrinted>2019-08-14T13:51:00Z</cp:lastPrinted>
  <dcterms:created xsi:type="dcterms:W3CDTF">2022-10-04T12:16:00Z</dcterms:created>
  <dcterms:modified xsi:type="dcterms:W3CDTF">2022-10-04T12:16:00Z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907b2866-e79a-4113-9a5b-a4c7bbfabcb9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2022-06-10T22:44:06Z</vt:lpwstr>
  </property>
  <property fmtid="{D5CDD505-2E9C-101B-9397-08002B2CF9AE}" pid="8" name="MSIP_Label_7b94a7b8-f06c-4dfe-bdcc-9b548fd58c31_SiteId">
    <vt:lpwstr>9ce70869-60db-44fd-abe8-d2767077fc8f</vt:lpwstr>
  </property>
</Properties>
</file>