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896" w:rsidP="00962896" w14:paraId="688F586A" w14:textId="77777777">
      <w:pPr>
        <w:pStyle w:val="NoSpacing"/>
        <w:jc w:val="center"/>
        <w:rPr>
          <w:rFonts w:ascii="Times New Roman" w:hAnsi="Times New Roman" w:cs="Times New Roman"/>
          <w:sz w:val="24"/>
          <w:szCs w:val="24"/>
        </w:rPr>
      </w:pPr>
      <w:r w:rsidRPr="00962896">
        <w:rPr>
          <w:rFonts w:ascii="Times New Roman" w:hAnsi="Times New Roman" w:cs="Times New Roman"/>
          <w:sz w:val="24"/>
          <w:szCs w:val="24"/>
        </w:rPr>
        <w:t>UNITED STATES FOOD &amp; DRUG ADMINISTRATION</w:t>
      </w:r>
    </w:p>
    <w:p w:rsidR="00962896" w:rsidP="00962896" w14:paraId="4DA02460" w14:textId="77777777">
      <w:pPr>
        <w:pStyle w:val="NoSpacing"/>
        <w:jc w:val="center"/>
        <w:rPr>
          <w:rFonts w:ascii="Times New Roman" w:hAnsi="Times New Roman" w:cs="Times New Roman"/>
          <w:sz w:val="24"/>
          <w:szCs w:val="24"/>
        </w:rPr>
      </w:pPr>
    </w:p>
    <w:p w:rsidR="00962896" w:rsidP="00962896" w14:paraId="4DCCE431" w14:textId="2E8D8ABD">
      <w:pPr>
        <w:pStyle w:val="NoSpacing"/>
        <w:jc w:val="center"/>
        <w:rPr>
          <w:rFonts w:ascii="Times New Roman" w:hAnsi="Times New Roman" w:cs="Times New Roman"/>
          <w:sz w:val="24"/>
          <w:szCs w:val="24"/>
        </w:rPr>
      </w:pPr>
      <w:r>
        <w:rPr>
          <w:rFonts w:ascii="Times New Roman" w:hAnsi="Times New Roman" w:cs="Times New Roman"/>
          <w:sz w:val="24"/>
          <w:szCs w:val="24"/>
        </w:rPr>
        <w:t>Orphan Drugs</w:t>
      </w:r>
      <w:r w:rsidR="00F002DD">
        <w:rPr>
          <w:rFonts w:ascii="Times New Roman" w:hAnsi="Times New Roman" w:cs="Times New Roman"/>
          <w:sz w:val="24"/>
          <w:szCs w:val="24"/>
        </w:rPr>
        <w:t>; 21 CFR 316</w:t>
      </w:r>
    </w:p>
    <w:p w:rsidR="00962896" w:rsidP="00962896" w14:paraId="1D93B785" w14:textId="77777777">
      <w:pPr>
        <w:pStyle w:val="NoSpacing"/>
        <w:jc w:val="center"/>
        <w:rPr>
          <w:rFonts w:ascii="Times New Roman" w:hAnsi="Times New Roman" w:cs="Times New Roman"/>
          <w:sz w:val="24"/>
          <w:szCs w:val="24"/>
        </w:rPr>
      </w:pPr>
    </w:p>
    <w:p w:rsidR="004765CB" w:rsidRPr="00962896" w:rsidP="001332D2" w14:paraId="056A43A0" w14:textId="77446F20">
      <w:pPr>
        <w:pStyle w:val="NoSpacing"/>
        <w:jc w:val="center"/>
        <w:rPr>
          <w:rFonts w:ascii="Times New Roman" w:hAnsi="Times New Roman" w:cs="Times New Roman"/>
          <w:sz w:val="24"/>
          <w:szCs w:val="24"/>
        </w:rPr>
      </w:pPr>
      <w:r w:rsidRPr="00E13F22">
        <w:rPr>
          <w:rFonts w:ascii="Times New Roman" w:hAnsi="Times New Roman" w:cs="Times New Roman"/>
          <w:sz w:val="24"/>
          <w:szCs w:val="24"/>
          <w:u w:val="single"/>
        </w:rPr>
        <w:t xml:space="preserve">OMB </w:t>
      </w:r>
      <w:r w:rsidRPr="00E13F22" w:rsidR="00962896">
        <w:rPr>
          <w:rFonts w:ascii="Times New Roman" w:hAnsi="Times New Roman" w:cs="Times New Roman"/>
          <w:sz w:val="24"/>
          <w:szCs w:val="24"/>
          <w:u w:val="single"/>
        </w:rPr>
        <w:t xml:space="preserve">Control </w:t>
      </w:r>
      <w:r w:rsidRPr="00E13F22">
        <w:rPr>
          <w:rFonts w:ascii="Times New Roman" w:hAnsi="Times New Roman" w:cs="Times New Roman"/>
          <w:sz w:val="24"/>
          <w:szCs w:val="24"/>
          <w:u w:val="single"/>
        </w:rPr>
        <w:t>No. 0910-0167</w:t>
      </w:r>
      <w:r w:rsidR="00E13F22">
        <w:rPr>
          <w:rFonts w:ascii="Times New Roman" w:hAnsi="Times New Roman" w:cs="Times New Roman"/>
          <w:sz w:val="24"/>
          <w:szCs w:val="24"/>
        </w:rPr>
        <w:t xml:space="preserve"> </w:t>
      </w:r>
      <w:r>
        <w:rPr>
          <w:rFonts w:ascii="Times New Roman" w:hAnsi="Times New Roman" w:cs="Times New Roman"/>
          <w:sz w:val="24"/>
          <w:szCs w:val="24"/>
        </w:rPr>
        <w:t>–</w:t>
      </w:r>
      <w:r w:rsidR="00E13F22">
        <w:rPr>
          <w:rFonts w:ascii="Times New Roman" w:hAnsi="Times New Roman" w:cs="Times New Roman"/>
          <w:sz w:val="24"/>
          <w:szCs w:val="24"/>
        </w:rPr>
        <w:t xml:space="preserve"> </w:t>
      </w:r>
      <w:r w:rsidR="00DF545B">
        <w:rPr>
          <w:rFonts w:ascii="Times New Roman" w:hAnsi="Times New Roman" w:cs="Times New Roman"/>
          <w:sz w:val="24"/>
          <w:szCs w:val="24"/>
        </w:rPr>
        <w:t>Extension</w:t>
      </w:r>
    </w:p>
    <w:p w:rsidR="00962896" w:rsidP="00962896" w14:paraId="43D6B2E1" w14:textId="77777777">
      <w:pPr>
        <w:pStyle w:val="NoSpacing"/>
        <w:rPr>
          <w:rFonts w:ascii="Times New Roman" w:hAnsi="Times New Roman" w:cs="Times New Roman"/>
          <w:sz w:val="24"/>
          <w:szCs w:val="24"/>
        </w:rPr>
      </w:pPr>
    </w:p>
    <w:p w:rsidR="00754E4E" w:rsidRPr="00962896" w:rsidP="00962896" w14:paraId="30C8A3AF" w14:textId="0E991D26">
      <w:pPr>
        <w:pStyle w:val="NoSpacing"/>
        <w:rPr>
          <w:rFonts w:ascii="Times New Roman" w:hAnsi="Times New Roman" w:cs="Times New Roman"/>
          <w:sz w:val="24"/>
          <w:szCs w:val="24"/>
        </w:rPr>
      </w:pPr>
      <w:r w:rsidRPr="00962896">
        <w:rPr>
          <w:rFonts w:ascii="Times New Roman" w:hAnsi="Times New Roman" w:cs="Times New Roman"/>
          <w:sz w:val="24"/>
          <w:szCs w:val="24"/>
        </w:rPr>
        <w:t>SUPPORTING STATEMENT</w:t>
      </w:r>
      <w:r w:rsidR="00962896">
        <w:rPr>
          <w:rFonts w:ascii="Times New Roman" w:hAnsi="Times New Roman" w:cs="Times New Roman"/>
          <w:sz w:val="24"/>
          <w:szCs w:val="24"/>
        </w:rPr>
        <w:t xml:space="preserve"> </w:t>
      </w:r>
      <w:r w:rsidRPr="00962896" w:rsidR="00962896">
        <w:rPr>
          <w:rFonts w:ascii="Times New Roman" w:hAnsi="Times New Roman" w:cs="Times New Roman"/>
          <w:b/>
          <w:sz w:val="24"/>
          <w:szCs w:val="24"/>
        </w:rPr>
        <w:t>Part A – Justification</w:t>
      </w:r>
      <w:r w:rsidR="00962896">
        <w:rPr>
          <w:rFonts w:ascii="Times New Roman" w:hAnsi="Times New Roman" w:cs="Times New Roman"/>
          <w:sz w:val="24"/>
          <w:szCs w:val="24"/>
        </w:rPr>
        <w:t>:</w:t>
      </w:r>
    </w:p>
    <w:p w:rsidR="00962896" w:rsidP="00962896" w14:paraId="147CB0D8" w14:textId="77777777">
      <w:pPr>
        <w:pStyle w:val="NoSpacing"/>
        <w:rPr>
          <w:rFonts w:ascii="Times New Roman" w:hAnsi="Times New Roman" w:cs="Times New Roman"/>
          <w:sz w:val="24"/>
          <w:szCs w:val="24"/>
        </w:rPr>
      </w:pPr>
    </w:p>
    <w:p w:rsidR="00100DF7" w:rsidRPr="00962896" w:rsidP="00962896" w14:paraId="01FB32D9" w14:textId="10F7FB9F">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1.   </w:t>
      </w:r>
      <w:r w:rsidRPr="00962896">
        <w:rPr>
          <w:rFonts w:ascii="Times New Roman" w:hAnsi="Times New Roman" w:cs="Times New Roman"/>
          <w:sz w:val="24"/>
          <w:szCs w:val="24"/>
          <w:u w:val="single"/>
        </w:rPr>
        <w:t>Circumstances Making the Collection of Information Necessary</w:t>
      </w:r>
    </w:p>
    <w:p w:rsidR="009B4456" w:rsidP="00BA42B4" w14:paraId="42E06755" w14:textId="77777777">
      <w:pPr>
        <w:pStyle w:val="NoSpacing"/>
        <w:rPr>
          <w:rFonts w:ascii="Times New Roman" w:hAnsi="Times New Roman" w:cs="Times New Roman"/>
          <w:sz w:val="24"/>
          <w:szCs w:val="24"/>
        </w:rPr>
      </w:pPr>
    </w:p>
    <w:p w:rsidR="00BA42B4" w:rsidRPr="00BA42B4" w:rsidP="00BA42B4" w14:paraId="4251BF8A" w14:textId="1F9DBB90">
      <w:pPr>
        <w:pStyle w:val="NoSpacing"/>
        <w:rPr>
          <w:rFonts w:ascii="Times New Roman" w:hAnsi="Times New Roman" w:cs="Times New Roman"/>
          <w:sz w:val="24"/>
          <w:szCs w:val="24"/>
        </w:rPr>
      </w:pPr>
      <w:r w:rsidRPr="00BA42B4">
        <w:rPr>
          <w:rFonts w:ascii="Times New Roman" w:hAnsi="Times New Roman" w:cs="Times New Roman"/>
          <w:sz w:val="24"/>
          <w:szCs w:val="24"/>
        </w:rPr>
        <w:t xml:space="preserve">This information collection </w:t>
      </w:r>
      <w:r w:rsidR="009B4456">
        <w:rPr>
          <w:rFonts w:ascii="Times New Roman" w:hAnsi="Times New Roman" w:cs="Times New Roman"/>
          <w:sz w:val="24"/>
          <w:szCs w:val="24"/>
        </w:rPr>
        <w:t xml:space="preserve">helps </w:t>
      </w:r>
      <w:r w:rsidRPr="00BA42B4">
        <w:rPr>
          <w:rFonts w:ascii="Times New Roman" w:hAnsi="Times New Roman" w:cs="Times New Roman"/>
          <w:sz w:val="24"/>
          <w:szCs w:val="24"/>
        </w:rPr>
        <w:t>support implement</w:t>
      </w:r>
      <w:r w:rsidR="009B4456">
        <w:rPr>
          <w:rFonts w:ascii="Times New Roman" w:hAnsi="Times New Roman" w:cs="Times New Roman"/>
          <w:sz w:val="24"/>
          <w:szCs w:val="24"/>
        </w:rPr>
        <w:t>ation</w:t>
      </w:r>
      <w:r w:rsidRPr="00BA42B4">
        <w:rPr>
          <w:rFonts w:ascii="Times New Roman" w:hAnsi="Times New Roman" w:cs="Times New Roman"/>
          <w:sz w:val="24"/>
          <w:szCs w:val="24"/>
        </w:rPr>
        <w:t xml:space="preserve"> </w:t>
      </w:r>
      <w:r w:rsidR="009B4456">
        <w:rPr>
          <w:rFonts w:ascii="Times New Roman" w:hAnsi="Times New Roman" w:cs="Times New Roman"/>
          <w:sz w:val="24"/>
          <w:szCs w:val="24"/>
        </w:rPr>
        <w:t xml:space="preserve">of </w:t>
      </w:r>
      <w:r w:rsidRPr="00BA42B4">
        <w:rPr>
          <w:rFonts w:ascii="Times New Roman" w:hAnsi="Times New Roman" w:cs="Times New Roman"/>
          <w:sz w:val="24"/>
          <w:szCs w:val="24"/>
        </w:rPr>
        <w:t>sections 525, 526, 527, and 528 of the Federal Food, Drug and Cosmetic Act (FD&amp;C Act) (21 U.S.C. 360aa, 360bb, 360cc, and 360dd), as well as related guidance</w:t>
      </w:r>
      <w:r w:rsidR="00513C3D">
        <w:rPr>
          <w:rFonts w:ascii="Times New Roman" w:hAnsi="Times New Roman" w:cs="Times New Roman"/>
          <w:sz w:val="24"/>
          <w:szCs w:val="24"/>
        </w:rPr>
        <w:t xml:space="preserve"> and agency forms</w:t>
      </w:r>
      <w:r w:rsidRPr="00BA42B4">
        <w:rPr>
          <w:rFonts w:ascii="Times New Roman" w:hAnsi="Times New Roman" w:cs="Times New Roman"/>
          <w:sz w:val="24"/>
          <w:szCs w:val="24"/>
        </w:rPr>
        <w:t>.</w:t>
      </w:r>
      <w:r w:rsidR="006311C9">
        <w:rPr>
          <w:rFonts w:ascii="Times New Roman" w:hAnsi="Times New Roman" w:cs="Times New Roman"/>
          <w:sz w:val="24"/>
          <w:szCs w:val="24"/>
        </w:rPr>
        <w:t xml:space="preserve">  </w:t>
      </w:r>
      <w:r w:rsidRPr="00BA42B4">
        <w:rPr>
          <w:rFonts w:ascii="Times New Roman" w:hAnsi="Times New Roman" w:cs="Times New Roman"/>
          <w:sz w:val="24"/>
          <w:szCs w:val="24"/>
        </w:rPr>
        <w:t>Sections 525, 526, 527, and 528 of the FD&amp;C Act pertain to the development of drugs for rare diseases or conditions, including biological products and antibiotics, otherwise known or referred to as</w:t>
      </w:r>
      <w:r>
        <w:rPr>
          <w:rFonts w:ascii="Times New Roman" w:hAnsi="Times New Roman" w:cs="Times New Roman"/>
          <w:sz w:val="24"/>
          <w:szCs w:val="24"/>
        </w:rPr>
        <w:t xml:space="preserve"> “</w:t>
      </w:r>
      <w:r w:rsidRPr="00BA42B4">
        <w:rPr>
          <w:rFonts w:ascii="Times New Roman" w:hAnsi="Times New Roman" w:cs="Times New Roman"/>
          <w:i/>
          <w:iCs/>
          <w:sz w:val="24"/>
          <w:szCs w:val="24"/>
        </w:rPr>
        <w:t>Orphan Drugs</w:t>
      </w:r>
      <w:r>
        <w:rPr>
          <w:rFonts w:ascii="Times New Roman" w:hAnsi="Times New Roman" w:cs="Times New Roman"/>
          <w:sz w:val="24"/>
          <w:szCs w:val="24"/>
        </w:rPr>
        <w:t xml:space="preserve">.”  </w:t>
      </w:r>
      <w:r w:rsidRPr="00BA42B4">
        <w:rPr>
          <w:rFonts w:ascii="Times New Roman" w:hAnsi="Times New Roman" w:cs="Times New Roman"/>
          <w:sz w:val="24"/>
          <w:szCs w:val="24"/>
        </w:rPr>
        <w:t>Specifically, section 525 of the FD&amp;C Act requires written recommendations on studies required for approval of a marketing application for a drug for a rare disease or condition.</w:t>
      </w:r>
      <w:r w:rsidR="00550C9F">
        <w:rPr>
          <w:rFonts w:ascii="Times New Roman" w:hAnsi="Times New Roman" w:cs="Times New Roman"/>
          <w:sz w:val="24"/>
          <w:szCs w:val="24"/>
        </w:rPr>
        <w:t xml:space="preserve">  </w:t>
      </w:r>
      <w:r w:rsidRPr="00BA42B4">
        <w:rPr>
          <w:rFonts w:ascii="Times New Roman" w:hAnsi="Times New Roman" w:cs="Times New Roman"/>
          <w:sz w:val="24"/>
          <w:szCs w:val="24"/>
        </w:rPr>
        <w:t>Section 526 of the FD&amp;C Act provides for designation of drugs as orphan drugs when certain conditions are met</w:t>
      </w:r>
      <w:r w:rsidR="0086271C">
        <w:rPr>
          <w:rFonts w:ascii="Times New Roman" w:hAnsi="Times New Roman" w:cs="Times New Roman"/>
          <w:sz w:val="24"/>
          <w:szCs w:val="24"/>
        </w:rPr>
        <w:t>;</w:t>
      </w:r>
      <w:r w:rsidRPr="00BA42B4">
        <w:rPr>
          <w:rFonts w:ascii="Times New Roman" w:hAnsi="Times New Roman" w:cs="Times New Roman"/>
          <w:sz w:val="24"/>
          <w:szCs w:val="24"/>
        </w:rPr>
        <w:t xml:space="preserve"> section 527 provides conditions under which a sponsor of an approved orphan drug enjoys exclusive FDA marketing approval for that drug for the orphan indication for a period of 7 years</w:t>
      </w:r>
      <w:r w:rsidR="0086271C">
        <w:rPr>
          <w:rFonts w:ascii="Times New Roman" w:hAnsi="Times New Roman" w:cs="Times New Roman"/>
          <w:sz w:val="24"/>
          <w:szCs w:val="24"/>
        </w:rPr>
        <w:t xml:space="preserve">; </w:t>
      </w:r>
      <w:r w:rsidRPr="00BA42B4">
        <w:rPr>
          <w:rFonts w:ascii="Times New Roman" w:hAnsi="Times New Roman" w:cs="Times New Roman"/>
          <w:sz w:val="24"/>
          <w:szCs w:val="24"/>
        </w:rPr>
        <w:t>and, finally, section 528 is intended to encourage sponsors to make investigational orphan drugs available for treatment of persons in need on an open protocol basis before the drug has been approved for general marketing.</w:t>
      </w:r>
      <w:r w:rsidR="00550C9F">
        <w:rPr>
          <w:rFonts w:ascii="Times New Roman" w:hAnsi="Times New Roman" w:cs="Times New Roman"/>
          <w:sz w:val="24"/>
          <w:szCs w:val="24"/>
        </w:rPr>
        <w:t xml:space="preserve">  </w:t>
      </w:r>
      <w:r w:rsidRPr="00BA42B4">
        <w:rPr>
          <w:rFonts w:ascii="Times New Roman" w:hAnsi="Times New Roman" w:cs="Times New Roman"/>
          <w:sz w:val="24"/>
          <w:szCs w:val="24"/>
        </w:rPr>
        <w:t xml:space="preserve">Open protocols may permit patients who are not part of the formal clinical investigation to obtain treatment where adequate supplies exist and no alternative effective therapy is available. </w:t>
      </w:r>
    </w:p>
    <w:p w:rsidR="006C69DA" w:rsidP="00BA42B4" w14:paraId="06BC5E05" w14:textId="77777777">
      <w:pPr>
        <w:pStyle w:val="NoSpacing"/>
        <w:rPr>
          <w:rFonts w:ascii="Times New Roman" w:hAnsi="Times New Roman" w:cs="Times New Roman"/>
          <w:sz w:val="24"/>
          <w:szCs w:val="24"/>
        </w:rPr>
      </w:pPr>
    </w:p>
    <w:p w:rsidR="00DE5F67" w:rsidP="002E5D15" w14:paraId="617F8134" w14:textId="26252796">
      <w:pPr>
        <w:pStyle w:val="NoSpacing"/>
        <w:rPr>
          <w:rFonts w:ascii="Times New Roman" w:hAnsi="Times New Roman" w:cs="Times New Roman"/>
          <w:sz w:val="24"/>
          <w:szCs w:val="24"/>
        </w:rPr>
      </w:pPr>
      <w:r w:rsidRPr="00BA42B4">
        <w:rPr>
          <w:rFonts w:ascii="Times New Roman" w:hAnsi="Times New Roman" w:cs="Times New Roman"/>
          <w:sz w:val="24"/>
          <w:szCs w:val="24"/>
        </w:rPr>
        <w:t>Agency regulations in part 316 (21 CFR part 316) subpart A identify the scope of coverage, applicable definitions, and statutory provisions applicable to orphan drugs.</w:t>
      </w:r>
      <w:r w:rsidR="00D5417C">
        <w:rPr>
          <w:rFonts w:ascii="Times New Roman" w:hAnsi="Times New Roman" w:cs="Times New Roman"/>
          <w:sz w:val="24"/>
          <w:szCs w:val="24"/>
        </w:rPr>
        <w:t xml:space="preserve">  </w:t>
      </w:r>
      <w:r w:rsidRPr="00BA42B4">
        <w:rPr>
          <w:rFonts w:ascii="Times New Roman" w:hAnsi="Times New Roman" w:cs="Times New Roman"/>
          <w:sz w:val="24"/>
          <w:szCs w:val="24"/>
        </w:rPr>
        <w:t>The regulations in 21 CFR part 316, subpart B (316.10 through 316.14) set forth content and format elements for written recommendation requests, and discuss FDA providing or refusing to provide the requested written recommendations.  Similarly, regulations in 21 CFR 316 subpart C (316.20 through 316.30) prescribe content and format elements for requesting orphan drug designation; identify submission schedules for requisite information including amendments, updates, and reports; and provide for publication and revocation of orphan drug designation.  Regulations in 316 subparts D and E (316.31-316.40) address orphan drug exclusive approval and open protocols for investigations, respectively.</w:t>
      </w:r>
      <w:r w:rsidR="006C69DA">
        <w:rPr>
          <w:rFonts w:ascii="Times New Roman" w:hAnsi="Times New Roman" w:cs="Times New Roman"/>
          <w:sz w:val="24"/>
          <w:szCs w:val="24"/>
        </w:rPr>
        <w:t xml:space="preserve">  </w:t>
      </w:r>
      <w:r w:rsidRPr="00BA42B4">
        <w:rPr>
          <w:rFonts w:ascii="Times New Roman" w:hAnsi="Times New Roman" w:cs="Times New Roman"/>
          <w:sz w:val="24"/>
          <w:szCs w:val="24"/>
        </w:rPr>
        <w:t>Finally, regulations in 316 subpart F (316.50 through 316.52) provide for the issuance of  guidance documents that apply to the Orphan Drug provisions of the FD&amp;C Act and regulations in part 316.</w:t>
      </w:r>
      <w:r w:rsidR="00D42E85">
        <w:rPr>
          <w:rFonts w:ascii="Times New Roman" w:hAnsi="Times New Roman" w:cs="Times New Roman"/>
          <w:sz w:val="24"/>
          <w:szCs w:val="24"/>
        </w:rPr>
        <w:t xml:space="preserve">  </w:t>
      </w:r>
      <w:r w:rsidRPr="00BA42B4">
        <w:rPr>
          <w:rFonts w:ascii="Times New Roman" w:hAnsi="Times New Roman" w:cs="Times New Roman"/>
          <w:sz w:val="24"/>
          <w:szCs w:val="24"/>
        </w:rPr>
        <w:t xml:space="preserve">The list is maintained on the internet and guidance documents are issued in accordance with our Good Guidance Practice regulations in 21 CFR 10.115, which provide for public comment at any time. </w:t>
      </w:r>
    </w:p>
    <w:p w:rsidR="007D7FB8" w:rsidRPr="002E5D15" w:rsidP="002E5D15" w14:paraId="73348368" w14:textId="77777777">
      <w:pPr>
        <w:pStyle w:val="NoSpacing"/>
        <w:rPr>
          <w:rFonts w:ascii="Times New Roman" w:hAnsi="Times New Roman" w:cs="Times New Roman"/>
          <w:sz w:val="24"/>
          <w:szCs w:val="24"/>
        </w:rPr>
      </w:pPr>
    </w:p>
    <w:p w:rsidR="002C3BDA" w:rsidP="002C3BDA" w14:paraId="1F093410" w14:textId="59278CD8">
      <w:pPr>
        <w:pStyle w:val="NoSpacing"/>
        <w:rPr>
          <w:rFonts w:ascii="Times New Roman" w:hAnsi="Times New Roman" w:cs="Times New Roman"/>
          <w:sz w:val="24"/>
          <w:szCs w:val="24"/>
        </w:rPr>
      </w:pPr>
      <w:r w:rsidRPr="002C3BDA">
        <w:rPr>
          <w:rFonts w:ascii="Times New Roman" w:hAnsi="Times New Roman" w:cs="Times New Roman"/>
          <w:sz w:val="24"/>
          <w:szCs w:val="24"/>
        </w:rPr>
        <w:t xml:space="preserve">The information collection includes </w:t>
      </w:r>
      <w:r w:rsidRPr="002C3BDA">
        <w:rPr>
          <w:rFonts w:ascii="Times New Roman" w:hAnsi="Times New Roman" w:cs="Times New Roman"/>
          <w:b/>
          <w:bCs/>
          <w:sz w:val="24"/>
          <w:szCs w:val="24"/>
        </w:rPr>
        <w:t>Form FDA 3671</w:t>
      </w:r>
      <w:r w:rsidRPr="002C3BDA">
        <w:rPr>
          <w:rFonts w:ascii="Times New Roman" w:hAnsi="Times New Roman" w:cs="Times New Roman"/>
          <w:sz w:val="24"/>
          <w:szCs w:val="24"/>
        </w:rPr>
        <w:t xml:space="preserve">, Common EMEA/FDA Application for Orphan Medicinal Product, and </w:t>
      </w:r>
      <w:r w:rsidRPr="003F3CCE" w:rsidR="003F3CCE">
        <w:rPr>
          <w:rFonts w:ascii="Times New Roman" w:hAnsi="Times New Roman" w:cs="Times New Roman"/>
          <w:b/>
          <w:bCs/>
          <w:sz w:val="24"/>
          <w:szCs w:val="24"/>
        </w:rPr>
        <w:t xml:space="preserve">Form </w:t>
      </w:r>
      <w:r w:rsidRPr="002C3BDA">
        <w:rPr>
          <w:rFonts w:ascii="Times New Roman" w:hAnsi="Times New Roman" w:cs="Times New Roman"/>
          <w:b/>
          <w:bCs/>
          <w:sz w:val="24"/>
          <w:szCs w:val="24"/>
        </w:rPr>
        <w:t>FDA 4035</w:t>
      </w:r>
      <w:r w:rsidRPr="002C3BDA">
        <w:rPr>
          <w:rFonts w:ascii="Times New Roman" w:hAnsi="Times New Roman" w:cs="Times New Roman"/>
          <w:sz w:val="24"/>
          <w:szCs w:val="24"/>
        </w:rPr>
        <w:t xml:space="preserve">, FDA Orphan Drug Designation Request Form, intended to benefit sponsors who desire to seek orphan designation of drugs intended for rare diseases or conditions from FDA. The form is a simplified method for sponsors to provide only the information required by § 316.20 for FDA decision making. Orphan drug designation </w:t>
      </w:r>
      <w:r w:rsidRPr="002C3BDA">
        <w:rPr>
          <w:rFonts w:ascii="Times New Roman" w:hAnsi="Times New Roman" w:cs="Times New Roman"/>
          <w:sz w:val="24"/>
          <w:szCs w:val="24"/>
        </w:rPr>
        <w:t>requests and related submissions (amendments, annual reports, etc.), humanitarian use device designation, and rare pediatric disease designation requests and submissions may be submitted electronically by email to the OOPD.</w:t>
      </w:r>
    </w:p>
    <w:p w:rsidR="00CC1636" w:rsidP="002E5D15" w14:paraId="58572065" w14:textId="2182B14A">
      <w:pPr>
        <w:pStyle w:val="NoSpacing"/>
        <w:rPr>
          <w:rFonts w:ascii="Times New Roman" w:hAnsi="Times New Roman" w:cs="Times New Roman"/>
          <w:sz w:val="24"/>
          <w:szCs w:val="24"/>
        </w:rPr>
      </w:pPr>
    </w:p>
    <w:p w:rsidR="00CC1636" w:rsidP="00CC1636" w14:paraId="0CCA51B2" w14:textId="68705BBC">
      <w:pPr>
        <w:pStyle w:val="NoSpacing"/>
        <w:rPr>
          <w:rFonts w:ascii="Times New Roman" w:hAnsi="Times New Roman" w:cs="Times New Roman"/>
          <w:sz w:val="24"/>
          <w:szCs w:val="24"/>
        </w:rPr>
      </w:pPr>
      <w:r>
        <w:rPr>
          <w:rFonts w:ascii="Times New Roman" w:hAnsi="Times New Roman" w:cs="Times New Roman"/>
          <w:sz w:val="24"/>
          <w:szCs w:val="24"/>
        </w:rPr>
        <w:t>We also include t</w:t>
      </w:r>
      <w:r w:rsidRPr="00271839">
        <w:rPr>
          <w:rFonts w:ascii="Times New Roman" w:hAnsi="Times New Roman" w:cs="Times New Roman"/>
          <w:sz w:val="24"/>
          <w:szCs w:val="24"/>
        </w:rPr>
        <w:t>he document entitled</w:t>
      </w:r>
      <w:r>
        <w:rPr>
          <w:rFonts w:ascii="Times New Roman" w:hAnsi="Times New Roman" w:cs="Times New Roman"/>
          <w:sz w:val="24"/>
          <w:szCs w:val="24"/>
        </w:rPr>
        <w:t>, “</w:t>
      </w:r>
      <w:r w:rsidRPr="00271839">
        <w:rPr>
          <w:rFonts w:ascii="Times New Roman" w:hAnsi="Times New Roman" w:cs="Times New Roman"/>
          <w:i/>
          <w:iCs/>
          <w:sz w:val="24"/>
          <w:szCs w:val="24"/>
        </w:rPr>
        <w:t>Meetings with the Office of Orphan Products Development: Guidance for Industry, Researchers, Patient Groups, and Food and Drug Administration Staff</w:t>
      </w:r>
      <w:r w:rsidRPr="00271839">
        <w:rPr>
          <w:rFonts w:ascii="Times New Roman" w:hAnsi="Times New Roman" w:cs="Times New Roman"/>
          <w:sz w:val="24"/>
          <w:szCs w:val="24"/>
        </w:rPr>
        <w:t>,</w:t>
      </w:r>
      <w:r>
        <w:rPr>
          <w:rFonts w:ascii="Times New Roman" w:hAnsi="Times New Roman" w:cs="Times New Roman"/>
          <w:sz w:val="24"/>
          <w:szCs w:val="24"/>
        </w:rPr>
        <w:t>”</w:t>
      </w:r>
      <w:r w:rsidRPr="00271839">
        <w:rPr>
          <w:rFonts w:ascii="Times New Roman" w:hAnsi="Times New Roman" w:cs="Times New Roman"/>
          <w:sz w:val="24"/>
          <w:szCs w:val="24"/>
        </w:rPr>
        <w:t xml:space="preserve"> (July 2015), available for download at  </w:t>
      </w:r>
      <w:hyperlink r:id="rId5" w:history="1">
        <w:r w:rsidRPr="00271839">
          <w:rPr>
            <w:rStyle w:val="Hyperlink"/>
            <w:rFonts w:ascii="Times New Roman" w:hAnsi="Times New Roman" w:cs="Times New Roman"/>
            <w:sz w:val="24"/>
            <w:szCs w:val="24"/>
          </w:rPr>
          <w:t>https://www.fda.gov/regulatory-information/search-fda-guidance-documents/meetings-office-orphan-products-development</w:t>
        </w:r>
      </w:hyperlink>
      <w:r w:rsidR="0007006B">
        <w:rPr>
          <w:rFonts w:ascii="Times New Roman" w:hAnsi="Times New Roman" w:cs="Times New Roman"/>
          <w:sz w:val="24"/>
          <w:szCs w:val="24"/>
        </w:rPr>
        <w:t>.  It</w:t>
      </w:r>
      <w:r w:rsidRPr="00271839">
        <w:rPr>
          <w:rFonts w:ascii="Times New Roman" w:hAnsi="Times New Roman" w:cs="Times New Roman"/>
          <w:sz w:val="24"/>
          <w:szCs w:val="24"/>
        </w:rPr>
        <w:t xml:space="preserve"> provides recommendations to industry, researchers, patient groups, and other stakeholders interested in requesting a meeting, including a teleconference, with our Office of Orphan Products Development (OOPD) on issues related to orphan drug designation requests, humanitarian use device designation requests, rare pediatric disease designation requests, funding opportunities through the Orphan Products Grants Program and the Pediatric Device Consortia Grants Program, and orphan product patient related topics of concern.</w:t>
      </w:r>
      <w:r>
        <w:rPr>
          <w:rFonts w:ascii="Times New Roman" w:hAnsi="Times New Roman" w:cs="Times New Roman"/>
          <w:sz w:val="24"/>
          <w:szCs w:val="24"/>
        </w:rPr>
        <w:t xml:space="preserve">  </w:t>
      </w:r>
      <w:r w:rsidRPr="00271839">
        <w:rPr>
          <w:rFonts w:ascii="Times New Roman" w:hAnsi="Times New Roman" w:cs="Times New Roman"/>
          <w:sz w:val="24"/>
          <w:szCs w:val="24"/>
        </w:rPr>
        <w:t>It is also intended to assist OOPD staff in addressing such meeting requests.</w:t>
      </w:r>
      <w:r>
        <w:rPr>
          <w:rFonts w:ascii="Times New Roman" w:hAnsi="Times New Roman" w:cs="Times New Roman"/>
          <w:sz w:val="24"/>
          <w:szCs w:val="24"/>
        </w:rPr>
        <w:t xml:space="preserve">  </w:t>
      </w:r>
      <w:r w:rsidRPr="00271839">
        <w:rPr>
          <w:rFonts w:ascii="Times New Roman" w:hAnsi="Times New Roman" w:cs="Times New Roman"/>
          <w:sz w:val="24"/>
          <w:szCs w:val="24"/>
        </w:rPr>
        <w:t>Th</w:t>
      </w:r>
      <w:r>
        <w:rPr>
          <w:rFonts w:ascii="Times New Roman" w:hAnsi="Times New Roman" w:cs="Times New Roman"/>
          <w:sz w:val="24"/>
          <w:szCs w:val="24"/>
        </w:rPr>
        <w:t>e</w:t>
      </w:r>
      <w:r w:rsidRPr="00271839">
        <w:rPr>
          <w:rFonts w:ascii="Times New Roman" w:hAnsi="Times New Roman" w:cs="Times New Roman"/>
          <w:sz w:val="24"/>
          <w:szCs w:val="24"/>
        </w:rPr>
        <w:t xml:space="preserve"> guidance describes procedures for requesting, preparing, scheduling, conducting, and documenting such meetings and discusses background information we recommend be included in such requests</w:t>
      </w:r>
      <w:r w:rsidRPr="002E5D15">
        <w:rPr>
          <w:rFonts w:ascii="Times New Roman" w:hAnsi="Times New Roman" w:cs="Times New Roman"/>
          <w:sz w:val="24"/>
          <w:szCs w:val="24"/>
        </w:rPr>
        <w:t xml:space="preserve">. </w:t>
      </w:r>
    </w:p>
    <w:p w:rsidR="00323F68" w:rsidP="002E5D15" w14:paraId="1F895C57" w14:textId="73A82D80">
      <w:pPr>
        <w:pStyle w:val="NoSpacing"/>
        <w:rPr>
          <w:rFonts w:ascii="Times New Roman" w:hAnsi="Times New Roman" w:cs="Times New Roman"/>
          <w:sz w:val="24"/>
          <w:szCs w:val="24"/>
        </w:rPr>
      </w:pPr>
    </w:p>
    <w:p w:rsidR="00271839" w:rsidP="002E5D15" w14:paraId="3B0E0AD9" w14:textId="5201B841">
      <w:pPr>
        <w:pStyle w:val="NoSpacing"/>
        <w:rPr>
          <w:rFonts w:ascii="Times New Roman" w:hAnsi="Times New Roman" w:cs="Times New Roman"/>
          <w:sz w:val="24"/>
          <w:szCs w:val="24"/>
        </w:rPr>
      </w:pPr>
      <w:r>
        <w:rPr>
          <w:rFonts w:ascii="Times New Roman" w:hAnsi="Times New Roman" w:cs="Times New Roman"/>
          <w:sz w:val="24"/>
          <w:szCs w:val="24"/>
        </w:rPr>
        <w:t xml:space="preserve">We </w:t>
      </w:r>
      <w:r w:rsidR="00F4556C">
        <w:rPr>
          <w:rFonts w:ascii="Times New Roman" w:hAnsi="Times New Roman" w:cs="Times New Roman"/>
          <w:sz w:val="24"/>
          <w:szCs w:val="24"/>
        </w:rPr>
        <w:t xml:space="preserve">are </w:t>
      </w:r>
      <w:r>
        <w:rPr>
          <w:rFonts w:ascii="Times New Roman" w:hAnsi="Times New Roman" w:cs="Times New Roman"/>
          <w:sz w:val="24"/>
          <w:szCs w:val="24"/>
        </w:rPr>
        <w:t>therefore request</w:t>
      </w:r>
      <w:r w:rsidR="00F4556C">
        <w:rPr>
          <w:rFonts w:ascii="Times New Roman" w:hAnsi="Times New Roman" w:cs="Times New Roman"/>
          <w:sz w:val="24"/>
          <w:szCs w:val="24"/>
        </w:rPr>
        <w:t>ing</w:t>
      </w:r>
      <w:r w:rsidR="00AA0D82">
        <w:rPr>
          <w:rFonts w:ascii="Times New Roman" w:hAnsi="Times New Roman" w:cs="Times New Roman"/>
          <w:sz w:val="24"/>
          <w:szCs w:val="24"/>
        </w:rPr>
        <w:t xml:space="preserve"> extension of OMB approval for information collection </w:t>
      </w:r>
      <w:r w:rsidR="00A016E8">
        <w:rPr>
          <w:rFonts w:ascii="Times New Roman" w:hAnsi="Times New Roman" w:cs="Times New Roman"/>
          <w:sz w:val="24"/>
          <w:szCs w:val="24"/>
        </w:rPr>
        <w:t xml:space="preserve">found </w:t>
      </w:r>
      <w:r w:rsidR="00AA0D82">
        <w:rPr>
          <w:rFonts w:ascii="Times New Roman" w:hAnsi="Times New Roman" w:cs="Times New Roman"/>
          <w:sz w:val="24"/>
          <w:szCs w:val="24"/>
        </w:rPr>
        <w:t xml:space="preserve">in 21 CFR 316, </w:t>
      </w:r>
      <w:r w:rsidR="00CB5D8E">
        <w:rPr>
          <w:rFonts w:ascii="Times New Roman" w:hAnsi="Times New Roman" w:cs="Times New Roman"/>
          <w:sz w:val="24"/>
          <w:szCs w:val="24"/>
        </w:rPr>
        <w:t>the applicable forms</w:t>
      </w:r>
      <w:r w:rsidR="00020D9C">
        <w:rPr>
          <w:rFonts w:ascii="Times New Roman" w:hAnsi="Times New Roman" w:cs="Times New Roman"/>
          <w:sz w:val="24"/>
          <w:szCs w:val="24"/>
        </w:rPr>
        <w:t xml:space="preserve">, </w:t>
      </w:r>
      <w:r w:rsidR="00AA0D82">
        <w:rPr>
          <w:rFonts w:ascii="Times New Roman" w:hAnsi="Times New Roman" w:cs="Times New Roman"/>
          <w:sz w:val="24"/>
          <w:szCs w:val="24"/>
        </w:rPr>
        <w:t xml:space="preserve">and </w:t>
      </w:r>
      <w:r w:rsidR="008C3EBA">
        <w:rPr>
          <w:rFonts w:ascii="Times New Roman" w:hAnsi="Times New Roman" w:cs="Times New Roman"/>
          <w:sz w:val="24"/>
          <w:szCs w:val="24"/>
        </w:rPr>
        <w:t>the associated</w:t>
      </w:r>
      <w:r w:rsidR="00AA0D82">
        <w:rPr>
          <w:rFonts w:ascii="Times New Roman" w:hAnsi="Times New Roman" w:cs="Times New Roman"/>
          <w:sz w:val="24"/>
          <w:szCs w:val="24"/>
        </w:rPr>
        <w:t xml:space="preserve"> guidance document, as discussed in this supporting statement.</w:t>
      </w:r>
    </w:p>
    <w:p w:rsidR="00EC3C69" w:rsidRPr="00962896" w:rsidP="00962896" w14:paraId="2BBFE918" w14:textId="77777777">
      <w:pPr>
        <w:pStyle w:val="NoSpacing"/>
        <w:rPr>
          <w:rFonts w:ascii="Times New Roman" w:hAnsi="Times New Roman" w:cs="Times New Roman"/>
          <w:sz w:val="24"/>
          <w:szCs w:val="24"/>
        </w:rPr>
      </w:pPr>
    </w:p>
    <w:p w:rsidR="00100DF7" w:rsidRPr="00962896" w:rsidP="00962896" w14:paraId="7C5E1635" w14:textId="77777777">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2.  </w:t>
      </w:r>
      <w:r w:rsidRPr="005B7A78">
        <w:rPr>
          <w:rFonts w:ascii="Times New Roman" w:hAnsi="Times New Roman" w:cs="Times New Roman"/>
          <w:sz w:val="24"/>
          <w:szCs w:val="24"/>
          <w:u w:val="single"/>
        </w:rPr>
        <w:t>Purpose and Use of the Information Collection</w:t>
      </w:r>
    </w:p>
    <w:p w:rsidR="00100DF7" w:rsidP="00962896" w14:paraId="4086DCF3" w14:textId="30F0C418">
      <w:pPr>
        <w:pStyle w:val="NoSpacing"/>
        <w:rPr>
          <w:rFonts w:ascii="Times New Roman" w:hAnsi="Times New Roman" w:cs="Times New Roman"/>
          <w:sz w:val="24"/>
          <w:szCs w:val="24"/>
        </w:rPr>
      </w:pPr>
    </w:p>
    <w:p w:rsidR="00CA5D38" w:rsidP="00962896" w14:paraId="5AB96324" w14:textId="77777777">
      <w:pPr>
        <w:pStyle w:val="NoSpacing"/>
        <w:rPr>
          <w:rFonts w:ascii="Times New Roman" w:hAnsi="Times New Roman" w:cs="Times New Roman"/>
          <w:sz w:val="24"/>
          <w:szCs w:val="24"/>
        </w:rPr>
      </w:pPr>
      <w:r w:rsidRPr="00CA5D38">
        <w:rPr>
          <w:rFonts w:ascii="Times New Roman" w:hAnsi="Times New Roman" w:cs="Times New Roman"/>
          <w:i/>
          <w:iCs/>
          <w:sz w:val="24"/>
          <w:szCs w:val="24"/>
        </w:rPr>
        <w:t>Description of Respondents</w:t>
      </w:r>
      <w:r>
        <w:rPr>
          <w:rFonts w:ascii="Times New Roman" w:hAnsi="Times New Roman" w:cs="Times New Roman"/>
          <w:sz w:val="24"/>
          <w:szCs w:val="24"/>
        </w:rPr>
        <w:t xml:space="preserve">:  </w:t>
      </w:r>
      <w:r w:rsidRPr="001332D2">
        <w:rPr>
          <w:rFonts w:ascii="Times New Roman" w:hAnsi="Times New Roman" w:cs="Times New Roman"/>
          <w:sz w:val="24"/>
          <w:szCs w:val="24"/>
        </w:rPr>
        <w:t xml:space="preserve">Respondents to the information collection are sponsors who develop investigational drugs and biologicals for commercial use and who seek orphan drug designation, and upon approval or licensure, orphan drug exclusivity. </w:t>
      </w:r>
    </w:p>
    <w:p w:rsidR="00CA5D38" w:rsidP="00962896" w14:paraId="20BADB3B" w14:textId="77777777">
      <w:pPr>
        <w:pStyle w:val="NoSpacing"/>
        <w:rPr>
          <w:rFonts w:ascii="Times New Roman" w:hAnsi="Times New Roman" w:cs="Times New Roman"/>
          <w:sz w:val="24"/>
          <w:szCs w:val="24"/>
        </w:rPr>
      </w:pPr>
    </w:p>
    <w:p w:rsidR="001332D2" w:rsidRPr="00962896" w:rsidP="00962896" w14:paraId="2637EA87" w14:textId="49EAF41C">
      <w:pPr>
        <w:pStyle w:val="NoSpacing"/>
        <w:rPr>
          <w:rFonts w:ascii="Times New Roman" w:hAnsi="Times New Roman" w:cs="Times New Roman"/>
          <w:sz w:val="24"/>
          <w:szCs w:val="24"/>
        </w:rPr>
      </w:pPr>
      <w:r>
        <w:rPr>
          <w:rFonts w:ascii="Times New Roman" w:hAnsi="Times New Roman" w:cs="Times New Roman"/>
          <w:sz w:val="24"/>
          <w:szCs w:val="24"/>
        </w:rPr>
        <w:t>As we communicate on our website, o</w:t>
      </w:r>
      <w:r w:rsidRPr="00AF04EC" w:rsidR="00AF04EC">
        <w:rPr>
          <w:rFonts w:ascii="Times New Roman" w:hAnsi="Times New Roman" w:cs="Times New Roman"/>
          <w:sz w:val="24"/>
          <w:szCs w:val="24"/>
        </w:rPr>
        <w:t>ver 7,000 rare diseases affect more than 30 million people in the United States.</w:t>
      </w:r>
      <w:r w:rsidR="00993D1C">
        <w:rPr>
          <w:rFonts w:ascii="Times New Roman" w:hAnsi="Times New Roman" w:cs="Times New Roman"/>
          <w:sz w:val="24"/>
          <w:szCs w:val="24"/>
        </w:rPr>
        <w:t xml:space="preserve">  </w:t>
      </w:r>
      <w:r w:rsidRPr="00AF04EC" w:rsidR="00AF04EC">
        <w:rPr>
          <w:rFonts w:ascii="Times New Roman" w:hAnsi="Times New Roman" w:cs="Times New Roman"/>
          <w:sz w:val="24"/>
          <w:szCs w:val="24"/>
        </w:rPr>
        <w:t>Many rare conditions are life-threatening and most do not have treatments.</w:t>
      </w:r>
      <w:r>
        <w:rPr>
          <w:rFonts w:ascii="Times New Roman" w:hAnsi="Times New Roman" w:cs="Times New Roman"/>
          <w:sz w:val="24"/>
          <w:szCs w:val="24"/>
        </w:rPr>
        <w:t xml:space="preserve">  </w:t>
      </w:r>
      <w:r w:rsidRPr="00AF04EC" w:rsidR="00AF04EC">
        <w:rPr>
          <w:rFonts w:ascii="Times New Roman" w:hAnsi="Times New Roman" w:cs="Times New Roman"/>
          <w:sz w:val="24"/>
          <w:szCs w:val="24"/>
        </w:rPr>
        <w:t>Drug, biologic, and device development in rare diseases is challenging for many reasons, including the complex biology and the lack of understanding of the natural history of many rare diseases.</w:t>
      </w:r>
      <w:r w:rsidR="00F935C9">
        <w:rPr>
          <w:rFonts w:ascii="Times New Roman" w:hAnsi="Times New Roman" w:cs="Times New Roman"/>
          <w:sz w:val="24"/>
          <w:szCs w:val="24"/>
        </w:rPr>
        <w:t xml:space="preserve">  </w:t>
      </w:r>
      <w:r w:rsidRPr="00AF04EC" w:rsidR="00AF04EC">
        <w:rPr>
          <w:rFonts w:ascii="Times New Roman" w:hAnsi="Times New Roman" w:cs="Times New Roman"/>
          <w:sz w:val="24"/>
          <w:szCs w:val="24"/>
        </w:rPr>
        <w:t>The inherently small population of patients with a rare disease can also make conducting clinical trials difficult.</w:t>
      </w:r>
      <w:r w:rsidR="00F935C9">
        <w:rPr>
          <w:rFonts w:ascii="Times New Roman" w:hAnsi="Times New Roman" w:cs="Times New Roman"/>
          <w:sz w:val="24"/>
          <w:szCs w:val="24"/>
        </w:rPr>
        <w:t xml:space="preserve">  </w:t>
      </w:r>
      <w:r w:rsidRPr="00AF04EC" w:rsidR="00AF04EC">
        <w:rPr>
          <w:rFonts w:ascii="Times New Roman" w:hAnsi="Times New Roman" w:cs="Times New Roman"/>
          <w:sz w:val="24"/>
          <w:szCs w:val="24"/>
        </w:rPr>
        <w:t>Since the Orphan Drug Act was signed into law in 1983, the FDA has approved hundreds of drugs for rare diseases, but most rare diseases do not have FDA-approved treatments.  The FDA works with many people and groups, such as patients, caregivers, and drug and device manufactures, to support rare disease product development.</w:t>
      </w:r>
    </w:p>
    <w:p w:rsidR="00100DF7" w:rsidRPr="00962896" w:rsidP="00962896" w14:paraId="544714FF" w14:textId="77777777">
      <w:pPr>
        <w:pStyle w:val="NoSpacing"/>
        <w:rPr>
          <w:rFonts w:ascii="Times New Roman" w:hAnsi="Times New Roman" w:cs="Times New Roman"/>
          <w:sz w:val="24"/>
          <w:szCs w:val="24"/>
        </w:rPr>
      </w:pPr>
    </w:p>
    <w:p w:rsidR="00100DF7" w:rsidRPr="00962896" w:rsidP="00962896" w14:paraId="45FD5D04" w14:textId="77777777">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3.  </w:t>
      </w:r>
      <w:r w:rsidRPr="005B7A78">
        <w:rPr>
          <w:rFonts w:ascii="Times New Roman" w:hAnsi="Times New Roman" w:cs="Times New Roman"/>
          <w:sz w:val="24"/>
          <w:szCs w:val="24"/>
          <w:u w:val="single"/>
        </w:rPr>
        <w:t>Use of Improved Information Technology and Burden Reduction</w:t>
      </w:r>
    </w:p>
    <w:p w:rsidR="00100DF7" w:rsidRPr="00962896" w:rsidP="00962896" w14:paraId="23E64F40" w14:textId="77777777">
      <w:pPr>
        <w:pStyle w:val="NoSpacing"/>
        <w:rPr>
          <w:rFonts w:ascii="Times New Roman" w:hAnsi="Times New Roman" w:cs="Times New Roman"/>
          <w:sz w:val="24"/>
          <w:szCs w:val="24"/>
        </w:rPr>
      </w:pPr>
    </w:p>
    <w:p w:rsidR="00427110" w:rsidRPr="00427110" w:rsidP="00427110" w14:paraId="7D18936F" w14:textId="0EC7B622">
      <w:pPr>
        <w:pStyle w:val="NoSpacing"/>
        <w:rPr>
          <w:rFonts w:ascii="Times New Roman" w:hAnsi="Times New Roman" w:cs="Times New Roman"/>
          <w:sz w:val="24"/>
          <w:szCs w:val="24"/>
        </w:rPr>
      </w:pPr>
      <w:r w:rsidRPr="00427110">
        <w:rPr>
          <w:rFonts w:ascii="Times New Roman" w:hAnsi="Times New Roman" w:cs="Times New Roman"/>
          <w:sz w:val="24"/>
          <w:szCs w:val="24"/>
        </w:rPr>
        <w:t xml:space="preserve">As </w:t>
      </w:r>
      <w:r w:rsidR="00C25141">
        <w:rPr>
          <w:rFonts w:ascii="Times New Roman" w:hAnsi="Times New Roman" w:cs="Times New Roman"/>
          <w:sz w:val="24"/>
          <w:szCs w:val="24"/>
        </w:rPr>
        <w:t xml:space="preserve">we </w:t>
      </w:r>
      <w:r w:rsidRPr="00427110">
        <w:rPr>
          <w:rFonts w:ascii="Times New Roman" w:hAnsi="Times New Roman" w:cs="Times New Roman"/>
          <w:sz w:val="24"/>
          <w:szCs w:val="24"/>
        </w:rPr>
        <w:t>communicate on our website at</w:t>
      </w:r>
      <w:hyperlink r:id="rId6" w:history="1">
        <w:r w:rsidRPr="00427110">
          <w:rPr>
            <w:rStyle w:val="Hyperlink"/>
            <w:rFonts w:ascii="Times New Roman" w:hAnsi="Times New Roman" w:cs="Times New Roman"/>
            <w:sz w:val="24"/>
            <w:szCs w:val="24"/>
          </w:rPr>
          <w:t xml:space="preserve"> https://www.fda.gov/industry/medical-products-rare-diseases-and-conditions/designating-orphan-product-drugs-and-biological-products</w:t>
        </w:r>
      </w:hyperlink>
      <w:r w:rsidRPr="00427110">
        <w:rPr>
          <w:rFonts w:ascii="Times New Roman" w:hAnsi="Times New Roman" w:cs="Times New Roman"/>
          <w:sz w:val="24"/>
          <w:szCs w:val="24"/>
        </w:rPr>
        <w:t xml:space="preserve">, respondents may submit orphan drug designation requests electronically through the CDER NextGen portal or by emailing the required information to </w:t>
      </w:r>
      <w:hyperlink r:id="rId7" w:history="1">
        <w:r w:rsidRPr="00427110">
          <w:rPr>
            <w:rStyle w:val="Hyperlink"/>
            <w:rFonts w:ascii="Times New Roman" w:hAnsi="Times New Roman" w:cs="Times New Roman"/>
            <w:sz w:val="24"/>
            <w:szCs w:val="24"/>
          </w:rPr>
          <w:t>orphan@fda.hhs.gov</w:t>
        </w:r>
      </w:hyperlink>
      <w:r w:rsidRPr="00427110">
        <w:rPr>
          <w:rFonts w:ascii="Times New Roman" w:hAnsi="Times New Roman" w:cs="Times New Roman"/>
          <w:sz w:val="24"/>
          <w:szCs w:val="24"/>
        </w:rPr>
        <w:t xml:space="preserve">; or by mailing </w:t>
      </w:r>
      <w:r w:rsidRPr="00427110">
        <w:rPr>
          <w:rFonts w:ascii="Times New Roman" w:hAnsi="Times New Roman" w:cs="Times New Roman"/>
          <w:sz w:val="24"/>
          <w:szCs w:val="24"/>
        </w:rPr>
        <w:t>the required information to the OOPD at the address found on our website.  New users of the CDER NextGen Portal must register for an account.  For designation requests submitted by email, the agency recommends using automated read receipt to verify receipt of the email.</w:t>
      </w:r>
      <w:r w:rsidR="00EF1D90">
        <w:rPr>
          <w:rFonts w:ascii="Times New Roman" w:hAnsi="Times New Roman" w:cs="Times New Roman"/>
          <w:sz w:val="24"/>
          <w:szCs w:val="24"/>
        </w:rPr>
        <w:t xml:space="preserve">  </w:t>
      </w:r>
      <w:r w:rsidRPr="00427110">
        <w:rPr>
          <w:rFonts w:ascii="Times New Roman" w:hAnsi="Times New Roman" w:cs="Times New Roman"/>
          <w:sz w:val="24"/>
          <w:szCs w:val="24"/>
        </w:rPr>
        <w:t>Sponsors and others who plan to email information to FDA that is private, sensitive, proprietary or commercial confidential are strongly encouraged to send it from an FDA-secured email address so the transmission is encrypted.</w:t>
      </w:r>
      <w:r w:rsidR="001A7BB9">
        <w:rPr>
          <w:rFonts w:ascii="Times New Roman" w:hAnsi="Times New Roman" w:cs="Times New Roman"/>
          <w:sz w:val="24"/>
          <w:szCs w:val="24"/>
        </w:rPr>
        <w:t xml:space="preserve">  </w:t>
      </w:r>
      <w:r w:rsidRPr="00427110">
        <w:rPr>
          <w:rFonts w:ascii="Times New Roman" w:hAnsi="Times New Roman" w:cs="Times New Roman"/>
          <w:sz w:val="24"/>
          <w:szCs w:val="24"/>
        </w:rPr>
        <w:t xml:space="preserve">The agency will assume the addresses of emails received or email addresses provided as a point of contact are secure when responding to those email addresses.  Sponsors and others can establish a secure email address link to FDA by sending a request to SecureEmail@fda.hhs.gov. There may be a fee to a commercial enterprise for establishing a digital certificate before encrypted emails can be sent to FDA. </w:t>
      </w:r>
    </w:p>
    <w:p w:rsidR="00100DF7" w:rsidRPr="00962896" w:rsidP="00962896" w14:paraId="6103445D" w14:textId="77777777">
      <w:pPr>
        <w:pStyle w:val="NoSpacing"/>
        <w:rPr>
          <w:rFonts w:ascii="Times New Roman" w:hAnsi="Times New Roman" w:cs="Times New Roman"/>
          <w:sz w:val="24"/>
          <w:szCs w:val="24"/>
        </w:rPr>
      </w:pPr>
    </w:p>
    <w:p w:rsidR="00100DF7" w:rsidRPr="00962896" w:rsidP="00962896" w14:paraId="55628D5C" w14:textId="77777777">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4.  </w:t>
      </w:r>
      <w:r w:rsidRPr="00E61B35">
        <w:rPr>
          <w:rFonts w:ascii="Times New Roman" w:hAnsi="Times New Roman" w:cs="Times New Roman"/>
          <w:sz w:val="24"/>
          <w:szCs w:val="24"/>
          <w:u w:val="single"/>
        </w:rPr>
        <w:t>Efforts to Identify Duplication and Use of Similar Information</w:t>
      </w:r>
    </w:p>
    <w:p w:rsidR="00100DF7" w:rsidRPr="00962896" w:rsidP="00962896" w14:paraId="40D5D9A4" w14:textId="77777777">
      <w:pPr>
        <w:pStyle w:val="NoSpacing"/>
        <w:rPr>
          <w:rFonts w:ascii="Times New Roman" w:hAnsi="Times New Roman" w:cs="Times New Roman"/>
          <w:sz w:val="24"/>
          <w:szCs w:val="24"/>
        </w:rPr>
      </w:pPr>
    </w:p>
    <w:p w:rsidR="00100DF7" w:rsidRPr="00962896" w:rsidP="00962896" w14:paraId="32B87A4F" w14:textId="74F76F1E">
      <w:pPr>
        <w:pStyle w:val="NoSpacing"/>
        <w:rPr>
          <w:rFonts w:ascii="Times New Roman" w:hAnsi="Times New Roman" w:cs="Times New Roman"/>
          <w:sz w:val="24"/>
          <w:szCs w:val="24"/>
        </w:rPr>
      </w:pPr>
      <w:r>
        <w:rPr>
          <w:rFonts w:ascii="Times New Roman" w:hAnsi="Times New Roman" w:cs="Times New Roman"/>
          <w:sz w:val="24"/>
          <w:szCs w:val="24"/>
        </w:rPr>
        <w:t>We are unaware of duplicative information collection.</w:t>
      </w:r>
    </w:p>
    <w:p w:rsidR="00100DF7" w:rsidRPr="00962896" w:rsidP="00962896" w14:paraId="6A38E9CF" w14:textId="77777777">
      <w:pPr>
        <w:pStyle w:val="NoSpacing"/>
        <w:rPr>
          <w:rFonts w:ascii="Times New Roman" w:hAnsi="Times New Roman" w:cs="Times New Roman"/>
          <w:sz w:val="24"/>
          <w:szCs w:val="24"/>
        </w:rPr>
      </w:pPr>
    </w:p>
    <w:p w:rsidR="00100DF7" w:rsidRPr="00962896" w:rsidP="00962896" w14:paraId="246EA47C" w14:textId="77777777">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5.  </w:t>
      </w:r>
      <w:r w:rsidRPr="00E61B35">
        <w:rPr>
          <w:rFonts w:ascii="Times New Roman" w:hAnsi="Times New Roman" w:cs="Times New Roman"/>
          <w:sz w:val="24"/>
          <w:szCs w:val="24"/>
          <w:u w:val="single"/>
        </w:rPr>
        <w:t>Impact on Small Businesses or Other Small Entities</w:t>
      </w:r>
    </w:p>
    <w:p w:rsidR="00100DF7" w:rsidRPr="00962896" w:rsidP="00962896" w14:paraId="43A8ED4F" w14:textId="77777777">
      <w:pPr>
        <w:pStyle w:val="NoSpacing"/>
        <w:rPr>
          <w:rFonts w:ascii="Times New Roman" w:hAnsi="Times New Roman" w:cs="Times New Roman"/>
          <w:sz w:val="24"/>
          <w:szCs w:val="24"/>
        </w:rPr>
      </w:pPr>
    </w:p>
    <w:p w:rsidR="00100DF7" w:rsidRPr="00962896" w:rsidP="00962896" w14:paraId="43CF4798" w14:textId="272FFE7C">
      <w:pPr>
        <w:pStyle w:val="NoSpacing"/>
        <w:rPr>
          <w:rFonts w:ascii="Times New Roman" w:hAnsi="Times New Roman" w:cs="Times New Roman"/>
          <w:sz w:val="24"/>
          <w:szCs w:val="24"/>
        </w:rPr>
      </w:pPr>
      <w:r>
        <w:rPr>
          <w:rFonts w:ascii="Times New Roman" w:hAnsi="Times New Roman" w:cs="Times New Roman"/>
          <w:sz w:val="24"/>
          <w:szCs w:val="24"/>
        </w:rPr>
        <w:t xml:space="preserve">The information collection poses no undue burden on small entities.  Also, </w:t>
      </w:r>
      <w:r w:rsidRPr="00962896" w:rsidR="003C772C">
        <w:rPr>
          <w:rFonts w:ascii="Times New Roman" w:hAnsi="Times New Roman" w:cs="Times New Roman"/>
          <w:sz w:val="24"/>
          <w:szCs w:val="24"/>
        </w:rPr>
        <w:t xml:space="preserve">provisions of </w:t>
      </w:r>
      <w:r>
        <w:rPr>
          <w:rFonts w:ascii="Times New Roman" w:hAnsi="Times New Roman" w:cs="Times New Roman"/>
          <w:sz w:val="24"/>
          <w:szCs w:val="24"/>
        </w:rPr>
        <w:t xml:space="preserve">both </w:t>
      </w:r>
      <w:r w:rsidRPr="00962896" w:rsidR="003C772C">
        <w:rPr>
          <w:rFonts w:ascii="Times New Roman" w:hAnsi="Times New Roman" w:cs="Times New Roman"/>
          <w:sz w:val="24"/>
          <w:szCs w:val="24"/>
        </w:rPr>
        <w:t xml:space="preserve">the Orphan Drug Act and </w:t>
      </w:r>
      <w:r>
        <w:rPr>
          <w:rFonts w:ascii="Times New Roman" w:hAnsi="Times New Roman" w:cs="Times New Roman"/>
          <w:sz w:val="24"/>
          <w:szCs w:val="24"/>
        </w:rPr>
        <w:t>those found</w:t>
      </w:r>
      <w:r w:rsidRPr="00962896" w:rsidR="003C772C">
        <w:rPr>
          <w:rFonts w:ascii="Times New Roman" w:hAnsi="Times New Roman" w:cs="Times New Roman"/>
          <w:sz w:val="24"/>
          <w:szCs w:val="24"/>
        </w:rPr>
        <w:t xml:space="preserve"> in the </w:t>
      </w:r>
      <w:r>
        <w:rPr>
          <w:rFonts w:ascii="Times New Roman" w:hAnsi="Times New Roman" w:cs="Times New Roman"/>
          <w:sz w:val="24"/>
          <w:szCs w:val="24"/>
        </w:rPr>
        <w:t xml:space="preserve">applicable </w:t>
      </w:r>
      <w:r w:rsidRPr="00962896" w:rsidR="003C772C">
        <w:rPr>
          <w:rFonts w:ascii="Times New Roman" w:hAnsi="Times New Roman" w:cs="Times New Roman"/>
          <w:sz w:val="24"/>
          <w:szCs w:val="24"/>
        </w:rPr>
        <w:t>regulations are favorable to small business interests.  The orphan-drug designation provision entitles the sponsor to</w:t>
      </w:r>
      <w:r w:rsidR="00DE4A5F">
        <w:rPr>
          <w:rFonts w:ascii="Times New Roman" w:hAnsi="Times New Roman" w:cs="Times New Roman"/>
          <w:sz w:val="24"/>
          <w:szCs w:val="24"/>
        </w:rPr>
        <w:t>: (1)</w:t>
      </w:r>
      <w:r w:rsidRPr="00962896" w:rsidR="003C772C">
        <w:rPr>
          <w:rFonts w:ascii="Times New Roman" w:hAnsi="Times New Roman" w:cs="Times New Roman"/>
          <w:sz w:val="24"/>
          <w:szCs w:val="24"/>
        </w:rPr>
        <w:t xml:space="preserve"> Federal income tax credits for </w:t>
      </w:r>
      <w:r w:rsidR="00E32443">
        <w:rPr>
          <w:rFonts w:ascii="Times New Roman" w:hAnsi="Times New Roman" w:cs="Times New Roman"/>
          <w:sz w:val="24"/>
          <w:szCs w:val="24"/>
        </w:rPr>
        <w:t>qualified clinical trial expenses</w:t>
      </w:r>
      <w:r w:rsidR="00DE4A5F">
        <w:rPr>
          <w:rFonts w:ascii="Times New Roman" w:hAnsi="Times New Roman" w:cs="Times New Roman"/>
          <w:sz w:val="24"/>
          <w:szCs w:val="24"/>
        </w:rPr>
        <w:t xml:space="preserve">; (2) waiver of </w:t>
      </w:r>
      <w:r w:rsidRPr="00DE4A5F" w:rsidR="00DE4A5F">
        <w:rPr>
          <w:rFonts w:ascii="Times New Roman" w:hAnsi="Times New Roman" w:cs="Times New Roman"/>
          <w:sz w:val="24"/>
          <w:szCs w:val="24"/>
        </w:rPr>
        <w:t>application fee</w:t>
      </w:r>
      <w:r w:rsidR="00DE4A5F">
        <w:rPr>
          <w:rFonts w:ascii="Times New Roman" w:hAnsi="Times New Roman" w:cs="Times New Roman"/>
          <w:sz w:val="24"/>
          <w:szCs w:val="24"/>
        </w:rPr>
        <w:t>s</w:t>
      </w:r>
      <w:r w:rsidR="003436FA">
        <w:rPr>
          <w:rFonts w:ascii="Times New Roman" w:hAnsi="Times New Roman" w:cs="Times New Roman"/>
          <w:sz w:val="24"/>
          <w:szCs w:val="24"/>
        </w:rPr>
        <w:t xml:space="preserve">; </w:t>
      </w:r>
      <w:r w:rsidRPr="00962896" w:rsidR="003C772C">
        <w:rPr>
          <w:rFonts w:ascii="Times New Roman" w:hAnsi="Times New Roman" w:cs="Times New Roman"/>
          <w:sz w:val="24"/>
          <w:szCs w:val="24"/>
        </w:rPr>
        <w:t xml:space="preserve">and </w:t>
      </w:r>
      <w:r w:rsidR="003436FA">
        <w:rPr>
          <w:rFonts w:ascii="Times New Roman" w:hAnsi="Times New Roman" w:cs="Times New Roman"/>
          <w:sz w:val="24"/>
          <w:szCs w:val="24"/>
        </w:rPr>
        <w:t xml:space="preserve">(3) </w:t>
      </w:r>
      <w:r w:rsidRPr="00962896" w:rsidR="003C772C">
        <w:rPr>
          <w:rFonts w:ascii="Times New Roman" w:hAnsi="Times New Roman" w:cs="Times New Roman"/>
          <w:sz w:val="24"/>
          <w:szCs w:val="24"/>
        </w:rPr>
        <w:t xml:space="preserve">eligibility for grants to fund studies of orphan products. The Orphan Drug Exclusivity Provision provides protection from competition by other companies </w:t>
      </w:r>
      <w:r w:rsidR="00BE2937">
        <w:rPr>
          <w:rFonts w:ascii="Times New Roman" w:hAnsi="Times New Roman" w:cs="Times New Roman"/>
          <w:sz w:val="24"/>
          <w:szCs w:val="24"/>
        </w:rPr>
        <w:t>for the same drug for the same indication or use</w:t>
      </w:r>
      <w:r w:rsidRPr="00962896" w:rsidR="003C772C">
        <w:rPr>
          <w:rFonts w:ascii="Times New Roman" w:hAnsi="Times New Roman" w:cs="Times New Roman"/>
          <w:sz w:val="24"/>
          <w:szCs w:val="24"/>
        </w:rPr>
        <w:t xml:space="preserve">.  The FDA must by law </w:t>
      </w:r>
      <w:r w:rsidRPr="00962896" w:rsidR="00F51114">
        <w:rPr>
          <w:rFonts w:ascii="Times New Roman" w:hAnsi="Times New Roman" w:cs="Times New Roman"/>
          <w:sz w:val="24"/>
          <w:szCs w:val="24"/>
        </w:rPr>
        <w:t>ensure</w:t>
      </w:r>
      <w:r w:rsidRPr="00962896" w:rsidR="003C772C">
        <w:rPr>
          <w:rFonts w:ascii="Times New Roman" w:hAnsi="Times New Roman" w:cs="Times New Roman"/>
          <w:sz w:val="24"/>
          <w:szCs w:val="24"/>
        </w:rPr>
        <w:t xml:space="preserve"> that a competitive product does not enter the market by withholding approval of a subsequent new drug application or biological license.</w:t>
      </w:r>
      <w:r>
        <w:rPr>
          <w:rFonts w:ascii="Times New Roman" w:hAnsi="Times New Roman" w:cs="Times New Roman"/>
          <w:sz w:val="24"/>
          <w:szCs w:val="24"/>
        </w:rPr>
        <w:t xml:space="preserve">  Finally, OOPD </w:t>
      </w:r>
      <w:r w:rsidR="0037311E">
        <w:rPr>
          <w:rFonts w:ascii="Times New Roman" w:hAnsi="Times New Roman" w:cs="Times New Roman"/>
          <w:sz w:val="24"/>
          <w:szCs w:val="24"/>
        </w:rPr>
        <w:t xml:space="preserve">staff </w:t>
      </w:r>
      <w:r>
        <w:rPr>
          <w:rFonts w:ascii="Times New Roman" w:hAnsi="Times New Roman" w:cs="Times New Roman"/>
          <w:sz w:val="24"/>
          <w:szCs w:val="24"/>
        </w:rPr>
        <w:t>is available to respondents to assist with the information collection.</w:t>
      </w:r>
    </w:p>
    <w:p w:rsidR="00100DF7" w:rsidRPr="00962896" w:rsidP="00962896" w14:paraId="01FA67A4" w14:textId="77777777">
      <w:pPr>
        <w:pStyle w:val="NoSpacing"/>
        <w:rPr>
          <w:rFonts w:ascii="Times New Roman" w:hAnsi="Times New Roman" w:cs="Times New Roman"/>
          <w:sz w:val="24"/>
          <w:szCs w:val="24"/>
        </w:rPr>
      </w:pPr>
    </w:p>
    <w:p w:rsidR="00100DF7" w:rsidRPr="00962896" w:rsidP="00194DFE" w14:paraId="7E66B4BF" w14:textId="69E3F232">
      <w:pPr>
        <w:rPr>
          <w:rFonts w:ascii="Times New Roman" w:hAnsi="Times New Roman" w:cs="Times New Roman"/>
          <w:sz w:val="24"/>
          <w:szCs w:val="24"/>
        </w:rPr>
      </w:pPr>
      <w:r w:rsidRPr="00962896">
        <w:rPr>
          <w:rFonts w:ascii="Times New Roman" w:hAnsi="Times New Roman" w:cs="Times New Roman"/>
          <w:sz w:val="24"/>
          <w:szCs w:val="24"/>
        </w:rPr>
        <w:t xml:space="preserve">6.  </w:t>
      </w:r>
      <w:r w:rsidRPr="00E61B35">
        <w:rPr>
          <w:rFonts w:ascii="Times New Roman" w:hAnsi="Times New Roman" w:cs="Times New Roman"/>
          <w:sz w:val="24"/>
          <w:szCs w:val="24"/>
          <w:u w:val="single"/>
        </w:rPr>
        <w:t>Consequences of Collecting the Information Less Frequently</w:t>
      </w:r>
    </w:p>
    <w:p w:rsidR="00E61B35" w:rsidP="00962896" w14:paraId="0756B342" w14:textId="77777777">
      <w:pPr>
        <w:pStyle w:val="NoSpacing"/>
        <w:rPr>
          <w:rFonts w:ascii="Times New Roman" w:hAnsi="Times New Roman" w:cs="Times New Roman"/>
          <w:sz w:val="24"/>
          <w:szCs w:val="24"/>
        </w:rPr>
      </w:pPr>
      <w:r>
        <w:rPr>
          <w:rFonts w:ascii="Times New Roman" w:hAnsi="Times New Roman" w:cs="Times New Roman"/>
          <w:sz w:val="24"/>
          <w:szCs w:val="24"/>
        </w:rPr>
        <w:t>The information collection schedule is consistent with statutory and regulatory requirements, as well as recommendations found in agency guidance.  The frequency is driven by respondents who seek an Orphan Drug product designation.</w:t>
      </w:r>
    </w:p>
    <w:p w:rsidR="00100DF7" w:rsidRPr="00962896" w:rsidP="00962896" w14:paraId="06E6FB21" w14:textId="77777777">
      <w:pPr>
        <w:pStyle w:val="NoSpacing"/>
        <w:rPr>
          <w:rFonts w:ascii="Times New Roman" w:hAnsi="Times New Roman" w:cs="Times New Roman"/>
          <w:sz w:val="24"/>
          <w:szCs w:val="24"/>
        </w:rPr>
      </w:pPr>
    </w:p>
    <w:p w:rsidR="00100DF7" w:rsidRPr="00962896" w:rsidP="00962896" w14:paraId="663CCEB1" w14:textId="77777777">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7.  </w:t>
      </w:r>
      <w:r w:rsidRPr="00E13F22">
        <w:rPr>
          <w:rFonts w:ascii="Times New Roman" w:hAnsi="Times New Roman" w:cs="Times New Roman"/>
          <w:sz w:val="24"/>
          <w:szCs w:val="24"/>
          <w:u w:val="single"/>
        </w:rPr>
        <w:t>Special Circumstances Relating to the Guidelines of 5 CFR 1320.5</w:t>
      </w:r>
    </w:p>
    <w:p w:rsidR="00100DF7" w:rsidRPr="00962896" w:rsidP="00962896" w14:paraId="45D254DC" w14:textId="77777777">
      <w:pPr>
        <w:pStyle w:val="NoSpacing"/>
        <w:rPr>
          <w:rFonts w:ascii="Times New Roman" w:hAnsi="Times New Roman" w:cs="Times New Roman"/>
          <w:sz w:val="24"/>
          <w:szCs w:val="24"/>
        </w:rPr>
      </w:pPr>
    </w:p>
    <w:p w:rsidR="00100DF7" w:rsidRPr="00962896" w:rsidP="00962896" w14:paraId="0578DD71" w14:textId="197FC8C2">
      <w:pPr>
        <w:pStyle w:val="NoSpacing"/>
        <w:rPr>
          <w:rFonts w:ascii="Times New Roman" w:hAnsi="Times New Roman" w:cs="Times New Roman"/>
          <w:sz w:val="24"/>
          <w:szCs w:val="24"/>
        </w:rPr>
      </w:pPr>
      <w:r w:rsidRPr="00962896">
        <w:rPr>
          <w:rFonts w:ascii="Times New Roman" w:hAnsi="Times New Roman" w:cs="Times New Roman"/>
          <w:sz w:val="24"/>
          <w:szCs w:val="24"/>
        </w:rPr>
        <w:t>The method of collection is consistent with the guidelines of 5 CFR 1320.</w:t>
      </w:r>
      <w:r w:rsidR="00E13F22">
        <w:rPr>
          <w:rFonts w:ascii="Times New Roman" w:hAnsi="Times New Roman" w:cs="Times New Roman"/>
          <w:sz w:val="24"/>
          <w:szCs w:val="24"/>
        </w:rPr>
        <w:t>5</w:t>
      </w:r>
      <w:r w:rsidRPr="00962896">
        <w:rPr>
          <w:rFonts w:ascii="Times New Roman" w:hAnsi="Times New Roman" w:cs="Times New Roman"/>
          <w:sz w:val="24"/>
          <w:szCs w:val="24"/>
        </w:rPr>
        <w:t>.  There are no special circumstances for this collection of information.</w:t>
      </w:r>
    </w:p>
    <w:p w:rsidR="00782D9E" w:rsidRPr="00962896" w:rsidP="00962896" w14:paraId="60F91DD5" w14:textId="77777777">
      <w:pPr>
        <w:pStyle w:val="NoSpacing"/>
        <w:rPr>
          <w:rFonts w:ascii="Times New Roman" w:hAnsi="Times New Roman" w:cs="Times New Roman"/>
          <w:sz w:val="24"/>
          <w:szCs w:val="24"/>
        </w:rPr>
      </w:pPr>
    </w:p>
    <w:p w:rsidR="00100DF7" w:rsidRPr="00962896" w:rsidP="00962896" w14:paraId="08D3EB61" w14:textId="77777777">
      <w:pPr>
        <w:pStyle w:val="NoSpacing"/>
        <w:rPr>
          <w:rFonts w:ascii="Times New Roman" w:hAnsi="Times New Roman" w:cs="Times New Roman"/>
          <w:sz w:val="24"/>
          <w:szCs w:val="24"/>
        </w:rPr>
      </w:pPr>
      <w:r w:rsidRPr="00962896">
        <w:rPr>
          <w:rFonts w:ascii="Times New Roman" w:hAnsi="Times New Roman" w:cs="Times New Roman"/>
          <w:sz w:val="24"/>
          <w:szCs w:val="24"/>
        </w:rPr>
        <w:t xml:space="preserve">8.  </w:t>
      </w:r>
      <w:r w:rsidRPr="00E13F22">
        <w:rPr>
          <w:rFonts w:ascii="Times New Roman" w:hAnsi="Times New Roman" w:cs="Times New Roman"/>
          <w:sz w:val="24"/>
          <w:szCs w:val="24"/>
          <w:u w:val="single"/>
        </w:rPr>
        <w:t>Comments in Response to the Federal Register Notice and Efforts to Consult Outside the Agency</w:t>
      </w:r>
    </w:p>
    <w:p w:rsidR="00100DF7" w:rsidRPr="00962896" w:rsidP="00962896" w14:paraId="44F9ABF9" w14:textId="77777777">
      <w:pPr>
        <w:pStyle w:val="NoSpacing"/>
        <w:rPr>
          <w:rFonts w:ascii="Times New Roman" w:hAnsi="Times New Roman" w:cs="Times New Roman"/>
          <w:sz w:val="24"/>
          <w:szCs w:val="24"/>
        </w:rPr>
      </w:pPr>
    </w:p>
    <w:p w:rsidR="00271304" w:rsidP="00271304" w14:paraId="4EB4BB06" w14:textId="79604DF5">
      <w:pPr>
        <w:pStyle w:val="NoSpacing"/>
        <w:rPr>
          <w:rFonts w:ascii="Times New Roman" w:hAnsi="Times New Roman" w:cs="Times New Roman"/>
          <w:sz w:val="24"/>
          <w:szCs w:val="24"/>
        </w:rPr>
      </w:pPr>
      <w:r w:rsidRPr="00962896">
        <w:rPr>
          <w:rFonts w:ascii="Times New Roman" w:hAnsi="Times New Roman" w:cs="Times New Roman"/>
          <w:sz w:val="24"/>
          <w:szCs w:val="24"/>
        </w:rPr>
        <w:t>In accordance with 5 CFR 1320.8(d)</w:t>
      </w:r>
      <w:r w:rsidR="005718E7">
        <w:rPr>
          <w:rFonts w:ascii="Times New Roman" w:hAnsi="Times New Roman" w:cs="Times New Roman"/>
          <w:sz w:val="24"/>
          <w:szCs w:val="24"/>
        </w:rPr>
        <w:t>(1)</w:t>
      </w:r>
      <w:r w:rsidRPr="00962896">
        <w:rPr>
          <w:rFonts w:ascii="Times New Roman" w:hAnsi="Times New Roman" w:cs="Times New Roman"/>
          <w:sz w:val="24"/>
          <w:szCs w:val="24"/>
        </w:rPr>
        <w:t>,</w:t>
      </w:r>
      <w:r w:rsidR="00E13F22">
        <w:rPr>
          <w:rFonts w:ascii="Times New Roman" w:hAnsi="Times New Roman" w:cs="Times New Roman"/>
          <w:sz w:val="24"/>
          <w:szCs w:val="24"/>
        </w:rPr>
        <w:t xml:space="preserve"> we</w:t>
      </w:r>
      <w:r w:rsidRPr="00962896">
        <w:rPr>
          <w:rFonts w:ascii="Times New Roman" w:hAnsi="Times New Roman" w:cs="Times New Roman"/>
          <w:sz w:val="24"/>
          <w:szCs w:val="24"/>
        </w:rPr>
        <w:t xml:space="preserve"> publish</w:t>
      </w:r>
      <w:r w:rsidR="00F94E9F">
        <w:rPr>
          <w:rFonts w:ascii="Times New Roman" w:hAnsi="Times New Roman" w:cs="Times New Roman"/>
          <w:sz w:val="24"/>
          <w:szCs w:val="24"/>
        </w:rPr>
        <w:t>ed</w:t>
      </w:r>
      <w:r w:rsidRPr="00962896">
        <w:rPr>
          <w:rFonts w:ascii="Times New Roman" w:hAnsi="Times New Roman" w:cs="Times New Roman"/>
          <w:sz w:val="24"/>
          <w:szCs w:val="24"/>
        </w:rPr>
        <w:t xml:space="preserve"> a 60-day notice </w:t>
      </w:r>
      <w:r w:rsidR="00E13F22">
        <w:rPr>
          <w:rFonts w:ascii="Times New Roman" w:hAnsi="Times New Roman" w:cs="Times New Roman"/>
          <w:sz w:val="24"/>
          <w:szCs w:val="24"/>
        </w:rPr>
        <w:t xml:space="preserve">soliciting public comment on </w:t>
      </w:r>
      <w:r w:rsidRPr="00962896">
        <w:rPr>
          <w:rFonts w:ascii="Times New Roman" w:hAnsi="Times New Roman" w:cs="Times New Roman"/>
          <w:sz w:val="24"/>
          <w:szCs w:val="24"/>
        </w:rPr>
        <w:t xml:space="preserve">the information collection </w:t>
      </w:r>
      <w:r w:rsidR="00472CF9">
        <w:rPr>
          <w:rFonts w:ascii="Times New Roman" w:hAnsi="Times New Roman" w:cs="Times New Roman"/>
          <w:sz w:val="24"/>
          <w:szCs w:val="24"/>
        </w:rPr>
        <w:t xml:space="preserve">in the </w:t>
      </w:r>
      <w:r w:rsidRPr="00DE1FF9" w:rsidR="000336BB">
        <w:rPr>
          <w:rFonts w:ascii="Times New Roman" w:hAnsi="Times New Roman" w:cs="Times New Roman"/>
          <w:i/>
          <w:iCs/>
          <w:sz w:val="24"/>
          <w:szCs w:val="24"/>
        </w:rPr>
        <w:t>Federal Register</w:t>
      </w:r>
      <w:r w:rsidR="00DE1FF9">
        <w:rPr>
          <w:rFonts w:ascii="Times New Roman" w:hAnsi="Times New Roman" w:cs="Times New Roman"/>
          <w:sz w:val="24"/>
          <w:szCs w:val="24"/>
        </w:rPr>
        <w:t xml:space="preserve"> </w:t>
      </w:r>
      <w:r w:rsidRPr="000336BB" w:rsidR="000336BB">
        <w:rPr>
          <w:rFonts w:ascii="Times New Roman" w:hAnsi="Times New Roman" w:cs="Times New Roman"/>
          <w:sz w:val="24"/>
          <w:szCs w:val="24"/>
        </w:rPr>
        <w:t>of June 13, 2023 (88 FR 38513).</w:t>
      </w:r>
      <w:r w:rsidR="007721F0">
        <w:rPr>
          <w:rFonts w:ascii="Times New Roman" w:hAnsi="Times New Roman" w:cs="Times New Roman"/>
          <w:sz w:val="24"/>
          <w:szCs w:val="24"/>
        </w:rPr>
        <w:t xml:space="preserve">  </w:t>
      </w:r>
      <w:r w:rsidRPr="000336BB" w:rsidR="000336BB">
        <w:rPr>
          <w:rFonts w:ascii="Times New Roman" w:hAnsi="Times New Roman" w:cs="Times New Roman"/>
          <w:sz w:val="24"/>
          <w:szCs w:val="24"/>
        </w:rPr>
        <w:t xml:space="preserve">Although we received one comment, it was not responsive to the information collection topics solicited and </w:t>
      </w:r>
      <w:r w:rsidR="007721F0">
        <w:rPr>
          <w:rFonts w:ascii="Times New Roman" w:hAnsi="Times New Roman" w:cs="Times New Roman"/>
          <w:sz w:val="24"/>
          <w:szCs w:val="24"/>
        </w:rPr>
        <w:t xml:space="preserve">was </w:t>
      </w:r>
      <w:r w:rsidRPr="000336BB" w:rsidR="000336BB">
        <w:rPr>
          <w:rFonts w:ascii="Times New Roman" w:hAnsi="Times New Roman" w:cs="Times New Roman"/>
          <w:sz w:val="24"/>
          <w:szCs w:val="24"/>
        </w:rPr>
        <w:t xml:space="preserve">therefore not addressed </w:t>
      </w:r>
      <w:r w:rsidR="007721F0">
        <w:rPr>
          <w:rFonts w:ascii="Times New Roman" w:hAnsi="Times New Roman" w:cs="Times New Roman"/>
          <w:sz w:val="24"/>
          <w:szCs w:val="24"/>
        </w:rPr>
        <w:t xml:space="preserve">in our 30-day notice of December 4, </w:t>
      </w:r>
      <w:r w:rsidR="007721F0">
        <w:rPr>
          <w:rFonts w:ascii="Times New Roman" w:hAnsi="Times New Roman" w:cs="Times New Roman"/>
          <w:sz w:val="24"/>
          <w:szCs w:val="24"/>
        </w:rPr>
        <w:t xml:space="preserve">2023 (88 FR </w:t>
      </w:r>
      <w:r>
        <w:rPr>
          <w:rFonts w:ascii="Times New Roman" w:hAnsi="Times New Roman" w:cs="Times New Roman"/>
          <w:sz w:val="24"/>
          <w:szCs w:val="24"/>
        </w:rPr>
        <w:t>84148).</w:t>
      </w:r>
    </w:p>
    <w:p w:rsidR="00271304" w:rsidP="00271304" w14:paraId="3C02FC24" w14:textId="77777777">
      <w:pPr>
        <w:pStyle w:val="NoSpacing"/>
        <w:rPr>
          <w:rFonts w:ascii="Times New Roman" w:hAnsi="Times New Roman" w:cs="Times New Roman"/>
          <w:sz w:val="24"/>
          <w:szCs w:val="24"/>
        </w:rPr>
      </w:pPr>
    </w:p>
    <w:p w:rsidR="007E159B" w:rsidRPr="00A8694E" w:rsidP="00271304" w14:paraId="1637B3CA" w14:textId="598FB6AF">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9.  </w:t>
      </w:r>
      <w:r w:rsidRPr="00A8694E">
        <w:rPr>
          <w:rFonts w:ascii="Times New Roman" w:hAnsi="Times New Roman" w:cs="Times New Roman"/>
          <w:sz w:val="24"/>
          <w:szCs w:val="24"/>
          <w:u w:val="single"/>
        </w:rPr>
        <w:t>Explanation of Any Payment or Gift to Respondents</w:t>
      </w:r>
    </w:p>
    <w:p w:rsidR="007E159B" w:rsidRPr="00A8694E" w:rsidP="00962896" w14:paraId="71F91C7A" w14:textId="77777777">
      <w:pPr>
        <w:pStyle w:val="NoSpacing"/>
        <w:rPr>
          <w:rFonts w:ascii="Times New Roman" w:hAnsi="Times New Roman" w:cs="Times New Roman"/>
          <w:sz w:val="24"/>
          <w:szCs w:val="24"/>
        </w:rPr>
      </w:pPr>
    </w:p>
    <w:p w:rsidR="007E159B" w:rsidRPr="00A8694E" w:rsidP="00962896" w14:paraId="7CC67B30" w14:textId="3EDD2D69">
      <w:pPr>
        <w:pStyle w:val="NoSpacing"/>
        <w:rPr>
          <w:rFonts w:ascii="Times New Roman" w:hAnsi="Times New Roman" w:cs="Times New Roman"/>
          <w:sz w:val="24"/>
          <w:szCs w:val="24"/>
        </w:rPr>
      </w:pPr>
      <w:r w:rsidRPr="00A8694E">
        <w:rPr>
          <w:rFonts w:ascii="Times New Roman" w:hAnsi="Times New Roman" w:cs="Times New Roman"/>
          <w:sz w:val="24"/>
          <w:szCs w:val="24"/>
        </w:rPr>
        <w:t>There are no payments or gifts provided to respondents</w:t>
      </w:r>
      <w:r w:rsidRPr="00A8694E" w:rsidR="00E13F22">
        <w:rPr>
          <w:rFonts w:ascii="Times New Roman" w:hAnsi="Times New Roman" w:cs="Times New Roman"/>
          <w:sz w:val="24"/>
          <w:szCs w:val="24"/>
        </w:rPr>
        <w:t xml:space="preserve"> however, as noted in Question 5, tax incentives exist intending to promote the development of Orphan Drug products.</w:t>
      </w:r>
    </w:p>
    <w:p w:rsidR="007E159B" w:rsidRPr="00A8694E" w:rsidP="00962896" w14:paraId="6570DED7" w14:textId="77777777">
      <w:pPr>
        <w:pStyle w:val="NoSpacing"/>
        <w:rPr>
          <w:rFonts w:ascii="Times New Roman" w:hAnsi="Times New Roman" w:cs="Times New Roman"/>
          <w:sz w:val="24"/>
          <w:szCs w:val="24"/>
        </w:rPr>
      </w:pPr>
    </w:p>
    <w:p w:rsidR="007E159B" w:rsidRPr="00A8694E" w:rsidP="00962896" w14:paraId="3621C86E" w14:textId="77777777">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10.  </w:t>
      </w:r>
      <w:r w:rsidRPr="00A8694E">
        <w:rPr>
          <w:rFonts w:ascii="Times New Roman" w:hAnsi="Times New Roman" w:cs="Times New Roman"/>
          <w:sz w:val="24"/>
          <w:szCs w:val="24"/>
          <w:u w:val="single"/>
        </w:rPr>
        <w:t>Assurance of Confidentiality Provided to Respondents</w:t>
      </w:r>
    </w:p>
    <w:p w:rsidR="007E159B" w:rsidRPr="00A8694E" w:rsidP="00962896" w14:paraId="4912F422" w14:textId="77777777">
      <w:pPr>
        <w:pStyle w:val="NoSpacing"/>
        <w:rPr>
          <w:rFonts w:ascii="Times New Roman" w:hAnsi="Times New Roman" w:cs="Times New Roman"/>
          <w:sz w:val="24"/>
          <w:szCs w:val="24"/>
        </w:rPr>
      </w:pPr>
    </w:p>
    <w:p w:rsidR="00602E27" w:rsidRPr="00602E27" w:rsidP="007E54BD" w14:paraId="6AF5D4A9" w14:textId="3074D8B2">
      <w:pPr>
        <w:spacing w:line="240" w:lineRule="auto"/>
        <w:rPr>
          <w:b/>
          <w:bCs/>
        </w:rPr>
      </w:pPr>
      <w:r w:rsidRPr="00B84A26">
        <w:rPr>
          <w:b/>
          <w:bCs/>
        </w:rPr>
        <w:t>Consistent with 5 CFR 1320.5(d)(2)(vii)</w:t>
      </w:r>
      <w:r>
        <w:rPr>
          <w:b/>
          <w:bCs/>
        </w:rPr>
        <w:t xml:space="preserve"> and agency regulations in 21 CFR § 20.20</w:t>
      </w:r>
      <w:r w:rsidRPr="00B84A26">
        <w:rPr>
          <w:b/>
          <w:bCs/>
        </w:rPr>
        <w:t>, data will be kept private to the extent allowed by law:</w:t>
      </w:r>
    </w:p>
    <w:p w:rsidR="00F94F31" w:rsidRPr="0015529F" w:rsidP="00962896" w14:paraId="55641185" w14:textId="21418E1E">
      <w:pPr>
        <w:pStyle w:val="NoSpacing"/>
        <w:rPr>
          <w:rFonts w:ascii="Times New Roman" w:hAnsi="Times New Roman" w:cs="Times New Roman"/>
          <w:i/>
          <w:iCs/>
          <w:sz w:val="24"/>
          <w:szCs w:val="24"/>
        </w:rPr>
      </w:pPr>
      <w:r w:rsidRPr="0015529F">
        <w:rPr>
          <w:rFonts w:ascii="Times New Roman" w:hAnsi="Times New Roman" w:cs="Times New Roman"/>
          <w:i/>
          <w:iCs/>
          <w:sz w:val="24"/>
          <w:szCs w:val="24"/>
        </w:rPr>
        <w:t>The Privacy Act of 1974</w:t>
      </w:r>
    </w:p>
    <w:p w:rsidR="007C5751" w:rsidP="00962896" w14:paraId="7751B72A" w14:textId="5E8EC61C">
      <w:pPr>
        <w:pStyle w:val="NoSpacing"/>
        <w:rPr>
          <w:rFonts w:ascii="Times New Roman" w:hAnsi="Times New Roman" w:cs="Times New Roman"/>
          <w:sz w:val="24"/>
          <w:szCs w:val="24"/>
        </w:rPr>
      </w:pPr>
    </w:p>
    <w:p w:rsidR="007E54BD" w:rsidRPr="007E54BD" w:rsidP="007E54BD" w14:paraId="45F7942E" w14:textId="5D236743">
      <w:pPr>
        <w:pStyle w:val="NoSpacing"/>
        <w:rPr>
          <w:rFonts w:ascii="Times New Roman" w:hAnsi="Times New Roman" w:cs="Times New Roman"/>
          <w:sz w:val="24"/>
          <w:szCs w:val="24"/>
        </w:rPr>
      </w:pPr>
      <w:r w:rsidRPr="007E54BD">
        <w:rPr>
          <w:rFonts w:ascii="Times New Roman" w:hAnsi="Times New Roman" w:cs="Times New Roman"/>
          <w:sz w:val="24"/>
          <w:szCs w:val="24"/>
        </w:rPr>
        <w:t xml:space="preserve">In preparing this </w:t>
      </w:r>
      <w:r>
        <w:rPr>
          <w:rFonts w:ascii="Times New Roman" w:hAnsi="Times New Roman" w:cs="Times New Roman"/>
          <w:sz w:val="24"/>
          <w:szCs w:val="24"/>
        </w:rPr>
        <w:t>s</w:t>
      </w:r>
      <w:r w:rsidRPr="007E54BD">
        <w:rPr>
          <w:rFonts w:ascii="Times New Roman" w:hAnsi="Times New Roman" w:cs="Times New Roman"/>
          <w:sz w:val="24"/>
          <w:szCs w:val="24"/>
        </w:rPr>
        <w:t xml:space="preserve">upporting </w:t>
      </w:r>
      <w:r>
        <w:rPr>
          <w:rFonts w:ascii="Times New Roman" w:hAnsi="Times New Roman" w:cs="Times New Roman"/>
          <w:sz w:val="24"/>
          <w:szCs w:val="24"/>
        </w:rPr>
        <w:t>s</w:t>
      </w:r>
      <w:r w:rsidRPr="007E54BD">
        <w:rPr>
          <w:rFonts w:ascii="Times New Roman" w:hAnsi="Times New Roman" w:cs="Times New Roman"/>
          <w:sz w:val="24"/>
          <w:szCs w:val="24"/>
        </w:rPr>
        <w:t>tatement, we consulted our Privacy Office to ensure appropriate identification and handling of information collected.</w:t>
      </w:r>
      <w:r>
        <w:rPr>
          <w:rFonts w:ascii="Times New Roman" w:hAnsi="Times New Roman" w:cs="Times New Roman"/>
          <w:sz w:val="24"/>
          <w:szCs w:val="24"/>
        </w:rPr>
        <w:t xml:space="preserve">  Although this </w:t>
      </w:r>
      <w:r w:rsidRPr="007E54BD">
        <w:rPr>
          <w:rFonts w:ascii="Times New Roman" w:hAnsi="Times New Roman" w:cs="Times New Roman"/>
          <w:sz w:val="24"/>
          <w:szCs w:val="24"/>
        </w:rPr>
        <w:t>ICR collects personally identifiable information (PII) or other data of a personal nature</w:t>
      </w:r>
      <w:r>
        <w:rPr>
          <w:rFonts w:ascii="Times New Roman" w:hAnsi="Times New Roman" w:cs="Times New Roman"/>
          <w:sz w:val="24"/>
          <w:szCs w:val="24"/>
        </w:rPr>
        <w:t xml:space="preserve">, it is </w:t>
      </w:r>
      <w:r w:rsidRPr="007E54BD">
        <w:rPr>
          <w:rFonts w:ascii="Times New Roman" w:hAnsi="Times New Roman" w:cs="Times New Roman"/>
          <w:sz w:val="24"/>
          <w:szCs w:val="24"/>
        </w:rPr>
        <w:t>collected in the context of the subject individuals’ professional capacity and the FDA-related work perform</w:t>
      </w:r>
      <w:r>
        <w:rPr>
          <w:rFonts w:ascii="Times New Roman" w:hAnsi="Times New Roman" w:cs="Times New Roman"/>
          <w:sz w:val="24"/>
          <w:szCs w:val="24"/>
        </w:rPr>
        <w:t>ed</w:t>
      </w:r>
      <w:r w:rsidRPr="007E54BD">
        <w:rPr>
          <w:rFonts w:ascii="Times New Roman" w:hAnsi="Times New Roman" w:cs="Times New Roman"/>
          <w:sz w:val="24"/>
          <w:szCs w:val="24"/>
        </w:rPr>
        <w:t xml:space="preserve"> for their</w:t>
      </w:r>
      <w:r w:rsidR="004306ED">
        <w:rPr>
          <w:rFonts w:ascii="Times New Roman" w:hAnsi="Times New Roman" w:cs="Times New Roman"/>
          <w:sz w:val="24"/>
          <w:szCs w:val="24"/>
        </w:rPr>
        <w:t xml:space="preserve"> </w:t>
      </w:r>
      <w:r w:rsidRPr="007E54BD">
        <w:rPr>
          <w:rFonts w:ascii="Times New Roman" w:hAnsi="Times New Roman" w:cs="Times New Roman"/>
          <w:sz w:val="24"/>
          <w:szCs w:val="24"/>
        </w:rPr>
        <w:t>employer (e.g., point of contact at a regulated entity).</w:t>
      </w:r>
      <w:r w:rsidR="004306ED">
        <w:rPr>
          <w:rFonts w:ascii="Times New Roman" w:hAnsi="Times New Roman" w:cs="Times New Roman"/>
          <w:sz w:val="24"/>
          <w:szCs w:val="24"/>
        </w:rPr>
        <w:t xml:space="preserve">  </w:t>
      </w:r>
      <w:r w:rsidRPr="007E54BD">
        <w:rPr>
          <w:rFonts w:ascii="Times New Roman" w:hAnsi="Times New Roman" w:cs="Times New Roman"/>
          <w:sz w:val="24"/>
          <w:szCs w:val="24"/>
        </w:rPr>
        <w:t xml:space="preserve">The PII submitted via </w:t>
      </w:r>
      <w:r w:rsidRPr="004306ED">
        <w:rPr>
          <w:rFonts w:ascii="Times New Roman" w:hAnsi="Times New Roman" w:cs="Times New Roman"/>
          <w:b/>
          <w:bCs/>
          <w:sz w:val="24"/>
          <w:szCs w:val="24"/>
        </w:rPr>
        <w:t>Form FDA 4035</w:t>
      </w:r>
      <w:r w:rsidR="004306ED">
        <w:rPr>
          <w:rFonts w:ascii="Times New Roman" w:hAnsi="Times New Roman" w:cs="Times New Roman"/>
          <w:sz w:val="24"/>
          <w:szCs w:val="24"/>
        </w:rPr>
        <w:t xml:space="preserve"> </w:t>
      </w:r>
      <w:r w:rsidRPr="007E54BD">
        <w:rPr>
          <w:rFonts w:ascii="Times New Roman" w:hAnsi="Times New Roman" w:cs="Times New Roman"/>
          <w:sz w:val="24"/>
          <w:szCs w:val="24"/>
        </w:rPr>
        <w:t>(</w:t>
      </w:r>
      <w:r w:rsidRPr="004306ED">
        <w:rPr>
          <w:rFonts w:ascii="Times New Roman" w:hAnsi="Times New Roman" w:cs="Times New Roman"/>
          <w:i/>
          <w:iCs/>
          <w:sz w:val="24"/>
          <w:szCs w:val="24"/>
        </w:rPr>
        <w:t>The Food and Drug Administration Orphan Drug Designation Request Form</w:t>
      </w:r>
      <w:r w:rsidRPr="007E54BD">
        <w:rPr>
          <w:rFonts w:ascii="Times New Roman" w:hAnsi="Times New Roman" w:cs="Times New Roman"/>
          <w:sz w:val="24"/>
          <w:szCs w:val="24"/>
        </w:rPr>
        <w:t xml:space="preserve">) and </w:t>
      </w:r>
      <w:r w:rsidRPr="004306ED">
        <w:rPr>
          <w:rFonts w:ascii="Times New Roman" w:hAnsi="Times New Roman" w:cs="Times New Roman"/>
          <w:b/>
          <w:bCs/>
          <w:sz w:val="24"/>
          <w:szCs w:val="24"/>
        </w:rPr>
        <w:t>Form FDA 3671</w:t>
      </w:r>
      <w:r w:rsidRPr="007E54BD">
        <w:rPr>
          <w:rFonts w:ascii="Times New Roman" w:hAnsi="Times New Roman" w:cs="Times New Roman"/>
          <w:sz w:val="24"/>
          <w:szCs w:val="24"/>
        </w:rPr>
        <w:t xml:space="preserve"> (</w:t>
      </w:r>
      <w:r w:rsidRPr="004306ED">
        <w:rPr>
          <w:rFonts w:ascii="Times New Roman" w:hAnsi="Times New Roman" w:cs="Times New Roman"/>
          <w:i/>
          <w:iCs/>
          <w:sz w:val="24"/>
          <w:szCs w:val="24"/>
        </w:rPr>
        <w:t>The Common European Medicines Agency (EMA)/Food and Drug Administration (FDA) Application Form for Orphan Medicinal Product Designation</w:t>
      </w:r>
      <w:r w:rsidRPr="007E54BD">
        <w:rPr>
          <w:rFonts w:ascii="Times New Roman" w:hAnsi="Times New Roman" w:cs="Times New Roman"/>
          <w:sz w:val="24"/>
          <w:szCs w:val="24"/>
        </w:rPr>
        <w:t>) is name, business email address, business telephone number, and business fax telephone number.</w:t>
      </w:r>
      <w:r w:rsidR="004306ED">
        <w:rPr>
          <w:rFonts w:ascii="Times New Roman" w:hAnsi="Times New Roman" w:cs="Times New Roman"/>
          <w:sz w:val="24"/>
          <w:szCs w:val="24"/>
        </w:rPr>
        <w:t xml:space="preserve">  </w:t>
      </w:r>
      <w:r w:rsidRPr="007E54BD">
        <w:rPr>
          <w:rFonts w:ascii="Times New Roman" w:hAnsi="Times New Roman" w:cs="Times New Roman"/>
          <w:sz w:val="24"/>
          <w:szCs w:val="24"/>
        </w:rPr>
        <w:t>Sponsors seeking orphan designation of the same drug for the same disease or condition from both FDA and EMA may use this common application form for regulatory filing purposes.</w:t>
      </w:r>
      <w:r w:rsidR="004306ED">
        <w:rPr>
          <w:rFonts w:ascii="Times New Roman" w:hAnsi="Times New Roman" w:cs="Times New Roman"/>
          <w:sz w:val="24"/>
          <w:szCs w:val="24"/>
        </w:rPr>
        <w:t xml:space="preserve">  </w:t>
      </w:r>
      <w:r w:rsidRPr="007E54BD">
        <w:rPr>
          <w:rFonts w:ascii="Times New Roman" w:hAnsi="Times New Roman" w:cs="Times New Roman"/>
          <w:sz w:val="24"/>
          <w:szCs w:val="24"/>
        </w:rPr>
        <w:t>The Food and Drug Administration Orphan Drug Designation Request Form 4035 is intended to benefit sponsors who desire to seek orphan designation of drugs intended for rare diseases or conditions from only FDA. Both forms are intended to complement, not supersede, the relevant regulatory frameworks currently in effect.</w:t>
      </w:r>
      <w:r w:rsidR="004306ED">
        <w:rPr>
          <w:rFonts w:ascii="Times New Roman" w:hAnsi="Times New Roman" w:cs="Times New Roman"/>
          <w:sz w:val="24"/>
          <w:szCs w:val="24"/>
        </w:rPr>
        <w:t xml:space="preserve">  </w:t>
      </w:r>
      <w:r w:rsidRPr="007E54BD">
        <w:rPr>
          <w:rFonts w:ascii="Times New Roman" w:hAnsi="Times New Roman" w:cs="Times New Roman"/>
          <w:sz w:val="24"/>
          <w:szCs w:val="24"/>
        </w:rPr>
        <w:t xml:space="preserve">When using the common application form, the sponsor must comply with all applicable regulatory requirements in each jurisdiction in </w:t>
      </w:r>
      <w:r w:rsidRPr="007E54BD">
        <w:rPr>
          <w:rFonts w:ascii="Times New Roman" w:hAnsi="Times New Roman" w:cs="Times New Roman"/>
          <w:sz w:val="24"/>
          <w:szCs w:val="24"/>
        </w:rPr>
        <w:t>which</w:t>
      </w:r>
    </w:p>
    <w:p w:rsidR="007E54BD" w:rsidRPr="007E54BD" w:rsidP="007E54BD" w14:paraId="022C3847" w14:textId="6BBBB56C">
      <w:pPr>
        <w:pStyle w:val="NoSpacing"/>
        <w:rPr>
          <w:rFonts w:ascii="Times New Roman" w:hAnsi="Times New Roman" w:cs="Times New Roman"/>
          <w:sz w:val="24"/>
          <w:szCs w:val="24"/>
        </w:rPr>
      </w:pPr>
      <w:r w:rsidRPr="007E54BD">
        <w:rPr>
          <w:rFonts w:ascii="Times New Roman" w:hAnsi="Times New Roman" w:cs="Times New Roman"/>
          <w:sz w:val="24"/>
          <w:szCs w:val="24"/>
        </w:rPr>
        <w:t>designation is sought.</w:t>
      </w:r>
    </w:p>
    <w:p w:rsidR="004306ED" w:rsidP="00962896" w14:paraId="2EE907B3" w14:textId="77777777">
      <w:pPr>
        <w:pStyle w:val="NoSpacing"/>
        <w:rPr>
          <w:rFonts w:ascii="Times New Roman" w:hAnsi="Times New Roman" w:cs="Times New Roman"/>
          <w:sz w:val="24"/>
          <w:szCs w:val="24"/>
        </w:rPr>
      </w:pPr>
    </w:p>
    <w:p w:rsidR="00DB3471" w:rsidRPr="00271304" w:rsidP="00962896" w14:paraId="3AF7F955" w14:textId="3E737216">
      <w:pPr>
        <w:pStyle w:val="NoSpacing"/>
        <w:rPr>
          <w:rFonts w:ascii="Times New Roman" w:hAnsi="Times New Roman" w:cs="Times New Roman"/>
          <w:i/>
          <w:iCs/>
          <w:sz w:val="24"/>
          <w:szCs w:val="24"/>
        </w:rPr>
      </w:pPr>
      <w:r w:rsidRPr="00271304">
        <w:rPr>
          <w:rFonts w:ascii="Times New Roman" w:hAnsi="Times New Roman" w:cs="Times New Roman"/>
          <w:i/>
          <w:iCs/>
          <w:sz w:val="24"/>
          <w:szCs w:val="24"/>
        </w:rPr>
        <w:t xml:space="preserve">The </w:t>
      </w:r>
      <w:r w:rsidRPr="00271304">
        <w:rPr>
          <w:rFonts w:ascii="Times New Roman" w:hAnsi="Times New Roman" w:cs="Times New Roman"/>
          <w:i/>
          <w:iCs/>
          <w:sz w:val="24"/>
          <w:szCs w:val="24"/>
        </w:rPr>
        <w:t>Freedom of Information Act</w:t>
      </w:r>
      <w:r w:rsidR="007B3702">
        <w:rPr>
          <w:rFonts w:ascii="Times New Roman" w:hAnsi="Times New Roman" w:cs="Times New Roman"/>
          <w:i/>
          <w:iCs/>
          <w:sz w:val="24"/>
          <w:szCs w:val="24"/>
        </w:rPr>
        <w:t xml:space="preserve"> (5 U.S.C. 552)</w:t>
      </w:r>
    </w:p>
    <w:p w:rsidR="00DB3471" w:rsidP="00962896" w14:paraId="64B5953B" w14:textId="77777777">
      <w:pPr>
        <w:pStyle w:val="NoSpacing"/>
        <w:rPr>
          <w:rFonts w:ascii="Times New Roman" w:hAnsi="Times New Roman" w:cs="Times New Roman"/>
          <w:sz w:val="24"/>
          <w:szCs w:val="24"/>
        </w:rPr>
      </w:pPr>
    </w:p>
    <w:p w:rsidR="007E159B" w:rsidRPr="00A8694E" w:rsidP="00962896" w14:paraId="3C56EE73" w14:textId="56250174">
      <w:pPr>
        <w:pStyle w:val="NoSpacing"/>
        <w:rPr>
          <w:rFonts w:ascii="Times New Roman" w:hAnsi="Times New Roman" w:cs="Times New Roman"/>
          <w:sz w:val="24"/>
          <w:szCs w:val="24"/>
        </w:rPr>
      </w:pPr>
      <w:r w:rsidRPr="00A8694E">
        <w:rPr>
          <w:rFonts w:ascii="Times New Roman" w:hAnsi="Times New Roman" w:cs="Times New Roman"/>
          <w:sz w:val="24"/>
          <w:szCs w:val="24"/>
        </w:rPr>
        <w:t>The Orphan Drug Act provides that the designation of a drug as an orphan drug should be a public event.  Accordingly, 21 CFR 316.28 provides that public notice be made of all drugs designated as orphan-drugs and will include the name and address of the sponsor, the name of the drug, the rare disease or condition for which the drug was designated, and the proposed indication for use.  Similarly, public notice is made identifying sponsors’ drugs and indications for use that have obtained Orphan Drug Exclusivity.  21 CFR 316.32 provides that FDA will neither publicly disclose the existence of a request for nor the substance of the request until final action is taken.</w:t>
      </w:r>
      <w:r w:rsidRPr="00A8694E" w:rsidR="00AC5964">
        <w:rPr>
          <w:rFonts w:ascii="Times New Roman" w:hAnsi="Times New Roman" w:cs="Times New Roman"/>
          <w:sz w:val="24"/>
          <w:szCs w:val="24"/>
        </w:rPr>
        <w:t xml:space="preserve">  </w:t>
      </w:r>
      <w:r w:rsidRPr="00A8694E">
        <w:rPr>
          <w:rFonts w:ascii="Times New Roman" w:hAnsi="Times New Roman" w:cs="Times New Roman"/>
          <w:sz w:val="24"/>
          <w:szCs w:val="24"/>
        </w:rPr>
        <w:t>Further, FDA will not publicly disclose the existence of a pending marketing application for a designated orphan drug unless the existence of the request has been previously disclosed or acknowledged.</w:t>
      </w:r>
      <w:r w:rsidRPr="00A8694E" w:rsidR="00AC5964">
        <w:rPr>
          <w:rFonts w:ascii="Times New Roman" w:hAnsi="Times New Roman" w:cs="Times New Roman"/>
          <w:sz w:val="24"/>
          <w:szCs w:val="24"/>
        </w:rPr>
        <w:t xml:space="preserve">  Finally, d</w:t>
      </w:r>
      <w:r w:rsidRPr="00A8694E">
        <w:rPr>
          <w:rFonts w:ascii="Times New Roman" w:hAnsi="Times New Roman" w:cs="Times New Roman"/>
          <w:sz w:val="24"/>
          <w:szCs w:val="24"/>
        </w:rPr>
        <w:t xml:space="preserve">eterminations of public availability of data and information contained in pending and approved marketing applications will continue to be </w:t>
      </w:r>
      <w:r w:rsidRPr="00A8694E">
        <w:rPr>
          <w:rFonts w:ascii="Times New Roman" w:hAnsi="Times New Roman" w:cs="Times New Roman"/>
          <w:sz w:val="24"/>
          <w:szCs w:val="24"/>
        </w:rPr>
        <w:t>in accordance with existing provisions of 21 CFR Parts 20 and 314.430.</w:t>
      </w:r>
    </w:p>
    <w:p w:rsidR="007E159B" w:rsidRPr="00A8694E" w:rsidP="00962896" w14:paraId="6EF08D6A" w14:textId="77777777">
      <w:pPr>
        <w:pStyle w:val="NoSpacing"/>
        <w:rPr>
          <w:rFonts w:ascii="Times New Roman" w:hAnsi="Times New Roman" w:cs="Times New Roman"/>
          <w:sz w:val="24"/>
          <w:szCs w:val="24"/>
        </w:rPr>
      </w:pPr>
    </w:p>
    <w:p w:rsidR="007E159B" w:rsidRPr="00A8694E" w:rsidP="00962896" w14:paraId="1FDCF853" w14:textId="3D187D54">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11.  </w:t>
      </w:r>
      <w:r w:rsidRPr="00A8694E">
        <w:rPr>
          <w:rFonts w:ascii="Times New Roman" w:hAnsi="Times New Roman" w:cs="Times New Roman"/>
          <w:sz w:val="24"/>
          <w:szCs w:val="24"/>
          <w:u w:val="single"/>
        </w:rPr>
        <w:t>Justification for Sensitive Questions</w:t>
      </w:r>
    </w:p>
    <w:p w:rsidR="00782D9E" w:rsidRPr="00A8694E" w:rsidP="00962896" w14:paraId="6F8CD11C" w14:textId="77777777">
      <w:pPr>
        <w:pStyle w:val="NoSpacing"/>
        <w:rPr>
          <w:rFonts w:ascii="Times New Roman" w:hAnsi="Times New Roman" w:cs="Times New Roman"/>
          <w:sz w:val="24"/>
          <w:szCs w:val="24"/>
        </w:rPr>
      </w:pPr>
    </w:p>
    <w:p w:rsidR="007E159B" w:rsidRPr="00A8694E" w:rsidP="00962896" w14:paraId="7B2F40A5" w14:textId="0E386BAA">
      <w:pPr>
        <w:pStyle w:val="NoSpacing"/>
        <w:rPr>
          <w:rFonts w:ascii="Times New Roman" w:hAnsi="Times New Roman" w:cs="Times New Roman"/>
          <w:sz w:val="24"/>
          <w:szCs w:val="24"/>
        </w:rPr>
      </w:pPr>
      <w:r w:rsidRPr="00A8694E">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simplePos x="0" y="0"/>
                <wp:positionH relativeFrom="page">
                  <wp:posOffset>1371600</wp:posOffset>
                </wp:positionH>
                <wp:positionV relativeFrom="paragraph">
                  <wp:posOffset>177165</wp:posOffset>
                </wp:positionV>
                <wp:extent cx="38100" cy="7620"/>
                <wp:effectExtent l="9525" t="5715" r="9525" b="5715"/>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7620"/>
                          <a:chOff x="2160" y="279"/>
                          <a:chExt cx="60" cy="12"/>
                        </a:xfrm>
                      </wpg:grpSpPr>
                      <wps:wsp xmlns:wps="http://schemas.microsoft.com/office/word/2010/wordprocessingShape">
                        <wps:cNvPr id="2" name="Freeform 3"/>
                        <wps:cNvSpPr/>
                        <wps:spPr bwMode="auto">
                          <a:xfrm>
                            <a:off x="2160" y="279"/>
                            <a:ext cx="60" cy="12"/>
                          </a:xfrm>
                          <a:custGeom>
                            <a:avLst/>
                            <a:gdLst>
                              <a:gd name="T0" fmla="+- 0 2160 2160"/>
                              <a:gd name="T1" fmla="*/ T0 w 60"/>
                              <a:gd name="T2" fmla="+- 0 285 279"/>
                              <a:gd name="T3" fmla="*/ 285 h 12"/>
                              <a:gd name="T4" fmla="+- 0 2220 2160"/>
                              <a:gd name="T5" fmla="*/ T4 w 60"/>
                              <a:gd name="T6" fmla="+- 0 285 279"/>
                              <a:gd name="T7" fmla="*/ 285 h 12"/>
                            </a:gdLst>
                            <a:cxnLst>
                              <a:cxn ang="0">
                                <a:pos x="T1" y="T3"/>
                              </a:cxn>
                              <a:cxn ang="0">
                                <a:pos x="T5" y="T7"/>
                              </a:cxn>
                            </a:cxnLst>
                            <a:rect l="0" t="0" r="r" b="b"/>
                            <a:pathLst>
                              <a:path fill="norm" h="12" w="60" stroke="1">
                                <a:moveTo>
                                  <a:pt x="0" y="6"/>
                                </a:moveTo>
                                <a:lnTo>
                                  <a:pt x="60"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3pt;height:0.6pt;margin-top:13.95pt;margin-left:108pt;mso-position-horizontal-relative:page;position:absolute;z-index:-251657216" coordorigin="2160,279" coordsize="60,12">
                <v:shape id="Freeform 3" o:spid="_x0000_s1026" style="width:60;height:12;left:2160;mso-wrap-style:square;position:absolute;top:279;visibility:visible;v-text-anchor:top" coordsize="60,12" path="m,6l60,6e" filled="f" strokeweight="0.7pt">
                  <v:path arrowok="t" o:connecttype="custom" o:connectlocs="0,285;60,285" o:connectangles="0,0"/>
                </v:shape>
              </v:group>
            </w:pict>
          </mc:Fallback>
        </mc:AlternateContent>
      </w:r>
      <w:r w:rsidRPr="00A8694E">
        <w:rPr>
          <w:rFonts w:ascii="Times New Roman" w:hAnsi="Times New Roman" w:cs="Times New Roman"/>
          <w:sz w:val="24"/>
          <w:szCs w:val="24"/>
        </w:rPr>
        <w:t xml:space="preserve"> No questions of a sensitive nature are contained in the proposal.</w:t>
      </w:r>
    </w:p>
    <w:p w:rsidR="00100DF7" w:rsidRPr="00A8694E" w:rsidP="00962896" w14:paraId="39475117" w14:textId="77777777">
      <w:pPr>
        <w:pStyle w:val="NoSpacing"/>
        <w:rPr>
          <w:rFonts w:ascii="Times New Roman" w:hAnsi="Times New Roman" w:cs="Times New Roman"/>
          <w:sz w:val="24"/>
          <w:szCs w:val="24"/>
        </w:rPr>
      </w:pPr>
    </w:p>
    <w:p w:rsidR="007E159B" w:rsidRPr="00A8694E" w:rsidP="00194DFE" w14:paraId="7FDBAAE7" w14:textId="7E9BAFE7">
      <w:pPr>
        <w:rPr>
          <w:rFonts w:ascii="Times New Roman" w:hAnsi="Times New Roman" w:cs="Times New Roman"/>
          <w:sz w:val="24"/>
          <w:szCs w:val="24"/>
        </w:rPr>
      </w:pPr>
      <w:r w:rsidRPr="00A8694E">
        <w:rPr>
          <w:rFonts w:ascii="Times New Roman" w:hAnsi="Times New Roman" w:cs="Times New Roman"/>
          <w:sz w:val="24"/>
          <w:szCs w:val="24"/>
        </w:rPr>
        <w:t xml:space="preserve">12.   </w:t>
      </w:r>
      <w:r w:rsidRPr="00A8694E">
        <w:rPr>
          <w:rFonts w:ascii="Times New Roman" w:hAnsi="Times New Roman" w:cs="Times New Roman"/>
          <w:sz w:val="24"/>
          <w:szCs w:val="24"/>
          <w:u w:val="single"/>
        </w:rPr>
        <w:t>Estimates of Annualized Burden Hours and Costs</w:t>
      </w:r>
    </w:p>
    <w:p w:rsidR="005E273A" w:rsidP="004765CB" w14:paraId="27520673" w14:textId="669D11D7">
      <w:pPr>
        <w:pStyle w:val="NoSpacing"/>
        <w:rPr>
          <w:rFonts w:ascii="Times New Roman" w:hAnsi="Times New Roman" w:cs="Times New Roman"/>
          <w:sz w:val="24"/>
          <w:szCs w:val="24"/>
        </w:rPr>
      </w:pPr>
      <w:r w:rsidRPr="00A8694E">
        <w:rPr>
          <w:rFonts w:ascii="Times New Roman" w:hAnsi="Times New Roman" w:cs="Times New Roman"/>
          <w:sz w:val="24"/>
          <w:szCs w:val="24"/>
        </w:rPr>
        <w:tab/>
      </w:r>
      <w:r w:rsidRPr="00A8694E">
        <w:rPr>
          <w:rFonts w:ascii="Times New Roman" w:hAnsi="Times New Roman" w:cs="Times New Roman"/>
          <w:i/>
          <w:sz w:val="24"/>
          <w:szCs w:val="24"/>
        </w:rPr>
        <w:t>12a.  Annualized Burden Hours</w:t>
      </w:r>
      <w:r w:rsidRPr="00A8694E">
        <w:rPr>
          <w:rFonts w:ascii="Times New Roman" w:hAnsi="Times New Roman" w:cs="Times New Roman"/>
          <w:sz w:val="24"/>
          <w:szCs w:val="24"/>
        </w:rPr>
        <w:t>:</w:t>
      </w:r>
    </w:p>
    <w:p w:rsidR="00271304" w:rsidRPr="00A8694E" w:rsidP="004765CB" w14:paraId="32C246E3" w14:textId="77777777">
      <w:pPr>
        <w:pStyle w:val="NoSpacing"/>
        <w:rPr>
          <w:rFonts w:ascii="Times New Roman" w:hAnsi="Times New Roman" w:cs="Times New Roman"/>
          <w:sz w:val="24"/>
          <w:szCs w:val="24"/>
        </w:rPr>
      </w:pPr>
    </w:p>
    <w:p w:rsidR="004765CB" w:rsidRPr="00A8694E" w:rsidP="00271304" w14:paraId="3B9333FD" w14:textId="3CEA87AE">
      <w:pPr>
        <w:pStyle w:val="NoSpacing"/>
        <w:jc w:val="center"/>
        <w:rPr>
          <w:rFonts w:ascii="Times New Roman" w:hAnsi="Times New Roman" w:cs="Times New Roman"/>
          <w:sz w:val="24"/>
          <w:szCs w:val="24"/>
        </w:rPr>
      </w:pPr>
      <w:r w:rsidRPr="001B39E0">
        <w:rPr>
          <w:rFonts w:ascii="Times New Roman" w:eastAsia="Times New Roman" w:hAnsi="Times New Roman" w:cs="Times New Roman"/>
          <w:sz w:val="20"/>
          <w:szCs w:val="20"/>
        </w:rPr>
        <w:t>Table 1: Estimated Annual Recordkeeping Burden</w:t>
      </w:r>
      <w:r w:rsidRPr="00271304">
        <w:rPr>
          <w:rFonts w:ascii="Times New Roman" w:eastAsia="Times New Roman" w:hAnsi="Times New Roman" w:cs="Times New Roman"/>
          <w:sz w:val="20"/>
          <w:szCs w:val="20"/>
          <w:vertAlign w:val="superscript"/>
        </w:rPr>
        <w:t>1</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260"/>
        <w:gridCol w:w="1349"/>
        <w:gridCol w:w="992"/>
        <w:gridCol w:w="1135"/>
        <w:gridCol w:w="968"/>
      </w:tblGrid>
      <w:tr w14:paraId="14D136E0" w14:textId="77777777" w:rsidTr="00A6110D">
        <w:tblPrEx>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1935" w:type="pct"/>
            <w:shd w:val="clear" w:color="auto" w:fill="F2F2F2" w:themeFill="background1" w:themeFillShade="F2"/>
          </w:tcPr>
          <w:p w:rsidR="001B39E0" w:rsidRPr="001B39E0" w:rsidP="001B39E0" w14:paraId="5B1DE7C1" w14:textId="77777777">
            <w:pPr>
              <w:widowControl/>
              <w:spacing w:after="0" w:line="240" w:lineRule="auto"/>
              <w:jc w:val="center"/>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xml:space="preserve">21 CFR section; activity </w:t>
            </w:r>
          </w:p>
          <w:p w:rsidR="001B39E0" w:rsidRPr="001B39E0" w:rsidP="001B39E0" w14:paraId="2550AF61" w14:textId="77777777">
            <w:pPr>
              <w:widowControl/>
              <w:spacing w:after="0" w:line="240" w:lineRule="auto"/>
              <w:jc w:val="center"/>
              <w:rPr>
                <w:rFonts w:ascii="Times New Roman" w:eastAsia="Times New Roman" w:hAnsi="Times New Roman" w:cs="Times New Roman"/>
                <w:sz w:val="20"/>
                <w:szCs w:val="20"/>
              </w:rPr>
            </w:pPr>
          </w:p>
        </w:tc>
        <w:tc>
          <w:tcPr>
            <w:tcW w:w="677" w:type="pct"/>
            <w:shd w:val="clear" w:color="auto" w:fill="F2F2F2" w:themeFill="background1" w:themeFillShade="F2"/>
          </w:tcPr>
          <w:p w:rsidR="001B39E0" w:rsidRPr="001B39E0" w:rsidP="001B39E0" w14:paraId="2364F508" w14:textId="77777777">
            <w:pPr>
              <w:widowControl/>
              <w:spacing w:after="0" w:line="240" w:lineRule="auto"/>
              <w:jc w:val="center"/>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No. of Respondents</w:t>
            </w:r>
          </w:p>
        </w:tc>
        <w:tc>
          <w:tcPr>
            <w:tcW w:w="725" w:type="pct"/>
            <w:shd w:val="clear" w:color="auto" w:fill="F2F2F2" w:themeFill="background1" w:themeFillShade="F2"/>
          </w:tcPr>
          <w:p w:rsidR="001B39E0" w:rsidRPr="001B39E0" w:rsidP="001B39E0" w14:paraId="7318F0BF" w14:textId="77777777">
            <w:pPr>
              <w:widowControl/>
              <w:spacing w:after="0" w:line="240" w:lineRule="auto"/>
              <w:jc w:val="center"/>
              <w:rPr>
                <w:rFonts w:ascii="Times New Roman" w:eastAsia="Times New Roman" w:hAnsi="Times New Roman" w:cs="Times New Roman"/>
                <w:sz w:val="20"/>
                <w:szCs w:val="20"/>
              </w:rPr>
            </w:pPr>
            <w:r w:rsidRPr="001B39E0">
              <w:rPr>
                <w:rFonts w:ascii="Times New Roman" w:eastAsia="Times New Roman" w:hAnsi="Times New Roman" w:cs="Times New Roman"/>
                <w:bCs/>
                <w:sz w:val="20"/>
                <w:szCs w:val="20"/>
              </w:rPr>
              <w:t>No. of Records per Recordkeeper</w:t>
            </w:r>
          </w:p>
        </w:tc>
        <w:tc>
          <w:tcPr>
            <w:tcW w:w="533" w:type="pct"/>
            <w:shd w:val="clear" w:color="auto" w:fill="F2F2F2" w:themeFill="background1" w:themeFillShade="F2"/>
          </w:tcPr>
          <w:p w:rsidR="001B39E0" w:rsidRPr="001B39E0" w:rsidP="001B39E0" w14:paraId="1ED8BC1C" w14:textId="77777777">
            <w:pPr>
              <w:widowControl/>
              <w:spacing w:after="0" w:line="240" w:lineRule="auto"/>
              <w:jc w:val="center"/>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Total Annual Records</w:t>
            </w:r>
          </w:p>
        </w:tc>
        <w:tc>
          <w:tcPr>
            <w:tcW w:w="610" w:type="pct"/>
            <w:shd w:val="clear" w:color="auto" w:fill="F2F2F2" w:themeFill="background1" w:themeFillShade="F2"/>
          </w:tcPr>
          <w:p w:rsidR="001B39E0" w:rsidRPr="001B39E0" w:rsidP="001B39E0" w14:paraId="7BB54739" w14:textId="77777777">
            <w:pPr>
              <w:widowControl/>
              <w:spacing w:after="0" w:line="240" w:lineRule="auto"/>
              <w:jc w:val="center"/>
              <w:rPr>
                <w:rFonts w:ascii="Times New Roman" w:eastAsia="Times New Roman" w:hAnsi="Times New Roman" w:cs="Times New Roman"/>
                <w:sz w:val="20"/>
                <w:szCs w:val="20"/>
              </w:rPr>
            </w:pPr>
            <w:r w:rsidRPr="001B39E0">
              <w:rPr>
                <w:rFonts w:ascii="Times New Roman" w:eastAsia="Times New Roman" w:hAnsi="Times New Roman" w:cs="Times New Roman"/>
                <w:bCs/>
                <w:sz w:val="20"/>
                <w:szCs w:val="20"/>
              </w:rPr>
              <w:t>Average Burden per Record</w:t>
            </w:r>
          </w:p>
        </w:tc>
        <w:tc>
          <w:tcPr>
            <w:tcW w:w="520" w:type="pct"/>
            <w:shd w:val="clear" w:color="auto" w:fill="F2F2F2" w:themeFill="background1" w:themeFillShade="F2"/>
          </w:tcPr>
          <w:p w:rsidR="001B39E0" w:rsidRPr="001B39E0" w:rsidP="001B39E0" w14:paraId="747A59BA" w14:textId="77777777">
            <w:pPr>
              <w:widowControl/>
              <w:spacing w:after="0" w:line="240" w:lineRule="auto"/>
              <w:jc w:val="center"/>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Total Hours</w:t>
            </w:r>
          </w:p>
        </w:tc>
      </w:tr>
      <w:tr w14:paraId="6B7A95DA"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3932DE0E"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xml:space="preserve">21 CFR § 316 associated records </w:t>
            </w:r>
          </w:p>
        </w:tc>
        <w:tc>
          <w:tcPr>
            <w:tcW w:w="677" w:type="pct"/>
            <w:shd w:val="clear" w:color="auto" w:fill="auto"/>
          </w:tcPr>
          <w:p w:rsidR="001B39E0" w:rsidRPr="001B39E0" w:rsidP="005D3D6D" w14:paraId="6F7D9F24" w14:textId="77777777">
            <w:pPr>
              <w:widowControl/>
              <w:autoSpaceDE w:val="0"/>
              <w:autoSpaceDN w:val="0"/>
              <w:adjustRightInd w:val="0"/>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780</w:t>
            </w:r>
          </w:p>
        </w:tc>
        <w:tc>
          <w:tcPr>
            <w:tcW w:w="725" w:type="pct"/>
            <w:shd w:val="clear" w:color="auto" w:fill="auto"/>
          </w:tcPr>
          <w:p w:rsidR="001B39E0" w:rsidRPr="001B39E0" w:rsidP="005D3D6D" w14:paraId="414F2309" w14:textId="77777777">
            <w:pPr>
              <w:widowControl/>
              <w:autoSpaceDE w:val="0"/>
              <w:autoSpaceDN w:val="0"/>
              <w:adjustRightInd w:val="0"/>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1.25</w:t>
            </w:r>
          </w:p>
        </w:tc>
        <w:tc>
          <w:tcPr>
            <w:tcW w:w="533" w:type="pct"/>
            <w:shd w:val="clear" w:color="auto" w:fill="auto"/>
          </w:tcPr>
          <w:p w:rsidR="001B39E0" w:rsidRPr="001B39E0" w:rsidP="005D3D6D" w14:paraId="13FFECF5" w14:textId="35A33C87">
            <w:pPr>
              <w:widowControl/>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975</w:t>
            </w:r>
          </w:p>
        </w:tc>
        <w:tc>
          <w:tcPr>
            <w:tcW w:w="610" w:type="pct"/>
            <w:shd w:val="clear" w:color="auto" w:fill="auto"/>
          </w:tcPr>
          <w:p w:rsidR="001B39E0" w:rsidRPr="001B39E0" w:rsidP="005D3D6D" w14:paraId="5C3240EE" w14:textId="16CDDC63">
            <w:pPr>
              <w:widowControl/>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520" w:type="pct"/>
            <w:shd w:val="clear" w:color="auto" w:fill="auto"/>
          </w:tcPr>
          <w:p w:rsidR="001B39E0" w:rsidRPr="001B39E0" w:rsidP="005D3D6D" w14:paraId="0EF1C0B5" w14:textId="1652EB84">
            <w:pPr>
              <w:widowControl/>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131,625</w:t>
            </w:r>
          </w:p>
        </w:tc>
      </w:tr>
      <w:tr w14:paraId="16A64F9C"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58D3AB94"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316.20, 316.21, 316.26 (Form FDA 4035)</w:t>
            </w:r>
          </w:p>
        </w:tc>
        <w:tc>
          <w:tcPr>
            <w:tcW w:w="677" w:type="pct"/>
            <w:shd w:val="clear" w:color="auto" w:fill="auto"/>
          </w:tcPr>
          <w:p w:rsidR="001B39E0" w:rsidRPr="001B39E0" w:rsidP="005D3D6D" w14:paraId="4B6A2F72"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780</w:t>
            </w:r>
          </w:p>
        </w:tc>
        <w:tc>
          <w:tcPr>
            <w:tcW w:w="725" w:type="pct"/>
            <w:shd w:val="clear" w:color="auto" w:fill="auto"/>
          </w:tcPr>
          <w:p w:rsidR="001B39E0" w:rsidRPr="001B39E0" w:rsidP="005D3D6D" w14:paraId="43AB0AB8"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1.25</w:t>
            </w:r>
          </w:p>
          <w:p w:rsidR="001B39E0" w:rsidRPr="001B39E0" w:rsidP="005D3D6D" w14:paraId="13C71AAD" w14:textId="77777777">
            <w:pPr>
              <w:widowControl/>
              <w:spacing w:after="0" w:line="240" w:lineRule="auto"/>
              <w:jc w:val="right"/>
              <w:rPr>
                <w:rFonts w:ascii="Times New Roman" w:eastAsia="Times New Roman" w:hAnsi="Times New Roman" w:cs="Times New Roman"/>
                <w:bCs/>
                <w:sz w:val="20"/>
                <w:szCs w:val="20"/>
              </w:rPr>
            </w:pPr>
          </w:p>
        </w:tc>
        <w:tc>
          <w:tcPr>
            <w:tcW w:w="533" w:type="pct"/>
            <w:shd w:val="clear" w:color="auto" w:fill="auto"/>
          </w:tcPr>
          <w:p w:rsidR="001B39E0" w:rsidRPr="001B39E0" w:rsidP="005D3D6D" w14:paraId="58570C8E" w14:textId="179069AA">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975</w:t>
            </w:r>
          </w:p>
        </w:tc>
        <w:tc>
          <w:tcPr>
            <w:tcW w:w="610" w:type="pct"/>
            <w:shd w:val="clear" w:color="auto" w:fill="auto"/>
          </w:tcPr>
          <w:p w:rsidR="001B39E0" w:rsidRPr="001B39E0" w:rsidP="005D3D6D" w14:paraId="1E8975C9" w14:textId="17391D18">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w:t>
            </w:r>
          </w:p>
        </w:tc>
        <w:tc>
          <w:tcPr>
            <w:tcW w:w="520" w:type="pct"/>
            <w:shd w:val="clear" w:color="auto" w:fill="auto"/>
          </w:tcPr>
          <w:p w:rsidR="001B39E0" w:rsidRPr="001B39E0" w:rsidP="005D3D6D" w14:paraId="1A785D77" w14:textId="0BBA867C">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31,200</w:t>
            </w:r>
          </w:p>
        </w:tc>
      </w:tr>
      <w:tr w14:paraId="2A58BCEB"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0548E20D"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316.22; Notifications of changes in agents</w:t>
            </w:r>
          </w:p>
        </w:tc>
        <w:tc>
          <w:tcPr>
            <w:tcW w:w="677" w:type="pct"/>
            <w:shd w:val="clear" w:color="auto" w:fill="auto"/>
          </w:tcPr>
          <w:p w:rsidR="001B39E0" w:rsidRPr="001B39E0" w:rsidP="005D3D6D" w14:paraId="5814C00C"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300</w:t>
            </w:r>
          </w:p>
        </w:tc>
        <w:tc>
          <w:tcPr>
            <w:tcW w:w="725" w:type="pct"/>
            <w:shd w:val="clear" w:color="auto" w:fill="auto"/>
          </w:tcPr>
          <w:p w:rsidR="001B39E0" w:rsidRPr="001B39E0" w:rsidP="005D3D6D" w14:paraId="2F187676"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1</w:t>
            </w:r>
          </w:p>
        </w:tc>
        <w:tc>
          <w:tcPr>
            <w:tcW w:w="533" w:type="pct"/>
            <w:shd w:val="clear" w:color="auto" w:fill="auto"/>
          </w:tcPr>
          <w:p w:rsidR="001B39E0" w:rsidRPr="001B39E0" w:rsidP="005D3D6D" w14:paraId="58854822" w14:textId="4D583D46">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610" w:type="pct"/>
            <w:shd w:val="clear" w:color="auto" w:fill="auto"/>
          </w:tcPr>
          <w:p w:rsidR="001B39E0" w:rsidRPr="001B39E0" w:rsidP="005D3D6D" w14:paraId="0C2D3432" w14:textId="739980D5">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520" w:type="pct"/>
            <w:shd w:val="clear" w:color="auto" w:fill="auto"/>
          </w:tcPr>
          <w:p w:rsidR="001B39E0" w:rsidRPr="001B39E0" w:rsidP="005D3D6D" w14:paraId="2A94D269" w14:textId="06856074">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14:paraId="5746E29E"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295454BF"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316.24(a); Deficiency letters and granting orphan-drug</w:t>
            </w:r>
          </w:p>
          <w:p w:rsidR="001B39E0" w:rsidRPr="001B39E0" w:rsidP="001B39E0" w14:paraId="2343E0E8"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designation</w:t>
            </w:r>
          </w:p>
        </w:tc>
        <w:tc>
          <w:tcPr>
            <w:tcW w:w="677" w:type="pct"/>
            <w:shd w:val="clear" w:color="auto" w:fill="auto"/>
          </w:tcPr>
          <w:p w:rsidR="001B39E0" w:rsidRPr="001B39E0" w:rsidP="005D3D6D" w14:paraId="7E17DCA0"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363</w:t>
            </w:r>
          </w:p>
        </w:tc>
        <w:tc>
          <w:tcPr>
            <w:tcW w:w="725" w:type="pct"/>
            <w:shd w:val="clear" w:color="auto" w:fill="auto"/>
          </w:tcPr>
          <w:p w:rsidR="001B39E0" w:rsidRPr="001B39E0" w:rsidP="005D3D6D" w14:paraId="7477D6BD"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1</w:t>
            </w:r>
          </w:p>
        </w:tc>
        <w:tc>
          <w:tcPr>
            <w:tcW w:w="533" w:type="pct"/>
            <w:shd w:val="clear" w:color="auto" w:fill="auto"/>
          </w:tcPr>
          <w:p w:rsidR="001B39E0" w:rsidRPr="001B39E0" w:rsidP="005D3D6D" w14:paraId="3476112A" w14:textId="23E23366">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10" w:type="pct"/>
            <w:shd w:val="clear" w:color="auto" w:fill="auto"/>
          </w:tcPr>
          <w:p w:rsidR="001B39E0" w:rsidRPr="001B39E0" w:rsidP="005D3D6D" w14:paraId="307D3F84" w14:textId="37DA9537">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520" w:type="pct"/>
            <w:shd w:val="clear" w:color="auto" w:fill="auto"/>
          </w:tcPr>
          <w:p w:rsidR="001B39E0" w:rsidRPr="001B39E0" w:rsidP="005D3D6D" w14:paraId="4FFA7AD3" w14:textId="76E2D8D9">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14:paraId="0E4B3549"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5570ABCD"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316.27; Submissions to change ownership of orphan drug designation</w:t>
            </w:r>
          </w:p>
        </w:tc>
        <w:tc>
          <w:tcPr>
            <w:tcW w:w="677" w:type="pct"/>
            <w:shd w:val="clear" w:color="auto" w:fill="auto"/>
          </w:tcPr>
          <w:p w:rsidR="001B39E0" w:rsidRPr="001B39E0" w:rsidP="005D3D6D" w14:paraId="5E7BC098"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90</w:t>
            </w:r>
          </w:p>
        </w:tc>
        <w:tc>
          <w:tcPr>
            <w:tcW w:w="725" w:type="pct"/>
            <w:shd w:val="clear" w:color="auto" w:fill="auto"/>
          </w:tcPr>
          <w:p w:rsidR="001B39E0" w:rsidRPr="001B39E0" w:rsidP="005D3D6D" w14:paraId="4C98815A"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1</w:t>
            </w:r>
          </w:p>
        </w:tc>
        <w:tc>
          <w:tcPr>
            <w:tcW w:w="533" w:type="pct"/>
            <w:shd w:val="clear" w:color="auto" w:fill="auto"/>
          </w:tcPr>
          <w:p w:rsidR="001B39E0" w:rsidRPr="001B39E0" w:rsidP="005D3D6D" w14:paraId="11A73662" w14:textId="35EBF3D0">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610" w:type="pct"/>
            <w:shd w:val="clear" w:color="auto" w:fill="auto"/>
          </w:tcPr>
          <w:p w:rsidR="001B39E0" w:rsidRPr="001B39E0" w:rsidP="005D3D6D" w14:paraId="56DE1B87" w14:textId="37F547E8">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520" w:type="pct"/>
            <w:shd w:val="clear" w:color="auto" w:fill="auto"/>
          </w:tcPr>
          <w:p w:rsidR="001B39E0" w:rsidRPr="001B39E0" w:rsidP="005D3D6D" w14:paraId="59117891" w14:textId="18AA6573">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r>
      <w:tr w14:paraId="7A4346F9"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7647E67E"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316.30; Annual reports</w:t>
            </w:r>
          </w:p>
        </w:tc>
        <w:tc>
          <w:tcPr>
            <w:tcW w:w="677" w:type="pct"/>
            <w:shd w:val="clear" w:color="auto" w:fill="auto"/>
          </w:tcPr>
          <w:p w:rsidR="001B39E0" w:rsidRPr="001B39E0" w:rsidP="005D3D6D" w14:paraId="3F6259B9"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2,039</w:t>
            </w:r>
          </w:p>
        </w:tc>
        <w:tc>
          <w:tcPr>
            <w:tcW w:w="725" w:type="pct"/>
            <w:shd w:val="clear" w:color="auto" w:fill="auto"/>
          </w:tcPr>
          <w:p w:rsidR="001B39E0" w:rsidRPr="001B39E0" w:rsidP="005D3D6D" w14:paraId="3B18E20D"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1</w:t>
            </w:r>
          </w:p>
        </w:tc>
        <w:tc>
          <w:tcPr>
            <w:tcW w:w="533" w:type="pct"/>
            <w:shd w:val="clear" w:color="auto" w:fill="auto"/>
          </w:tcPr>
          <w:p w:rsidR="001B39E0" w:rsidRPr="001B39E0" w:rsidP="005D3D6D" w14:paraId="44A4F061" w14:textId="6AD2BD33">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2,039</w:t>
            </w:r>
          </w:p>
        </w:tc>
        <w:tc>
          <w:tcPr>
            <w:tcW w:w="610" w:type="pct"/>
            <w:shd w:val="clear" w:color="auto" w:fill="auto"/>
          </w:tcPr>
          <w:p w:rsidR="001B39E0" w:rsidRPr="001B39E0" w:rsidP="005D3D6D" w14:paraId="06A6830C" w14:textId="31B14856">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520" w:type="pct"/>
            <w:shd w:val="clear" w:color="auto" w:fill="auto"/>
          </w:tcPr>
          <w:p w:rsidR="001B39E0" w:rsidRPr="001B39E0" w:rsidP="005D3D6D" w14:paraId="3CFE139D" w14:textId="69937152">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6,117</w:t>
            </w:r>
          </w:p>
        </w:tc>
      </w:tr>
      <w:tr w14:paraId="753AABA2"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0206AF9A"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 316.36; Assurance of the availability of sufficient quantities of the orphan drug; holder’s consent for the approval of other marketing applications for the same drug</w:t>
            </w:r>
          </w:p>
        </w:tc>
        <w:tc>
          <w:tcPr>
            <w:tcW w:w="677" w:type="pct"/>
            <w:shd w:val="clear" w:color="auto" w:fill="auto"/>
          </w:tcPr>
          <w:p w:rsidR="001B39E0" w:rsidRPr="001B39E0" w:rsidP="005D3D6D" w14:paraId="558B6536"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1</w:t>
            </w:r>
          </w:p>
        </w:tc>
        <w:tc>
          <w:tcPr>
            <w:tcW w:w="725" w:type="pct"/>
            <w:shd w:val="clear" w:color="auto" w:fill="auto"/>
          </w:tcPr>
          <w:p w:rsidR="001B39E0" w:rsidRPr="001B39E0" w:rsidP="005D3D6D" w14:paraId="5FB6A049"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3</w:t>
            </w:r>
          </w:p>
        </w:tc>
        <w:tc>
          <w:tcPr>
            <w:tcW w:w="533" w:type="pct"/>
            <w:shd w:val="clear" w:color="auto" w:fill="auto"/>
          </w:tcPr>
          <w:p w:rsidR="001B39E0" w:rsidRPr="001B39E0" w:rsidP="005D3D6D" w14:paraId="7C2FEEED" w14:textId="586F545E">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0" w:type="pct"/>
            <w:shd w:val="clear" w:color="auto" w:fill="auto"/>
          </w:tcPr>
          <w:p w:rsidR="001B39E0" w:rsidRPr="001B39E0" w:rsidP="005D3D6D" w14:paraId="55EDF534" w14:textId="425AE621">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p>
        </w:tc>
        <w:tc>
          <w:tcPr>
            <w:tcW w:w="520" w:type="pct"/>
            <w:shd w:val="clear" w:color="auto" w:fill="auto"/>
          </w:tcPr>
          <w:p w:rsidR="001B39E0" w:rsidRPr="001B39E0" w:rsidP="005D3D6D" w14:paraId="24E4B684" w14:textId="65FD1426">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14:paraId="49048D88"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66D76334" w14:textId="77777777">
            <w:pPr>
              <w:widowControl/>
              <w:autoSpaceDE w:val="0"/>
              <w:autoSpaceDN w:val="0"/>
              <w:adjustRightInd w:val="0"/>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Guidance Recommendations: Meeting requests to OOPD</w:t>
            </w:r>
          </w:p>
          <w:p w:rsidR="001B39E0" w:rsidRPr="001B39E0" w:rsidP="001B39E0" w14:paraId="7005BDBF" w14:textId="77777777">
            <w:pPr>
              <w:widowControl/>
              <w:autoSpaceDE w:val="0"/>
              <w:autoSpaceDN w:val="0"/>
              <w:adjustRightInd w:val="0"/>
              <w:spacing w:after="0" w:line="240" w:lineRule="auto"/>
              <w:rPr>
                <w:rFonts w:ascii="Helvetica" w:eastAsia="Times New Roman" w:hAnsi="Helvetica" w:cs="Helvetica"/>
                <w:sz w:val="16"/>
                <w:szCs w:val="16"/>
              </w:rPr>
            </w:pPr>
            <w:r w:rsidRPr="001B39E0">
              <w:rPr>
                <w:rFonts w:ascii="Times New Roman" w:eastAsia="Times New Roman" w:hAnsi="Times New Roman" w:cs="Times New Roman"/>
                <w:sz w:val="20"/>
                <w:szCs w:val="20"/>
              </w:rPr>
              <w:t>and related submission packages</w:t>
            </w:r>
          </w:p>
        </w:tc>
        <w:tc>
          <w:tcPr>
            <w:tcW w:w="677" w:type="pct"/>
            <w:shd w:val="clear" w:color="auto" w:fill="auto"/>
          </w:tcPr>
          <w:p w:rsidR="001B39E0" w:rsidRPr="001B39E0" w:rsidP="005D3D6D" w14:paraId="274D2BE5" w14:textId="77777777">
            <w:pPr>
              <w:widowControl/>
              <w:spacing w:after="0" w:line="240" w:lineRule="auto"/>
              <w:jc w:val="right"/>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807</w:t>
            </w:r>
          </w:p>
          <w:p w:rsidR="001B39E0" w:rsidRPr="001B39E0" w:rsidP="005D3D6D" w14:paraId="5699AC0F" w14:textId="77777777">
            <w:pPr>
              <w:widowControl/>
              <w:spacing w:after="0" w:line="240" w:lineRule="auto"/>
              <w:jc w:val="right"/>
              <w:rPr>
                <w:rFonts w:ascii="Times New Roman" w:eastAsia="Times New Roman" w:hAnsi="Times New Roman" w:cs="Times New Roman"/>
                <w:sz w:val="20"/>
                <w:szCs w:val="20"/>
              </w:rPr>
            </w:pPr>
          </w:p>
          <w:p w:rsidR="001B39E0" w:rsidRPr="001B39E0" w:rsidP="005D3D6D" w14:paraId="606A9A4F" w14:textId="77777777">
            <w:pPr>
              <w:widowControl/>
              <w:spacing w:after="0" w:line="240" w:lineRule="auto"/>
              <w:jc w:val="right"/>
              <w:rPr>
                <w:rFonts w:ascii="Times New Roman" w:eastAsia="Times New Roman" w:hAnsi="Times New Roman" w:cs="Times New Roman"/>
                <w:sz w:val="20"/>
                <w:szCs w:val="20"/>
              </w:rPr>
            </w:pPr>
          </w:p>
        </w:tc>
        <w:tc>
          <w:tcPr>
            <w:tcW w:w="725" w:type="pct"/>
            <w:shd w:val="clear" w:color="auto" w:fill="auto"/>
          </w:tcPr>
          <w:p w:rsidR="001B39E0" w:rsidRPr="001B39E0" w:rsidP="005D3D6D" w14:paraId="74AEA0E3" w14:textId="77777777">
            <w:pPr>
              <w:widowControl/>
              <w:spacing w:after="0" w:line="240" w:lineRule="auto"/>
              <w:jc w:val="right"/>
              <w:rPr>
                <w:rFonts w:ascii="Times New Roman" w:eastAsia="Times New Roman" w:hAnsi="Times New Roman" w:cs="Times New Roman"/>
                <w:bCs/>
                <w:sz w:val="20"/>
                <w:szCs w:val="20"/>
              </w:rPr>
            </w:pPr>
            <w:r w:rsidRPr="001B39E0">
              <w:rPr>
                <w:rFonts w:ascii="Times New Roman" w:eastAsia="Times New Roman" w:hAnsi="Times New Roman" w:cs="Times New Roman"/>
                <w:bCs/>
                <w:sz w:val="20"/>
                <w:szCs w:val="20"/>
              </w:rPr>
              <w:t>1.5</w:t>
            </w:r>
          </w:p>
          <w:p w:rsidR="001B39E0" w:rsidRPr="001B39E0" w:rsidP="005D3D6D" w14:paraId="6A5F1CA6" w14:textId="77777777">
            <w:pPr>
              <w:widowControl/>
              <w:spacing w:after="0" w:line="240" w:lineRule="auto"/>
              <w:jc w:val="right"/>
              <w:rPr>
                <w:rFonts w:ascii="Times New Roman" w:eastAsia="Times New Roman" w:hAnsi="Times New Roman" w:cs="Times New Roman"/>
                <w:bCs/>
                <w:sz w:val="20"/>
                <w:szCs w:val="20"/>
              </w:rPr>
            </w:pPr>
          </w:p>
        </w:tc>
        <w:tc>
          <w:tcPr>
            <w:tcW w:w="533" w:type="pct"/>
            <w:shd w:val="clear" w:color="auto" w:fill="auto"/>
          </w:tcPr>
          <w:p w:rsidR="001B39E0" w:rsidRPr="001B39E0" w:rsidP="005D3D6D" w14:paraId="5DDAF3A1" w14:textId="1A7FAA10">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1,211</w:t>
            </w:r>
          </w:p>
        </w:tc>
        <w:tc>
          <w:tcPr>
            <w:tcW w:w="610" w:type="pct"/>
            <w:shd w:val="clear" w:color="auto" w:fill="auto"/>
          </w:tcPr>
          <w:p w:rsidR="001B39E0" w:rsidRPr="001B39E0" w:rsidP="005D3D6D" w14:paraId="1ABA053F" w14:textId="2EABE7CD">
            <w:pPr>
              <w:widowControl/>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p>
        </w:tc>
        <w:tc>
          <w:tcPr>
            <w:tcW w:w="520" w:type="pct"/>
            <w:shd w:val="clear" w:color="auto" w:fill="auto"/>
          </w:tcPr>
          <w:p w:rsidR="001B39E0" w:rsidRPr="001B39E0" w:rsidP="005D3D6D" w14:paraId="3C133C7E" w14:textId="5881F5E3">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4,842</w:t>
            </w:r>
          </w:p>
        </w:tc>
      </w:tr>
      <w:tr w14:paraId="370BF0FE" w14:textId="77777777" w:rsidTr="00A6110D">
        <w:tblPrEx>
          <w:tblW w:w="5053" w:type="pct"/>
          <w:tblInd w:w="-5" w:type="dxa"/>
          <w:tblLayout w:type="fixed"/>
          <w:tblLook w:val="01E0"/>
        </w:tblPrEx>
        <w:trPr>
          <w:cantSplit/>
          <w:trHeight w:val="20"/>
        </w:trPr>
        <w:tc>
          <w:tcPr>
            <w:tcW w:w="1935" w:type="pct"/>
            <w:shd w:val="clear" w:color="auto" w:fill="auto"/>
          </w:tcPr>
          <w:p w:rsidR="001B39E0" w:rsidRPr="001B39E0" w:rsidP="001B39E0" w14:paraId="4EB6797D" w14:textId="1403B286">
            <w:pPr>
              <w:widowControl/>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rPr>
              <w:t>T</w:t>
            </w:r>
            <w:r w:rsidR="000F68AA">
              <w:rPr>
                <w:rFonts w:ascii="Times New Roman" w:eastAsia="Times New Roman" w:hAnsi="Times New Roman" w:cs="Times New Roman"/>
                <w:sz w:val="20"/>
                <w:szCs w:val="20"/>
              </w:rPr>
              <w:t>OTAL</w:t>
            </w:r>
          </w:p>
        </w:tc>
        <w:tc>
          <w:tcPr>
            <w:tcW w:w="677" w:type="pct"/>
            <w:shd w:val="clear" w:color="auto" w:fill="auto"/>
          </w:tcPr>
          <w:p w:rsidR="001B39E0" w:rsidRPr="001B39E0" w:rsidP="005D3D6D" w14:paraId="495F9D81" w14:textId="0DB842F0">
            <w:pPr>
              <w:widowControl/>
              <w:spacing w:after="0" w:line="240" w:lineRule="auto"/>
              <w:jc w:val="right"/>
              <w:rPr>
                <w:rFonts w:ascii="Times New Roman" w:eastAsia="Times New Roman" w:hAnsi="Times New Roman" w:cs="Times New Roman"/>
                <w:sz w:val="20"/>
                <w:szCs w:val="20"/>
              </w:rPr>
            </w:pPr>
          </w:p>
        </w:tc>
        <w:tc>
          <w:tcPr>
            <w:tcW w:w="725" w:type="pct"/>
            <w:shd w:val="clear" w:color="auto" w:fill="auto"/>
          </w:tcPr>
          <w:p w:rsidR="001B39E0" w:rsidRPr="001B39E0" w:rsidP="005D3D6D" w14:paraId="742A49AF" w14:textId="226166FA">
            <w:pPr>
              <w:widowControl/>
              <w:spacing w:after="0" w:line="240" w:lineRule="auto"/>
              <w:jc w:val="right"/>
              <w:rPr>
                <w:rFonts w:ascii="Times New Roman" w:eastAsia="Times New Roman" w:hAnsi="Times New Roman" w:cs="Times New Roman"/>
                <w:sz w:val="20"/>
                <w:szCs w:val="20"/>
              </w:rPr>
            </w:pPr>
          </w:p>
        </w:tc>
        <w:tc>
          <w:tcPr>
            <w:tcW w:w="533" w:type="pct"/>
            <w:shd w:val="clear" w:color="auto" w:fill="auto"/>
          </w:tcPr>
          <w:p w:rsidR="001B39E0" w:rsidRPr="001B39E0" w:rsidP="005D3D6D" w14:paraId="1559A707" w14:textId="3A3D1762">
            <w:pPr>
              <w:widowControl/>
              <w:spacing w:after="0" w:line="240" w:lineRule="auto"/>
              <w:jc w:val="right"/>
              <w:rPr>
                <w:rFonts w:ascii="Times New Roman" w:eastAsia="Times New Roman" w:hAnsi="Times New Roman" w:cs="Times New Roman"/>
                <w:sz w:val="16"/>
                <w:szCs w:val="16"/>
              </w:rPr>
            </w:pPr>
            <w:r w:rsidRPr="00CC3F3C">
              <w:rPr>
                <w:rFonts w:ascii="Times New Roman" w:eastAsia="Times New Roman" w:hAnsi="Times New Roman" w:cs="Times New Roman"/>
                <w:sz w:val="20"/>
                <w:szCs w:val="20"/>
              </w:rPr>
              <w:fldChar w:fldCharType="begin"/>
            </w:r>
            <w:r w:rsidRPr="00CC3F3C">
              <w:rPr>
                <w:rFonts w:ascii="Times New Roman" w:eastAsia="Times New Roman" w:hAnsi="Times New Roman" w:cs="Times New Roman"/>
                <w:sz w:val="20"/>
                <w:szCs w:val="20"/>
              </w:rPr>
              <w:instrText xml:space="preserve"> =SUM(ABOVE) </w:instrText>
            </w:r>
            <w:r w:rsidRPr="00CC3F3C">
              <w:rPr>
                <w:rFonts w:ascii="Times New Roman" w:eastAsia="Times New Roman" w:hAnsi="Times New Roman" w:cs="Times New Roman"/>
                <w:sz w:val="20"/>
                <w:szCs w:val="20"/>
              </w:rPr>
              <w:fldChar w:fldCharType="separate"/>
            </w:r>
            <w:r w:rsidRPr="00CC3F3C">
              <w:rPr>
                <w:rFonts w:ascii="Times New Roman" w:eastAsia="Times New Roman" w:hAnsi="Times New Roman" w:cs="Times New Roman"/>
                <w:noProof/>
                <w:sz w:val="20"/>
                <w:szCs w:val="20"/>
              </w:rPr>
              <w:t>5,613</w:t>
            </w:r>
            <w:r w:rsidRPr="00CC3F3C">
              <w:rPr>
                <w:rFonts w:ascii="Times New Roman" w:eastAsia="Times New Roman" w:hAnsi="Times New Roman" w:cs="Times New Roman"/>
                <w:sz w:val="20"/>
                <w:szCs w:val="20"/>
              </w:rPr>
              <w:fldChar w:fldCharType="end"/>
            </w:r>
          </w:p>
        </w:tc>
        <w:tc>
          <w:tcPr>
            <w:tcW w:w="610" w:type="pct"/>
            <w:shd w:val="clear" w:color="auto" w:fill="auto"/>
          </w:tcPr>
          <w:p w:rsidR="001B39E0" w:rsidRPr="001B39E0" w:rsidP="005D3D6D" w14:paraId="2B69731D" w14:textId="0CC2A5DA">
            <w:pPr>
              <w:widowControl/>
              <w:spacing w:after="0" w:line="240" w:lineRule="auto"/>
              <w:jc w:val="right"/>
              <w:rPr>
                <w:rFonts w:ascii="Times New Roman" w:eastAsia="Times New Roman" w:hAnsi="Times New Roman" w:cs="Times New Roman"/>
                <w:sz w:val="16"/>
                <w:szCs w:val="16"/>
              </w:rPr>
            </w:pPr>
          </w:p>
        </w:tc>
        <w:tc>
          <w:tcPr>
            <w:tcW w:w="520" w:type="pct"/>
            <w:shd w:val="clear" w:color="auto" w:fill="auto"/>
          </w:tcPr>
          <w:p w:rsidR="001B39E0" w:rsidRPr="001B39E0" w:rsidP="005D3D6D" w14:paraId="0771E286" w14:textId="4BE12F08">
            <w:pPr>
              <w:widowControl/>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=SUM(ABOVE)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174,289</w:t>
            </w:r>
            <w:r>
              <w:rPr>
                <w:rFonts w:ascii="Times New Roman" w:eastAsia="Times New Roman" w:hAnsi="Times New Roman" w:cs="Times New Roman"/>
                <w:sz w:val="20"/>
                <w:szCs w:val="20"/>
              </w:rPr>
              <w:fldChar w:fldCharType="end"/>
            </w:r>
          </w:p>
        </w:tc>
      </w:tr>
    </w:tbl>
    <w:p w:rsidR="001B39E0" w:rsidRPr="001B39E0" w:rsidP="001B39E0" w14:paraId="60291098" w14:textId="77777777">
      <w:pPr>
        <w:widowControl/>
        <w:spacing w:after="0" w:line="240" w:lineRule="auto"/>
        <w:rPr>
          <w:rFonts w:ascii="Times New Roman" w:eastAsia="Times New Roman" w:hAnsi="Times New Roman" w:cs="Times New Roman"/>
          <w:sz w:val="20"/>
          <w:szCs w:val="20"/>
        </w:rPr>
      </w:pPr>
      <w:r w:rsidRPr="001B39E0">
        <w:rPr>
          <w:rFonts w:ascii="Times New Roman" w:eastAsia="Times New Roman" w:hAnsi="Times New Roman" w:cs="Times New Roman"/>
          <w:sz w:val="20"/>
          <w:szCs w:val="20"/>
          <w:vertAlign w:val="superscript"/>
        </w:rPr>
        <w:t>1</w:t>
      </w:r>
      <w:r w:rsidRPr="001B39E0">
        <w:rPr>
          <w:rFonts w:ascii="Times New Roman" w:eastAsia="Times New Roman" w:hAnsi="Times New Roman" w:cs="Times New Roman"/>
          <w:sz w:val="20"/>
          <w:szCs w:val="20"/>
        </w:rPr>
        <w:t xml:space="preserve"> There are no capital costs or operating and maintenance costs associated with this collection of information.</w:t>
      </w:r>
    </w:p>
    <w:p w:rsidR="002B0496" w:rsidP="00962896" w14:paraId="2D4DDC12" w14:textId="77777777">
      <w:pPr>
        <w:pStyle w:val="NoSpacing"/>
        <w:rPr>
          <w:rFonts w:ascii="Times New Roman" w:hAnsi="Times New Roman" w:cs="Times New Roman"/>
          <w:sz w:val="24"/>
          <w:szCs w:val="24"/>
        </w:rPr>
      </w:pPr>
    </w:p>
    <w:p w:rsidR="00B705E8" w:rsidP="00962896" w14:paraId="733127B2" w14:textId="77777777">
      <w:pPr>
        <w:pStyle w:val="NoSpacing"/>
        <w:rPr>
          <w:rFonts w:ascii="Times New Roman" w:hAnsi="Times New Roman" w:cs="Times New Roman"/>
          <w:sz w:val="24"/>
          <w:szCs w:val="24"/>
        </w:rPr>
      </w:pPr>
      <w:r w:rsidRPr="00B705E8">
        <w:rPr>
          <w:rFonts w:ascii="Times New Roman" w:hAnsi="Times New Roman" w:cs="Times New Roman"/>
          <w:sz w:val="24"/>
          <w:szCs w:val="24"/>
        </w:rPr>
        <w:t>Our burden estimate includes those activities related to: (1) requesting orphan drug designation; (2) responding to deficiencies letters with submissions of amendments; (3) keeping files current with contact information for agents and transfer of ownership, when applicable; (4) submitting annual reports while products have designation status; and (5) requesting and preparing for both informal and formal meetings.  Because the PRA defines a recordkeeping requirement to include reporting those records to the Federal government, we account for these activities cumulatively in Table 1 above.</w:t>
      </w:r>
    </w:p>
    <w:p w:rsidR="00B705E8" w:rsidP="00962896" w14:paraId="2CCD9C13" w14:textId="77777777">
      <w:pPr>
        <w:pStyle w:val="NoSpacing"/>
        <w:rPr>
          <w:rFonts w:ascii="Times New Roman" w:hAnsi="Times New Roman" w:cs="Times New Roman"/>
          <w:sz w:val="24"/>
          <w:szCs w:val="24"/>
        </w:rPr>
      </w:pPr>
    </w:p>
    <w:p w:rsidR="004E6C10" w:rsidRPr="00A8694E" w:rsidP="00B705E8" w14:paraId="3DBF013A" w14:textId="6DEC8437">
      <w:pPr>
        <w:pStyle w:val="NoSpacing"/>
        <w:ind w:firstLine="720"/>
        <w:rPr>
          <w:rFonts w:ascii="Times New Roman" w:hAnsi="Times New Roman" w:cs="Times New Roman"/>
          <w:i/>
          <w:sz w:val="24"/>
          <w:szCs w:val="24"/>
        </w:rPr>
      </w:pPr>
      <w:r w:rsidRPr="00A8694E">
        <w:rPr>
          <w:rFonts w:ascii="Times New Roman" w:hAnsi="Times New Roman" w:cs="Times New Roman"/>
          <w:i/>
          <w:sz w:val="24"/>
          <w:szCs w:val="24"/>
        </w:rPr>
        <w:t>12b.  Annualized Cost Burden Estimate</w:t>
      </w:r>
    </w:p>
    <w:p w:rsidR="007E3334" w:rsidRPr="00A8694E" w:rsidP="00962896" w14:paraId="32BC1E2A" w14:textId="77777777">
      <w:pPr>
        <w:pStyle w:val="NoSpacing"/>
        <w:rPr>
          <w:rFonts w:ascii="Times New Roman" w:hAnsi="Times New Roman" w:cs="Times New Roman"/>
          <w:sz w:val="24"/>
          <w:szCs w:val="24"/>
        </w:rPr>
      </w:pPr>
    </w:p>
    <w:p w:rsidR="004E6C10" w:rsidRPr="00A8694E" w:rsidP="00962896" w14:paraId="47F0CEA1" w14:textId="0D855C84">
      <w:pPr>
        <w:pStyle w:val="NoSpacing"/>
        <w:rPr>
          <w:rFonts w:ascii="Times New Roman" w:hAnsi="Times New Roman" w:cs="Times New Roman"/>
          <w:sz w:val="24"/>
          <w:szCs w:val="24"/>
        </w:rPr>
      </w:pPr>
      <w:r w:rsidRPr="00A8694E">
        <w:rPr>
          <w:rFonts w:ascii="Times New Roman" w:hAnsi="Times New Roman" w:cs="Times New Roman"/>
          <w:sz w:val="24"/>
          <w:szCs w:val="24"/>
        </w:rPr>
        <w:t>To calculate burden costs</w:t>
      </w:r>
      <w:r w:rsidRPr="00A8694E" w:rsidR="00796330">
        <w:rPr>
          <w:rFonts w:ascii="Times New Roman" w:hAnsi="Times New Roman" w:cs="Times New Roman"/>
          <w:sz w:val="24"/>
          <w:szCs w:val="24"/>
        </w:rPr>
        <w:t>,</w:t>
      </w:r>
      <w:r w:rsidRPr="00A8694E">
        <w:rPr>
          <w:rFonts w:ascii="Times New Roman" w:hAnsi="Times New Roman" w:cs="Times New Roman"/>
          <w:sz w:val="24"/>
          <w:szCs w:val="24"/>
        </w:rPr>
        <w:t xml:space="preserve"> we </w:t>
      </w:r>
      <w:r w:rsidRPr="00A8694E" w:rsidR="002F385D">
        <w:rPr>
          <w:rFonts w:ascii="Times New Roman" w:hAnsi="Times New Roman" w:cs="Times New Roman"/>
          <w:sz w:val="24"/>
          <w:szCs w:val="24"/>
        </w:rPr>
        <w:t xml:space="preserve">assume </w:t>
      </w:r>
      <w:r w:rsidRPr="00A8694E" w:rsidR="00796330">
        <w:rPr>
          <w:rFonts w:ascii="Times New Roman" w:hAnsi="Times New Roman" w:cs="Times New Roman"/>
          <w:sz w:val="24"/>
          <w:szCs w:val="24"/>
        </w:rPr>
        <w:t xml:space="preserve">wages </w:t>
      </w:r>
      <w:r w:rsidRPr="00A8694E" w:rsidR="003E5F18">
        <w:rPr>
          <w:rFonts w:ascii="Times New Roman" w:hAnsi="Times New Roman" w:cs="Times New Roman"/>
          <w:sz w:val="24"/>
          <w:szCs w:val="24"/>
        </w:rPr>
        <w:t>commensurate</w:t>
      </w:r>
      <w:r w:rsidRPr="00A8694E" w:rsidR="002F385D">
        <w:rPr>
          <w:rFonts w:ascii="Times New Roman" w:hAnsi="Times New Roman" w:cs="Times New Roman"/>
          <w:sz w:val="24"/>
          <w:szCs w:val="24"/>
        </w:rPr>
        <w:t xml:space="preserve"> </w:t>
      </w:r>
      <w:r w:rsidRPr="00A8694E" w:rsidR="00796330">
        <w:rPr>
          <w:rFonts w:ascii="Times New Roman" w:hAnsi="Times New Roman" w:cs="Times New Roman"/>
          <w:sz w:val="24"/>
          <w:szCs w:val="24"/>
        </w:rPr>
        <w:t xml:space="preserve">to those </w:t>
      </w:r>
      <w:r w:rsidRPr="00A8694E" w:rsidR="002F385D">
        <w:rPr>
          <w:rFonts w:ascii="Times New Roman" w:hAnsi="Times New Roman" w:cs="Times New Roman"/>
          <w:sz w:val="24"/>
          <w:szCs w:val="24"/>
        </w:rPr>
        <w:t xml:space="preserve">for </w:t>
      </w:r>
      <w:r w:rsidRPr="00A8694E" w:rsidR="00796330">
        <w:rPr>
          <w:rFonts w:ascii="Times New Roman" w:hAnsi="Times New Roman" w:cs="Times New Roman"/>
          <w:sz w:val="24"/>
          <w:szCs w:val="24"/>
        </w:rPr>
        <w:t xml:space="preserve">a </w:t>
      </w:r>
      <w:r w:rsidRPr="00A8694E" w:rsidR="002F385D">
        <w:rPr>
          <w:rFonts w:ascii="Times New Roman" w:hAnsi="Times New Roman" w:cs="Times New Roman"/>
          <w:sz w:val="24"/>
          <w:szCs w:val="24"/>
        </w:rPr>
        <w:t>regulatory professional</w:t>
      </w:r>
      <w:r w:rsidRPr="00A8694E" w:rsidR="00796330">
        <w:rPr>
          <w:rFonts w:ascii="Times New Roman" w:hAnsi="Times New Roman" w:cs="Times New Roman"/>
          <w:sz w:val="24"/>
          <w:szCs w:val="24"/>
        </w:rPr>
        <w:t xml:space="preserve"> in the Washington DC area </w:t>
      </w:r>
      <w:r w:rsidRPr="00A8694E" w:rsidR="006307C5">
        <w:rPr>
          <w:rFonts w:ascii="Times New Roman" w:hAnsi="Times New Roman" w:cs="Times New Roman"/>
          <w:sz w:val="24"/>
          <w:szCs w:val="24"/>
        </w:rPr>
        <w:t>and factor this by the total number of annual burden hou</w:t>
      </w:r>
      <w:r w:rsidRPr="00A8694E" w:rsidR="00405C95">
        <w:rPr>
          <w:rFonts w:ascii="Times New Roman" w:hAnsi="Times New Roman" w:cs="Times New Roman"/>
          <w:sz w:val="24"/>
          <w:szCs w:val="24"/>
        </w:rPr>
        <w:t>rs.  U</w:t>
      </w:r>
      <w:r w:rsidRPr="00A8694E" w:rsidR="00796330">
        <w:rPr>
          <w:rFonts w:ascii="Times New Roman" w:hAnsi="Times New Roman" w:cs="Times New Roman"/>
          <w:sz w:val="24"/>
          <w:szCs w:val="24"/>
        </w:rPr>
        <w:t>sing data from the Bureau of Labor Statistics</w:t>
      </w:r>
      <w:r w:rsidRPr="00A8694E" w:rsidR="00405C95">
        <w:rPr>
          <w:rFonts w:ascii="Times New Roman" w:hAnsi="Times New Roman" w:cs="Times New Roman"/>
          <w:sz w:val="24"/>
          <w:szCs w:val="24"/>
        </w:rPr>
        <w:t>, we therefore calculate a loaded hourly wage rage of $85.00</w:t>
      </w:r>
      <w:r w:rsidRPr="00A8694E" w:rsidR="00060C46">
        <w:rPr>
          <w:rFonts w:ascii="Times New Roman" w:hAnsi="Times New Roman" w:cs="Times New Roman"/>
          <w:sz w:val="24"/>
          <w:szCs w:val="24"/>
        </w:rPr>
        <w:t xml:space="preserve"> and factor that by </w:t>
      </w:r>
      <w:r w:rsidRPr="00A8694E" w:rsidR="009932FC">
        <w:rPr>
          <w:rFonts w:ascii="Times New Roman" w:hAnsi="Times New Roman" w:cs="Times New Roman"/>
          <w:sz w:val="24"/>
          <w:szCs w:val="24"/>
        </w:rPr>
        <w:t>272,850</w:t>
      </w:r>
      <w:r w:rsidRPr="00A8694E" w:rsidR="00060C46">
        <w:rPr>
          <w:rFonts w:ascii="Times New Roman" w:hAnsi="Times New Roman" w:cs="Times New Roman"/>
          <w:sz w:val="24"/>
          <w:szCs w:val="24"/>
        </w:rPr>
        <w:t xml:space="preserve"> </w:t>
      </w:r>
      <w:r w:rsidRPr="00A8694E" w:rsidR="00014FDE">
        <w:rPr>
          <w:rFonts w:ascii="Times New Roman" w:hAnsi="Times New Roman" w:cs="Times New Roman"/>
          <w:sz w:val="24"/>
          <w:szCs w:val="24"/>
        </w:rPr>
        <w:t xml:space="preserve">hours </w:t>
      </w:r>
      <w:r w:rsidRPr="00A8694E" w:rsidR="00060C46">
        <w:rPr>
          <w:rFonts w:ascii="Times New Roman" w:hAnsi="Times New Roman" w:cs="Times New Roman"/>
          <w:sz w:val="24"/>
          <w:szCs w:val="24"/>
        </w:rPr>
        <w:t xml:space="preserve">for a total of </w:t>
      </w:r>
      <w:r w:rsidRPr="00A8694E" w:rsidR="003E5F18">
        <w:rPr>
          <w:rFonts w:ascii="Times New Roman" w:hAnsi="Times New Roman" w:cs="Times New Roman"/>
          <w:sz w:val="24"/>
          <w:szCs w:val="24"/>
        </w:rPr>
        <w:t xml:space="preserve"> </w:t>
      </w:r>
      <w:r w:rsidRPr="00A8694E" w:rsidR="001C1C50">
        <w:rPr>
          <w:rFonts w:ascii="Times New Roman" w:hAnsi="Times New Roman" w:cs="Times New Roman"/>
          <w:sz w:val="24"/>
          <w:szCs w:val="24"/>
        </w:rPr>
        <w:t>$21,189,700</w:t>
      </w:r>
      <w:r w:rsidR="00B705E8">
        <w:rPr>
          <w:rFonts w:ascii="Times New Roman" w:hAnsi="Times New Roman" w:cs="Times New Roman"/>
          <w:sz w:val="24"/>
          <w:szCs w:val="24"/>
        </w:rPr>
        <w:t xml:space="preserve"> annually</w:t>
      </w:r>
      <w:r w:rsidRPr="00A8694E" w:rsidR="001C1C50">
        <w:rPr>
          <w:rFonts w:ascii="Times New Roman" w:hAnsi="Times New Roman" w:cs="Times New Roman"/>
          <w:sz w:val="24"/>
          <w:szCs w:val="24"/>
        </w:rPr>
        <w:t xml:space="preserve">. </w:t>
      </w:r>
    </w:p>
    <w:p w:rsidR="00100DF7" w:rsidRPr="00A8694E" w:rsidP="00962896" w14:paraId="69398A4A" w14:textId="77777777">
      <w:pPr>
        <w:pStyle w:val="NoSpacing"/>
        <w:rPr>
          <w:rFonts w:ascii="Times New Roman" w:hAnsi="Times New Roman" w:cs="Times New Roman"/>
          <w:sz w:val="24"/>
          <w:szCs w:val="24"/>
        </w:rPr>
      </w:pPr>
    </w:p>
    <w:p w:rsidR="00100DF7" w:rsidRPr="00A8694E" w:rsidP="00962896" w14:paraId="1577D099" w14:textId="399F570E">
      <w:pPr>
        <w:pStyle w:val="NoSpacing"/>
        <w:rPr>
          <w:rFonts w:ascii="Times New Roman" w:hAnsi="Times New Roman" w:cs="Times New Roman"/>
          <w:sz w:val="24"/>
          <w:szCs w:val="24"/>
        </w:rPr>
      </w:pPr>
      <w:r w:rsidRPr="00A8694E">
        <w:rPr>
          <w:rFonts w:ascii="Times New Roman" w:hAnsi="Times New Roman" w:cs="Times New Roman"/>
          <w:sz w:val="24"/>
          <w:szCs w:val="24"/>
        </w:rPr>
        <w:t>13.</w:t>
      </w:r>
      <w:r w:rsidRPr="00A8694E" w:rsidR="006549E1">
        <w:rPr>
          <w:rFonts w:ascii="Times New Roman" w:hAnsi="Times New Roman" w:cs="Times New Roman"/>
          <w:sz w:val="24"/>
          <w:szCs w:val="24"/>
        </w:rPr>
        <w:t xml:space="preserve"> </w:t>
      </w:r>
      <w:r w:rsidRPr="00A8694E">
        <w:rPr>
          <w:rFonts w:ascii="Times New Roman" w:hAnsi="Times New Roman" w:cs="Times New Roman"/>
          <w:sz w:val="24"/>
          <w:szCs w:val="24"/>
        </w:rPr>
        <w:t xml:space="preserve"> </w:t>
      </w:r>
      <w:r w:rsidRPr="00A8694E" w:rsidR="006549E1">
        <w:rPr>
          <w:rFonts w:ascii="Times New Roman" w:hAnsi="Times New Roman" w:cs="Times New Roman"/>
          <w:sz w:val="24"/>
          <w:szCs w:val="24"/>
        </w:rPr>
        <w:t xml:space="preserve"> </w:t>
      </w:r>
      <w:r w:rsidRPr="00A8694E">
        <w:rPr>
          <w:rFonts w:ascii="Times New Roman" w:hAnsi="Times New Roman" w:cs="Times New Roman"/>
          <w:sz w:val="24"/>
          <w:szCs w:val="24"/>
          <w:u w:val="single"/>
        </w:rPr>
        <w:t>Estimates of Other Total Annual Costs to Respondents and/or Record</w:t>
      </w:r>
      <w:r w:rsidRPr="00A8694E" w:rsidR="00060C46">
        <w:rPr>
          <w:rFonts w:ascii="Times New Roman" w:hAnsi="Times New Roman" w:cs="Times New Roman"/>
          <w:sz w:val="24"/>
          <w:szCs w:val="24"/>
          <w:u w:val="single"/>
        </w:rPr>
        <w:t>k</w:t>
      </w:r>
      <w:r w:rsidRPr="00A8694E">
        <w:rPr>
          <w:rFonts w:ascii="Times New Roman" w:hAnsi="Times New Roman" w:cs="Times New Roman"/>
          <w:sz w:val="24"/>
          <w:szCs w:val="24"/>
          <w:u w:val="single"/>
        </w:rPr>
        <w:t>eepers/Capital Costs</w:t>
      </w:r>
    </w:p>
    <w:p w:rsidR="00100DF7" w:rsidRPr="00A8694E" w:rsidP="00962896" w14:paraId="308A3B66" w14:textId="77777777">
      <w:pPr>
        <w:pStyle w:val="NoSpacing"/>
        <w:rPr>
          <w:rFonts w:ascii="Times New Roman" w:hAnsi="Times New Roman" w:cs="Times New Roman"/>
          <w:sz w:val="24"/>
          <w:szCs w:val="24"/>
        </w:rPr>
      </w:pPr>
    </w:p>
    <w:p w:rsidR="00100DF7" w:rsidRPr="00A8694E" w:rsidP="00962896" w14:paraId="4FB33990" w14:textId="1D05B1A3">
      <w:pPr>
        <w:pStyle w:val="NoSpacing"/>
        <w:rPr>
          <w:rFonts w:ascii="Times New Roman" w:hAnsi="Times New Roman" w:cs="Times New Roman"/>
          <w:sz w:val="24"/>
          <w:szCs w:val="24"/>
        </w:rPr>
      </w:pPr>
      <w:r w:rsidRPr="00A8694E">
        <w:rPr>
          <w:rFonts w:ascii="Times New Roman" w:hAnsi="Times New Roman" w:cs="Times New Roman"/>
          <w:sz w:val="24"/>
          <w:szCs w:val="24"/>
        </w:rPr>
        <w:t>There are</w:t>
      </w:r>
      <w:r w:rsidRPr="00A8694E" w:rsidR="00BE1521">
        <w:rPr>
          <w:rFonts w:ascii="Times New Roman" w:hAnsi="Times New Roman" w:cs="Times New Roman"/>
          <w:sz w:val="24"/>
          <w:szCs w:val="24"/>
        </w:rPr>
        <w:t xml:space="preserve"> </w:t>
      </w:r>
      <w:r w:rsidRPr="00A8694E">
        <w:rPr>
          <w:rFonts w:ascii="Times New Roman" w:hAnsi="Times New Roman" w:cs="Times New Roman"/>
          <w:sz w:val="24"/>
          <w:szCs w:val="24"/>
        </w:rPr>
        <w:t xml:space="preserve">no capital, start-up, </w:t>
      </w:r>
      <w:r w:rsidRPr="00A8694E" w:rsidR="008C080F">
        <w:rPr>
          <w:rFonts w:ascii="Times New Roman" w:hAnsi="Times New Roman" w:cs="Times New Roman"/>
          <w:sz w:val="24"/>
          <w:szCs w:val="24"/>
        </w:rPr>
        <w:t xml:space="preserve">or </w:t>
      </w:r>
      <w:r w:rsidRPr="00A8694E">
        <w:rPr>
          <w:rFonts w:ascii="Times New Roman" w:hAnsi="Times New Roman" w:cs="Times New Roman"/>
          <w:sz w:val="24"/>
          <w:szCs w:val="24"/>
        </w:rPr>
        <w:t>operating or maintenance costs associated with this information collection.</w:t>
      </w:r>
    </w:p>
    <w:p w:rsidR="00100DF7" w:rsidRPr="00A8694E" w:rsidP="00962896" w14:paraId="29B424E0" w14:textId="77777777">
      <w:pPr>
        <w:pStyle w:val="NoSpacing"/>
        <w:rPr>
          <w:rFonts w:ascii="Times New Roman" w:hAnsi="Times New Roman" w:cs="Times New Roman"/>
          <w:sz w:val="24"/>
          <w:szCs w:val="24"/>
        </w:rPr>
      </w:pPr>
    </w:p>
    <w:p w:rsidR="00BE1521" w:rsidRPr="00A8694E" w:rsidP="00962896" w14:paraId="77A474FA" w14:textId="74CA72FC">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14. </w:t>
      </w:r>
      <w:r w:rsidRPr="00A8694E" w:rsidR="006549E1">
        <w:rPr>
          <w:rFonts w:ascii="Times New Roman" w:hAnsi="Times New Roman" w:cs="Times New Roman"/>
          <w:sz w:val="24"/>
          <w:szCs w:val="24"/>
        </w:rPr>
        <w:t xml:space="preserve">  </w:t>
      </w:r>
      <w:r w:rsidRPr="00A8694E">
        <w:rPr>
          <w:rFonts w:ascii="Times New Roman" w:hAnsi="Times New Roman" w:cs="Times New Roman"/>
          <w:sz w:val="24"/>
          <w:szCs w:val="24"/>
          <w:u w:val="single"/>
        </w:rPr>
        <w:t>Annualized Cost to the Federal Government</w:t>
      </w:r>
    </w:p>
    <w:p w:rsidR="00782D9E" w:rsidRPr="00A8694E" w:rsidP="00962896" w14:paraId="15AA353F" w14:textId="77777777">
      <w:pPr>
        <w:pStyle w:val="NoSpacing"/>
        <w:rPr>
          <w:rFonts w:ascii="Times New Roman" w:hAnsi="Times New Roman" w:cs="Times New Roman"/>
          <w:sz w:val="24"/>
          <w:szCs w:val="24"/>
          <w:highlight w:val="yellow"/>
        </w:rPr>
      </w:pPr>
    </w:p>
    <w:p w:rsidR="00100DF7" w:rsidRPr="00A8694E" w:rsidP="00962896" w14:paraId="7B289806" w14:textId="13F5C955">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Resource allocations are based on factoring wage rates for positions </w:t>
      </w:r>
      <w:r w:rsidRPr="00A8694E" w:rsidR="00EA7CE1">
        <w:rPr>
          <w:rFonts w:ascii="Times New Roman" w:hAnsi="Times New Roman" w:cs="Times New Roman"/>
          <w:sz w:val="24"/>
          <w:szCs w:val="24"/>
        </w:rPr>
        <w:t>ranging from GS-</w:t>
      </w:r>
      <w:r w:rsidRPr="00A8694E" w:rsidR="00131145">
        <w:rPr>
          <w:rFonts w:ascii="Times New Roman" w:hAnsi="Times New Roman" w:cs="Times New Roman"/>
          <w:sz w:val="24"/>
          <w:szCs w:val="24"/>
        </w:rPr>
        <w:t>12</w:t>
      </w:r>
      <w:r w:rsidRPr="00A8694E" w:rsidR="00721E2E">
        <w:rPr>
          <w:rFonts w:ascii="Times New Roman" w:hAnsi="Times New Roman" w:cs="Times New Roman"/>
          <w:sz w:val="24"/>
          <w:szCs w:val="24"/>
        </w:rPr>
        <w:t xml:space="preserve"> </w:t>
      </w:r>
      <w:r w:rsidRPr="00A8694E" w:rsidR="00EA7CE1">
        <w:rPr>
          <w:rFonts w:ascii="Times New Roman" w:hAnsi="Times New Roman" w:cs="Times New Roman"/>
          <w:sz w:val="24"/>
          <w:szCs w:val="24"/>
        </w:rPr>
        <w:t>clerical personnel to GS-15 medical officers ($</w:t>
      </w:r>
      <w:r w:rsidRPr="00A8694E" w:rsidR="00017844">
        <w:rPr>
          <w:rFonts w:ascii="Times New Roman" w:hAnsi="Times New Roman" w:cs="Times New Roman"/>
          <w:sz w:val="24"/>
          <w:szCs w:val="24"/>
        </w:rPr>
        <w:t>1,</w:t>
      </w:r>
      <w:r w:rsidRPr="00A8694E" w:rsidR="006E011D">
        <w:rPr>
          <w:rFonts w:ascii="Times New Roman" w:hAnsi="Times New Roman" w:cs="Times New Roman"/>
          <w:sz w:val="24"/>
          <w:szCs w:val="24"/>
        </w:rPr>
        <w:t>52</w:t>
      </w:r>
      <w:r w:rsidRPr="00A8694E" w:rsidR="00017844">
        <w:rPr>
          <w:rFonts w:ascii="Times New Roman" w:hAnsi="Times New Roman" w:cs="Times New Roman"/>
          <w:sz w:val="24"/>
          <w:szCs w:val="24"/>
        </w:rPr>
        <w:t>0,000</w:t>
      </w:r>
      <w:r w:rsidRPr="00A8694E" w:rsidR="00354C19">
        <w:rPr>
          <w:rFonts w:ascii="Times New Roman" w:hAnsi="Times New Roman" w:cs="Times New Roman"/>
          <w:sz w:val="24"/>
          <w:szCs w:val="24"/>
        </w:rPr>
        <w:t xml:space="preserve"> fo</w:t>
      </w:r>
      <w:r w:rsidRPr="00A8694E" w:rsidR="00EA7CE1">
        <w:rPr>
          <w:rFonts w:ascii="Times New Roman" w:hAnsi="Times New Roman" w:cs="Times New Roman"/>
          <w:sz w:val="24"/>
          <w:szCs w:val="24"/>
        </w:rPr>
        <w:t>r personnel cost</w:t>
      </w:r>
      <w:r w:rsidRPr="00A8694E" w:rsidR="00910A07">
        <w:rPr>
          <w:rFonts w:ascii="Times New Roman" w:hAnsi="Times New Roman" w:cs="Times New Roman"/>
          <w:sz w:val="24"/>
          <w:szCs w:val="24"/>
        </w:rPr>
        <w:t>s</w:t>
      </w:r>
      <w:r w:rsidRPr="00A8694E" w:rsidR="00EA7CE1">
        <w:rPr>
          <w:rFonts w:ascii="Times New Roman" w:hAnsi="Times New Roman" w:cs="Times New Roman"/>
          <w:sz w:val="24"/>
          <w:szCs w:val="24"/>
        </w:rPr>
        <w:t xml:space="preserve"> and benefits and $</w:t>
      </w:r>
      <w:r w:rsidRPr="00A8694E" w:rsidR="00017844">
        <w:rPr>
          <w:rFonts w:ascii="Times New Roman" w:hAnsi="Times New Roman" w:cs="Times New Roman"/>
          <w:sz w:val="24"/>
          <w:szCs w:val="24"/>
        </w:rPr>
        <w:t>3</w:t>
      </w:r>
      <w:r w:rsidRPr="00A8694E" w:rsidR="00EA7CE1">
        <w:rPr>
          <w:rFonts w:ascii="Times New Roman" w:hAnsi="Times New Roman" w:cs="Times New Roman"/>
          <w:sz w:val="24"/>
          <w:szCs w:val="24"/>
        </w:rPr>
        <w:t>,</w:t>
      </w:r>
      <w:r w:rsidRPr="00A8694E" w:rsidR="00354C19">
        <w:rPr>
          <w:rFonts w:ascii="Times New Roman" w:hAnsi="Times New Roman" w:cs="Times New Roman"/>
          <w:sz w:val="24"/>
          <w:szCs w:val="24"/>
        </w:rPr>
        <w:t>0</w:t>
      </w:r>
      <w:r w:rsidRPr="00A8694E" w:rsidR="00EA7CE1">
        <w:rPr>
          <w:rFonts w:ascii="Times New Roman" w:hAnsi="Times New Roman" w:cs="Times New Roman"/>
          <w:sz w:val="24"/>
          <w:szCs w:val="24"/>
        </w:rPr>
        <w:t xml:space="preserve">00 </w:t>
      </w:r>
      <w:r w:rsidRPr="00A8694E" w:rsidR="006E011D">
        <w:rPr>
          <w:rFonts w:ascii="Times New Roman" w:hAnsi="Times New Roman" w:cs="Times New Roman"/>
          <w:sz w:val="24"/>
          <w:szCs w:val="24"/>
        </w:rPr>
        <w:t>f</w:t>
      </w:r>
      <w:r w:rsidRPr="00A8694E" w:rsidR="00EA7CE1">
        <w:rPr>
          <w:rFonts w:ascii="Times New Roman" w:hAnsi="Times New Roman" w:cs="Times New Roman"/>
          <w:sz w:val="24"/>
          <w:szCs w:val="24"/>
        </w:rPr>
        <w:t xml:space="preserve">or operating </w:t>
      </w:r>
      <w:r w:rsidRPr="00A8694E" w:rsidR="006E011D">
        <w:rPr>
          <w:rFonts w:ascii="Times New Roman" w:hAnsi="Times New Roman" w:cs="Times New Roman"/>
          <w:sz w:val="24"/>
          <w:szCs w:val="24"/>
        </w:rPr>
        <w:t>costs</w:t>
      </w:r>
      <w:r w:rsidRPr="00A8694E" w:rsidR="00EA7CE1">
        <w:rPr>
          <w:rFonts w:ascii="Times New Roman" w:hAnsi="Times New Roman" w:cs="Times New Roman"/>
          <w:sz w:val="24"/>
          <w:szCs w:val="24"/>
        </w:rPr>
        <w:t xml:space="preserve"> per year)</w:t>
      </w:r>
      <w:r w:rsidRPr="00A8694E" w:rsidR="00A7276F">
        <w:rPr>
          <w:rFonts w:ascii="Times New Roman" w:hAnsi="Times New Roman" w:cs="Times New Roman"/>
          <w:sz w:val="24"/>
          <w:szCs w:val="24"/>
        </w:rPr>
        <w:t>.</w:t>
      </w:r>
      <w:r w:rsidR="00312C71">
        <w:rPr>
          <w:rFonts w:ascii="Times New Roman" w:hAnsi="Times New Roman" w:cs="Times New Roman"/>
          <w:sz w:val="24"/>
          <w:szCs w:val="24"/>
        </w:rPr>
        <w:t xml:space="preserve">  We currently estimate costs at </w:t>
      </w:r>
      <w:r w:rsidR="00E169C4">
        <w:rPr>
          <w:rFonts w:ascii="Times New Roman" w:hAnsi="Times New Roman" w:cs="Times New Roman"/>
          <w:sz w:val="24"/>
          <w:szCs w:val="24"/>
        </w:rPr>
        <w:t>$2,750,000</w:t>
      </w:r>
      <w:r w:rsidR="00FF2A51">
        <w:rPr>
          <w:rFonts w:ascii="Times New Roman" w:hAnsi="Times New Roman" w:cs="Times New Roman"/>
          <w:sz w:val="24"/>
          <w:szCs w:val="24"/>
        </w:rPr>
        <w:t xml:space="preserve"> based on submissions to the agency.</w:t>
      </w:r>
    </w:p>
    <w:p w:rsidR="00100DF7" w:rsidRPr="00A8694E" w:rsidP="00962896" w14:paraId="6F63B45E" w14:textId="77777777">
      <w:pPr>
        <w:pStyle w:val="NoSpacing"/>
        <w:rPr>
          <w:rFonts w:ascii="Times New Roman" w:hAnsi="Times New Roman" w:cs="Times New Roman"/>
          <w:sz w:val="24"/>
          <w:szCs w:val="24"/>
        </w:rPr>
      </w:pPr>
    </w:p>
    <w:p w:rsidR="00100DF7" w:rsidRPr="00A8694E" w:rsidP="00962896" w14:paraId="5F0B5BEE" w14:textId="77777777">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15.  </w:t>
      </w:r>
      <w:r w:rsidRPr="00A8694E">
        <w:rPr>
          <w:rFonts w:ascii="Times New Roman" w:hAnsi="Times New Roman" w:cs="Times New Roman"/>
          <w:sz w:val="24"/>
          <w:szCs w:val="24"/>
          <w:u w:val="single"/>
        </w:rPr>
        <w:t>Explanation for Program Changes or Adjustments</w:t>
      </w:r>
    </w:p>
    <w:p w:rsidR="002E2FE0" w:rsidRPr="00A8694E" w:rsidP="00962896" w14:paraId="35085610" w14:textId="77777777">
      <w:pPr>
        <w:pStyle w:val="NoSpacing"/>
        <w:rPr>
          <w:rFonts w:ascii="Times New Roman" w:hAnsi="Times New Roman" w:cs="Times New Roman"/>
          <w:sz w:val="24"/>
          <w:szCs w:val="24"/>
        </w:rPr>
      </w:pPr>
    </w:p>
    <w:p w:rsidR="001E373B" w:rsidRPr="00A8694E" w:rsidP="00962896" w14:paraId="2C6A56D4" w14:textId="0312C3F1">
      <w:pPr>
        <w:pStyle w:val="NoSpacing"/>
        <w:rPr>
          <w:rFonts w:ascii="Times New Roman" w:hAnsi="Times New Roman" w:cs="Times New Roman"/>
          <w:sz w:val="24"/>
          <w:szCs w:val="24"/>
        </w:rPr>
      </w:pPr>
      <w:r>
        <w:rPr>
          <w:rFonts w:ascii="Times New Roman" w:hAnsi="Times New Roman" w:cs="Times New Roman"/>
          <w:sz w:val="24"/>
          <w:szCs w:val="24"/>
        </w:rPr>
        <w:t>W</w:t>
      </w:r>
      <w:r w:rsidRPr="00AA1863">
        <w:rPr>
          <w:rFonts w:ascii="Times New Roman" w:hAnsi="Times New Roman" w:cs="Times New Roman"/>
          <w:sz w:val="24"/>
          <w:szCs w:val="24"/>
        </w:rPr>
        <w:t xml:space="preserve">e </w:t>
      </w:r>
      <w:r>
        <w:rPr>
          <w:rFonts w:ascii="Times New Roman" w:hAnsi="Times New Roman" w:cs="Times New Roman"/>
          <w:sz w:val="24"/>
          <w:szCs w:val="24"/>
        </w:rPr>
        <w:t xml:space="preserve">have </w:t>
      </w:r>
      <w:r w:rsidRPr="00AA1863">
        <w:rPr>
          <w:rFonts w:ascii="Times New Roman" w:hAnsi="Times New Roman" w:cs="Times New Roman"/>
          <w:sz w:val="24"/>
          <w:szCs w:val="24"/>
        </w:rPr>
        <w:t xml:space="preserve">adjusted our burden estimate to reflect an overall </w:t>
      </w:r>
      <w:r w:rsidRPr="009F6400">
        <w:rPr>
          <w:rFonts w:ascii="Times New Roman" w:hAnsi="Times New Roman" w:cs="Times New Roman"/>
          <w:b/>
          <w:bCs/>
          <w:sz w:val="24"/>
          <w:szCs w:val="24"/>
        </w:rPr>
        <w:t xml:space="preserve">increase of </w:t>
      </w:r>
      <w:r w:rsidRPr="009F6400" w:rsidR="00934F2B">
        <w:rPr>
          <w:rFonts w:ascii="Times New Roman" w:hAnsi="Times New Roman" w:cs="Times New Roman"/>
          <w:b/>
          <w:bCs/>
          <w:sz w:val="24"/>
          <w:szCs w:val="24"/>
        </w:rPr>
        <w:t xml:space="preserve">50,616 </w:t>
      </w:r>
      <w:r w:rsidRPr="009F6400">
        <w:rPr>
          <w:rFonts w:ascii="Times New Roman" w:hAnsi="Times New Roman" w:cs="Times New Roman"/>
          <w:b/>
          <w:bCs/>
          <w:sz w:val="24"/>
          <w:szCs w:val="24"/>
        </w:rPr>
        <w:t>hours</w:t>
      </w:r>
      <w:r w:rsidRPr="00AA1863">
        <w:rPr>
          <w:rFonts w:ascii="Times New Roman" w:hAnsi="Times New Roman" w:cs="Times New Roman"/>
          <w:sz w:val="24"/>
          <w:szCs w:val="24"/>
        </w:rPr>
        <w:t xml:space="preserve"> and </w:t>
      </w:r>
      <w:r w:rsidRPr="009F6400" w:rsidR="00934F2B">
        <w:rPr>
          <w:rFonts w:ascii="Times New Roman" w:hAnsi="Times New Roman" w:cs="Times New Roman"/>
          <w:b/>
          <w:bCs/>
          <w:sz w:val="24"/>
          <w:szCs w:val="24"/>
        </w:rPr>
        <w:t>1,036</w:t>
      </w:r>
      <w:r w:rsidRPr="009F6400">
        <w:rPr>
          <w:rFonts w:ascii="Times New Roman" w:hAnsi="Times New Roman" w:cs="Times New Roman"/>
          <w:b/>
          <w:bCs/>
          <w:sz w:val="24"/>
          <w:szCs w:val="24"/>
        </w:rPr>
        <w:t xml:space="preserve"> records </w:t>
      </w:r>
      <w:r w:rsidRPr="00AA1863">
        <w:rPr>
          <w:rFonts w:ascii="Times New Roman" w:hAnsi="Times New Roman" w:cs="Times New Roman"/>
          <w:sz w:val="24"/>
          <w:szCs w:val="24"/>
        </w:rPr>
        <w:t>annually</w:t>
      </w:r>
      <w:r w:rsidR="00934F2B">
        <w:rPr>
          <w:rFonts w:ascii="Times New Roman" w:hAnsi="Times New Roman" w:cs="Times New Roman"/>
          <w:sz w:val="24"/>
          <w:szCs w:val="24"/>
        </w:rPr>
        <w:t xml:space="preserve">, noting an inadvertent error in </w:t>
      </w:r>
      <w:r w:rsidR="0023491B">
        <w:rPr>
          <w:rFonts w:ascii="Times New Roman" w:hAnsi="Times New Roman" w:cs="Times New Roman"/>
          <w:sz w:val="24"/>
          <w:szCs w:val="24"/>
        </w:rPr>
        <w:t xml:space="preserve">our </w:t>
      </w:r>
      <w:r w:rsidRPr="0022295B" w:rsidR="00B3079E">
        <w:rPr>
          <w:rFonts w:ascii="Times New Roman" w:hAnsi="Times New Roman" w:cs="Times New Roman"/>
          <w:i/>
          <w:iCs/>
          <w:sz w:val="24"/>
          <w:szCs w:val="24"/>
        </w:rPr>
        <w:t>Fed</w:t>
      </w:r>
      <w:r w:rsidR="0023491B">
        <w:rPr>
          <w:rFonts w:ascii="Times New Roman" w:hAnsi="Times New Roman" w:cs="Times New Roman"/>
          <w:i/>
          <w:iCs/>
          <w:sz w:val="24"/>
          <w:szCs w:val="24"/>
        </w:rPr>
        <w:t>eral</w:t>
      </w:r>
      <w:r w:rsidRPr="0022295B" w:rsidR="00B3079E">
        <w:rPr>
          <w:rFonts w:ascii="Times New Roman" w:hAnsi="Times New Roman" w:cs="Times New Roman"/>
          <w:i/>
          <w:iCs/>
          <w:sz w:val="24"/>
          <w:szCs w:val="24"/>
        </w:rPr>
        <w:t xml:space="preserve"> Reg</w:t>
      </w:r>
      <w:r w:rsidR="0023491B">
        <w:rPr>
          <w:rFonts w:ascii="Times New Roman" w:hAnsi="Times New Roman" w:cs="Times New Roman"/>
          <w:i/>
          <w:iCs/>
          <w:sz w:val="24"/>
          <w:szCs w:val="24"/>
        </w:rPr>
        <w:t xml:space="preserve">ister </w:t>
      </w:r>
      <w:r w:rsidR="00B3079E">
        <w:rPr>
          <w:rFonts w:ascii="Times New Roman" w:hAnsi="Times New Roman" w:cs="Times New Roman"/>
          <w:sz w:val="24"/>
          <w:szCs w:val="24"/>
        </w:rPr>
        <w:t xml:space="preserve">notice which communicated an increase of </w:t>
      </w:r>
      <w:r w:rsidR="009F6400">
        <w:rPr>
          <w:rFonts w:ascii="Times New Roman" w:hAnsi="Times New Roman" w:cs="Times New Roman"/>
          <w:sz w:val="24"/>
          <w:szCs w:val="24"/>
        </w:rPr>
        <w:t xml:space="preserve">only </w:t>
      </w:r>
      <w:r w:rsidR="00B3079E">
        <w:rPr>
          <w:rFonts w:ascii="Times New Roman" w:hAnsi="Times New Roman" w:cs="Times New Roman"/>
          <w:sz w:val="24"/>
          <w:szCs w:val="24"/>
        </w:rPr>
        <w:t>766 hours, although the summary burden table</w:t>
      </w:r>
      <w:r w:rsidR="00A26F43">
        <w:rPr>
          <w:rFonts w:ascii="Times New Roman" w:hAnsi="Times New Roman" w:cs="Times New Roman"/>
          <w:sz w:val="24"/>
          <w:szCs w:val="24"/>
        </w:rPr>
        <w:t xml:space="preserve"> was presented correctly</w:t>
      </w:r>
      <w:r w:rsidRPr="00AA1863">
        <w:rPr>
          <w:rFonts w:ascii="Times New Roman" w:hAnsi="Times New Roman" w:cs="Times New Roman"/>
          <w:sz w:val="24"/>
          <w:szCs w:val="24"/>
        </w:rPr>
        <w:t>.  We attribute th</w:t>
      </w:r>
      <w:r w:rsidR="00A26F43">
        <w:rPr>
          <w:rFonts w:ascii="Times New Roman" w:hAnsi="Times New Roman" w:cs="Times New Roman"/>
          <w:sz w:val="24"/>
          <w:szCs w:val="24"/>
        </w:rPr>
        <w:t>e</w:t>
      </w:r>
      <w:r w:rsidRPr="00AA1863">
        <w:rPr>
          <w:rFonts w:ascii="Times New Roman" w:hAnsi="Times New Roman" w:cs="Times New Roman"/>
          <w:sz w:val="24"/>
          <w:szCs w:val="24"/>
        </w:rPr>
        <w:t xml:space="preserve"> adjustment to an increase in the number of submissions, amendments, and annual reports</w:t>
      </w:r>
      <w:r w:rsidR="00A26F43">
        <w:rPr>
          <w:rFonts w:ascii="Times New Roman" w:hAnsi="Times New Roman" w:cs="Times New Roman"/>
          <w:sz w:val="24"/>
          <w:szCs w:val="24"/>
        </w:rPr>
        <w:t>, as well as a comprehensive evaluation of the information collection.</w:t>
      </w:r>
    </w:p>
    <w:p w:rsidR="002E2FE0" w:rsidRPr="00A8694E" w:rsidP="00962896" w14:paraId="1C9E8760" w14:textId="77777777">
      <w:pPr>
        <w:pStyle w:val="NoSpacing"/>
        <w:rPr>
          <w:rFonts w:ascii="Times New Roman" w:hAnsi="Times New Roman" w:cs="Times New Roman"/>
          <w:sz w:val="24"/>
          <w:szCs w:val="24"/>
          <w:highlight w:val="yellow"/>
        </w:rPr>
      </w:pPr>
    </w:p>
    <w:p w:rsidR="00100DF7" w:rsidRPr="00A8694E" w:rsidP="00962896" w14:paraId="0691DD75" w14:textId="77777777">
      <w:pPr>
        <w:pStyle w:val="NoSpacing"/>
        <w:rPr>
          <w:rFonts w:ascii="Times New Roman" w:hAnsi="Times New Roman" w:cs="Times New Roman"/>
          <w:sz w:val="24"/>
          <w:szCs w:val="24"/>
        </w:rPr>
      </w:pPr>
      <w:r w:rsidRPr="00A8694E">
        <w:rPr>
          <w:rFonts w:ascii="Times New Roman" w:hAnsi="Times New Roman" w:cs="Times New Roman"/>
          <w:sz w:val="24"/>
          <w:szCs w:val="24"/>
        </w:rPr>
        <w:t xml:space="preserve">16. </w:t>
      </w:r>
      <w:r w:rsidRPr="00A8694E">
        <w:rPr>
          <w:rFonts w:ascii="Times New Roman" w:hAnsi="Times New Roman" w:cs="Times New Roman"/>
          <w:sz w:val="24"/>
          <w:szCs w:val="24"/>
          <w:u w:val="single"/>
        </w:rPr>
        <w:t>Plans for Tabulation and Publication and Project Time Schedule</w:t>
      </w:r>
    </w:p>
    <w:p w:rsidR="00100DF7" w:rsidRPr="00A8694E" w:rsidP="00962896" w14:paraId="24E98E33" w14:textId="77777777">
      <w:pPr>
        <w:pStyle w:val="NoSpacing"/>
        <w:rPr>
          <w:rFonts w:ascii="Times New Roman" w:hAnsi="Times New Roman" w:cs="Times New Roman"/>
          <w:sz w:val="24"/>
          <w:szCs w:val="24"/>
        </w:rPr>
      </w:pPr>
    </w:p>
    <w:p w:rsidR="00100DF7" w:rsidRPr="00A8694E" w:rsidP="00962896" w14:paraId="2F00F2F3" w14:textId="77777777">
      <w:pPr>
        <w:pStyle w:val="NoSpacing"/>
        <w:rPr>
          <w:rFonts w:ascii="Times New Roman" w:hAnsi="Times New Roman" w:cs="Times New Roman"/>
          <w:sz w:val="24"/>
          <w:szCs w:val="24"/>
        </w:rPr>
      </w:pPr>
      <w:r w:rsidRPr="00A8694E">
        <w:rPr>
          <w:rFonts w:ascii="Times New Roman" w:hAnsi="Times New Roman" w:cs="Times New Roman"/>
          <w:sz w:val="24"/>
          <w:szCs w:val="24"/>
        </w:rPr>
        <w:t>The objectives of the collection are not for publication of statistical material and do not employ statistical methods.</w:t>
      </w:r>
    </w:p>
    <w:p w:rsidR="00100DF7" w:rsidRPr="00A8694E" w:rsidP="00962896" w14:paraId="0BA25701" w14:textId="77777777">
      <w:pPr>
        <w:pStyle w:val="NoSpacing"/>
        <w:rPr>
          <w:rFonts w:ascii="Times New Roman" w:hAnsi="Times New Roman" w:cs="Times New Roman"/>
          <w:sz w:val="24"/>
          <w:szCs w:val="24"/>
        </w:rPr>
      </w:pPr>
    </w:p>
    <w:p w:rsidR="00A7276F" w:rsidRPr="00A8694E" w:rsidP="00962896" w14:paraId="5BFB0DE4" w14:textId="1322CF50">
      <w:pPr>
        <w:pStyle w:val="NoSpacing"/>
        <w:rPr>
          <w:rFonts w:ascii="Times New Roman" w:hAnsi="Times New Roman" w:cs="Times New Roman"/>
          <w:sz w:val="24"/>
          <w:szCs w:val="24"/>
        </w:rPr>
      </w:pPr>
      <w:r w:rsidRPr="00A8694E">
        <w:rPr>
          <w:rFonts w:ascii="Times New Roman" w:hAnsi="Times New Roman" w:cs="Times New Roman"/>
          <w:sz w:val="24"/>
          <w:szCs w:val="24"/>
        </w:rPr>
        <w:t>17.</w:t>
      </w:r>
      <w:r w:rsidRPr="00A8694E" w:rsidR="006109DB">
        <w:rPr>
          <w:rFonts w:ascii="Times New Roman" w:hAnsi="Times New Roman" w:cs="Times New Roman"/>
          <w:sz w:val="24"/>
          <w:szCs w:val="24"/>
        </w:rPr>
        <w:t xml:space="preserve">  </w:t>
      </w:r>
      <w:r w:rsidRPr="00A8694E">
        <w:rPr>
          <w:rFonts w:ascii="Times New Roman" w:hAnsi="Times New Roman" w:cs="Times New Roman"/>
          <w:sz w:val="24"/>
          <w:szCs w:val="24"/>
          <w:u w:val="single"/>
        </w:rPr>
        <w:t>Reason(s) Display of OMB Expiration Date is Inappropriate</w:t>
      </w:r>
    </w:p>
    <w:p w:rsidR="00A7276F" w:rsidRPr="00A8694E" w:rsidP="00962896" w14:paraId="3BD38069" w14:textId="77777777">
      <w:pPr>
        <w:pStyle w:val="NoSpacing"/>
        <w:rPr>
          <w:rFonts w:ascii="Times New Roman" w:hAnsi="Times New Roman" w:cs="Times New Roman"/>
          <w:sz w:val="24"/>
          <w:szCs w:val="24"/>
        </w:rPr>
      </w:pPr>
    </w:p>
    <w:p w:rsidR="00100DF7" w:rsidRPr="00A8694E" w:rsidP="00A7276F" w14:paraId="089EF790" w14:textId="74E64314">
      <w:pPr>
        <w:pStyle w:val="NoSpacing"/>
        <w:rPr>
          <w:rFonts w:ascii="Times New Roman" w:hAnsi="Times New Roman" w:cs="Times New Roman"/>
          <w:sz w:val="24"/>
          <w:szCs w:val="24"/>
        </w:rPr>
      </w:pPr>
      <w:r w:rsidRPr="00A8694E">
        <w:rPr>
          <w:rFonts w:ascii="Times New Roman" w:hAnsi="Times New Roman" w:cs="Times New Roman"/>
          <w:sz w:val="24"/>
          <w:szCs w:val="24"/>
        </w:rPr>
        <w:t>Display of the OMB Expiration Date is appropriate.</w:t>
      </w:r>
      <w:r w:rsidR="00540464">
        <w:rPr>
          <w:rFonts w:ascii="Times New Roman" w:hAnsi="Times New Roman" w:cs="Times New Roman"/>
          <w:sz w:val="24"/>
          <w:szCs w:val="24"/>
        </w:rPr>
        <w:t xml:space="preserve"> </w:t>
      </w:r>
      <w:r w:rsidRPr="00540464" w:rsidR="00540464">
        <w:rPr>
          <w:rFonts w:ascii="Times New Roman" w:hAnsi="Times New Roman" w:cs="Times New Roman"/>
          <w:sz w:val="24"/>
          <w:szCs w:val="24"/>
        </w:rPr>
        <w:t xml:space="preserve">Consistent with established practice, FDA publishes a Federal Register notice announcing OMB approval of information collection associated with the guidance document specifically discussed in this supporting statement and displays in that notice both the OMB control number and its current expiration date. In addition, FDA displays the OMB control number on the guidance document cover page and includes a link to </w:t>
      </w:r>
      <w:hyperlink r:id="rId8" w:history="1">
        <w:r w:rsidRPr="00416F1B" w:rsidR="00540464">
          <w:rPr>
            <w:rStyle w:val="Hyperlink"/>
            <w:rFonts w:ascii="Times New Roman" w:hAnsi="Times New Roman" w:cs="Times New Roman"/>
            <w:sz w:val="24"/>
            <w:szCs w:val="24"/>
          </w:rPr>
          <w:t>www.reginfo.gov</w:t>
        </w:r>
      </w:hyperlink>
      <w:r w:rsidRPr="00540464" w:rsidR="00540464">
        <w:rPr>
          <w:rFonts w:ascii="Times New Roman" w:hAnsi="Times New Roman" w:cs="Times New Roman"/>
          <w:sz w:val="24"/>
          <w:szCs w:val="24"/>
        </w:rPr>
        <w:t xml:space="preserve"> to identify the current expiration date.</w:t>
      </w:r>
    </w:p>
    <w:p w:rsidR="00100DF7" w:rsidRPr="00A8694E" w:rsidP="00962896" w14:paraId="558C0C3A" w14:textId="77777777">
      <w:pPr>
        <w:pStyle w:val="NoSpacing"/>
        <w:rPr>
          <w:rFonts w:ascii="Times New Roman" w:hAnsi="Times New Roman" w:cs="Times New Roman"/>
          <w:sz w:val="24"/>
          <w:szCs w:val="24"/>
        </w:rPr>
      </w:pPr>
    </w:p>
    <w:p w:rsidR="00100DF7" w:rsidRPr="00A8694E" w:rsidP="00962896" w14:paraId="4824932B" w14:textId="66112E10">
      <w:pPr>
        <w:pStyle w:val="NoSpacing"/>
        <w:rPr>
          <w:rFonts w:ascii="Times New Roman" w:hAnsi="Times New Roman" w:cs="Times New Roman"/>
          <w:sz w:val="24"/>
          <w:szCs w:val="24"/>
        </w:rPr>
      </w:pPr>
      <w:r w:rsidRPr="00A8694E">
        <w:rPr>
          <w:rFonts w:ascii="Times New Roman" w:hAnsi="Times New Roman" w:cs="Times New Roman"/>
          <w:sz w:val="24"/>
          <w:szCs w:val="24"/>
        </w:rPr>
        <w:t>18.</w:t>
      </w:r>
      <w:r w:rsidRPr="00A8694E" w:rsidR="006109DB">
        <w:rPr>
          <w:rFonts w:ascii="Times New Roman" w:hAnsi="Times New Roman" w:cs="Times New Roman"/>
          <w:sz w:val="24"/>
          <w:szCs w:val="24"/>
        </w:rPr>
        <w:t xml:space="preserve">  </w:t>
      </w:r>
      <w:r w:rsidRPr="00A8694E">
        <w:rPr>
          <w:rFonts w:ascii="Times New Roman" w:hAnsi="Times New Roman" w:cs="Times New Roman"/>
          <w:sz w:val="24"/>
          <w:szCs w:val="24"/>
          <w:u w:val="single"/>
        </w:rPr>
        <w:t>Exceptions to Certification for Paperwork Reduction Act Submissions</w:t>
      </w:r>
    </w:p>
    <w:p w:rsidR="00100DF7" w:rsidRPr="00A8694E" w:rsidP="00962896" w14:paraId="3E2EBBFA" w14:textId="77777777">
      <w:pPr>
        <w:pStyle w:val="NoSpacing"/>
        <w:rPr>
          <w:rFonts w:ascii="Times New Roman" w:hAnsi="Times New Roman" w:cs="Times New Roman"/>
          <w:sz w:val="24"/>
          <w:szCs w:val="24"/>
        </w:rPr>
      </w:pPr>
    </w:p>
    <w:p w:rsidR="00CB7721" w:rsidRPr="00A8694E" w:rsidP="00962896" w14:paraId="4B3851A3" w14:textId="4DABB5B3">
      <w:pPr>
        <w:pStyle w:val="NoSpacing"/>
        <w:rPr>
          <w:rFonts w:ascii="Times New Roman" w:hAnsi="Times New Roman" w:cs="Times New Roman"/>
          <w:sz w:val="24"/>
          <w:szCs w:val="24"/>
        </w:rPr>
      </w:pPr>
      <w:r w:rsidRPr="00A8694E">
        <w:rPr>
          <w:rFonts w:ascii="Times New Roman" w:hAnsi="Times New Roman" w:cs="Times New Roman"/>
          <w:sz w:val="24"/>
          <w:szCs w:val="24"/>
        </w:rPr>
        <w:t>There are no exceptions to the certification.</w:t>
      </w:r>
    </w:p>
    <w:sectPr w:rsidSect="00271304">
      <w:headerReference w:type="default" r:id="rId9"/>
      <w:footerReference w:type="default" r:id="rId10"/>
      <w:pgSz w:w="12240" w:h="15840"/>
      <w:pgMar w:top="1440" w:right="1440" w:bottom="1440" w:left="1584" w:header="720" w:footer="76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2812582"/>
      <w:docPartObj>
        <w:docPartGallery w:val="Page Numbers (Bottom of Page)"/>
        <w:docPartUnique/>
      </w:docPartObj>
    </w:sdtPr>
    <w:sdtEndPr>
      <w:rPr>
        <w:noProof/>
      </w:rPr>
    </w:sdtEndPr>
    <w:sdtContent>
      <w:p w:rsidR="00E61B35" w14:paraId="388E44B4" w14:textId="77777777">
        <w:pPr>
          <w:pStyle w:val="Footer"/>
          <w:jc w:val="center"/>
        </w:pPr>
      </w:p>
      <w:p w:rsidR="00E61B35" w14:paraId="21AC9FBA" w14:textId="77777777">
        <w:pPr>
          <w:pStyle w:val="Footer"/>
          <w:jc w:val="center"/>
        </w:pPr>
      </w:p>
      <w:p w:rsidR="007E159B" w14:paraId="39E53878" w14:textId="6C3E00AB">
        <w:pPr>
          <w:pStyle w:val="Footer"/>
          <w:jc w:val="center"/>
        </w:pPr>
        <w:r w:rsidRPr="00F002DD">
          <w:rPr>
            <w:rFonts w:ascii="Times New Roman" w:hAnsi="Times New Roman" w:cs="Times New Roman"/>
            <w:sz w:val="24"/>
            <w:szCs w:val="24"/>
          </w:rPr>
          <w:fldChar w:fldCharType="begin"/>
        </w:r>
        <w:r w:rsidRPr="00F002DD">
          <w:rPr>
            <w:rFonts w:ascii="Times New Roman" w:hAnsi="Times New Roman" w:cs="Times New Roman"/>
            <w:sz w:val="24"/>
            <w:szCs w:val="24"/>
          </w:rPr>
          <w:instrText xml:space="preserve"> PAGE   \* MERGEFORMAT </w:instrText>
        </w:r>
        <w:r w:rsidRPr="00F002DD">
          <w:rPr>
            <w:rFonts w:ascii="Times New Roman" w:hAnsi="Times New Roman" w:cs="Times New Roman"/>
            <w:sz w:val="24"/>
            <w:szCs w:val="24"/>
          </w:rPr>
          <w:fldChar w:fldCharType="separate"/>
        </w:r>
        <w:r w:rsidRPr="00F002DD" w:rsidR="00472C57">
          <w:rPr>
            <w:rFonts w:ascii="Times New Roman" w:hAnsi="Times New Roman" w:cs="Times New Roman"/>
            <w:noProof/>
            <w:sz w:val="24"/>
            <w:szCs w:val="24"/>
          </w:rPr>
          <w:t>1</w:t>
        </w:r>
        <w:r w:rsidRPr="00F002DD">
          <w:rPr>
            <w:rFonts w:ascii="Times New Roman" w:hAnsi="Times New Roman" w:cs="Times New Roman"/>
            <w:noProof/>
            <w:sz w:val="24"/>
            <w:szCs w:val="24"/>
          </w:rPr>
          <w:fldChar w:fldCharType="end"/>
        </w:r>
      </w:p>
    </w:sdtContent>
  </w:sdt>
  <w:p w:rsidR="007E159B" w14:paraId="29B437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59B" w14:paraId="7B81CEC2" w14:textId="7777777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216B0"/>
    <w:multiLevelType w:val="hybridMultilevel"/>
    <w:tmpl w:val="DE7234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4F10341"/>
    <w:multiLevelType w:val="hybridMultilevel"/>
    <w:tmpl w:val="B51A53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1A95330"/>
    <w:multiLevelType w:val="hybridMultilevel"/>
    <w:tmpl w:val="28046EF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num w:numId="1" w16cid:durableId="310838724">
    <w:abstractNumId w:val="2"/>
  </w:num>
  <w:num w:numId="2" w16cid:durableId="2111536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620618">
    <w:abstractNumId w:val="5"/>
  </w:num>
  <w:num w:numId="4" w16cid:durableId="1176723036">
    <w:abstractNumId w:val="3"/>
  </w:num>
  <w:num w:numId="5" w16cid:durableId="1841966861">
    <w:abstractNumId w:val="4"/>
  </w:num>
  <w:num w:numId="6" w16cid:durableId="448620962">
    <w:abstractNumId w:val="6"/>
  </w:num>
  <w:num w:numId="7" w16cid:durableId="505486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F7"/>
    <w:rsid w:val="0000174F"/>
    <w:rsid w:val="0000752C"/>
    <w:rsid w:val="0000768F"/>
    <w:rsid w:val="00014FDE"/>
    <w:rsid w:val="0001526D"/>
    <w:rsid w:val="00017844"/>
    <w:rsid w:val="00020D9C"/>
    <w:rsid w:val="00022674"/>
    <w:rsid w:val="000320DA"/>
    <w:rsid w:val="000336BB"/>
    <w:rsid w:val="000557F7"/>
    <w:rsid w:val="0005711C"/>
    <w:rsid w:val="00060325"/>
    <w:rsid w:val="00060C46"/>
    <w:rsid w:val="00064BAC"/>
    <w:rsid w:val="0006720F"/>
    <w:rsid w:val="0007006B"/>
    <w:rsid w:val="00070F55"/>
    <w:rsid w:val="000C0AFD"/>
    <w:rsid w:val="000D3496"/>
    <w:rsid w:val="000E4B7A"/>
    <w:rsid w:val="000E767D"/>
    <w:rsid w:val="000F0BE4"/>
    <w:rsid w:val="000F2053"/>
    <w:rsid w:val="000F68AA"/>
    <w:rsid w:val="000F6D02"/>
    <w:rsid w:val="00100DF7"/>
    <w:rsid w:val="001028DB"/>
    <w:rsid w:val="00103F5C"/>
    <w:rsid w:val="00111B9E"/>
    <w:rsid w:val="001200BB"/>
    <w:rsid w:val="00131145"/>
    <w:rsid w:val="001328F9"/>
    <w:rsid w:val="001332D2"/>
    <w:rsid w:val="00134777"/>
    <w:rsid w:val="001351B7"/>
    <w:rsid w:val="001403AC"/>
    <w:rsid w:val="001433B5"/>
    <w:rsid w:val="00146269"/>
    <w:rsid w:val="00147B4D"/>
    <w:rsid w:val="0015529F"/>
    <w:rsid w:val="00167F5C"/>
    <w:rsid w:val="00176389"/>
    <w:rsid w:val="00183ADC"/>
    <w:rsid w:val="001875A7"/>
    <w:rsid w:val="001921F3"/>
    <w:rsid w:val="00194DFE"/>
    <w:rsid w:val="00196CD3"/>
    <w:rsid w:val="001A7BB9"/>
    <w:rsid w:val="001B0F57"/>
    <w:rsid w:val="001B39E0"/>
    <w:rsid w:val="001C1C50"/>
    <w:rsid w:val="001C5CEB"/>
    <w:rsid w:val="001D0A60"/>
    <w:rsid w:val="001E373B"/>
    <w:rsid w:val="001F6EFA"/>
    <w:rsid w:val="002002CC"/>
    <w:rsid w:val="00214960"/>
    <w:rsid w:val="00222209"/>
    <w:rsid w:val="0022295B"/>
    <w:rsid w:val="0023491B"/>
    <w:rsid w:val="00242E33"/>
    <w:rsid w:val="00250DEE"/>
    <w:rsid w:val="00253199"/>
    <w:rsid w:val="0025513E"/>
    <w:rsid w:val="00271304"/>
    <w:rsid w:val="00271839"/>
    <w:rsid w:val="00272D1F"/>
    <w:rsid w:val="002754E0"/>
    <w:rsid w:val="00276541"/>
    <w:rsid w:val="0029707E"/>
    <w:rsid w:val="00297E3B"/>
    <w:rsid w:val="002B0496"/>
    <w:rsid w:val="002B1C59"/>
    <w:rsid w:val="002B22F2"/>
    <w:rsid w:val="002B5831"/>
    <w:rsid w:val="002C0411"/>
    <w:rsid w:val="002C3BDA"/>
    <w:rsid w:val="002D78D1"/>
    <w:rsid w:val="002E2FE0"/>
    <w:rsid w:val="002E5D15"/>
    <w:rsid w:val="002F1533"/>
    <w:rsid w:val="002F385D"/>
    <w:rsid w:val="00312C71"/>
    <w:rsid w:val="00322798"/>
    <w:rsid w:val="00323F68"/>
    <w:rsid w:val="003334D3"/>
    <w:rsid w:val="0033767E"/>
    <w:rsid w:val="003423C5"/>
    <w:rsid w:val="003429F5"/>
    <w:rsid w:val="003436FA"/>
    <w:rsid w:val="00351BD2"/>
    <w:rsid w:val="00354C19"/>
    <w:rsid w:val="00354CB5"/>
    <w:rsid w:val="00361076"/>
    <w:rsid w:val="003650D2"/>
    <w:rsid w:val="00366120"/>
    <w:rsid w:val="00370642"/>
    <w:rsid w:val="0037311E"/>
    <w:rsid w:val="003872F5"/>
    <w:rsid w:val="003A202A"/>
    <w:rsid w:val="003A2521"/>
    <w:rsid w:val="003A599B"/>
    <w:rsid w:val="003A6D4C"/>
    <w:rsid w:val="003B27A1"/>
    <w:rsid w:val="003B764D"/>
    <w:rsid w:val="003B7C7B"/>
    <w:rsid w:val="003C316F"/>
    <w:rsid w:val="003C772C"/>
    <w:rsid w:val="003E03CA"/>
    <w:rsid w:val="003E1470"/>
    <w:rsid w:val="003E4BB1"/>
    <w:rsid w:val="003E4E5A"/>
    <w:rsid w:val="003E5F18"/>
    <w:rsid w:val="003E6A66"/>
    <w:rsid w:val="003E7CD4"/>
    <w:rsid w:val="003F3CCE"/>
    <w:rsid w:val="003F7FD2"/>
    <w:rsid w:val="00405970"/>
    <w:rsid w:val="00405BE8"/>
    <w:rsid w:val="00405C95"/>
    <w:rsid w:val="00407803"/>
    <w:rsid w:val="00412B1B"/>
    <w:rsid w:val="00414054"/>
    <w:rsid w:val="00416F1B"/>
    <w:rsid w:val="00422B14"/>
    <w:rsid w:val="00424672"/>
    <w:rsid w:val="00426974"/>
    <w:rsid w:val="00427110"/>
    <w:rsid w:val="00427E03"/>
    <w:rsid w:val="004306ED"/>
    <w:rsid w:val="0044154F"/>
    <w:rsid w:val="00444113"/>
    <w:rsid w:val="0044784C"/>
    <w:rsid w:val="004513D4"/>
    <w:rsid w:val="00466CF4"/>
    <w:rsid w:val="00472C57"/>
    <w:rsid w:val="00472CF9"/>
    <w:rsid w:val="004765CB"/>
    <w:rsid w:val="004906BE"/>
    <w:rsid w:val="004939E6"/>
    <w:rsid w:val="004A1279"/>
    <w:rsid w:val="004A434F"/>
    <w:rsid w:val="004B3DEB"/>
    <w:rsid w:val="004B58FE"/>
    <w:rsid w:val="004C3844"/>
    <w:rsid w:val="004D573D"/>
    <w:rsid w:val="004E48DC"/>
    <w:rsid w:val="004E6C10"/>
    <w:rsid w:val="004E7B6C"/>
    <w:rsid w:val="004F4B30"/>
    <w:rsid w:val="004F6E28"/>
    <w:rsid w:val="00503C62"/>
    <w:rsid w:val="00513C3D"/>
    <w:rsid w:val="00520539"/>
    <w:rsid w:val="005326D7"/>
    <w:rsid w:val="00533112"/>
    <w:rsid w:val="00533C6F"/>
    <w:rsid w:val="005352A3"/>
    <w:rsid w:val="005403D4"/>
    <w:rsid w:val="00540464"/>
    <w:rsid w:val="00550C9F"/>
    <w:rsid w:val="005534EC"/>
    <w:rsid w:val="00566558"/>
    <w:rsid w:val="005718E7"/>
    <w:rsid w:val="00580E0E"/>
    <w:rsid w:val="005825DB"/>
    <w:rsid w:val="005907AC"/>
    <w:rsid w:val="005A5F18"/>
    <w:rsid w:val="005B2870"/>
    <w:rsid w:val="005B3AA1"/>
    <w:rsid w:val="005B6E58"/>
    <w:rsid w:val="005B7A78"/>
    <w:rsid w:val="005D00F8"/>
    <w:rsid w:val="005D3D6D"/>
    <w:rsid w:val="005D7F0B"/>
    <w:rsid w:val="005E273A"/>
    <w:rsid w:val="005F1E79"/>
    <w:rsid w:val="005F5B46"/>
    <w:rsid w:val="005F5B64"/>
    <w:rsid w:val="00602E27"/>
    <w:rsid w:val="006109DB"/>
    <w:rsid w:val="006172CA"/>
    <w:rsid w:val="006244A3"/>
    <w:rsid w:val="006307C5"/>
    <w:rsid w:val="006311C9"/>
    <w:rsid w:val="006549E1"/>
    <w:rsid w:val="006716E6"/>
    <w:rsid w:val="00687BF8"/>
    <w:rsid w:val="0069154A"/>
    <w:rsid w:val="006A1FBA"/>
    <w:rsid w:val="006B01E8"/>
    <w:rsid w:val="006B074A"/>
    <w:rsid w:val="006B613C"/>
    <w:rsid w:val="006C69DA"/>
    <w:rsid w:val="006C7D8F"/>
    <w:rsid w:val="006D1294"/>
    <w:rsid w:val="006E011D"/>
    <w:rsid w:val="006F0E1F"/>
    <w:rsid w:val="006F1113"/>
    <w:rsid w:val="006F31FD"/>
    <w:rsid w:val="0070002B"/>
    <w:rsid w:val="00705175"/>
    <w:rsid w:val="007061F9"/>
    <w:rsid w:val="007079AE"/>
    <w:rsid w:val="00711B15"/>
    <w:rsid w:val="00721E2E"/>
    <w:rsid w:val="00723B9D"/>
    <w:rsid w:val="00726679"/>
    <w:rsid w:val="007351C6"/>
    <w:rsid w:val="0073766A"/>
    <w:rsid w:val="00753A4E"/>
    <w:rsid w:val="00754E4E"/>
    <w:rsid w:val="007721F0"/>
    <w:rsid w:val="00776E76"/>
    <w:rsid w:val="00780E7C"/>
    <w:rsid w:val="00782D9E"/>
    <w:rsid w:val="00792CD6"/>
    <w:rsid w:val="00792D2A"/>
    <w:rsid w:val="00796330"/>
    <w:rsid w:val="007A76D4"/>
    <w:rsid w:val="007B204D"/>
    <w:rsid w:val="007B3419"/>
    <w:rsid w:val="007B3702"/>
    <w:rsid w:val="007B3819"/>
    <w:rsid w:val="007B63FB"/>
    <w:rsid w:val="007C4A5A"/>
    <w:rsid w:val="007C5751"/>
    <w:rsid w:val="007D04F9"/>
    <w:rsid w:val="007D7FB8"/>
    <w:rsid w:val="007E0268"/>
    <w:rsid w:val="007E159B"/>
    <w:rsid w:val="007E3334"/>
    <w:rsid w:val="007E54BD"/>
    <w:rsid w:val="008002FC"/>
    <w:rsid w:val="008032C6"/>
    <w:rsid w:val="00830E1C"/>
    <w:rsid w:val="008428E4"/>
    <w:rsid w:val="00853529"/>
    <w:rsid w:val="0086271C"/>
    <w:rsid w:val="00863D8B"/>
    <w:rsid w:val="008649FC"/>
    <w:rsid w:val="00866CDD"/>
    <w:rsid w:val="00866ED4"/>
    <w:rsid w:val="0087118B"/>
    <w:rsid w:val="00877ED6"/>
    <w:rsid w:val="00880B1B"/>
    <w:rsid w:val="00887625"/>
    <w:rsid w:val="00892E22"/>
    <w:rsid w:val="0089442B"/>
    <w:rsid w:val="00894FA8"/>
    <w:rsid w:val="008B2E7D"/>
    <w:rsid w:val="008C080F"/>
    <w:rsid w:val="008C3339"/>
    <w:rsid w:val="008C3EBA"/>
    <w:rsid w:val="008C61B8"/>
    <w:rsid w:val="008C737A"/>
    <w:rsid w:val="008D06D5"/>
    <w:rsid w:val="008D5B33"/>
    <w:rsid w:val="008F752B"/>
    <w:rsid w:val="00902BE3"/>
    <w:rsid w:val="00903F7E"/>
    <w:rsid w:val="00910A07"/>
    <w:rsid w:val="009163D3"/>
    <w:rsid w:val="0092105D"/>
    <w:rsid w:val="00923021"/>
    <w:rsid w:val="00934F2B"/>
    <w:rsid w:val="00937BB8"/>
    <w:rsid w:val="00942A68"/>
    <w:rsid w:val="00957390"/>
    <w:rsid w:val="009578E5"/>
    <w:rsid w:val="00962896"/>
    <w:rsid w:val="0097581B"/>
    <w:rsid w:val="009768BC"/>
    <w:rsid w:val="00976DB9"/>
    <w:rsid w:val="00980401"/>
    <w:rsid w:val="009932FC"/>
    <w:rsid w:val="00993D1C"/>
    <w:rsid w:val="00995438"/>
    <w:rsid w:val="009A2797"/>
    <w:rsid w:val="009B4456"/>
    <w:rsid w:val="009D57CC"/>
    <w:rsid w:val="009E1296"/>
    <w:rsid w:val="009E3D4D"/>
    <w:rsid w:val="009F53BA"/>
    <w:rsid w:val="009F6400"/>
    <w:rsid w:val="00A016E8"/>
    <w:rsid w:val="00A078F6"/>
    <w:rsid w:val="00A26F43"/>
    <w:rsid w:val="00A2712D"/>
    <w:rsid w:val="00A522DE"/>
    <w:rsid w:val="00A6110D"/>
    <w:rsid w:val="00A6488D"/>
    <w:rsid w:val="00A7276F"/>
    <w:rsid w:val="00A82F58"/>
    <w:rsid w:val="00A8552F"/>
    <w:rsid w:val="00A8694E"/>
    <w:rsid w:val="00A86AAE"/>
    <w:rsid w:val="00A94A03"/>
    <w:rsid w:val="00A97557"/>
    <w:rsid w:val="00AA0A8B"/>
    <w:rsid w:val="00AA0D82"/>
    <w:rsid w:val="00AA13FD"/>
    <w:rsid w:val="00AA1863"/>
    <w:rsid w:val="00AB0C74"/>
    <w:rsid w:val="00AB194C"/>
    <w:rsid w:val="00AB3E4A"/>
    <w:rsid w:val="00AB7CEA"/>
    <w:rsid w:val="00AC225E"/>
    <w:rsid w:val="00AC5964"/>
    <w:rsid w:val="00AC6997"/>
    <w:rsid w:val="00AE1A04"/>
    <w:rsid w:val="00AE2FE9"/>
    <w:rsid w:val="00AF04EC"/>
    <w:rsid w:val="00B17058"/>
    <w:rsid w:val="00B262F5"/>
    <w:rsid w:val="00B3079E"/>
    <w:rsid w:val="00B37E85"/>
    <w:rsid w:val="00B51C34"/>
    <w:rsid w:val="00B52237"/>
    <w:rsid w:val="00B54570"/>
    <w:rsid w:val="00B705E8"/>
    <w:rsid w:val="00B710F0"/>
    <w:rsid w:val="00B7324C"/>
    <w:rsid w:val="00B749A0"/>
    <w:rsid w:val="00B75476"/>
    <w:rsid w:val="00B84A26"/>
    <w:rsid w:val="00B86A64"/>
    <w:rsid w:val="00B93963"/>
    <w:rsid w:val="00B958C8"/>
    <w:rsid w:val="00B964C6"/>
    <w:rsid w:val="00BA42B4"/>
    <w:rsid w:val="00BB00B9"/>
    <w:rsid w:val="00BB2083"/>
    <w:rsid w:val="00BB2BEB"/>
    <w:rsid w:val="00BC2605"/>
    <w:rsid w:val="00BC37C5"/>
    <w:rsid w:val="00BC7A0D"/>
    <w:rsid w:val="00BD6B2D"/>
    <w:rsid w:val="00BE06D0"/>
    <w:rsid w:val="00BE1521"/>
    <w:rsid w:val="00BE2937"/>
    <w:rsid w:val="00BE3243"/>
    <w:rsid w:val="00BE642F"/>
    <w:rsid w:val="00BF0AA6"/>
    <w:rsid w:val="00C10D2E"/>
    <w:rsid w:val="00C13277"/>
    <w:rsid w:val="00C20839"/>
    <w:rsid w:val="00C25141"/>
    <w:rsid w:val="00C26CE7"/>
    <w:rsid w:val="00C3286E"/>
    <w:rsid w:val="00C43EBB"/>
    <w:rsid w:val="00C51192"/>
    <w:rsid w:val="00C54B2A"/>
    <w:rsid w:val="00C61512"/>
    <w:rsid w:val="00C662BD"/>
    <w:rsid w:val="00C840A5"/>
    <w:rsid w:val="00C93AE1"/>
    <w:rsid w:val="00C96869"/>
    <w:rsid w:val="00CA5D38"/>
    <w:rsid w:val="00CB0711"/>
    <w:rsid w:val="00CB5D8E"/>
    <w:rsid w:val="00CB671B"/>
    <w:rsid w:val="00CB7721"/>
    <w:rsid w:val="00CC0AC2"/>
    <w:rsid w:val="00CC1636"/>
    <w:rsid w:val="00CC3F3C"/>
    <w:rsid w:val="00CD2B50"/>
    <w:rsid w:val="00CE54D4"/>
    <w:rsid w:val="00CF2029"/>
    <w:rsid w:val="00CF2C84"/>
    <w:rsid w:val="00CF37B7"/>
    <w:rsid w:val="00D02B68"/>
    <w:rsid w:val="00D04A13"/>
    <w:rsid w:val="00D12AB8"/>
    <w:rsid w:val="00D14E2E"/>
    <w:rsid w:val="00D3205E"/>
    <w:rsid w:val="00D42E85"/>
    <w:rsid w:val="00D5417C"/>
    <w:rsid w:val="00D549CC"/>
    <w:rsid w:val="00D55BFE"/>
    <w:rsid w:val="00D569E1"/>
    <w:rsid w:val="00D57DFE"/>
    <w:rsid w:val="00D64662"/>
    <w:rsid w:val="00D6574B"/>
    <w:rsid w:val="00D67A86"/>
    <w:rsid w:val="00D67E92"/>
    <w:rsid w:val="00D7061D"/>
    <w:rsid w:val="00D731CF"/>
    <w:rsid w:val="00D832E5"/>
    <w:rsid w:val="00D86407"/>
    <w:rsid w:val="00D8791B"/>
    <w:rsid w:val="00D915F7"/>
    <w:rsid w:val="00DA20A7"/>
    <w:rsid w:val="00DB3471"/>
    <w:rsid w:val="00DB622E"/>
    <w:rsid w:val="00DD1677"/>
    <w:rsid w:val="00DD1F55"/>
    <w:rsid w:val="00DD2922"/>
    <w:rsid w:val="00DD79C9"/>
    <w:rsid w:val="00DE1FF9"/>
    <w:rsid w:val="00DE44A4"/>
    <w:rsid w:val="00DE4A5F"/>
    <w:rsid w:val="00DE5751"/>
    <w:rsid w:val="00DE5F67"/>
    <w:rsid w:val="00DF1375"/>
    <w:rsid w:val="00DF545B"/>
    <w:rsid w:val="00E05B2F"/>
    <w:rsid w:val="00E07703"/>
    <w:rsid w:val="00E13F22"/>
    <w:rsid w:val="00E169C4"/>
    <w:rsid w:val="00E278A1"/>
    <w:rsid w:val="00E27AFA"/>
    <w:rsid w:val="00E32443"/>
    <w:rsid w:val="00E341D0"/>
    <w:rsid w:val="00E37301"/>
    <w:rsid w:val="00E56215"/>
    <w:rsid w:val="00E61B35"/>
    <w:rsid w:val="00E63ADA"/>
    <w:rsid w:val="00E72BC6"/>
    <w:rsid w:val="00E75F3C"/>
    <w:rsid w:val="00E9005B"/>
    <w:rsid w:val="00E92EA5"/>
    <w:rsid w:val="00EA5EA4"/>
    <w:rsid w:val="00EA7CE1"/>
    <w:rsid w:val="00EB620F"/>
    <w:rsid w:val="00EC3C69"/>
    <w:rsid w:val="00ED1A17"/>
    <w:rsid w:val="00EE36C9"/>
    <w:rsid w:val="00EF1D90"/>
    <w:rsid w:val="00EF344E"/>
    <w:rsid w:val="00F002DD"/>
    <w:rsid w:val="00F068FC"/>
    <w:rsid w:val="00F207AC"/>
    <w:rsid w:val="00F3787C"/>
    <w:rsid w:val="00F448F2"/>
    <w:rsid w:val="00F4556C"/>
    <w:rsid w:val="00F51114"/>
    <w:rsid w:val="00F824CF"/>
    <w:rsid w:val="00F935C9"/>
    <w:rsid w:val="00F94E9F"/>
    <w:rsid w:val="00F94F31"/>
    <w:rsid w:val="00FA58AA"/>
    <w:rsid w:val="00FB1212"/>
    <w:rsid w:val="00FC7E08"/>
    <w:rsid w:val="00FD03C7"/>
    <w:rsid w:val="00FD2D60"/>
    <w:rsid w:val="00FF25BC"/>
    <w:rsid w:val="00FF267D"/>
    <w:rsid w:val="00FF2A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D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4A"/>
    <w:rPr>
      <w:rFonts w:ascii="Tahoma" w:hAnsi="Tahoma" w:cs="Tahoma"/>
      <w:sz w:val="16"/>
      <w:szCs w:val="16"/>
    </w:rPr>
  </w:style>
  <w:style w:type="paragraph" w:styleId="Header">
    <w:name w:val="header"/>
    <w:basedOn w:val="Normal"/>
    <w:link w:val="HeaderChar"/>
    <w:uiPriority w:val="99"/>
    <w:unhideWhenUsed/>
    <w:rsid w:val="00A5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DE"/>
  </w:style>
  <w:style w:type="paragraph" w:styleId="Footer">
    <w:name w:val="footer"/>
    <w:basedOn w:val="Normal"/>
    <w:link w:val="FooterChar"/>
    <w:uiPriority w:val="99"/>
    <w:unhideWhenUsed/>
    <w:rsid w:val="00A5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DE"/>
  </w:style>
  <w:style w:type="table" w:customStyle="1" w:styleId="TableGrid1">
    <w:name w:val="Table Grid1"/>
    <w:basedOn w:val="TableNormal"/>
    <w:next w:val="TableGrid"/>
    <w:uiPriority w:val="59"/>
    <w:rsid w:val="0021496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73B"/>
    <w:pPr>
      <w:ind w:left="720"/>
      <w:contextualSpacing/>
    </w:pPr>
  </w:style>
  <w:style w:type="character" w:styleId="CommentReference">
    <w:name w:val="annotation reference"/>
    <w:basedOn w:val="DefaultParagraphFont"/>
    <w:semiHidden/>
    <w:unhideWhenUsed/>
    <w:rsid w:val="007B3419"/>
    <w:rPr>
      <w:sz w:val="16"/>
      <w:szCs w:val="16"/>
    </w:rPr>
  </w:style>
  <w:style w:type="paragraph" w:styleId="CommentText">
    <w:name w:val="annotation text"/>
    <w:basedOn w:val="Normal"/>
    <w:link w:val="CommentTextChar"/>
    <w:uiPriority w:val="99"/>
    <w:semiHidden/>
    <w:unhideWhenUsed/>
    <w:rsid w:val="007B3419"/>
    <w:pPr>
      <w:spacing w:line="240" w:lineRule="auto"/>
    </w:pPr>
    <w:rPr>
      <w:sz w:val="20"/>
      <w:szCs w:val="20"/>
    </w:rPr>
  </w:style>
  <w:style w:type="character" w:customStyle="1" w:styleId="CommentTextChar">
    <w:name w:val="Comment Text Char"/>
    <w:basedOn w:val="DefaultParagraphFont"/>
    <w:link w:val="CommentText"/>
    <w:uiPriority w:val="99"/>
    <w:semiHidden/>
    <w:rsid w:val="007B3419"/>
    <w:rPr>
      <w:sz w:val="20"/>
      <w:szCs w:val="20"/>
    </w:rPr>
  </w:style>
  <w:style w:type="paragraph" w:styleId="CommentSubject">
    <w:name w:val="annotation subject"/>
    <w:basedOn w:val="CommentText"/>
    <w:next w:val="CommentText"/>
    <w:link w:val="CommentSubjectChar"/>
    <w:uiPriority w:val="99"/>
    <w:semiHidden/>
    <w:unhideWhenUsed/>
    <w:rsid w:val="007B3419"/>
    <w:rPr>
      <w:b/>
      <w:bCs/>
    </w:rPr>
  </w:style>
  <w:style w:type="character" w:customStyle="1" w:styleId="CommentSubjectChar">
    <w:name w:val="Comment Subject Char"/>
    <w:basedOn w:val="CommentTextChar"/>
    <w:link w:val="CommentSubject"/>
    <w:uiPriority w:val="99"/>
    <w:semiHidden/>
    <w:rsid w:val="007B3419"/>
    <w:rPr>
      <w:b/>
      <w:bCs/>
      <w:sz w:val="20"/>
      <w:szCs w:val="20"/>
    </w:rPr>
  </w:style>
  <w:style w:type="paragraph" w:styleId="Revision">
    <w:name w:val="Revision"/>
    <w:hidden/>
    <w:uiPriority w:val="99"/>
    <w:semiHidden/>
    <w:rsid w:val="007D04F9"/>
    <w:pPr>
      <w:widowControl/>
      <w:spacing w:after="0" w:line="240" w:lineRule="auto"/>
    </w:pPr>
  </w:style>
  <w:style w:type="paragraph" w:styleId="NoSpacing">
    <w:name w:val="No Spacing"/>
    <w:uiPriority w:val="1"/>
    <w:qFormat/>
    <w:rsid w:val="00962896"/>
    <w:pPr>
      <w:spacing w:after="0" w:line="240" w:lineRule="auto"/>
    </w:pPr>
  </w:style>
  <w:style w:type="character" w:styleId="Hyperlink">
    <w:name w:val="Hyperlink"/>
    <w:basedOn w:val="DefaultParagraphFont"/>
    <w:uiPriority w:val="99"/>
    <w:unhideWhenUsed/>
    <w:rsid w:val="00DD1677"/>
    <w:rPr>
      <w:color w:val="0000FF"/>
      <w:u w:val="single"/>
    </w:rPr>
  </w:style>
  <w:style w:type="character" w:styleId="UnresolvedMention">
    <w:name w:val="Unresolved Mention"/>
    <w:basedOn w:val="DefaultParagraphFont"/>
    <w:uiPriority w:val="99"/>
    <w:semiHidden/>
    <w:unhideWhenUsed/>
    <w:rsid w:val="00416F1B"/>
    <w:rPr>
      <w:color w:val="605E5C"/>
      <w:shd w:val="clear" w:color="auto" w:fill="E1DFDD"/>
    </w:rPr>
  </w:style>
  <w:style w:type="character" w:styleId="Mention">
    <w:name w:val="Mention"/>
    <w:basedOn w:val="DefaultParagraphFont"/>
    <w:uiPriority w:val="99"/>
    <w:unhideWhenUsed/>
    <w:rsid w:val="002E5D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regulatory-information/search-fda-guidance-documents/meetings-office-orphan-products-development" TargetMode="External" /><Relationship Id="rId6" Type="http://schemas.openxmlformats.org/officeDocument/2006/relationships/hyperlink" Target="%20https://www.fda.gov/industry/medical-products-rare-diseases-and-conditions/designating-orphan-product-drugs-and-biological-products" TargetMode="External" /><Relationship Id="rId7" Type="http://schemas.openxmlformats.org/officeDocument/2006/relationships/hyperlink" Target="mailto:orphan@fda.hhs.gov" TargetMode="External" /><Relationship Id="rId8" Type="http://schemas.openxmlformats.org/officeDocument/2006/relationships/hyperlink" Target="https://fda-my.sharepoint.com/personal/sandra_retzky_fda_gov/Documents/PRA/0910-0167/Supporting%20stmt/www.reginf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C4A2F-0FA0-4DA9-BC5A-A948F968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2023-12-19T15:01:00Z</dcterms:created>
  <dcterms:modified xsi:type="dcterms:W3CDTF">2023-12-19T15:01:00Z</dcterms:modified>
</cp:coreProperties>
</file>