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RPr="009E358D" w:rsidP="00357C8A" w14:paraId="4ACD0992" w14:textId="455A21DF">
      <w:pPr>
        <w:jc w:val="center"/>
        <w:rPr>
          <w:rFonts w:eastAsia="Calibri"/>
          <w:b/>
          <w:bCs/>
        </w:rPr>
      </w:pPr>
      <w:r>
        <w:rPr>
          <w:rFonts w:eastAsia="Calibri"/>
          <w:b/>
          <w:bCs/>
        </w:rPr>
        <w:t>510(k) Third-Party Review Program</w:t>
      </w:r>
    </w:p>
    <w:p w:rsidR="00357C8A" w:rsidP="00357C8A" w14:paraId="36F514DC" w14:textId="77777777">
      <w:pPr>
        <w:jc w:val="center"/>
        <w:rPr>
          <w:rFonts w:eastAsia="Calibri"/>
        </w:rPr>
      </w:pPr>
    </w:p>
    <w:p w:rsidR="00357C8A" w:rsidP="00357C8A" w14:paraId="732E0832" w14:textId="3A198014">
      <w:pPr>
        <w:jc w:val="center"/>
        <w:rPr>
          <w:rFonts w:eastAsia="Calibri"/>
        </w:rPr>
      </w:pPr>
      <w:r w:rsidRPr="00357C8A">
        <w:rPr>
          <w:rFonts w:eastAsia="Calibri"/>
        </w:rPr>
        <w:t>OMB Control No. 0910-</w:t>
      </w:r>
      <w:r w:rsidR="00E131F1">
        <w:rPr>
          <w:rFonts w:eastAsia="Calibri"/>
        </w:rPr>
        <w:t>0375</w:t>
      </w:r>
      <w:r w:rsidR="00727CDF">
        <w:rPr>
          <w:rFonts w:eastAsia="Calibri"/>
        </w:rPr>
        <w:t xml:space="preserve"> -- </w:t>
      </w:r>
      <w:r w:rsidR="00A33323">
        <w:rPr>
          <w:rFonts w:eastAsia="Calibri"/>
        </w:rPr>
        <w:t>Revision</w:t>
      </w:r>
    </w:p>
    <w:p w:rsidR="00357C8A" w:rsidP="00357C8A" w14:paraId="47FD62EB" w14:textId="77777777">
      <w:pPr>
        <w:jc w:val="center"/>
        <w:rPr>
          <w:rFonts w:eastAsia="Calibri"/>
        </w:rPr>
      </w:pPr>
    </w:p>
    <w:p w:rsidR="009B4DF2" w:rsidRPr="009E358D" w:rsidP="009E358D" w14:paraId="5EC8BBD8" w14:textId="77777777">
      <w:pPr>
        <w:jc w:val="center"/>
        <w:rPr>
          <w:rFonts w:eastAsia="Calibri"/>
        </w:rPr>
      </w:pPr>
      <w:r w:rsidRPr="00357C8A">
        <w:rPr>
          <w:rFonts w:eastAsia="Calibri"/>
        </w:rPr>
        <w:t>SUPPORTING STATEMENT</w:t>
      </w:r>
    </w:p>
    <w:p w:rsidR="00C71649" w:rsidP="009B4DF2" w14:paraId="55DB2B94" w14:textId="77777777"/>
    <w:p w:rsidR="00357C8A" w:rsidP="000D79CC" w14:paraId="5423AC00" w14:textId="77777777">
      <w:pPr>
        <w:rPr>
          <w:rFonts w:eastAsia="Calibri"/>
        </w:rPr>
      </w:pPr>
      <w:r w:rsidRPr="00357C8A">
        <w:rPr>
          <w:rFonts w:eastAsia="Calibri"/>
          <w:b/>
        </w:rPr>
        <w:t>Part A:  Justification</w:t>
      </w:r>
      <w:r w:rsidRPr="00357C8A">
        <w:rPr>
          <w:rFonts w:eastAsia="Calibri"/>
        </w:rPr>
        <w:t>:</w:t>
      </w:r>
    </w:p>
    <w:p w:rsidR="000D79CC" w:rsidRPr="00357C8A" w:rsidP="000D79CC" w14:paraId="778A50AA" w14:textId="77777777">
      <w:pPr>
        <w:rPr>
          <w:rFonts w:eastAsia="Calibri"/>
        </w:rPr>
      </w:pPr>
    </w:p>
    <w:p w:rsidR="00357C8A" w:rsidRPr="00357C8A" w:rsidP="006705EA" w14:paraId="104593B4"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BC48F0" w:rsidP="00BC48F0" w14:paraId="32D29A46" w14:textId="77777777">
      <w:r>
        <w:t>Section 523 of the Federal Food, Drug, and Cosmetic Act (FD&amp;C Act) (21 U.S.C. 360m), directs FDA to accredit persons in the private sector to review certain premarket notifications (510(k)s; see 21 U.S.C. 360(k)). Participation in the 510(k) third party (3P510k) review program by accredited persons is entirely voluntary. A third party wishing to participate will submit a request for accreditation to FDA. Accredited third-party reviewers have the ability to review a manufacturer's 510(k) submission for selected devices. After reviewing a submission, the reviewer will forward a copy of the 510(k) submission, along with the reviewer's documented review and recommendation, to FDA. Third-party reviewers should maintain records of their 510(k) reviews and a copy of the 510(k) for a reasonable period of time, usually 3 years. The 3P510k review program is intended to allow review of devices by third-party 510k review organizations (3PROs) to provide manufacturers of these devices an alternative review process that allows FDA to best utilize our resources on higher risk devices.</w:t>
      </w:r>
    </w:p>
    <w:p w:rsidR="004777E8" w:rsidP="00BC48F0" w14:paraId="76392281" w14:textId="77777777"/>
    <w:p w:rsidR="00D826AA" w:rsidP="00BC48F0" w14:paraId="6CDB2033" w14:textId="707F8D59">
      <w:r>
        <w:t xml:space="preserve">The guidance “510(k) Third-Party Review Program, Guidance for Industry, Food and Drug Administration Staff and Third Party Review Organizations” (March 2020) was intended to provide a comprehensive look into FDA's current thinking regarding the 3P510k program and third party review of Emergency Use Authorization (EUA) requests by describing FDA's expectations for the review of 510(k) submissions and EUA requests by third party review organizations. This guidance document also reflects section 523 of the FD&amp;C Act, which directs FDA to issue guidance on the factors that will be used in determining whether a class I or class II device type, or subset of such device types, is eligible for review by an accredited person. This guidance was superseded on November 21, 2024, when FDA issued the final guidance “510(k) Third Party Review Program and Third Party Emergency Use Authorization (EUA) Review; Guidance for Industry, Food and Drug Administration Staff, and Third Party Review Organizations” (available at </w:t>
      </w:r>
      <w:hyperlink r:id="rId9" w:history="1">
        <w:r w:rsidRPr="00635CC1">
          <w:rPr>
            <w:rStyle w:val="Hyperlink"/>
            <w:i/>
            <w:iCs/>
          </w:rPr>
          <w:t>https://www.fda.gov/regulatory-information/search-fda-guidance-documents/510k-third-party-review-program-and-third-party-emergency-use-authorization-eua-review</w:t>
        </w:r>
      </w:hyperlink>
      <w:r>
        <w:t>).  The guidance also include</w:t>
      </w:r>
      <w:r w:rsidR="00B63AA1">
        <w:t>s</w:t>
      </w:r>
      <w:r>
        <w:t xml:space="preserve"> new content that outline</w:t>
      </w:r>
      <w:r w:rsidR="00DD0F36">
        <w:t>s</w:t>
      </w:r>
      <w:r>
        <w:t xml:space="preserve"> how FDA may contract with third party review organizations to perform reviews of Emergency Use Authorization (EUA) requests (3PEUA review) when appropriate emergency declaration authorities are active under section 564 of the FD&amp;C Act.</w:t>
      </w:r>
      <w:r w:rsidR="00380E75">
        <w:t xml:space="preserve"> (See OMB Control Number 0910-0595.)</w:t>
      </w:r>
    </w:p>
    <w:p w:rsidR="00BC48F0" w:rsidP="00BC48F0" w14:paraId="4E2F6368" w14:textId="77777777"/>
    <w:p w:rsidR="00357C8A" w:rsidRPr="00357C8A" w:rsidP="006705EA" w14:paraId="2D6F3EF6"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6373AE" w:rsidRPr="00033F7A" w:rsidP="006373AE" w14:paraId="49633232" w14:textId="18C24B30">
      <w:pPr>
        <w:spacing w:after="200"/>
        <w:rPr>
          <w:rFonts w:eastAsia="Calibri"/>
        </w:rPr>
      </w:pPr>
      <w:r w:rsidRPr="00033F7A">
        <w:rPr>
          <w:rFonts w:eastAsia="Calibri"/>
        </w:rPr>
        <w:t>The respondents for this information collection are public and private sector, for-profit and not-for-profit organizations</w:t>
      </w:r>
      <w:r w:rsidR="00D93404">
        <w:rPr>
          <w:rFonts w:eastAsia="Calibri"/>
        </w:rPr>
        <w:t>, such as 3PROs</w:t>
      </w:r>
      <w:r w:rsidRPr="00033F7A">
        <w:rPr>
          <w:rFonts w:eastAsia="Calibri"/>
        </w:rPr>
        <w:t xml:space="preserve">.  All respondents voluntarily enter into the program under which this information is collected. </w:t>
      </w:r>
    </w:p>
    <w:p w:rsidR="00D826AA" w:rsidRPr="006373AE" w:rsidP="006373AE" w14:paraId="6B4C78DB" w14:textId="23220630">
      <w:pPr>
        <w:spacing w:after="200"/>
        <w:rPr>
          <w:rFonts w:eastAsia="Calibri"/>
        </w:rPr>
      </w:pPr>
      <w:r w:rsidRPr="00033F7A">
        <w:rPr>
          <w:rFonts w:eastAsia="Calibri"/>
        </w:rPr>
        <w:t>The purpose of the program is: (1) to provide manufacturers of eligible devices with an alternative review process that could yield more rapid marketing clearance decisions; and (2) enable FDA to target its scientific review resources at higher-risk devices while maintaining confidence in the review by third parties of low-to-moderate risk devices. Under the program, individuals may apply for accreditation as third-party reviewers and, if accredited, must submit reports of their reviews to FDA.</w:t>
      </w:r>
    </w:p>
    <w:p w:rsidR="00357C8A" w:rsidRPr="00357C8A" w:rsidP="006705EA" w14:paraId="6FC55F6B"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A02D0C" w:rsidP="0011250E" w14:paraId="0ECBD413" w14:textId="1F9E2CB5">
      <w:pPr>
        <w:spacing w:after="200"/>
      </w:pPr>
      <w:r>
        <w:t xml:space="preserve">FDA estimates that 100% of respondents will submit 3P510k reviews and related information through the e-Copy Program. </w:t>
      </w:r>
      <w:r w:rsidRPr="00B25F0C">
        <w:t>Th</w:t>
      </w:r>
      <w:r>
        <w:t xml:space="preserve">e guidance </w:t>
      </w:r>
      <w:r w:rsidR="000A4C33">
        <w:t>“</w:t>
      </w:r>
      <w:r w:rsidRPr="000A4C33" w:rsidR="000A4C33">
        <w:t>eCopy Program for Medical Device Submission</w:t>
      </w:r>
      <w:r w:rsidR="00D93404">
        <w:t>s”</w:t>
      </w:r>
      <w:r w:rsidRPr="00CF4EAB">
        <w:rPr>
          <w:b/>
          <w:bCs/>
        </w:rPr>
        <w:t xml:space="preserve"> </w:t>
      </w:r>
      <w:r>
        <w:rPr>
          <w:b/>
          <w:bCs/>
        </w:rPr>
        <w:t>(</w:t>
      </w:r>
      <w:r>
        <w:t xml:space="preserve">April 2020) </w:t>
      </w:r>
      <w:r w:rsidR="000A4C33">
        <w:t xml:space="preserve">(available at </w:t>
      </w:r>
      <w:hyperlink r:id="rId10" w:history="1">
        <w:r w:rsidRPr="000A4C33" w:rsidR="000A4C33">
          <w:rPr>
            <w:rStyle w:val="Hyperlink"/>
            <w:i/>
            <w:iCs/>
          </w:rPr>
          <w:t>https://www.fda.gov/media/83522/download</w:t>
        </w:r>
      </w:hyperlink>
      <w:r w:rsidR="000A4C33">
        <w:t xml:space="preserve">) </w:t>
      </w:r>
      <w:r w:rsidRPr="00B25F0C">
        <w:t>describes the eCopy Program under section 745A(b) of the FD&amp;C Act. The inclusion of an eCopy improve</w:t>
      </w:r>
      <w:r>
        <w:t>s</w:t>
      </w:r>
      <w:r w:rsidRPr="00B25F0C">
        <w:t xml:space="preserve"> the efficiency of the review process by allowing for the immediate availability of an electronic version for review rather than relying solely on the paper version.</w:t>
      </w:r>
      <w:r>
        <w:t xml:space="preserve">  eCopies can be on a single CD, DVD, or flash drive. The guidance instructs the applicant to submit it to FDA, CDRH Document Control Center. </w:t>
      </w:r>
    </w:p>
    <w:p w:rsidR="00357C8A" w:rsidRPr="00357C8A" w:rsidP="006705EA" w14:paraId="3C93A150"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384F2E" w:rsidRPr="00384F2E" w:rsidP="0053380B" w14:paraId="06A04DB0" w14:textId="77777777">
      <w:pPr>
        <w:spacing w:after="200"/>
      </w:pPr>
      <w:r w:rsidRPr="005C71CA">
        <w:t>We are unaware of duplicative information collection</w:t>
      </w:r>
      <w:r>
        <w:t>.</w:t>
      </w:r>
    </w:p>
    <w:p w:rsidR="00357C8A" w:rsidRPr="00357C8A" w:rsidP="006705EA" w14:paraId="4ED10153"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63376C" w:rsidRPr="00053A18" w:rsidP="0063376C" w14:paraId="642C7D1D" w14:textId="77777777">
      <w:pPr>
        <w:pStyle w:val="BodyTextIndent"/>
        <w:ind w:left="0"/>
      </w:pPr>
      <w:r w:rsidRPr="00053A18">
        <w:t xml:space="preserve">The number of respondents for this information collection who are small businesses </w:t>
      </w:r>
      <w:r>
        <w:t xml:space="preserve">(including non-profits) </w:t>
      </w:r>
      <w:r w:rsidRPr="00053A18">
        <w:t>is</w:t>
      </w:r>
      <w:r>
        <w:t xml:space="preserve"> approximately 67%. </w:t>
      </w:r>
      <w:r w:rsidRPr="00053A18">
        <w:t>Participation in the third-party program is entirely voluntary.</w:t>
      </w:r>
      <w:r>
        <w:t xml:space="preserve">  </w:t>
      </w:r>
    </w:p>
    <w:p w:rsidR="0063376C" w:rsidP="0063376C" w14:paraId="19C8AC16" w14:textId="77777777">
      <w:pPr>
        <w:pStyle w:val="BodyText2"/>
        <w:rPr>
          <w:snapToGrid w:val="0"/>
        </w:rPr>
      </w:pPr>
      <w:r w:rsidRPr="00053A18">
        <w:rPr>
          <w:snapToGrid w:val="0"/>
        </w:rPr>
        <w:t xml:space="preserve">FDA aids small business by providing guidance and information through the Division of </w:t>
      </w:r>
      <w:r>
        <w:rPr>
          <w:snapToGrid w:val="0"/>
        </w:rPr>
        <w:t>Industry</w:t>
      </w:r>
      <w:r w:rsidRPr="00053A18">
        <w:rPr>
          <w:snapToGrid w:val="0"/>
        </w:rPr>
        <w:t xml:space="preserve"> and Consumer </w:t>
      </w:r>
      <w:r>
        <w:rPr>
          <w:snapToGrid w:val="0"/>
        </w:rPr>
        <w:t>Education</w:t>
      </w:r>
      <w:r w:rsidRPr="00053A18">
        <w:rPr>
          <w:snapToGrid w:val="0"/>
        </w:rPr>
        <w:t xml:space="preserve"> (</w:t>
      </w:r>
      <w:r>
        <w:rPr>
          <w:snapToGrid w:val="0"/>
        </w:rPr>
        <w:t>DICE</w:t>
      </w:r>
      <w:r w:rsidRPr="00053A18">
        <w:rPr>
          <w:snapToGrid w:val="0"/>
        </w:rPr>
        <w:t xml:space="preserve">) within the Center for Devices and Radiological Health (CDRH). </w:t>
      </w:r>
      <w:r>
        <w:rPr>
          <w:snapToGrid w:val="0"/>
        </w:rPr>
        <w:t>DICE</w:t>
      </w:r>
      <w:r w:rsidRPr="00053A18">
        <w:rPr>
          <w:snapToGrid w:val="0"/>
        </w:rPr>
        <w:t xml:space="preserve"> provides workshops, onsite evaluations and other technical and nonfinancial assistance to small manufacturers. </w:t>
      </w:r>
      <w:r>
        <w:rPr>
          <w:snapToGrid w:val="0"/>
        </w:rPr>
        <w:t>We</w:t>
      </w:r>
      <w:r w:rsidRPr="00053A18">
        <w:rPr>
          <w:snapToGrid w:val="0"/>
        </w:rPr>
        <w:t xml:space="preserve"> also maintain a toll-free telephone number, </w:t>
      </w:r>
      <w:r>
        <w:rPr>
          <w:snapToGrid w:val="0"/>
        </w:rPr>
        <w:t>e</w:t>
      </w:r>
      <w:r w:rsidRPr="00053A18">
        <w:rPr>
          <w:snapToGrid w:val="0"/>
        </w:rPr>
        <w:t>-mail account</w:t>
      </w:r>
      <w:r>
        <w:rPr>
          <w:snapToGrid w:val="0"/>
        </w:rPr>
        <w:t>,</w:t>
      </w:r>
      <w:r w:rsidRPr="00053A18">
        <w:rPr>
          <w:snapToGrid w:val="0"/>
        </w:rPr>
        <w:t xml:space="preserve"> and a website which firms may use to obtain regulatory compliance information.</w:t>
      </w:r>
    </w:p>
    <w:p w:rsidR="00384F2E" w:rsidP="00384F2E" w14:paraId="22825649" w14:textId="77777777"/>
    <w:p w:rsidR="00357C8A" w:rsidRPr="00357C8A" w:rsidP="006705EA" w14:paraId="7D34EBA8"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D0B6C" w:rsidP="003D0B6C" w14:paraId="2FC5C987" w14:textId="22AE301C">
      <w:pPr>
        <w:spacing w:after="200"/>
        <w:rPr>
          <w:rFonts w:eastAsia="Calibri"/>
        </w:rPr>
      </w:pPr>
      <w:r w:rsidRPr="00F0229D">
        <w:rPr>
          <w:rFonts w:eastAsia="Calibri"/>
        </w:rPr>
        <w:t xml:space="preserve">Both </w:t>
      </w:r>
      <w:r>
        <w:rPr>
          <w:rFonts w:eastAsia="Calibri"/>
        </w:rPr>
        <w:t xml:space="preserve">requests for </w:t>
      </w:r>
      <w:r w:rsidRPr="00F0229D">
        <w:rPr>
          <w:rFonts w:eastAsia="Calibri"/>
        </w:rPr>
        <w:t xml:space="preserve">accreditation and </w:t>
      </w:r>
      <w:r>
        <w:t>3P510(k)</w:t>
      </w:r>
      <w:r w:rsidRPr="00F0229D">
        <w:rPr>
          <w:rFonts w:eastAsia="Calibri"/>
        </w:rPr>
        <w:t xml:space="preserve"> reviews are submitted once.  </w:t>
      </w:r>
      <w:r>
        <w:rPr>
          <w:rFonts w:eastAsia="Calibri"/>
        </w:rPr>
        <w:t>There</w:t>
      </w:r>
      <w:r w:rsidRPr="00F0229D">
        <w:rPr>
          <w:rFonts w:eastAsia="Calibri"/>
        </w:rPr>
        <w:t xml:space="preserve"> is no established frequency for the information collection under the third-party review program, so </w:t>
      </w:r>
      <w:r>
        <w:rPr>
          <w:rFonts w:eastAsia="Calibri"/>
        </w:rPr>
        <w:t xml:space="preserve">the </w:t>
      </w:r>
      <w:r w:rsidRPr="00F0229D">
        <w:rPr>
          <w:rFonts w:eastAsia="Calibri"/>
        </w:rPr>
        <w:t>consequences of collecting this information less frequently are minimal. There are no legal obstacles to reduce the burden.</w:t>
      </w:r>
    </w:p>
    <w:p w:rsidR="003D0B6C" w:rsidP="003D0B6C" w14:paraId="51D11E28" w14:textId="77777777">
      <w:pPr>
        <w:spacing w:after="200"/>
        <w:rPr>
          <w:rFonts w:eastAsia="Calibri"/>
        </w:rPr>
      </w:pPr>
      <w:r>
        <w:t>The frequency of re-recognition is every (3 years), therefore we expect to receive approximately 3 re-recognition requests per year.</w:t>
      </w:r>
    </w:p>
    <w:p w:rsidR="00357C8A" w:rsidRPr="00357C8A" w:rsidP="006705EA" w14:paraId="58EF9D0F"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7B6927AE" w14:textId="77777777">
      <w:pPr>
        <w:spacing w:after="200"/>
        <w:rPr>
          <w:rFonts w:eastAsia="Calibri"/>
        </w:rPr>
      </w:pPr>
      <w:r>
        <w:rPr>
          <w:rFonts w:eastAsia="Calibri"/>
        </w:rPr>
        <w:t xml:space="preserve">There are no special circumstances associated with the information collection. </w:t>
      </w:r>
    </w:p>
    <w:p w:rsidR="00357C8A" w:rsidRPr="00357C8A" w:rsidP="006705EA" w14:paraId="0C24393F"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4B6D" w:rsidRPr="00354B6D" w:rsidP="00354B6D" w14:paraId="64B4E340" w14:textId="2E2F64EF">
      <w:pPr>
        <w:spacing w:after="200" w:line="276" w:lineRule="auto"/>
        <w:rPr>
          <w:rFonts w:eastAsia="Calibri"/>
        </w:rPr>
      </w:pPr>
      <w:r w:rsidRPr="007F5F83">
        <w:t xml:space="preserve">In the </w:t>
      </w:r>
      <w:r w:rsidRPr="007F5F83">
        <w:rPr>
          <w:i/>
          <w:iCs/>
        </w:rPr>
        <w:t>Federal Register</w:t>
      </w:r>
      <w:r w:rsidRPr="007F5F83">
        <w:t xml:space="preserve"> of </w:t>
      </w:r>
      <w:r w:rsidR="004D11D8">
        <w:t>July 3, 2025 (90 FR 29552)</w:t>
      </w:r>
      <w:r w:rsidRPr="007F5F83">
        <w:t>, we published a 60-day notice requesting public comment on the proposed collection of information.</w:t>
      </w:r>
    </w:p>
    <w:p w:rsidR="00357C8A" w:rsidRPr="00357C8A" w:rsidP="006705EA" w14:paraId="0A7F0564" w14:textId="77777777">
      <w:pPr>
        <w:numPr>
          <w:ilvl w:val="0"/>
          <w:numId w:val="6"/>
        </w:numPr>
        <w:spacing w:after="200" w:line="276" w:lineRule="auto"/>
        <w:rPr>
          <w:rFonts w:eastAsia="Calibri"/>
        </w:rPr>
      </w:pPr>
      <w:r w:rsidRPr="30B97E8C">
        <w:rPr>
          <w:rFonts w:eastAsia="Calibri"/>
          <w:u w:val="single"/>
        </w:rPr>
        <w:t>Explanation of Any Payment or Gift to Respondents</w:t>
      </w:r>
    </w:p>
    <w:p w:rsidR="00384F2E" w:rsidRPr="00D261DF" w:rsidP="416C8C0C" w14:paraId="4E867D2E" w14:textId="4EB808A5">
      <w:pPr>
        <w:spacing w:after="200"/>
      </w:pPr>
      <w:r>
        <w:t>There are no incentives, payments or gifts associated with this information collection</w:t>
      </w:r>
      <w:r>
        <w:t>.</w:t>
      </w:r>
    </w:p>
    <w:p w:rsidR="00357C8A" w:rsidRPr="00357C8A" w:rsidP="006705EA" w14:paraId="187D3B55"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384F2E" w:rsidP="005260FC" w14:paraId="0D8ED335" w14:textId="4423F80F">
      <w:pPr>
        <w:spacing w:after="200"/>
      </w:pPr>
      <w:r w:rsidRPr="416C8C0C">
        <w:rPr>
          <w:rFonts w:eastAsia="Calibri"/>
        </w:rPr>
        <w:t xml:space="preserve">In preparing this Supporting Statement, we consulted our Privacy Office to ensure appropriate identification and handling of information collected. </w:t>
      </w:r>
    </w:p>
    <w:p w:rsidR="005260FC" w:rsidP="005260FC" w14:paraId="5D371DA8" w14:textId="704EA0EB">
      <w:pPr>
        <w:spacing w:after="200"/>
      </w:pPr>
      <w:r w:rsidRPr="0E7B4668">
        <w:rPr>
          <w:rFonts w:eastAsia="Calibri"/>
        </w:rPr>
        <w:t>This ICR collects personally identifiable information (PII). PII is collected in the context of the subject individuals’ professional capacity and the FDA-related work they perform for their employer (e.g., point of contact at a regulated entity). The PII collected is name, work address, work email address, work telephone number and occasionally work fax number. FDA determined that although PII is collected, the collection is not subject to the Privacy Act of 1974 and the particular notice and other requirements of the Act do not apply. Specifically, FDA does not use name or any other personal identifier to retrieve records from the information collected. Through appropriate form and webpage design, FDA limited submission fields and minimized the PII collected to protect the privacy of the individuals.</w:t>
      </w:r>
    </w:p>
    <w:p w:rsidR="001075D3" w:rsidRPr="001075D3" w:rsidP="005260FC" w14:paraId="60F196BA" w14:textId="110515CF">
      <w:pPr>
        <w:spacing w:after="200"/>
      </w:pPr>
      <w:r w:rsidRPr="0E7B4668">
        <w:rPr>
          <w:rFonts w:eastAsia="Calibri"/>
        </w:rP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357C8A" w:rsidRPr="00357C8A" w:rsidP="006705EA" w14:paraId="2F303A08"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357C8A" w:rsidP="0022425B" w14:paraId="682F244A" w14:textId="77777777">
      <w:pPr>
        <w:spacing w:after="200"/>
        <w:rPr>
          <w:rFonts w:eastAsia="Calibri"/>
          <w:color w:val="FF0000"/>
        </w:rPr>
      </w:pPr>
      <w:r>
        <w:rPr>
          <w:rFonts w:eastAsia="Calibri"/>
        </w:rPr>
        <w:t>The collection of information does not involve sensitive questions.</w:t>
      </w:r>
    </w:p>
    <w:p w:rsidR="00357C8A" w:rsidRPr="00357C8A" w:rsidP="006705EA" w14:paraId="73900D7C"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78624FBF" w14:textId="77777777">
      <w:pPr>
        <w:spacing w:after="200"/>
        <w:ind w:left="360"/>
        <w:rPr>
          <w:rFonts w:eastAsia="Calibri"/>
        </w:rPr>
      </w:pPr>
      <w:r w:rsidRPr="005C71CA">
        <w:rPr>
          <w:rFonts w:eastAsia="Calibri"/>
        </w:rPr>
        <w:t xml:space="preserve">12a.  </w:t>
      </w:r>
      <w:r w:rsidRPr="008A049C">
        <w:rPr>
          <w:rFonts w:eastAsia="Calibri"/>
        </w:rPr>
        <w:t>Annualized Hour Burden Estimate</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1"/>
        <w:gridCol w:w="1397"/>
        <w:gridCol w:w="1923"/>
        <w:gridCol w:w="1440"/>
        <w:gridCol w:w="1491"/>
        <w:gridCol w:w="1084"/>
      </w:tblGrid>
      <w:tr w14:paraId="4A97E614" w14:textId="77777777" w:rsidTr="71CF9796">
        <w:tblPrEx>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9856" w:type="dxa"/>
            <w:gridSpan w:val="6"/>
            <w:tcBorders>
              <w:top w:val="nil"/>
              <w:left w:val="nil"/>
              <w:right w:val="nil"/>
            </w:tcBorders>
            <w:shd w:val="clear" w:color="auto" w:fill="auto"/>
          </w:tcPr>
          <w:p w:rsidR="00594898" w:rsidRPr="00594898" w:rsidP="00594898" w14:paraId="25AF2129" w14:textId="77777777">
            <w:pPr>
              <w:jc w:val="center"/>
              <w:rPr>
                <w:sz w:val="20"/>
                <w:szCs w:val="20"/>
              </w:rPr>
            </w:pPr>
            <w:r w:rsidRPr="00594898">
              <w:rPr>
                <w:sz w:val="20"/>
                <w:szCs w:val="20"/>
              </w:rPr>
              <w:t>Table 1.--Estimated Annual Reporting Burden</w:t>
            </w:r>
            <w:r w:rsidRPr="00594898">
              <w:rPr>
                <w:sz w:val="20"/>
                <w:szCs w:val="20"/>
                <w:vertAlign w:val="superscript"/>
              </w:rPr>
              <w:t>1</w:t>
            </w:r>
          </w:p>
        </w:tc>
      </w:tr>
      <w:tr w14:paraId="1C64A10E" w14:textId="77777777" w:rsidTr="71CF9796">
        <w:tblPrEx>
          <w:tblW w:w="9856" w:type="dxa"/>
          <w:tblLook w:val="01E0"/>
        </w:tblPrEx>
        <w:trPr>
          <w:cantSplit/>
          <w:trHeight w:val="20"/>
        </w:trPr>
        <w:tc>
          <w:tcPr>
            <w:tcW w:w="2521" w:type="dxa"/>
            <w:shd w:val="clear" w:color="auto" w:fill="auto"/>
          </w:tcPr>
          <w:p w:rsidR="00594898" w:rsidRPr="00594898" w:rsidP="00594898" w14:paraId="40627258" w14:textId="77777777">
            <w:pPr>
              <w:jc w:val="center"/>
              <w:rPr>
                <w:sz w:val="20"/>
                <w:szCs w:val="20"/>
              </w:rPr>
            </w:pPr>
            <w:r w:rsidRPr="00594898">
              <w:rPr>
                <w:sz w:val="20"/>
                <w:szCs w:val="20"/>
              </w:rPr>
              <w:t>Activity; Guidance Document Section</w:t>
            </w:r>
          </w:p>
        </w:tc>
        <w:tc>
          <w:tcPr>
            <w:tcW w:w="1397" w:type="dxa"/>
            <w:shd w:val="clear" w:color="auto" w:fill="auto"/>
          </w:tcPr>
          <w:p w:rsidR="00594898" w:rsidRPr="00594898" w:rsidP="00594898" w14:paraId="1BC97516" w14:textId="77777777">
            <w:pPr>
              <w:jc w:val="center"/>
              <w:rPr>
                <w:sz w:val="20"/>
                <w:szCs w:val="20"/>
              </w:rPr>
            </w:pPr>
            <w:r w:rsidRPr="00594898">
              <w:rPr>
                <w:sz w:val="20"/>
                <w:szCs w:val="20"/>
              </w:rPr>
              <w:t>No. of Respondents</w:t>
            </w:r>
          </w:p>
        </w:tc>
        <w:tc>
          <w:tcPr>
            <w:tcW w:w="1923" w:type="dxa"/>
            <w:shd w:val="clear" w:color="auto" w:fill="auto"/>
          </w:tcPr>
          <w:p w:rsidR="00594898" w:rsidRPr="00594898" w:rsidP="00594898" w14:paraId="1A9D7BAD" w14:textId="77777777">
            <w:pPr>
              <w:jc w:val="center"/>
              <w:rPr>
                <w:sz w:val="20"/>
                <w:szCs w:val="20"/>
              </w:rPr>
            </w:pPr>
            <w:r w:rsidRPr="00594898">
              <w:rPr>
                <w:bCs/>
                <w:sz w:val="20"/>
                <w:szCs w:val="20"/>
              </w:rPr>
              <w:t>No. of Responses per Respondent</w:t>
            </w:r>
          </w:p>
        </w:tc>
        <w:tc>
          <w:tcPr>
            <w:tcW w:w="1440" w:type="dxa"/>
            <w:shd w:val="clear" w:color="auto" w:fill="auto"/>
          </w:tcPr>
          <w:p w:rsidR="00594898" w:rsidRPr="00594898" w:rsidP="00594898" w14:paraId="269E558B" w14:textId="77777777">
            <w:pPr>
              <w:jc w:val="center"/>
              <w:rPr>
                <w:sz w:val="20"/>
                <w:szCs w:val="20"/>
              </w:rPr>
            </w:pPr>
            <w:r w:rsidRPr="00594898">
              <w:rPr>
                <w:sz w:val="20"/>
                <w:szCs w:val="20"/>
              </w:rPr>
              <w:t>Total Annual Responses</w:t>
            </w:r>
          </w:p>
        </w:tc>
        <w:tc>
          <w:tcPr>
            <w:tcW w:w="1491" w:type="dxa"/>
            <w:shd w:val="clear" w:color="auto" w:fill="auto"/>
          </w:tcPr>
          <w:p w:rsidR="00594898" w:rsidRPr="00594898" w:rsidP="00594898" w14:paraId="23448A18" w14:textId="77777777">
            <w:pPr>
              <w:jc w:val="center"/>
              <w:rPr>
                <w:sz w:val="20"/>
                <w:szCs w:val="20"/>
              </w:rPr>
            </w:pPr>
            <w:r w:rsidRPr="00594898">
              <w:rPr>
                <w:bCs/>
                <w:sz w:val="20"/>
                <w:szCs w:val="20"/>
              </w:rPr>
              <w:t>Average Burden per Response</w:t>
            </w:r>
          </w:p>
        </w:tc>
        <w:tc>
          <w:tcPr>
            <w:tcW w:w="1084" w:type="dxa"/>
            <w:shd w:val="clear" w:color="auto" w:fill="auto"/>
          </w:tcPr>
          <w:p w:rsidR="00594898" w:rsidRPr="00594898" w:rsidP="00594898" w14:paraId="177270F8" w14:textId="77777777">
            <w:pPr>
              <w:jc w:val="center"/>
              <w:rPr>
                <w:sz w:val="20"/>
                <w:szCs w:val="20"/>
              </w:rPr>
            </w:pPr>
            <w:r w:rsidRPr="00594898">
              <w:rPr>
                <w:sz w:val="20"/>
                <w:szCs w:val="20"/>
              </w:rPr>
              <w:t>Total Hours</w:t>
            </w:r>
          </w:p>
        </w:tc>
      </w:tr>
      <w:tr w14:paraId="1CCB7864" w14:textId="77777777" w:rsidTr="71CF9796">
        <w:tblPrEx>
          <w:tblW w:w="9856" w:type="dxa"/>
          <w:tblLook w:val="01E0"/>
        </w:tblPrEx>
        <w:trPr>
          <w:cantSplit/>
          <w:trHeight w:val="20"/>
        </w:trPr>
        <w:tc>
          <w:tcPr>
            <w:tcW w:w="2521"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5B834A16" w14:textId="2D88BA94">
            <w:pPr>
              <w:jc w:val="center"/>
              <w:rPr>
                <w:sz w:val="20"/>
                <w:szCs w:val="20"/>
              </w:rPr>
            </w:pPr>
            <w:r w:rsidRPr="71CF9796">
              <w:rPr>
                <w:sz w:val="20"/>
                <w:szCs w:val="20"/>
              </w:rPr>
              <w:t xml:space="preserve">Requests for accreditation (initial); Section </w:t>
            </w:r>
            <w:r w:rsidRPr="71CF9796" w:rsidR="4D3C173D">
              <w:rPr>
                <w:sz w:val="20"/>
                <w:szCs w:val="20"/>
              </w:rPr>
              <w:t>V.</w:t>
            </w:r>
            <w:r w:rsidRPr="71CF9796" w:rsidR="609CEFCA">
              <w:rPr>
                <w:sz w:val="20"/>
                <w:szCs w:val="20"/>
              </w:rPr>
              <w:t>D</w:t>
            </w:r>
            <w:r w:rsidRPr="71CF9796">
              <w:rPr>
                <w:sz w:val="20"/>
                <w:szCs w:val="20"/>
              </w:rPr>
              <w:t> </w:t>
            </w:r>
          </w:p>
        </w:tc>
        <w:tc>
          <w:tcPr>
            <w:tcW w:w="1397"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56BE0A14" w14:textId="77777777">
            <w:pPr>
              <w:jc w:val="center"/>
              <w:rPr>
                <w:sz w:val="20"/>
                <w:szCs w:val="20"/>
              </w:rPr>
            </w:pPr>
            <w:r w:rsidRPr="00594898">
              <w:rPr>
                <w:sz w:val="20"/>
                <w:szCs w:val="20"/>
              </w:rPr>
              <w:t>1 </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5395842C" w14:textId="77777777">
            <w:pPr>
              <w:jc w:val="center"/>
              <w:rPr>
                <w:bCs/>
                <w:sz w:val="20"/>
                <w:szCs w:val="20"/>
              </w:rPr>
            </w:pPr>
            <w:r w:rsidRPr="00594898">
              <w:rPr>
                <w:bCs/>
                <w:sz w:val="20"/>
                <w:szCs w:val="20"/>
              </w:rPr>
              <w:t>1 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29FC5CD5" w14:textId="77777777">
            <w:pPr>
              <w:jc w:val="center"/>
              <w:rPr>
                <w:sz w:val="20"/>
                <w:szCs w:val="20"/>
              </w:rPr>
            </w:pPr>
            <w:r w:rsidRPr="00594898">
              <w:rPr>
                <w:sz w:val="20"/>
                <w:szCs w:val="20"/>
              </w:rPr>
              <w:t>1 </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518230D8" w14:textId="77777777">
            <w:pPr>
              <w:jc w:val="center"/>
              <w:rPr>
                <w:bCs/>
                <w:sz w:val="20"/>
                <w:szCs w:val="20"/>
              </w:rPr>
            </w:pPr>
            <w:r w:rsidRPr="00594898">
              <w:rPr>
                <w:bCs/>
                <w:sz w:val="20"/>
                <w:szCs w:val="20"/>
              </w:rPr>
              <w:t>40 </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0A98A3AA" w14:textId="77777777">
            <w:pPr>
              <w:jc w:val="center"/>
              <w:rPr>
                <w:sz w:val="20"/>
                <w:szCs w:val="20"/>
              </w:rPr>
            </w:pPr>
            <w:r w:rsidRPr="00594898">
              <w:rPr>
                <w:sz w:val="20"/>
                <w:szCs w:val="20"/>
              </w:rPr>
              <w:t>40 </w:t>
            </w:r>
          </w:p>
        </w:tc>
      </w:tr>
      <w:tr w14:paraId="1752EED9" w14:textId="77777777" w:rsidTr="71CF9796">
        <w:tblPrEx>
          <w:tblW w:w="9856" w:type="dxa"/>
          <w:tblLook w:val="01E0"/>
        </w:tblPrEx>
        <w:trPr>
          <w:cantSplit/>
          <w:trHeight w:val="20"/>
        </w:trPr>
        <w:tc>
          <w:tcPr>
            <w:tcW w:w="2521"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44D660AE" w14:textId="6BDD54D0">
            <w:pPr>
              <w:jc w:val="center"/>
              <w:rPr>
                <w:sz w:val="20"/>
                <w:szCs w:val="20"/>
              </w:rPr>
            </w:pPr>
            <w:r w:rsidRPr="71CF9796">
              <w:rPr>
                <w:sz w:val="20"/>
                <w:szCs w:val="20"/>
              </w:rPr>
              <w:t xml:space="preserve">Requests for accreditation (re-recognition); Section </w:t>
            </w:r>
            <w:r w:rsidRPr="71CF9796" w:rsidR="54BF11E4">
              <w:rPr>
                <w:sz w:val="20"/>
                <w:szCs w:val="20"/>
              </w:rPr>
              <w:t>V.</w:t>
            </w:r>
            <w:r w:rsidRPr="71CF9796" w:rsidR="4B59F780">
              <w:rPr>
                <w:sz w:val="20"/>
                <w:szCs w:val="20"/>
              </w:rPr>
              <w:t>D</w:t>
            </w:r>
            <w:r w:rsidRPr="71CF9796">
              <w:rPr>
                <w:sz w:val="20"/>
                <w:szCs w:val="20"/>
              </w:rPr>
              <w:t> </w:t>
            </w:r>
          </w:p>
        </w:tc>
        <w:tc>
          <w:tcPr>
            <w:tcW w:w="1397"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6F47D092" w14:textId="77777777">
            <w:pPr>
              <w:jc w:val="center"/>
              <w:rPr>
                <w:sz w:val="20"/>
                <w:szCs w:val="20"/>
              </w:rPr>
            </w:pPr>
            <w:r w:rsidRPr="00594898">
              <w:rPr>
                <w:sz w:val="20"/>
                <w:szCs w:val="20"/>
              </w:rPr>
              <w:t>3 </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31195751" w14:textId="77777777">
            <w:pPr>
              <w:jc w:val="center"/>
              <w:rPr>
                <w:bCs/>
                <w:sz w:val="20"/>
                <w:szCs w:val="20"/>
              </w:rPr>
            </w:pPr>
            <w:r w:rsidRPr="00594898">
              <w:rPr>
                <w:bCs/>
                <w:sz w:val="20"/>
                <w:szCs w:val="20"/>
              </w:rPr>
              <w:t>1 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34379605" w14:textId="77777777">
            <w:pPr>
              <w:jc w:val="center"/>
              <w:rPr>
                <w:sz w:val="20"/>
                <w:szCs w:val="20"/>
              </w:rPr>
            </w:pPr>
            <w:r w:rsidRPr="00594898">
              <w:rPr>
                <w:sz w:val="20"/>
                <w:szCs w:val="20"/>
              </w:rPr>
              <w:t>3 </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5382FE41" w14:textId="77777777">
            <w:pPr>
              <w:jc w:val="center"/>
              <w:rPr>
                <w:bCs/>
                <w:sz w:val="20"/>
                <w:szCs w:val="20"/>
              </w:rPr>
            </w:pPr>
            <w:r w:rsidRPr="00594898">
              <w:rPr>
                <w:bCs/>
                <w:sz w:val="20"/>
                <w:szCs w:val="20"/>
              </w:rPr>
              <w:t>24 </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6360E58B" w14:textId="77777777">
            <w:pPr>
              <w:jc w:val="center"/>
              <w:rPr>
                <w:sz w:val="20"/>
                <w:szCs w:val="20"/>
              </w:rPr>
            </w:pPr>
            <w:r w:rsidRPr="00594898">
              <w:rPr>
                <w:sz w:val="20"/>
                <w:szCs w:val="20"/>
              </w:rPr>
              <w:t>72 </w:t>
            </w:r>
          </w:p>
        </w:tc>
      </w:tr>
      <w:tr w14:paraId="7954DC8A" w14:textId="77777777" w:rsidTr="71CF9796">
        <w:tblPrEx>
          <w:tblW w:w="9856" w:type="dxa"/>
          <w:tblLook w:val="01E0"/>
        </w:tblPrEx>
        <w:trPr>
          <w:cantSplit/>
          <w:trHeight w:val="20"/>
        </w:trPr>
        <w:tc>
          <w:tcPr>
            <w:tcW w:w="2521"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63A1BD24" w14:textId="733C2260">
            <w:pPr>
              <w:jc w:val="center"/>
              <w:rPr>
                <w:sz w:val="20"/>
                <w:szCs w:val="20"/>
              </w:rPr>
            </w:pPr>
            <w:r w:rsidRPr="71CF9796">
              <w:rPr>
                <w:sz w:val="20"/>
                <w:szCs w:val="20"/>
              </w:rPr>
              <w:t xml:space="preserve">510(k) reviews conducted by 3PROs; Section </w:t>
            </w:r>
            <w:r w:rsidRPr="71CF9796" w:rsidR="482F624B">
              <w:rPr>
                <w:sz w:val="20"/>
                <w:szCs w:val="20"/>
              </w:rPr>
              <w:t>V.</w:t>
            </w:r>
            <w:r w:rsidRPr="71CF9796" w:rsidR="34177030">
              <w:rPr>
                <w:sz w:val="20"/>
                <w:szCs w:val="20"/>
              </w:rPr>
              <w:t>B</w:t>
            </w:r>
          </w:p>
        </w:tc>
        <w:tc>
          <w:tcPr>
            <w:tcW w:w="1397"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4EE204C4" w14:textId="77777777">
            <w:pPr>
              <w:jc w:val="center"/>
              <w:rPr>
                <w:sz w:val="20"/>
                <w:szCs w:val="20"/>
              </w:rPr>
            </w:pPr>
            <w:r w:rsidRPr="00594898">
              <w:rPr>
                <w:sz w:val="20"/>
                <w:szCs w:val="20"/>
              </w:rPr>
              <w:t>9 </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4FDDA240" w14:textId="77777777">
            <w:pPr>
              <w:jc w:val="center"/>
              <w:rPr>
                <w:bCs/>
                <w:sz w:val="20"/>
                <w:szCs w:val="20"/>
              </w:rPr>
            </w:pPr>
            <w:r w:rsidRPr="00594898">
              <w:rPr>
                <w:bCs/>
                <w:sz w:val="20"/>
                <w:szCs w:val="20"/>
              </w:rPr>
              <w:t>14 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04A6634B" w14:textId="77777777">
            <w:pPr>
              <w:jc w:val="center"/>
              <w:rPr>
                <w:sz w:val="20"/>
                <w:szCs w:val="20"/>
              </w:rPr>
            </w:pPr>
            <w:r w:rsidRPr="00594898">
              <w:rPr>
                <w:sz w:val="20"/>
                <w:szCs w:val="20"/>
              </w:rPr>
              <w:t>126 </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7E3BF940" w14:textId="77777777">
            <w:pPr>
              <w:jc w:val="center"/>
              <w:rPr>
                <w:bCs/>
                <w:sz w:val="20"/>
                <w:szCs w:val="20"/>
              </w:rPr>
            </w:pPr>
            <w:r w:rsidRPr="00594898">
              <w:rPr>
                <w:bCs/>
                <w:sz w:val="20"/>
                <w:szCs w:val="20"/>
              </w:rPr>
              <w:t>40 </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5DD6179D" w14:textId="77777777">
            <w:pPr>
              <w:jc w:val="center"/>
              <w:rPr>
                <w:sz w:val="20"/>
                <w:szCs w:val="20"/>
              </w:rPr>
            </w:pPr>
            <w:r w:rsidRPr="00594898">
              <w:rPr>
                <w:sz w:val="20"/>
                <w:szCs w:val="20"/>
              </w:rPr>
              <w:t>5,040 </w:t>
            </w:r>
          </w:p>
        </w:tc>
      </w:tr>
      <w:tr w14:paraId="201ACC77" w14:textId="77777777" w:rsidTr="71CF9796">
        <w:tblPrEx>
          <w:tblW w:w="9856" w:type="dxa"/>
          <w:tblLook w:val="01E0"/>
        </w:tblPrEx>
        <w:trPr>
          <w:cantSplit/>
          <w:trHeight w:val="20"/>
        </w:trPr>
        <w:tc>
          <w:tcPr>
            <w:tcW w:w="2521"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479D99A9" w14:textId="7CAEBDF0">
            <w:pPr>
              <w:jc w:val="center"/>
              <w:rPr>
                <w:sz w:val="20"/>
                <w:szCs w:val="20"/>
              </w:rPr>
            </w:pPr>
            <w:r w:rsidRPr="71CF9796">
              <w:rPr>
                <w:sz w:val="20"/>
                <w:szCs w:val="20"/>
              </w:rPr>
              <w:t xml:space="preserve">Complaints; Section </w:t>
            </w:r>
            <w:r w:rsidRPr="71CF9796" w:rsidR="04C861B5">
              <w:rPr>
                <w:sz w:val="20"/>
                <w:szCs w:val="20"/>
              </w:rPr>
              <w:t>V.</w:t>
            </w:r>
            <w:r w:rsidRPr="71CF9796" w:rsidR="2A7C4E3A">
              <w:rPr>
                <w:sz w:val="20"/>
                <w:szCs w:val="20"/>
              </w:rPr>
              <w:t>C</w:t>
            </w:r>
            <w:r w:rsidRPr="71CF9796">
              <w:rPr>
                <w:sz w:val="20"/>
                <w:szCs w:val="20"/>
              </w:rPr>
              <w:t> </w:t>
            </w:r>
          </w:p>
        </w:tc>
        <w:tc>
          <w:tcPr>
            <w:tcW w:w="1397"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041CC83B" w14:textId="77777777">
            <w:pPr>
              <w:jc w:val="center"/>
              <w:rPr>
                <w:sz w:val="20"/>
                <w:szCs w:val="20"/>
              </w:rPr>
            </w:pPr>
            <w:r w:rsidRPr="00594898">
              <w:rPr>
                <w:sz w:val="20"/>
                <w:szCs w:val="20"/>
              </w:rPr>
              <w:t>1 </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5F3A3F1F" w14:textId="77777777">
            <w:pPr>
              <w:jc w:val="center"/>
              <w:rPr>
                <w:bCs/>
                <w:sz w:val="20"/>
                <w:szCs w:val="20"/>
              </w:rPr>
            </w:pPr>
            <w:r w:rsidRPr="00594898">
              <w:rPr>
                <w:bCs/>
                <w:sz w:val="20"/>
                <w:szCs w:val="20"/>
              </w:rPr>
              <w:t>1 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5894713C" w14:textId="77777777">
            <w:pPr>
              <w:jc w:val="center"/>
              <w:rPr>
                <w:sz w:val="20"/>
                <w:szCs w:val="20"/>
              </w:rPr>
            </w:pPr>
            <w:r w:rsidRPr="00594898">
              <w:rPr>
                <w:sz w:val="20"/>
                <w:szCs w:val="20"/>
              </w:rPr>
              <w:t>1 </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51C8F6FE" w14:textId="77777777">
            <w:pPr>
              <w:jc w:val="center"/>
              <w:rPr>
                <w:bCs/>
                <w:sz w:val="20"/>
                <w:szCs w:val="20"/>
              </w:rPr>
            </w:pPr>
            <w:r w:rsidRPr="00594898">
              <w:rPr>
                <w:bCs/>
                <w:sz w:val="20"/>
                <w:szCs w:val="20"/>
              </w:rPr>
              <w:t>0.25 </w:t>
            </w:r>
          </w:p>
          <w:p w:rsidR="00594898" w:rsidRPr="00594898" w:rsidP="00594898" w14:paraId="25B85334" w14:textId="77777777">
            <w:pPr>
              <w:jc w:val="center"/>
              <w:rPr>
                <w:bCs/>
                <w:sz w:val="20"/>
                <w:szCs w:val="20"/>
              </w:rPr>
            </w:pPr>
            <w:r w:rsidRPr="00594898">
              <w:rPr>
                <w:bCs/>
                <w:sz w:val="20"/>
                <w:szCs w:val="20"/>
              </w:rPr>
              <w:t>(15 minutes) </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2B5CBF11" w14:textId="77777777">
            <w:pPr>
              <w:jc w:val="center"/>
              <w:rPr>
                <w:sz w:val="20"/>
                <w:szCs w:val="20"/>
              </w:rPr>
            </w:pPr>
            <w:r w:rsidRPr="00594898">
              <w:rPr>
                <w:sz w:val="20"/>
                <w:szCs w:val="20"/>
              </w:rPr>
              <w:t>0.25</w:t>
            </w:r>
          </w:p>
        </w:tc>
      </w:tr>
      <w:tr w14:paraId="59C0B201" w14:textId="77777777" w:rsidTr="71CF9796">
        <w:tblPrEx>
          <w:tblW w:w="9856" w:type="dxa"/>
          <w:tblLook w:val="01E0"/>
        </w:tblPrEx>
        <w:trPr>
          <w:cantSplit/>
          <w:trHeight w:val="20"/>
        </w:trPr>
        <w:tc>
          <w:tcPr>
            <w:tcW w:w="8772" w:type="dxa"/>
            <w:gridSpan w:val="5"/>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3F22AA2D" w14:textId="77777777">
            <w:pPr>
              <w:rPr>
                <w:bCs/>
                <w:sz w:val="20"/>
                <w:szCs w:val="20"/>
              </w:rPr>
            </w:pPr>
            <w:r w:rsidRPr="00594898">
              <w:rPr>
                <w:sz w:val="20"/>
                <w:szCs w:val="20"/>
              </w:rPr>
              <w:t>Total</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594898" w:rsidRPr="00594898" w:rsidP="00594898" w14:paraId="2FE75BFC" w14:textId="77777777">
            <w:pPr>
              <w:jc w:val="center"/>
              <w:rPr>
                <w:sz w:val="20"/>
                <w:szCs w:val="20"/>
              </w:rPr>
            </w:pPr>
            <w:r w:rsidRPr="00594898">
              <w:rPr>
                <w:sz w:val="20"/>
                <w:szCs w:val="20"/>
              </w:rPr>
              <w:t>5,152.25</w:t>
            </w:r>
          </w:p>
        </w:tc>
      </w:tr>
    </w:tbl>
    <w:p w:rsidR="008A049C" w:rsidP="008A049C" w14:paraId="067B89B3" w14:textId="77777777">
      <w:pPr>
        <w:rPr>
          <w:sz w:val="20"/>
          <w:szCs w:val="20"/>
        </w:rPr>
      </w:pPr>
      <w:r w:rsidRPr="008A049C">
        <w:rPr>
          <w:sz w:val="20"/>
          <w:szCs w:val="20"/>
          <w:vertAlign w:val="superscript"/>
        </w:rPr>
        <w:t>1</w:t>
      </w:r>
      <w:r w:rsidRPr="008A049C">
        <w:rPr>
          <w:sz w:val="20"/>
          <w:szCs w:val="20"/>
        </w:rPr>
        <w:t xml:space="preserve"> There are no capital costs or operating and maintenance costs associated with this collection of information.</w:t>
      </w:r>
    </w:p>
    <w:p w:rsidR="008A049C" w:rsidRPr="008A049C" w:rsidP="008A049C" w14:paraId="4C5E50BF" w14:textId="77777777">
      <w:pPr>
        <w:rPr>
          <w:sz w:val="20"/>
          <w:szCs w:val="20"/>
        </w:rPr>
      </w:pPr>
    </w:p>
    <w:tbl>
      <w:tblPr>
        <w:tblW w:w="8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70"/>
        <w:gridCol w:w="1725"/>
        <w:gridCol w:w="1305"/>
        <w:gridCol w:w="1140"/>
        <w:gridCol w:w="1770"/>
        <w:gridCol w:w="930"/>
      </w:tblGrid>
      <w:tr w14:paraId="1206B5BF" w14:textId="77777777" w:rsidTr="71CF9796">
        <w:tblPrEx>
          <w:tblW w:w="8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8940" w:type="dxa"/>
            <w:gridSpan w:val="6"/>
            <w:tcBorders>
              <w:top w:val="nil"/>
              <w:left w:val="nil"/>
              <w:bottom w:val="single" w:sz="6" w:space="0" w:color="auto"/>
              <w:right w:val="nil"/>
            </w:tcBorders>
            <w:shd w:val="clear" w:color="auto" w:fill="auto"/>
            <w:hideMark/>
          </w:tcPr>
          <w:p w:rsidR="009C229C" w:rsidRPr="009C229C" w:rsidP="009C229C" w14:paraId="0561BFC6" w14:textId="77777777">
            <w:pPr>
              <w:jc w:val="center"/>
              <w:textAlignment w:val="baseline"/>
              <w:rPr>
                <w:rFonts w:ascii="Segoe UI" w:hAnsi="Segoe UI" w:cs="Segoe UI"/>
                <w:sz w:val="20"/>
                <w:szCs w:val="20"/>
              </w:rPr>
            </w:pPr>
            <w:r w:rsidRPr="009C229C">
              <w:rPr>
                <w:sz w:val="20"/>
                <w:szCs w:val="20"/>
              </w:rPr>
              <w:t>Table 2.--Estimated Annual Recordkeeping Burden</w:t>
            </w:r>
            <w:r w:rsidRPr="009C229C">
              <w:rPr>
                <w:sz w:val="20"/>
                <w:szCs w:val="20"/>
                <w:vertAlign w:val="superscript"/>
              </w:rPr>
              <w:t>1</w:t>
            </w:r>
            <w:r w:rsidRPr="009C229C">
              <w:rPr>
                <w:sz w:val="20"/>
                <w:szCs w:val="20"/>
              </w:rPr>
              <w:t> </w:t>
            </w:r>
          </w:p>
        </w:tc>
      </w:tr>
      <w:tr w14:paraId="3925EFCE" w14:textId="77777777" w:rsidTr="71CF9796">
        <w:tblPrEx>
          <w:tblW w:w="8940" w:type="dxa"/>
          <w:tblCellMar>
            <w:left w:w="0" w:type="dxa"/>
            <w:right w:w="0" w:type="dxa"/>
          </w:tblCellMar>
          <w:tblLook w:val="04A0"/>
        </w:tblPrEx>
        <w:trPr>
          <w:trHeight w:val="1065"/>
        </w:trPr>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26771750" w14:textId="77777777">
            <w:pPr>
              <w:jc w:val="center"/>
              <w:textAlignment w:val="baseline"/>
              <w:rPr>
                <w:rFonts w:ascii="Segoe UI" w:hAnsi="Segoe UI" w:cs="Segoe UI"/>
                <w:sz w:val="20"/>
                <w:szCs w:val="20"/>
              </w:rPr>
            </w:pPr>
            <w:r w:rsidRPr="009C229C">
              <w:rPr>
                <w:sz w:val="20"/>
                <w:szCs w:val="20"/>
              </w:rPr>
              <w:t>Activity; Guidance Document Section </w:t>
            </w:r>
          </w:p>
        </w:tc>
        <w:tc>
          <w:tcPr>
            <w:tcW w:w="1725"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41C61102" w14:textId="77777777">
            <w:pPr>
              <w:jc w:val="center"/>
              <w:textAlignment w:val="baseline"/>
              <w:rPr>
                <w:rFonts w:ascii="Segoe UI" w:hAnsi="Segoe UI" w:cs="Segoe UI"/>
                <w:sz w:val="20"/>
                <w:szCs w:val="20"/>
              </w:rPr>
            </w:pPr>
            <w:r w:rsidRPr="009C229C">
              <w:rPr>
                <w:sz w:val="20"/>
                <w:szCs w:val="20"/>
              </w:rPr>
              <w:t>No. of Recordkeepers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6687555D" w14:textId="77777777">
            <w:pPr>
              <w:jc w:val="center"/>
              <w:textAlignment w:val="baseline"/>
              <w:rPr>
                <w:rFonts w:ascii="Segoe UI" w:hAnsi="Segoe UI" w:cs="Segoe UI"/>
                <w:sz w:val="20"/>
                <w:szCs w:val="20"/>
              </w:rPr>
            </w:pPr>
            <w:r w:rsidRPr="009C229C">
              <w:rPr>
                <w:sz w:val="20"/>
                <w:szCs w:val="20"/>
              </w:rPr>
              <w:t>No. of Records per Recordkeeper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70E2B03E" w14:textId="77777777">
            <w:pPr>
              <w:jc w:val="center"/>
              <w:textAlignment w:val="baseline"/>
              <w:rPr>
                <w:rFonts w:ascii="Segoe UI" w:hAnsi="Segoe UI" w:cs="Segoe UI"/>
                <w:sz w:val="20"/>
                <w:szCs w:val="20"/>
              </w:rPr>
            </w:pPr>
            <w:r w:rsidRPr="009C229C">
              <w:rPr>
                <w:sz w:val="20"/>
                <w:szCs w:val="20"/>
              </w:rPr>
              <w:t>Total Annual Records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43902419" w14:textId="77777777">
            <w:pPr>
              <w:jc w:val="center"/>
              <w:textAlignment w:val="baseline"/>
              <w:rPr>
                <w:rFonts w:ascii="Segoe UI" w:hAnsi="Segoe UI" w:cs="Segoe UI"/>
                <w:sz w:val="20"/>
                <w:szCs w:val="20"/>
              </w:rPr>
            </w:pPr>
            <w:r w:rsidRPr="009C229C">
              <w:rPr>
                <w:sz w:val="20"/>
                <w:szCs w:val="20"/>
              </w:rPr>
              <w:t>Average Burden per Recordkeeping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0BC5AA61" w14:textId="77777777">
            <w:pPr>
              <w:jc w:val="center"/>
              <w:textAlignment w:val="baseline"/>
              <w:rPr>
                <w:rFonts w:ascii="Segoe UI" w:hAnsi="Segoe UI" w:cs="Segoe UI"/>
                <w:sz w:val="20"/>
                <w:szCs w:val="20"/>
              </w:rPr>
            </w:pPr>
            <w:r w:rsidRPr="009C229C">
              <w:rPr>
                <w:sz w:val="20"/>
                <w:szCs w:val="20"/>
              </w:rPr>
              <w:t>Total Hours </w:t>
            </w:r>
          </w:p>
        </w:tc>
      </w:tr>
      <w:tr w14:paraId="223ACE76" w14:textId="77777777" w:rsidTr="71CF9796">
        <w:tblPrEx>
          <w:tblW w:w="8940" w:type="dxa"/>
          <w:tblCellMar>
            <w:left w:w="0" w:type="dxa"/>
            <w:right w:w="0" w:type="dxa"/>
          </w:tblCellMar>
          <w:tblLook w:val="04A0"/>
        </w:tblPrEx>
        <w:trPr>
          <w:trHeight w:val="345"/>
        </w:trPr>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7F6D7DE2" w14:textId="2374FABF">
            <w:pPr>
              <w:textAlignment w:val="baseline"/>
              <w:rPr>
                <w:rFonts w:ascii="Segoe UI" w:hAnsi="Segoe UI" w:cs="Segoe UI"/>
                <w:sz w:val="20"/>
                <w:szCs w:val="20"/>
              </w:rPr>
            </w:pPr>
            <w:r w:rsidRPr="71CF9796">
              <w:rPr>
                <w:sz w:val="20"/>
                <w:szCs w:val="20"/>
              </w:rPr>
              <w:t xml:space="preserve">510(k) reviews conducted by 3PROs; Section </w:t>
            </w:r>
            <w:r w:rsidRPr="71CF9796" w:rsidR="6364729D">
              <w:rPr>
                <w:sz w:val="20"/>
                <w:szCs w:val="20"/>
              </w:rPr>
              <w:t>V.</w:t>
            </w:r>
            <w:r w:rsidRPr="71CF9796" w:rsidR="3806810A">
              <w:rPr>
                <w:sz w:val="20"/>
                <w:szCs w:val="20"/>
              </w:rPr>
              <w:t>B</w:t>
            </w:r>
            <w:r w:rsidRPr="71CF9796">
              <w:rPr>
                <w:sz w:val="20"/>
                <w:szCs w:val="20"/>
              </w:rPr>
              <w:t> </w:t>
            </w:r>
          </w:p>
        </w:tc>
        <w:tc>
          <w:tcPr>
            <w:tcW w:w="1725"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26835551" w14:textId="77777777">
            <w:pPr>
              <w:jc w:val="right"/>
              <w:textAlignment w:val="baseline"/>
              <w:rPr>
                <w:rFonts w:ascii="Segoe UI" w:hAnsi="Segoe UI" w:cs="Segoe UI"/>
                <w:sz w:val="20"/>
                <w:szCs w:val="20"/>
              </w:rPr>
            </w:pPr>
            <w:r w:rsidRPr="009C229C">
              <w:rPr>
                <w:sz w:val="20"/>
                <w:szCs w:val="20"/>
              </w:rPr>
              <w:t>9 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176CD4FA" w14:textId="77777777">
            <w:pPr>
              <w:jc w:val="right"/>
              <w:textAlignment w:val="baseline"/>
              <w:rPr>
                <w:rFonts w:ascii="Segoe UI" w:hAnsi="Segoe UI" w:cs="Segoe UI"/>
                <w:sz w:val="20"/>
                <w:szCs w:val="20"/>
              </w:rPr>
            </w:pPr>
            <w:r w:rsidRPr="009C229C">
              <w:rPr>
                <w:sz w:val="20"/>
                <w:szCs w:val="20"/>
              </w:rPr>
              <w:t>14 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45333869" w14:textId="77777777">
            <w:pPr>
              <w:jc w:val="right"/>
              <w:textAlignment w:val="baseline"/>
              <w:rPr>
                <w:rFonts w:ascii="Segoe UI" w:hAnsi="Segoe UI" w:cs="Segoe UI"/>
                <w:sz w:val="20"/>
                <w:szCs w:val="20"/>
              </w:rPr>
            </w:pPr>
            <w:r w:rsidRPr="009C229C">
              <w:rPr>
                <w:sz w:val="20"/>
                <w:szCs w:val="20"/>
              </w:rPr>
              <w:t>126 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5907F9D2" w14:textId="77777777">
            <w:pPr>
              <w:jc w:val="right"/>
              <w:textAlignment w:val="baseline"/>
              <w:rPr>
                <w:rFonts w:ascii="Segoe UI" w:hAnsi="Segoe UI" w:cs="Segoe UI"/>
                <w:sz w:val="20"/>
                <w:szCs w:val="20"/>
              </w:rPr>
            </w:pPr>
            <w:r w:rsidRPr="009C229C">
              <w:rPr>
                <w:sz w:val="20"/>
                <w:szCs w:val="20"/>
              </w:rPr>
              <w:t>10 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2207D9CA" w14:textId="77777777">
            <w:pPr>
              <w:jc w:val="right"/>
              <w:textAlignment w:val="baseline"/>
              <w:rPr>
                <w:rFonts w:ascii="Segoe UI" w:hAnsi="Segoe UI" w:cs="Segoe UI"/>
                <w:sz w:val="20"/>
                <w:szCs w:val="20"/>
              </w:rPr>
            </w:pPr>
            <w:r w:rsidRPr="009C229C">
              <w:rPr>
                <w:sz w:val="20"/>
                <w:szCs w:val="20"/>
              </w:rPr>
              <w:t>1,260 </w:t>
            </w:r>
          </w:p>
        </w:tc>
      </w:tr>
      <w:tr w14:paraId="50C75BD6" w14:textId="77777777" w:rsidTr="71CF9796">
        <w:tblPrEx>
          <w:tblW w:w="8940" w:type="dxa"/>
          <w:tblCellMar>
            <w:left w:w="0" w:type="dxa"/>
            <w:right w:w="0" w:type="dxa"/>
          </w:tblCellMar>
          <w:tblLook w:val="04A0"/>
        </w:tblPrEx>
        <w:trPr>
          <w:trHeight w:val="975"/>
        </w:trPr>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450F418F" w14:textId="0A51D9AB">
            <w:pPr>
              <w:textAlignment w:val="baseline"/>
              <w:rPr>
                <w:rFonts w:ascii="Segoe UI" w:hAnsi="Segoe UI" w:cs="Segoe UI"/>
                <w:sz w:val="20"/>
                <w:szCs w:val="20"/>
              </w:rPr>
            </w:pPr>
            <w:r w:rsidRPr="71CF9796">
              <w:rPr>
                <w:sz w:val="20"/>
                <w:szCs w:val="20"/>
              </w:rPr>
              <w:t xml:space="preserve">Records regarding qualifications to receive FDA recognition as a 3PRO; Section </w:t>
            </w:r>
            <w:r w:rsidRPr="71CF9796" w:rsidR="1CF183B7">
              <w:rPr>
                <w:sz w:val="20"/>
                <w:szCs w:val="20"/>
              </w:rPr>
              <w:t>V.</w:t>
            </w:r>
            <w:r w:rsidRPr="71CF9796" w:rsidR="4996F11D">
              <w:rPr>
                <w:sz w:val="20"/>
                <w:szCs w:val="20"/>
              </w:rPr>
              <w:t>C</w:t>
            </w:r>
          </w:p>
        </w:tc>
        <w:tc>
          <w:tcPr>
            <w:tcW w:w="1725"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7552E9BB" w14:textId="77777777">
            <w:pPr>
              <w:jc w:val="right"/>
              <w:textAlignment w:val="baseline"/>
              <w:rPr>
                <w:rFonts w:ascii="Segoe UI" w:hAnsi="Segoe UI" w:cs="Segoe UI"/>
                <w:sz w:val="20"/>
                <w:szCs w:val="20"/>
              </w:rPr>
            </w:pPr>
            <w:r w:rsidRPr="009C229C">
              <w:rPr>
                <w:sz w:val="20"/>
                <w:szCs w:val="20"/>
              </w:rPr>
              <w:t>9 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08DDA286" w14:textId="77777777">
            <w:pPr>
              <w:jc w:val="right"/>
              <w:textAlignment w:val="baseline"/>
              <w:rPr>
                <w:rFonts w:ascii="Segoe UI" w:hAnsi="Segoe UI" w:cs="Segoe UI"/>
                <w:sz w:val="20"/>
                <w:szCs w:val="20"/>
              </w:rPr>
            </w:pPr>
            <w:r w:rsidRPr="009C229C">
              <w:rPr>
                <w:sz w:val="20"/>
                <w:szCs w:val="20"/>
              </w:rPr>
              <w:t>1 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39B09E43" w14:textId="77777777">
            <w:pPr>
              <w:jc w:val="right"/>
              <w:textAlignment w:val="baseline"/>
              <w:rPr>
                <w:rFonts w:ascii="Segoe UI" w:hAnsi="Segoe UI" w:cs="Segoe UI"/>
                <w:sz w:val="20"/>
                <w:szCs w:val="20"/>
              </w:rPr>
            </w:pPr>
            <w:r w:rsidRPr="009C229C">
              <w:rPr>
                <w:sz w:val="20"/>
                <w:szCs w:val="20"/>
              </w:rPr>
              <w:t>9 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47B430EE" w14:textId="77777777">
            <w:pPr>
              <w:jc w:val="right"/>
              <w:textAlignment w:val="baseline"/>
              <w:rPr>
                <w:rFonts w:ascii="Segoe UI" w:hAnsi="Segoe UI" w:cs="Segoe UI"/>
                <w:sz w:val="20"/>
                <w:szCs w:val="20"/>
              </w:rPr>
            </w:pPr>
            <w:r w:rsidRPr="009C229C">
              <w:rPr>
                <w:sz w:val="20"/>
                <w:szCs w:val="20"/>
              </w:rPr>
              <w:t>1 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66C5E3F7" w14:textId="77777777">
            <w:pPr>
              <w:jc w:val="right"/>
              <w:textAlignment w:val="baseline"/>
              <w:rPr>
                <w:rFonts w:ascii="Segoe UI" w:hAnsi="Segoe UI" w:cs="Segoe UI"/>
                <w:sz w:val="20"/>
                <w:szCs w:val="20"/>
              </w:rPr>
            </w:pPr>
            <w:r w:rsidRPr="009C229C">
              <w:rPr>
                <w:sz w:val="20"/>
                <w:szCs w:val="20"/>
              </w:rPr>
              <w:t>9 </w:t>
            </w:r>
          </w:p>
        </w:tc>
      </w:tr>
      <w:tr w14:paraId="1953B0ED" w14:textId="77777777" w:rsidTr="71CF9796">
        <w:tblPrEx>
          <w:tblW w:w="8940" w:type="dxa"/>
          <w:tblCellMar>
            <w:left w:w="0" w:type="dxa"/>
            <w:right w:w="0" w:type="dxa"/>
          </w:tblCellMar>
          <w:tblLook w:val="04A0"/>
        </w:tblPrEx>
        <w:trPr>
          <w:trHeight w:val="480"/>
        </w:trPr>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0B1B0A2B" w14:textId="1F2E0E76">
            <w:pPr>
              <w:textAlignment w:val="baseline"/>
              <w:rPr>
                <w:rFonts w:ascii="Segoe UI" w:hAnsi="Segoe UI" w:cs="Segoe UI"/>
                <w:sz w:val="20"/>
                <w:szCs w:val="20"/>
              </w:rPr>
            </w:pPr>
            <w:r w:rsidRPr="71CF9796">
              <w:rPr>
                <w:sz w:val="20"/>
                <w:szCs w:val="20"/>
              </w:rPr>
              <w:t xml:space="preserve">Recordkeeping system regarding complaints; Section </w:t>
            </w:r>
            <w:r w:rsidRPr="71CF9796" w:rsidR="4FF0A2A0">
              <w:rPr>
                <w:sz w:val="20"/>
                <w:szCs w:val="20"/>
              </w:rPr>
              <w:t>V.</w:t>
            </w:r>
            <w:r w:rsidRPr="71CF9796" w:rsidR="2618EA15">
              <w:rPr>
                <w:sz w:val="20"/>
                <w:szCs w:val="20"/>
              </w:rPr>
              <w:t>C</w:t>
            </w:r>
            <w:r w:rsidRPr="71CF9796">
              <w:rPr>
                <w:sz w:val="20"/>
                <w:szCs w:val="20"/>
              </w:rPr>
              <w:t> </w:t>
            </w:r>
          </w:p>
        </w:tc>
        <w:tc>
          <w:tcPr>
            <w:tcW w:w="1725"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2761DCE7" w14:textId="77777777">
            <w:pPr>
              <w:jc w:val="right"/>
              <w:textAlignment w:val="baseline"/>
              <w:rPr>
                <w:rFonts w:ascii="Segoe UI" w:hAnsi="Segoe UI" w:cs="Segoe UI"/>
                <w:sz w:val="20"/>
                <w:szCs w:val="20"/>
              </w:rPr>
            </w:pPr>
            <w:r w:rsidRPr="009C229C">
              <w:rPr>
                <w:sz w:val="20"/>
                <w:szCs w:val="20"/>
              </w:rPr>
              <w:t>9 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7064561E" w14:textId="77777777">
            <w:pPr>
              <w:jc w:val="right"/>
              <w:textAlignment w:val="baseline"/>
              <w:rPr>
                <w:rFonts w:ascii="Segoe UI" w:hAnsi="Segoe UI" w:cs="Segoe UI"/>
                <w:sz w:val="20"/>
                <w:szCs w:val="20"/>
              </w:rPr>
            </w:pPr>
            <w:r w:rsidRPr="009C229C">
              <w:rPr>
                <w:sz w:val="20"/>
                <w:szCs w:val="20"/>
              </w:rPr>
              <w:t>1 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5448B2AF" w14:textId="77777777">
            <w:pPr>
              <w:jc w:val="right"/>
              <w:textAlignment w:val="baseline"/>
              <w:rPr>
                <w:rFonts w:ascii="Segoe UI" w:hAnsi="Segoe UI" w:cs="Segoe UI"/>
                <w:sz w:val="20"/>
                <w:szCs w:val="20"/>
              </w:rPr>
            </w:pPr>
            <w:r w:rsidRPr="009C229C">
              <w:rPr>
                <w:sz w:val="20"/>
                <w:szCs w:val="20"/>
              </w:rPr>
              <w:t>9 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03FBD219" w14:textId="77777777">
            <w:pPr>
              <w:jc w:val="right"/>
              <w:textAlignment w:val="baseline"/>
              <w:rPr>
                <w:rFonts w:ascii="Segoe UI" w:hAnsi="Segoe UI" w:cs="Segoe UI"/>
                <w:sz w:val="20"/>
                <w:szCs w:val="20"/>
              </w:rPr>
            </w:pPr>
            <w:r w:rsidRPr="009C229C">
              <w:rPr>
                <w:sz w:val="20"/>
                <w:szCs w:val="20"/>
              </w:rPr>
              <w:t>2 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6EB7B97C" w14:textId="77777777">
            <w:pPr>
              <w:jc w:val="right"/>
              <w:textAlignment w:val="baseline"/>
              <w:rPr>
                <w:rFonts w:ascii="Segoe UI" w:hAnsi="Segoe UI" w:cs="Segoe UI"/>
                <w:sz w:val="20"/>
                <w:szCs w:val="20"/>
              </w:rPr>
            </w:pPr>
            <w:r w:rsidRPr="009C229C">
              <w:rPr>
                <w:sz w:val="20"/>
                <w:szCs w:val="20"/>
              </w:rPr>
              <w:t>18 </w:t>
            </w:r>
          </w:p>
        </w:tc>
      </w:tr>
      <w:tr w14:paraId="1116B435" w14:textId="77777777" w:rsidTr="71CF9796">
        <w:tblPrEx>
          <w:tblW w:w="8940" w:type="dxa"/>
          <w:tblCellMar>
            <w:left w:w="0" w:type="dxa"/>
            <w:right w:w="0" w:type="dxa"/>
          </w:tblCellMar>
          <w:tblLook w:val="04A0"/>
        </w:tblPrEx>
        <w:trPr>
          <w:trHeight w:val="255"/>
        </w:trPr>
        <w:tc>
          <w:tcPr>
            <w:tcW w:w="8010" w:type="dxa"/>
            <w:gridSpan w:val="5"/>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3AB736B6" w14:textId="77777777">
            <w:pPr>
              <w:textAlignment w:val="baseline"/>
              <w:rPr>
                <w:rFonts w:ascii="Segoe UI" w:hAnsi="Segoe UI" w:cs="Segoe UI"/>
                <w:sz w:val="20"/>
                <w:szCs w:val="20"/>
              </w:rPr>
            </w:pPr>
            <w:r w:rsidRPr="009C229C">
              <w:rPr>
                <w:sz w:val="20"/>
                <w:szCs w:val="20"/>
              </w:rPr>
              <w:t>Total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rsidR="009C229C" w:rsidRPr="009C229C" w:rsidP="009C229C" w14:paraId="21BAA9F4" w14:textId="77777777">
            <w:pPr>
              <w:jc w:val="right"/>
              <w:textAlignment w:val="baseline"/>
              <w:rPr>
                <w:rFonts w:ascii="Segoe UI" w:hAnsi="Segoe UI" w:cs="Segoe UI"/>
                <w:sz w:val="20"/>
                <w:szCs w:val="20"/>
              </w:rPr>
            </w:pPr>
            <w:r w:rsidRPr="009C229C">
              <w:rPr>
                <w:sz w:val="20"/>
                <w:szCs w:val="20"/>
              </w:rPr>
              <w:t>1,287 </w:t>
            </w:r>
          </w:p>
        </w:tc>
      </w:tr>
    </w:tbl>
    <w:p w:rsidR="009C229C" w:rsidP="009C229C" w14:paraId="2F0C226E" w14:textId="77777777">
      <w:pPr>
        <w:rPr>
          <w:sz w:val="20"/>
          <w:szCs w:val="20"/>
        </w:rPr>
      </w:pPr>
      <w:r w:rsidRPr="009C229C">
        <w:rPr>
          <w:sz w:val="20"/>
          <w:szCs w:val="20"/>
          <w:vertAlign w:val="superscript"/>
        </w:rPr>
        <w:t>1</w:t>
      </w:r>
      <w:r w:rsidRPr="009C229C">
        <w:rPr>
          <w:sz w:val="20"/>
          <w:szCs w:val="20"/>
        </w:rPr>
        <w:t xml:space="preserve"> There are no capital costs or operating and maintenance costs associated with this collection of information.</w:t>
      </w:r>
    </w:p>
    <w:p w:rsidR="00AD579B" w:rsidRPr="009C229C" w:rsidP="009C229C" w14:paraId="3E47E7C5" w14:textId="77777777"/>
    <w:p w:rsidR="00E8042E" w:rsidRPr="005A6059" w:rsidP="00E8042E" w14:paraId="28067326" w14:textId="77777777">
      <w:pPr>
        <w:contextualSpacing/>
        <w:rPr>
          <w:u w:val="single"/>
        </w:rPr>
      </w:pPr>
      <w:r w:rsidRPr="005A6059">
        <w:rPr>
          <w:u w:val="single"/>
        </w:rPr>
        <w:t>Estimated Annual Reporting Burden</w:t>
      </w:r>
    </w:p>
    <w:p w:rsidR="00E8042E" w:rsidP="00E8042E" w14:paraId="1A7C423D" w14:textId="77777777">
      <w:pPr>
        <w:contextualSpacing/>
        <w:rPr>
          <w:u w:val="single"/>
        </w:rPr>
      </w:pPr>
    </w:p>
    <w:p w:rsidR="00E8042E" w:rsidRPr="00457087" w:rsidP="00E8042E" w14:paraId="2C05D1F0" w14:textId="160C10F5">
      <w:pPr>
        <w:contextualSpacing/>
      </w:pPr>
      <w:r w:rsidRPr="005A6059">
        <w:rPr>
          <w:u w:val="single"/>
        </w:rPr>
        <w:t>Requests for accreditation (initial)</w:t>
      </w:r>
      <w:r w:rsidRPr="00457087">
        <w:t>: On average, the Agency has received one application for accreditation for 3P</w:t>
      </w:r>
      <w:r>
        <w:t>510k</w:t>
      </w:r>
      <w:r w:rsidRPr="00457087">
        <w:t xml:space="preserve"> review per year. </w:t>
      </w:r>
      <w:r w:rsidRPr="00FD18E5" w:rsidR="00FD18E5">
        <w:t xml:space="preserve">Upon review of this </w:t>
      </w:r>
      <w:r w:rsidR="00FD18E5">
        <w:t>IC</w:t>
      </w:r>
      <w:r w:rsidRPr="00FD18E5" w:rsidR="00FD18E5">
        <w:t xml:space="preserve">, we have adjusted our burden estimate for the average burden hours required per response </w:t>
      </w:r>
      <w:r w:rsidR="00FD18E5">
        <w:t>upward from 24 hours to 40 hours</w:t>
      </w:r>
      <w:r w:rsidRPr="00FD18E5" w:rsidR="00FD18E5">
        <w:t xml:space="preserve"> to more accurately reflect the time required based on recent experience of FDA program staff. This adjustment has resulted in an increase of 14 hours to the currently approved burden.  </w:t>
      </w:r>
    </w:p>
    <w:p w:rsidR="00E8042E" w:rsidP="00E8042E" w14:paraId="7653AB5E" w14:textId="77777777">
      <w:pPr>
        <w:contextualSpacing/>
        <w:rPr>
          <w:u w:val="single"/>
        </w:rPr>
      </w:pPr>
    </w:p>
    <w:p w:rsidR="00E8042E" w:rsidRPr="00457087" w:rsidP="00E8042E" w14:paraId="02E2246C" w14:textId="790B55C9">
      <w:pPr>
        <w:contextualSpacing/>
      </w:pPr>
      <w:r w:rsidRPr="005A6059">
        <w:rPr>
          <w:u w:val="single"/>
        </w:rPr>
        <w:t>Requests for accreditation (re-recognition)</w:t>
      </w:r>
      <w:r w:rsidRPr="00457087">
        <w:t xml:space="preserve">: Based on the </w:t>
      </w:r>
      <w:r w:rsidR="007F5357">
        <w:t>current</w:t>
      </w:r>
      <w:r w:rsidRPr="00457087" w:rsidR="007F5357">
        <w:t xml:space="preserve"> </w:t>
      </w:r>
      <w:r w:rsidRPr="00457087">
        <w:t xml:space="preserve">number of 3PROs and the frequency of re-recognition (3 years), we expect to receive approximately </w:t>
      </w:r>
      <w:r>
        <w:t>3</w:t>
      </w:r>
      <w:r w:rsidRPr="00457087">
        <w:t xml:space="preserve"> re-recognition requests per year. We expect the average burden per response to </w:t>
      </w:r>
      <w:r w:rsidR="00C703E0">
        <w:t>remain at the currently approved estimate of 24 hours.</w:t>
      </w:r>
    </w:p>
    <w:p w:rsidR="00E8042E" w:rsidP="00E8042E" w14:paraId="389BECAC" w14:textId="77777777">
      <w:pPr>
        <w:contextualSpacing/>
        <w:rPr>
          <w:u w:val="single"/>
        </w:rPr>
      </w:pPr>
    </w:p>
    <w:p w:rsidR="00E8042E" w:rsidRPr="00457087" w:rsidP="00E8042E" w14:paraId="50D3471F" w14:textId="66A8F2CB">
      <w:pPr>
        <w:contextualSpacing/>
      </w:pPr>
      <w:r w:rsidRPr="005A6059">
        <w:rPr>
          <w:u w:val="single"/>
        </w:rPr>
        <w:t>510(k) reviews conducted by accredited third parties</w:t>
      </w:r>
      <w:r w:rsidRPr="00457087">
        <w:t xml:space="preserve">: Based on FDA's recent experience with this program, we estimate the number of 510(k)s submitted for </w:t>
      </w:r>
      <w:r>
        <w:t>3P510k</w:t>
      </w:r>
      <w:r w:rsidRPr="00457087">
        <w:t xml:space="preserve"> review to </w:t>
      </w:r>
      <w:r w:rsidR="00C703E0">
        <w:t>remain as</w:t>
      </w:r>
      <w:r w:rsidRPr="00457087" w:rsidR="00C703E0">
        <w:t xml:space="preserve"> </w:t>
      </w:r>
      <w:r>
        <w:t xml:space="preserve">126 </w:t>
      </w:r>
      <w:r w:rsidRPr="00457087">
        <w:t>annually</w:t>
      </w:r>
      <w:r>
        <w:t xml:space="preserve">, or an average of 14 per respondent. </w:t>
      </w:r>
    </w:p>
    <w:p w:rsidR="00E8042E" w:rsidP="00E8042E" w14:paraId="545C496D" w14:textId="77777777">
      <w:pPr>
        <w:contextualSpacing/>
        <w:rPr>
          <w:u w:val="single"/>
        </w:rPr>
      </w:pPr>
    </w:p>
    <w:p w:rsidR="00E8042E" w:rsidP="00E8042E" w14:paraId="7379BA47" w14:textId="77777777">
      <w:pPr>
        <w:contextualSpacing/>
      </w:pPr>
      <w:r w:rsidRPr="005A6059">
        <w:rPr>
          <w:u w:val="single"/>
        </w:rPr>
        <w:t>Complaints</w:t>
      </w:r>
      <w:r w:rsidRPr="00457087">
        <w:t>: The guidance recommends that the 3P</w:t>
      </w:r>
      <w:r>
        <w:t>RO</w:t>
      </w:r>
      <w:r w:rsidRPr="00457087">
        <w:t xml:space="preserve"> should forward to FDA information on any complaint (e.g., whistleblowing) it receives about a 510(k) submitter that could indicate an issue related to the safety or effectiveness of a medical device or a public health risk. We expect to receive one forwarded complaint per year. Based on similar information collections, we estimate the average burden per complaint to be 0.25 hours (15 minutes).</w:t>
      </w:r>
    </w:p>
    <w:p w:rsidR="00362085" w:rsidP="00E8042E" w14:paraId="71D52F5A" w14:textId="77777777">
      <w:pPr>
        <w:contextualSpacing/>
      </w:pPr>
    </w:p>
    <w:p w:rsidR="00E8042E" w:rsidRPr="005A00C0" w:rsidP="00E8042E" w14:paraId="439E2C48" w14:textId="77777777">
      <w:pPr>
        <w:contextualSpacing/>
        <w:rPr>
          <w:u w:val="single"/>
        </w:rPr>
      </w:pPr>
      <w:r w:rsidRPr="005A00C0">
        <w:rPr>
          <w:u w:val="single"/>
        </w:rPr>
        <w:t>Estimated Annual Recordkeeping Burden</w:t>
      </w:r>
    </w:p>
    <w:p w:rsidR="00E8042E" w:rsidRPr="00547582" w:rsidP="00E8042E" w14:paraId="2615B19B" w14:textId="77777777">
      <w:pPr>
        <w:contextualSpacing/>
      </w:pPr>
      <w:r w:rsidRPr="00547582">
        <w:t>510(k) reviews: The 3PROs should retain copies of all 510(k) reviews and associated correspondence. Based on FDA's recent experience with this program, we estimate the number of 510(k)s submitted for 3P510k review to be 126 annually; approximately 14 annual reviews for each of the 9 3PROs. We estimate the average burden per recordkeeping to be 10 hours.</w:t>
      </w:r>
    </w:p>
    <w:p w:rsidR="00E8042E" w:rsidRPr="005A00C0" w:rsidP="00E8042E" w14:paraId="294B4CEB" w14:textId="77777777">
      <w:pPr>
        <w:contextualSpacing/>
        <w:rPr>
          <w:u w:val="single"/>
        </w:rPr>
      </w:pPr>
    </w:p>
    <w:p w:rsidR="00E8042E" w:rsidRPr="005A00C0" w:rsidP="00E8042E" w14:paraId="48D2A365" w14:textId="77777777">
      <w:pPr>
        <w:contextualSpacing/>
        <w:rPr>
          <w:u w:val="single"/>
        </w:rPr>
      </w:pPr>
      <w:r w:rsidRPr="005A00C0">
        <w:rPr>
          <w:u w:val="single"/>
        </w:rPr>
        <w:t xml:space="preserve">Records regarding qualifications to receive FDA recognition as a 3PRO: </w:t>
      </w:r>
      <w:r w:rsidRPr="00547582">
        <w:t>Under section 704(f) of the FD&amp;C Act (21 U.S.C. 374(f)), a 3PRO must maintain records that support their initial and continuing qualifications to receive FDA recognition, including documentation of the training and qualifications of the 3PRO and its personnel; the procedures used by the 3P510k review organization for handling confidential information; the compensation arrangements made by the 3PRO; and the procedures used by the 3PRO to identify and avoid conflicts of interest. Additionally, the guidance states that 3PROs should retain information on the identity and qualifications of all personnel who contributed to the technical review of each 510(k) submission and other relevant records. Because most of the burden of compiling the records is expressed in the reporting burden for requests for accreditation, we estimate the maintenance of such records to be 1 hour per recordkeeping annually.</w:t>
      </w:r>
    </w:p>
    <w:p w:rsidR="00E8042E" w:rsidRPr="005A00C0" w:rsidP="00E8042E" w14:paraId="53D3333B" w14:textId="77777777">
      <w:pPr>
        <w:contextualSpacing/>
        <w:rPr>
          <w:u w:val="single"/>
        </w:rPr>
      </w:pPr>
    </w:p>
    <w:p w:rsidR="00E8042E" w:rsidP="00E8042E" w14:paraId="68613A98" w14:textId="1DC7BDAF">
      <w:pPr>
        <w:contextualSpacing/>
      </w:pPr>
      <w:r w:rsidRPr="005A00C0">
        <w:rPr>
          <w:u w:val="single"/>
        </w:rPr>
        <w:t xml:space="preserve">Recordkeeping system regarding complaints: </w:t>
      </w:r>
      <w:r w:rsidRPr="00547582">
        <w:t>Section 523(b)(3)(F)(iv) of the FD&amp;C Act requires 3PROs to agree in writing that they will promptly respond and attempt to resolve complaints regarding their activities. The guidance recommends that 3PROs establish a recordkeeping system for tracking the submission of those complaints and how those complaints were resolved or attempted to be resolved. Based on our experience with the program and the recommendations in the guidance, we estimate the average burden per recordkeeping to be 2 hours annually.</w:t>
      </w:r>
    </w:p>
    <w:p w:rsidR="00970F5E" w:rsidRPr="00547582" w:rsidP="00E8042E" w14:paraId="5C8B46A3" w14:textId="77777777">
      <w:pPr>
        <w:contextualSpacing/>
      </w:pPr>
    </w:p>
    <w:p w:rsidR="00357C8A" w:rsidP="00DC371B" w14:paraId="21A63CE6" w14:textId="77777777">
      <w:pPr>
        <w:spacing w:after="200"/>
        <w:ind w:left="360"/>
        <w:rPr>
          <w:rFonts w:eastAsia="Calibri"/>
        </w:rPr>
      </w:pPr>
      <w:r w:rsidRPr="005C71CA">
        <w:rPr>
          <w:rFonts w:eastAsia="Calibri"/>
        </w:rPr>
        <w:t>12b.  Annualized Cost Burden Estimate</w:t>
      </w:r>
    </w:p>
    <w:p w:rsidR="00E25B99" w:rsidP="00E25B99" w14:paraId="1D752BD9" w14:textId="73565DE4">
      <w:pPr>
        <w:pStyle w:val="BodyText2"/>
        <w:keepNext/>
      </w:pPr>
      <w:r>
        <w:rPr>
          <w:szCs w:val="24"/>
          <w:lang w:val="en"/>
        </w:rPr>
        <w:t xml:space="preserve">We assume the activities identified in 12a will be completed by Lawyers (occupation code 23-1011) (approximately 50% of tasks) and Paralegals (occupation code 23-2011) (approximately 50% of tasks). To estimate costs to respondents, we used mean wage rates from the </w:t>
      </w:r>
      <w:r>
        <w:t xml:space="preserve">U.S. Department of Labor’s Bureau of Labor Statistics National Occupational Employment and Wage Estimates (available at </w:t>
      </w:r>
      <w:hyperlink r:id="rId11" w:history="1">
        <w:r>
          <w:rPr>
            <w:rStyle w:val="Hyperlink"/>
          </w:rPr>
          <w:t>http://www.bls.gov/oes/current/oes_nat.htm</w:t>
        </w:r>
      </w:hyperlink>
      <w:r>
        <w:t>) (May 202</w:t>
      </w:r>
      <w:r w:rsidR="009B0BF1">
        <w:t>4</w:t>
      </w:r>
      <w:r>
        <w:t xml:space="preserve">). We doubled these figures to account for benefits and overhead, and calculated the costs as follows: </w:t>
      </w:r>
    </w:p>
    <w:p w:rsidR="00E25B99" w:rsidRPr="00E25B99" w:rsidP="00E25B99" w14:paraId="5DE530F9" w14:textId="77777777">
      <w:pPr>
        <w:pStyle w:val="BodyText2"/>
        <w:keepNex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9"/>
        <w:gridCol w:w="1878"/>
        <w:gridCol w:w="1931"/>
        <w:gridCol w:w="1919"/>
      </w:tblGrid>
      <w:tr w14:paraId="68ED36D7" w14:textId="77777777" w:rsidTr="00435430">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67" w:type="dxa"/>
            <w:gridSpan w:val="4"/>
            <w:tcBorders>
              <w:top w:val="nil"/>
              <w:left w:val="nil"/>
              <w:bottom w:val="single" w:sz="4" w:space="0" w:color="auto"/>
              <w:right w:val="nil"/>
            </w:tcBorders>
            <w:shd w:val="clear" w:color="auto" w:fill="auto"/>
          </w:tcPr>
          <w:p w:rsidR="00105D80" w:rsidRPr="00435430" w:rsidP="00435430" w14:paraId="017B0EA3" w14:textId="77777777">
            <w:pPr>
              <w:keepNext/>
              <w:jc w:val="center"/>
              <w:rPr>
                <w:sz w:val="20"/>
                <w:szCs w:val="20"/>
              </w:rPr>
            </w:pPr>
            <w:r w:rsidRPr="00435430">
              <w:rPr>
                <w:sz w:val="20"/>
                <w:szCs w:val="20"/>
              </w:rPr>
              <w:t>Table 3. – Annualized Burden Costs</w:t>
            </w:r>
            <w:r w:rsidRPr="00435430">
              <w:rPr>
                <w:sz w:val="20"/>
                <w:szCs w:val="20"/>
                <w:vertAlign w:val="superscript"/>
              </w:rPr>
              <w:t>1</w:t>
            </w:r>
          </w:p>
        </w:tc>
      </w:tr>
      <w:tr w14:paraId="5BDAE793" w14:textId="77777777" w:rsidTr="00435430">
        <w:tblPrEx>
          <w:tblW w:w="0" w:type="auto"/>
          <w:tblInd w:w="-5" w:type="dxa"/>
          <w:tblLook w:val="01E0"/>
        </w:tblPrEx>
        <w:tc>
          <w:tcPr>
            <w:tcW w:w="3339" w:type="dxa"/>
            <w:tcBorders>
              <w:top w:val="single" w:sz="4" w:space="0" w:color="auto"/>
            </w:tcBorders>
            <w:shd w:val="clear" w:color="auto" w:fill="auto"/>
          </w:tcPr>
          <w:p w:rsidR="00105D80" w:rsidRPr="00435430" w:rsidP="00FA32A1" w14:paraId="6F5DB5B6" w14:textId="77777777">
            <w:pPr>
              <w:jc w:val="center"/>
              <w:rPr>
                <w:sz w:val="20"/>
                <w:szCs w:val="20"/>
              </w:rPr>
            </w:pPr>
            <w:r w:rsidRPr="00435430">
              <w:rPr>
                <w:sz w:val="20"/>
                <w:szCs w:val="20"/>
              </w:rPr>
              <w:t>Type of Respondent</w:t>
            </w:r>
          </w:p>
        </w:tc>
        <w:tc>
          <w:tcPr>
            <w:tcW w:w="1878" w:type="dxa"/>
            <w:tcBorders>
              <w:top w:val="single" w:sz="4" w:space="0" w:color="auto"/>
            </w:tcBorders>
            <w:shd w:val="clear" w:color="auto" w:fill="auto"/>
          </w:tcPr>
          <w:p w:rsidR="00105D80" w:rsidRPr="00435430" w:rsidP="00FA32A1" w14:paraId="79110A17" w14:textId="77777777">
            <w:pPr>
              <w:jc w:val="center"/>
              <w:rPr>
                <w:sz w:val="20"/>
                <w:szCs w:val="20"/>
              </w:rPr>
            </w:pPr>
            <w:r w:rsidRPr="00435430">
              <w:rPr>
                <w:sz w:val="20"/>
                <w:szCs w:val="20"/>
              </w:rPr>
              <w:t>Total Burden Hours</w:t>
            </w:r>
          </w:p>
        </w:tc>
        <w:tc>
          <w:tcPr>
            <w:tcW w:w="1931" w:type="dxa"/>
            <w:tcBorders>
              <w:top w:val="single" w:sz="4" w:space="0" w:color="auto"/>
            </w:tcBorders>
            <w:shd w:val="clear" w:color="auto" w:fill="auto"/>
          </w:tcPr>
          <w:p w:rsidR="00105D80" w:rsidRPr="00435430" w:rsidP="00FA32A1" w14:paraId="1DBD01AE" w14:textId="77777777">
            <w:pPr>
              <w:jc w:val="center"/>
              <w:rPr>
                <w:sz w:val="20"/>
                <w:szCs w:val="20"/>
              </w:rPr>
            </w:pPr>
            <w:r w:rsidRPr="00435430">
              <w:rPr>
                <w:sz w:val="20"/>
                <w:szCs w:val="20"/>
              </w:rPr>
              <w:t>Hourly Wage Rate</w:t>
            </w:r>
          </w:p>
        </w:tc>
        <w:tc>
          <w:tcPr>
            <w:tcW w:w="1919" w:type="dxa"/>
            <w:tcBorders>
              <w:top w:val="single" w:sz="4" w:space="0" w:color="auto"/>
            </w:tcBorders>
            <w:shd w:val="clear" w:color="auto" w:fill="auto"/>
          </w:tcPr>
          <w:p w:rsidR="00105D80" w:rsidRPr="00435430" w:rsidP="00FA32A1" w14:paraId="76F62448" w14:textId="77777777">
            <w:pPr>
              <w:jc w:val="center"/>
              <w:rPr>
                <w:sz w:val="20"/>
                <w:szCs w:val="20"/>
              </w:rPr>
            </w:pPr>
            <w:r w:rsidRPr="00435430">
              <w:rPr>
                <w:sz w:val="20"/>
                <w:szCs w:val="20"/>
              </w:rPr>
              <w:t>Total Respondent Costs</w:t>
            </w:r>
          </w:p>
        </w:tc>
      </w:tr>
      <w:tr w14:paraId="53C00830" w14:textId="77777777" w:rsidTr="00FA32A1">
        <w:tblPrEx>
          <w:tblW w:w="0" w:type="auto"/>
          <w:tblInd w:w="-5" w:type="dxa"/>
          <w:tblLook w:val="01E0"/>
        </w:tblPrEx>
        <w:tc>
          <w:tcPr>
            <w:tcW w:w="3339" w:type="dxa"/>
            <w:shd w:val="clear" w:color="auto" w:fill="auto"/>
          </w:tcPr>
          <w:p w:rsidR="00105D80" w:rsidRPr="00435430" w:rsidP="00FA32A1" w14:paraId="77F2D155" w14:textId="3529720E">
            <w:pPr>
              <w:jc w:val="center"/>
              <w:rPr>
                <w:sz w:val="20"/>
                <w:szCs w:val="20"/>
              </w:rPr>
            </w:pPr>
            <w:r>
              <w:rPr>
                <w:sz w:val="20"/>
                <w:szCs w:val="20"/>
              </w:rPr>
              <w:t>Lawyer</w:t>
            </w:r>
          </w:p>
        </w:tc>
        <w:tc>
          <w:tcPr>
            <w:tcW w:w="1878" w:type="dxa"/>
            <w:shd w:val="clear" w:color="auto" w:fill="auto"/>
          </w:tcPr>
          <w:p w:rsidR="00105D80" w:rsidRPr="00435430" w:rsidP="00FA32A1" w14:paraId="3955AF67" w14:textId="3D8041C7">
            <w:pPr>
              <w:jc w:val="center"/>
              <w:rPr>
                <w:sz w:val="20"/>
                <w:szCs w:val="20"/>
              </w:rPr>
            </w:pPr>
            <w:r>
              <w:rPr>
                <w:sz w:val="20"/>
                <w:szCs w:val="20"/>
              </w:rPr>
              <w:t>3,220</w:t>
            </w:r>
          </w:p>
        </w:tc>
        <w:tc>
          <w:tcPr>
            <w:tcW w:w="1931" w:type="dxa"/>
            <w:shd w:val="clear" w:color="auto" w:fill="auto"/>
          </w:tcPr>
          <w:p w:rsidR="00105D80" w:rsidRPr="00435430" w:rsidP="00FA32A1" w14:paraId="2736D045" w14:textId="02155ACE">
            <w:pPr>
              <w:jc w:val="center"/>
              <w:rPr>
                <w:sz w:val="20"/>
                <w:szCs w:val="20"/>
              </w:rPr>
            </w:pPr>
            <w:r w:rsidRPr="00435430">
              <w:rPr>
                <w:sz w:val="20"/>
                <w:szCs w:val="20"/>
              </w:rPr>
              <w:t>$1</w:t>
            </w:r>
            <w:r w:rsidR="009B0BF1">
              <w:rPr>
                <w:sz w:val="20"/>
                <w:szCs w:val="20"/>
              </w:rPr>
              <w:t>76</w:t>
            </w:r>
          </w:p>
        </w:tc>
        <w:tc>
          <w:tcPr>
            <w:tcW w:w="1919" w:type="dxa"/>
            <w:shd w:val="clear" w:color="auto" w:fill="auto"/>
          </w:tcPr>
          <w:p w:rsidR="00105D80" w:rsidRPr="00435430" w:rsidP="00FA32A1" w14:paraId="7CE0B656" w14:textId="088EC96D">
            <w:pPr>
              <w:jc w:val="center"/>
              <w:rPr>
                <w:sz w:val="20"/>
                <w:szCs w:val="20"/>
              </w:rPr>
            </w:pPr>
            <w:r w:rsidRPr="00435430">
              <w:rPr>
                <w:sz w:val="20"/>
                <w:szCs w:val="20"/>
              </w:rPr>
              <w:t>$</w:t>
            </w:r>
            <w:r w:rsidR="00DC00F1">
              <w:rPr>
                <w:sz w:val="20"/>
                <w:szCs w:val="20"/>
              </w:rPr>
              <w:t>566,720</w:t>
            </w:r>
          </w:p>
        </w:tc>
      </w:tr>
      <w:tr w14:paraId="14285C52" w14:textId="77777777" w:rsidTr="00FA32A1">
        <w:tblPrEx>
          <w:tblW w:w="0" w:type="auto"/>
          <w:tblInd w:w="-5" w:type="dxa"/>
          <w:tblLook w:val="01E0"/>
        </w:tblPrEx>
        <w:tc>
          <w:tcPr>
            <w:tcW w:w="3339" w:type="dxa"/>
            <w:shd w:val="clear" w:color="auto" w:fill="auto"/>
          </w:tcPr>
          <w:p w:rsidR="009B0BF1" w:rsidRPr="00435430" w:rsidP="00FA32A1" w14:paraId="201D7125" w14:textId="1FD8B5E5">
            <w:pPr>
              <w:jc w:val="center"/>
              <w:rPr>
                <w:sz w:val="20"/>
                <w:szCs w:val="20"/>
              </w:rPr>
            </w:pPr>
            <w:r>
              <w:rPr>
                <w:sz w:val="20"/>
                <w:szCs w:val="20"/>
              </w:rPr>
              <w:t>Paralegal</w:t>
            </w:r>
          </w:p>
        </w:tc>
        <w:tc>
          <w:tcPr>
            <w:tcW w:w="1878" w:type="dxa"/>
            <w:shd w:val="clear" w:color="auto" w:fill="auto"/>
          </w:tcPr>
          <w:p w:rsidR="009B0BF1" w:rsidP="00FA32A1" w14:paraId="248A6864" w14:textId="37FEBCA3">
            <w:pPr>
              <w:jc w:val="center"/>
              <w:rPr>
                <w:sz w:val="20"/>
                <w:szCs w:val="20"/>
              </w:rPr>
            </w:pPr>
            <w:r>
              <w:rPr>
                <w:sz w:val="20"/>
                <w:szCs w:val="20"/>
              </w:rPr>
              <w:t>3,220</w:t>
            </w:r>
          </w:p>
        </w:tc>
        <w:tc>
          <w:tcPr>
            <w:tcW w:w="1931" w:type="dxa"/>
            <w:shd w:val="clear" w:color="auto" w:fill="auto"/>
          </w:tcPr>
          <w:p w:rsidR="009B0BF1" w:rsidRPr="00435430" w:rsidP="00FA32A1" w14:paraId="6CD396E6" w14:textId="04EA739B">
            <w:pPr>
              <w:jc w:val="center"/>
              <w:rPr>
                <w:sz w:val="20"/>
                <w:szCs w:val="20"/>
              </w:rPr>
            </w:pPr>
            <w:r>
              <w:rPr>
                <w:sz w:val="20"/>
                <w:szCs w:val="20"/>
              </w:rPr>
              <w:t>$64</w:t>
            </w:r>
          </w:p>
        </w:tc>
        <w:tc>
          <w:tcPr>
            <w:tcW w:w="1919" w:type="dxa"/>
            <w:shd w:val="clear" w:color="auto" w:fill="auto"/>
          </w:tcPr>
          <w:p w:rsidR="009B0BF1" w:rsidRPr="00435430" w:rsidP="00FA32A1" w14:paraId="0C50D5D7" w14:textId="03BB0B5B">
            <w:pPr>
              <w:jc w:val="center"/>
              <w:rPr>
                <w:sz w:val="20"/>
                <w:szCs w:val="20"/>
              </w:rPr>
            </w:pPr>
            <w:r>
              <w:rPr>
                <w:sz w:val="20"/>
                <w:szCs w:val="20"/>
              </w:rPr>
              <w:t>$206,080</w:t>
            </w:r>
          </w:p>
        </w:tc>
      </w:tr>
      <w:tr w14:paraId="71E495DF" w14:textId="77777777" w:rsidTr="00FA32A1">
        <w:tblPrEx>
          <w:tblW w:w="0" w:type="auto"/>
          <w:tblInd w:w="-5" w:type="dxa"/>
          <w:tblLook w:val="01E0"/>
        </w:tblPrEx>
        <w:tc>
          <w:tcPr>
            <w:tcW w:w="3339" w:type="dxa"/>
            <w:shd w:val="clear" w:color="auto" w:fill="auto"/>
          </w:tcPr>
          <w:p w:rsidR="009B0BF1" w:rsidRPr="00435430" w:rsidP="00FA32A1" w14:paraId="5840A73F" w14:textId="2331C202">
            <w:pPr>
              <w:jc w:val="center"/>
              <w:rPr>
                <w:sz w:val="20"/>
                <w:szCs w:val="20"/>
              </w:rPr>
            </w:pPr>
            <w:r>
              <w:rPr>
                <w:sz w:val="20"/>
                <w:szCs w:val="20"/>
              </w:rPr>
              <w:t>Total</w:t>
            </w:r>
          </w:p>
        </w:tc>
        <w:tc>
          <w:tcPr>
            <w:tcW w:w="1878" w:type="dxa"/>
            <w:shd w:val="clear" w:color="auto" w:fill="auto"/>
          </w:tcPr>
          <w:p w:rsidR="009B0BF1" w:rsidP="00FA32A1" w14:paraId="435D0C81" w14:textId="77777777">
            <w:pPr>
              <w:jc w:val="center"/>
              <w:rPr>
                <w:sz w:val="20"/>
                <w:szCs w:val="20"/>
              </w:rPr>
            </w:pPr>
          </w:p>
        </w:tc>
        <w:tc>
          <w:tcPr>
            <w:tcW w:w="1931" w:type="dxa"/>
            <w:shd w:val="clear" w:color="auto" w:fill="auto"/>
          </w:tcPr>
          <w:p w:rsidR="009B0BF1" w:rsidRPr="00435430" w:rsidP="00FA32A1" w14:paraId="63B58AED" w14:textId="77777777">
            <w:pPr>
              <w:jc w:val="center"/>
              <w:rPr>
                <w:sz w:val="20"/>
                <w:szCs w:val="20"/>
              </w:rPr>
            </w:pPr>
          </w:p>
        </w:tc>
        <w:tc>
          <w:tcPr>
            <w:tcW w:w="1919" w:type="dxa"/>
            <w:shd w:val="clear" w:color="auto" w:fill="auto"/>
          </w:tcPr>
          <w:p w:rsidR="009B0BF1" w:rsidRPr="00435430" w:rsidP="00FA32A1" w14:paraId="469F8CAD" w14:textId="1F25433F">
            <w:pPr>
              <w:jc w:val="center"/>
              <w:rPr>
                <w:sz w:val="20"/>
                <w:szCs w:val="20"/>
              </w:rPr>
            </w:pPr>
            <w:r>
              <w:rPr>
                <w:sz w:val="20"/>
                <w:szCs w:val="20"/>
              </w:rPr>
              <w:t>$772,800</w:t>
            </w:r>
          </w:p>
        </w:tc>
      </w:tr>
    </w:tbl>
    <w:p w:rsidR="00105D80" w:rsidP="00105D80" w14:paraId="0906F886" w14:textId="77777777">
      <w:pPr>
        <w:tabs>
          <w:tab w:val="left" w:pos="-720"/>
        </w:tabs>
        <w:suppressAutoHyphens/>
        <w:rPr>
          <w:sz w:val="20"/>
          <w:szCs w:val="20"/>
        </w:rPr>
      </w:pPr>
      <w:r w:rsidRPr="0005358A">
        <w:rPr>
          <w:vertAlign w:val="superscript"/>
        </w:rPr>
        <w:t xml:space="preserve">1 </w:t>
      </w:r>
      <w:r w:rsidRPr="0005358A">
        <w:rPr>
          <w:sz w:val="20"/>
          <w:szCs w:val="20"/>
        </w:rPr>
        <w:t>Figures rounded to the nearest whole dollar.</w:t>
      </w:r>
    </w:p>
    <w:p w:rsidR="00E12CBA" w:rsidP="00E12CBA" w14:paraId="1DB9C407" w14:textId="77777777"/>
    <w:p w:rsidR="00E12CBA" w:rsidP="00E12CBA" w14:paraId="1066F2EC" w14:textId="50B0775B">
      <w:r>
        <w:t>We therefore estimate a total annualized cost burden of $</w:t>
      </w:r>
      <w:r w:rsidRPr="00E12CBA">
        <w:t xml:space="preserve">772,800 </w:t>
      </w:r>
      <w:r>
        <w:t>(rounded to the nearest dollar).</w:t>
      </w:r>
    </w:p>
    <w:p w:rsidR="00357C8A" w:rsidRPr="00357C8A" w:rsidP="00357C8A" w14:paraId="2FC26242" w14:textId="77777777">
      <w:pPr>
        <w:rPr>
          <w:rFonts w:eastAsia="Calibri"/>
        </w:rPr>
      </w:pPr>
    </w:p>
    <w:p w:rsidR="00357C8A" w:rsidRPr="00357C8A" w:rsidP="006705EA" w14:paraId="4F40405D"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D5774D" w:rsidP="0022425B" w14:paraId="66AA6B01" w14:textId="3B13A950">
      <w:pPr>
        <w:spacing w:after="200"/>
        <w:rPr>
          <w:rFonts w:eastAsia="Calibri"/>
        </w:rPr>
      </w:pPr>
      <w:r w:rsidRPr="416C8C0C">
        <w:rPr>
          <w:rFonts w:eastAsia="Calibri"/>
        </w:rPr>
        <w:t>There are no capital or operating and maintenance costs associated with the information collection.</w:t>
      </w:r>
    </w:p>
    <w:p w:rsidR="00357C8A" w:rsidRPr="00357C8A" w:rsidP="006705EA" w14:paraId="56065531"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CB4ACA" w:rsidRPr="002472F9" w:rsidP="00CB4ACA" w14:paraId="24BD828D" w14:textId="3279555F">
      <w:pPr>
        <w:pStyle w:val="BodyTextIndent"/>
        <w:ind w:left="0"/>
      </w:pPr>
      <w:r w:rsidRPr="002472F9">
        <w:t xml:space="preserve">Costs to the government are limited to the time required to review applications for accreditation, </w:t>
      </w:r>
      <w:r>
        <w:t xml:space="preserve">510(k) review reports, and complaints.  </w:t>
      </w:r>
      <w:r w:rsidRPr="002472F9">
        <w:t>The agency ha</w:t>
      </w:r>
      <w:r w:rsidR="00215162">
        <w:t>s</w:t>
      </w:r>
      <w:r w:rsidRPr="002472F9">
        <w:t xml:space="preserve"> determined that no additional costs of FTE’s would be required to conduct such reviews.</w:t>
      </w:r>
    </w:p>
    <w:p w:rsidR="00CB4ACA" w:rsidP="00DD0F36" w14:paraId="154615E5" w14:textId="1FDC9115">
      <w:pPr>
        <w:pStyle w:val="BodyText2"/>
        <w:spacing w:after="200"/>
      </w:pPr>
      <w:r w:rsidRPr="002472F9">
        <w:t xml:space="preserve">Approximately </w:t>
      </w:r>
      <w:r>
        <w:t>40</w:t>
      </w:r>
      <w:r w:rsidRPr="002472F9">
        <w:t xml:space="preserve"> hours is required </w:t>
      </w:r>
      <w:r>
        <w:t>for federal employees to review the applications for accreditation, 510(k) review reports, and complaints</w:t>
      </w:r>
      <w:r w:rsidR="00CC2C34">
        <w:t>, a</w:t>
      </w:r>
      <w:r w:rsidRPr="002472F9">
        <w:t>t</w:t>
      </w:r>
      <w:r>
        <w:t xml:space="preserve"> a</w:t>
      </w:r>
      <w:r w:rsidRPr="002472F9">
        <w:t xml:space="preserve"> GS-14</w:t>
      </w:r>
      <w:r>
        <w:t xml:space="preserve">, step 10 employee (in the area of </w:t>
      </w:r>
      <w:r w:rsidRPr="00085130">
        <w:t>W</w:t>
      </w:r>
      <w:r>
        <w:t>ashington</w:t>
      </w:r>
      <w:r w:rsidRPr="00085130">
        <w:t>-B</w:t>
      </w:r>
      <w:r>
        <w:t>altimore</w:t>
      </w:r>
      <w:r w:rsidRPr="00085130">
        <w:t>-A</w:t>
      </w:r>
      <w:r>
        <w:t>rlington</w:t>
      </w:r>
      <w:r w:rsidRPr="00085130">
        <w:t>, DC-MD-VA-WV-PA</w:t>
      </w:r>
      <w:r>
        <w:t>)</w:t>
      </w:r>
      <w:r w:rsidRPr="002472F9">
        <w:t xml:space="preserve"> salary cost of $</w:t>
      </w:r>
      <w:r>
        <w:t>86.83</w:t>
      </w:r>
      <w:r w:rsidRPr="002472F9">
        <w:t xml:space="preserve"> dollars </w:t>
      </w:r>
      <w:r>
        <w:t>per</w:t>
      </w:r>
      <w:r w:rsidRPr="002472F9">
        <w:t xml:space="preserve"> hour</w:t>
      </w:r>
      <w:r>
        <w:t xml:space="preserve"> (</w:t>
      </w:r>
      <w:hyperlink r:id="rId12" w:history="1">
        <w:r>
          <w:rPr>
            <w:rStyle w:val="Hyperlink"/>
          </w:rPr>
          <w:t>Pay &amp; Leave : Salaries &amp; Wages - OPM.gov</w:t>
        </w:r>
      </w:hyperlink>
      <w:r>
        <w:t xml:space="preserve">). </w:t>
      </w:r>
      <w:r w:rsidR="00CC2C34">
        <w:t xml:space="preserve">We doubled this figure to account for benefits and overhead to arrive at a </w:t>
      </w:r>
      <w:r w:rsidR="00D5774D">
        <w:t>fully loaded</w:t>
      </w:r>
      <w:r w:rsidR="00CC2C34">
        <w:t xml:space="preserve"> </w:t>
      </w:r>
      <w:r w:rsidRPr="002472F9">
        <w:t xml:space="preserve">total cost </w:t>
      </w:r>
      <w:r w:rsidR="00CC2C34">
        <w:t>of</w:t>
      </w:r>
      <w:r w:rsidRPr="002472F9" w:rsidR="00CC2C34">
        <w:t xml:space="preserve"> </w:t>
      </w:r>
      <w:r w:rsidRPr="002472F9">
        <w:t>$</w:t>
      </w:r>
      <w:r w:rsidR="00CC2C34">
        <w:t xml:space="preserve">6,946.40 </w:t>
      </w:r>
      <w:r>
        <w:t xml:space="preserve">for all review activities. </w:t>
      </w:r>
    </w:p>
    <w:p w:rsidR="00357C8A" w:rsidP="006705EA" w14:paraId="3870EFC7" w14:textId="2FE8E0AA">
      <w:pPr>
        <w:numPr>
          <w:ilvl w:val="0"/>
          <w:numId w:val="6"/>
        </w:numPr>
        <w:spacing w:after="200" w:line="276" w:lineRule="auto"/>
        <w:rPr>
          <w:rFonts w:eastAsia="Calibri"/>
          <w:u w:val="single"/>
        </w:rPr>
      </w:pPr>
      <w:r w:rsidRPr="00357C8A">
        <w:rPr>
          <w:rFonts w:eastAsia="Calibri"/>
          <w:u w:val="single"/>
        </w:rPr>
        <w:t>Explanation for Program Changes or Adjustments</w:t>
      </w:r>
    </w:p>
    <w:p w:rsidR="00A96D03" w:rsidP="00A96D03" w14:paraId="18D927CD" w14:textId="0D084B55">
      <w:pPr>
        <w:rPr>
          <w:rStyle w:val="normaltextrun"/>
          <w:color w:val="000000"/>
          <w:shd w:val="clear" w:color="auto" w:fill="FFFFFF"/>
        </w:rPr>
      </w:pPr>
      <w:r w:rsidRPr="008B5B46">
        <w:rPr>
          <w:rFonts w:eastAsia="Calibri"/>
        </w:rPr>
        <w:t>Based on our experience with the program since our last request for OMB approval, we have adjusted our burden estimate</w:t>
      </w:r>
      <w:r>
        <w:rPr>
          <w:rFonts w:eastAsia="Calibri"/>
        </w:rPr>
        <w:t>.</w:t>
      </w:r>
      <w:r w:rsidR="00F847DD">
        <w:rPr>
          <w:rFonts w:eastAsia="Calibri"/>
        </w:rPr>
        <w:t xml:space="preserve"> </w:t>
      </w:r>
      <w:r>
        <w:rPr>
          <w:rFonts w:eastAsia="Calibri"/>
        </w:rPr>
        <w:t xml:space="preserve"> </w:t>
      </w:r>
      <w:r w:rsidR="000A34C9">
        <w:t xml:space="preserve">We have </w:t>
      </w:r>
      <w:r w:rsidR="00D5774D">
        <w:t>increased</w:t>
      </w:r>
      <w:r w:rsidR="000A34C9">
        <w:t xml:space="preserve"> our burden estimate for the average burden hours required per response for initial requests for accreditation from 24 hours to 40 hours, to more accurately reflect the time required based on recent experience of FDA program staff. This adjustment has resulted in an increase of 1</w:t>
      </w:r>
      <w:r w:rsidR="005233FF">
        <w:t>5</w:t>
      </w:r>
      <w:r w:rsidR="000A34C9">
        <w:t xml:space="preserve"> hours to the currently approved burden.</w:t>
      </w:r>
      <w:r w:rsidR="00DD0F36">
        <w:t xml:space="preserve"> </w:t>
      </w:r>
      <w:r w:rsidR="0073249E">
        <w:rPr>
          <w:rStyle w:val="normaltextrun"/>
          <w:color w:val="000000"/>
          <w:shd w:val="clear" w:color="auto" w:fill="FFFFFF"/>
        </w:rPr>
        <w:t>We made no other adjustments to our burden estimate.</w:t>
      </w:r>
    </w:p>
    <w:p w:rsidR="00A33323" w:rsidP="00A96D03" w14:paraId="1D2F1ECD" w14:textId="77777777">
      <w:pPr>
        <w:rPr>
          <w:rStyle w:val="normaltextrun"/>
          <w:color w:val="000000"/>
          <w:shd w:val="clear" w:color="auto" w:fill="FFFFFF"/>
        </w:rPr>
      </w:pPr>
    </w:p>
    <w:p w:rsidR="00A33323" w:rsidP="00A96D03" w14:paraId="00962D9C" w14:textId="5350A492">
      <w:pPr>
        <w:rPr>
          <w:rFonts w:eastAsia="Calibri"/>
        </w:rPr>
      </w:pPr>
      <w:r>
        <w:t xml:space="preserve">The </w:t>
      </w:r>
      <w:r>
        <w:t>guidance “510(k) Third-Party Review Program, Guidance for Industry, Food and Drug Administration Staff and Third Party Review Organizations” (March 2020) was superseded on November 21, 2024, when FDA issued the final guidance “510(k) Third Party Review Program and Third Party Emergency Use Authorization (EUA) Review; Guidance for Industry, Food and Drug Administration Staff, and Third Party Review Organizations” (</w:t>
      </w:r>
      <w:r w:rsidR="00D63B73">
        <w:t>November 2024).</w:t>
      </w:r>
      <w:r>
        <w:t xml:space="preserve"> </w:t>
      </w:r>
    </w:p>
    <w:p w:rsidR="00A96D03" w:rsidP="00A96D03" w14:paraId="3DB87BE6" w14:textId="77777777">
      <w:pPr>
        <w:rPr>
          <w:rFonts w:eastAsia="Calibri"/>
        </w:rPr>
      </w:pPr>
    </w:p>
    <w:p w:rsidR="00357C8A" w:rsidRPr="00357C8A" w:rsidP="006705EA" w14:paraId="50A6739E"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105D80" w:rsidP="00357C8A" w14:paraId="1CAE6026" w14:textId="77777777">
      <w:pPr>
        <w:spacing w:after="200"/>
        <w:rPr>
          <w:rFonts w:eastAsia="Calibri"/>
        </w:rPr>
      </w:pPr>
      <w:r w:rsidRPr="005C71CA">
        <w:rPr>
          <w:rFonts w:eastAsia="Calibri"/>
        </w:rPr>
        <w:t>This information collected will not be published or tabulated</w:t>
      </w:r>
      <w:r w:rsidR="00105D80">
        <w:rPr>
          <w:rFonts w:eastAsia="Calibri"/>
        </w:rPr>
        <w:t>.</w:t>
      </w:r>
    </w:p>
    <w:p w:rsidR="00357C8A" w:rsidRPr="00357C8A" w:rsidP="006705EA" w14:paraId="68AB4CEC"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22E464CA" w:rsidP="5986CCB0" w14:paraId="28A35759" w14:textId="79E1EBAB">
      <w:r w:rsidRPr="5986CCB0">
        <w:t xml:space="preserve">Consistent with established practice FDA will publish a </w:t>
      </w:r>
      <w:r w:rsidRPr="5986CCB0">
        <w:rPr>
          <w:i/>
          <w:iCs/>
        </w:rPr>
        <w:t>Federal Register</w:t>
      </w:r>
      <w:r w:rsidRPr="5986CCB0">
        <w:t xml:space="preserve"> notice announcing OMB approval of the information collection associated with this guidance document and will display in that notice both the OMB control number and its current expiration date. In addition, the OMB control number will be displayed on the guidance document cover page and include a link to www.reginfo.gov to identify the current expiration date.</w:t>
      </w:r>
    </w:p>
    <w:p w:rsidR="00357C8A" w:rsidRPr="00105D80" w:rsidP="00105D80" w14:paraId="7F3A4B40" w14:textId="77777777">
      <w:pPr>
        <w:tabs>
          <w:tab w:val="left" w:pos="-720"/>
        </w:tabs>
        <w:suppressAutoHyphens/>
      </w:pPr>
      <w:r w:rsidRPr="00357C8A">
        <w:rPr>
          <w:rFonts w:eastAsia="Calibri"/>
          <w:color w:val="FF0000"/>
        </w:rPr>
        <w:t xml:space="preserve"> </w:t>
      </w:r>
    </w:p>
    <w:p w:rsidR="00357C8A" w:rsidRPr="00357C8A" w:rsidP="006705EA" w14:paraId="7A65CAAF"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105D80" w:rsidRPr="00C20690" w:rsidP="00105D80" w14:paraId="2E1DA645" w14:textId="77777777">
      <w:pPr>
        <w:spacing w:after="200"/>
        <w:rPr>
          <w:rFonts w:eastAsia="Calibri"/>
        </w:rPr>
      </w:pPr>
      <w:r w:rsidRPr="007E59A8">
        <w:rPr>
          <w:rFonts w:eastAsia="Calibri"/>
        </w:rPr>
        <w:t>There are no exceptions to the certification</w:t>
      </w:r>
      <w:r>
        <w:rPr>
          <w:rFonts w:eastAsia="Calibri"/>
        </w:rPr>
        <w:t>.</w:t>
      </w:r>
    </w:p>
    <w:p w:rsidR="00544138" w:rsidRPr="00C20690" w:rsidP="00C20690" w14:paraId="428060EF" w14:textId="77777777">
      <w:pPr>
        <w:spacing w:after="200"/>
        <w:rPr>
          <w:rFonts w:eastAsia="Calibri"/>
        </w:rPr>
      </w:pPr>
    </w:p>
    <w:sectPr w:rsidSect="009E358D">
      <w:headerReference w:type="default" r:id="rId13"/>
      <w:footerReference w:type="even" r:id="rId14"/>
      <w:footerReference w:type="default" r:id="rId15"/>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E36E1" w14:paraId="2CE1E794" w14:textId="77777777">
      <w:r>
        <w:separator/>
      </w:r>
    </w:p>
    <w:p w:rsidR="008E36E1" w14:paraId="717DF6F3" w14:textId="77777777"/>
  </w:endnote>
  <w:endnote w:type="continuationSeparator" w:id="1">
    <w:p w:rsidR="008E36E1" w14:paraId="726D753B" w14:textId="77777777">
      <w:r>
        <w:continuationSeparator/>
      </w:r>
    </w:p>
    <w:p w:rsidR="008E36E1" w14:paraId="6C373C63" w14:textId="77777777"/>
  </w:endnote>
  <w:endnote w:type="continuationNotice" w:id="2">
    <w:p w:rsidR="008E36E1" w14:paraId="14AA4AE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FFD789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1A094E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CF35B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3F0820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36E1" w14:paraId="320B7685" w14:textId="77777777">
      <w:r>
        <w:separator/>
      </w:r>
    </w:p>
    <w:p w:rsidR="008E36E1" w14:paraId="7CCEAAF3" w14:textId="77777777"/>
  </w:footnote>
  <w:footnote w:type="continuationSeparator" w:id="1">
    <w:p w:rsidR="008E36E1" w14:paraId="3633036F" w14:textId="77777777">
      <w:r>
        <w:continuationSeparator/>
      </w:r>
    </w:p>
    <w:p w:rsidR="008E36E1" w14:paraId="5E178719" w14:textId="77777777"/>
  </w:footnote>
  <w:footnote w:type="continuationNotice" w:id="2">
    <w:p w:rsidR="008E36E1" w14:paraId="620A827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58D" w:rsidP="009E358D" w14:paraId="39733087" w14:textId="02A714B1">
    <w:pPr>
      <w:pStyle w:val="Header"/>
      <w:ind w:left="-720"/>
      <w:rPr>
        <w:noProof/>
      </w:rPr>
    </w:pPr>
    <w:r>
      <w:rPr>
        <w:noProof/>
      </w:rPr>
      <w:drawing>
        <wp:inline distT="0" distB="0" distL="0" distR="0">
          <wp:extent cx="2430780" cy="502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30780" cy="502920"/>
                  </a:xfrm>
                  <a:prstGeom prst="rect">
                    <a:avLst/>
                  </a:prstGeom>
                  <a:noFill/>
                  <a:ln>
                    <a:noFill/>
                  </a:ln>
                </pic:spPr>
              </pic:pic>
            </a:graphicData>
          </a:graphic>
        </wp:inline>
      </w:drawing>
    </w:r>
  </w:p>
  <w:p w:rsidR="00D826AA" w:rsidP="009E358D" w14:paraId="1319832A" w14:textId="77777777">
    <w:pPr>
      <w:pStyle w:val="Header"/>
      <w:ind w:left="-720"/>
      <w:rPr>
        <w:noProof/>
      </w:rPr>
    </w:pPr>
  </w:p>
  <w:p w:rsidR="00D826AA" w:rsidP="009E358D" w14:paraId="54C99236" w14:textId="7777777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70D2A"/>
    <w:multiLevelType w:val="hybridMultilevel"/>
    <w:tmpl w:val="5B3EF2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19156574">
    <w:abstractNumId w:val="6"/>
  </w:num>
  <w:num w:numId="2" w16cid:durableId="1601251823">
    <w:abstractNumId w:val="2"/>
  </w:num>
  <w:num w:numId="3" w16cid:durableId="1645310428">
    <w:abstractNumId w:val="7"/>
  </w:num>
  <w:num w:numId="4" w16cid:durableId="1144157972">
    <w:abstractNumId w:val="4"/>
  </w:num>
  <w:num w:numId="5" w16cid:durableId="2042582298">
    <w:abstractNumId w:val="8"/>
  </w:num>
  <w:num w:numId="6" w16cid:durableId="396562080">
    <w:abstractNumId w:val="1"/>
  </w:num>
  <w:num w:numId="7" w16cid:durableId="1282297246">
    <w:abstractNumId w:val="3"/>
  </w:num>
  <w:num w:numId="8" w16cid:durableId="1913811685">
    <w:abstractNumId w:val="5"/>
  </w:num>
  <w:num w:numId="9" w16cid:durableId="25247392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0EAE"/>
    <w:rsid w:val="000161E3"/>
    <w:rsid w:val="00024200"/>
    <w:rsid w:val="00031A2C"/>
    <w:rsid w:val="00033F7A"/>
    <w:rsid w:val="00042B93"/>
    <w:rsid w:val="00043C7F"/>
    <w:rsid w:val="000467A8"/>
    <w:rsid w:val="0005328A"/>
    <w:rsid w:val="0005358A"/>
    <w:rsid w:val="000539FC"/>
    <w:rsid w:val="00053A18"/>
    <w:rsid w:val="0006570F"/>
    <w:rsid w:val="00075DE8"/>
    <w:rsid w:val="00085130"/>
    <w:rsid w:val="00087439"/>
    <w:rsid w:val="000A2FC8"/>
    <w:rsid w:val="000A34C9"/>
    <w:rsid w:val="000A4C33"/>
    <w:rsid w:val="000C1260"/>
    <w:rsid w:val="000C560C"/>
    <w:rsid w:val="000D080B"/>
    <w:rsid w:val="000D48FD"/>
    <w:rsid w:val="000D79CC"/>
    <w:rsid w:val="000E1C64"/>
    <w:rsid w:val="000E34C4"/>
    <w:rsid w:val="000F7119"/>
    <w:rsid w:val="00100739"/>
    <w:rsid w:val="00103944"/>
    <w:rsid w:val="0010493E"/>
    <w:rsid w:val="00105D80"/>
    <w:rsid w:val="001075D3"/>
    <w:rsid w:val="00107885"/>
    <w:rsid w:val="0011250E"/>
    <w:rsid w:val="00112F94"/>
    <w:rsid w:val="00114FC4"/>
    <w:rsid w:val="0012329C"/>
    <w:rsid w:val="0013408B"/>
    <w:rsid w:val="00134FA7"/>
    <w:rsid w:val="00137950"/>
    <w:rsid w:val="00140762"/>
    <w:rsid w:val="001427D0"/>
    <w:rsid w:val="00144749"/>
    <w:rsid w:val="00152F29"/>
    <w:rsid w:val="00174D54"/>
    <w:rsid w:val="0017702C"/>
    <w:rsid w:val="001772D4"/>
    <w:rsid w:val="00185270"/>
    <w:rsid w:val="00190D2E"/>
    <w:rsid w:val="00191C5D"/>
    <w:rsid w:val="001943F2"/>
    <w:rsid w:val="001A3B5A"/>
    <w:rsid w:val="001A458C"/>
    <w:rsid w:val="001B7CE9"/>
    <w:rsid w:val="001D495A"/>
    <w:rsid w:val="001E244C"/>
    <w:rsid w:val="001F0DF0"/>
    <w:rsid w:val="001F1437"/>
    <w:rsid w:val="00206799"/>
    <w:rsid w:val="002074FE"/>
    <w:rsid w:val="00215162"/>
    <w:rsid w:val="002200E5"/>
    <w:rsid w:val="0022425B"/>
    <w:rsid w:val="002259EF"/>
    <w:rsid w:val="00242404"/>
    <w:rsid w:val="00242ED1"/>
    <w:rsid w:val="002444BB"/>
    <w:rsid w:val="002472F9"/>
    <w:rsid w:val="00254069"/>
    <w:rsid w:val="00263E7B"/>
    <w:rsid w:val="00270748"/>
    <w:rsid w:val="002734E5"/>
    <w:rsid w:val="002746DB"/>
    <w:rsid w:val="00280CAF"/>
    <w:rsid w:val="00282F09"/>
    <w:rsid w:val="00291810"/>
    <w:rsid w:val="00294D62"/>
    <w:rsid w:val="00297532"/>
    <w:rsid w:val="00297FFD"/>
    <w:rsid w:val="002A0561"/>
    <w:rsid w:val="002A0E5F"/>
    <w:rsid w:val="002A1210"/>
    <w:rsid w:val="002A47D2"/>
    <w:rsid w:val="002A60BC"/>
    <w:rsid w:val="002A7FB5"/>
    <w:rsid w:val="002B2074"/>
    <w:rsid w:val="002D14D8"/>
    <w:rsid w:val="002D4799"/>
    <w:rsid w:val="002E3FA4"/>
    <w:rsid w:val="002E53A5"/>
    <w:rsid w:val="002E64B8"/>
    <w:rsid w:val="002E6834"/>
    <w:rsid w:val="003113FF"/>
    <w:rsid w:val="00312622"/>
    <w:rsid w:val="0032277F"/>
    <w:rsid w:val="00334CA7"/>
    <w:rsid w:val="00336B69"/>
    <w:rsid w:val="0034302B"/>
    <w:rsid w:val="00344C4D"/>
    <w:rsid w:val="00350523"/>
    <w:rsid w:val="0035189D"/>
    <w:rsid w:val="00354B6D"/>
    <w:rsid w:val="00355B62"/>
    <w:rsid w:val="00357C8A"/>
    <w:rsid w:val="00362085"/>
    <w:rsid w:val="003635C6"/>
    <w:rsid w:val="003740BC"/>
    <w:rsid w:val="0037456B"/>
    <w:rsid w:val="003801A3"/>
    <w:rsid w:val="00380E75"/>
    <w:rsid w:val="00383D90"/>
    <w:rsid w:val="00384F2E"/>
    <w:rsid w:val="00386BD1"/>
    <w:rsid w:val="003870AE"/>
    <w:rsid w:val="003A1A27"/>
    <w:rsid w:val="003A50CC"/>
    <w:rsid w:val="003B2AA0"/>
    <w:rsid w:val="003B42B3"/>
    <w:rsid w:val="003B6384"/>
    <w:rsid w:val="003C0FE2"/>
    <w:rsid w:val="003C4EBB"/>
    <w:rsid w:val="003D0B6C"/>
    <w:rsid w:val="003D1531"/>
    <w:rsid w:val="003E4EC6"/>
    <w:rsid w:val="003E527E"/>
    <w:rsid w:val="003E553E"/>
    <w:rsid w:val="003E69CC"/>
    <w:rsid w:val="003E7078"/>
    <w:rsid w:val="003F3DF5"/>
    <w:rsid w:val="003F73B8"/>
    <w:rsid w:val="0040297E"/>
    <w:rsid w:val="00411D11"/>
    <w:rsid w:val="00414494"/>
    <w:rsid w:val="00415E23"/>
    <w:rsid w:val="0041670D"/>
    <w:rsid w:val="00423272"/>
    <w:rsid w:val="00424061"/>
    <w:rsid w:val="00435430"/>
    <w:rsid w:val="00442A3C"/>
    <w:rsid w:val="00443969"/>
    <w:rsid w:val="00447D74"/>
    <w:rsid w:val="00450A74"/>
    <w:rsid w:val="004546BF"/>
    <w:rsid w:val="00457087"/>
    <w:rsid w:val="00465350"/>
    <w:rsid w:val="004701AC"/>
    <w:rsid w:val="00476B91"/>
    <w:rsid w:val="004777E8"/>
    <w:rsid w:val="004846BF"/>
    <w:rsid w:val="00494912"/>
    <w:rsid w:val="004A5323"/>
    <w:rsid w:val="004A5A99"/>
    <w:rsid w:val="004C6979"/>
    <w:rsid w:val="004D11D8"/>
    <w:rsid w:val="004D13A2"/>
    <w:rsid w:val="004D3E7A"/>
    <w:rsid w:val="004D5A9A"/>
    <w:rsid w:val="004F594B"/>
    <w:rsid w:val="004F61E1"/>
    <w:rsid w:val="00514C15"/>
    <w:rsid w:val="005233FF"/>
    <w:rsid w:val="005258F8"/>
    <w:rsid w:val="005260FC"/>
    <w:rsid w:val="0053380B"/>
    <w:rsid w:val="00543194"/>
    <w:rsid w:val="00544138"/>
    <w:rsid w:val="00547582"/>
    <w:rsid w:val="00551523"/>
    <w:rsid w:val="005538E3"/>
    <w:rsid w:val="00554E34"/>
    <w:rsid w:val="00584583"/>
    <w:rsid w:val="005904F5"/>
    <w:rsid w:val="00590E90"/>
    <w:rsid w:val="00590EEB"/>
    <w:rsid w:val="00594898"/>
    <w:rsid w:val="005A00C0"/>
    <w:rsid w:val="005A4099"/>
    <w:rsid w:val="005A6059"/>
    <w:rsid w:val="005B3753"/>
    <w:rsid w:val="005C38B2"/>
    <w:rsid w:val="005C5029"/>
    <w:rsid w:val="005C55C2"/>
    <w:rsid w:val="005C71CA"/>
    <w:rsid w:val="005C745C"/>
    <w:rsid w:val="005D4DF5"/>
    <w:rsid w:val="005E42BA"/>
    <w:rsid w:val="00602D65"/>
    <w:rsid w:val="00611D6B"/>
    <w:rsid w:val="00625CFD"/>
    <w:rsid w:val="006326EC"/>
    <w:rsid w:val="0063376C"/>
    <w:rsid w:val="00635CC1"/>
    <w:rsid w:val="006373AE"/>
    <w:rsid w:val="00663A42"/>
    <w:rsid w:val="006641C7"/>
    <w:rsid w:val="006705EA"/>
    <w:rsid w:val="00670BE2"/>
    <w:rsid w:val="006916D9"/>
    <w:rsid w:val="006A0E05"/>
    <w:rsid w:val="006A26C6"/>
    <w:rsid w:val="006A465A"/>
    <w:rsid w:val="006A7D5D"/>
    <w:rsid w:val="006D0C12"/>
    <w:rsid w:val="006D5D57"/>
    <w:rsid w:val="006E2538"/>
    <w:rsid w:val="006E302F"/>
    <w:rsid w:val="006E373E"/>
    <w:rsid w:val="006F4D6D"/>
    <w:rsid w:val="00705086"/>
    <w:rsid w:val="00722001"/>
    <w:rsid w:val="00727CDF"/>
    <w:rsid w:val="0073249E"/>
    <w:rsid w:val="00744525"/>
    <w:rsid w:val="007445BA"/>
    <w:rsid w:val="00744BA2"/>
    <w:rsid w:val="00751E66"/>
    <w:rsid w:val="00754497"/>
    <w:rsid w:val="00773201"/>
    <w:rsid w:val="007855C2"/>
    <w:rsid w:val="00787C39"/>
    <w:rsid w:val="00792947"/>
    <w:rsid w:val="00795DF3"/>
    <w:rsid w:val="007973C4"/>
    <w:rsid w:val="007A373C"/>
    <w:rsid w:val="007A6546"/>
    <w:rsid w:val="007A695E"/>
    <w:rsid w:val="007B19B2"/>
    <w:rsid w:val="007B225C"/>
    <w:rsid w:val="007C2F6F"/>
    <w:rsid w:val="007C6ADF"/>
    <w:rsid w:val="007C75B1"/>
    <w:rsid w:val="007D19E6"/>
    <w:rsid w:val="007D3DFC"/>
    <w:rsid w:val="007E2F07"/>
    <w:rsid w:val="007E59A8"/>
    <w:rsid w:val="007F5357"/>
    <w:rsid w:val="007F5F83"/>
    <w:rsid w:val="007F7735"/>
    <w:rsid w:val="0080516D"/>
    <w:rsid w:val="008052A2"/>
    <w:rsid w:val="0080776D"/>
    <w:rsid w:val="00807CBF"/>
    <w:rsid w:val="00810145"/>
    <w:rsid w:val="008108FA"/>
    <w:rsid w:val="00810FF1"/>
    <w:rsid w:val="00822336"/>
    <w:rsid w:val="00823DFA"/>
    <w:rsid w:val="00824DE0"/>
    <w:rsid w:val="00830403"/>
    <w:rsid w:val="00842DB7"/>
    <w:rsid w:val="00843752"/>
    <w:rsid w:val="0084479F"/>
    <w:rsid w:val="0085725E"/>
    <w:rsid w:val="00873D4F"/>
    <w:rsid w:val="0087509F"/>
    <w:rsid w:val="00885B09"/>
    <w:rsid w:val="00892400"/>
    <w:rsid w:val="008A049C"/>
    <w:rsid w:val="008A209D"/>
    <w:rsid w:val="008A22BB"/>
    <w:rsid w:val="008B035D"/>
    <w:rsid w:val="008B0E29"/>
    <w:rsid w:val="008B0EFA"/>
    <w:rsid w:val="008B30AB"/>
    <w:rsid w:val="008B5B46"/>
    <w:rsid w:val="008C3BB8"/>
    <w:rsid w:val="008C4B65"/>
    <w:rsid w:val="008E36E1"/>
    <w:rsid w:val="008E5F55"/>
    <w:rsid w:val="009009E7"/>
    <w:rsid w:val="00905DEF"/>
    <w:rsid w:val="00906056"/>
    <w:rsid w:val="009122AE"/>
    <w:rsid w:val="00913B43"/>
    <w:rsid w:val="00930203"/>
    <w:rsid w:val="009311D2"/>
    <w:rsid w:val="009311E6"/>
    <w:rsid w:val="00931275"/>
    <w:rsid w:val="00936AC7"/>
    <w:rsid w:val="00947761"/>
    <w:rsid w:val="00953B64"/>
    <w:rsid w:val="009646A7"/>
    <w:rsid w:val="00970A88"/>
    <w:rsid w:val="00970F5E"/>
    <w:rsid w:val="009818A1"/>
    <w:rsid w:val="009A1674"/>
    <w:rsid w:val="009B0BF1"/>
    <w:rsid w:val="009B38BE"/>
    <w:rsid w:val="009B4DF2"/>
    <w:rsid w:val="009C1122"/>
    <w:rsid w:val="009C229C"/>
    <w:rsid w:val="009C684F"/>
    <w:rsid w:val="009D074C"/>
    <w:rsid w:val="009D58C9"/>
    <w:rsid w:val="009D6E73"/>
    <w:rsid w:val="009E358D"/>
    <w:rsid w:val="009E372C"/>
    <w:rsid w:val="009F1F1D"/>
    <w:rsid w:val="009F2B4F"/>
    <w:rsid w:val="009F3C63"/>
    <w:rsid w:val="009F66B5"/>
    <w:rsid w:val="00A02D0C"/>
    <w:rsid w:val="00A02F10"/>
    <w:rsid w:val="00A1060C"/>
    <w:rsid w:val="00A16221"/>
    <w:rsid w:val="00A20A7D"/>
    <w:rsid w:val="00A33323"/>
    <w:rsid w:val="00A35D42"/>
    <w:rsid w:val="00A430B4"/>
    <w:rsid w:val="00A46CCF"/>
    <w:rsid w:val="00A506DE"/>
    <w:rsid w:val="00A53451"/>
    <w:rsid w:val="00A70426"/>
    <w:rsid w:val="00A707CC"/>
    <w:rsid w:val="00A71410"/>
    <w:rsid w:val="00A91E9A"/>
    <w:rsid w:val="00A93ED9"/>
    <w:rsid w:val="00A96221"/>
    <w:rsid w:val="00A96842"/>
    <w:rsid w:val="00A96D03"/>
    <w:rsid w:val="00AC2DBB"/>
    <w:rsid w:val="00AC6A99"/>
    <w:rsid w:val="00AD579B"/>
    <w:rsid w:val="00AD6048"/>
    <w:rsid w:val="00AF0A45"/>
    <w:rsid w:val="00B055EF"/>
    <w:rsid w:val="00B06B5B"/>
    <w:rsid w:val="00B073AB"/>
    <w:rsid w:val="00B21783"/>
    <w:rsid w:val="00B23769"/>
    <w:rsid w:val="00B25F0C"/>
    <w:rsid w:val="00B36976"/>
    <w:rsid w:val="00B41789"/>
    <w:rsid w:val="00B63AA1"/>
    <w:rsid w:val="00B8131F"/>
    <w:rsid w:val="00B81808"/>
    <w:rsid w:val="00B86DFA"/>
    <w:rsid w:val="00B929F5"/>
    <w:rsid w:val="00B936D0"/>
    <w:rsid w:val="00BA343F"/>
    <w:rsid w:val="00BB15FB"/>
    <w:rsid w:val="00BC48F0"/>
    <w:rsid w:val="00BD0616"/>
    <w:rsid w:val="00BD3D5B"/>
    <w:rsid w:val="00BE3600"/>
    <w:rsid w:val="00BF641C"/>
    <w:rsid w:val="00C01F6F"/>
    <w:rsid w:val="00C041EA"/>
    <w:rsid w:val="00C13BBD"/>
    <w:rsid w:val="00C149AB"/>
    <w:rsid w:val="00C16929"/>
    <w:rsid w:val="00C20690"/>
    <w:rsid w:val="00C27F18"/>
    <w:rsid w:val="00C36020"/>
    <w:rsid w:val="00C40694"/>
    <w:rsid w:val="00C40A0D"/>
    <w:rsid w:val="00C479BF"/>
    <w:rsid w:val="00C5124B"/>
    <w:rsid w:val="00C703E0"/>
    <w:rsid w:val="00C70542"/>
    <w:rsid w:val="00C71649"/>
    <w:rsid w:val="00C75CBF"/>
    <w:rsid w:val="00CB044D"/>
    <w:rsid w:val="00CB4ACA"/>
    <w:rsid w:val="00CC2894"/>
    <w:rsid w:val="00CC2C34"/>
    <w:rsid w:val="00CD1BE7"/>
    <w:rsid w:val="00CD77C3"/>
    <w:rsid w:val="00CE112C"/>
    <w:rsid w:val="00CF4EAB"/>
    <w:rsid w:val="00CF55D4"/>
    <w:rsid w:val="00D0402C"/>
    <w:rsid w:val="00D261DF"/>
    <w:rsid w:val="00D43B50"/>
    <w:rsid w:val="00D5774D"/>
    <w:rsid w:val="00D608DA"/>
    <w:rsid w:val="00D63B73"/>
    <w:rsid w:val="00D730BF"/>
    <w:rsid w:val="00D826AA"/>
    <w:rsid w:val="00D852F4"/>
    <w:rsid w:val="00D93404"/>
    <w:rsid w:val="00DB1110"/>
    <w:rsid w:val="00DB3730"/>
    <w:rsid w:val="00DC00F1"/>
    <w:rsid w:val="00DC371B"/>
    <w:rsid w:val="00DC3788"/>
    <w:rsid w:val="00DC76C7"/>
    <w:rsid w:val="00DD09F5"/>
    <w:rsid w:val="00DD0E02"/>
    <w:rsid w:val="00DD0F36"/>
    <w:rsid w:val="00DD4201"/>
    <w:rsid w:val="00DD5E9F"/>
    <w:rsid w:val="00DE2CD8"/>
    <w:rsid w:val="00DE5711"/>
    <w:rsid w:val="00E00EA0"/>
    <w:rsid w:val="00E021CB"/>
    <w:rsid w:val="00E12CBA"/>
    <w:rsid w:val="00E131F1"/>
    <w:rsid w:val="00E138F1"/>
    <w:rsid w:val="00E2309D"/>
    <w:rsid w:val="00E25B99"/>
    <w:rsid w:val="00E26758"/>
    <w:rsid w:val="00E4357B"/>
    <w:rsid w:val="00E443A7"/>
    <w:rsid w:val="00E45904"/>
    <w:rsid w:val="00E63DE5"/>
    <w:rsid w:val="00E647A2"/>
    <w:rsid w:val="00E647AF"/>
    <w:rsid w:val="00E647C7"/>
    <w:rsid w:val="00E65A37"/>
    <w:rsid w:val="00E65EF7"/>
    <w:rsid w:val="00E77B48"/>
    <w:rsid w:val="00E8042E"/>
    <w:rsid w:val="00E857FB"/>
    <w:rsid w:val="00E91799"/>
    <w:rsid w:val="00E97DF8"/>
    <w:rsid w:val="00EA21FE"/>
    <w:rsid w:val="00EA34E3"/>
    <w:rsid w:val="00EB7538"/>
    <w:rsid w:val="00EC1868"/>
    <w:rsid w:val="00EC4F6C"/>
    <w:rsid w:val="00ED66A4"/>
    <w:rsid w:val="00EE5395"/>
    <w:rsid w:val="00EE6468"/>
    <w:rsid w:val="00F0229D"/>
    <w:rsid w:val="00F1299B"/>
    <w:rsid w:val="00F207A4"/>
    <w:rsid w:val="00F230B0"/>
    <w:rsid w:val="00F25173"/>
    <w:rsid w:val="00F355AC"/>
    <w:rsid w:val="00F40CF7"/>
    <w:rsid w:val="00F44194"/>
    <w:rsid w:val="00F62AD7"/>
    <w:rsid w:val="00F6363D"/>
    <w:rsid w:val="00F71A5A"/>
    <w:rsid w:val="00F73A1A"/>
    <w:rsid w:val="00F769E0"/>
    <w:rsid w:val="00F80D1E"/>
    <w:rsid w:val="00F847DD"/>
    <w:rsid w:val="00F93C79"/>
    <w:rsid w:val="00F9646A"/>
    <w:rsid w:val="00FA32A1"/>
    <w:rsid w:val="00FA4A46"/>
    <w:rsid w:val="00FA75FE"/>
    <w:rsid w:val="00FB1032"/>
    <w:rsid w:val="00FB2547"/>
    <w:rsid w:val="00FB39BC"/>
    <w:rsid w:val="00FB6A53"/>
    <w:rsid w:val="00FC11CA"/>
    <w:rsid w:val="00FC6BDE"/>
    <w:rsid w:val="00FD18E5"/>
    <w:rsid w:val="00FF6138"/>
    <w:rsid w:val="04C861B5"/>
    <w:rsid w:val="0750EA89"/>
    <w:rsid w:val="0E7B4668"/>
    <w:rsid w:val="1CF183B7"/>
    <w:rsid w:val="22E464CA"/>
    <w:rsid w:val="2618EA15"/>
    <w:rsid w:val="294F368F"/>
    <w:rsid w:val="2A7C4E3A"/>
    <w:rsid w:val="30B97E8C"/>
    <w:rsid w:val="34177030"/>
    <w:rsid w:val="3806810A"/>
    <w:rsid w:val="416C8C0C"/>
    <w:rsid w:val="482F624B"/>
    <w:rsid w:val="4996F11D"/>
    <w:rsid w:val="4B59F780"/>
    <w:rsid w:val="4D3C173D"/>
    <w:rsid w:val="4FF0A2A0"/>
    <w:rsid w:val="54BF11E4"/>
    <w:rsid w:val="5647FB70"/>
    <w:rsid w:val="5986CCB0"/>
    <w:rsid w:val="609CEFCA"/>
    <w:rsid w:val="6364729D"/>
    <w:rsid w:val="71CF9796"/>
    <w:rsid w:val="7B865D81"/>
    <w:rsid w:val="7FC373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CF4084"/>
  <w15:chartTrackingRefBased/>
  <w15:docId w15:val="{EA834F3C-7A4A-423E-8B79-6DAC1E74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D826AA"/>
    <w:rPr>
      <w:sz w:val="24"/>
      <w:szCs w:val="24"/>
    </w:rPr>
  </w:style>
  <w:style w:type="character" w:styleId="CommentReference">
    <w:name w:val="annotation reference"/>
    <w:rsid w:val="00A02D0C"/>
    <w:rPr>
      <w:sz w:val="16"/>
      <w:szCs w:val="16"/>
    </w:rPr>
  </w:style>
  <w:style w:type="paragraph" w:styleId="CommentText">
    <w:name w:val="annotation text"/>
    <w:basedOn w:val="Normal"/>
    <w:link w:val="CommentTextChar"/>
    <w:rsid w:val="00A02D0C"/>
    <w:rPr>
      <w:sz w:val="20"/>
      <w:szCs w:val="20"/>
    </w:rPr>
  </w:style>
  <w:style w:type="character" w:customStyle="1" w:styleId="CommentTextChar">
    <w:name w:val="Comment Text Char"/>
    <w:basedOn w:val="DefaultParagraphFont"/>
    <w:link w:val="CommentText"/>
    <w:rsid w:val="00A02D0C"/>
  </w:style>
  <w:style w:type="paragraph" w:styleId="CommentSubject">
    <w:name w:val="annotation subject"/>
    <w:basedOn w:val="CommentText"/>
    <w:next w:val="CommentText"/>
    <w:link w:val="CommentSubjectChar"/>
    <w:rsid w:val="00A02D0C"/>
    <w:rPr>
      <w:b/>
      <w:bCs/>
    </w:rPr>
  </w:style>
  <w:style w:type="character" w:customStyle="1" w:styleId="CommentSubjectChar">
    <w:name w:val="Comment Subject Char"/>
    <w:link w:val="CommentSubject"/>
    <w:rsid w:val="00A02D0C"/>
    <w:rPr>
      <w:b/>
      <w:bCs/>
    </w:rPr>
  </w:style>
  <w:style w:type="character" w:customStyle="1" w:styleId="BodyText2Char">
    <w:name w:val="Body Text 2 Char"/>
    <w:link w:val="BodyText2"/>
    <w:rsid w:val="0063376C"/>
    <w:rPr>
      <w:sz w:val="24"/>
    </w:rPr>
  </w:style>
  <w:style w:type="character" w:customStyle="1" w:styleId="BodyTextIndentChar">
    <w:name w:val="Body Text Indent Char"/>
    <w:link w:val="BodyTextIndent"/>
    <w:rsid w:val="0063376C"/>
    <w:rPr>
      <w:sz w:val="24"/>
      <w:szCs w:val="24"/>
    </w:rPr>
  </w:style>
  <w:style w:type="character" w:styleId="Mention">
    <w:name w:val="Mention"/>
    <w:uiPriority w:val="99"/>
    <w:unhideWhenUsed/>
    <w:rsid w:val="003D0B6C"/>
    <w:rPr>
      <w:color w:val="2B579A"/>
      <w:shd w:val="clear" w:color="auto" w:fill="E1DFDD"/>
    </w:rPr>
  </w:style>
  <w:style w:type="character" w:customStyle="1" w:styleId="normaltextrun">
    <w:name w:val="normaltextrun"/>
    <w:basedOn w:val="DefaultParagraphFont"/>
    <w:rsid w:val="0073249E"/>
  </w:style>
  <w:style w:type="paragraph" w:customStyle="1" w:styleId="paragraph">
    <w:name w:val="paragraph"/>
    <w:basedOn w:val="Normal"/>
    <w:rsid w:val="00F9646A"/>
    <w:pPr>
      <w:spacing w:before="100" w:beforeAutospacing="1" w:after="100" w:afterAutospacing="1"/>
    </w:pPr>
  </w:style>
  <w:style w:type="character" w:customStyle="1" w:styleId="eop">
    <w:name w:val="eop"/>
    <w:basedOn w:val="DefaultParagraphFont"/>
    <w:rsid w:val="00F96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media/83522/download" TargetMode="External" /><Relationship Id="rId11" Type="http://schemas.openxmlformats.org/officeDocument/2006/relationships/hyperlink" Target="http://www.bls.gov/oes/current/oes_nat.htm" TargetMode="External" /><Relationship Id="rId12" Type="http://schemas.openxmlformats.org/officeDocument/2006/relationships/hyperlink" Target="https://www.opm.gov/policy-data-oversight/pay-leave/salaries-wages/salary-tables/24Tables/html/DCB_h.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s://www.fda.gov/regulatory-information/search-fda-guidance-documents/510k-third-party-review-program-and-third-party-emergency-use-authorization-eua-review"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11" ma:contentTypeDescription="Create a new document." ma:contentTypeScope="" ma:versionID="85d3f85ec402a6a991f0d58ac7e953c7">
  <xsd:schema xmlns:xsd="http://www.w3.org/2001/XMLSchema" xmlns:xs="http://www.w3.org/2001/XMLSchema" xmlns:p="http://schemas.microsoft.com/office/2006/metadata/properties" xmlns:ns2="8aef85e0-c016-497a-95bc-1a7340a5b01f" xmlns:ns3="75e6b734-bea8-4568-8408-eb26dc17e4f2" targetNamespace="http://schemas.microsoft.com/office/2006/metadata/properties" ma:root="true" ma:fieldsID="6b510c7640505e6fdab494dd8020414a" ns2:_="" ns3:_="">
    <xsd:import namespace="8aef85e0-c016-497a-95bc-1a7340a5b01f"/>
    <xsd:import namespace="75e6b734-bea8-4568-8408-eb26dc17e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b734-bea8-4568-8408-eb26dc17e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27614-dfb8-4d0e-9c6b-35b2fa1b7b9b}" ma:internalName="TaxCatchAll" ma:showField="CatchAllData" ma:web="75e6b734-bea8-4568-8408-eb26dc17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e6b734-bea8-4568-8408-eb26dc17e4f2" xsi:nil="true"/>
    <lcf76f155ced4ddcb4097134ff3c332f xmlns="8aef85e0-c016-497a-95bc-1a7340a5b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248836-5629-48F1-B6F4-6019D9D77B68}">
  <ds:schemaRefs>
    <ds:schemaRef ds:uri="http://schemas.microsoft.com/sharepoint/v3/contenttype/forms"/>
  </ds:schemaRefs>
</ds:datastoreItem>
</file>

<file path=customXml/itemProps2.xml><?xml version="1.0" encoding="utf-8"?>
<ds:datastoreItem xmlns:ds="http://schemas.openxmlformats.org/officeDocument/2006/customXml" ds:itemID="{4FA44DB9-27A1-4782-BD11-CE04BABC7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75e6b734-bea8-4568-8408-eb26dc17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FCF55-AA03-4B4F-9DA9-DE3902E6E8D2}">
  <ds:schemaRefs>
    <ds:schemaRef ds:uri="http://schemas.microsoft.com/office/2006/metadata/properties"/>
    <ds:schemaRef ds:uri="http://schemas.microsoft.com/office/infopath/2007/PartnerControls"/>
    <ds:schemaRef ds:uri="75e6b734-bea8-4568-8408-eb26dc17e4f2"/>
    <ds:schemaRef ds:uri="8aef85e0-c016-497a-95bc-1a7340a5b01f"/>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29</TotalTime>
  <Pages>6</Pages>
  <Words>2350</Words>
  <Characters>14015</Characters>
  <Application>Microsoft Office Word</Application>
  <DocSecurity>0</DocSecurity>
  <Lines>116</Lines>
  <Paragraphs>32</Paragraphs>
  <ScaleCrop>false</ScaleCrop>
  <Company>US FDA</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5</cp:revision>
  <cp:lastPrinted>2019-07-03T19:25:00Z</cp:lastPrinted>
  <dcterms:created xsi:type="dcterms:W3CDTF">2025-11-25T20:32:00Z</dcterms:created>
  <dcterms:modified xsi:type="dcterms:W3CDTF">2025-11-28T15:45:00Z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0x010100A9AA0D0857C52F4A956A927B843FDAE5</vt:lpwstr>
  </property>
  <property fmtid="{D5CDD505-2E9C-101B-9397-08002B2CF9AE}" pid="3" name="MediaServiceImageTags">
    <vt:lpwstr/>
  </property>
</Properties>
</file>