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156" w:rsidRPr="00712520" w:rsidP="00CA4156" w14:paraId="7EF2FB8A" w14:textId="77777777">
      <w:pPr>
        <w:jc w:val="center"/>
        <w:rPr>
          <w:rStyle w:val="normaltextrun"/>
          <w:b/>
          <w:bCs/>
          <w:color w:val="000000"/>
          <w:shd w:val="clear" w:color="auto" w:fill="FFFFFF"/>
        </w:rPr>
      </w:pPr>
      <w:r w:rsidRPr="00712520">
        <w:rPr>
          <w:rStyle w:val="normaltextrun"/>
          <w:b/>
          <w:bCs/>
          <w:color w:val="000000"/>
          <w:shd w:val="clear" w:color="auto" w:fill="FFFFFF"/>
        </w:rPr>
        <w:t xml:space="preserve">Administrative Procedures for </w:t>
      </w:r>
    </w:p>
    <w:p w:rsidR="00CA4156" w:rsidP="00CA4156" w14:paraId="4AA8DEAF" w14:textId="77777777">
      <w:pPr>
        <w:jc w:val="center"/>
        <w:rPr>
          <w:rFonts w:eastAsia="Calibri"/>
        </w:rPr>
      </w:pPr>
      <w:r w:rsidRPr="00712520">
        <w:rPr>
          <w:rStyle w:val="normaltextrun"/>
          <w:b/>
          <w:bCs/>
          <w:color w:val="000000"/>
          <w:shd w:val="clear" w:color="auto" w:fill="FFFFFF"/>
        </w:rPr>
        <w:t>Clinical Laboratory Improvement Amendments of 1988 (CLIA) Categorization</w:t>
      </w:r>
      <w:r>
        <w:rPr>
          <w:rStyle w:val="normaltextrun"/>
          <w:color w:val="000000"/>
          <w:shd w:val="clear" w:color="auto" w:fill="FFFFFF"/>
        </w:rPr>
        <w:t xml:space="preserve">  </w:t>
      </w:r>
    </w:p>
    <w:p w:rsidR="00357C8A" w:rsidP="00357C8A" w14:paraId="36F514DC" w14:textId="77777777">
      <w:pPr>
        <w:jc w:val="center"/>
        <w:rPr>
          <w:rFonts w:eastAsia="Calibri"/>
        </w:rPr>
      </w:pPr>
    </w:p>
    <w:p w:rsidR="00357C8A" w:rsidP="00357C8A" w14:paraId="732E0832" w14:textId="6413EEBA">
      <w:pPr>
        <w:jc w:val="center"/>
        <w:rPr>
          <w:rFonts w:eastAsia="Calibri"/>
        </w:rPr>
      </w:pPr>
      <w:r w:rsidRPr="00357C8A">
        <w:rPr>
          <w:rFonts w:eastAsia="Calibri"/>
        </w:rPr>
        <w:t>OMB Control No. 0910-</w:t>
      </w:r>
      <w:r w:rsidR="006543AA">
        <w:rPr>
          <w:rFonts w:eastAsia="Calibri"/>
        </w:rPr>
        <w:t>0607 - Extension</w:t>
      </w:r>
    </w:p>
    <w:p w:rsidR="00357C8A" w:rsidP="00357C8A" w14:paraId="47FD62EB" w14:textId="77777777">
      <w:pPr>
        <w:jc w:val="center"/>
        <w:rPr>
          <w:rFonts w:eastAsia="Calibri"/>
        </w:rPr>
      </w:pPr>
    </w:p>
    <w:p w:rsidR="009B4DF2" w:rsidRPr="009E358D" w:rsidP="009E358D" w14:paraId="5EC8BBD8" w14:textId="77777777">
      <w:pPr>
        <w:jc w:val="center"/>
        <w:rPr>
          <w:rFonts w:eastAsia="Calibri"/>
        </w:rPr>
      </w:pPr>
      <w:r w:rsidRPr="00357C8A">
        <w:rPr>
          <w:rFonts w:eastAsia="Calibri"/>
        </w:rPr>
        <w:t>SUPPORTING STATEMENT</w:t>
      </w:r>
    </w:p>
    <w:p w:rsidR="00C71649" w:rsidP="009B4DF2" w14:paraId="55DB2B94" w14:textId="77777777"/>
    <w:p w:rsidR="00357C8A" w:rsidP="000D79CC" w14:paraId="5423AC00" w14:textId="77777777">
      <w:pPr>
        <w:rPr>
          <w:rFonts w:eastAsia="Calibri"/>
        </w:rPr>
      </w:pPr>
      <w:r w:rsidRPr="00357C8A">
        <w:rPr>
          <w:rFonts w:eastAsia="Calibri"/>
          <w:b/>
        </w:rPr>
        <w:t>Part A:  Justification</w:t>
      </w:r>
      <w:r w:rsidRPr="00357C8A">
        <w:rPr>
          <w:rFonts w:eastAsia="Calibri"/>
        </w:rPr>
        <w:t>:</w:t>
      </w:r>
    </w:p>
    <w:p w:rsidR="000D79CC" w:rsidRPr="00357C8A" w:rsidP="000D79CC" w14:paraId="778A50AA" w14:textId="77777777">
      <w:pPr>
        <w:rPr>
          <w:rFonts w:eastAsia="Calibri"/>
        </w:rPr>
      </w:pPr>
    </w:p>
    <w:p w:rsidR="00357C8A" w:rsidRPr="00357C8A" w:rsidP="006705EA" w14:paraId="104593B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C2BD3" w:rsidP="007C2BD3" w14:paraId="44405667" w14:textId="77777777">
      <w:pPr>
        <w:pStyle w:val="paragraph"/>
        <w:spacing w:before="0" w:beforeAutospacing="0" w:after="0" w:afterAutospacing="0"/>
        <w:textAlignment w:val="baseline"/>
        <w:rPr>
          <w:rFonts w:ascii="Segoe UI" w:hAnsi="Segoe UI" w:cs="Segoe UI"/>
          <w:sz w:val="18"/>
          <w:szCs w:val="18"/>
        </w:rPr>
      </w:pPr>
      <w:r>
        <w:rPr>
          <w:rStyle w:val="normaltextrun"/>
        </w:rPr>
        <w:t>This information collection helps support implementation of statutory provisions applicable to laboratories that conduct testing on human specimens under the Clinical Laboratory Improvement Amendments of 1988 (CLIA).  These requirements are codified in 42 U.S.C. 263a and implementing regulations are found in 42 CFR 493.  Regulations in 42 CFR 493.17 set forth certain notice requirements and establish test categorization criteria for laboratory tests and are implemented by FDA’s Center for Devices and Radiological Health.  The guidance document entitled “</w:t>
      </w:r>
      <w:r w:rsidRPr="00DA34A5">
        <w:rPr>
          <w:rStyle w:val="normaltextrun"/>
        </w:rPr>
        <w:t>Administrative Procedures for CLIA Categorization</w:t>
      </w:r>
      <w:r>
        <w:rPr>
          <w:rStyle w:val="normaltextrun"/>
        </w:rPr>
        <w:t xml:space="preserve">” (October 2017) (available at </w:t>
      </w:r>
      <w:hyperlink r:id="rId9" w:tgtFrame="_blank" w:history="1">
        <w:r w:rsidRPr="00DA34A5">
          <w:rPr>
            <w:rStyle w:val="normaltextrun"/>
            <w:i/>
            <w:iCs/>
            <w:color w:val="0000FF"/>
            <w:u w:val="single"/>
          </w:rPr>
          <w:t>https://www.fda.gov/regulatory-information/search-fda-guidance-documents/administrative-procedures-clia-categorization</w:t>
        </w:r>
      </w:hyperlink>
      <w:r>
        <w:rPr>
          <w:rStyle w:val="normaltextrun"/>
        </w:rPr>
        <w:t>) describes procedures FDA uses to assign the complexity category to a device.  Typically, FDA assigns complexity categorizations to devices at the time of clearance or approval of the device.  In some cases, however, a manufacturer may request CLIA categorization even if FDA is not simultaneously reviewing a 510(k) or premarket approval application.  One example is when a manufacturer requests that FDA assign CLIA categorization to a previously cleared device that has changed names since the original CLIA categorization.  Another example is when a device is exempt from premarket review.  In such cases, the guidance recommends that manufacturers provide FDA with a copy of the package insert for the device and a cover letter indicating why the manufacturer is requesting a categorization (e.g., name change, exempt from 510(k) review).  The guidance recommends that in the correspondence to FDA the manufacturer should identify the product code and classification as well as reference to the original 510(k) when this is available.</w:t>
      </w:r>
      <w:r>
        <w:rPr>
          <w:rStyle w:val="eop"/>
        </w:rPr>
        <w:t> </w:t>
      </w:r>
    </w:p>
    <w:p w:rsidR="007C2BD3" w:rsidP="007C2BD3" w14:paraId="4FC03794" w14:textId="77777777">
      <w:pPr>
        <w:pStyle w:val="paragraph"/>
        <w:spacing w:before="120" w:beforeAutospacing="0" w:after="0" w:afterAutospacing="0"/>
        <w:textAlignment w:val="baseline"/>
        <w:rPr>
          <w:rStyle w:val="eop"/>
        </w:rPr>
      </w:pPr>
      <w:r>
        <w:rPr>
          <w:rStyle w:val="normaltextrun"/>
        </w:rPr>
        <w:t>In addition, this information collection includes provisions associated with certificates of waiver, previously approved under control no. 0910-0598.  The guidance document entitled “</w:t>
      </w:r>
      <w:r w:rsidRPr="00DA34A5">
        <w:rPr>
          <w:rStyle w:val="normaltextrun"/>
        </w:rPr>
        <w:t>Recommendations for Clinical Laboratory Improvement Amendments of 1988 (CLIA) Waiver Applications for Manufacturers of In Vitro Diagnostic Devices--Guidance for Industry and FDA Staff</w:t>
      </w:r>
      <w:r>
        <w:rPr>
          <w:rStyle w:val="normaltextrun"/>
        </w:rPr>
        <w:t xml:space="preserve">” (February 2020) (available at </w:t>
      </w:r>
      <w:hyperlink r:id="rId10" w:tgtFrame="_blank" w:history="1">
        <w:r w:rsidRPr="00DA34A5">
          <w:rPr>
            <w:rStyle w:val="normaltextrun"/>
            <w:i/>
            <w:iCs/>
            <w:color w:val="0000FF"/>
            <w:u w:val="single"/>
          </w:rPr>
          <w:t>https://www.fda.gov/regulatory-information/search-fda-guidance-documents/recommendations-clinical-laboratory-improvement-amendments-1988-clia-waiver-applications</w:t>
        </w:r>
      </w:hyperlink>
      <w:r>
        <w:rPr>
          <w:rStyle w:val="normaltextrun"/>
        </w:rPr>
        <w:t xml:space="preserve">) describes recommendations for device manufacturers submitting to FDA an application for determination that a cleared or approved device meets this CLIA standard (CLIA waiver application).  The guidance recommends that CLIA waiver applications include a description of the features of the device that make it “simple”; a report describing a hazard analysis that identifies potential sources of error, including a summary of the design and results of flex studies and conclusions drawn from the flex studies; a description of fail-safe and failure alert mechanisms and a description of the studies validating these mechanisms; a description of clinical </w:t>
      </w:r>
      <w:r>
        <w:rPr>
          <w:rStyle w:val="normaltextrun"/>
        </w:rPr>
        <w:t>tests that demonstrate the accuracy of the test in the hands of intended operators; and statistical analyses of clinical study results.</w:t>
      </w:r>
      <w:r>
        <w:rPr>
          <w:rStyle w:val="eop"/>
        </w:rPr>
        <w:t> </w:t>
      </w:r>
    </w:p>
    <w:p w:rsidR="003461A9" w:rsidRPr="007C2BD3" w:rsidP="007C2BD3" w14:paraId="31D9E802" w14:textId="70E8160B">
      <w:pPr>
        <w:pStyle w:val="paragraph"/>
        <w:spacing w:before="120" w:beforeAutospacing="0" w:after="0" w:afterAutospacing="0"/>
        <w:textAlignment w:val="baseline"/>
        <w:rPr>
          <w:rFonts w:ascii="Segoe UI" w:hAnsi="Segoe UI" w:cs="Segoe UI"/>
          <w:sz w:val="18"/>
          <w:szCs w:val="18"/>
        </w:rPr>
      </w:pPr>
      <w:r w:rsidRPr="005C71CA">
        <w:rPr>
          <w:rFonts w:eastAsia="Calibri"/>
        </w:rPr>
        <w:t xml:space="preserve">We therefore request extension of OMB approval of </w:t>
      </w:r>
      <w:r w:rsidR="007C2BD3">
        <w:rPr>
          <w:rFonts w:eastAsia="Calibri"/>
        </w:rPr>
        <w:t xml:space="preserve">the information collections associated with administrative procedures for CLIA categorization codified </w:t>
      </w:r>
      <w:r w:rsidR="007C2BD3">
        <w:rPr>
          <w:rStyle w:val="normaltextrun"/>
        </w:rPr>
        <w:t xml:space="preserve">in 42 U.S.C. 263a </w:t>
      </w:r>
      <w:r w:rsidR="00D92414">
        <w:rPr>
          <w:rStyle w:val="normaltextrun"/>
        </w:rPr>
        <w:t>and 42 CFR 493.17 and explained in the guidance entitled “</w:t>
      </w:r>
      <w:r w:rsidRPr="00DA34A5" w:rsidR="00D92414">
        <w:rPr>
          <w:rStyle w:val="normaltextrun"/>
        </w:rPr>
        <w:t>Administrative Procedures for CLIA Categorization</w:t>
      </w:r>
      <w:r w:rsidR="00D92414">
        <w:rPr>
          <w:rStyle w:val="normaltextrun"/>
        </w:rPr>
        <w:t xml:space="preserve">” (October 2017), as well as for provisions associated with CLIA certificates of waiver </w:t>
      </w:r>
      <w:r w:rsidRPr="005C71CA">
        <w:rPr>
          <w:rFonts w:eastAsia="Calibri"/>
        </w:rPr>
        <w:t>as</w:t>
      </w:r>
      <w:r w:rsidR="00D92414">
        <w:rPr>
          <w:rFonts w:eastAsia="Calibri"/>
        </w:rPr>
        <w:t xml:space="preserve"> explained in the guidance </w:t>
      </w:r>
      <w:r w:rsidR="00D92414">
        <w:rPr>
          <w:rStyle w:val="normaltextrun"/>
        </w:rPr>
        <w:t>“</w:t>
      </w:r>
      <w:r w:rsidRPr="00DA34A5" w:rsidR="00D92414">
        <w:rPr>
          <w:rStyle w:val="normaltextrun"/>
        </w:rPr>
        <w:t>Recommendations for Clinical Laboratory Improvement Amendments of 1988 (CLIA) Waiver Applications for Manufacturers of In Vitro Diagnostic Devices--Guidance for Industry and FDA Staff</w:t>
      </w:r>
      <w:r w:rsidR="00D92414">
        <w:rPr>
          <w:rStyle w:val="normaltextrun"/>
        </w:rPr>
        <w:t>” (February 2020), as</w:t>
      </w:r>
      <w:r w:rsidRPr="005C71CA">
        <w:rPr>
          <w:rFonts w:eastAsia="Calibri"/>
        </w:rPr>
        <w:t xml:space="preserve"> discussed in this supporting statement.</w:t>
      </w:r>
    </w:p>
    <w:p w:rsidR="003461A9" w:rsidP="00D826AA" w14:paraId="22C67096" w14:textId="77777777"/>
    <w:p w:rsidR="00357C8A" w:rsidRPr="00357C8A" w:rsidP="006705EA" w14:paraId="2D6F3EF6"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764C25" w:rsidP="00A711C5" w14:paraId="02278BEB" w14:textId="23BDC328">
      <w:pPr>
        <w:tabs>
          <w:tab w:val="left" w:pos="-1080"/>
          <w:tab w:val="left" w:pos="-720"/>
        </w:tabs>
        <w:rPr>
          <w:rStyle w:val="eop"/>
          <w:color w:val="000000"/>
          <w:shd w:val="clear" w:color="auto" w:fill="FFFFFF"/>
        </w:rPr>
      </w:pPr>
      <w:r>
        <w:t xml:space="preserve">FDA uses the information </w:t>
      </w:r>
      <w:r w:rsidRPr="007F5F83">
        <w:t xml:space="preserve">collected to determine device complexity, and </w:t>
      </w:r>
      <w:r>
        <w:t>to post</w:t>
      </w:r>
      <w:r w:rsidRPr="007F5F83">
        <w:t xml:space="preserve"> in </w:t>
      </w:r>
      <w:r>
        <w:t>the FDA CLIA</w:t>
      </w:r>
      <w:r w:rsidRPr="007F5F83">
        <w:t xml:space="preserve"> </w:t>
      </w:r>
      <w:r>
        <w:t>D</w:t>
      </w:r>
      <w:r w:rsidRPr="007F5F83">
        <w:t xml:space="preserve">atabase </w:t>
      </w:r>
      <w:r>
        <w:t xml:space="preserve">(available at </w:t>
      </w:r>
      <w:hyperlink r:id="rId11" w:history="1">
        <w:r w:rsidRPr="00A711C5">
          <w:rPr>
            <w:rStyle w:val="Hyperlink"/>
            <w:i/>
            <w:iCs/>
          </w:rPr>
          <w:t>https://www.accessdata.fda.gov/scripts/cdrh/cfdocs/cfCLIA/search.cfm</w:t>
        </w:r>
      </w:hyperlink>
      <w:r>
        <w:t xml:space="preserve">) </w:t>
      </w:r>
      <w:r w:rsidRPr="007F5F83">
        <w:t>for use by the public, including laboratories, and regulatory agencies</w:t>
      </w:r>
      <w:r>
        <w:t>.  We also use the information to determine whether a device is waived under CLIA.  Respondents to the information collection are from the private sector (for-profit and not-for-profit businesses), specifically manufacturers of in vitro diagnostic devices applying for “CLIA waived” designation of a device.</w:t>
      </w:r>
    </w:p>
    <w:p w:rsidR="00764C25" w:rsidP="00D826AA" w14:paraId="37F51292" w14:textId="77777777"/>
    <w:p w:rsidR="00357C8A" w:rsidRPr="00357C8A" w:rsidP="006705EA" w14:paraId="6FC55F6B"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7E7D0B" w:rsidP="007E7D0B" w14:paraId="2EFBB331" w14:textId="7B3570EB">
      <w:pPr>
        <w:tabs>
          <w:tab w:val="left" w:pos="-1080"/>
          <w:tab w:val="left" w:pos="-720"/>
        </w:tabs>
      </w:pPr>
      <w:r w:rsidRPr="007E7D0B">
        <w:t xml:space="preserve">FDA estimates that respondents will submit 50% of CLIA categorization requests and related information, and 100% of CLIA waiver submissions and related information through the e-Copy Program. The guidance “eCopy Program for Medical Device Submissions” (April 2020) (available at </w:t>
      </w:r>
      <w:hyperlink r:id="rId12" w:history="1">
        <w:r w:rsidRPr="007E7D0B">
          <w:rPr>
            <w:rStyle w:val="Hyperlink"/>
            <w:i/>
            <w:iCs/>
          </w:rPr>
          <w:t>https://www.fda.gov/media/83522/download</w:t>
        </w:r>
      </w:hyperlink>
      <w:r w:rsidRPr="007E7D0B">
        <w:t xml:space="preserve">) describes the eCopy Program under section 745A(b) of the FD&amp;C Act. The inclusion of an eCopy improves the efficiency of the review process by allowing for the immediate availability of an electronic version for review rather than relying solely on the paper version. eCopies can be on a single CD, DVD, or flash drive. The guidance instructs the applicant to submit it to FDA, CDRH Document Control Center. </w:t>
      </w:r>
    </w:p>
    <w:p w:rsidR="007E7D0B" w:rsidRPr="007E7D0B" w:rsidP="007E7D0B" w14:paraId="06F0F08F" w14:textId="77777777">
      <w:pPr>
        <w:tabs>
          <w:tab w:val="left" w:pos="-1080"/>
          <w:tab w:val="left" w:pos="-720"/>
        </w:tabs>
      </w:pPr>
    </w:p>
    <w:p w:rsidR="00357C8A" w:rsidRPr="00357C8A" w:rsidP="006705EA" w14:paraId="3C93A15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84F2E" w:rsidRPr="00384F2E" w:rsidP="0053380B" w14:paraId="06A04DB0" w14:textId="77777777">
      <w:pPr>
        <w:spacing w:after="200"/>
      </w:pPr>
      <w:r w:rsidRPr="005C71CA">
        <w:t>We are unaware of duplicative information collection</w:t>
      </w:r>
      <w:r>
        <w:t>.</w:t>
      </w:r>
    </w:p>
    <w:p w:rsidR="00357C8A" w:rsidRPr="00357C8A" w:rsidP="006705EA" w14:paraId="4ED1015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A4802" w:rsidP="003A4802" w14:paraId="336297EE" w14:textId="1C6FBCEE">
      <w:pPr>
        <w:pStyle w:val="BodyText2"/>
        <w:rPr>
          <w:snapToGrid w:val="0"/>
        </w:rPr>
      </w:pPr>
      <w:r w:rsidRPr="00061B8C">
        <w:t>We do not believe the information collection poses undue burden on small entities</w:t>
      </w:r>
      <w:r w:rsidRPr="00053A18">
        <w:rPr>
          <w:snapToGrid w:val="0"/>
        </w:rPr>
        <w:t>.</w:t>
      </w:r>
    </w:p>
    <w:p w:rsidR="00384F2E" w:rsidP="00384F2E" w14:paraId="22825649" w14:textId="77777777"/>
    <w:p w:rsidR="00357C8A" w:rsidRPr="00357C8A" w:rsidP="006705EA" w14:paraId="7D34EB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7241949F" w14:textId="115B4F00">
      <w:pPr>
        <w:spacing w:after="200"/>
        <w:rPr>
          <w:rFonts w:eastAsia="Calibri"/>
          <w:color w:val="FF0000"/>
        </w:rPr>
      </w:pPr>
      <w:r w:rsidRPr="00F17C08">
        <w:rPr>
          <w:rFonts w:eastAsia="Calibri"/>
        </w:rPr>
        <w:t>The information collection is consistent with statutory and regulatory requirements.</w:t>
      </w:r>
    </w:p>
    <w:p w:rsidR="00357C8A" w:rsidRPr="00357C8A" w:rsidP="006705EA" w14:paraId="58EF9D0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B6927AE" w14:textId="77777777">
      <w:pPr>
        <w:spacing w:after="200"/>
        <w:rPr>
          <w:rFonts w:eastAsia="Calibri"/>
        </w:rPr>
      </w:pPr>
      <w:r>
        <w:rPr>
          <w:rFonts w:eastAsia="Calibri"/>
        </w:rPr>
        <w:t xml:space="preserve">There are no special circumstances associated with the information collection. </w:t>
      </w:r>
    </w:p>
    <w:p w:rsidR="00357C8A" w:rsidRPr="00357C8A" w:rsidP="006705EA" w14:paraId="0C24393F"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4B6D" w:rsidRPr="00354B6D" w:rsidP="00354B6D" w14:paraId="64B4E340" w14:textId="15B42A9E">
      <w:pPr>
        <w:spacing w:after="200" w:line="276" w:lineRule="auto"/>
        <w:rPr>
          <w:rFonts w:eastAsia="Calibri"/>
        </w:rPr>
      </w:pPr>
      <w:r w:rsidRPr="007F5F83">
        <w:t xml:space="preserve">In the </w:t>
      </w:r>
      <w:r w:rsidRPr="007F5F83">
        <w:rPr>
          <w:i/>
          <w:iCs/>
        </w:rPr>
        <w:t>Federal Register</w:t>
      </w:r>
      <w:r w:rsidRPr="007F5F83">
        <w:t xml:space="preserve"> of </w:t>
      </w:r>
      <w:r w:rsidR="003E512D">
        <w:t>July 3, 2025</w:t>
      </w:r>
      <w:r w:rsidR="000204AA">
        <w:t xml:space="preserve"> (90 FR 29568)</w:t>
      </w:r>
      <w:r w:rsidRPr="007F5F83">
        <w:t>, we published a 60-day notice requesting public comment on the proposed collection of information.</w:t>
      </w:r>
      <w:r w:rsidR="003E512D">
        <w:t xml:space="preserve"> No comments were received. </w:t>
      </w:r>
    </w:p>
    <w:p w:rsidR="00357C8A" w:rsidRPr="00357C8A" w:rsidP="006705EA" w14:paraId="0A7F056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84F2E" w:rsidP="00384F2E" w14:paraId="45FE7976" w14:textId="1AB8CC8D">
      <w:r w:rsidRPr="00D331F1">
        <w:t>There are no incentives, payments or gifts associated with this information collection.</w:t>
      </w:r>
    </w:p>
    <w:p w:rsidR="00384F2E" w:rsidRPr="00D261DF" w:rsidP="00384F2E" w14:paraId="4E867D2E" w14:textId="77777777">
      <w:pPr>
        <w:ind w:left="360"/>
      </w:pPr>
    </w:p>
    <w:p w:rsidR="00357C8A" w:rsidRPr="00357C8A" w:rsidP="006705EA" w14:paraId="187D3B55"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92EDE" w:rsidRPr="00192EDE" w:rsidP="00192EDE" w14:paraId="7F759A24" w14:textId="77777777">
      <w:pPr>
        <w:rPr>
          <w:i/>
          <w:iCs/>
        </w:rPr>
      </w:pPr>
      <w:bookmarkStart w:id="0" w:name="_Hlk191567720"/>
      <w:r w:rsidRPr="00192EDE">
        <w:rPr>
          <w:i/>
          <w:iCs/>
        </w:rPr>
        <w:t>The Privacy Act of 1974 (5 U.S.C. 552a)</w:t>
      </w:r>
    </w:p>
    <w:bookmarkEnd w:id="0"/>
    <w:p w:rsidR="00192EDE" w:rsidRPr="00192EDE" w:rsidP="00192EDE" w14:paraId="5DA7637E" w14:textId="77777777">
      <w:pPr>
        <w:rPr>
          <w:rFonts w:eastAsia="Calibri"/>
        </w:rPr>
      </w:pPr>
    </w:p>
    <w:p w:rsidR="00192EDE" w:rsidP="00192EDE" w14:paraId="79A0C1E5" w14:textId="77777777">
      <w:r w:rsidRPr="00192EDE">
        <w:rPr>
          <w:rFonts w:eastAsia="Calibri"/>
        </w:rPr>
        <w:t xml:space="preserve">In preparing this supporting statement, we consulted our Privacy Office to ensure appropriate handling of information collected.  Although this ICR collects personally identifiable information (PII), </w:t>
      </w:r>
      <w:r w:rsidRPr="00D161D2">
        <w:t>it is collected in the context of the subject individuals’ professional capacity and the FDA-related work performed for their employer (e.g., point of contact at a regulated entity)</w:t>
      </w:r>
      <w:r>
        <w:t xml:space="preserve">. </w:t>
      </w:r>
      <w:r w:rsidRPr="00192EDE">
        <w:rPr>
          <w:rFonts w:eastAsia="Calibri"/>
        </w:rPr>
        <w:t>The PII submitted is the name, work email address, work telephone number, and work address of the appellant.  Although this PII is collected, we have determined that this collection is not subject to the Privacy Act of 1974 and the particular notice and other requirements of the Privacy Act do not apply.  Specifically, FDA does not use name or any other personal identifier to routinely retrieve records from the information collected. Through appropriate design, FDA minimized the PII collected to protect the privacy of the individuals.</w:t>
      </w:r>
    </w:p>
    <w:p w:rsidR="00192EDE" w:rsidRPr="00192EDE" w:rsidP="00192EDE" w14:paraId="2D1E14FD" w14:textId="77777777">
      <w:pPr>
        <w:rPr>
          <w:rFonts w:eastAsia="Calibri"/>
        </w:rPr>
      </w:pPr>
    </w:p>
    <w:p w:rsidR="00192EDE" w:rsidRPr="00192EDE" w:rsidP="00192EDE" w14:paraId="761809C5" w14:textId="77777777">
      <w:pPr>
        <w:rPr>
          <w:i/>
          <w:iCs/>
        </w:rPr>
      </w:pPr>
      <w:r w:rsidRPr="00192EDE">
        <w:rPr>
          <w:i/>
          <w:iCs/>
        </w:rPr>
        <w:t>The Freedom of Information Act (FOIA)</w:t>
      </w:r>
    </w:p>
    <w:p w:rsidR="00192EDE" w:rsidRPr="00192EDE" w:rsidP="00192EDE" w14:paraId="133BBEEF" w14:textId="77777777">
      <w:pPr>
        <w:rPr>
          <w:i/>
          <w:iCs/>
        </w:rPr>
      </w:pPr>
    </w:p>
    <w:p w:rsidR="00192EDE" w:rsidRPr="004C1756" w:rsidP="00192EDE" w14:paraId="76188DBE" w14:textId="77777777">
      <w:r w:rsidRPr="005D35BE">
        <w:t>Under FOIA (5 U.S.C. 552), the public has broad access to government documents. However, FOIA provides certain exemptions from mandatory public disclosure of government records (5 U.S.C. 552(b)(1-9)).  FDA will make the fullest possible disclosure of records to the public (see 21 CFR 20), consistent with the rights of individuals to privacy, the property rights of persons in trade and confidential commercial or financial information.</w:t>
      </w:r>
    </w:p>
    <w:p w:rsidR="001075D3" w:rsidRPr="001075D3" w:rsidP="001075D3" w14:paraId="60F196BA" w14:textId="77777777">
      <w:pPr>
        <w:ind w:left="720"/>
      </w:pPr>
    </w:p>
    <w:p w:rsidR="00357C8A" w:rsidRPr="00357C8A" w:rsidP="006705EA" w14:paraId="2F303A08"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P="0022425B" w14:paraId="682F244A" w14:textId="77777777">
      <w:pPr>
        <w:spacing w:after="200"/>
        <w:rPr>
          <w:rFonts w:eastAsia="Calibri"/>
        </w:rPr>
      </w:pPr>
      <w:r>
        <w:rPr>
          <w:rFonts w:eastAsia="Calibri"/>
        </w:rPr>
        <w:t>The collection of information does not involve sensitive questions.</w:t>
      </w:r>
    </w:p>
    <w:p w:rsidR="00434361" w:rsidP="0022425B" w14:paraId="38BDC4CA" w14:textId="77777777">
      <w:pPr>
        <w:spacing w:after="200"/>
        <w:rPr>
          <w:rFonts w:eastAsia="Calibri"/>
        </w:rPr>
      </w:pPr>
    </w:p>
    <w:p w:rsidR="00434361" w:rsidP="0022425B" w14:paraId="6033E6F9" w14:textId="77777777">
      <w:pPr>
        <w:spacing w:after="200"/>
        <w:rPr>
          <w:rFonts w:eastAsia="Calibri"/>
        </w:rPr>
      </w:pPr>
    </w:p>
    <w:p w:rsidR="00434361" w:rsidP="0022425B" w14:paraId="65B8A3A3" w14:textId="77777777">
      <w:pPr>
        <w:spacing w:after="200"/>
        <w:rPr>
          <w:rFonts w:eastAsia="Calibri"/>
        </w:rPr>
      </w:pPr>
    </w:p>
    <w:p w:rsidR="00434361" w:rsidP="0022425B" w14:paraId="4DBD1660" w14:textId="77777777">
      <w:pPr>
        <w:spacing w:after="200"/>
        <w:rPr>
          <w:rFonts w:eastAsia="Calibri"/>
        </w:rPr>
      </w:pPr>
    </w:p>
    <w:p w:rsidR="00434361" w:rsidP="0022425B" w14:paraId="0C1C4AFC" w14:textId="77777777">
      <w:pPr>
        <w:spacing w:after="200"/>
        <w:rPr>
          <w:rFonts w:eastAsia="Calibri"/>
        </w:rPr>
      </w:pPr>
    </w:p>
    <w:p w:rsidR="00434361" w:rsidRPr="00357C8A" w:rsidP="0022425B" w14:paraId="131EE14A" w14:textId="77777777">
      <w:pPr>
        <w:spacing w:after="200"/>
        <w:rPr>
          <w:rFonts w:eastAsia="Calibri"/>
          <w:color w:val="FF0000"/>
        </w:rPr>
      </w:pPr>
    </w:p>
    <w:p w:rsidR="00357C8A" w:rsidP="006705EA" w14:paraId="73900D7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78624FBF" w14:textId="77777777">
      <w:pPr>
        <w:spacing w:after="200"/>
        <w:ind w:left="360"/>
        <w:rPr>
          <w:rFonts w:eastAsia="Calibri"/>
        </w:rPr>
      </w:pPr>
      <w:r w:rsidRPr="005C71CA">
        <w:rPr>
          <w:rFonts w:eastAsia="Calibri"/>
        </w:rPr>
        <w:t xml:space="preserve">12a.  </w:t>
      </w:r>
      <w:r w:rsidRPr="008A049C">
        <w:rPr>
          <w:rFonts w:eastAsia="Calibri"/>
        </w:rPr>
        <w:t>Annualized Hour Burden Estimate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4"/>
        <w:gridCol w:w="1289"/>
        <w:gridCol w:w="1727"/>
        <w:gridCol w:w="1800"/>
        <w:gridCol w:w="2095"/>
        <w:gridCol w:w="1199"/>
      </w:tblGrid>
      <w:tr w14:paraId="19855BA9" w14:textId="77777777" w:rsidTr="00DA2F0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right w:val="nil"/>
            </w:tcBorders>
            <w:shd w:val="clear" w:color="auto" w:fill="auto"/>
          </w:tcPr>
          <w:p w:rsidR="006D009A" w:rsidRPr="00C40A0D" w:rsidP="00317224" w14:paraId="3A02D3D5" w14:textId="0E1A057C">
            <w:pPr>
              <w:jc w:val="center"/>
              <w:rPr>
                <w:sz w:val="20"/>
                <w:szCs w:val="20"/>
              </w:rPr>
            </w:pPr>
            <w:r w:rsidRPr="00C40A0D">
              <w:rPr>
                <w:sz w:val="20"/>
                <w:szCs w:val="20"/>
              </w:rPr>
              <w:t>Table 1.--Estimated Annual Reporting Burden</w:t>
            </w:r>
            <w:r w:rsidRPr="007A5877" w:rsidR="007A5877">
              <w:rPr>
                <w:sz w:val="20"/>
                <w:szCs w:val="20"/>
                <w:vertAlign w:val="superscript"/>
              </w:rPr>
              <w:t>1</w:t>
            </w:r>
          </w:p>
        </w:tc>
      </w:tr>
      <w:tr w14:paraId="6C01FF85" w14:textId="77777777" w:rsidTr="003533CF">
        <w:tblPrEx>
          <w:tblW w:w="5000" w:type="pct"/>
          <w:tblLook w:val="01E0"/>
        </w:tblPrEx>
        <w:trPr>
          <w:cantSplit/>
          <w:trHeight w:val="20"/>
        </w:trPr>
        <w:tc>
          <w:tcPr>
            <w:tcW w:w="733" w:type="pct"/>
            <w:shd w:val="clear" w:color="auto" w:fill="auto"/>
          </w:tcPr>
          <w:p w:rsidR="00C459BB" w:rsidRPr="00C40A0D" w:rsidP="00C459BB" w14:paraId="037A7303" w14:textId="0B6F8264">
            <w:pPr>
              <w:jc w:val="center"/>
              <w:rPr>
                <w:sz w:val="20"/>
                <w:szCs w:val="20"/>
              </w:rPr>
            </w:pPr>
            <w:r>
              <w:rPr>
                <w:rStyle w:val="normaltextrun"/>
                <w:sz w:val="20"/>
                <w:szCs w:val="20"/>
              </w:rPr>
              <w:t>Information Collection Activity</w:t>
            </w:r>
            <w:r>
              <w:rPr>
                <w:rStyle w:val="eop"/>
                <w:sz w:val="20"/>
                <w:szCs w:val="20"/>
              </w:rPr>
              <w:t> </w:t>
            </w:r>
          </w:p>
        </w:tc>
        <w:tc>
          <w:tcPr>
            <w:tcW w:w="678" w:type="pct"/>
            <w:shd w:val="clear" w:color="auto" w:fill="auto"/>
          </w:tcPr>
          <w:p w:rsidR="00C459BB" w:rsidRPr="00C40A0D" w:rsidP="00C459BB" w14:paraId="0B9ADBE3" w14:textId="599EEDD2">
            <w:pPr>
              <w:jc w:val="center"/>
              <w:rPr>
                <w:sz w:val="20"/>
                <w:szCs w:val="20"/>
              </w:rPr>
            </w:pPr>
            <w:r>
              <w:rPr>
                <w:rStyle w:val="normaltextrun"/>
                <w:sz w:val="20"/>
                <w:szCs w:val="20"/>
              </w:rPr>
              <w:t>No. of Respondents</w:t>
            </w:r>
            <w:r>
              <w:rPr>
                <w:rStyle w:val="eop"/>
                <w:sz w:val="20"/>
                <w:szCs w:val="20"/>
              </w:rPr>
              <w:t> </w:t>
            </w:r>
          </w:p>
        </w:tc>
        <w:tc>
          <w:tcPr>
            <w:tcW w:w="909" w:type="pct"/>
            <w:shd w:val="clear" w:color="auto" w:fill="auto"/>
          </w:tcPr>
          <w:p w:rsidR="00C459BB" w:rsidRPr="00C40A0D" w:rsidP="00C459BB" w14:paraId="4EF243DE" w14:textId="1526D682">
            <w:pPr>
              <w:jc w:val="center"/>
              <w:rPr>
                <w:sz w:val="20"/>
                <w:szCs w:val="20"/>
              </w:rPr>
            </w:pPr>
            <w:r>
              <w:rPr>
                <w:rStyle w:val="normaltextrun"/>
                <w:sz w:val="20"/>
                <w:szCs w:val="20"/>
              </w:rPr>
              <w:t>No. of Responses per Respondent</w:t>
            </w:r>
            <w:r>
              <w:rPr>
                <w:rStyle w:val="eop"/>
                <w:sz w:val="20"/>
                <w:szCs w:val="20"/>
              </w:rPr>
              <w:t> </w:t>
            </w:r>
          </w:p>
        </w:tc>
        <w:tc>
          <w:tcPr>
            <w:tcW w:w="947" w:type="pct"/>
            <w:shd w:val="clear" w:color="auto" w:fill="auto"/>
          </w:tcPr>
          <w:p w:rsidR="00C459BB" w:rsidRPr="00C40A0D" w:rsidP="00C459BB" w14:paraId="3F228286" w14:textId="2D878E4E">
            <w:pPr>
              <w:jc w:val="center"/>
              <w:rPr>
                <w:sz w:val="20"/>
                <w:szCs w:val="20"/>
              </w:rPr>
            </w:pPr>
            <w:r>
              <w:rPr>
                <w:rStyle w:val="normaltextrun"/>
                <w:sz w:val="20"/>
                <w:szCs w:val="20"/>
              </w:rPr>
              <w:t>Total Annual Responses</w:t>
            </w:r>
            <w:r>
              <w:rPr>
                <w:rStyle w:val="eop"/>
                <w:sz w:val="20"/>
                <w:szCs w:val="20"/>
              </w:rPr>
              <w:t> </w:t>
            </w:r>
          </w:p>
        </w:tc>
        <w:tc>
          <w:tcPr>
            <w:tcW w:w="1102" w:type="pct"/>
            <w:shd w:val="clear" w:color="auto" w:fill="auto"/>
          </w:tcPr>
          <w:p w:rsidR="00C459BB" w:rsidRPr="00C40A0D" w:rsidP="00C459BB" w14:paraId="29F63795" w14:textId="5CC3EFC2">
            <w:pPr>
              <w:jc w:val="center"/>
              <w:rPr>
                <w:sz w:val="20"/>
                <w:szCs w:val="20"/>
              </w:rPr>
            </w:pPr>
            <w:r>
              <w:rPr>
                <w:rStyle w:val="normaltextrun"/>
                <w:sz w:val="20"/>
                <w:szCs w:val="20"/>
              </w:rPr>
              <w:t>Average Burden per Response</w:t>
            </w:r>
            <w:r>
              <w:rPr>
                <w:rStyle w:val="eop"/>
                <w:sz w:val="20"/>
                <w:szCs w:val="20"/>
              </w:rPr>
              <w:t> </w:t>
            </w:r>
          </w:p>
        </w:tc>
        <w:tc>
          <w:tcPr>
            <w:tcW w:w="631" w:type="pct"/>
            <w:shd w:val="clear" w:color="auto" w:fill="auto"/>
          </w:tcPr>
          <w:p w:rsidR="00C459BB" w:rsidRPr="00C40A0D" w:rsidP="00C459BB" w14:paraId="65BF0DFE" w14:textId="0517A4E3">
            <w:pPr>
              <w:jc w:val="center"/>
              <w:rPr>
                <w:sz w:val="20"/>
                <w:szCs w:val="20"/>
              </w:rPr>
            </w:pPr>
            <w:r>
              <w:rPr>
                <w:rStyle w:val="normaltextrun"/>
                <w:sz w:val="20"/>
                <w:szCs w:val="20"/>
              </w:rPr>
              <w:t>Total Hours</w:t>
            </w:r>
            <w:r>
              <w:rPr>
                <w:rStyle w:val="eop"/>
                <w:sz w:val="20"/>
                <w:szCs w:val="20"/>
              </w:rPr>
              <w:t> </w:t>
            </w:r>
          </w:p>
        </w:tc>
      </w:tr>
      <w:tr w14:paraId="5AA8D388" w14:textId="77777777" w:rsidTr="003533CF">
        <w:tblPrEx>
          <w:tblW w:w="5000" w:type="pct"/>
          <w:tblLook w:val="01E0"/>
        </w:tblPrEx>
        <w:trPr>
          <w:cantSplit/>
          <w:trHeight w:val="20"/>
        </w:trPr>
        <w:tc>
          <w:tcPr>
            <w:tcW w:w="733" w:type="pct"/>
            <w:shd w:val="clear" w:color="auto" w:fill="auto"/>
          </w:tcPr>
          <w:p w:rsidR="003533CF" w:rsidRPr="00C40A0D" w:rsidP="003533CF" w14:paraId="7B27EA96" w14:textId="76049452">
            <w:pPr>
              <w:jc w:val="center"/>
              <w:rPr>
                <w:sz w:val="20"/>
                <w:szCs w:val="20"/>
              </w:rPr>
            </w:pPr>
            <w:r>
              <w:rPr>
                <w:rStyle w:val="normaltextrun"/>
                <w:sz w:val="20"/>
                <w:szCs w:val="20"/>
              </w:rPr>
              <w:t>Request for CLIA Categorization</w:t>
            </w:r>
          </w:p>
        </w:tc>
        <w:tc>
          <w:tcPr>
            <w:tcW w:w="678" w:type="pct"/>
            <w:shd w:val="clear" w:color="auto" w:fill="auto"/>
          </w:tcPr>
          <w:p w:rsidR="003533CF" w:rsidRPr="00C40A0D" w:rsidP="00077A30" w14:paraId="455F6A69" w14:textId="28BAF8B7">
            <w:pPr>
              <w:jc w:val="right"/>
              <w:rPr>
                <w:sz w:val="20"/>
                <w:szCs w:val="20"/>
              </w:rPr>
            </w:pPr>
            <w:r>
              <w:rPr>
                <w:rStyle w:val="normaltextrun"/>
                <w:sz w:val="20"/>
                <w:szCs w:val="20"/>
              </w:rPr>
              <w:t>86</w:t>
            </w:r>
            <w:r>
              <w:rPr>
                <w:rStyle w:val="eop"/>
                <w:sz w:val="20"/>
                <w:szCs w:val="20"/>
              </w:rPr>
              <w:t> </w:t>
            </w:r>
          </w:p>
        </w:tc>
        <w:tc>
          <w:tcPr>
            <w:tcW w:w="909" w:type="pct"/>
            <w:shd w:val="clear" w:color="auto" w:fill="auto"/>
          </w:tcPr>
          <w:p w:rsidR="003533CF" w:rsidRPr="00C40A0D" w:rsidP="00077A30" w14:paraId="788229F7" w14:textId="27E43FC0">
            <w:pPr>
              <w:jc w:val="right"/>
              <w:rPr>
                <w:bCs/>
                <w:sz w:val="20"/>
                <w:szCs w:val="20"/>
              </w:rPr>
            </w:pPr>
            <w:r>
              <w:rPr>
                <w:rStyle w:val="normaltextrun"/>
                <w:sz w:val="20"/>
                <w:szCs w:val="20"/>
              </w:rPr>
              <w:t>5</w:t>
            </w:r>
            <w:r>
              <w:rPr>
                <w:rStyle w:val="eop"/>
                <w:sz w:val="20"/>
                <w:szCs w:val="20"/>
              </w:rPr>
              <w:t> </w:t>
            </w:r>
          </w:p>
        </w:tc>
        <w:tc>
          <w:tcPr>
            <w:tcW w:w="947" w:type="pct"/>
            <w:shd w:val="clear" w:color="auto" w:fill="auto"/>
          </w:tcPr>
          <w:p w:rsidR="003533CF" w:rsidRPr="00C40A0D" w:rsidP="00077A30" w14:paraId="3490D12E" w14:textId="7A6E7639">
            <w:pPr>
              <w:jc w:val="right"/>
              <w:rPr>
                <w:sz w:val="20"/>
                <w:szCs w:val="20"/>
              </w:rPr>
            </w:pPr>
            <w:r>
              <w:rPr>
                <w:rStyle w:val="normaltextrun"/>
                <w:sz w:val="20"/>
                <w:szCs w:val="20"/>
              </w:rPr>
              <w:t>430</w:t>
            </w:r>
            <w:r>
              <w:rPr>
                <w:rStyle w:val="eop"/>
                <w:sz w:val="20"/>
                <w:szCs w:val="20"/>
              </w:rPr>
              <w:t> </w:t>
            </w:r>
          </w:p>
        </w:tc>
        <w:tc>
          <w:tcPr>
            <w:tcW w:w="1102" w:type="pct"/>
            <w:shd w:val="clear" w:color="auto" w:fill="auto"/>
          </w:tcPr>
          <w:p w:rsidR="003533CF" w:rsidRPr="00C40A0D" w:rsidP="00077A30" w14:paraId="32B5B3A5" w14:textId="7ABA61DD">
            <w:pPr>
              <w:jc w:val="right"/>
              <w:rPr>
                <w:bCs/>
                <w:sz w:val="20"/>
                <w:szCs w:val="20"/>
              </w:rPr>
            </w:pPr>
            <w:r>
              <w:rPr>
                <w:rStyle w:val="normaltextrun"/>
                <w:sz w:val="20"/>
                <w:szCs w:val="20"/>
              </w:rPr>
              <w:t>1</w:t>
            </w:r>
            <w:r>
              <w:rPr>
                <w:rStyle w:val="eop"/>
                <w:sz w:val="20"/>
                <w:szCs w:val="20"/>
              </w:rPr>
              <w:t> </w:t>
            </w:r>
          </w:p>
        </w:tc>
        <w:tc>
          <w:tcPr>
            <w:tcW w:w="631" w:type="pct"/>
            <w:shd w:val="clear" w:color="auto" w:fill="auto"/>
          </w:tcPr>
          <w:p w:rsidR="003533CF" w:rsidRPr="00C40A0D" w:rsidP="00077A30" w14:paraId="7FB983EC" w14:textId="5B49508C">
            <w:pPr>
              <w:jc w:val="right"/>
              <w:rPr>
                <w:sz w:val="20"/>
                <w:szCs w:val="20"/>
              </w:rPr>
            </w:pPr>
            <w:r>
              <w:rPr>
                <w:rStyle w:val="normaltextrun"/>
                <w:sz w:val="20"/>
                <w:szCs w:val="20"/>
              </w:rPr>
              <w:t>430</w:t>
            </w:r>
            <w:r>
              <w:rPr>
                <w:rStyle w:val="eop"/>
                <w:sz w:val="20"/>
                <w:szCs w:val="20"/>
              </w:rPr>
              <w:t> </w:t>
            </w:r>
          </w:p>
        </w:tc>
      </w:tr>
      <w:tr w14:paraId="314E3DB9" w14:textId="77777777" w:rsidTr="003533CF">
        <w:tblPrEx>
          <w:tblW w:w="5000" w:type="pct"/>
          <w:tblLook w:val="01E0"/>
        </w:tblPrEx>
        <w:trPr>
          <w:cantSplit/>
          <w:trHeight w:val="20"/>
        </w:trPr>
        <w:tc>
          <w:tcPr>
            <w:tcW w:w="733" w:type="pct"/>
            <w:shd w:val="clear" w:color="auto" w:fill="auto"/>
          </w:tcPr>
          <w:p w:rsidR="003533CF" w:rsidRPr="00C40A0D" w:rsidP="003533CF" w14:paraId="23B48C33" w14:textId="7A1626D9">
            <w:pPr>
              <w:rPr>
                <w:sz w:val="20"/>
                <w:szCs w:val="20"/>
              </w:rPr>
            </w:pPr>
            <w:bookmarkStart w:id="1" w:name="_Hlk105505084"/>
            <w:r>
              <w:rPr>
                <w:rStyle w:val="normaltextrun"/>
                <w:sz w:val="20"/>
                <w:szCs w:val="20"/>
              </w:rPr>
              <w:t>CLIA Waiver Application Submissions</w:t>
            </w:r>
            <w:r>
              <w:rPr>
                <w:rStyle w:val="eop"/>
                <w:sz w:val="20"/>
                <w:szCs w:val="20"/>
              </w:rPr>
              <w:t> </w:t>
            </w:r>
          </w:p>
        </w:tc>
        <w:tc>
          <w:tcPr>
            <w:tcW w:w="678" w:type="pct"/>
            <w:shd w:val="clear" w:color="auto" w:fill="auto"/>
          </w:tcPr>
          <w:p w:rsidR="003533CF" w:rsidRPr="00C40A0D" w:rsidP="003533CF" w14:paraId="6073562B" w14:textId="4CB8C727">
            <w:pPr>
              <w:jc w:val="right"/>
              <w:rPr>
                <w:sz w:val="20"/>
                <w:szCs w:val="20"/>
              </w:rPr>
            </w:pPr>
            <w:r>
              <w:rPr>
                <w:rStyle w:val="normaltextrun"/>
                <w:sz w:val="20"/>
                <w:szCs w:val="20"/>
              </w:rPr>
              <w:t>20</w:t>
            </w:r>
            <w:r>
              <w:rPr>
                <w:rStyle w:val="eop"/>
                <w:sz w:val="20"/>
                <w:szCs w:val="20"/>
              </w:rPr>
              <w:t> </w:t>
            </w:r>
          </w:p>
        </w:tc>
        <w:tc>
          <w:tcPr>
            <w:tcW w:w="909" w:type="pct"/>
            <w:shd w:val="clear" w:color="auto" w:fill="auto"/>
          </w:tcPr>
          <w:p w:rsidR="003533CF" w:rsidRPr="00C40A0D" w:rsidP="003533CF" w14:paraId="43BDA110" w14:textId="591A9DB3">
            <w:pPr>
              <w:jc w:val="right"/>
              <w:rPr>
                <w:sz w:val="20"/>
                <w:szCs w:val="20"/>
              </w:rPr>
            </w:pPr>
            <w:r>
              <w:rPr>
                <w:rStyle w:val="normaltextrun"/>
                <w:sz w:val="20"/>
                <w:szCs w:val="20"/>
              </w:rPr>
              <w:t>1</w:t>
            </w:r>
            <w:r>
              <w:rPr>
                <w:rStyle w:val="eop"/>
                <w:sz w:val="20"/>
                <w:szCs w:val="20"/>
              </w:rPr>
              <w:t> </w:t>
            </w:r>
          </w:p>
        </w:tc>
        <w:tc>
          <w:tcPr>
            <w:tcW w:w="947" w:type="pct"/>
            <w:shd w:val="clear" w:color="auto" w:fill="auto"/>
          </w:tcPr>
          <w:p w:rsidR="003533CF" w:rsidRPr="00C40A0D" w:rsidP="003533CF" w14:paraId="5CD8BCCD" w14:textId="1A893BD9">
            <w:pPr>
              <w:jc w:val="right"/>
              <w:rPr>
                <w:sz w:val="20"/>
                <w:szCs w:val="20"/>
              </w:rPr>
            </w:pPr>
            <w:r>
              <w:rPr>
                <w:rStyle w:val="normaltextrun"/>
                <w:sz w:val="20"/>
                <w:szCs w:val="20"/>
              </w:rPr>
              <w:t>20</w:t>
            </w:r>
            <w:r>
              <w:rPr>
                <w:rStyle w:val="eop"/>
                <w:sz w:val="20"/>
                <w:szCs w:val="20"/>
              </w:rPr>
              <w:t> </w:t>
            </w:r>
          </w:p>
        </w:tc>
        <w:tc>
          <w:tcPr>
            <w:tcW w:w="1102" w:type="pct"/>
            <w:shd w:val="clear" w:color="auto" w:fill="auto"/>
          </w:tcPr>
          <w:p w:rsidR="003533CF" w:rsidRPr="00C40A0D" w:rsidP="003533CF" w14:paraId="01CFE416" w14:textId="607421B5">
            <w:pPr>
              <w:jc w:val="right"/>
              <w:rPr>
                <w:sz w:val="20"/>
                <w:szCs w:val="20"/>
              </w:rPr>
            </w:pPr>
            <w:r>
              <w:rPr>
                <w:rStyle w:val="normaltextrun"/>
                <w:sz w:val="20"/>
                <w:szCs w:val="20"/>
              </w:rPr>
              <w:t>1,200</w:t>
            </w:r>
            <w:r>
              <w:rPr>
                <w:rStyle w:val="eop"/>
                <w:sz w:val="20"/>
                <w:szCs w:val="20"/>
              </w:rPr>
              <w:t> </w:t>
            </w:r>
          </w:p>
        </w:tc>
        <w:tc>
          <w:tcPr>
            <w:tcW w:w="631" w:type="pct"/>
            <w:shd w:val="clear" w:color="auto" w:fill="auto"/>
          </w:tcPr>
          <w:p w:rsidR="003533CF" w:rsidRPr="00C40A0D" w:rsidP="003533CF" w14:paraId="1F6DCAC7" w14:textId="02688602">
            <w:pPr>
              <w:jc w:val="right"/>
              <w:rPr>
                <w:sz w:val="20"/>
                <w:szCs w:val="20"/>
              </w:rPr>
            </w:pPr>
            <w:r>
              <w:rPr>
                <w:rStyle w:val="normaltextrun"/>
                <w:sz w:val="20"/>
                <w:szCs w:val="20"/>
              </w:rPr>
              <w:t>24,000</w:t>
            </w:r>
            <w:r>
              <w:rPr>
                <w:rStyle w:val="eop"/>
                <w:sz w:val="20"/>
                <w:szCs w:val="20"/>
              </w:rPr>
              <w:t> </w:t>
            </w:r>
          </w:p>
        </w:tc>
      </w:tr>
      <w:bookmarkEnd w:id="1"/>
      <w:tr w14:paraId="24316355" w14:textId="77777777" w:rsidTr="003533CF">
        <w:tblPrEx>
          <w:tblW w:w="5000" w:type="pct"/>
          <w:tblLook w:val="01E0"/>
        </w:tblPrEx>
        <w:trPr>
          <w:cantSplit/>
          <w:trHeight w:val="20"/>
        </w:trPr>
        <w:tc>
          <w:tcPr>
            <w:tcW w:w="4369" w:type="pct"/>
            <w:gridSpan w:val="5"/>
            <w:shd w:val="clear" w:color="auto" w:fill="auto"/>
          </w:tcPr>
          <w:p w:rsidR="003533CF" w:rsidRPr="00C40A0D" w:rsidP="003533CF" w14:paraId="21A2A14D" w14:textId="77777777">
            <w:pPr>
              <w:rPr>
                <w:sz w:val="20"/>
                <w:szCs w:val="20"/>
              </w:rPr>
            </w:pPr>
            <w:r w:rsidRPr="00C40A0D">
              <w:rPr>
                <w:sz w:val="20"/>
                <w:szCs w:val="20"/>
              </w:rPr>
              <w:t>Total</w:t>
            </w:r>
          </w:p>
        </w:tc>
        <w:tc>
          <w:tcPr>
            <w:tcW w:w="631" w:type="pct"/>
            <w:shd w:val="clear" w:color="auto" w:fill="auto"/>
          </w:tcPr>
          <w:p w:rsidR="003533CF" w:rsidRPr="00C40A0D" w:rsidP="003533CF" w14:paraId="7712B833" w14:textId="073028C4">
            <w:pPr>
              <w:jc w:val="right"/>
              <w:rPr>
                <w:sz w:val="20"/>
                <w:szCs w:val="20"/>
              </w:rPr>
            </w:pPr>
            <w:r>
              <w:rPr>
                <w:rStyle w:val="normaltextrun"/>
                <w:sz w:val="20"/>
                <w:szCs w:val="20"/>
              </w:rPr>
              <w:t>24,430</w:t>
            </w:r>
            <w:r>
              <w:rPr>
                <w:rStyle w:val="eop"/>
                <w:sz w:val="20"/>
                <w:szCs w:val="20"/>
              </w:rPr>
              <w:t> </w:t>
            </w:r>
          </w:p>
        </w:tc>
      </w:tr>
    </w:tbl>
    <w:p w:rsidR="006D009A" w:rsidRPr="00DD0F2A" w:rsidP="00DD0F2A" w14:paraId="15BC6F73" w14:textId="03040EF3">
      <w:pPr>
        <w:spacing w:after="200"/>
        <w:rPr>
          <w:color w:val="000000"/>
          <w:sz w:val="20"/>
          <w:szCs w:val="20"/>
          <w:shd w:val="clear" w:color="auto" w:fill="FFFFFF"/>
        </w:rPr>
      </w:pPr>
      <w:r>
        <w:rPr>
          <w:rStyle w:val="normaltextrun"/>
          <w:color w:val="000000"/>
          <w:sz w:val="16"/>
          <w:szCs w:val="16"/>
          <w:shd w:val="clear" w:color="auto" w:fill="FFFFFF"/>
          <w:vertAlign w:val="superscript"/>
        </w:rPr>
        <w:t>1</w:t>
      </w:r>
      <w:r>
        <w:rPr>
          <w:rStyle w:val="normaltextrun"/>
          <w:color w:val="000000"/>
          <w:sz w:val="20"/>
          <w:szCs w:val="20"/>
          <w:shd w:val="clear" w:color="auto" w:fill="FFFFFF"/>
        </w:rPr>
        <w:t xml:space="preserve"> There are no capital costs associated with this collection of information. </w:t>
      </w:r>
      <w:r>
        <w:rPr>
          <w:rStyle w:val="eop"/>
          <w:color w:val="000000"/>
          <w:sz w:val="20"/>
          <w:szCs w:val="20"/>
          <w:shd w:val="clear" w:color="auto" w:fill="FFFFFF"/>
        </w:rPr>
        <w:t> </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96"/>
        <w:gridCol w:w="1530"/>
        <w:gridCol w:w="1710"/>
        <w:gridCol w:w="1622"/>
        <w:gridCol w:w="1628"/>
        <w:gridCol w:w="1254"/>
      </w:tblGrid>
      <w:tr w14:paraId="68A98E83" w14:textId="77777777" w:rsidTr="005618A7">
        <w:tblPrEx>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5000" w:type="pct"/>
            <w:gridSpan w:val="6"/>
            <w:tcBorders>
              <w:top w:val="nil"/>
              <w:left w:val="nil"/>
              <w:right w:val="nil"/>
            </w:tcBorders>
            <w:shd w:val="clear" w:color="auto" w:fill="auto"/>
          </w:tcPr>
          <w:p w:rsidR="006D009A" w:rsidRPr="00D0402C" w:rsidP="00317224" w14:paraId="790C51C3" w14:textId="0B4EF42C">
            <w:pPr>
              <w:keepNext/>
              <w:jc w:val="center"/>
              <w:rPr>
                <w:sz w:val="20"/>
                <w:szCs w:val="20"/>
              </w:rPr>
            </w:pPr>
            <w:r w:rsidRPr="00D0402C">
              <w:rPr>
                <w:sz w:val="20"/>
                <w:szCs w:val="20"/>
              </w:rPr>
              <w:t>Table 2.--Estimated Annual Recordkeeping Burden</w:t>
            </w:r>
            <w:r w:rsidR="006C5078">
              <w:rPr>
                <w:rStyle w:val="normaltextrun"/>
                <w:sz w:val="16"/>
                <w:szCs w:val="16"/>
                <w:vertAlign w:val="superscript"/>
              </w:rPr>
              <w:t>1</w:t>
            </w:r>
            <w:r w:rsidR="006C5078">
              <w:rPr>
                <w:rStyle w:val="eop"/>
                <w:sz w:val="16"/>
                <w:szCs w:val="16"/>
              </w:rPr>
              <w:t> </w:t>
            </w:r>
          </w:p>
        </w:tc>
      </w:tr>
      <w:tr w14:paraId="554336A3" w14:textId="77777777" w:rsidTr="00E6750F">
        <w:tblPrEx>
          <w:tblW w:w="5019" w:type="pct"/>
          <w:tblLayout w:type="fixed"/>
          <w:tblLook w:val="01E0"/>
        </w:tblPrEx>
        <w:trPr>
          <w:trHeight w:val="800"/>
          <w:tblHeader/>
        </w:trPr>
        <w:tc>
          <w:tcPr>
            <w:tcW w:w="942" w:type="pct"/>
            <w:shd w:val="clear" w:color="auto" w:fill="auto"/>
          </w:tcPr>
          <w:p w:rsidR="00002744" w:rsidRPr="00D0402C" w:rsidP="00002744" w14:paraId="197808B7" w14:textId="294BD9C6">
            <w:pPr>
              <w:keepNext/>
              <w:jc w:val="center"/>
              <w:rPr>
                <w:sz w:val="20"/>
                <w:szCs w:val="20"/>
              </w:rPr>
            </w:pPr>
            <w:r>
              <w:rPr>
                <w:rStyle w:val="normaltextrun"/>
                <w:sz w:val="20"/>
                <w:szCs w:val="20"/>
              </w:rPr>
              <w:t>Information Collection Activity</w:t>
            </w:r>
            <w:r>
              <w:rPr>
                <w:rStyle w:val="eop"/>
                <w:sz w:val="20"/>
                <w:szCs w:val="20"/>
              </w:rPr>
              <w:t> </w:t>
            </w:r>
          </w:p>
        </w:tc>
        <w:tc>
          <w:tcPr>
            <w:tcW w:w="802" w:type="pct"/>
            <w:shd w:val="clear" w:color="auto" w:fill="auto"/>
          </w:tcPr>
          <w:p w:rsidR="00002744" w:rsidRPr="00D0402C" w:rsidP="00002744" w14:paraId="2CF31C0A" w14:textId="19CCE3E2">
            <w:pPr>
              <w:keepNext/>
              <w:jc w:val="center"/>
              <w:rPr>
                <w:sz w:val="20"/>
                <w:szCs w:val="20"/>
              </w:rPr>
            </w:pPr>
            <w:r>
              <w:rPr>
                <w:rStyle w:val="normaltextrun"/>
                <w:sz w:val="20"/>
                <w:szCs w:val="20"/>
              </w:rPr>
              <w:t>No. of Recordkeepers</w:t>
            </w:r>
            <w:r>
              <w:rPr>
                <w:rStyle w:val="eop"/>
                <w:sz w:val="20"/>
                <w:szCs w:val="20"/>
              </w:rPr>
              <w:t> </w:t>
            </w:r>
          </w:p>
        </w:tc>
        <w:tc>
          <w:tcPr>
            <w:tcW w:w="896" w:type="pct"/>
            <w:shd w:val="clear" w:color="auto" w:fill="auto"/>
          </w:tcPr>
          <w:p w:rsidR="00002744" w:rsidRPr="00D0402C" w:rsidP="00002744" w14:paraId="05877105" w14:textId="47B55FAE">
            <w:pPr>
              <w:keepNext/>
              <w:jc w:val="center"/>
              <w:rPr>
                <w:sz w:val="20"/>
                <w:szCs w:val="20"/>
              </w:rPr>
            </w:pPr>
            <w:r>
              <w:rPr>
                <w:rStyle w:val="normaltextrun"/>
                <w:sz w:val="20"/>
                <w:szCs w:val="20"/>
              </w:rPr>
              <w:t>No. of Records per Recordkeeper</w:t>
            </w:r>
            <w:r>
              <w:rPr>
                <w:rStyle w:val="eop"/>
                <w:sz w:val="20"/>
                <w:szCs w:val="20"/>
              </w:rPr>
              <w:t> </w:t>
            </w:r>
          </w:p>
        </w:tc>
        <w:tc>
          <w:tcPr>
            <w:tcW w:w="850" w:type="pct"/>
            <w:shd w:val="clear" w:color="auto" w:fill="auto"/>
          </w:tcPr>
          <w:p w:rsidR="00002744" w:rsidRPr="00D0402C" w:rsidP="00002744" w14:paraId="380787F0" w14:textId="524AD2A8">
            <w:pPr>
              <w:keepNext/>
              <w:jc w:val="center"/>
              <w:rPr>
                <w:sz w:val="20"/>
                <w:szCs w:val="20"/>
              </w:rPr>
            </w:pPr>
            <w:r>
              <w:rPr>
                <w:rStyle w:val="normaltextrun"/>
                <w:sz w:val="20"/>
                <w:szCs w:val="20"/>
              </w:rPr>
              <w:t>Total Annual Records</w:t>
            </w:r>
            <w:r>
              <w:rPr>
                <w:rStyle w:val="eop"/>
                <w:sz w:val="20"/>
                <w:szCs w:val="20"/>
              </w:rPr>
              <w:t> </w:t>
            </w:r>
          </w:p>
        </w:tc>
        <w:tc>
          <w:tcPr>
            <w:tcW w:w="852" w:type="pct"/>
            <w:shd w:val="clear" w:color="auto" w:fill="auto"/>
          </w:tcPr>
          <w:p w:rsidR="00002744" w:rsidRPr="00D0402C" w:rsidP="00002744" w14:paraId="13F6C1BB" w14:textId="25634469">
            <w:pPr>
              <w:keepNext/>
              <w:jc w:val="center"/>
              <w:rPr>
                <w:sz w:val="20"/>
                <w:szCs w:val="20"/>
              </w:rPr>
            </w:pPr>
            <w:r>
              <w:rPr>
                <w:rStyle w:val="normaltextrun"/>
                <w:sz w:val="20"/>
                <w:szCs w:val="20"/>
              </w:rPr>
              <w:t>Average Burden per Recordkeeping </w:t>
            </w:r>
            <w:r>
              <w:rPr>
                <w:rStyle w:val="eop"/>
                <w:sz w:val="20"/>
                <w:szCs w:val="20"/>
              </w:rPr>
              <w:t> </w:t>
            </w:r>
          </w:p>
        </w:tc>
        <w:tc>
          <w:tcPr>
            <w:tcW w:w="657" w:type="pct"/>
            <w:shd w:val="clear" w:color="auto" w:fill="auto"/>
          </w:tcPr>
          <w:p w:rsidR="00002744" w:rsidRPr="00D0402C" w:rsidP="00002744" w14:paraId="7C72D79B" w14:textId="0DBE14F0">
            <w:pPr>
              <w:keepNext/>
              <w:jc w:val="center"/>
              <w:rPr>
                <w:sz w:val="20"/>
                <w:szCs w:val="20"/>
              </w:rPr>
            </w:pPr>
            <w:r>
              <w:rPr>
                <w:rStyle w:val="normaltextrun"/>
                <w:sz w:val="20"/>
                <w:szCs w:val="20"/>
              </w:rPr>
              <w:t>Total Hours</w:t>
            </w:r>
            <w:r>
              <w:rPr>
                <w:rStyle w:val="eop"/>
                <w:sz w:val="20"/>
                <w:szCs w:val="20"/>
              </w:rPr>
              <w:t> </w:t>
            </w:r>
          </w:p>
        </w:tc>
      </w:tr>
      <w:tr w14:paraId="4A01FA39" w14:textId="77777777" w:rsidTr="00E6750F">
        <w:tblPrEx>
          <w:tblW w:w="5019" w:type="pct"/>
          <w:tblLayout w:type="fixed"/>
          <w:tblLook w:val="01E0"/>
        </w:tblPrEx>
        <w:trPr>
          <w:trHeight w:val="980"/>
        </w:trPr>
        <w:tc>
          <w:tcPr>
            <w:tcW w:w="942" w:type="pct"/>
            <w:shd w:val="clear" w:color="auto" w:fill="auto"/>
          </w:tcPr>
          <w:p w:rsidR="00AD721C" w:rsidRPr="00D0402C" w:rsidP="00AD721C" w14:paraId="0E93E31C" w14:textId="7838AEC1">
            <w:pPr>
              <w:keepNext/>
              <w:rPr>
                <w:sz w:val="20"/>
                <w:szCs w:val="20"/>
              </w:rPr>
            </w:pPr>
            <w:r>
              <w:rPr>
                <w:rStyle w:val="normaltextrun"/>
                <w:sz w:val="20"/>
                <w:szCs w:val="20"/>
              </w:rPr>
              <w:t>CLIA Waiver Recordkeeping as discussed in FDA Guidance</w:t>
            </w:r>
            <w:r>
              <w:rPr>
                <w:rStyle w:val="eop"/>
                <w:sz w:val="20"/>
                <w:szCs w:val="20"/>
              </w:rPr>
              <w:t> </w:t>
            </w:r>
          </w:p>
        </w:tc>
        <w:tc>
          <w:tcPr>
            <w:tcW w:w="802" w:type="pct"/>
            <w:shd w:val="clear" w:color="auto" w:fill="auto"/>
          </w:tcPr>
          <w:p w:rsidR="00AD721C" w:rsidRPr="00D0402C" w:rsidP="00AD721C" w14:paraId="5A7C5F1E" w14:textId="41D68939">
            <w:pPr>
              <w:keepNext/>
              <w:jc w:val="right"/>
              <w:rPr>
                <w:sz w:val="20"/>
                <w:szCs w:val="20"/>
              </w:rPr>
            </w:pPr>
            <w:r>
              <w:rPr>
                <w:rStyle w:val="normaltextrun"/>
                <w:sz w:val="20"/>
                <w:szCs w:val="20"/>
              </w:rPr>
              <w:t>20</w:t>
            </w:r>
            <w:r>
              <w:rPr>
                <w:rStyle w:val="eop"/>
                <w:sz w:val="20"/>
                <w:szCs w:val="20"/>
              </w:rPr>
              <w:t> </w:t>
            </w:r>
          </w:p>
        </w:tc>
        <w:tc>
          <w:tcPr>
            <w:tcW w:w="896" w:type="pct"/>
            <w:shd w:val="clear" w:color="auto" w:fill="auto"/>
          </w:tcPr>
          <w:p w:rsidR="00AD721C" w:rsidRPr="00D0402C" w:rsidP="00AD721C" w14:paraId="7059F9B5" w14:textId="6BA60266">
            <w:pPr>
              <w:keepNext/>
              <w:jc w:val="right"/>
              <w:rPr>
                <w:sz w:val="20"/>
                <w:szCs w:val="20"/>
              </w:rPr>
            </w:pPr>
            <w:r>
              <w:rPr>
                <w:rStyle w:val="normaltextrun"/>
                <w:sz w:val="20"/>
                <w:szCs w:val="20"/>
              </w:rPr>
              <w:t>1</w:t>
            </w:r>
            <w:r>
              <w:rPr>
                <w:rStyle w:val="eop"/>
                <w:sz w:val="20"/>
                <w:szCs w:val="20"/>
              </w:rPr>
              <w:t> </w:t>
            </w:r>
          </w:p>
        </w:tc>
        <w:tc>
          <w:tcPr>
            <w:tcW w:w="850" w:type="pct"/>
            <w:shd w:val="clear" w:color="auto" w:fill="auto"/>
          </w:tcPr>
          <w:p w:rsidR="00AD721C" w:rsidRPr="00D0402C" w:rsidP="00AD721C" w14:paraId="46CD7F9A" w14:textId="36AF1335">
            <w:pPr>
              <w:keepNext/>
              <w:jc w:val="right"/>
              <w:rPr>
                <w:sz w:val="20"/>
                <w:szCs w:val="20"/>
              </w:rPr>
            </w:pPr>
            <w:r>
              <w:rPr>
                <w:rStyle w:val="normaltextrun"/>
                <w:sz w:val="20"/>
                <w:szCs w:val="20"/>
              </w:rPr>
              <w:t>20</w:t>
            </w:r>
            <w:r>
              <w:rPr>
                <w:rStyle w:val="eop"/>
                <w:sz w:val="20"/>
                <w:szCs w:val="20"/>
              </w:rPr>
              <w:t> </w:t>
            </w:r>
          </w:p>
        </w:tc>
        <w:tc>
          <w:tcPr>
            <w:tcW w:w="852" w:type="pct"/>
            <w:shd w:val="clear" w:color="auto" w:fill="auto"/>
          </w:tcPr>
          <w:p w:rsidR="00AD721C" w:rsidRPr="00D0402C" w:rsidP="00AD721C" w14:paraId="54A511AF" w14:textId="66B5A372">
            <w:pPr>
              <w:keepNext/>
              <w:jc w:val="right"/>
              <w:rPr>
                <w:sz w:val="20"/>
                <w:szCs w:val="20"/>
              </w:rPr>
            </w:pPr>
            <w:r>
              <w:rPr>
                <w:rStyle w:val="normaltextrun"/>
                <w:sz w:val="20"/>
                <w:szCs w:val="20"/>
              </w:rPr>
              <w:t>2,800</w:t>
            </w:r>
            <w:r>
              <w:rPr>
                <w:rStyle w:val="eop"/>
                <w:sz w:val="20"/>
                <w:szCs w:val="20"/>
              </w:rPr>
              <w:t> </w:t>
            </w:r>
          </w:p>
        </w:tc>
        <w:tc>
          <w:tcPr>
            <w:tcW w:w="657" w:type="pct"/>
            <w:shd w:val="clear" w:color="auto" w:fill="auto"/>
          </w:tcPr>
          <w:p w:rsidR="00AD721C" w:rsidRPr="00D0402C" w:rsidP="00AD721C" w14:paraId="5BA43F23" w14:textId="46AB6080">
            <w:pPr>
              <w:keepNext/>
              <w:jc w:val="right"/>
              <w:rPr>
                <w:sz w:val="20"/>
                <w:szCs w:val="20"/>
              </w:rPr>
            </w:pPr>
            <w:r>
              <w:rPr>
                <w:rStyle w:val="normaltextrun"/>
                <w:sz w:val="20"/>
                <w:szCs w:val="20"/>
              </w:rPr>
              <w:t>56,000</w:t>
            </w:r>
            <w:r>
              <w:rPr>
                <w:rStyle w:val="eop"/>
                <w:sz w:val="20"/>
                <w:szCs w:val="20"/>
              </w:rPr>
              <w:t> </w:t>
            </w:r>
          </w:p>
        </w:tc>
      </w:tr>
      <w:tr w14:paraId="55E4AFF8" w14:textId="77777777" w:rsidTr="00AD721C">
        <w:tblPrEx>
          <w:tblW w:w="5019" w:type="pct"/>
          <w:tblLayout w:type="fixed"/>
          <w:tblLook w:val="01E0"/>
        </w:tblPrEx>
        <w:tc>
          <w:tcPr>
            <w:tcW w:w="4343" w:type="pct"/>
            <w:gridSpan w:val="5"/>
            <w:tcBorders>
              <w:bottom w:val="single" w:sz="4" w:space="0" w:color="auto"/>
            </w:tcBorders>
            <w:shd w:val="clear" w:color="auto" w:fill="auto"/>
          </w:tcPr>
          <w:p w:rsidR="006D009A" w:rsidRPr="00D0402C" w:rsidP="00317224" w14:paraId="48E93DF7" w14:textId="77777777">
            <w:pPr>
              <w:keepNext/>
              <w:rPr>
                <w:sz w:val="20"/>
                <w:szCs w:val="20"/>
              </w:rPr>
            </w:pPr>
            <w:r w:rsidRPr="00D0402C">
              <w:rPr>
                <w:sz w:val="20"/>
                <w:szCs w:val="20"/>
              </w:rPr>
              <w:t>Total</w:t>
            </w:r>
          </w:p>
        </w:tc>
        <w:tc>
          <w:tcPr>
            <w:tcW w:w="657" w:type="pct"/>
            <w:tcBorders>
              <w:bottom w:val="single" w:sz="4" w:space="0" w:color="auto"/>
            </w:tcBorders>
            <w:shd w:val="clear" w:color="auto" w:fill="auto"/>
          </w:tcPr>
          <w:p w:rsidR="006D009A" w:rsidRPr="00D0402C" w:rsidP="00317224" w14:paraId="36FAFDBB" w14:textId="1BCA5365">
            <w:pPr>
              <w:keepNext/>
              <w:jc w:val="right"/>
              <w:rPr>
                <w:sz w:val="20"/>
                <w:szCs w:val="20"/>
              </w:rPr>
            </w:pPr>
            <w:r>
              <w:rPr>
                <w:sz w:val="20"/>
                <w:szCs w:val="20"/>
              </w:rPr>
              <w:t>56,000</w:t>
            </w:r>
          </w:p>
        </w:tc>
      </w:tr>
      <w:tr w14:paraId="4006245A" w14:textId="77777777" w:rsidTr="000839C4">
        <w:tblPrEx>
          <w:tblW w:w="5019" w:type="pct"/>
          <w:tblLayout w:type="fixed"/>
          <w:tblLook w:val="01E0"/>
        </w:tblPrEx>
        <w:trPr>
          <w:cantSplit/>
          <w:trHeight w:val="251"/>
          <w:tblHeader/>
        </w:trPr>
        <w:tc>
          <w:tcPr>
            <w:tcW w:w="5000" w:type="pct"/>
            <w:gridSpan w:val="6"/>
            <w:tcBorders>
              <w:top w:val="single" w:sz="4" w:space="0" w:color="auto"/>
              <w:left w:val="nil"/>
              <w:bottom w:val="nil"/>
              <w:right w:val="nil"/>
            </w:tcBorders>
          </w:tcPr>
          <w:p w:rsidR="006D009A" w:rsidRPr="000839C4" w:rsidP="000839C4" w14:paraId="413FB069" w14:textId="2B96E600">
            <w:pPr>
              <w:pStyle w:val="paragraph"/>
              <w:spacing w:before="0" w:beforeAutospacing="0" w:after="0" w:afterAutospacing="0"/>
              <w:textAlignment w:val="baseline"/>
              <w:rPr>
                <w:rFonts w:ascii="Segoe UI" w:hAnsi="Segoe UI" w:cs="Segoe UI"/>
                <w:sz w:val="18"/>
                <w:szCs w:val="18"/>
              </w:rPr>
            </w:pPr>
            <w:r>
              <w:rPr>
                <w:rStyle w:val="normaltextrun"/>
                <w:sz w:val="16"/>
                <w:szCs w:val="16"/>
                <w:vertAlign w:val="superscript"/>
              </w:rPr>
              <w:t>1</w:t>
            </w:r>
            <w:r>
              <w:rPr>
                <w:rStyle w:val="normaltextrun"/>
                <w:sz w:val="20"/>
                <w:szCs w:val="20"/>
              </w:rPr>
              <w:t xml:space="preserve"> There are no capital costs or operating and maintenance costs associated with this collection of information.</w:t>
            </w:r>
            <w:r>
              <w:rPr>
                <w:rStyle w:val="eop"/>
                <w:sz w:val="20"/>
                <w:szCs w:val="20"/>
              </w:rPr>
              <w:t> </w:t>
            </w:r>
          </w:p>
          <w:p w:rsidR="000839C4" w:rsidRPr="00D0402C" w:rsidP="000839C4" w14:paraId="435F7486" w14:textId="77777777">
            <w:pPr>
              <w:jc w:val="center"/>
              <w:rPr>
                <w:sz w:val="20"/>
                <w:szCs w:val="20"/>
              </w:rPr>
            </w:pPr>
          </w:p>
        </w:tc>
      </w:tr>
    </w:tbl>
    <w:p w:rsidR="00E6750F" w:rsidRPr="00423217" w:rsidP="00E6750F" w14:paraId="2642C88A" w14:textId="77777777">
      <w:pPr>
        <w:pStyle w:val="ListParagraph"/>
        <w:ind w:left="0"/>
      </w:pPr>
      <w:r w:rsidRPr="00423217">
        <w:t>The regulations in 42 CFR 493.17 and the associated guidance documents describe specific content elements necessary for FDA action on request for CLIA categorization submissions.  Based on recent trends, an estimated 8</w:t>
      </w:r>
      <w:r>
        <w:t>6</w:t>
      </w:r>
      <w:r w:rsidRPr="00423217">
        <w:t xml:space="preserve"> </w:t>
      </w:r>
      <w:r>
        <w:t>requests for CLIA categorization</w:t>
      </w:r>
      <w:r w:rsidRPr="00423217">
        <w:t xml:space="preserve"> are expected each year.  Our administrative and technical staff, who are familiar with the requirements for submission of premarket notifications, estimate that it takes an average of 1 hour to prepare and submit a submission.  Because the PRA defines a recordkeeping requirement to include reporting those records to the Federal government (5 CFR 1320.3(m)), we account for burden associated with preparing, transmitting, and responding to follow-up requests from FDA for supplemental information in our estimate.</w:t>
      </w:r>
      <w:r w:rsidRPr="00423217">
        <w:t xml:space="preserve"> </w:t>
      </w:r>
    </w:p>
    <w:p w:rsidR="00E6750F" w:rsidRPr="00423217" w:rsidP="00E6750F" w14:paraId="6B140FAD" w14:textId="77777777">
      <w:pPr>
        <w:pStyle w:val="ListParagraph"/>
        <w:ind w:left="450"/>
      </w:pPr>
    </w:p>
    <w:p w:rsidR="006D009A" w:rsidP="00E6750F" w14:paraId="5202F75B" w14:textId="5F958E3D">
      <w:pPr>
        <w:pStyle w:val="ListParagraph"/>
        <w:spacing w:after="200"/>
        <w:ind w:left="0"/>
      </w:pPr>
      <w:r w:rsidRPr="00423217">
        <w:t>The regulations in 42 CFR 493.15 and 493.17 and the associated guidance documents describe specific content elements recommended to be found in CLIA waiver submissions.  Based on recent trends, an estimated 20 submissions are expected each year.  Our administrative and technical staff, who are familiar with the requirements for submission of CLIA waiver submissions, estimate that it takes an average of 2800 hours to prepare and submit a submission.  Because the PRA defines a recordkeeping requirement to include reporting those records to the Federal government (5 CFR 1320.3(m)), we account for burden associated with preparing, transmitting, and responding to follow-up requests from FDA for supplemental information in our estimate.</w:t>
      </w:r>
    </w:p>
    <w:p w:rsidR="00434361" w:rsidRPr="00E6750F" w:rsidP="00E6750F" w14:paraId="28DD28AF" w14:textId="77777777">
      <w:pPr>
        <w:pStyle w:val="ListParagraph"/>
        <w:spacing w:after="200"/>
        <w:ind w:left="0"/>
      </w:pPr>
    </w:p>
    <w:p w:rsidR="006D009A" w:rsidRPr="005C71CA" w:rsidP="006D009A" w14:paraId="40F37812" w14:textId="77777777">
      <w:pPr>
        <w:spacing w:after="200"/>
        <w:ind w:left="360"/>
        <w:rPr>
          <w:rFonts w:eastAsia="Calibri"/>
        </w:rPr>
      </w:pPr>
      <w:r w:rsidRPr="005C71CA">
        <w:rPr>
          <w:rFonts w:eastAsia="Calibri"/>
        </w:rPr>
        <w:t>12b.  Annualized Cost Burden Estimate</w:t>
      </w:r>
    </w:p>
    <w:p w:rsidR="00434361" w:rsidP="00434361" w14:paraId="4E3F04F0" w14:textId="77777777">
      <w:pPr>
        <w:pStyle w:val="BodyText2"/>
        <w:keepNext/>
      </w:pPr>
      <w:r>
        <w:rPr>
          <w:szCs w:val="24"/>
          <w:lang w:val="en"/>
        </w:rPr>
        <w:t>We</w:t>
      </w:r>
      <w:r w:rsidRPr="00BE624E">
        <w:rPr>
          <w:szCs w:val="24"/>
          <w:lang w:val="en"/>
        </w:rPr>
        <w:t xml:space="preserve"> assume </w:t>
      </w:r>
      <w:r>
        <w:rPr>
          <w:szCs w:val="24"/>
          <w:lang w:val="en"/>
        </w:rPr>
        <w:t xml:space="preserve">the activities identified in 12a will be completed by Lawyers (occupation code 23-1011) (approximately 50% of tasks) and Paralegals (occupation code 23-2011) (approximately 50% of tasks). To estimate costs to respondents, we used mean wage rates from the </w:t>
      </w:r>
      <w:r w:rsidRPr="00F07850">
        <w:t xml:space="preserve">U.S. Department of Labor’s Bureau of Labor Statistics </w:t>
      </w:r>
      <w:r w:rsidRPr="00386F54">
        <w:t>National Occupational Employment and Wage Estimates</w:t>
      </w:r>
      <w:r>
        <w:t xml:space="preserve"> </w:t>
      </w:r>
      <w:r w:rsidRPr="00F07850">
        <w:t>(</w:t>
      </w:r>
      <w:r>
        <w:t xml:space="preserve">available at </w:t>
      </w:r>
      <w:hyperlink r:id="rId13" w:history="1">
        <w:r w:rsidRPr="007842C2">
          <w:rPr>
            <w:rStyle w:val="Hyperlink"/>
          </w:rPr>
          <w:t>http://www.bls.gov/oes/current/oes_nat.htm</w:t>
        </w:r>
      </w:hyperlink>
      <w:r w:rsidRPr="00F07850">
        <w:t>)</w:t>
      </w:r>
      <w:r w:rsidRPr="002E4945">
        <w:t xml:space="preserve"> </w:t>
      </w:r>
      <w:r>
        <w:t xml:space="preserve">(May 2023). We doubled these figures to account for benefits and overhead, and calculated the costs as follows: </w:t>
      </w:r>
    </w:p>
    <w:p w:rsidR="00434361" w:rsidP="00434361" w14:paraId="62AD5822" w14:textId="77777777">
      <w:pPr>
        <w:pStyle w:val="BodyText2"/>
        <w:keepNext/>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800"/>
        <w:gridCol w:w="2394"/>
        <w:gridCol w:w="1926"/>
      </w:tblGrid>
      <w:tr w14:paraId="4614A5A1" w14:textId="77777777" w:rsidTr="00113E7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80" w:type="dxa"/>
            <w:shd w:val="clear" w:color="auto" w:fill="auto"/>
          </w:tcPr>
          <w:p w:rsidR="00434361" w:rsidP="00113E72" w14:paraId="2F1AEE3D" w14:textId="77777777">
            <w:r>
              <w:t>Type of Respondent</w:t>
            </w:r>
          </w:p>
        </w:tc>
        <w:tc>
          <w:tcPr>
            <w:tcW w:w="1800" w:type="dxa"/>
            <w:shd w:val="clear" w:color="auto" w:fill="auto"/>
          </w:tcPr>
          <w:p w:rsidR="00434361" w:rsidP="00113E72" w14:paraId="3732647D" w14:textId="77777777">
            <w:r>
              <w:t>Total Burden Hours</w:t>
            </w:r>
          </w:p>
        </w:tc>
        <w:tc>
          <w:tcPr>
            <w:tcW w:w="2394" w:type="dxa"/>
            <w:shd w:val="clear" w:color="auto" w:fill="auto"/>
          </w:tcPr>
          <w:p w:rsidR="00434361" w:rsidP="00113E72" w14:paraId="2345F072" w14:textId="77777777">
            <w:r>
              <w:t>Hourly Wage Rate</w:t>
            </w:r>
          </w:p>
        </w:tc>
        <w:tc>
          <w:tcPr>
            <w:tcW w:w="1926" w:type="dxa"/>
            <w:shd w:val="clear" w:color="auto" w:fill="auto"/>
          </w:tcPr>
          <w:p w:rsidR="00434361" w:rsidP="00113E72" w14:paraId="4D260182" w14:textId="77777777">
            <w:r>
              <w:t>Total Respondent Costs</w:t>
            </w:r>
          </w:p>
        </w:tc>
      </w:tr>
      <w:tr w14:paraId="5787E846" w14:textId="77777777" w:rsidTr="00113E72">
        <w:tblPrEx>
          <w:tblW w:w="0" w:type="auto"/>
          <w:tblInd w:w="108" w:type="dxa"/>
          <w:tblLook w:val="01E0"/>
        </w:tblPrEx>
        <w:trPr>
          <w:trHeight w:val="323"/>
        </w:trPr>
        <w:tc>
          <w:tcPr>
            <w:tcW w:w="2880" w:type="dxa"/>
            <w:shd w:val="clear" w:color="auto" w:fill="auto"/>
          </w:tcPr>
          <w:p w:rsidR="00434361" w:rsidP="00113E72" w14:paraId="2122DD51" w14:textId="77777777">
            <w:r>
              <w:t xml:space="preserve">Lawyer </w:t>
            </w:r>
          </w:p>
        </w:tc>
        <w:tc>
          <w:tcPr>
            <w:tcW w:w="1800" w:type="dxa"/>
            <w:shd w:val="clear" w:color="auto" w:fill="auto"/>
          </w:tcPr>
          <w:p w:rsidR="00434361" w:rsidP="00113E72" w14:paraId="51913F5F" w14:textId="77777777">
            <w:r>
              <w:t>40,215</w:t>
            </w:r>
          </w:p>
        </w:tc>
        <w:tc>
          <w:tcPr>
            <w:tcW w:w="2394" w:type="dxa"/>
            <w:shd w:val="clear" w:color="auto" w:fill="auto"/>
          </w:tcPr>
          <w:p w:rsidR="00434361" w:rsidP="00113E72" w14:paraId="4C38FC46" w14:textId="77777777">
            <w:r>
              <w:t>$169.68</w:t>
            </w:r>
          </w:p>
        </w:tc>
        <w:tc>
          <w:tcPr>
            <w:tcW w:w="1926" w:type="dxa"/>
            <w:shd w:val="clear" w:color="auto" w:fill="auto"/>
          </w:tcPr>
          <w:p w:rsidR="00434361" w:rsidP="00113E72" w14:paraId="4132DE53" w14:textId="77777777">
            <w:r>
              <w:t>$6,823,681.20</w:t>
            </w:r>
          </w:p>
        </w:tc>
      </w:tr>
      <w:tr w14:paraId="35F2BFCA" w14:textId="77777777" w:rsidTr="00113E72">
        <w:tblPrEx>
          <w:tblW w:w="0" w:type="auto"/>
          <w:tblInd w:w="108" w:type="dxa"/>
          <w:tblLook w:val="01E0"/>
        </w:tblPrEx>
        <w:trPr>
          <w:trHeight w:val="386"/>
        </w:trPr>
        <w:tc>
          <w:tcPr>
            <w:tcW w:w="2880" w:type="dxa"/>
            <w:shd w:val="clear" w:color="auto" w:fill="auto"/>
          </w:tcPr>
          <w:p w:rsidR="00434361" w:rsidP="00113E72" w14:paraId="13E6A245" w14:textId="77777777">
            <w:r>
              <w:t>Paralegal</w:t>
            </w:r>
          </w:p>
        </w:tc>
        <w:tc>
          <w:tcPr>
            <w:tcW w:w="1800" w:type="dxa"/>
            <w:shd w:val="clear" w:color="auto" w:fill="auto"/>
          </w:tcPr>
          <w:p w:rsidR="00434361" w:rsidP="00113E72" w14:paraId="11EBE691" w14:textId="77777777">
            <w:r>
              <w:t>40,215</w:t>
            </w:r>
          </w:p>
        </w:tc>
        <w:tc>
          <w:tcPr>
            <w:tcW w:w="2394" w:type="dxa"/>
            <w:shd w:val="clear" w:color="auto" w:fill="auto"/>
          </w:tcPr>
          <w:p w:rsidR="00434361" w:rsidP="00113E72" w14:paraId="21F916AE" w14:textId="77777777">
            <w:r>
              <w:t>$63.90</w:t>
            </w:r>
          </w:p>
        </w:tc>
        <w:tc>
          <w:tcPr>
            <w:tcW w:w="1926" w:type="dxa"/>
            <w:shd w:val="clear" w:color="auto" w:fill="auto"/>
          </w:tcPr>
          <w:p w:rsidR="00434361" w:rsidP="00113E72" w14:paraId="6BE7C80E" w14:textId="77777777">
            <w:r>
              <w:t>$2,569,738.50</w:t>
            </w:r>
          </w:p>
        </w:tc>
      </w:tr>
      <w:tr w14:paraId="1DFDBBB3" w14:textId="77777777" w:rsidTr="00113E72">
        <w:tblPrEx>
          <w:tblW w:w="0" w:type="auto"/>
          <w:tblInd w:w="108" w:type="dxa"/>
          <w:tblLook w:val="01E0"/>
        </w:tblPrEx>
        <w:trPr>
          <w:trHeight w:val="305"/>
        </w:trPr>
        <w:tc>
          <w:tcPr>
            <w:tcW w:w="2880" w:type="dxa"/>
            <w:shd w:val="clear" w:color="auto" w:fill="auto"/>
          </w:tcPr>
          <w:p w:rsidR="00434361" w:rsidP="00113E72" w14:paraId="3CB48837" w14:textId="77777777">
            <w:r>
              <w:t>Total</w:t>
            </w:r>
          </w:p>
        </w:tc>
        <w:tc>
          <w:tcPr>
            <w:tcW w:w="1800" w:type="dxa"/>
            <w:shd w:val="clear" w:color="auto" w:fill="auto"/>
          </w:tcPr>
          <w:p w:rsidR="00434361" w:rsidP="00113E72" w14:paraId="74DA8C08" w14:textId="77777777"/>
        </w:tc>
        <w:tc>
          <w:tcPr>
            <w:tcW w:w="2394" w:type="dxa"/>
            <w:shd w:val="clear" w:color="auto" w:fill="auto"/>
          </w:tcPr>
          <w:p w:rsidR="00434361" w:rsidP="00113E72" w14:paraId="7F3AF7E1" w14:textId="77777777"/>
        </w:tc>
        <w:tc>
          <w:tcPr>
            <w:tcW w:w="1926" w:type="dxa"/>
            <w:shd w:val="clear" w:color="auto" w:fill="auto"/>
          </w:tcPr>
          <w:p w:rsidR="00434361" w:rsidP="00113E72" w14:paraId="14445F03" w14:textId="77777777">
            <w:r>
              <w:t>$9,393,419.70</w:t>
            </w:r>
          </w:p>
        </w:tc>
      </w:tr>
    </w:tbl>
    <w:p w:rsidR="00434361" w:rsidRPr="000D5D5B" w:rsidP="00434361" w14:paraId="2A16920D" w14:textId="77777777">
      <w:pPr>
        <w:tabs>
          <w:tab w:val="left" w:pos="-720"/>
        </w:tabs>
        <w:suppressAutoHyphens/>
        <w:rPr>
          <w:sz w:val="20"/>
          <w:szCs w:val="20"/>
        </w:rPr>
      </w:pPr>
    </w:p>
    <w:p w:rsidR="00434361" w:rsidP="00434361" w14:paraId="3EEDD643" w14:textId="77777777">
      <w:r>
        <w:t>We therefore estimate a total annualized cost burden of $9,393,420 (rounded to the nearest dollar).</w:t>
      </w:r>
    </w:p>
    <w:p w:rsidR="00357C8A" w:rsidRPr="00357C8A" w:rsidP="00357C8A" w14:paraId="2FC26242" w14:textId="77777777">
      <w:pPr>
        <w:rPr>
          <w:rFonts w:eastAsia="Calibri"/>
        </w:rPr>
      </w:pPr>
    </w:p>
    <w:p w:rsidR="00357C8A" w:rsidRPr="00357C8A" w:rsidP="006705EA" w14:paraId="4F40405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E26ABF" w:rsidP="00E26ABF" w14:paraId="728ACFFC" w14:textId="77777777">
      <w:r>
        <w:t>For requests for CLIA categorization, t</w:t>
      </w:r>
      <w:r w:rsidRPr="007F5F83">
        <w:t>he operating and maintenance cost, not including personnel, is estimated at $5 per submission (5 x 4</w:t>
      </w:r>
      <w:r>
        <w:t>3</w:t>
      </w:r>
      <w:r w:rsidRPr="007F5F83">
        <w:t>0), totaling $2,</w:t>
      </w:r>
      <w:r>
        <w:t>15</w:t>
      </w:r>
      <w:r w:rsidRPr="007F5F83">
        <w:t>0. This includes the cost of copying and mailing copies of package inserts and a cover letter. The burden hours are based on FDA familiarity with the types of documentation typically included in a sponsor's categorization requests, and costs for basic office supplies (e.g., paper).</w:t>
      </w:r>
      <w:r>
        <w:br/>
      </w:r>
      <w:r>
        <w:br/>
        <w:t>For CLIA waiver applications, the total operating and maintenance cost is estimated at $540,000.  This cost is largely attributed to clinical study costs, which include site selection and qualification, protocol review, and study execution (initiation, monitoring, closeout, and clinical site/subject compensation—including specimen collection for study as well as shipping and supplies).</w:t>
      </w:r>
    </w:p>
    <w:p w:rsidR="00E26ABF" w:rsidP="00E26ABF" w14:paraId="5A4564EF" w14:textId="77777777"/>
    <w:p w:rsidR="00357C8A" w:rsidRPr="00357C8A" w:rsidP="006705EA" w14:paraId="56065531"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B2145B" w:rsidRPr="00B2145B" w:rsidP="00B2145B" w14:paraId="2C40D75E" w14:textId="4CEAD307">
      <w:pPr>
        <w:tabs>
          <w:tab w:val="left" w:pos="-720"/>
        </w:tabs>
        <w:suppressAutoHyphens/>
        <w:rPr>
          <w:rStyle w:val="normaltextrun"/>
          <w:b/>
          <w:bCs/>
        </w:rPr>
      </w:pPr>
      <w:r>
        <w:t xml:space="preserve">We estimate an </w:t>
      </w:r>
      <w:r w:rsidRPr="007F5F83">
        <w:t xml:space="preserve">average </w:t>
      </w:r>
      <w:r>
        <w:t xml:space="preserve">allocation </w:t>
      </w:r>
      <w:r w:rsidRPr="007F5F83">
        <w:t xml:space="preserve">of 5 full time equivalents (FTEs) </w:t>
      </w:r>
      <w:r>
        <w:t xml:space="preserve">to the </w:t>
      </w:r>
      <w:r w:rsidRPr="007F5F83">
        <w:t>review</w:t>
      </w:r>
      <w:r>
        <w:t xml:space="preserve"> </w:t>
      </w:r>
      <w:r w:rsidRPr="007F5F83">
        <w:t>and process</w:t>
      </w:r>
      <w:r>
        <w:t>ing of</w:t>
      </w:r>
      <w:r w:rsidRPr="007F5F83">
        <w:t xml:space="preserve"> CLIA categorization requests submitted separately from marketing submissions and an average of 6 full time equivalents (FTEs) reviewing and processing waiver applications.</w:t>
      </w:r>
      <w:r>
        <w:t xml:space="preserve">  </w:t>
      </w:r>
      <w:r w:rsidRPr="0017125B">
        <w:t>Assuming a cost of $</w:t>
      </w:r>
      <w:r w:rsidR="00F83E79">
        <w:rPr>
          <w:rStyle w:val="normaltextrun"/>
          <w:color w:val="000000"/>
          <w:shd w:val="clear" w:color="auto" w:fill="FFFFFF"/>
        </w:rPr>
        <w:t>364,545</w:t>
      </w:r>
      <w:r w:rsidRPr="00B2145B">
        <w:rPr>
          <w:rStyle w:val="normaltextrun"/>
          <w:color w:val="000000"/>
          <w:shd w:val="clear" w:color="auto" w:fill="FFFFFF"/>
        </w:rPr>
        <w:t xml:space="preserve"> </w:t>
      </w:r>
      <w:r w:rsidRPr="0017125B">
        <w:t xml:space="preserve">per position (which is the agency’s projected average cost of an FTE including benefits*), we estimate </w:t>
      </w:r>
      <w:r>
        <w:t xml:space="preserve">an annual cost to the Federal government of </w:t>
      </w:r>
      <w:r w:rsidRPr="0017125B">
        <w:t>$</w:t>
      </w:r>
      <w:r w:rsidR="00F83E79">
        <w:rPr>
          <w:rStyle w:val="normaltextrun"/>
          <w:color w:val="000000"/>
          <w:shd w:val="clear" w:color="auto" w:fill="FFFFFF"/>
        </w:rPr>
        <w:t>4,009,995</w:t>
      </w:r>
      <w:r w:rsidRPr="00B2145B">
        <w:rPr>
          <w:rStyle w:val="normaltextrun"/>
          <w:color w:val="000000"/>
          <w:shd w:val="clear" w:color="auto" w:fill="FFFFFF"/>
        </w:rPr>
        <w:t xml:space="preserve"> ($</w:t>
      </w:r>
      <w:r w:rsidR="00F83E79">
        <w:rPr>
          <w:rStyle w:val="normaltextrun"/>
          <w:color w:val="000000"/>
          <w:shd w:val="clear" w:color="auto" w:fill="FFFFFF"/>
        </w:rPr>
        <w:t>364,545</w:t>
      </w:r>
      <w:r w:rsidRPr="00B2145B" w:rsidR="00F83E79">
        <w:rPr>
          <w:rStyle w:val="normaltextrun"/>
          <w:color w:val="000000"/>
          <w:shd w:val="clear" w:color="auto" w:fill="FFFFFF"/>
        </w:rPr>
        <w:t xml:space="preserve"> </w:t>
      </w:r>
      <w:r w:rsidRPr="00B2145B">
        <w:rPr>
          <w:rStyle w:val="normaltextrun"/>
          <w:color w:val="000000"/>
          <w:shd w:val="clear" w:color="auto" w:fill="FFFFFF"/>
        </w:rPr>
        <w:t>x 11 FTEs).</w:t>
      </w:r>
    </w:p>
    <w:p w:rsidR="00B2145B" w:rsidRPr="00B2145B" w:rsidP="00B2145B" w14:paraId="4E92E90B" w14:textId="77777777">
      <w:pPr>
        <w:tabs>
          <w:tab w:val="left" w:pos="-720"/>
        </w:tabs>
        <w:suppressAutoHyphens/>
        <w:rPr>
          <w:rStyle w:val="normaltextrun"/>
          <w:color w:val="000000"/>
          <w:shd w:val="clear" w:color="auto" w:fill="FFFFFF"/>
        </w:rPr>
      </w:pPr>
    </w:p>
    <w:p w:rsidR="00F83E79" w:rsidP="00B2145B" w14:paraId="16E524A3" w14:textId="501D2CAA">
      <w:pPr>
        <w:pStyle w:val="BodyText2"/>
        <w:rPr>
          <w:szCs w:val="22"/>
        </w:rPr>
      </w:pPr>
      <w:r w:rsidRPr="007F5F83">
        <w:rPr>
          <w:sz w:val="20"/>
        </w:rPr>
        <w:t>*Based on the Food and Drug Administration fully loaded FTE cost model (domestic) for FY 202</w:t>
      </w:r>
      <w:r>
        <w:rPr>
          <w:sz w:val="20"/>
        </w:rPr>
        <w:t>4</w:t>
      </w:r>
      <w:r w:rsidRPr="007F5F83">
        <w:rPr>
          <w:sz w:val="20"/>
        </w:rPr>
        <w:t xml:space="preserve"> as provided by agency economists</w:t>
      </w:r>
      <w:r w:rsidRPr="007F5F83">
        <w:rPr>
          <w:szCs w:val="22"/>
        </w:rPr>
        <w:t>.</w:t>
      </w:r>
    </w:p>
    <w:p w:rsidR="00B2145B" w:rsidP="00B2145B" w14:paraId="22407353" w14:textId="77777777">
      <w:pPr>
        <w:pStyle w:val="BodyText2"/>
        <w:rPr>
          <w:szCs w:val="22"/>
        </w:rPr>
      </w:pPr>
    </w:p>
    <w:p w:rsidR="00357C8A" w:rsidP="006705EA" w14:paraId="3870EFC7" w14:textId="2FE8E0AA">
      <w:pPr>
        <w:numPr>
          <w:ilvl w:val="0"/>
          <w:numId w:val="6"/>
        </w:numPr>
        <w:spacing w:after="200" w:line="276" w:lineRule="auto"/>
        <w:rPr>
          <w:rFonts w:eastAsia="Calibri"/>
          <w:u w:val="single"/>
        </w:rPr>
      </w:pPr>
      <w:r w:rsidRPr="00357C8A">
        <w:rPr>
          <w:rFonts w:eastAsia="Calibri"/>
          <w:u w:val="single"/>
        </w:rPr>
        <w:t>Explanation for Program Changes or Adjustments</w:t>
      </w:r>
    </w:p>
    <w:p w:rsidR="00B57FBB" w:rsidP="00E21D8F" w14:paraId="1BAE112D" w14:textId="3CD72C63">
      <w:pPr>
        <w:tabs>
          <w:tab w:val="left" w:pos="-720"/>
        </w:tabs>
        <w:suppressAutoHyphens/>
      </w:pPr>
      <w:r w:rsidRPr="48DF62DB">
        <w:t xml:space="preserve">FDA estimates an increase of 30 responses for requests for CLIA categorization and </w:t>
      </w:r>
      <w:r>
        <w:t>7</w:t>
      </w:r>
      <w:r w:rsidRPr="48DF62DB">
        <w:t xml:space="preserve"> responses for waiver application submission based on recent FDA receipt data to more accurately reflect </w:t>
      </w:r>
      <w:r w:rsidRPr="48DF62DB">
        <w:t xml:space="preserve">recent receipts of requests for CLIA categorization and CLIA waiver application submissions.  </w:t>
      </w:r>
      <w:r>
        <w:t>Our</w:t>
      </w:r>
      <w:r w:rsidRPr="00B00B1F">
        <w:t xml:space="preserve"> total burden for this collection will be 80,430 hours (24,430 reporting + 56,000 recordkeeping)</w:t>
      </w:r>
      <w:r>
        <w:t>.</w:t>
      </w:r>
      <w:r w:rsidRPr="00B00B1F">
        <w:t xml:space="preserve">  Our estimated burden for the information collection reflects an overall increase of 28,030 hours</w:t>
      </w:r>
      <w:r>
        <w:t xml:space="preserve"> and a corresponding increase of $190,150 total operating and maintenance costs</w:t>
      </w:r>
      <w:r w:rsidRPr="00B00B1F">
        <w:t>.</w:t>
      </w:r>
    </w:p>
    <w:p w:rsidR="005F448E" w:rsidP="00E21D8F" w14:paraId="01DE1CB9" w14:textId="77777777">
      <w:pPr>
        <w:tabs>
          <w:tab w:val="left" w:pos="-720"/>
        </w:tabs>
        <w:suppressAutoHyphens/>
      </w:pPr>
    </w:p>
    <w:p w:rsidR="005F448E" w:rsidP="00E21D8F" w14:paraId="4F0B01F4" w14:textId="161BE1D7">
      <w:pPr>
        <w:tabs>
          <w:tab w:val="left" w:pos="-720"/>
        </w:tabs>
        <w:suppressAutoHyphens/>
      </w:pPr>
      <w:r>
        <w:t xml:space="preserve">During the last renewal, the guidance document was unintentionally removed from ROCIS. We are now adding it back to address that oversight. </w:t>
      </w:r>
    </w:p>
    <w:p w:rsidR="00E21D8F" w:rsidRPr="00E21D8F" w:rsidP="00E21D8F" w14:paraId="06BD182C" w14:textId="77777777">
      <w:pPr>
        <w:tabs>
          <w:tab w:val="left" w:pos="-720"/>
        </w:tabs>
        <w:suppressAutoHyphens/>
      </w:pPr>
    </w:p>
    <w:p w:rsidR="00357C8A" w:rsidRPr="00357C8A" w:rsidP="006705EA" w14:paraId="50A6739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A6804" w:rsidRPr="003A6804" w:rsidP="003A6804" w14:paraId="35734DD7" w14:textId="77777777">
      <w:pPr>
        <w:spacing w:after="200"/>
        <w:rPr>
          <w:rFonts w:eastAsia="Calibri"/>
        </w:rPr>
      </w:pPr>
      <w:r w:rsidRPr="003A6804">
        <w:rPr>
          <w:rFonts w:eastAsia="Calibri"/>
        </w:rPr>
        <w:t xml:space="preserve">FDA posts CLIA test complexity categorizations on its website (available at </w:t>
      </w:r>
      <w:hyperlink r:id="rId11" w:history="1">
        <w:r w:rsidRPr="003A6804">
          <w:rPr>
            <w:rStyle w:val="Hyperlink"/>
            <w:rFonts w:eastAsia="Calibri"/>
            <w:i/>
            <w:iCs/>
          </w:rPr>
          <w:t>https://www.accessdata.fda.gov/scripts/cdrh/cfdocs/cfCLIA/search.cfm</w:t>
        </w:r>
      </w:hyperlink>
      <w:r w:rsidRPr="003A6804">
        <w:rPr>
          <w:rFonts w:eastAsia="Calibri"/>
        </w:rPr>
        <w:t>) and updated weekly.</w:t>
      </w:r>
    </w:p>
    <w:p w:rsidR="00357C8A" w:rsidRPr="00357C8A" w:rsidP="006705EA" w14:paraId="68AB4CEC"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077A30" w:rsidP="00077A30" w14:paraId="3C9C1815" w14:textId="77777777">
      <w:r w:rsidRPr="00077A30">
        <w:rPr>
          <w:color w:val="000000"/>
        </w:rPr>
        <w:t xml:space="preserve">Consistent with established practice FDA will publish a </w:t>
      </w:r>
      <w:r w:rsidRPr="00077A30">
        <w:rPr>
          <w:i/>
          <w:iCs/>
          <w:color w:val="000000"/>
        </w:rPr>
        <w:t>Federal Register</w:t>
      </w:r>
      <w:r w:rsidRPr="00077A30">
        <w:rPr>
          <w:color w:val="000000"/>
        </w:rPr>
        <w:t xml:space="preserve"> notice announcing OMB approval of the information collection associated with these guidance documents and will display in that notice both the OMB control number and its current expiration date. In addition, the OMB control number will be displayed on each guidance document cover page and include a link to www.reginfo.gov to identify the current expiration date.</w:t>
      </w:r>
      <w:r w:rsidRPr="007F5F83">
        <w:t xml:space="preserve"> </w:t>
      </w:r>
    </w:p>
    <w:p w:rsidR="00077A30" w:rsidRPr="007F5F83" w:rsidP="00077A30" w14:paraId="5BBE27D5" w14:textId="77777777"/>
    <w:p w:rsidR="00357C8A" w:rsidRPr="00357C8A" w:rsidP="006705EA" w14:paraId="7A65CAA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428060EF" w14:textId="5745560F">
      <w:pPr>
        <w:spacing w:after="200"/>
        <w:rPr>
          <w:rFonts w:eastAsia="Calibri"/>
        </w:rPr>
      </w:pPr>
      <w:r w:rsidRPr="007E59A8">
        <w:rPr>
          <w:rFonts w:eastAsia="Calibri"/>
        </w:rPr>
        <w:t>There are no exceptions to the certification</w:t>
      </w:r>
      <w:r>
        <w:rPr>
          <w:rFonts w:eastAsia="Calibri"/>
        </w:rPr>
        <w:t>.</w:t>
      </w:r>
    </w:p>
    <w:sectPr w:rsidSect="009E358D">
      <w:headerReference w:type="default" r:id="rId14"/>
      <w:footerReference w:type="even" r:id="rId15"/>
      <w:footerReference w:type="default" r:id="rId16"/>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35DF6" w14:paraId="79A99202" w14:textId="77777777">
      <w:r>
        <w:separator/>
      </w:r>
    </w:p>
    <w:p w:rsidR="00135DF6" w14:paraId="7953520E" w14:textId="77777777"/>
  </w:endnote>
  <w:endnote w:type="continuationSeparator" w:id="1">
    <w:p w:rsidR="00135DF6" w14:paraId="212860AB" w14:textId="77777777">
      <w:r>
        <w:continuationSeparator/>
      </w:r>
    </w:p>
    <w:p w:rsidR="00135DF6" w14:paraId="251134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FD78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A094EB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CF35B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F0820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DF6" w14:paraId="7C8D8C29" w14:textId="77777777">
      <w:r>
        <w:separator/>
      </w:r>
    </w:p>
    <w:p w:rsidR="00135DF6" w14:paraId="5D470D02" w14:textId="77777777"/>
  </w:footnote>
  <w:footnote w:type="continuationSeparator" w:id="1">
    <w:p w:rsidR="00135DF6" w14:paraId="4ACC62DC" w14:textId="77777777">
      <w:r>
        <w:continuationSeparator/>
      </w:r>
    </w:p>
    <w:p w:rsidR="00135DF6" w14:paraId="1DF96D1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358D" w:rsidP="00617E7C" w14:paraId="39733087" w14:textId="6AB1EC70">
    <w:pPr>
      <w:pStyle w:val="Header"/>
      <w:ind w:left="-720"/>
      <w:rPr>
        <w:noProof/>
      </w:rPr>
    </w:pPr>
    <w:r>
      <w:rPr>
        <w:noProof/>
      </w:rPr>
      <w:drawing>
        <wp:inline distT="0" distB="0" distL="0" distR="0">
          <wp:extent cx="2428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28875" cy="495300"/>
                  </a:xfrm>
                  <a:prstGeom prst="rect">
                    <a:avLst/>
                  </a:prstGeom>
                  <a:noFill/>
                  <a:ln>
                    <a:noFill/>
                  </a:ln>
                </pic:spPr>
              </pic:pic>
            </a:graphicData>
          </a:graphic>
        </wp:inline>
      </w:drawing>
    </w:r>
  </w:p>
  <w:p w:rsidR="00D826AA" w:rsidP="009E358D" w14:paraId="1319832A" w14:textId="77777777">
    <w:pPr>
      <w:pStyle w:val="Header"/>
      <w:ind w:left="-720"/>
      <w:rPr>
        <w:noProof/>
      </w:rPr>
    </w:pPr>
  </w:p>
  <w:p w:rsidR="00D826AA" w:rsidP="009E358D" w14:paraId="54C99236"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0D2A"/>
    <w:multiLevelType w:val="hybridMultilevel"/>
    <w:tmpl w:val="5B3EF2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208134D"/>
    <w:multiLevelType w:val="hybridMultilevel"/>
    <w:tmpl w:val="5D3665C8"/>
    <w:lvl w:ilvl="0">
      <w:start w:val="1"/>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19156574">
    <w:abstractNumId w:val="7"/>
  </w:num>
  <w:num w:numId="2" w16cid:durableId="1601251823">
    <w:abstractNumId w:val="2"/>
  </w:num>
  <w:num w:numId="3" w16cid:durableId="1645310428">
    <w:abstractNumId w:val="8"/>
  </w:num>
  <w:num w:numId="4" w16cid:durableId="1144157972">
    <w:abstractNumId w:val="5"/>
  </w:num>
  <w:num w:numId="5" w16cid:durableId="2042582298">
    <w:abstractNumId w:val="9"/>
  </w:num>
  <w:num w:numId="6" w16cid:durableId="396562080">
    <w:abstractNumId w:val="1"/>
  </w:num>
  <w:num w:numId="7" w16cid:durableId="1282297246">
    <w:abstractNumId w:val="3"/>
  </w:num>
  <w:num w:numId="8" w16cid:durableId="1913811685">
    <w:abstractNumId w:val="6"/>
  </w:num>
  <w:num w:numId="9" w16cid:durableId="252473922">
    <w:abstractNumId w:val="0"/>
  </w:num>
  <w:num w:numId="10" w16cid:durableId="6524898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744"/>
    <w:rsid w:val="0000460B"/>
    <w:rsid w:val="0000468D"/>
    <w:rsid w:val="00010EAE"/>
    <w:rsid w:val="000161E3"/>
    <w:rsid w:val="000204AA"/>
    <w:rsid w:val="00024200"/>
    <w:rsid w:val="00031A2C"/>
    <w:rsid w:val="00042B93"/>
    <w:rsid w:val="00043C7F"/>
    <w:rsid w:val="000467A8"/>
    <w:rsid w:val="00053A18"/>
    <w:rsid w:val="00061B8C"/>
    <w:rsid w:val="0006570F"/>
    <w:rsid w:val="000733CD"/>
    <w:rsid w:val="00075DE8"/>
    <w:rsid w:val="00077A30"/>
    <w:rsid w:val="000839C4"/>
    <w:rsid w:val="0008665D"/>
    <w:rsid w:val="00087439"/>
    <w:rsid w:val="00090F86"/>
    <w:rsid w:val="000B106C"/>
    <w:rsid w:val="000C1260"/>
    <w:rsid w:val="000C560C"/>
    <w:rsid w:val="000C7EED"/>
    <w:rsid w:val="000D080B"/>
    <w:rsid w:val="000D48FD"/>
    <w:rsid w:val="000D5D5B"/>
    <w:rsid w:val="000D79CC"/>
    <w:rsid w:val="000E1C64"/>
    <w:rsid w:val="000E2B44"/>
    <w:rsid w:val="000E34C4"/>
    <w:rsid w:val="000F7119"/>
    <w:rsid w:val="00100739"/>
    <w:rsid w:val="0010493E"/>
    <w:rsid w:val="00105D80"/>
    <w:rsid w:val="001075D3"/>
    <w:rsid w:val="00107885"/>
    <w:rsid w:val="00113E72"/>
    <w:rsid w:val="00114FC4"/>
    <w:rsid w:val="0012329C"/>
    <w:rsid w:val="0013408B"/>
    <w:rsid w:val="00134FA7"/>
    <w:rsid w:val="00135DF6"/>
    <w:rsid w:val="00137950"/>
    <w:rsid w:val="00140762"/>
    <w:rsid w:val="00144749"/>
    <w:rsid w:val="00152F29"/>
    <w:rsid w:val="001707BF"/>
    <w:rsid w:val="0017125B"/>
    <w:rsid w:val="001736BA"/>
    <w:rsid w:val="00174D54"/>
    <w:rsid w:val="0017702C"/>
    <w:rsid w:val="00185270"/>
    <w:rsid w:val="00192EDE"/>
    <w:rsid w:val="001A3B5A"/>
    <w:rsid w:val="001A458C"/>
    <w:rsid w:val="001B7CE9"/>
    <w:rsid w:val="001D495A"/>
    <w:rsid w:val="001E244C"/>
    <w:rsid w:val="001F1437"/>
    <w:rsid w:val="00206799"/>
    <w:rsid w:val="002074FE"/>
    <w:rsid w:val="0022425B"/>
    <w:rsid w:val="002259EF"/>
    <w:rsid w:val="002333D2"/>
    <w:rsid w:val="00242ED1"/>
    <w:rsid w:val="002444BB"/>
    <w:rsid w:val="00254069"/>
    <w:rsid w:val="002568AF"/>
    <w:rsid w:val="00263E7B"/>
    <w:rsid w:val="00270748"/>
    <w:rsid w:val="002734E5"/>
    <w:rsid w:val="00274592"/>
    <w:rsid w:val="002746DB"/>
    <w:rsid w:val="00280CAF"/>
    <w:rsid w:val="00282F09"/>
    <w:rsid w:val="00291810"/>
    <w:rsid w:val="00294D62"/>
    <w:rsid w:val="00297532"/>
    <w:rsid w:val="00297FFD"/>
    <w:rsid w:val="002A0E5F"/>
    <w:rsid w:val="002A1210"/>
    <w:rsid w:val="002A47D2"/>
    <w:rsid w:val="002A7FB5"/>
    <w:rsid w:val="002B2074"/>
    <w:rsid w:val="002C6529"/>
    <w:rsid w:val="002D14D8"/>
    <w:rsid w:val="002D3A79"/>
    <w:rsid w:val="002D4799"/>
    <w:rsid w:val="002E3FA4"/>
    <w:rsid w:val="002E4945"/>
    <w:rsid w:val="002E53A5"/>
    <w:rsid w:val="002E64B8"/>
    <w:rsid w:val="002E6834"/>
    <w:rsid w:val="002F0E6C"/>
    <w:rsid w:val="003113FF"/>
    <w:rsid w:val="00312622"/>
    <w:rsid w:val="00317224"/>
    <w:rsid w:val="0032277F"/>
    <w:rsid w:val="003315CA"/>
    <w:rsid w:val="00334CA7"/>
    <w:rsid w:val="00336B69"/>
    <w:rsid w:val="00340774"/>
    <w:rsid w:val="0034302B"/>
    <w:rsid w:val="003461A9"/>
    <w:rsid w:val="00350523"/>
    <w:rsid w:val="003517C8"/>
    <w:rsid w:val="0035189D"/>
    <w:rsid w:val="003533CF"/>
    <w:rsid w:val="00354B6D"/>
    <w:rsid w:val="00355B62"/>
    <w:rsid w:val="00357C8A"/>
    <w:rsid w:val="00364C9C"/>
    <w:rsid w:val="003740BC"/>
    <w:rsid w:val="0037456B"/>
    <w:rsid w:val="003801A3"/>
    <w:rsid w:val="00380F4F"/>
    <w:rsid w:val="00383D90"/>
    <w:rsid w:val="00384F2E"/>
    <w:rsid w:val="00386BD1"/>
    <w:rsid w:val="00386DA0"/>
    <w:rsid w:val="00386F54"/>
    <w:rsid w:val="003870AE"/>
    <w:rsid w:val="003A0679"/>
    <w:rsid w:val="003A1A27"/>
    <w:rsid w:val="003A4802"/>
    <w:rsid w:val="003A50CC"/>
    <w:rsid w:val="003A6804"/>
    <w:rsid w:val="003B402C"/>
    <w:rsid w:val="003B42B3"/>
    <w:rsid w:val="003B554D"/>
    <w:rsid w:val="003B6384"/>
    <w:rsid w:val="003C0FE2"/>
    <w:rsid w:val="003C4EBB"/>
    <w:rsid w:val="003D1531"/>
    <w:rsid w:val="003E1499"/>
    <w:rsid w:val="003E1EAD"/>
    <w:rsid w:val="003E4EC6"/>
    <w:rsid w:val="003E512D"/>
    <w:rsid w:val="003E527E"/>
    <w:rsid w:val="003E553E"/>
    <w:rsid w:val="003E7078"/>
    <w:rsid w:val="003F2CEF"/>
    <w:rsid w:val="003F3DF5"/>
    <w:rsid w:val="003F73B8"/>
    <w:rsid w:val="0040297E"/>
    <w:rsid w:val="00411D11"/>
    <w:rsid w:val="00414494"/>
    <w:rsid w:val="00415E23"/>
    <w:rsid w:val="0041670D"/>
    <w:rsid w:val="00423217"/>
    <w:rsid w:val="00423272"/>
    <w:rsid w:val="00424061"/>
    <w:rsid w:val="00434361"/>
    <w:rsid w:val="00435430"/>
    <w:rsid w:val="004378D8"/>
    <w:rsid w:val="004405AC"/>
    <w:rsid w:val="00442A3C"/>
    <w:rsid w:val="00443969"/>
    <w:rsid w:val="00447633"/>
    <w:rsid w:val="00447D74"/>
    <w:rsid w:val="00450A74"/>
    <w:rsid w:val="004546BF"/>
    <w:rsid w:val="00465350"/>
    <w:rsid w:val="00476B91"/>
    <w:rsid w:val="004846BF"/>
    <w:rsid w:val="00494912"/>
    <w:rsid w:val="004A5323"/>
    <w:rsid w:val="004A5A99"/>
    <w:rsid w:val="004C1756"/>
    <w:rsid w:val="004C6979"/>
    <w:rsid w:val="004D13A2"/>
    <w:rsid w:val="004D3E7A"/>
    <w:rsid w:val="004E053B"/>
    <w:rsid w:val="004E7EF8"/>
    <w:rsid w:val="004F594B"/>
    <w:rsid w:val="004F61E1"/>
    <w:rsid w:val="00505F20"/>
    <w:rsid w:val="005069AA"/>
    <w:rsid w:val="005115D9"/>
    <w:rsid w:val="00514C15"/>
    <w:rsid w:val="0053380B"/>
    <w:rsid w:val="00543194"/>
    <w:rsid w:val="00544138"/>
    <w:rsid w:val="005538E3"/>
    <w:rsid w:val="00554E34"/>
    <w:rsid w:val="005618A7"/>
    <w:rsid w:val="0057303B"/>
    <w:rsid w:val="00584583"/>
    <w:rsid w:val="00590E90"/>
    <w:rsid w:val="00590EEB"/>
    <w:rsid w:val="005A4099"/>
    <w:rsid w:val="005C38B2"/>
    <w:rsid w:val="005C5029"/>
    <w:rsid w:val="005C55C2"/>
    <w:rsid w:val="005C71CA"/>
    <w:rsid w:val="005C745C"/>
    <w:rsid w:val="005D35BE"/>
    <w:rsid w:val="005D4DF5"/>
    <w:rsid w:val="005E1E24"/>
    <w:rsid w:val="005E42BA"/>
    <w:rsid w:val="005F448E"/>
    <w:rsid w:val="00611D6B"/>
    <w:rsid w:val="00617E7C"/>
    <w:rsid w:val="0062378A"/>
    <w:rsid w:val="00625CFD"/>
    <w:rsid w:val="006326EC"/>
    <w:rsid w:val="006543AA"/>
    <w:rsid w:val="00663A42"/>
    <w:rsid w:val="006641C7"/>
    <w:rsid w:val="006705EA"/>
    <w:rsid w:val="00670BE2"/>
    <w:rsid w:val="006916D9"/>
    <w:rsid w:val="006A0E05"/>
    <w:rsid w:val="006A26C6"/>
    <w:rsid w:val="006A465A"/>
    <w:rsid w:val="006A7D5D"/>
    <w:rsid w:val="006B490B"/>
    <w:rsid w:val="006C5078"/>
    <w:rsid w:val="006D009A"/>
    <w:rsid w:val="006D0C12"/>
    <w:rsid w:val="006D5D57"/>
    <w:rsid w:val="006E2538"/>
    <w:rsid w:val="006E302F"/>
    <w:rsid w:val="006E46B5"/>
    <w:rsid w:val="006F2A42"/>
    <w:rsid w:val="006F4D6D"/>
    <w:rsid w:val="006F749A"/>
    <w:rsid w:val="00700C38"/>
    <w:rsid w:val="00704A9D"/>
    <w:rsid w:val="00705086"/>
    <w:rsid w:val="00712520"/>
    <w:rsid w:val="00717C02"/>
    <w:rsid w:val="00722001"/>
    <w:rsid w:val="00727CDF"/>
    <w:rsid w:val="00727E12"/>
    <w:rsid w:val="00744525"/>
    <w:rsid w:val="00744BA2"/>
    <w:rsid w:val="007506EA"/>
    <w:rsid w:val="00751E66"/>
    <w:rsid w:val="00754497"/>
    <w:rsid w:val="00764C25"/>
    <w:rsid w:val="00773201"/>
    <w:rsid w:val="0077680F"/>
    <w:rsid w:val="007842C2"/>
    <w:rsid w:val="00787C39"/>
    <w:rsid w:val="00792947"/>
    <w:rsid w:val="00795DF3"/>
    <w:rsid w:val="007A373C"/>
    <w:rsid w:val="007A5877"/>
    <w:rsid w:val="007B225C"/>
    <w:rsid w:val="007C2BD3"/>
    <w:rsid w:val="007C2F6F"/>
    <w:rsid w:val="007C75B1"/>
    <w:rsid w:val="007D3DFC"/>
    <w:rsid w:val="007E2F07"/>
    <w:rsid w:val="007E59A8"/>
    <w:rsid w:val="007E7D0B"/>
    <w:rsid w:val="007F3BA3"/>
    <w:rsid w:val="007F5F83"/>
    <w:rsid w:val="008041EB"/>
    <w:rsid w:val="0080776D"/>
    <w:rsid w:val="00810145"/>
    <w:rsid w:val="008108FA"/>
    <w:rsid w:val="00810FF1"/>
    <w:rsid w:val="00822336"/>
    <w:rsid w:val="00823DFA"/>
    <w:rsid w:val="00824DE0"/>
    <w:rsid w:val="00842DB7"/>
    <w:rsid w:val="00843752"/>
    <w:rsid w:val="0084479F"/>
    <w:rsid w:val="008454AE"/>
    <w:rsid w:val="0085725E"/>
    <w:rsid w:val="00873D4F"/>
    <w:rsid w:val="0087509F"/>
    <w:rsid w:val="00876509"/>
    <w:rsid w:val="008777B1"/>
    <w:rsid w:val="00885B09"/>
    <w:rsid w:val="008911CE"/>
    <w:rsid w:val="00892400"/>
    <w:rsid w:val="008A049C"/>
    <w:rsid w:val="008A209D"/>
    <w:rsid w:val="008A22BB"/>
    <w:rsid w:val="008B035D"/>
    <w:rsid w:val="008B0E29"/>
    <w:rsid w:val="008B0EFA"/>
    <w:rsid w:val="008B30AB"/>
    <w:rsid w:val="008C3BB8"/>
    <w:rsid w:val="008C4B65"/>
    <w:rsid w:val="008D0BD6"/>
    <w:rsid w:val="008E5F55"/>
    <w:rsid w:val="008F5E5B"/>
    <w:rsid w:val="009009E7"/>
    <w:rsid w:val="00902E33"/>
    <w:rsid w:val="00905DEF"/>
    <w:rsid w:val="00906056"/>
    <w:rsid w:val="009122AE"/>
    <w:rsid w:val="00913B43"/>
    <w:rsid w:val="009146E8"/>
    <w:rsid w:val="00922CAD"/>
    <w:rsid w:val="00925CF6"/>
    <w:rsid w:val="00930203"/>
    <w:rsid w:val="009311D2"/>
    <w:rsid w:val="009311E6"/>
    <w:rsid w:val="00931275"/>
    <w:rsid w:val="0093424E"/>
    <w:rsid w:val="00936AC7"/>
    <w:rsid w:val="00947761"/>
    <w:rsid w:val="00953B64"/>
    <w:rsid w:val="009646A7"/>
    <w:rsid w:val="00970A88"/>
    <w:rsid w:val="009818A1"/>
    <w:rsid w:val="00983883"/>
    <w:rsid w:val="009A1674"/>
    <w:rsid w:val="009A4D84"/>
    <w:rsid w:val="009B38BE"/>
    <w:rsid w:val="009B4DF2"/>
    <w:rsid w:val="009C684F"/>
    <w:rsid w:val="009D04AA"/>
    <w:rsid w:val="009D074C"/>
    <w:rsid w:val="009D2F2D"/>
    <w:rsid w:val="009D6E73"/>
    <w:rsid w:val="009E358D"/>
    <w:rsid w:val="009E372C"/>
    <w:rsid w:val="009E3732"/>
    <w:rsid w:val="009F1F1D"/>
    <w:rsid w:val="009F2B4F"/>
    <w:rsid w:val="009F3BF0"/>
    <w:rsid w:val="009F3C63"/>
    <w:rsid w:val="009F66B5"/>
    <w:rsid w:val="00A02D0C"/>
    <w:rsid w:val="00A02F10"/>
    <w:rsid w:val="00A1060C"/>
    <w:rsid w:val="00A16221"/>
    <w:rsid w:val="00A1675B"/>
    <w:rsid w:val="00A20A7D"/>
    <w:rsid w:val="00A35D42"/>
    <w:rsid w:val="00A46CCF"/>
    <w:rsid w:val="00A506DE"/>
    <w:rsid w:val="00A5289B"/>
    <w:rsid w:val="00A53451"/>
    <w:rsid w:val="00A601FF"/>
    <w:rsid w:val="00A70426"/>
    <w:rsid w:val="00A707CC"/>
    <w:rsid w:val="00A711C5"/>
    <w:rsid w:val="00A71410"/>
    <w:rsid w:val="00A91E9A"/>
    <w:rsid w:val="00A93ED9"/>
    <w:rsid w:val="00A96221"/>
    <w:rsid w:val="00A9756E"/>
    <w:rsid w:val="00AB5F29"/>
    <w:rsid w:val="00AC2DBB"/>
    <w:rsid w:val="00AC6A99"/>
    <w:rsid w:val="00AD6048"/>
    <w:rsid w:val="00AD721C"/>
    <w:rsid w:val="00AE4F0A"/>
    <w:rsid w:val="00AF0A45"/>
    <w:rsid w:val="00B00B1F"/>
    <w:rsid w:val="00B0260E"/>
    <w:rsid w:val="00B055EF"/>
    <w:rsid w:val="00B06B5B"/>
    <w:rsid w:val="00B15E18"/>
    <w:rsid w:val="00B2145B"/>
    <w:rsid w:val="00B23769"/>
    <w:rsid w:val="00B36976"/>
    <w:rsid w:val="00B41789"/>
    <w:rsid w:val="00B57FBB"/>
    <w:rsid w:val="00B81808"/>
    <w:rsid w:val="00B86DFA"/>
    <w:rsid w:val="00B929F5"/>
    <w:rsid w:val="00B936D0"/>
    <w:rsid w:val="00BB15FB"/>
    <w:rsid w:val="00BD3D5B"/>
    <w:rsid w:val="00BD6C13"/>
    <w:rsid w:val="00BE3600"/>
    <w:rsid w:val="00BE624E"/>
    <w:rsid w:val="00BF440A"/>
    <w:rsid w:val="00C01F6F"/>
    <w:rsid w:val="00C041EA"/>
    <w:rsid w:val="00C13BBD"/>
    <w:rsid w:val="00C149AB"/>
    <w:rsid w:val="00C16929"/>
    <w:rsid w:val="00C173D8"/>
    <w:rsid w:val="00C20690"/>
    <w:rsid w:val="00C25E17"/>
    <w:rsid w:val="00C36020"/>
    <w:rsid w:val="00C40694"/>
    <w:rsid w:val="00C40A0D"/>
    <w:rsid w:val="00C459BB"/>
    <w:rsid w:val="00C479BF"/>
    <w:rsid w:val="00C506D4"/>
    <w:rsid w:val="00C5124B"/>
    <w:rsid w:val="00C70542"/>
    <w:rsid w:val="00C71649"/>
    <w:rsid w:val="00C75CBF"/>
    <w:rsid w:val="00C771EE"/>
    <w:rsid w:val="00C8003A"/>
    <w:rsid w:val="00C825E9"/>
    <w:rsid w:val="00CA4156"/>
    <w:rsid w:val="00CB044D"/>
    <w:rsid w:val="00CC2894"/>
    <w:rsid w:val="00CD77C3"/>
    <w:rsid w:val="00CE112C"/>
    <w:rsid w:val="00CF55D4"/>
    <w:rsid w:val="00D0402C"/>
    <w:rsid w:val="00D161D2"/>
    <w:rsid w:val="00D261DF"/>
    <w:rsid w:val="00D331F1"/>
    <w:rsid w:val="00D608DA"/>
    <w:rsid w:val="00D63A98"/>
    <w:rsid w:val="00D730BF"/>
    <w:rsid w:val="00D76F50"/>
    <w:rsid w:val="00D826AA"/>
    <w:rsid w:val="00D852F4"/>
    <w:rsid w:val="00D92414"/>
    <w:rsid w:val="00DA2F02"/>
    <w:rsid w:val="00DA34A5"/>
    <w:rsid w:val="00DB1110"/>
    <w:rsid w:val="00DB3730"/>
    <w:rsid w:val="00DC371B"/>
    <w:rsid w:val="00DC3788"/>
    <w:rsid w:val="00DC76C7"/>
    <w:rsid w:val="00DD09F5"/>
    <w:rsid w:val="00DD0E02"/>
    <w:rsid w:val="00DD0F2A"/>
    <w:rsid w:val="00DD4201"/>
    <w:rsid w:val="00DD5E9F"/>
    <w:rsid w:val="00DE5711"/>
    <w:rsid w:val="00E00EA0"/>
    <w:rsid w:val="00E021CB"/>
    <w:rsid w:val="00E138F1"/>
    <w:rsid w:val="00E21D8F"/>
    <w:rsid w:val="00E2309D"/>
    <w:rsid w:val="00E26758"/>
    <w:rsid w:val="00E26ABF"/>
    <w:rsid w:val="00E4357B"/>
    <w:rsid w:val="00E443A7"/>
    <w:rsid w:val="00E45904"/>
    <w:rsid w:val="00E63DE5"/>
    <w:rsid w:val="00E647AF"/>
    <w:rsid w:val="00E647C7"/>
    <w:rsid w:val="00E65A37"/>
    <w:rsid w:val="00E65EF7"/>
    <w:rsid w:val="00E6750F"/>
    <w:rsid w:val="00E677C2"/>
    <w:rsid w:val="00E710E4"/>
    <w:rsid w:val="00E77B48"/>
    <w:rsid w:val="00E857FB"/>
    <w:rsid w:val="00E91799"/>
    <w:rsid w:val="00E97DF8"/>
    <w:rsid w:val="00EA21FE"/>
    <w:rsid w:val="00EA34E3"/>
    <w:rsid w:val="00EB7538"/>
    <w:rsid w:val="00EC1868"/>
    <w:rsid w:val="00EC49AE"/>
    <w:rsid w:val="00ED66A4"/>
    <w:rsid w:val="00EE4F2D"/>
    <w:rsid w:val="00EE6468"/>
    <w:rsid w:val="00EE78D1"/>
    <w:rsid w:val="00F07850"/>
    <w:rsid w:val="00F1299B"/>
    <w:rsid w:val="00F17C08"/>
    <w:rsid w:val="00F207A4"/>
    <w:rsid w:val="00F22211"/>
    <w:rsid w:val="00F230B0"/>
    <w:rsid w:val="00F25173"/>
    <w:rsid w:val="00F3221A"/>
    <w:rsid w:val="00F355AC"/>
    <w:rsid w:val="00F40CF7"/>
    <w:rsid w:val="00F44194"/>
    <w:rsid w:val="00F61D65"/>
    <w:rsid w:val="00F71A5A"/>
    <w:rsid w:val="00F73A1A"/>
    <w:rsid w:val="00F769E0"/>
    <w:rsid w:val="00F76E5D"/>
    <w:rsid w:val="00F83E79"/>
    <w:rsid w:val="00F96D72"/>
    <w:rsid w:val="00FA32A1"/>
    <w:rsid w:val="00FA4A46"/>
    <w:rsid w:val="00FA75FE"/>
    <w:rsid w:val="00FB1032"/>
    <w:rsid w:val="00FB39BC"/>
    <w:rsid w:val="00FB46B7"/>
    <w:rsid w:val="00FB6A53"/>
    <w:rsid w:val="00FC11CA"/>
    <w:rsid w:val="00FC6BDE"/>
    <w:rsid w:val="00FE6B38"/>
    <w:rsid w:val="00FF6138"/>
    <w:rsid w:val="48DF6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CF4084"/>
  <w15:chartTrackingRefBased/>
  <w15:docId w15:val="{C49D9016-3786-4D77-ADCB-E82E0AC5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826AA"/>
    <w:rPr>
      <w:sz w:val="24"/>
      <w:szCs w:val="24"/>
    </w:rPr>
  </w:style>
  <w:style w:type="character" w:styleId="CommentReference">
    <w:name w:val="annotation reference"/>
    <w:rsid w:val="00A02D0C"/>
    <w:rPr>
      <w:sz w:val="16"/>
      <w:szCs w:val="16"/>
    </w:rPr>
  </w:style>
  <w:style w:type="paragraph" w:styleId="CommentText">
    <w:name w:val="annotation text"/>
    <w:basedOn w:val="Normal"/>
    <w:link w:val="CommentTextChar"/>
    <w:rsid w:val="00A02D0C"/>
    <w:rPr>
      <w:sz w:val="20"/>
      <w:szCs w:val="20"/>
    </w:rPr>
  </w:style>
  <w:style w:type="character" w:customStyle="1" w:styleId="CommentTextChar">
    <w:name w:val="Comment Text Char"/>
    <w:basedOn w:val="DefaultParagraphFont"/>
    <w:link w:val="CommentText"/>
    <w:rsid w:val="00A02D0C"/>
  </w:style>
  <w:style w:type="paragraph" w:styleId="CommentSubject">
    <w:name w:val="annotation subject"/>
    <w:basedOn w:val="CommentText"/>
    <w:next w:val="CommentText"/>
    <w:link w:val="CommentSubjectChar"/>
    <w:rsid w:val="00A02D0C"/>
    <w:rPr>
      <w:b/>
      <w:bCs/>
    </w:rPr>
  </w:style>
  <w:style w:type="character" w:customStyle="1" w:styleId="CommentSubjectChar">
    <w:name w:val="Comment Subject Char"/>
    <w:link w:val="CommentSubject"/>
    <w:rsid w:val="00A02D0C"/>
    <w:rPr>
      <w:b/>
      <w:bCs/>
    </w:rPr>
  </w:style>
  <w:style w:type="paragraph" w:customStyle="1" w:styleId="paragraph">
    <w:name w:val="paragraph"/>
    <w:basedOn w:val="Normal"/>
    <w:rsid w:val="00EE4F2D"/>
    <w:pPr>
      <w:spacing w:before="100" w:beforeAutospacing="1" w:after="100" w:afterAutospacing="1"/>
    </w:pPr>
  </w:style>
  <w:style w:type="character" w:customStyle="1" w:styleId="normaltextrun">
    <w:name w:val="normaltextrun"/>
    <w:basedOn w:val="DefaultParagraphFont"/>
    <w:rsid w:val="00EE4F2D"/>
  </w:style>
  <w:style w:type="character" w:customStyle="1" w:styleId="eop">
    <w:name w:val="eop"/>
    <w:basedOn w:val="DefaultParagraphFont"/>
    <w:rsid w:val="00EE4F2D"/>
  </w:style>
  <w:style w:type="character" w:customStyle="1" w:styleId="BodyText2Char">
    <w:name w:val="Body Text 2 Char"/>
    <w:link w:val="BodyText2"/>
    <w:rsid w:val="00B15E18"/>
    <w:rPr>
      <w:sz w:val="24"/>
    </w:rPr>
  </w:style>
  <w:style w:type="character" w:customStyle="1" w:styleId="BodyTextIndentChar">
    <w:name w:val="Body Text Indent Char"/>
    <w:link w:val="BodyTextIndent"/>
    <w:rsid w:val="003A4802"/>
    <w:rPr>
      <w:sz w:val="24"/>
      <w:szCs w:val="24"/>
    </w:rPr>
  </w:style>
  <w:style w:type="character" w:customStyle="1" w:styleId="cf01">
    <w:name w:val="cf01"/>
    <w:rsid w:val="007E7D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recommendations-clinical-laboratory-improvement-amendments-1988-clia-waiver-applications" TargetMode="External" /><Relationship Id="rId11" Type="http://schemas.openxmlformats.org/officeDocument/2006/relationships/hyperlink" Target="https://www.accessdata.fda.gov/scripts/cdrh/cfdocs/cfCLIA/search.cfm" TargetMode="External" /><Relationship Id="rId12" Type="http://schemas.openxmlformats.org/officeDocument/2006/relationships/hyperlink" Target="https://www.fda.gov/media/83522/download" TargetMode="External" /><Relationship Id="rId13" Type="http://schemas.openxmlformats.org/officeDocument/2006/relationships/hyperlink" Target="http://www.bls.gov/oes/current/oes_nat.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fda.gov/regulatory-information/search-fda-guidance-documents/administrative-procedures-clia-categorization"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e6b734-bea8-4568-8408-eb26dc17e4f2" xsi:nil="true"/>
    <lcf76f155ced4ddcb4097134ff3c332f xmlns="8aef85e0-c016-497a-95bc-1a7340a5b0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FCF55-AA03-4B4F-9DA9-DE3902E6E8D2}">
  <ds:schemaRefs>
    <ds:schemaRef ds:uri="http://schemas.microsoft.com/office/2006/metadata/properties"/>
    <ds:schemaRef ds:uri="http://schemas.microsoft.com/office/infopath/2007/PartnerControls"/>
    <ds:schemaRef ds:uri="75e6b734-bea8-4568-8408-eb26dc17e4f2"/>
    <ds:schemaRef ds:uri="8aef85e0-c016-497a-95bc-1a7340a5b01f"/>
  </ds:schemaRefs>
</ds:datastoreItem>
</file>

<file path=customXml/itemProps2.xml><?xml version="1.0" encoding="utf-8"?>
<ds:datastoreItem xmlns:ds="http://schemas.openxmlformats.org/officeDocument/2006/customXml" ds:itemID="{8AAF1B25-E1D4-488C-AA9D-6957F67C6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48836-5629-48F1-B6F4-6019D9D77B68}">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47</TotalTime>
  <Pages>6</Pages>
  <Words>2037</Words>
  <Characters>13047</Characters>
  <Application>Microsoft Office Word</Application>
  <DocSecurity>0</DocSecurity>
  <Lines>246</Lines>
  <Paragraphs>64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5</cp:revision>
  <cp:lastPrinted>2019-07-03T16:25:00Z</cp:lastPrinted>
  <dcterms:created xsi:type="dcterms:W3CDTF">2025-11-25T19:31:00Z</dcterms:created>
  <dcterms:modified xsi:type="dcterms:W3CDTF">2025-11-25T20:17:00Z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y fmtid="{D5CDD505-2E9C-101B-9397-08002B2CF9AE}" pid="3" name="MediaServiceImageTags">
    <vt:lpwstr/>
  </property>
</Properties>
</file>