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5721" w14:paraId="03960AD4" w14:textId="77777777">
      <w:pPr>
        <w:pStyle w:val="Heading1"/>
        <w:ind w:left="0"/>
        <w:jc w:val="center"/>
      </w:pPr>
      <w:r>
        <w:t>SUPPORTING STATEMENT</w:t>
      </w:r>
    </w:p>
    <w:p w:rsidR="00235721" w14:paraId="2E2A2A87" w14:textId="77777777">
      <w:pPr>
        <w:spacing w:before="22" w:line="259" w:lineRule="auto"/>
        <w:ind w:firstLine="14"/>
        <w:jc w:val="center"/>
        <w:rPr>
          <w:b/>
        </w:rPr>
      </w:pPr>
      <w:r>
        <w:rPr>
          <w:b/>
        </w:rPr>
        <w:t>U.S. Department of Commerce</w:t>
      </w:r>
    </w:p>
    <w:p w:rsidR="00235721" w14:paraId="22AE49C6" w14:textId="77777777">
      <w:pPr>
        <w:spacing w:before="22" w:line="259" w:lineRule="auto"/>
        <w:ind w:firstLine="14"/>
        <w:jc w:val="center"/>
        <w:rPr>
          <w:b/>
        </w:rPr>
      </w:pPr>
      <w:r>
        <w:rPr>
          <w:b/>
        </w:rPr>
        <w:t>National Oceanic &amp; Atmospheric Administration</w:t>
      </w:r>
    </w:p>
    <w:p w:rsidR="00235721" w14:paraId="1350E469" w14:textId="77777777">
      <w:pPr>
        <w:spacing w:line="259" w:lineRule="auto"/>
        <w:ind w:hanging="6"/>
        <w:jc w:val="center"/>
        <w:rPr>
          <w:b/>
        </w:rPr>
      </w:pPr>
      <w:r>
        <w:rPr>
          <w:b/>
        </w:rPr>
        <w:t>Annual Economic Survey of Federal Gulf and South Atlantic Shrimp Permit Holders</w:t>
      </w:r>
    </w:p>
    <w:p w:rsidR="00235721" w14:paraId="21573B75" w14:textId="77777777">
      <w:pPr>
        <w:spacing w:line="259" w:lineRule="auto"/>
        <w:ind w:hanging="6"/>
        <w:jc w:val="center"/>
        <w:rPr>
          <w:b/>
        </w:rPr>
      </w:pPr>
      <w:r>
        <w:rPr>
          <w:b/>
        </w:rPr>
        <w:t>OMB Control No. 0648-0591</w:t>
      </w:r>
    </w:p>
    <w:p w:rsidR="00235721" w14:paraId="2A90AA88" w14:textId="77777777">
      <w:pPr>
        <w:spacing w:before="240"/>
        <w:jc w:val="both"/>
        <w:rPr>
          <w:b/>
        </w:rPr>
      </w:pPr>
      <w:r>
        <w:rPr>
          <w:b/>
        </w:rPr>
        <w:t>SUPPORTING STATEMENT PART B</w:t>
      </w:r>
    </w:p>
    <w:p w:rsidR="00235721" w14:paraId="0AEAF1A3" w14:textId="77777777">
      <w:pPr>
        <w:pStyle w:val="Heading1"/>
        <w:numPr>
          <w:ilvl w:val="0"/>
          <w:numId w:val="1"/>
        </w:numPr>
        <w:tabs>
          <w:tab w:val="left" w:pos="360"/>
        </w:tabs>
        <w:spacing w:before="185"/>
        <w:ind w:left="0" w:firstLine="0"/>
        <w:jc w:val="both"/>
      </w:pPr>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235721" w:rsidP="00246ECA" w14:paraId="72449F9A" w14:textId="77777777">
      <w:pPr>
        <w:spacing w:before="100" w:line="259" w:lineRule="auto"/>
        <w:jc w:val="both"/>
      </w:pPr>
      <w:r>
        <w:t>The population of interest is all vessels fishing for penaeid and rock shrimp in the federal waters of the Gulf of America and South Atlantic, i.e. off the States of North Carolina, South Carolina, Georgia, Florida, Alabama, Mississippi, Louisiana, and Texas, during one calendar year. An excellent sampling frame is available for this survey efforts, because vessels shrimping in the federal waters of the Gulf and South Atlantic are required to have a federal permit. Their contact information should be up-to-date due to the annual permit renewal process.  The sampling frame consists of all fishermen holding at least one of four federal shrimp permits at any time during the previous calendar year (including individuals whose permits might have expired but are still legally renewable, i.e. “latent permit holders”). Note that the survey effort conducted each year, e.g., 2025, will be collecting the previous year’s annual economic data, i.e. 2024.</w:t>
      </w:r>
    </w:p>
    <w:p w:rsidR="00235721" w:rsidP="00246ECA" w14:paraId="4DABC949" w14:textId="0169B54F">
      <w:pPr>
        <w:spacing w:before="100" w:line="259" w:lineRule="auto"/>
        <w:jc w:val="both"/>
      </w:pPr>
      <w:r>
        <w:t xml:space="preserve">While four permits create eligibility to be part of the survey, we only sample unique vessels, within the overall population of permitted vessels. By treating all four permit populations as one population for economic data collection purposes, multi-permit holders (~339 in 2024 Sampling Frame) are only exposed to sampling once each year.  The downside of this approach for NMFS is that </w:t>
      </w:r>
      <w:r w:rsidR="0023221B">
        <w:t>stratification by permit type is not possible.</w:t>
      </w:r>
      <w:r>
        <w:t xml:space="preserve"> As a result, to achieve a confidence level of at least 90% and 95% for SPA (~495) and SPGM (~1,239) permits, respectively, as well as achieving reasonable significance for the shrimp fisheries of the major shrimp fishing states (LA and TX), we sample roughly one third of the population each year. Other reasons to sample about a third of the population (rather than less and thereby reducing burden on the public) include: a) There are always some 'latent permits' or 'effectively terminated' in the population that are ineligible (but we only know that in retrospect because the permits terminate 1 year after expiration), so our effective populations are somewhat smaller. b) Fishery managers are especially interested in active vessels (those that actually harvested shrimp in a year). Again, we do not know at sampling which vessels were active due to data lags beyond our control. Historically, roughly 80% of permitted vessels are active in a given year. c) Even with 85% response rate, we are still losing 15% of the sample; and d) fishery variables of interest always have a lot of noise (variation).</w:t>
      </w:r>
    </w:p>
    <w:p w:rsidR="00235721" w:rsidP="00246ECA" w14:paraId="5255D68D" w14:textId="77777777">
      <w:pPr>
        <w:spacing w:before="100" w:line="259" w:lineRule="auto"/>
        <w:jc w:val="both"/>
      </w:pPr>
      <w:r>
        <w:t xml:space="preserve">Roughly, we aim to randomly sample without replacement about a third of the whole population each year, covering the population once every three years. The primary reason for this approach is not statistical in nature. When we originally started this data collection we used a different sampling design. </w:t>
      </w:r>
      <w:r>
        <w:t>But during the first few years we were very frequently getting the respondent complaints of the following nature: "I get selected every year" or "I had to do this last year, unfair."  After many phone conversations of this nature, we decided to 'start fresh' each 3-year cycle with a very simple, easily explainable, “obviously fair”, and to-the-shrimpers-intuitive design. We randomly sample 33% of the frame the first year; the 2nd year we eliminate the previously sampled vessels from the frame and then randomly sample 50% of the remaining vessels (50% of ~67% of the population; note that there's always a bit of fluctuation in the number of vessels, but not much); and the third year we would remove all 1st year and 2nd year sampled vessels from the frame and simply select the rest (100% of ~34% of the population---again, with some fluctuations). As a result, we are able to tell respondents: "You (and every other vessel) will be sampled exactly ONE time in each 3-year time period---we are 100% certain of that!" Also, the number of respondents being sampled two years in a row is minimized (1/9 if the population at the start of the next cycle (in the “4</w:t>
      </w:r>
      <w:r>
        <w:rPr>
          <w:vertAlign w:val="superscript"/>
        </w:rPr>
        <w:t>th</w:t>
      </w:r>
      <w:r>
        <w:t xml:space="preserve"> year”), while protecting the overall random sampling nature of the data collection. This has helped a lot with dealing with respondent complaints and overall data collection buy-in with the respondents.</w:t>
      </w:r>
    </w:p>
    <w:p w:rsidR="00235721" w:rsidP="00246ECA" w14:paraId="4214C1AE" w14:textId="77777777">
      <w:pPr>
        <w:spacing w:before="100" w:line="259" w:lineRule="auto"/>
        <w:jc w:val="both"/>
      </w:pPr>
      <w:r>
        <w:t xml:space="preserve">As of February 2025, the total </w:t>
      </w:r>
      <w:r>
        <w:rPr>
          <w:highlight w:val="white"/>
        </w:rPr>
        <w:t>population was 1,484 unique vessels with one or more federal shrimp permits. For the 2024 survey, we sampled 490 vessels. Due to the management and political importance attributed to delineation by state, we stratify the total</w:t>
      </w:r>
      <w:r>
        <w:t xml:space="preserve"> population by state. Within each stratum we randomly sample vessels in proportion to each stratum’s weight in the total population. By sticking to a simple, straightforward design, we hope to avoid many potential problems.</w:t>
      </w:r>
    </w:p>
    <w:p w:rsidR="00235721" w:rsidP="00246ECA" w14:paraId="3156FD9D" w14:textId="77777777">
      <w:pPr>
        <w:spacing w:before="100" w:line="259" w:lineRule="auto"/>
        <w:jc w:val="both"/>
      </w:pPr>
      <w:r>
        <w:t>These numbers are unlikely to change dramatically in the coming years. The actual number of permit holders in the fishery might change a little due to new entrants (the South Atlantic penaeid permit and rock shrimp permit (Carolinas zone) are open access permits), owners and vessels leaving the fishery (permits non-renewed or terminated), or changes in vessel ownership or state of registration. The final sampling frame will use all the information available just prior to the survey implementation.</w:t>
      </w:r>
    </w:p>
    <w:p w:rsidR="00235721" w:rsidP="00246ECA" w14:paraId="714C3BDC" w14:textId="77777777">
      <w:pPr>
        <w:spacing w:before="100" w:after="120" w:line="259" w:lineRule="auto"/>
        <w:jc w:val="both"/>
      </w:pPr>
      <w:bookmarkStart w:id="0" w:name="_34y5b8eq9e6l" w:colFirst="0" w:colLast="0"/>
      <w:bookmarkEnd w:id="0"/>
      <w:r>
        <w:t>Table 1 breaks down the 2023 sampling frame into the state strata, and provides the number of vessels sampled and the number of surveys returned during 2024 with the corresponding response rates. Note, 2023 was ‘Year 3’ in the sampling design hence the lower response rates from South Atlantic States, especially NC, SC, and GA where the number of limited access permits, and therefore, compliance driven reporting habits (explained further below), are typically lower than in Gulf States.</w:t>
      </w:r>
    </w:p>
    <w:p w:rsidR="00235721" w14:paraId="14A1603C" w14:textId="28A5D5B8">
      <w:pPr>
        <w:spacing w:before="180" w:after="120" w:line="259" w:lineRule="auto"/>
        <w:jc w:val="both"/>
      </w:pPr>
      <w:r>
        <w:t xml:space="preserve">Table 1. </w:t>
      </w:r>
      <w:r w:rsidR="00E923FA">
        <w:t xml:space="preserve">Sampling </w:t>
      </w:r>
      <w:r w:rsidR="00D40724">
        <w:t>f</w:t>
      </w:r>
      <w:r w:rsidR="00E923FA">
        <w:t xml:space="preserve">rame and </w:t>
      </w:r>
      <w:r w:rsidR="00D40724">
        <w:t>n</w:t>
      </w:r>
      <w:r>
        <w:t xml:space="preserve">umber of </w:t>
      </w:r>
      <w:r w:rsidR="00D40724">
        <w:t>vessels</w:t>
      </w:r>
      <w:r>
        <w:t xml:space="preserve"> </w:t>
      </w:r>
      <w:r w:rsidR="00D40724">
        <w:t>s</w:t>
      </w:r>
      <w:r>
        <w:t>ample</w:t>
      </w:r>
      <w:r w:rsidR="00875E80">
        <w:t>d</w:t>
      </w:r>
      <w:r>
        <w:t xml:space="preserve"> with </w:t>
      </w:r>
      <w:r w:rsidR="00D40724">
        <w:t>r</w:t>
      </w:r>
      <w:r>
        <w:t xml:space="preserve">esponse </w:t>
      </w:r>
      <w:r w:rsidR="00D40724">
        <w:t>r</w:t>
      </w:r>
      <w:r>
        <w:t>ates by State for the 2023 Annual Economic Survey of Federal Gulf and South Atlantic Shrimp Permit Holders.</w:t>
      </w:r>
    </w:p>
    <w:tbl>
      <w:tblPr>
        <w:tblStyle w:val="a"/>
        <w:tblW w:w="6930" w:type="dxa"/>
        <w:jc w:val="center"/>
        <w:tblLayout w:type="fixed"/>
        <w:tblLook w:val="0400"/>
      </w:tblPr>
      <w:tblGrid>
        <w:gridCol w:w="1350"/>
        <w:gridCol w:w="870"/>
        <w:gridCol w:w="1740"/>
        <w:gridCol w:w="1260"/>
        <w:gridCol w:w="1710"/>
      </w:tblGrid>
      <w:tr w14:paraId="73F14F24" w14:textId="77777777" w:rsidTr="00D40724">
        <w:tblPrEx>
          <w:tblW w:w="6930" w:type="dxa"/>
          <w:jc w:val="center"/>
          <w:tblLayout w:type="fixed"/>
          <w:tblLook w:val="0400"/>
        </w:tblPrEx>
        <w:trPr>
          <w:trHeight w:val="300"/>
          <w:jc w:val="center"/>
        </w:trPr>
        <w:tc>
          <w:tcPr>
            <w:tcW w:w="1350" w:type="dxa"/>
            <w:tcBorders>
              <w:top w:val="single" w:sz="8" w:space="0" w:color="000000"/>
              <w:left w:val="nil"/>
              <w:bottom w:val="single" w:sz="4" w:space="0" w:color="757171"/>
              <w:right w:val="nil"/>
            </w:tcBorders>
            <w:shd w:val="clear" w:color="auto" w:fill="auto"/>
            <w:vAlign w:val="bottom"/>
          </w:tcPr>
          <w:p w:rsidR="00235721" w14:paraId="0DF59446"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State Strata</w:t>
            </w:r>
          </w:p>
        </w:tc>
        <w:tc>
          <w:tcPr>
            <w:tcW w:w="870" w:type="dxa"/>
            <w:tcBorders>
              <w:top w:val="single" w:sz="8" w:space="0" w:color="000000"/>
              <w:left w:val="nil"/>
              <w:bottom w:val="single" w:sz="4" w:space="0" w:color="757171"/>
              <w:right w:val="nil"/>
            </w:tcBorders>
            <w:shd w:val="clear" w:color="auto" w:fill="auto"/>
            <w:vAlign w:val="bottom"/>
          </w:tcPr>
          <w:p w:rsidR="00235721" w14:paraId="2145F6EE"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Frame</w:t>
            </w:r>
          </w:p>
        </w:tc>
        <w:tc>
          <w:tcPr>
            <w:tcW w:w="1740" w:type="dxa"/>
            <w:tcBorders>
              <w:top w:val="single" w:sz="8" w:space="0" w:color="000000"/>
              <w:left w:val="nil"/>
              <w:bottom w:val="single" w:sz="4" w:space="0" w:color="757171"/>
              <w:right w:val="nil"/>
            </w:tcBorders>
            <w:shd w:val="clear" w:color="auto" w:fill="auto"/>
            <w:vAlign w:val="bottom"/>
          </w:tcPr>
          <w:p w:rsidR="00235721" w14:paraId="141ED677" w14:textId="4C500696">
            <w:pPr>
              <w:widowControl/>
              <w:jc w:val="center"/>
              <w:rPr>
                <w:rFonts w:ascii="Calibri" w:eastAsia="Calibri" w:hAnsi="Calibri" w:cs="Calibri"/>
                <w:color w:val="000000"/>
                <w:sz w:val="22"/>
                <w:szCs w:val="22"/>
              </w:rPr>
            </w:pPr>
            <w:r>
              <w:rPr>
                <w:rFonts w:ascii="Calibri" w:eastAsia="Calibri" w:hAnsi="Calibri" w:cs="Calibri"/>
                <w:color w:val="000000"/>
                <w:sz w:val="22"/>
                <w:szCs w:val="22"/>
              </w:rPr>
              <w:t xml:space="preserve">Vessels </w:t>
            </w:r>
            <w:r w:rsidR="00AB3786">
              <w:rPr>
                <w:rFonts w:ascii="Calibri" w:eastAsia="Calibri" w:hAnsi="Calibri" w:cs="Calibri"/>
                <w:color w:val="000000"/>
                <w:sz w:val="22"/>
                <w:szCs w:val="22"/>
              </w:rPr>
              <w:t>Sample</w:t>
            </w:r>
            <w:r w:rsidR="00B22867">
              <w:rPr>
                <w:rFonts w:ascii="Calibri" w:eastAsia="Calibri" w:hAnsi="Calibri" w:cs="Calibri"/>
                <w:color w:val="000000"/>
                <w:sz w:val="22"/>
                <w:szCs w:val="22"/>
              </w:rPr>
              <w:t>d</w:t>
            </w:r>
          </w:p>
        </w:tc>
        <w:tc>
          <w:tcPr>
            <w:tcW w:w="1260" w:type="dxa"/>
            <w:tcBorders>
              <w:top w:val="single" w:sz="8" w:space="0" w:color="000000"/>
              <w:left w:val="nil"/>
              <w:bottom w:val="single" w:sz="4" w:space="0" w:color="757171"/>
              <w:right w:val="nil"/>
            </w:tcBorders>
            <w:shd w:val="clear" w:color="auto" w:fill="auto"/>
            <w:vAlign w:val="bottom"/>
          </w:tcPr>
          <w:p w:rsidR="00235721" w14:paraId="7E164A13"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Responses</w:t>
            </w:r>
          </w:p>
        </w:tc>
        <w:tc>
          <w:tcPr>
            <w:tcW w:w="1710" w:type="dxa"/>
            <w:tcBorders>
              <w:top w:val="single" w:sz="8" w:space="0" w:color="000000"/>
              <w:left w:val="nil"/>
              <w:bottom w:val="single" w:sz="4" w:space="0" w:color="757171"/>
              <w:right w:val="nil"/>
            </w:tcBorders>
            <w:shd w:val="clear" w:color="auto" w:fill="auto"/>
            <w:vAlign w:val="bottom"/>
          </w:tcPr>
          <w:p w:rsidR="00235721" w14:paraId="3824B99B"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Response Rate</w:t>
            </w:r>
          </w:p>
        </w:tc>
      </w:tr>
      <w:tr w14:paraId="564DC80D" w14:textId="77777777" w:rsidTr="00D40724">
        <w:tblPrEx>
          <w:tblW w:w="6930" w:type="dxa"/>
          <w:jc w:val="center"/>
          <w:tblLayout w:type="fixed"/>
          <w:tblLook w:val="0400"/>
        </w:tblPrEx>
        <w:trPr>
          <w:trHeight w:val="311"/>
          <w:jc w:val="center"/>
        </w:trPr>
        <w:tc>
          <w:tcPr>
            <w:tcW w:w="1350" w:type="dxa"/>
            <w:tcBorders>
              <w:top w:val="nil"/>
              <w:left w:val="nil"/>
              <w:bottom w:val="nil"/>
              <w:right w:val="nil"/>
            </w:tcBorders>
            <w:shd w:val="clear" w:color="auto" w:fill="auto"/>
            <w:vAlign w:val="bottom"/>
          </w:tcPr>
          <w:p w:rsidR="00235721" w14:paraId="0B75FE22"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NC</w:t>
            </w:r>
          </w:p>
        </w:tc>
        <w:tc>
          <w:tcPr>
            <w:tcW w:w="870" w:type="dxa"/>
            <w:tcBorders>
              <w:top w:val="nil"/>
              <w:left w:val="nil"/>
              <w:bottom w:val="nil"/>
              <w:right w:val="nil"/>
            </w:tcBorders>
            <w:shd w:val="clear" w:color="auto" w:fill="auto"/>
            <w:vAlign w:val="bottom"/>
          </w:tcPr>
          <w:p w:rsidR="00235721" w14:paraId="48A3211D"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108</w:t>
            </w:r>
          </w:p>
        </w:tc>
        <w:tc>
          <w:tcPr>
            <w:tcW w:w="1740" w:type="dxa"/>
            <w:tcBorders>
              <w:top w:val="nil"/>
              <w:left w:val="nil"/>
              <w:bottom w:val="nil"/>
              <w:right w:val="nil"/>
            </w:tcBorders>
            <w:shd w:val="clear" w:color="auto" w:fill="auto"/>
            <w:vAlign w:val="bottom"/>
          </w:tcPr>
          <w:p w:rsidR="00235721" w14:paraId="353A294E"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50</w:t>
            </w:r>
          </w:p>
        </w:tc>
        <w:tc>
          <w:tcPr>
            <w:tcW w:w="1260" w:type="dxa"/>
            <w:tcBorders>
              <w:top w:val="nil"/>
              <w:left w:val="nil"/>
              <w:bottom w:val="nil"/>
              <w:right w:val="nil"/>
            </w:tcBorders>
            <w:shd w:val="clear" w:color="auto" w:fill="auto"/>
            <w:vAlign w:val="bottom"/>
          </w:tcPr>
          <w:p w:rsidR="00235721" w14:paraId="134F7206"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29</w:t>
            </w:r>
          </w:p>
        </w:tc>
        <w:tc>
          <w:tcPr>
            <w:tcW w:w="1710" w:type="dxa"/>
            <w:tcBorders>
              <w:top w:val="nil"/>
              <w:left w:val="nil"/>
              <w:bottom w:val="nil"/>
              <w:right w:val="nil"/>
            </w:tcBorders>
            <w:shd w:val="clear" w:color="auto" w:fill="auto"/>
            <w:vAlign w:val="bottom"/>
          </w:tcPr>
          <w:p w:rsidR="00235721" w14:paraId="69D61E1A"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58.0%</w:t>
            </w:r>
          </w:p>
        </w:tc>
      </w:tr>
      <w:tr w14:paraId="6F76B258" w14:textId="77777777" w:rsidTr="00D40724">
        <w:tblPrEx>
          <w:tblW w:w="6930" w:type="dxa"/>
          <w:jc w:val="center"/>
          <w:tblLayout w:type="fixed"/>
          <w:tblLook w:val="0400"/>
        </w:tblPrEx>
        <w:trPr>
          <w:trHeight w:val="300"/>
          <w:jc w:val="center"/>
        </w:trPr>
        <w:tc>
          <w:tcPr>
            <w:tcW w:w="1350" w:type="dxa"/>
            <w:tcBorders>
              <w:top w:val="nil"/>
              <w:left w:val="nil"/>
              <w:bottom w:val="nil"/>
              <w:right w:val="nil"/>
            </w:tcBorders>
            <w:shd w:val="clear" w:color="auto" w:fill="auto"/>
            <w:vAlign w:val="bottom"/>
          </w:tcPr>
          <w:p w:rsidR="00235721" w14:paraId="01007730"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SC</w:t>
            </w:r>
          </w:p>
        </w:tc>
        <w:tc>
          <w:tcPr>
            <w:tcW w:w="870" w:type="dxa"/>
            <w:tcBorders>
              <w:top w:val="nil"/>
              <w:left w:val="nil"/>
              <w:bottom w:val="nil"/>
              <w:right w:val="nil"/>
            </w:tcBorders>
            <w:shd w:val="clear" w:color="auto" w:fill="auto"/>
            <w:vAlign w:val="bottom"/>
          </w:tcPr>
          <w:p w:rsidR="00235721" w14:paraId="09E92576"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56</w:t>
            </w:r>
          </w:p>
        </w:tc>
        <w:tc>
          <w:tcPr>
            <w:tcW w:w="1740" w:type="dxa"/>
            <w:tcBorders>
              <w:top w:val="nil"/>
              <w:left w:val="nil"/>
              <w:bottom w:val="nil"/>
              <w:right w:val="nil"/>
            </w:tcBorders>
            <w:shd w:val="clear" w:color="auto" w:fill="auto"/>
            <w:vAlign w:val="bottom"/>
          </w:tcPr>
          <w:p w:rsidR="00235721" w14:paraId="504EDC1C"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22</w:t>
            </w:r>
          </w:p>
        </w:tc>
        <w:tc>
          <w:tcPr>
            <w:tcW w:w="1260" w:type="dxa"/>
            <w:tcBorders>
              <w:top w:val="nil"/>
              <w:left w:val="nil"/>
              <w:bottom w:val="nil"/>
              <w:right w:val="nil"/>
            </w:tcBorders>
            <w:shd w:val="clear" w:color="auto" w:fill="auto"/>
            <w:vAlign w:val="bottom"/>
          </w:tcPr>
          <w:p w:rsidR="00235721" w14:paraId="7C5F0502"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710" w:type="dxa"/>
            <w:tcBorders>
              <w:top w:val="nil"/>
              <w:left w:val="nil"/>
              <w:bottom w:val="nil"/>
              <w:right w:val="nil"/>
            </w:tcBorders>
            <w:shd w:val="clear" w:color="auto" w:fill="auto"/>
            <w:vAlign w:val="bottom"/>
          </w:tcPr>
          <w:p w:rsidR="00235721" w14:paraId="6450165C"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45.5%</w:t>
            </w:r>
          </w:p>
        </w:tc>
      </w:tr>
      <w:tr w14:paraId="48FB09BE" w14:textId="77777777" w:rsidTr="00D40724">
        <w:tblPrEx>
          <w:tblW w:w="6930" w:type="dxa"/>
          <w:jc w:val="center"/>
          <w:tblLayout w:type="fixed"/>
          <w:tblLook w:val="0400"/>
        </w:tblPrEx>
        <w:trPr>
          <w:trHeight w:val="300"/>
          <w:jc w:val="center"/>
        </w:trPr>
        <w:tc>
          <w:tcPr>
            <w:tcW w:w="1350" w:type="dxa"/>
            <w:tcBorders>
              <w:top w:val="nil"/>
              <w:left w:val="nil"/>
              <w:bottom w:val="nil"/>
              <w:right w:val="nil"/>
            </w:tcBorders>
            <w:shd w:val="clear" w:color="auto" w:fill="auto"/>
            <w:vAlign w:val="bottom"/>
          </w:tcPr>
          <w:p w:rsidR="00235721" w14:paraId="37A4BB87"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GA</w:t>
            </w:r>
          </w:p>
        </w:tc>
        <w:tc>
          <w:tcPr>
            <w:tcW w:w="870" w:type="dxa"/>
            <w:tcBorders>
              <w:top w:val="nil"/>
              <w:left w:val="nil"/>
              <w:bottom w:val="nil"/>
              <w:right w:val="nil"/>
            </w:tcBorders>
            <w:shd w:val="clear" w:color="auto" w:fill="auto"/>
            <w:vAlign w:val="bottom"/>
          </w:tcPr>
          <w:p w:rsidR="00235721" w14:paraId="45BAF0B3"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64</w:t>
            </w:r>
          </w:p>
        </w:tc>
        <w:tc>
          <w:tcPr>
            <w:tcW w:w="1740" w:type="dxa"/>
            <w:tcBorders>
              <w:top w:val="nil"/>
              <w:left w:val="nil"/>
              <w:bottom w:val="nil"/>
              <w:right w:val="nil"/>
            </w:tcBorders>
            <w:shd w:val="clear" w:color="auto" w:fill="auto"/>
            <w:vAlign w:val="bottom"/>
          </w:tcPr>
          <w:p w:rsidR="00235721" w14:paraId="2FB0E7E2"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27</w:t>
            </w:r>
          </w:p>
        </w:tc>
        <w:tc>
          <w:tcPr>
            <w:tcW w:w="1260" w:type="dxa"/>
            <w:tcBorders>
              <w:top w:val="nil"/>
              <w:left w:val="nil"/>
              <w:bottom w:val="nil"/>
              <w:right w:val="nil"/>
            </w:tcBorders>
            <w:shd w:val="clear" w:color="auto" w:fill="auto"/>
            <w:vAlign w:val="bottom"/>
          </w:tcPr>
          <w:p w:rsidR="00235721" w14:paraId="30BC8F50"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9</w:t>
            </w:r>
          </w:p>
        </w:tc>
        <w:tc>
          <w:tcPr>
            <w:tcW w:w="1710" w:type="dxa"/>
            <w:tcBorders>
              <w:top w:val="nil"/>
              <w:left w:val="nil"/>
              <w:bottom w:val="nil"/>
              <w:right w:val="nil"/>
            </w:tcBorders>
            <w:shd w:val="clear" w:color="auto" w:fill="auto"/>
            <w:vAlign w:val="bottom"/>
          </w:tcPr>
          <w:p w:rsidR="00235721" w14:paraId="4CD2AB1B"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33.3%</w:t>
            </w:r>
          </w:p>
        </w:tc>
      </w:tr>
      <w:tr w14:paraId="23DE671D" w14:textId="77777777" w:rsidTr="00D40724">
        <w:tblPrEx>
          <w:tblW w:w="6930" w:type="dxa"/>
          <w:jc w:val="center"/>
          <w:tblLayout w:type="fixed"/>
          <w:tblLook w:val="0400"/>
        </w:tblPrEx>
        <w:trPr>
          <w:trHeight w:val="300"/>
          <w:jc w:val="center"/>
        </w:trPr>
        <w:tc>
          <w:tcPr>
            <w:tcW w:w="1350" w:type="dxa"/>
            <w:tcBorders>
              <w:top w:val="nil"/>
              <w:left w:val="nil"/>
              <w:bottom w:val="nil"/>
              <w:right w:val="nil"/>
            </w:tcBorders>
            <w:shd w:val="clear" w:color="auto" w:fill="auto"/>
            <w:vAlign w:val="bottom"/>
          </w:tcPr>
          <w:p w:rsidR="00235721" w14:paraId="61B19D2E"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FL</w:t>
            </w:r>
          </w:p>
        </w:tc>
        <w:tc>
          <w:tcPr>
            <w:tcW w:w="870" w:type="dxa"/>
            <w:tcBorders>
              <w:top w:val="nil"/>
              <w:left w:val="nil"/>
              <w:bottom w:val="nil"/>
              <w:right w:val="nil"/>
            </w:tcBorders>
            <w:shd w:val="clear" w:color="auto" w:fill="auto"/>
            <w:vAlign w:val="bottom"/>
          </w:tcPr>
          <w:p w:rsidR="00235721" w14:paraId="75E7E1C6"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266</w:t>
            </w:r>
          </w:p>
        </w:tc>
        <w:tc>
          <w:tcPr>
            <w:tcW w:w="1740" w:type="dxa"/>
            <w:tcBorders>
              <w:top w:val="nil"/>
              <w:left w:val="nil"/>
              <w:bottom w:val="nil"/>
              <w:right w:val="nil"/>
            </w:tcBorders>
            <w:shd w:val="clear" w:color="auto" w:fill="auto"/>
            <w:vAlign w:val="bottom"/>
          </w:tcPr>
          <w:p w:rsidR="00235721" w14:paraId="5BCD50A1"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120</w:t>
            </w:r>
          </w:p>
        </w:tc>
        <w:tc>
          <w:tcPr>
            <w:tcW w:w="1260" w:type="dxa"/>
            <w:tcBorders>
              <w:top w:val="nil"/>
              <w:left w:val="nil"/>
              <w:bottom w:val="nil"/>
              <w:right w:val="nil"/>
            </w:tcBorders>
            <w:shd w:val="clear" w:color="auto" w:fill="auto"/>
            <w:vAlign w:val="bottom"/>
          </w:tcPr>
          <w:p w:rsidR="00235721" w14:paraId="6E9B194F"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91</w:t>
            </w:r>
          </w:p>
        </w:tc>
        <w:tc>
          <w:tcPr>
            <w:tcW w:w="1710" w:type="dxa"/>
            <w:tcBorders>
              <w:top w:val="nil"/>
              <w:left w:val="nil"/>
              <w:bottom w:val="nil"/>
              <w:right w:val="nil"/>
            </w:tcBorders>
            <w:shd w:val="clear" w:color="auto" w:fill="auto"/>
            <w:vAlign w:val="bottom"/>
          </w:tcPr>
          <w:p w:rsidR="00235721" w14:paraId="4F26F052"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75.8%</w:t>
            </w:r>
          </w:p>
        </w:tc>
      </w:tr>
      <w:tr w14:paraId="10342B48" w14:textId="77777777" w:rsidTr="00D40724">
        <w:tblPrEx>
          <w:tblW w:w="6930" w:type="dxa"/>
          <w:jc w:val="center"/>
          <w:tblLayout w:type="fixed"/>
          <w:tblLook w:val="0400"/>
        </w:tblPrEx>
        <w:trPr>
          <w:trHeight w:val="300"/>
          <w:jc w:val="center"/>
        </w:trPr>
        <w:tc>
          <w:tcPr>
            <w:tcW w:w="1350" w:type="dxa"/>
            <w:tcBorders>
              <w:top w:val="nil"/>
              <w:left w:val="nil"/>
              <w:bottom w:val="nil"/>
              <w:right w:val="nil"/>
            </w:tcBorders>
            <w:shd w:val="clear" w:color="auto" w:fill="auto"/>
            <w:vAlign w:val="bottom"/>
          </w:tcPr>
          <w:p w:rsidR="00235721" w14:paraId="2626778A"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AL</w:t>
            </w:r>
          </w:p>
        </w:tc>
        <w:tc>
          <w:tcPr>
            <w:tcW w:w="870" w:type="dxa"/>
            <w:tcBorders>
              <w:top w:val="nil"/>
              <w:left w:val="nil"/>
              <w:bottom w:val="nil"/>
              <w:right w:val="nil"/>
            </w:tcBorders>
            <w:shd w:val="clear" w:color="auto" w:fill="auto"/>
            <w:vAlign w:val="bottom"/>
          </w:tcPr>
          <w:p w:rsidR="00235721" w14:paraId="2CC49EDC"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120</w:t>
            </w:r>
          </w:p>
        </w:tc>
        <w:tc>
          <w:tcPr>
            <w:tcW w:w="1740" w:type="dxa"/>
            <w:tcBorders>
              <w:top w:val="nil"/>
              <w:left w:val="nil"/>
              <w:bottom w:val="nil"/>
              <w:right w:val="nil"/>
            </w:tcBorders>
            <w:shd w:val="clear" w:color="auto" w:fill="auto"/>
            <w:vAlign w:val="bottom"/>
          </w:tcPr>
          <w:p w:rsidR="00235721" w14:paraId="0E0F1A78" w14:textId="613A7ED1">
            <w:pPr>
              <w:widowControl/>
              <w:jc w:val="center"/>
              <w:rPr>
                <w:rFonts w:ascii="Calibri" w:eastAsia="Calibri" w:hAnsi="Calibri" w:cs="Calibri"/>
                <w:color w:val="000000"/>
                <w:sz w:val="22"/>
                <w:szCs w:val="22"/>
              </w:rPr>
            </w:pPr>
            <w:r>
              <w:rPr>
                <w:rFonts w:ascii="Calibri" w:eastAsia="Calibri" w:hAnsi="Calibri" w:cs="Calibri"/>
                <w:color w:val="000000"/>
                <w:sz w:val="22"/>
                <w:szCs w:val="22"/>
              </w:rPr>
              <w:t>36</w:t>
            </w:r>
          </w:p>
        </w:tc>
        <w:tc>
          <w:tcPr>
            <w:tcW w:w="1260" w:type="dxa"/>
            <w:tcBorders>
              <w:top w:val="nil"/>
              <w:left w:val="nil"/>
              <w:bottom w:val="nil"/>
              <w:right w:val="nil"/>
            </w:tcBorders>
            <w:shd w:val="clear" w:color="auto" w:fill="auto"/>
            <w:vAlign w:val="bottom"/>
          </w:tcPr>
          <w:p w:rsidR="00235721" w14:paraId="74771813"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35</w:t>
            </w:r>
          </w:p>
        </w:tc>
        <w:tc>
          <w:tcPr>
            <w:tcW w:w="1710" w:type="dxa"/>
            <w:tcBorders>
              <w:top w:val="nil"/>
              <w:left w:val="nil"/>
              <w:bottom w:val="nil"/>
              <w:right w:val="nil"/>
            </w:tcBorders>
            <w:shd w:val="clear" w:color="auto" w:fill="auto"/>
            <w:vAlign w:val="bottom"/>
          </w:tcPr>
          <w:p w:rsidR="00235721" w14:paraId="17E390BC"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97.2%</w:t>
            </w:r>
          </w:p>
        </w:tc>
      </w:tr>
      <w:tr w14:paraId="68BD8950" w14:textId="77777777" w:rsidTr="00D40724">
        <w:tblPrEx>
          <w:tblW w:w="6930" w:type="dxa"/>
          <w:jc w:val="center"/>
          <w:tblLayout w:type="fixed"/>
          <w:tblLook w:val="0400"/>
        </w:tblPrEx>
        <w:trPr>
          <w:trHeight w:val="300"/>
          <w:jc w:val="center"/>
        </w:trPr>
        <w:tc>
          <w:tcPr>
            <w:tcW w:w="1350" w:type="dxa"/>
            <w:tcBorders>
              <w:top w:val="nil"/>
              <w:left w:val="nil"/>
              <w:bottom w:val="nil"/>
              <w:right w:val="nil"/>
            </w:tcBorders>
            <w:shd w:val="clear" w:color="auto" w:fill="auto"/>
            <w:vAlign w:val="bottom"/>
          </w:tcPr>
          <w:p w:rsidR="00235721" w14:paraId="3C6D185D"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MS</w:t>
            </w:r>
          </w:p>
        </w:tc>
        <w:tc>
          <w:tcPr>
            <w:tcW w:w="870" w:type="dxa"/>
            <w:tcBorders>
              <w:top w:val="nil"/>
              <w:left w:val="nil"/>
              <w:bottom w:val="nil"/>
              <w:right w:val="nil"/>
            </w:tcBorders>
            <w:shd w:val="clear" w:color="auto" w:fill="auto"/>
            <w:vAlign w:val="bottom"/>
          </w:tcPr>
          <w:p w:rsidR="00235721" w14:paraId="404C6BE5"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86</w:t>
            </w:r>
          </w:p>
        </w:tc>
        <w:tc>
          <w:tcPr>
            <w:tcW w:w="1740" w:type="dxa"/>
            <w:tcBorders>
              <w:top w:val="nil"/>
              <w:left w:val="nil"/>
              <w:bottom w:val="nil"/>
              <w:right w:val="nil"/>
            </w:tcBorders>
            <w:shd w:val="clear" w:color="auto" w:fill="auto"/>
            <w:vAlign w:val="bottom"/>
          </w:tcPr>
          <w:p w:rsidR="00235721" w14:paraId="4ED40E4D"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23</w:t>
            </w:r>
          </w:p>
        </w:tc>
        <w:tc>
          <w:tcPr>
            <w:tcW w:w="1260" w:type="dxa"/>
            <w:tcBorders>
              <w:top w:val="nil"/>
              <w:left w:val="nil"/>
              <w:bottom w:val="nil"/>
              <w:right w:val="nil"/>
            </w:tcBorders>
            <w:shd w:val="clear" w:color="auto" w:fill="auto"/>
            <w:vAlign w:val="bottom"/>
          </w:tcPr>
          <w:p w:rsidR="00235721" w14:paraId="38357F35"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20</w:t>
            </w:r>
          </w:p>
        </w:tc>
        <w:tc>
          <w:tcPr>
            <w:tcW w:w="1710" w:type="dxa"/>
            <w:tcBorders>
              <w:top w:val="nil"/>
              <w:left w:val="nil"/>
              <w:bottom w:val="nil"/>
              <w:right w:val="nil"/>
            </w:tcBorders>
            <w:shd w:val="clear" w:color="auto" w:fill="auto"/>
            <w:vAlign w:val="bottom"/>
          </w:tcPr>
          <w:p w:rsidR="00235721" w14:paraId="775DE8EB"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87.0%</w:t>
            </w:r>
          </w:p>
        </w:tc>
      </w:tr>
      <w:tr w14:paraId="124AC497" w14:textId="77777777" w:rsidTr="00D40724">
        <w:tblPrEx>
          <w:tblW w:w="6930" w:type="dxa"/>
          <w:jc w:val="center"/>
          <w:tblLayout w:type="fixed"/>
          <w:tblLook w:val="0400"/>
        </w:tblPrEx>
        <w:trPr>
          <w:trHeight w:val="300"/>
          <w:jc w:val="center"/>
        </w:trPr>
        <w:tc>
          <w:tcPr>
            <w:tcW w:w="1350" w:type="dxa"/>
            <w:tcBorders>
              <w:top w:val="nil"/>
              <w:left w:val="nil"/>
              <w:bottom w:val="nil"/>
              <w:right w:val="nil"/>
            </w:tcBorders>
            <w:shd w:val="clear" w:color="auto" w:fill="auto"/>
            <w:vAlign w:val="bottom"/>
          </w:tcPr>
          <w:p w:rsidR="00235721" w14:paraId="4A49AB56"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LA</w:t>
            </w:r>
          </w:p>
        </w:tc>
        <w:tc>
          <w:tcPr>
            <w:tcW w:w="870" w:type="dxa"/>
            <w:tcBorders>
              <w:top w:val="nil"/>
              <w:left w:val="nil"/>
              <w:bottom w:val="nil"/>
              <w:right w:val="nil"/>
            </w:tcBorders>
            <w:shd w:val="clear" w:color="auto" w:fill="auto"/>
            <w:vAlign w:val="bottom"/>
          </w:tcPr>
          <w:p w:rsidR="00235721" w14:paraId="073EE3F4"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310</w:t>
            </w:r>
          </w:p>
        </w:tc>
        <w:tc>
          <w:tcPr>
            <w:tcW w:w="1740" w:type="dxa"/>
            <w:tcBorders>
              <w:top w:val="nil"/>
              <w:left w:val="nil"/>
              <w:bottom w:val="nil"/>
              <w:right w:val="nil"/>
            </w:tcBorders>
            <w:shd w:val="clear" w:color="auto" w:fill="auto"/>
            <w:vAlign w:val="bottom"/>
          </w:tcPr>
          <w:p w:rsidR="00235721" w14:paraId="12BBB5BA" w14:textId="61C27369">
            <w:pPr>
              <w:widowControl/>
              <w:jc w:val="center"/>
              <w:rPr>
                <w:rFonts w:ascii="Calibri" w:eastAsia="Calibri" w:hAnsi="Calibri" w:cs="Calibri"/>
                <w:color w:val="000000"/>
                <w:sz w:val="22"/>
                <w:szCs w:val="22"/>
              </w:rPr>
            </w:pPr>
            <w:r>
              <w:rPr>
                <w:rFonts w:ascii="Calibri" w:eastAsia="Calibri" w:hAnsi="Calibri" w:cs="Calibri"/>
                <w:color w:val="000000"/>
                <w:sz w:val="22"/>
                <w:szCs w:val="22"/>
              </w:rPr>
              <w:t>104</w:t>
            </w:r>
          </w:p>
        </w:tc>
        <w:tc>
          <w:tcPr>
            <w:tcW w:w="1260" w:type="dxa"/>
            <w:tcBorders>
              <w:top w:val="nil"/>
              <w:left w:val="nil"/>
              <w:bottom w:val="nil"/>
              <w:right w:val="nil"/>
            </w:tcBorders>
            <w:shd w:val="clear" w:color="auto" w:fill="auto"/>
            <w:vAlign w:val="bottom"/>
          </w:tcPr>
          <w:p w:rsidR="00235721" w14:paraId="463748E2"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84</w:t>
            </w:r>
          </w:p>
        </w:tc>
        <w:tc>
          <w:tcPr>
            <w:tcW w:w="1710" w:type="dxa"/>
            <w:tcBorders>
              <w:top w:val="nil"/>
              <w:left w:val="nil"/>
              <w:bottom w:val="nil"/>
              <w:right w:val="nil"/>
            </w:tcBorders>
            <w:shd w:val="clear" w:color="auto" w:fill="auto"/>
            <w:vAlign w:val="bottom"/>
          </w:tcPr>
          <w:p w:rsidR="00235721" w14:paraId="51F3D54D"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80.8%</w:t>
            </w:r>
          </w:p>
        </w:tc>
      </w:tr>
      <w:tr w14:paraId="474D1C6B" w14:textId="77777777" w:rsidTr="00D40724">
        <w:tblPrEx>
          <w:tblW w:w="6930" w:type="dxa"/>
          <w:jc w:val="center"/>
          <w:tblLayout w:type="fixed"/>
          <w:tblLook w:val="0400"/>
        </w:tblPrEx>
        <w:trPr>
          <w:trHeight w:val="300"/>
          <w:jc w:val="center"/>
        </w:trPr>
        <w:tc>
          <w:tcPr>
            <w:tcW w:w="1350" w:type="dxa"/>
            <w:tcBorders>
              <w:top w:val="nil"/>
              <w:left w:val="nil"/>
              <w:bottom w:val="nil"/>
              <w:right w:val="nil"/>
            </w:tcBorders>
            <w:shd w:val="clear" w:color="auto" w:fill="auto"/>
            <w:vAlign w:val="bottom"/>
          </w:tcPr>
          <w:p w:rsidR="00235721" w14:paraId="5964919F"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TX</w:t>
            </w:r>
          </w:p>
        </w:tc>
        <w:tc>
          <w:tcPr>
            <w:tcW w:w="870" w:type="dxa"/>
            <w:tcBorders>
              <w:top w:val="nil"/>
              <w:left w:val="nil"/>
              <w:bottom w:val="nil"/>
              <w:right w:val="nil"/>
            </w:tcBorders>
            <w:shd w:val="clear" w:color="auto" w:fill="auto"/>
            <w:vAlign w:val="bottom"/>
          </w:tcPr>
          <w:p w:rsidR="00235721" w14:paraId="02336685"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497</w:t>
            </w:r>
          </w:p>
        </w:tc>
        <w:tc>
          <w:tcPr>
            <w:tcW w:w="1740" w:type="dxa"/>
            <w:tcBorders>
              <w:top w:val="nil"/>
              <w:left w:val="nil"/>
              <w:bottom w:val="nil"/>
              <w:right w:val="nil"/>
            </w:tcBorders>
            <w:shd w:val="clear" w:color="auto" w:fill="auto"/>
            <w:vAlign w:val="bottom"/>
          </w:tcPr>
          <w:p w:rsidR="00235721" w14:paraId="08F0A30F"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175</w:t>
            </w:r>
          </w:p>
        </w:tc>
        <w:tc>
          <w:tcPr>
            <w:tcW w:w="1260" w:type="dxa"/>
            <w:tcBorders>
              <w:top w:val="nil"/>
              <w:left w:val="nil"/>
              <w:bottom w:val="nil"/>
              <w:right w:val="nil"/>
            </w:tcBorders>
            <w:shd w:val="clear" w:color="auto" w:fill="auto"/>
            <w:vAlign w:val="bottom"/>
          </w:tcPr>
          <w:p w:rsidR="00235721" w14:paraId="12AC2669"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149</w:t>
            </w:r>
          </w:p>
        </w:tc>
        <w:tc>
          <w:tcPr>
            <w:tcW w:w="1710" w:type="dxa"/>
            <w:tcBorders>
              <w:top w:val="nil"/>
              <w:left w:val="nil"/>
              <w:bottom w:val="nil"/>
              <w:right w:val="nil"/>
            </w:tcBorders>
            <w:shd w:val="clear" w:color="auto" w:fill="auto"/>
            <w:vAlign w:val="bottom"/>
          </w:tcPr>
          <w:p w:rsidR="00235721" w14:paraId="714A37D7"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85.1%</w:t>
            </w:r>
          </w:p>
        </w:tc>
      </w:tr>
      <w:tr w14:paraId="41A0ADA2" w14:textId="77777777" w:rsidTr="00D40724">
        <w:tblPrEx>
          <w:tblW w:w="6930" w:type="dxa"/>
          <w:jc w:val="center"/>
          <w:tblLayout w:type="fixed"/>
          <w:tblLook w:val="0400"/>
        </w:tblPrEx>
        <w:trPr>
          <w:trHeight w:val="300"/>
          <w:jc w:val="center"/>
        </w:trPr>
        <w:tc>
          <w:tcPr>
            <w:tcW w:w="1350" w:type="dxa"/>
            <w:tcBorders>
              <w:top w:val="nil"/>
              <w:left w:val="nil"/>
              <w:bottom w:val="single" w:sz="4" w:space="0" w:color="757171"/>
              <w:right w:val="nil"/>
            </w:tcBorders>
            <w:shd w:val="clear" w:color="auto" w:fill="auto"/>
            <w:vAlign w:val="bottom"/>
          </w:tcPr>
          <w:p w:rsidR="00235721" w14:paraId="744806EA"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Other</w:t>
            </w:r>
          </w:p>
        </w:tc>
        <w:tc>
          <w:tcPr>
            <w:tcW w:w="870" w:type="dxa"/>
            <w:tcBorders>
              <w:top w:val="nil"/>
              <w:left w:val="nil"/>
              <w:bottom w:val="single" w:sz="4" w:space="0" w:color="757171"/>
              <w:right w:val="nil"/>
            </w:tcBorders>
            <w:shd w:val="clear" w:color="auto" w:fill="auto"/>
            <w:vAlign w:val="bottom"/>
          </w:tcPr>
          <w:p w:rsidR="00235721" w14:paraId="0A3E3B3E"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51</w:t>
            </w:r>
          </w:p>
        </w:tc>
        <w:tc>
          <w:tcPr>
            <w:tcW w:w="1740" w:type="dxa"/>
            <w:tcBorders>
              <w:top w:val="nil"/>
              <w:left w:val="nil"/>
              <w:bottom w:val="single" w:sz="4" w:space="0" w:color="757171"/>
              <w:right w:val="nil"/>
            </w:tcBorders>
            <w:shd w:val="clear" w:color="auto" w:fill="auto"/>
            <w:vAlign w:val="bottom"/>
          </w:tcPr>
          <w:p w:rsidR="00235721" w14:paraId="1073734C" w14:textId="077E78C2">
            <w:pPr>
              <w:widowControl/>
              <w:jc w:val="center"/>
              <w:rPr>
                <w:rFonts w:ascii="Calibri" w:eastAsia="Calibri" w:hAnsi="Calibri" w:cs="Calibri"/>
                <w:color w:val="000000"/>
                <w:sz w:val="22"/>
                <w:szCs w:val="22"/>
              </w:rPr>
            </w:pPr>
            <w:r>
              <w:rPr>
                <w:rFonts w:ascii="Calibri" w:eastAsia="Calibri" w:hAnsi="Calibri" w:cs="Calibri"/>
                <w:color w:val="000000"/>
                <w:sz w:val="22"/>
                <w:szCs w:val="22"/>
              </w:rPr>
              <w:t>22</w:t>
            </w:r>
          </w:p>
        </w:tc>
        <w:tc>
          <w:tcPr>
            <w:tcW w:w="1260" w:type="dxa"/>
            <w:tcBorders>
              <w:top w:val="nil"/>
              <w:left w:val="nil"/>
              <w:bottom w:val="single" w:sz="4" w:space="0" w:color="757171"/>
              <w:right w:val="nil"/>
            </w:tcBorders>
            <w:shd w:val="clear" w:color="auto" w:fill="auto"/>
            <w:vAlign w:val="bottom"/>
          </w:tcPr>
          <w:p w:rsidR="00235721" w14:paraId="381ADFCF"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16</w:t>
            </w:r>
          </w:p>
        </w:tc>
        <w:tc>
          <w:tcPr>
            <w:tcW w:w="1710" w:type="dxa"/>
            <w:tcBorders>
              <w:top w:val="nil"/>
              <w:left w:val="nil"/>
              <w:bottom w:val="single" w:sz="4" w:space="0" w:color="757171"/>
              <w:right w:val="nil"/>
            </w:tcBorders>
            <w:shd w:val="clear" w:color="auto" w:fill="auto"/>
            <w:vAlign w:val="bottom"/>
          </w:tcPr>
          <w:p w:rsidR="00235721" w14:paraId="7A08E0B0"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72.7%</w:t>
            </w:r>
          </w:p>
        </w:tc>
      </w:tr>
      <w:tr w14:paraId="7251A5AF" w14:textId="77777777" w:rsidTr="00D40724">
        <w:tblPrEx>
          <w:tblW w:w="6930" w:type="dxa"/>
          <w:jc w:val="center"/>
          <w:tblLayout w:type="fixed"/>
          <w:tblLook w:val="0400"/>
        </w:tblPrEx>
        <w:trPr>
          <w:trHeight w:val="300"/>
          <w:jc w:val="center"/>
        </w:trPr>
        <w:tc>
          <w:tcPr>
            <w:tcW w:w="1350" w:type="dxa"/>
            <w:tcBorders>
              <w:top w:val="nil"/>
              <w:left w:val="nil"/>
              <w:bottom w:val="single" w:sz="4" w:space="0" w:color="000000"/>
              <w:right w:val="nil"/>
            </w:tcBorders>
            <w:shd w:val="clear" w:color="auto" w:fill="auto"/>
            <w:vAlign w:val="bottom"/>
          </w:tcPr>
          <w:p w:rsidR="00235721" w14:paraId="4C31F6B1"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Overall</w:t>
            </w:r>
          </w:p>
        </w:tc>
        <w:tc>
          <w:tcPr>
            <w:tcW w:w="870" w:type="dxa"/>
            <w:tcBorders>
              <w:top w:val="nil"/>
              <w:left w:val="nil"/>
              <w:bottom w:val="single" w:sz="4" w:space="0" w:color="000000"/>
              <w:right w:val="nil"/>
            </w:tcBorders>
            <w:shd w:val="clear" w:color="auto" w:fill="auto"/>
            <w:vAlign w:val="bottom"/>
          </w:tcPr>
          <w:p w:rsidR="00235721" w14:paraId="33D1D226"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1,558</w:t>
            </w:r>
          </w:p>
        </w:tc>
        <w:tc>
          <w:tcPr>
            <w:tcW w:w="1740" w:type="dxa"/>
            <w:tcBorders>
              <w:top w:val="nil"/>
              <w:left w:val="nil"/>
              <w:bottom w:val="single" w:sz="4" w:space="0" w:color="000000"/>
              <w:right w:val="nil"/>
            </w:tcBorders>
            <w:shd w:val="clear" w:color="auto" w:fill="auto"/>
            <w:vAlign w:val="bottom"/>
          </w:tcPr>
          <w:p w:rsidR="00235721" w14:paraId="1377BA39" w14:textId="2A5A151D">
            <w:pPr>
              <w:widowControl/>
              <w:jc w:val="center"/>
              <w:rPr>
                <w:rFonts w:ascii="Calibri" w:eastAsia="Calibri" w:hAnsi="Calibri" w:cs="Calibri"/>
                <w:color w:val="000000"/>
                <w:sz w:val="22"/>
                <w:szCs w:val="22"/>
              </w:rPr>
            </w:pPr>
            <w:r>
              <w:rPr>
                <w:rFonts w:ascii="Calibri" w:eastAsia="Calibri" w:hAnsi="Calibri" w:cs="Calibri"/>
                <w:color w:val="000000"/>
                <w:sz w:val="22"/>
                <w:szCs w:val="22"/>
              </w:rPr>
              <w:t>5</w:t>
            </w:r>
            <w:r w:rsidR="00B22867">
              <w:rPr>
                <w:rFonts w:ascii="Calibri" w:eastAsia="Calibri" w:hAnsi="Calibri" w:cs="Calibri"/>
                <w:color w:val="000000"/>
                <w:sz w:val="22"/>
                <w:szCs w:val="22"/>
              </w:rPr>
              <w:t>79</w:t>
            </w:r>
          </w:p>
        </w:tc>
        <w:tc>
          <w:tcPr>
            <w:tcW w:w="1260" w:type="dxa"/>
            <w:tcBorders>
              <w:top w:val="nil"/>
              <w:left w:val="nil"/>
              <w:bottom w:val="single" w:sz="4" w:space="0" w:color="000000"/>
              <w:right w:val="nil"/>
            </w:tcBorders>
            <w:shd w:val="clear" w:color="auto" w:fill="auto"/>
            <w:vAlign w:val="bottom"/>
          </w:tcPr>
          <w:p w:rsidR="00235721" w14:paraId="732FDBF2"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443</w:t>
            </w:r>
          </w:p>
        </w:tc>
        <w:tc>
          <w:tcPr>
            <w:tcW w:w="1710" w:type="dxa"/>
            <w:tcBorders>
              <w:top w:val="nil"/>
              <w:left w:val="nil"/>
              <w:bottom w:val="single" w:sz="4" w:space="0" w:color="000000"/>
              <w:right w:val="nil"/>
            </w:tcBorders>
            <w:shd w:val="clear" w:color="auto" w:fill="auto"/>
            <w:vAlign w:val="bottom"/>
          </w:tcPr>
          <w:p w:rsidR="00235721" w14:paraId="0E15B872"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76.5%</w:t>
            </w:r>
          </w:p>
        </w:tc>
      </w:tr>
    </w:tbl>
    <w:p w:rsidR="00235721" w14:paraId="414E1439" w14:textId="0DD10326">
      <w:pPr>
        <w:shd w:val="clear" w:color="auto" w:fill="FFFFFF"/>
        <w:spacing w:before="240" w:after="120" w:line="259" w:lineRule="auto"/>
        <w:jc w:val="both"/>
      </w:pPr>
      <w:r>
        <w:t>Table 2 shows the number of vessels</w:t>
      </w:r>
      <w:r w:rsidR="005556A7">
        <w:t xml:space="preserve"> sampled</w:t>
      </w:r>
      <w:bookmarkStart w:id="1" w:name="_GoBack"/>
      <w:bookmarkEnd w:id="1"/>
      <w:r>
        <w:t xml:space="preserve"> and response rates by permit type. According to the permit records in the Southeast, most federally permitted vessels held a Gulf limited access SPGM permit in 2023 (i.e. 1,287 vessels out of a total 1,558 in the Southeast fleet). The South Atlantic shrimp fishery is much smaller scale than the Gulf; with only 544 vessels holding the South Atlantic penaeid shrimp permit (SPA permit). Note that vessels can hold multiple permits, and many do. The SPA permit is an open access permit, meaning anyone can apply for one. Hence the SPA population is much more transient than the limited access SPGM which makes the enforcement of compliance much harder. The implicit threat of non-renewal of a permit is typically much less binding in an open access fishery as they can reapply next year under the wife’s name or a different LLC. This leads to different survey response rates by permit type, as shown in Table 2.</w:t>
      </w:r>
    </w:p>
    <w:p w:rsidR="00235721" w:rsidP="00246ECA" w14:paraId="6B6AAD0A" w14:textId="05C784E3">
      <w:pPr>
        <w:spacing w:before="180" w:after="120" w:line="259" w:lineRule="auto"/>
        <w:jc w:val="both"/>
      </w:pPr>
      <w:bookmarkStart w:id="2" w:name="_fj96cn78woqd" w:colFirst="0" w:colLast="0"/>
      <w:bookmarkEnd w:id="2"/>
      <w:r>
        <w:t xml:space="preserve">Table 2. </w:t>
      </w:r>
      <w:r w:rsidR="005556A7">
        <w:t>Survey r</w:t>
      </w:r>
      <w:r>
        <w:t>esponse rates</w:t>
      </w:r>
      <w:r w:rsidR="005556A7">
        <w:t>,</w:t>
      </w:r>
      <w:r>
        <w:t xml:space="preserve"> </w:t>
      </w:r>
      <w:r w:rsidR="005556A7">
        <w:t>vessel population</w:t>
      </w:r>
      <w:r w:rsidR="005556A7">
        <w:t xml:space="preserve">, and </w:t>
      </w:r>
      <w:r w:rsidR="005556A7">
        <w:t>number of vessels sampled</w:t>
      </w:r>
      <w:r w:rsidR="005556A7">
        <w:t xml:space="preserve"> </w:t>
      </w:r>
      <w:r>
        <w:t>by permit type</w:t>
      </w:r>
      <w:r w:rsidR="005556A7">
        <w:t xml:space="preserve"> during</w:t>
      </w:r>
      <w:r>
        <w:t xml:space="preserve"> the 2023 Annual Economic Survey of Federal Gulf and South Atlantic Shrimp Permit Holders.</w:t>
      </w:r>
    </w:p>
    <w:tbl>
      <w:tblPr>
        <w:tblStyle w:val="a0"/>
        <w:tblW w:w="9645" w:type="dxa"/>
        <w:jc w:val="center"/>
        <w:tblLayout w:type="fixed"/>
        <w:tblLook w:val="0400"/>
      </w:tblPr>
      <w:tblGrid>
        <w:gridCol w:w="886"/>
        <w:gridCol w:w="2280"/>
        <w:gridCol w:w="1644"/>
        <w:gridCol w:w="1160"/>
        <w:gridCol w:w="960"/>
        <w:gridCol w:w="1095"/>
        <w:gridCol w:w="1620"/>
      </w:tblGrid>
      <w:tr w14:paraId="7B56838E" w14:textId="77777777" w:rsidTr="00327F32">
        <w:tblPrEx>
          <w:tblW w:w="9645" w:type="dxa"/>
          <w:jc w:val="center"/>
          <w:tblLayout w:type="fixed"/>
          <w:tblLook w:val="0400"/>
        </w:tblPrEx>
        <w:trPr>
          <w:trHeight w:val="315"/>
          <w:jc w:val="center"/>
        </w:trPr>
        <w:tc>
          <w:tcPr>
            <w:tcW w:w="886" w:type="dxa"/>
            <w:tcBorders>
              <w:top w:val="single" w:sz="8" w:space="0" w:color="000000"/>
              <w:left w:val="nil"/>
              <w:bottom w:val="single" w:sz="4" w:space="0" w:color="757171"/>
              <w:right w:val="nil"/>
            </w:tcBorders>
            <w:shd w:val="clear" w:color="auto" w:fill="auto"/>
            <w:vAlign w:val="bottom"/>
          </w:tcPr>
          <w:p w:rsidR="00235721" w14:paraId="767D4CC5"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Permit</w:t>
            </w:r>
          </w:p>
        </w:tc>
        <w:tc>
          <w:tcPr>
            <w:tcW w:w="2280" w:type="dxa"/>
            <w:tcBorders>
              <w:top w:val="single" w:sz="8" w:space="0" w:color="000000"/>
              <w:left w:val="nil"/>
              <w:bottom w:val="single" w:sz="4" w:space="0" w:color="757171"/>
              <w:right w:val="nil"/>
            </w:tcBorders>
            <w:shd w:val="clear" w:color="auto" w:fill="auto"/>
            <w:vAlign w:val="bottom"/>
          </w:tcPr>
          <w:p w:rsidR="00235721" w14:paraId="3FF71063"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Fishery</w:t>
            </w:r>
          </w:p>
        </w:tc>
        <w:tc>
          <w:tcPr>
            <w:tcW w:w="1644" w:type="dxa"/>
            <w:tcBorders>
              <w:top w:val="single" w:sz="8" w:space="0" w:color="000000"/>
              <w:left w:val="nil"/>
              <w:bottom w:val="single" w:sz="4" w:space="0" w:color="757171"/>
              <w:right w:val="nil"/>
            </w:tcBorders>
            <w:shd w:val="clear" w:color="auto" w:fill="auto"/>
            <w:vAlign w:val="bottom"/>
          </w:tcPr>
          <w:p w:rsidR="00235721" w14:paraId="043C7252"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Permit Type</w:t>
            </w:r>
          </w:p>
        </w:tc>
        <w:tc>
          <w:tcPr>
            <w:tcW w:w="1160" w:type="dxa"/>
            <w:tcBorders>
              <w:top w:val="single" w:sz="8" w:space="0" w:color="000000"/>
              <w:left w:val="nil"/>
              <w:bottom w:val="single" w:sz="4" w:space="0" w:color="757171"/>
              <w:right w:val="nil"/>
            </w:tcBorders>
            <w:shd w:val="clear" w:color="auto" w:fill="auto"/>
            <w:vAlign w:val="bottom"/>
          </w:tcPr>
          <w:p w:rsidR="00235721" w14:paraId="1DFA6ACA" w14:textId="77777777">
            <w:pPr>
              <w:widowControl/>
              <w:ind w:left="-90" w:right="-78"/>
              <w:jc w:val="center"/>
              <w:rPr>
                <w:rFonts w:ascii="Calibri" w:eastAsia="Calibri" w:hAnsi="Calibri" w:cs="Calibri"/>
                <w:color w:val="000000"/>
                <w:sz w:val="22"/>
                <w:szCs w:val="22"/>
              </w:rPr>
            </w:pPr>
            <w:r>
              <w:rPr>
                <w:rFonts w:ascii="Calibri" w:eastAsia="Calibri" w:hAnsi="Calibri" w:cs="Calibri"/>
                <w:color w:val="000000"/>
                <w:sz w:val="22"/>
                <w:szCs w:val="22"/>
              </w:rPr>
              <w:t>Population</w:t>
            </w:r>
          </w:p>
        </w:tc>
        <w:tc>
          <w:tcPr>
            <w:tcW w:w="960" w:type="dxa"/>
            <w:tcBorders>
              <w:top w:val="single" w:sz="8" w:space="0" w:color="000000"/>
              <w:left w:val="nil"/>
              <w:bottom w:val="single" w:sz="4" w:space="0" w:color="757171"/>
              <w:right w:val="nil"/>
            </w:tcBorders>
            <w:shd w:val="clear" w:color="auto" w:fill="auto"/>
            <w:vAlign w:val="bottom"/>
          </w:tcPr>
          <w:p w:rsidR="00235721" w14:paraId="2ADF874C" w14:textId="7D04C690">
            <w:pPr>
              <w:widowControl/>
              <w:ind w:left="-90" w:right="-78"/>
              <w:jc w:val="center"/>
              <w:rPr>
                <w:rFonts w:ascii="Calibri" w:eastAsia="Calibri" w:hAnsi="Calibri" w:cs="Calibri"/>
                <w:color w:val="000000"/>
                <w:sz w:val="22"/>
                <w:szCs w:val="22"/>
              </w:rPr>
            </w:pPr>
            <w:r>
              <w:rPr>
                <w:rFonts w:ascii="Calibri" w:eastAsia="Calibri" w:hAnsi="Calibri" w:cs="Calibri"/>
                <w:color w:val="000000"/>
                <w:sz w:val="22"/>
                <w:szCs w:val="22"/>
              </w:rPr>
              <w:t>Sample</w:t>
            </w:r>
            <w:r w:rsidR="00D40724">
              <w:rPr>
                <w:rFonts w:ascii="Calibri" w:eastAsia="Calibri" w:hAnsi="Calibri" w:cs="Calibri"/>
                <w:color w:val="000000"/>
                <w:sz w:val="22"/>
                <w:szCs w:val="22"/>
              </w:rPr>
              <w:t>d</w:t>
            </w:r>
          </w:p>
        </w:tc>
        <w:tc>
          <w:tcPr>
            <w:tcW w:w="1095" w:type="dxa"/>
            <w:tcBorders>
              <w:top w:val="single" w:sz="8" w:space="0" w:color="000000"/>
              <w:left w:val="nil"/>
              <w:bottom w:val="single" w:sz="4" w:space="0" w:color="757171"/>
              <w:right w:val="nil"/>
            </w:tcBorders>
            <w:shd w:val="clear" w:color="auto" w:fill="auto"/>
            <w:vAlign w:val="bottom"/>
          </w:tcPr>
          <w:p w:rsidR="00235721" w14:paraId="5C564620" w14:textId="77777777">
            <w:pPr>
              <w:widowControl/>
              <w:ind w:left="-90" w:right="-78"/>
              <w:jc w:val="center"/>
              <w:rPr>
                <w:rFonts w:ascii="Calibri" w:eastAsia="Calibri" w:hAnsi="Calibri" w:cs="Calibri"/>
                <w:color w:val="000000"/>
                <w:sz w:val="22"/>
                <w:szCs w:val="22"/>
              </w:rPr>
            </w:pPr>
            <w:r>
              <w:rPr>
                <w:rFonts w:ascii="Calibri" w:eastAsia="Calibri" w:hAnsi="Calibri" w:cs="Calibri"/>
                <w:color w:val="000000"/>
                <w:sz w:val="22"/>
                <w:szCs w:val="22"/>
              </w:rPr>
              <w:t>Responses</w:t>
            </w:r>
          </w:p>
        </w:tc>
        <w:tc>
          <w:tcPr>
            <w:tcW w:w="1620" w:type="dxa"/>
            <w:tcBorders>
              <w:top w:val="single" w:sz="8" w:space="0" w:color="000000"/>
              <w:left w:val="nil"/>
              <w:bottom w:val="single" w:sz="4" w:space="0" w:color="757171"/>
              <w:right w:val="nil"/>
            </w:tcBorders>
            <w:shd w:val="clear" w:color="auto" w:fill="auto"/>
            <w:vAlign w:val="bottom"/>
          </w:tcPr>
          <w:p w:rsidR="00235721" w14:paraId="74CD1975"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Response Rate</w:t>
            </w:r>
          </w:p>
        </w:tc>
      </w:tr>
      <w:tr w14:paraId="3B522C8E" w14:textId="77777777" w:rsidTr="00327F32">
        <w:tblPrEx>
          <w:tblW w:w="9645" w:type="dxa"/>
          <w:jc w:val="center"/>
          <w:tblLayout w:type="fixed"/>
          <w:tblLook w:val="0400"/>
        </w:tblPrEx>
        <w:trPr>
          <w:trHeight w:val="300"/>
          <w:jc w:val="center"/>
        </w:trPr>
        <w:tc>
          <w:tcPr>
            <w:tcW w:w="886" w:type="dxa"/>
            <w:tcBorders>
              <w:top w:val="nil"/>
              <w:left w:val="nil"/>
              <w:bottom w:val="nil"/>
              <w:right w:val="nil"/>
            </w:tcBorders>
            <w:shd w:val="clear" w:color="auto" w:fill="auto"/>
            <w:vAlign w:val="bottom"/>
          </w:tcPr>
          <w:p w:rsidR="00235721" w14:paraId="4101C7B6"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SPGM</w:t>
            </w:r>
          </w:p>
        </w:tc>
        <w:tc>
          <w:tcPr>
            <w:tcW w:w="2280" w:type="dxa"/>
            <w:tcBorders>
              <w:top w:val="nil"/>
              <w:left w:val="nil"/>
              <w:bottom w:val="nil"/>
              <w:right w:val="nil"/>
            </w:tcBorders>
            <w:shd w:val="clear" w:color="auto" w:fill="auto"/>
            <w:vAlign w:val="bottom"/>
          </w:tcPr>
          <w:p w:rsidR="00235721" w14:paraId="7C5764F5"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Gulf shrimp</w:t>
            </w:r>
          </w:p>
        </w:tc>
        <w:tc>
          <w:tcPr>
            <w:tcW w:w="1644" w:type="dxa"/>
            <w:tcBorders>
              <w:top w:val="nil"/>
              <w:left w:val="nil"/>
              <w:bottom w:val="nil"/>
              <w:right w:val="nil"/>
            </w:tcBorders>
            <w:shd w:val="clear" w:color="auto" w:fill="auto"/>
            <w:vAlign w:val="bottom"/>
          </w:tcPr>
          <w:p w:rsidR="00235721" w14:paraId="3FC91506"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Limited Access</w:t>
            </w:r>
          </w:p>
        </w:tc>
        <w:tc>
          <w:tcPr>
            <w:tcW w:w="1160" w:type="dxa"/>
            <w:tcBorders>
              <w:top w:val="nil"/>
              <w:left w:val="nil"/>
              <w:bottom w:val="nil"/>
              <w:right w:val="nil"/>
            </w:tcBorders>
            <w:shd w:val="clear" w:color="auto" w:fill="auto"/>
            <w:vAlign w:val="bottom"/>
          </w:tcPr>
          <w:p w:rsidR="00235721" w14:paraId="20385123" w14:textId="77777777">
            <w:pPr>
              <w:widowControl/>
              <w:ind w:left="-90" w:right="-78"/>
              <w:jc w:val="center"/>
              <w:rPr>
                <w:rFonts w:ascii="Calibri" w:eastAsia="Calibri" w:hAnsi="Calibri" w:cs="Calibri"/>
                <w:color w:val="000000"/>
                <w:sz w:val="22"/>
                <w:szCs w:val="22"/>
              </w:rPr>
            </w:pPr>
            <w:r>
              <w:rPr>
                <w:rFonts w:ascii="Calibri" w:eastAsia="Calibri" w:hAnsi="Calibri" w:cs="Calibri"/>
                <w:color w:val="000000"/>
                <w:sz w:val="22"/>
                <w:szCs w:val="22"/>
              </w:rPr>
              <w:t>1287</w:t>
            </w:r>
          </w:p>
        </w:tc>
        <w:tc>
          <w:tcPr>
            <w:tcW w:w="960" w:type="dxa"/>
            <w:tcBorders>
              <w:top w:val="nil"/>
              <w:left w:val="nil"/>
              <w:bottom w:val="nil"/>
              <w:right w:val="nil"/>
            </w:tcBorders>
            <w:shd w:val="clear" w:color="auto" w:fill="auto"/>
            <w:vAlign w:val="bottom"/>
          </w:tcPr>
          <w:p w:rsidR="00235721" w:rsidRPr="005556A7" w14:paraId="2B8D69E8" w14:textId="72558BE0">
            <w:pPr>
              <w:widowControl/>
              <w:ind w:left="-90" w:right="-78"/>
              <w:jc w:val="center"/>
              <w:rPr>
                <w:rFonts w:ascii="Calibri" w:eastAsia="Calibri" w:hAnsi="Calibri" w:cs="Calibri"/>
                <w:color w:val="000000"/>
                <w:sz w:val="22"/>
                <w:szCs w:val="22"/>
              </w:rPr>
            </w:pPr>
            <w:r w:rsidRPr="005556A7">
              <w:rPr>
                <w:rFonts w:ascii="Calibri" w:eastAsia="Calibri" w:hAnsi="Calibri" w:cs="Calibri"/>
                <w:color w:val="000000"/>
                <w:sz w:val="22"/>
                <w:szCs w:val="22"/>
              </w:rPr>
              <w:t>448</w:t>
            </w:r>
          </w:p>
        </w:tc>
        <w:tc>
          <w:tcPr>
            <w:tcW w:w="1095" w:type="dxa"/>
            <w:tcBorders>
              <w:top w:val="nil"/>
              <w:left w:val="nil"/>
              <w:bottom w:val="nil"/>
              <w:right w:val="nil"/>
            </w:tcBorders>
            <w:shd w:val="clear" w:color="auto" w:fill="auto"/>
            <w:vAlign w:val="bottom"/>
          </w:tcPr>
          <w:p w:rsidR="00235721" w14:paraId="6B24B9FA" w14:textId="77777777">
            <w:pPr>
              <w:widowControl/>
              <w:ind w:left="-90" w:right="-78"/>
              <w:jc w:val="center"/>
              <w:rPr>
                <w:rFonts w:ascii="Calibri" w:eastAsia="Calibri" w:hAnsi="Calibri" w:cs="Calibri"/>
                <w:color w:val="000000"/>
                <w:sz w:val="22"/>
                <w:szCs w:val="22"/>
              </w:rPr>
            </w:pPr>
            <w:r>
              <w:rPr>
                <w:rFonts w:ascii="Calibri" w:eastAsia="Calibri" w:hAnsi="Calibri" w:cs="Calibri"/>
                <w:color w:val="000000"/>
                <w:sz w:val="22"/>
                <w:szCs w:val="22"/>
              </w:rPr>
              <w:t>384</w:t>
            </w:r>
          </w:p>
        </w:tc>
        <w:tc>
          <w:tcPr>
            <w:tcW w:w="1620" w:type="dxa"/>
            <w:tcBorders>
              <w:top w:val="nil"/>
              <w:left w:val="nil"/>
              <w:bottom w:val="nil"/>
              <w:right w:val="nil"/>
            </w:tcBorders>
            <w:shd w:val="clear" w:color="auto" w:fill="auto"/>
            <w:vAlign w:val="bottom"/>
          </w:tcPr>
          <w:p w:rsidR="00235721" w14:paraId="7AFF9DB5"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85.7%</w:t>
            </w:r>
          </w:p>
        </w:tc>
      </w:tr>
      <w:tr w14:paraId="42336B9E" w14:textId="77777777" w:rsidTr="00327F32">
        <w:tblPrEx>
          <w:tblW w:w="9645" w:type="dxa"/>
          <w:jc w:val="center"/>
          <w:tblLayout w:type="fixed"/>
          <w:tblLook w:val="0400"/>
        </w:tblPrEx>
        <w:trPr>
          <w:trHeight w:val="300"/>
          <w:jc w:val="center"/>
        </w:trPr>
        <w:tc>
          <w:tcPr>
            <w:tcW w:w="886" w:type="dxa"/>
            <w:tcBorders>
              <w:top w:val="nil"/>
              <w:left w:val="nil"/>
              <w:bottom w:val="nil"/>
              <w:right w:val="nil"/>
            </w:tcBorders>
            <w:shd w:val="clear" w:color="auto" w:fill="auto"/>
            <w:vAlign w:val="bottom"/>
          </w:tcPr>
          <w:p w:rsidR="00235721" w14:paraId="5A840A8B"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SPA</w:t>
            </w:r>
          </w:p>
        </w:tc>
        <w:tc>
          <w:tcPr>
            <w:tcW w:w="2280" w:type="dxa"/>
            <w:tcBorders>
              <w:top w:val="nil"/>
              <w:left w:val="nil"/>
              <w:bottom w:val="nil"/>
              <w:right w:val="nil"/>
            </w:tcBorders>
            <w:shd w:val="clear" w:color="auto" w:fill="auto"/>
            <w:vAlign w:val="bottom"/>
          </w:tcPr>
          <w:p w:rsidR="00235721" w14:paraId="169550DD"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SA penaeid shrimp</w:t>
            </w:r>
          </w:p>
        </w:tc>
        <w:tc>
          <w:tcPr>
            <w:tcW w:w="1644" w:type="dxa"/>
            <w:tcBorders>
              <w:top w:val="nil"/>
              <w:left w:val="nil"/>
              <w:bottom w:val="nil"/>
              <w:right w:val="nil"/>
            </w:tcBorders>
            <w:shd w:val="clear" w:color="auto" w:fill="auto"/>
            <w:vAlign w:val="bottom"/>
          </w:tcPr>
          <w:p w:rsidR="00235721" w14:paraId="794BE401"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Open Access</w:t>
            </w:r>
          </w:p>
        </w:tc>
        <w:tc>
          <w:tcPr>
            <w:tcW w:w="1160" w:type="dxa"/>
            <w:tcBorders>
              <w:top w:val="nil"/>
              <w:left w:val="nil"/>
              <w:bottom w:val="nil"/>
              <w:right w:val="nil"/>
            </w:tcBorders>
            <w:shd w:val="clear" w:color="auto" w:fill="auto"/>
            <w:vAlign w:val="bottom"/>
          </w:tcPr>
          <w:p w:rsidR="00235721" w14:paraId="6F7703A1" w14:textId="77777777">
            <w:pPr>
              <w:widowControl/>
              <w:ind w:left="-90" w:right="-78"/>
              <w:jc w:val="center"/>
              <w:rPr>
                <w:rFonts w:ascii="Calibri" w:eastAsia="Calibri" w:hAnsi="Calibri" w:cs="Calibri"/>
                <w:color w:val="000000"/>
                <w:sz w:val="22"/>
                <w:szCs w:val="22"/>
              </w:rPr>
            </w:pPr>
            <w:r>
              <w:rPr>
                <w:rFonts w:ascii="Calibri" w:eastAsia="Calibri" w:hAnsi="Calibri" w:cs="Calibri"/>
                <w:color w:val="000000"/>
                <w:sz w:val="22"/>
                <w:szCs w:val="22"/>
              </w:rPr>
              <w:t>544</w:t>
            </w:r>
          </w:p>
        </w:tc>
        <w:tc>
          <w:tcPr>
            <w:tcW w:w="960" w:type="dxa"/>
            <w:tcBorders>
              <w:top w:val="nil"/>
              <w:left w:val="nil"/>
              <w:bottom w:val="nil"/>
              <w:right w:val="nil"/>
            </w:tcBorders>
            <w:shd w:val="clear" w:color="auto" w:fill="auto"/>
            <w:vAlign w:val="bottom"/>
          </w:tcPr>
          <w:p w:rsidR="00235721" w:rsidRPr="005556A7" w14:paraId="43D32EB3" w14:textId="21DC83C7">
            <w:pPr>
              <w:widowControl/>
              <w:ind w:left="-90" w:right="-78"/>
              <w:jc w:val="center"/>
              <w:rPr>
                <w:rFonts w:ascii="Calibri" w:eastAsia="Calibri" w:hAnsi="Calibri" w:cs="Calibri"/>
                <w:color w:val="000000"/>
                <w:sz w:val="22"/>
                <w:szCs w:val="22"/>
              </w:rPr>
            </w:pPr>
            <w:r w:rsidRPr="005556A7">
              <w:rPr>
                <w:rFonts w:ascii="Calibri" w:eastAsia="Calibri" w:hAnsi="Calibri" w:cs="Calibri"/>
                <w:color w:val="000000"/>
                <w:sz w:val="22"/>
                <w:szCs w:val="22"/>
              </w:rPr>
              <w:t>215</w:t>
            </w:r>
          </w:p>
        </w:tc>
        <w:tc>
          <w:tcPr>
            <w:tcW w:w="1095" w:type="dxa"/>
            <w:tcBorders>
              <w:top w:val="nil"/>
              <w:left w:val="nil"/>
              <w:bottom w:val="nil"/>
              <w:right w:val="nil"/>
            </w:tcBorders>
            <w:shd w:val="clear" w:color="auto" w:fill="auto"/>
            <w:vAlign w:val="bottom"/>
          </w:tcPr>
          <w:p w:rsidR="00235721" w14:paraId="17B36292" w14:textId="77777777">
            <w:pPr>
              <w:widowControl/>
              <w:ind w:left="-90" w:right="-78"/>
              <w:jc w:val="center"/>
              <w:rPr>
                <w:rFonts w:ascii="Calibri" w:eastAsia="Calibri" w:hAnsi="Calibri" w:cs="Calibri"/>
                <w:color w:val="000000"/>
                <w:sz w:val="22"/>
                <w:szCs w:val="22"/>
              </w:rPr>
            </w:pPr>
            <w:r>
              <w:rPr>
                <w:rFonts w:ascii="Calibri" w:eastAsia="Calibri" w:hAnsi="Calibri" w:cs="Calibri"/>
                <w:color w:val="000000"/>
                <w:sz w:val="22"/>
                <w:szCs w:val="22"/>
              </w:rPr>
              <w:t>131</w:t>
            </w:r>
          </w:p>
        </w:tc>
        <w:tc>
          <w:tcPr>
            <w:tcW w:w="1620" w:type="dxa"/>
            <w:tcBorders>
              <w:top w:val="nil"/>
              <w:left w:val="nil"/>
              <w:bottom w:val="nil"/>
              <w:right w:val="nil"/>
            </w:tcBorders>
            <w:shd w:val="clear" w:color="auto" w:fill="auto"/>
            <w:vAlign w:val="bottom"/>
          </w:tcPr>
          <w:p w:rsidR="00235721" w14:paraId="57D930D6"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60.9%</w:t>
            </w:r>
          </w:p>
        </w:tc>
      </w:tr>
      <w:tr w14:paraId="285E7E12" w14:textId="77777777" w:rsidTr="00327F32">
        <w:tblPrEx>
          <w:tblW w:w="9645" w:type="dxa"/>
          <w:jc w:val="center"/>
          <w:tblLayout w:type="fixed"/>
          <w:tblLook w:val="0400"/>
        </w:tblPrEx>
        <w:trPr>
          <w:trHeight w:val="300"/>
          <w:jc w:val="center"/>
        </w:trPr>
        <w:tc>
          <w:tcPr>
            <w:tcW w:w="886" w:type="dxa"/>
            <w:tcBorders>
              <w:top w:val="nil"/>
              <w:left w:val="nil"/>
              <w:bottom w:val="nil"/>
              <w:right w:val="nil"/>
            </w:tcBorders>
            <w:shd w:val="clear" w:color="auto" w:fill="auto"/>
            <w:vAlign w:val="bottom"/>
          </w:tcPr>
          <w:p w:rsidR="00235721" w14:paraId="49B45920"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RSLA</w:t>
            </w:r>
          </w:p>
        </w:tc>
        <w:tc>
          <w:tcPr>
            <w:tcW w:w="2280" w:type="dxa"/>
            <w:tcBorders>
              <w:top w:val="nil"/>
              <w:left w:val="nil"/>
              <w:bottom w:val="nil"/>
              <w:right w:val="nil"/>
            </w:tcBorders>
            <w:shd w:val="clear" w:color="auto" w:fill="auto"/>
            <w:vAlign w:val="bottom"/>
          </w:tcPr>
          <w:p w:rsidR="00235721" w14:paraId="26CBFA77"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SA rock shrimp (South)</w:t>
            </w:r>
          </w:p>
        </w:tc>
        <w:tc>
          <w:tcPr>
            <w:tcW w:w="1644" w:type="dxa"/>
            <w:tcBorders>
              <w:top w:val="nil"/>
              <w:left w:val="nil"/>
              <w:bottom w:val="nil"/>
              <w:right w:val="nil"/>
            </w:tcBorders>
            <w:shd w:val="clear" w:color="auto" w:fill="auto"/>
            <w:vAlign w:val="bottom"/>
          </w:tcPr>
          <w:p w:rsidR="00235721" w14:paraId="7A5478E6"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Limited Access</w:t>
            </w:r>
          </w:p>
        </w:tc>
        <w:tc>
          <w:tcPr>
            <w:tcW w:w="1160" w:type="dxa"/>
            <w:tcBorders>
              <w:top w:val="nil"/>
              <w:left w:val="nil"/>
              <w:bottom w:val="nil"/>
              <w:right w:val="nil"/>
            </w:tcBorders>
            <w:shd w:val="clear" w:color="auto" w:fill="auto"/>
            <w:vAlign w:val="bottom"/>
          </w:tcPr>
          <w:p w:rsidR="00235721" w14:paraId="15AF0F4F" w14:textId="77777777">
            <w:pPr>
              <w:widowControl/>
              <w:ind w:left="-90" w:right="-78"/>
              <w:jc w:val="center"/>
              <w:rPr>
                <w:rFonts w:ascii="Calibri" w:eastAsia="Calibri" w:hAnsi="Calibri" w:cs="Calibri"/>
                <w:color w:val="000000"/>
                <w:sz w:val="22"/>
                <w:szCs w:val="22"/>
              </w:rPr>
            </w:pPr>
            <w:r>
              <w:rPr>
                <w:rFonts w:ascii="Calibri" w:eastAsia="Calibri" w:hAnsi="Calibri" w:cs="Calibri"/>
                <w:color w:val="000000"/>
                <w:sz w:val="22"/>
                <w:szCs w:val="22"/>
              </w:rPr>
              <w:t>100</w:t>
            </w:r>
          </w:p>
        </w:tc>
        <w:tc>
          <w:tcPr>
            <w:tcW w:w="960" w:type="dxa"/>
            <w:tcBorders>
              <w:top w:val="nil"/>
              <w:left w:val="nil"/>
              <w:bottom w:val="nil"/>
              <w:right w:val="nil"/>
            </w:tcBorders>
            <w:shd w:val="clear" w:color="auto" w:fill="auto"/>
            <w:vAlign w:val="bottom"/>
          </w:tcPr>
          <w:p w:rsidR="00235721" w:rsidRPr="005556A7" w14:paraId="77EB17FF" w14:textId="73AF3C61">
            <w:pPr>
              <w:widowControl/>
              <w:ind w:left="-90" w:right="-78"/>
              <w:jc w:val="center"/>
              <w:rPr>
                <w:rFonts w:ascii="Calibri" w:eastAsia="Calibri" w:hAnsi="Calibri" w:cs="Calibri"/>
                <w:color w:val="000000"/>
                <w:sz w:val="22"/>
                <w:szCs w:val="22"/>
              </w:rPr>
            </w:pPr>
            <w:r w:rsidRPr="005556A7">
              <w:rPr>
                <w:rFonts w:ascii="Calibri" w:eastAsia="Calibri" w:hAnsi="Calibri" w:cs="Calibri"/>
                <w:color w:val="000000"/>
                <w:sz w:val="22"/>
                <w:szCs w:val="22"/>
              </w:rPr>
              <w:t>28</w:t>
            </w:r>
          </w:p>
        </w:tc>
        <w:tc>
          <w:tcPr>
            <w:tcW w:w="1095" w:type="dxa"/>
            <w:tcBorders>
              <w:top w:val="nil"/>
              <w:left w:val="nil"/>
              <w:bottom w:val="nil"/>
              <w:right w:val="nil"/>
            </w:tcBorders>
            <w:shd w:val="clear" w:color="auto" w:fill="auto"/>
            <w:vAlign w:val="bottom"/>
          </w:tcPr>
          <w:p w:rsidR="00235721" w14:paraId="11048AB9" w14:textId="77777777">
            <w:pPr>
              <w:widowControl/>
              <w:ind w:left="-90" w:right="-78"/>
              <w:jc w:val="center"/>
              <w:rPr>
                <w:rFonts w:ascii="Calibri" w:eastAsia="Calibri" w:hAnsi="Calibri" w:cs="Calibri"/>
                <w:color w:val="000000"/>
                <w:sz w:val="22"/>
                <w:szCs w:val="22"/>
              </w:rPr>
            </w:pPr>
            <w:r>
              <w:rPr>
                <w:rFonts w:ascii="Calibri" w:eastAsia="Calibri" w:hAnsi="Calibri" w:cs="Calibri"/>
                <w:color w:val="000000"/>
                <w:sz w:val="22"/>
                <w:szCs w:val="22"/>
              </w:rPr>
              <w:t>24</w:t>
            </w:r>
          </w:p>
        </w:tc>
        <w:tc>
          <w:tcPr>
            <w:tcW w:w="1620" w:type="dxa"/>
            <w:tcBorders>
              <w:top w:val="nil"/>
              <w:left w:val="nil"/>
              <w:bottom w:val="nil"/>
              <w:right w:val="nil"/>
            </w:tcBorders>
            <w:shd w:val="clear" w:color="auto" w:fill="auto"/>
            <w:vAlign w:val="bottom"/>
          </w:tcPr>
          <w:p w:rsidR="00235721" w14:paraId="764AA30F"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85.7%</w:t>
            </w:r>
          </w:p>
        </w:tc>
      </w:tr>
      <w:tr w14:paraId="6EF1ED2C" w14:textId="77777777" w:rsidTr="00327F32">
        <w:tblPrEx>
          <w:tblW w:w="9645" w:type="dxa"/>
          <w:jc w:val="center"/>
          <w:tblLayout w:type="fixed"/>
          <w:tblLook w:val="0400"/>
        </w:tblPrEx>
        <w:trPr>
          <w:trHeight w:val="300"/>
          <w:jc w:val="center"/>
        </w:trPr>
        <w:tc>
          <w:tcPr>
            <w:tcW w:w="886" w:type="dxa"/>
            <w:tcBorders>
              <w:top w:val="nil"/>
              <w:left w:val="nil"/>
              <w:bottom w:val="single" w:sz="4" w:space="0" w:color="000000"/>
              <w:right w:val="nil"/>
            </w:tcBorders>
            <w:shd w:val="clear" w:color="auto" w:fill="auto"/>
            <w:vAlign w:val="bottom"/>
          </w:tcPr>
          <w:p w:rsidR="00235721" w14:paraId="4C1749B0"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RSCZ</w:t>
            </w:r>
          </w:p>
        </w:tc>
        <w:tc>
          <w:tcPr>
            <w:tcW w:w="2280" w:type="dxa"/>
            <w:tcBorders>
              <w:top w:val="nil"/>
              <w:left w:val="nil"/>
              <w:bottom w:val="single" w:sz="4" w:space="0" w:color="000000"/>
              <w:right w:val="nil"/>
            </w:tcBorders>
            <w:shd w:val="clear" w:color="auto" w:fill="auto"/>
            <w:vAlign w:val="bottom"/>
          </w:tcPr>
          <w:p w:rsidR="00235721" w14:paraId="3472B3EA"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SA rock shrimp (North)</w:t>
            </w:r>
          </w:p>
        </w:tc>
        <w:tc>
          <w:tcPr>
            <w:tcW w:w="1644" w:type="dxa"/>
            <w:tcBorders>
              <w:top w:val="nil"/>
              <w:left w:val="nil"/>
              <w:bottom w:val="single" w:sz="4" w:space="0" w:color="000000"/>
              <w:right w:val="nil"/>
            </w:tcBorders>
            <w:shd w:val="clear" w:color="auto" w:fill="auto"/>
            <w:vAlign w:val="bottom"/>
          </w:tcPr>
          <w:p w:rsidR="00235721" w14:paraId="2F6CDCB8" w14:textId="77777777">
            <w:pPr>
              <w:widowControl/>
              <w:rPr>
                <w:rFonts w:ascii="Calibri" w:eastAsia="Calibri" w:hAnsi="Calibri" w:cs="Calibri"/>
                <w:color w:val="000000"/>
                <w:sz w:val="22"/>
                <w:szCs w:val="22"/>
              </w:rPr>
            </w:pPr>
            <w:r>
              <w:rPr>
                <w:rFonts w:ascii="Calibri" w:eastAsia="Calibri" w:hAnsi="Calibri" w:cs="Calibri"/>
                <w:color w:val="000000"/>
                <w:sz w:val="22"/>
                <w:szCs w:val="22"/>
              </w:rPr>
              <w:t>Open Access</w:t>
            </w:r>
          </w:p>
        </w:tc>
        <w:tc>
          <w:tcPr>
            <w:tcW w:w="1160" w:type="dxa"/>
            <w:tcBorders>
              <w:top w:val="nil"/>
              <w:left w:val="nil"/>
              <w:bottom w:val="single" w:sz="4" w:space="0" w:color="000000"/>
              <w:right w:val="nil"/>
            </w:tcBorders>
            <w:shd w:val="clear" w:color="auto" w:fill="auto"/>
            <w:vAlign w:val="bottom"/>
          </w:tcPr>
          <w:p w:rsidR="00235721" w14:paraId="7E5C47F8" w14:textId="77777777">
            <w:pPr>
              <w:widowControl/>
              <w:ind w:left="-90" w:right="-78"/>
              <w:jc w:val="center"/>
              <w:rPr>
                <w:rFonts w:ascii="Calibri" w:eastAsia="Calibri" w:hAnsi="Calibri" w:cs="Calibri"/>
                <w:color w:val="000000"/>
                <w:sz w:val="22"/>
                <w:szCs w:val="22"/>
              </w:rPr>
            </w:pPr>
            <w:r>
              <w:rPr>
                <w:rFonts w:ascii="Calibri" w:eastAsia="Calibri" w:hAnsi="Calibri" w:cs="Calibri"/>
                <w:color w:val="000000"/>
                <w:sz w:val="22"/>
                <w:szCs w:val="22"/>
              </w:rPr>
              <w:t>155</w:t>
            </w:r>
          </w:p>
        </w:tc>
        <w:tc>
          <w:tcPr>
            <w:tcW w:w="960" w:type="dxa"/>
            <w:tcBorders>
              <w:top w:val="nil"/>
              <w:left w:val="nil"/>
              <w:bottom w:val="single" w:sz="4" w:space="0" w:color="000000"/>
              <w:right w:val="nil"/>
            </w:tcBorders>
            <w:shd w:val="clear" w:color="auto" w:fill="auto"/>
            <w:vAlign w:val="bottom"/>
          </w:tcPr>
          <w:p w:rsidR="00235721" w:rsidRPr="005556A7" w14:paraId="35420016" w14:textId="77777777">
            <w:pPr>
              <w:widowControl/>
              <w:ind w:left="-90" w:right="-78"/>
              <w:jc w:val="center"/>
              <w:rPr>
                <w:rFonts w:ascii="Calibri" w:eastAsia="Calibri" w:hAnsi="Calibri" w:cs="Calibri"/>
                <w:color w:val="000000"/>
                <w:sz w:val="22"/>
                <w:szCs w:val="22"/>
              </w:rPr>
            </w:pPr>
            <w:r w:rsidRPr="005556A7">
              <w:rPr>
                <w:rFonts w:ascii="Calibri" w:eastAsia="Calibri" w:hAnsi="Calibri" w:cs="Calibri"/>
                <w:color w:val="000000"/>
                <w:sz w:val="22"/>
                <w:szCs w:val="22"/>
              </w:rPr>
              <w:t>65</w:t>
            </w:r>
          </w:p>
        </w:tc>
        <w:tc>
          <w:tcPr>
            <w:tcW w:w="1095" w:type="dxa"/>
            <w:tcBorders>
              <w:top w:val="nil"/>
              <w:left w:val="nil"/>
              <w:bottom w:val="single" w:sz="4" w:space="0" w:color="000000"/>
              <w:right w:val="nil"/>
            </w:tcBorders>
            <w:shd w:val="clear" w:color="auto" w:fill="auto"/>
            <w:vAlign w:val="bottom"/>
          </w:tcPr>
          <w:p w:rsidR="00235721" w14:paraId="400A23BC" w14:textId="77777777">
            <w:pPr>
              <w:widowControl/>
              <w:ind w:left="-90" w:right="-78"/>
              <w:jc w:val="center"/>
              <w:rPr>
                <w:rFonts w:ascii="Calibri" w:eastAsia="Calibri" w:hAnsi="Calibri" w:cs="Calibri"/>
                <w:color w:val="000000"/>
                <w:sz w:val="22"/>
                <w:szCs w:val="22"/>
              </w:rPr>
            </w:pPr>
            <w:r>
              <w:rPr>
                <w:rFonts w:ascii="Calibri" w:eastAsia="Calibri" w:hAnsi="Calibri" w:cs="Calibri"/>
                <w:color w:val="000000"/>
                <w:sz w:val="22"/>
                <w:szCs w:val="22"/>
              </w:rPr>
              <w:t>47</w:t>
            </w:r>
          </w:p>
        </w:tc>
        <w:tc>
          <w:tcPr>
            <w:tcW w:w="1620" w:type="dxa"/>
            <w:tcBorders>
              <w:top w:val="nil"/>
              <w:left w:val="nil"/>
              <w:bottom w:val="single" w:sz="4" w:space="0" w:color="000000"/>
              <w:right w:val="nil"/>
            </w:tcBorders>
            <w:shd w:val="clear" w:color="auto" w:fill="auto"/>
            <w:vAlign w:val="bottom"/>
          </w:tcPr>
          <w:p w:rsidR="00235721" w14:paraId="6009B1AC"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72.3%</w:t>
            </w:r>
          </w:p>
        </w:tc>
      </w:tr>
    </w:tbl>
    <w:p w:rsidR="00235721" w14:paraId="52249B15" w14:textId="77777777">
      <w:pPr>
        <w:pStyle w:val="Heading1"/>
        <w:numPr>
          <w:ilvl w:val="0"/>
          <w:numId w:val="1"/>
        </w:numPr>
        <w:tabs>
          <w:tab w:val="left" w:pos="360"/>
        </w:tabs>
        <w:spacing w:before="240"/>
        <w:ind w:left="0" w:firstLine="0"/>
        <w:jc w:val="both"/>
      </w:pPr>
      <w:r>
        <w:t>Describe the procedures for the collection of information including:</w:t>
      </w:r>
    </w:p>
    <w:p w:rsidR="00235721" w14:paraId="615E5642" w14:textId="77777777">
      <w:pPr>
        <w:numPr>
          <w:ilvl w:val="1"/>
          <w:numId w:val="1"/>
        </w:numPr>
        <w:pBdr>
          <w:top w:val="nil"/>
          <w:left w:val="nil"/>
          <w:bottom w:val="nil"/>
          <w:right w:val="nil"/>
          <w:between w:val="nil"/>
        </w:pBdr>
        <w:tabs>
          <w:tab w:val="left" w:pos="720"/>
        </w:tabs>
        <w:spacing w:before="120"/>
        <w:ind w:left="360" w:firstLine="0"/>
        <w:jc w:val="both"/>
      </w:pPr>
      <w:r>
        <w:rPr>
          <w:color w:val="000000"/>
        </w:rPr>
        <w:t>Statistical methodology for stratification and sample selection,</w:t>
      </w:r>
    </w:p>
    <w:p w:rsidR="00235721" w14:paraId="7B2015D0" w14:textId="77777777">
      <w:pPr>
        <w:numPr>
          <w:ilvl w:val="1"/>
          <w:numId w:val="1"/>
        </w:numPr>
        <w:pBdr>
          <w:top w:val="nil"/>
          <w:left w:val="nil"/>
          <w:bottom w:val="nil"/>
          <w:right w:val="nil"/>
          <w:between w:val="nil"/>
        </w:pBdr>
        <w:tabs>
          <w:tab w:val="left" w:pos="720"/>
        </w:tabs>
        <w:spacing w:before="120"/>
        <w:ind w:left="360" w:firstLine="0"/>
        <w:jc w:val="both"/>
      </w:pPr>
      <w:r>
        <w:rPr>
          <w:color w:val="000000"/>
        </w:rPr>
        <w:t>Estimation procedure,</w:t>
      </w:r>
    </w:p>
    <w:p w:rsidR="00235721" w14:paraId="18F1C5B9" w14:textId="77777777">
      <w:pPr>
        <w:numPr>
          <w:ilvl w:val="1"/>
          <w:numId w:val="1"/>
        </w:numPr>
        <w:pBdr>
          <w:top w:val="nil"/>
          <w:left w:val="nil"/>
          <w:bottom w:val="nil"/>
          <w:right w:val="nil"/>
          <w:between w:val="nil"/>
        </w:pBdr>
        <w:tabs>
          <w:tab w:val="left" w:pos="720"/>
        </w:tabs>
        <w:spacing w:before="120"/>
        <w:ind w:left="360" w:firstLine="0"/>
        <w:jc w:val="both"/>
      </w:pPr>
      <w:r>
        <w:rPr>
          <w:color w:val="000000"/>
        </w:rPr>
        <w:t>Degree of accuracy needed for the purpose described in the justification,</w:t>
      </w:r>
    </w:p>
    <w:p w:rsidR="00235721" w14:paraId="0E3B191C" w14:textId="77777777">
      <w:pPr>
        <w:numPr>
          <w:ilvl w:val="1"/>
          <w:numId w:val="1"/>
        </w:numPr>
        <w:pBdr>
          <w:top w:val="nil"/>
          <w:left w:val="nil"/>
          <w:bottom w:val="nil"/>
          <w:right w:val="nil"/>
          <w:between w:val="nil"/>
        </w:pBdr>
        <w:tabs>
          <w:tab w:val="left" w:pos="720"/>
        </w:tabs>
        <w:spacing w:before="120"/>
        <w:ind w:left="360" w:firstLine="0"/>
        <w:jc w:val="both"/>
      </w:pPr>
      <w:r>
        <w:rPr>
          <w:color w:val="000000"/>
        </w:rPr>
        <w:t>Unusual problems requiring specialized sampling procedures, and</w:t>
      </w:r>
    </w:p>
    <w:p w:rsidR="00235721" w14:paraId="0C3F04EB" w14:textId="77777777">
      <w:pPr>
        <w:numPr>
          <w:ilvl w:val="1"/>
          <w:numId w:val="1"/>
        </w:numPr>
        <w:pBdr>
          <w:top w:val="nil"/>
          <w:left w:val="nil"/>
          <w:bottom w:val="nil"/>
          <w:right w:val="nil"/>
          <w:between w:val="nil"/>
        </w:pBdr>
        <w:tabs>
          <w:tab w:val="left" w:pos="720"/>
        </w:tabs>
        <w:spacing w:before="120"/>
        <w:ind w:left="360" w:firstLine="0"/>
        <w:jc w:val="both"/>
      </w:pPr>
      <w:r>
        <w:rPr>
          <w:color w:val="000000"/>
        </w:rPr>
        <w:t>Any use of periodic (less frequent than annual) data collection cycles to reduce burden.</w:t>
      </w:r>
    </w:p>
    <w:p w:rsidR="00235721" w14:paraId="68AC5242" w14:textId="77777777">
      <w:pPr>
        <w:pBdr>
          <w:top w:val="nil"/>
          <w:left w:val="nil"/>
          <w:bottom w:val="nil"/>
          <w:right w:val="nil"/>
          <w:between w:val="nil"/>
        </w:pBdr>
        <w:spacing w:before="221" w:line="259" w:lineRule="auto"/>
        <w:jc w:val="both"/>
        <w:rPr>
          <w:color w:val="000000"/>
        </w:rPr>
      </w:pPr>
      <w:r>
        <w:rPr>
          <w:color w:val="000000"/>
        </w:rPr>
        <w:t>For sampling, we stratify the population by state as this is a policy relevant variable. We then randomly sample in each Strata proportional to each Strata’s weight in the population. Each year, we sample approximately a third of the population. The very tractable proportional random sampling approach requires only simple adjustments to the inclusion of probabilities used for the estimation of population means and other aggregate statistics if non-response is significant and skewed across the strata.</w:t>
      </w:r>
    </w:p>
    <w:p w:rsidR="00235721" w14:paraId="35DC923B" w14:textId="77777777">
      <w:pPr>
        <w:pBdr>
          <w:top w:val="nil"/>
          <w:left w:val="nil"/>
          <w:bottom w:val="nil"/>
          <w:right w:val="nil"/>
          <w:between w:val="nil"/>
        </w:pBdr>
        <w:spacing w:before="120" w:line="259" w:lineRule="auto"/>
        <w:jc w:val="both"/>
        <w:rPr>
          <w:color w:val="2F5496"/>
        </w:rPr>
      </w:pPr>
      <w:r>
        <w:rPr>
          <w:color w:val="000000"/>
        </w:rPr>
        <w:t>After data entry, verification and cleaning, descriptive statistical analysis will be conducted on the relevant variables collected (costs and profits). Results will be reported for different definitions of the fleet (all permitted, Gulf shrimp vessels, active, inactive, etc.) and by state. Post-stratification takes account of response rate variations across states and active status. The accuracy for the population level totals and means of the important variables should exceed the standard +/- 10% confidence interval at a 95% significance level for the larger groups, such as by state (LA or TX) or by activity status. Given the overall uncertainty inherent to policy assessments of economic conditions in fisheries, and given the quality and accuracy of other data used, the standard accuracy should suffice.</w:t>
      </w:r>
    </w:p>
    <w:p w:rsidR="00235721" w14:paraId="69E2BC9E" w14:textId="77777777">
      <w:pPr>
        <w:widowControl/>
        <w:spacing w:after="160" w:line="259" w:lineRule="auto"/>
        <w:rPr>
          <w:color w:val="000000"/>
        </w:rPr>
      </w:pPr>
      <w:r>
        <w:br w:type="page"/>
      </w:r>
    </w:p>
    <w:p w:rsidR="00235721" w14:paraId="3A6AFBC6" w14:textId="77777777">
      <w:pPr>
        <w:pBdr>
          <w:top w:val="nil"/>
          <w:left w:val="nil"/>
          <w:bottom w:val="nil"/>
          <w:right w:val="nil"/>
          <w:between w:val="nil"/>
        </w:pBdr>
        <w:spacing w:before="120" w:line="259" w:lineRule="auto"/>
        <w:jc w:val="both"/>
        <w:rPr>
          <w:color w:val="000000"/>
        </w:rPr>
      </w:pPr>
    </w:p>
    <w:p w:rsidR="00235721" w14:paraId="3549B6DE" w14:textId="77777777">
      <w:pPr>
        <w:pBdr>
          <w:top w:val="nil"/>
          <w:left w:val="nil"/>
          <w:bottom w:val="nil"/>
          <w:right w:val="nil"/>
          <w:between w:val="nil"/>
        </w:pBdr>
        <w:spacing w:before="120" w:line="259" w:lineRule="auto"/>
        <w:jc w:val="both"/>
        <w:rPr>
          <w:color w:val="000000"/>
        </w:rPr>
      </w:pPr>
      <w:r>
        <w:rPr>
          <w:color w:val="000000"/>
        </w:rPr>
        <w:t>The use of periodic, instead of annual collection is being actively considered in discussions with the users of the result (the management process, Council and SERO economists). The burden on the public will depend on how frequently significant changes occur in this industry. Currently, the fishery is still undergoing substantial changes making the annual collection of data necessary.</w:t>
      </w:r>
    </w:p>
    <w:p w:rsidR="00235721" w14:paraId="67F9379D" w14:textId="77777777">
      <w:pPr>
        <w:pStyle w:val="Heading1"/>
        <w:numPr>
          <w:ilvl w:val="0"/>
          <w:numId w:val="1"/>
        </w:numPr>
        <w:tabs>
          <w:tab w:val="left" w:pos="360"/>
        </w:tabs>
        <w:spacing w:before="159"/>
        <w:ind w:left="0" w:firstLine="0"/>
        <w:jc w:val="both"/>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35721" w14:paraId="5ED7817D" w14:textId="77777777">
      <w:pPr>
        <w:pBdr>
          <w:top w:val="nil"/>
          <w:left w:val="nil"/>
          <w:bottom w:val="nil"/>
          <w:right w:val="nil"/>
          <w:between w:val="nil"/>
        </w:pBdr>
        <w:spacing w:before="158" w:line="259" w:lineRule="auto"/>
        <w:jc w:val="both"/>
        <w:rPr>
          <w:color w:val="000000"/>
        </w:rPr>
      </w:pPr>
      <w:r>
        <w:rPr>
          <w:color w:val="000000"/>
        </w:rPr>
        <w:t>The central approach to maximizing the response rate is to make answering a very concise and simple survey a requirement for future permit renewal. The first cover letter will politely emphasize this point. The second and third reminder letters will be more explicit. The telephone call will also explain the consequences of not complying. The call has the further advantage of being a different mode of contact and should discover non-response due to an incorrect address. Given the potential loss of permit, we expect compliance from all fishermen wanting to continue to fish for shrimp in federal waters. The behavior by those who have left the fishery by the time of the survey, or are planning to leave it before their current permit expires, will not be influenced by the implicit threat. Since the data will be used primarily for assessments and predictions about future developments, under-reporting by individuals leaving the fishery is less problematic.</w:t>
      </w:r>
    </w:p>
    <w:p w:rsidR="00235721" w14:paraId="0C8F7121" w14:textId="77777777">
      <w:pPr>
        <w:pBdr>
          <w:top w:val="nil"/>
          <w:left w:val="nil"/>
          <w:bottom w:val="nil"/>
          <w:right w:val="nil"/>
          <w:between w:val="nil"/>
        </w:pBdr>
        <w:spacing w:before="120" w:line="259" w:lineRule="auto"/>
        <w:jc w:val="both"/>
        <w:rPr>
          <w:color w:val="000000"/>
        </w:rPr>
      </w:pPr>
      <w:r>
        <w:rPr>
          <w:color w:val="000000"/>
        </w:rPr>
        <w:t>A good sampling frame, with annually updated contact information (through the ongoing permit renewal), will help to reduce the non-contact component of non-response.</w:t>
      </w:r>
    </w:p>
    <w:p w:rsidR="00235721" w14:paraId="75F3B4DC" w14:textId="77777777">
      <w:pPr>
        <w:pBdr>
          <w:top w:val="nil"/>
          <w:left w:val="nil"/>
          <w:bottom w:val="nil"/>
          <w:right w:val="nil"/>
          <w:between w:val="nil"/>
        </w:pBdr>
        <w:spacing w:before="158" w:line="259" w:lineRule="auto"/>
        <w:jc w:val="both"/>
        <w:rPr>
          <w:color w:val="000000"/>
        </w:rPr>
      </w:pPr>
      <w:r>
        <w:rPr>
          <w:color w:val="000000"/>
        </w:rPr>
        <w:t>Beyond the above, we will take every action available to us to facilitate completing and returning the survey by the fishermen. General survey design techniques (</w:t>
      </w:r>
      <w:r>
        <w:rPr>
          <w:color w:val="000000"/>
        </w:rPr>
        <w:t>Dillman</w:t>
      </w:r>
      <w:r>
        <w:rPr>
          <w:color w:val="000000"/>
        </w:rPr>
        <w:t xml:space="preserve"> method) and experience from the previous surveys will guide us. Noteworthy actions include:</w:t>
      </w:r>
    </w:p>
    <w:p w:rsidR="00235721" w14:paraId="216E4CC4" w14:textId="77777777">
      <w:pPr>
        <w:pBdr>
          <w:top w:val="nil"/>
          <w:left w:val="nil"/>
          <w:bottom w:val="nil"/>
          <w:right w:val="nil"/>
          <w:between w:val="nil"/>
        </w:pBdr>
        <w:spacing w:before="158" w:line="259" w:lineRule="auto"/>
        <w:ind w:left="400"/>
        <w:jc w:val="both"/>
        <w:rPr>
          <w:color w:val="000000"/>
        </w:rPr>
      </w:pPr>
      <w:r>
        <w:rPr>
          <w:color w:val="000000"/>
        </w:rPr>
        <w:t>•</w:t>
      </w:r>
      <w:r>
        <w:rPr>
          <w:color w:val="000000"/>
        </w:rPr>
        <w:tab/>
        <w:t>Timing of the survey during the slow shrimp fishing season (winter and spring) and coinciding with tax time, when business records are being consulted and financial concerns are “top of mind.”</w:t>
      </w:r>
    </w:p>
    <w:p w:rsidR="00235721" w14:paraId="1F83C3F6" w14:textId="77777777">
      <w:pPr>
        <w:pBdr>
          <w:top w:val="nil"/>
          <w:left w:val="nil"/>
          <w:bottom w:val="nil"/>
          <w:right w:val="nil"/>
          <w:between w:val="nil"/>
        </w:pBdr>
        <w:spacing w:before="158" w:line="259" w:lineRule="auto"/>
        <w:ind w:left="400"/>
        <w:jc w:val="both"/>
        <w:rPr>
          <w:color w:val="000000"/>
        </w:rPr>
      </w:pPr>
      <w:r>
        <w:rPr>
          <w:color w:val="000000"/>
        </w:rPr>
        <w:t>•</w:t>
      </w:r>
      <w:r>
        <w:rPr>
          <w:color w:val="000000"/>
        </w:rPr>
        <w:tab/>
        <w:t>Using plain language and translating the survey into “language” spoken by southeast shrimp fishermen (including a Vietnamese version).</w:t>
      </w:r>
    </w:p>
    <w:p w:rsidR="00235721" w14:paraId="1D017628" w14:textId="77777777">
      <w:pPr>
        <w:pBdr>
          <w:top w:val="nil"/>
          <w:left w:val="nil"/>
          <w:bottom w:val="nil"/>
          <w:right w:val="nil"/>
          <w:between w:val="nil"/>
        </w:pBdr>
        <w:spacing w:before="158" w:line="259" w:lineRule="auto"/>
        <w:jc w:val="both"/>
        <w:rPr>
          <w:color w:val="000000"/>
        </w:rPr>
      </w:pPr>
      <w:r>
        <w:rPr>
          <w:color w:val="000000"/>
        </w:rPr>
        <w:t>The statistical design and size of this sample survey will allow for valid generalizations of the results to the population and larger subpopulation levels (i.e. statistical domains). The anticipated accuracy of the results is discussed in more detail in the previous question (Part B, Question 2).</w:t>
      </w:r>
    </w:p>
    <w:p w:rsidR="00235721" w14:paraId="5C1EA270" w14:textId="77777777">
      <w:pPr>
        <w:pStyle w:val="Heading1"/>
        <w:numPr>
          <w:ilvl w:val="0"/>
          <w:numId w:val="1"/>
        </w:numPr>
        <w:tabs>
          <w:tab w:val="left" w:pos="360"/>
        </w:tabs>
        <w:spacing w:before="183"/>
        <w:ind w:left="0" w:firstLine="0"/>
        <w:jc w:val="both"/>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235721" w14:paraId="1E4A8E96" w14:textId="77777777">
      <w:pPr>
        <w:pBdr>
          <w:top w:val="nil"/>
          <w:left w:val="nil"/>
          <w:bottom w:val="nil"/>
          <w:right w:val="nil"/>
          <w:between w:val="nil"/>
        </w:pBdr>
        <w:spacing w:before="161" w:line="259" w:lineRule="auto"/>
        <w:rPr>
          <w:color w:val="000000"/>
        </w:rPr>
      </w:pPr>
      <w:r>
        <w:rPr>
          <w:color w:val="000000"/>
        </w:rPr>
        <w:t>No tests are planned during the next 3 years. At some point in the future, we might want to reevaluate digital submissions by asking for respondents’ interests in such a system.</w:t>
      </w:r>
    </w:p>
    <w:p w:rsidR="00235721" w14:paraId="2D4CD98C" w14:textId="77777777">
      <w:pPr>
        <w:widowControl/>
        <w:spacing w:after="160" w:line="259" w:lineRule="auto"/>
        <w:rPr>
          <w:color w:val="000000"/>
        </w:rPr>
      </w:pPr>
      <w:r>
        <w:br w:type="page"/>
      </w:r>
    </w:p>
    <w:p w:rsidR="00235721" w14:paraId="7842AD84" w14:textId="77777777">
      <w:pPr>
        <w:pStyle w:val="Heading1"/>
        <w:numPr>
          <w:ilvl w:val="0"/>
          <w:numId w:val="1"/>
        </w:numPr>
        <w:tabs>
          <w:tab w:val="left" w:pos="360"/>
        </w:tabs>
        <w:spacing w:before="183"/>
        <w:ind w:left="0" w:firstLine="0"/>
        <w:jc w:val="both"/>
      </w:pPr>
      <w:r>
        <w:t>Provide the name and telephone number of individuals consulted on statistical aspects of the design and the name of the agency unit, contractor(s), grantee(s), or other person(s) who will actually collect and/or analyze the information for the agency.</w:t>
      </w:r>
    </w:p>
    <w:p w:rsidR="00235721" w14:paraId="3107A31B" w14:textId="77777777">
      <w:pPr>
        <w:pBdr>
          <w:top w:val="nil"/>
          <w:left w:val="nil"/>
          <w:bottom w:val="nil"/>
          <w:right w:val="nil"/>
          <w:between w:val="nil"/>
        </w:pBdr>
        <w:spacing w:before="160" w:line="259" w:lineRule="auto"/>
        <w:rPr>
          <w:color w:val="000000"/>
        </w:rPr>
      </w:pPr>
      <w:r>
        <w:rPr>
          <w:color w:val="000000"/>
        </w:rPr>
        <w:t>Individuals consulted on the statistical aspects of the design:</w:t>
      </w:r>
    </w:p>
    <w:p w:rsidR="00235721" w14:paraId="0D0909EB" w14:textId="77777777">
      <w:pPr>
        <w:pBdr>
          <w:top w:val="nil"/>
          <w:left w:val="nil"/>
          <w:bottom w:val="nil"/>
          <w:right w:val="nil"/>
          <w:between w:val="nil"/>
        </w:pBdr>
        <w:spacing w:before="120" w:line="259" w:lineRule="auto"/>
        <w:ind w:left="403"/>
        <w:rPr>
          <w:color w:val="000000"/>
        </w:rPr>
      </w:pPr>
      <w:r>
        <w:rPr>
          <w:color w:val="000000"/>
        </w:rPr>
        <w:t xml:space="preserve">Christopher </w:t>
      </w:r>
      <w:r>
        <w:rPr>
          <w:color w:val="000000"/>
        </w:rPr>
        <w:t>Liese</w:t>
      </w:r>
      <w:r>
        <w:rPr>
          <w:color w:val="000000"/>
        </w:rPr>
        <w:t>, Ph.D.</w:t>
      </w:r>
    </w:p>
    <w:p w:rsidR="00235721" w14:paraId="2ECE3E4F" w14:textId="77777777">
      <w:pPr>
        <w:pBdr>
          <w:top w:val="nil"/>
          <w:left w:val="nil"/>
          <w:bottom w:val="nil"/>
          <w:right w:val="nil"/>
          <w:between w:val="nil"/>
        </w:pBdr>
        <w:spacing w:line="259" w:lineRule="auto"/>
        <w:ind w:left="400"/>
        <w:rPr>
          <w:color w:val="000000"/>
        </w:rPr>
      </w:pPr>
      <w:r>
        <w:rPr>
          <w:color w:val="000000"/>
        </w:rPr>
        <w:t>National Marine Fisheries Service</w:t>
      </w:r>
    </w:p>
    <w:p w:rsidR="00235721" w14:paraId="3939308B" w14:textId="77777777">
      <w:pPr>
        <w:pBdr>
          <w:top w:val="nil"/>
          <w:left w:val="nil"/>
          <w:bottom w:val="nil"/>
          <w:right w:val="nil"/>
          <w:between w:val="nil"/>
        </w:pBdr>
        <w:spacing w:line="259" w:lineRule="auto"/>
        <w:ind w:left="400"/>
        <w:rPr>
          <w:color w:val="000000"/>
        </w:rPr>
      </w:pPr>
      <w:r>
        <w:rPr>
          <w:color w:val="000000"/>
        </w:rPr>
        <w:t>Southeast Fisheries Science Center</w:t>
      </w:r>
    </w:p>
    <w:p w:rsidR="00235721" w14:paraId="62082826" w14:textId="77777777">
      <w:pPr>
        <w:pBdr>
          <w:top w:val="nil"/>
          <w:left w:val="nil"/>
          <w:bottom w:val="nil"/>
          <w:right w:val="nil"/>
          <w:between w:val="nil"/>
        </w:pBdr>
        <w:spacing w:line="259" w:lineRule="auto"/>
        <w:ind w:left="400"/>
        <w:rPr>
          <w:color w:val="000000"/>
        </w:rPr>
      </w:pPr>
      <w:r>
        <w:rPr>
          <w:color w:val="000000"/>
        </w:rPr>
        <w:t>Social Science Research Group</w:t>
      </w:r>
    </w:p>
    <w:p w:rsidR="00235721" w14:paraId="6DF929F8" w14:textId="77777777">
      <w:pPr>
        <w:pBdr>
          <w:top w:val="nil"/>
          <w:left w:val="nil"/>
          <w:bottom w:val="nil"/>
          <w:right w:val="nil"/>
          <w:between w:val="nil"/>
        </w:pBdr>
        <w:spacing w:line="259" w:lineRule="auto"/>
        <w:ind w:left="400"/>
        <w:rPr>
          <w:color w:val="000000"/>
        </w:rPr>
      </w:pPr>
      <w:r>
        <w:rPr>
          <w:color w:val="000000"/>
        </w:rPr>
        <w:t>(305) 365-4109</w:t>
      </w:r>
    </w:p>
    <w:p w:rsidR="00235721" w14:paraId="0ACC0C14" w14:textId="77777777">
      <w:pPr>
        <w:pBdr>
          <w:top w:val="nil"/>
          <w:left w:val="nil"/>
          <w:bottom w:val="nil"/>
          <w:right w:val="nil"/>
          <w:between w:val="nil"/>
        </w:pBdr>
        <w:spacing w:before="120" w:line="259" w:lineRule="auto"/>
        <w:ind w:left="403"/>
        <w:rPr>
          <w:color w:val="000000"/>
        </w:rPr>
      </w:pPr>
      <w:bookmarkStart w:id="3" w:name="_cfmvpbi33egd" w:colFirst="0" w:colLast="0"/>
      <w:bookmarkEnd w:id="3"/>
      <w:r>
        <w:rPr>
          <w:color w:val="000000"/>
        </w:rPr>
        <w:t>Elizabeth Overstreet, M.Sc. in Applied Statistics</w:t>
      </w:r>
    </w:p>
    <w:p w:rsidR="00235721" w14:paraId="50F80DD7" w14:textId="77777777">
      <w:pPr>
        <w:pBdr>
          <w:top w:val="nil"/>
          <w:left w:val="nil"/>
          <w:bottom w:val="nil"/>
          <w:right w:val="nil"/>
          <w:between w:val="nil"/>
        </w:pBdr>
        <w:spacing w:line="259" w:lineRule="auto"/>
        <w:ind w:left="400"/>
        <w:rPr>
          <w:color w:val="000000"/>
        </w:rPr>
      </w:pPr>
      <w:r>
        <w:rPr>
          <w:color w:val="000000"/>
        </w:rPr>
        <w:t>National Marine Fisheries Service</w:t>
      </w:r>
    </w:p>
    <w:p w:rsidR="00235721" w14:paraId="5737E23F" w14:textId="77777777">
      <w:pPr>
        <w:pBdr>
          <w:top w:val="nil"/>
          <w:left w:val="nil"/>
          <w:bottom w:val="nil"/>
          <w:right w:val="nil"/>
          <w:between w:val="nil"/>
        </w:pBdr>
        <w:spacing w:line="259" w:lineRule="auto"/>
        <w:ind w:left="400"/>
        <w:rPr>
          <w:color w:val="000000"/>
        </w:rPr>
      </w:pPr>
      <w:r>
        <w:rPr>
          <w:color w:val="000000"/>
        </w:rPr>
        <w:t>Southeast Fisheries Science Center</w:t>
      </w:r>
    </w:p>
    <w:p w:rsidR="00235721" w14:paraId="15EF6F5E" w14:textId="77777777">
      <w:pPr>
        <w:pBdr>
          <w:top w:val="nil"/>
          <w:left w:val="nil"/>
          <w:bottom w:val="nil"/>
          <w:right w:val="nil"/>
          <w:between w:val="nil"/>
        </w:pBdr>
        <w:spacing w:line="259" w:lineRule="auto"/>
        <w:ind w:left="400"/>
        <w:rPr>
          <w:color w:val="000000"/>
        </w:rPr>
      </w:pPr>
      <w:r>
        <w:rPr>
          <w:color w:val="000000"/>
        </w:rPr>
        <w:t>Social Science Research Group</w:t>
      </w:r>
    </w:p>
    <w:p w:rsidR="00235721" w14:paraId="1D9032E1" w14:textId="77777777">
      <w:pPr>
        <w:pBdr>
          <w:top w:val="nil"/>
          <w:left w:val="nil"/>
          <w:bottom w:val="nil"/>
          <w:right w:val="nil"/>
          <w:between w:val="nil"/>
        </w:pBdr>
        <w:spacing w:line="259" w:lineRule="auto"/>
        <w:ind w:left="400"/>
        <w:rPr>
          <w:i/>
          <w:color w:val="000000"/>
        </w:rPr>
      </w:pPr>
      <w:r>
        <w:rPr>
          <w:color w:val="000000"/>
        </w:rPr>
        <w:t>No Contact information (</w:t>
      </w:r>
      <w:r>
        <w:rPr>
          <w:i/>
          <w:color w:val="000000"/>
        </w:rPr>
        <w:t>for reference of consultation only)</w:t>
      </w:r>
    </w:p>
    <w:p w:rsidR="00235721" w:rsidRPr="0023221B" w14:paraId="3FFCB163" w14:textId="77777777">
      <w:pPr>
        <w:pBdr>
          <w:top w:val="nil"/>
          <w:left w:val="nil"/>
          <w:bottom w:val="nil"/>
          <w:right w:val="nil"/>
          <w:between w:val="nil"/>
        </w:pBdr>
        <w:spacing w:before="120" w:line="259" w:lineRule="auto"/>
        <w:ind w:left="403"/>
        <w:rPr>
          <w:color w:val="000000"/>
          <w:lang w:val="es-ES"/>
        </w:rPr>
      </w:pPr>
      <w:r w:rsidRPr="0023221B">
        <w:rPr>
          <w:color w:val="000000"/>
          <w:lang w:val="es-ES"/>
        </w:rPr>
        <w:t>Kaming</w:t>
      </w:r>
      <w:r w:rsidRPr="0023221B">
        <w:rPr>
          <w:color w:val="000000"/>
          <w:lang w:val="es-ES"/>
        </w:rPr>
        <w:t xml:space="preserve"> Lo, M.P.H.</w:t>
      </w:r>
    </w:p>
    <w:p w:rsidR="00235721" w14:paraId="5C2E0006" w14:textId="77777777">
      <w:pPr>
        <w:pBdr>
          <w:top w:val="nil"/>
          <w:left w:val="nil"/>
          <w:bottom w:val="nil"/>
          <w:right w:val="nil"/>
          <w:between w:val="nil"/>
        </w:pBdr>
        <w:spacing w:line="259" w:lineRule="auto"/>
        <w:ind w:left="400"/>
        <w:rPr>
          <w:color w:val="000000"/>
        </w:rPr>
      </w:pPr>
      <w:r>
        <w:rPr>
          <w:color w:val="000000"/>
        </w:rPr>
        <w:t>Biostatistics Collaboration and Consulting Core (BCCC)</w:t>
      </w:r>
    </w:p>
    <w:p w:rsidR="00235721" w14:paraId="6BC3D6F2" w14:textId="77777777">
      <w:pPr>
        <w:pBdr>
          <w:top w:val="nil"/>
          <w:left w:val="nil"/>
          <w:bottom w:val="nil"/>
          <w:right w:val="nil"/>
          <w:between w:val="nil"/>
        </w:pBdr>
        <w:spacing w:line="259" w:lineRule="auto"/>
        <w:ind w:left="400"/>
        <w:rPr>
          <w:color w:val="000000"/>
        </w:rPr>
      </w:pPr>
      <w:r>
        <w:rPr>
          <w:color w:val="000000"/>
        </w:rPr>
        <w:t>Department of Public Health Sciences</w:t>
      </w:r>
    </w:p>
    <w:p w:rsidR="00235721" w14:paraId="5319E9EA" w14:textId="77777777">
      <w:pPr>
        <w:pBdr>
          <w:top w:val="nil"/>
          <w:left w:val="nil"/>
          <w:bottom w:val="nil"/>
          <w:right w:val="nil"/>
          <w:between w:val="nil"/>
        </w:pBdr>
        <w:spacing w:line="259" w:lineRule="auto"/>
        <w:ind w:left="400"/>
        <w:rPr>
          <w:color w:val="000000"/>
        </w:rPr>
      </w:pPr>
      <w:r>
        <w:rPr>
          <w:color w:val="000000"/>
        </w:rPr>
        <w:t>University of Miami, Miller School of Medicine</w:t>
      </w:r>
    </w:p>
    <w:p w:rsidR="00235721" w14:paraId="242F9458" w14:textId="77777777">
      <w:pPr>
        <w:pBdr>
          <w:top w:val="nil"/>
          <w:left w:val="nil"/>
          <w:bottom w:val="nil"/>
          <w:right w:val="nil"/>
          <w:between w:val="nil"/>
        </w:pBdr>
        <w:spacing w:line="259" w:lineRule="auto"/>
        <w:ind w:left="400"/>
        <w:rPr>
          <w:color w:val="000000"/>
        </w:rPr>
      </w:pPr>
      <w:r>
        <w:rPr>
          <w:color w:val="000000"/>
        </w:rPr>
        <w:t>(305) 243-2506</w:t>
      </w:r>
    </w:p>
    <w:p w:rsidR="00235721" w14:paraId="505AC1BE" w14:textId="77777777">
      <w:pPr>
        <w:pBdr>
          <w:top w:val="nil"/>
          <w:left w:val="nil"/>
          <w:bottom w:val="nil"/>
          <w:right w:val="nil"/>
          <w:between w:val="nil"/>
        </w:pBdr>
        <w:spacing w:before="120" w:line="259" w:lineRule="auto"/>
        <w:ind w:left="403"/>
        <w:rPr>
          <w:color w:val="000000"/>
        </w:rPr>
      </w:pPr>
      <w:r>
        <w:rPr>
          <w:color w:val="000000"/>
        </w:rPr>
        <w:t>James R. Waters, Ph.D.</w:t>
      </w:r>
    </w:p>
    <w:p w:rsidR="00235721" w14:paraId="44C784B1" w14:textId="77777777">
      <w:pPr>
        <w:pBdr>
          <w:top w:val="nil"/>
          <w:left w:val="nil"/>
          <w:bottom w:val="nil"/>
          <w:right w:val="nil"/>
          <w:between w:val="nil"/>
        </w:pBdr>
        <w:spacing w:line="259" w:lineRule="auto"/>
        <w:ind w:left="400"/>
        <w:rPr>
          <w:color w:val="000000"/>
        </w:rPr>
      </w:pPr>
      <w:r>
        <w:rPr>
          <w:color w:val="000000"/>
        </w:rPr>
        <w:t>National Marine Fisheries Service</w:t>
      </w:r>
    </w:p>
    <w:p w:rsidR="00235721" w14:paraId="353A5F01" w14:textId="77777777">
      <w:pPr>
        <w:pBdr>
          <w:top w:val="nil"/>
          <w:left w:val="nil"/>
          <w:bottom w:val="nil"/>
          <w:right w:val="nil"/>
          <w:between w:val="nil"/>
        </w:pBdr>
        <w:spacing w:line="259" w:lineRule="auto"/>
        <w:ind w:left="400"/>
        <w:rPr>
          <w:color w:val="000000"/>
        </w:rPr>
      </w:pPr>
      <w:r>
        <w:rPr>
          <w:color w:val="000000"/>
        </w:rPr>
        <w:t>Southeast Fisheries Science Center</w:t>
      </w:r>
    </w:p>
    <w:p w:rsidR="00235721" w14:paraId="1B5B8800" w14:textId="77777777">
      <w:pPr>
        <w:pBdr>
          <w:top w:val="nil"/>
          <w:left w:val="nil"/>
          <w:bottom w:val="nil"/>
          <w:right w:val="nil"/>
          <w:between w:val="nil"/>
        </w:pBdr>
        <w:spacing w:line="259" w:lineRule="auto"/>
        <w:ind w:left="400"/>
        <w:rPr>
          <w:color w:val="000000"/>
        </w:rPr>
      </w:pPr>
      <w:r>
        <w:rPr>
          <w:color w:val="000000"/>
        </w:rPr>
        <w:t>Beaufort Laboratory</w:t>
      </w:r>
    </w:p>
    <w:p w:rsidR="00235721" w14:paraId="217D2B4A" w14:textId="77777777">
      <w:pPr>
        <w:pBdr>
          <w:top w:val="nil"/>
          <w:left w:val="nil"/>
          <w:bottom w:val="nil"/>
          <w:right w:val="nil"/>
          <w:between w:val="nil"/>
        </w:pBdr>
        <w:spacing w:line="259" w:lineRule="auto"/>
        <w:ind w:left="400"/>
        <w:rPr>
          <w:i/>
          <w:color w:val="000000"/>
        </w:rPr>
      </w:pPr>
      <w:r>
        <w:rPr>
          <w:color w:val="000000"/>
        </w:rPr>
        <w:t>No Contact information (</w:t>
      </w:r>
      <w:r>
        <w:rPr>
          <w:i/>
          <w:color w:val="000000"/>
        </w:rPr>
        <w:t>for reference of consultation only)</w:t>
      </w:r>
    </w:p>
    <w:p w:rsidR="00235721" w14:paraId="59F26DB4" w14:textId="77777777">
      <w:pPr>
        <w:pBdr>
          <w:top w:val="nil"/>
          <w:left w:val="nil"/>
          <w:bottom w:val="nil"/>
          <w:right w:val="nil"/>
          <w:between w:val="nil"/>
        </w:pBdr>
        <w:spacing w:line="259" w:lineRule="auto"/>
        <w:rPr>
          <w:color w:val="000000"/>
        </w:rPr>
      </w:pPr>
    </w:p>
    <w:p w:rsidR="00235721" w14:paraId="44677898" w14:textId="77777777">
      <w:pPr>
        <w:pBdr>
          <w:top w:val="nil"/>
          <w:left w:val="nil"/>
          <w:bottom w:val="nil"/>
          <w:right w:val="nil"/>
          <w:between w:val="nil"/>
        </w:pBdr>
        <w:spacing w:line="259" w:lineRule="auto"/>
        <w:rPr>
          <w:color w:val="000000"/>
        </w:rPr>
      </w:pPr>
      <w:r>
        <w:rPr>
          <w:color w:val="000000"/>
        </w:rPr>
        <w:t>Persons who will actually collect and analyze the information:</w:t>
      </w:r>
    </w:p>
    <w:p w:rsidR="00235721" w14:paraId="508A2FC4" w14:textId="77777777">
      <w:pPr>
        <w:pBdr>
          <w:top w:val="nil"/>
          <w:left w:val="nil"/>
          <w:bottom w:val="nil"/>
          <w:right w:val="nil"/>
          <w:between w:val="nil"/>
        </w:pBdr>
        <w:spacing w:before="120" w:line="259" w:lineRule="auto"/>
        <w:ind w:left="403"/>
        <w:rPr>
          <w:color w:val="000000"/>
        </w:rPr>
      </w:pPr>
      <w:r>
        <w:rPr>
          <w:color w:val="000000"/>
        </w:rPr>
        <w:t>Felix Martin, M.Sc.</w:t>
      </w:r>
    </w:p>
    <w:p w:rsidR="00235721" w14:paraId="60575628" w14:textId="77777777">
      <w:pPr>
        <w:pBdr>
          <w:top w:val="nil"/>
          <w:left w:val="nil"/>
          <w:bottom w:val="nil"/>
          <w:right w:val="nil"/>
          <w:between w:val="nil"/>
        </w:pBdr>
        <w:spacing w:line="259" w:lineRule="auto"/>
        <w:ind w:left="400"/>
        <w:rPr>
          <w:color w:val="000000"/>
        </w:rPr>
      </w:pPr>
      <w:r>
        <w:rPr>
          <w:color w:val="000000"/>
        </w:rPr>
        <w:t>National Marine Fisheries Service</w:t>
      </w:r>
    </w:p>
    <w:p w:rsidR="00235721" w14:paraId="11912236" w14:textId="77777777">
      <w:pPr>
        <w:pBdr>
          <w:top w:val="nil"/>
          <w:left w:val="nil"/>
          <w:bottom w:val="nil"/>
          <w:right w:val="nil"/>
          <w:between w:val="nil"/>
        </w:pBdr>
        <w:spacing w:line="259" w:lineRule="auto"/>
        <w:ind w:left="400"/>
        <w:rPr>
          <w:color w:val="000000"/>
        </w:rPr>
      </w:pPr>
      <w:r>
        <w:rPr>
          <w:color w:val="000000"/>
        </w:rPr>
        <w:t>Southeast Fisheries Science Center</w:t>
      </w:r>
    </w:p>
    <w:p w:rsidR="00235721" w14:paraId="07DA37C1" w14:textId="77777777">
      <w:pPr>
        <w:pBdr>
          <w:top w:val="nil"/>
          <w:left w:val="nil"/>
          <w:bottom w:val="nil"/>
          <w:right w:val="nil"/>
          <w:between w:val="nil"/>
        </w:pBdr>
        <w:spacing w:line="259" w:lineRule="auto"/>
        <w:ind w:left="400"/>
        <w:rPr>
          <w:color w:val="000000"/>
        </w:rPr>
      </w:pPr>
      <w:r>
        <w:rPr>
          <w:color w:val="000000"/>
        </w:rPr>
        <w:t>Social Science Research Group</w:t>
      </w:r>
    </w:p>
    <w:p w:rsidR="00235721" w14:paraId="59999B30" w14:textId="77777777">
      <w:pPr>
        <w:pBdr>
          <w:top w:val="nil"/>
          <w:left w:val="nil"/>
          <w:bottom w:val="nil"/>
          <w:right w:val="nil"/>
          <w:between w:val="nil"/>
        </w:pBdr>
        <w:spacing w:line="259" w:lineRule="auto"/>
        <w:ind w:firstLine="400"/>
        <w:rPr>
          <w:color w:val="000000"/>
        </w:rPr>
      </w:pPr>
      <w:r>
        <w:rPr>
          <w:color w:val="000000"/>
        </w:rPr>
        <w:t>(305) 361-4263</w:t>
      </w:r>
    </w:p>
    <w:p w:rsidR="00235721" w14:paraId="74E3637D" w14:textId="77777777">
      <w:pPr>
        <w:pBdr>
          <w:top w:val="nil"/>
          <w:left w:val="nil"/>
          <w:bottom w:val="nil"/>
          <w:right w:val="nil"/>
          <w:between w:val="nil"/>
        </w:pBdr>
        <w:spacing w:before="160" w:line="259" w:lineRule="auto"/>
        <w:jc w:val="both"/>
        <w:rPr>
          <w:color w:val="000000"/>
        </w:rPr>
      </w:pPr>
    </w:p>
    <w:sectPr>
      <w:pgSz w:w="12240" w:h="15840"/>
      <w:pgMar w:top="1296" w:right="1152" w:bottom="1296" w:left="1152" w:header="0" w:footer="10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D402E3"/>
    <w:multiLevelType w:val="multilevel"/>
    <w:tmpl w:val="009CB414"/>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rPr>
        <w:rFonts w:ascii="Noto Sans Symbols" w:eastAsia="Noto Sans Symbols" w:hAnsi="Noto Sans Symbols" w:cs="Noto Sans Symbols"/>
        <w:color w:val="2F5496"/>
        <w:sz w:val="20"/>
        <w:szCs w:val="20"/>
      </w:rPr>
    </w:lvl>
    <w:lvl w:ilvl="2">
      <w:start w:val="0"/>
      <w:numFmt w:val="bullet"/>
      <w:lvlText w:val="•"/>
      <w:lvlJc w:val="left"/>
      <w:pPr>
        <w:ind w:left="2273" w:hanging="360"/>
      </w:pPr>
    </w:lvl>
    <w:lvl w:ilvl="3">
      <w:start w:val="0"/>
      <w:numFmt w:val="bullet"/>
      <w:lvlText w:val="•"/>
      <w:lvlJc w:val="left"/>
      <w:pPr>
        <w:ind w:left="3426" w:hanging="360"/>
      </w:pPr>
    </w:lvl>
    <w:lvl w:ilvl="4">
      <w:start w:val="0"/>
      <w:numFmt w:val="bullet"/>
      <w:lvlText w:val="•"/>
      <w:lvlJc w:val="left"/>
      <w:pPr>
        <w:ind w:left="4580" w:hanging="360"/>
      </w:pPr>
    </w:lvl>
    <w:lvl w:ilvl="5">
      <w:start w:val="0"/>
      <w:numFmt w:val="bullet"/>
      <w:lvlText w:val="•"/>
      <w:lvlJc w:val="left"/>
      <w:pPr>
        <w:ind w:left="5733" w:hanging="360"/>
      </w:pPr>
    </w:lvl>
    <w:lvl w:ilvl="6">
      <w:start w:val="0"/>
      <w:numFmt w:val="bullet"/>
      <w:lvlText w:val="•"/>
      <w:lvlJc w:val="left"/>
      <w:pPr>
        <w:ind w:left="6886" w:hanging="360"/>
      </w:pPr>
    </w:lvl>
    <w:lvl w:ilvl="7">
      <w:start w:val="0"/>
      <w:numFmt w:val="bullet"/>
      <w:lvlText w:val="•"/>
      <w:lvlJc w:val="left"/>
      <w:pPr>
        <w:ind w:left="8040" w:hanging="360"/>
      </w:pPr>
    </w:lvl>
    <w:lvl w:ilvl="8">
      <w:start w:val="0"/>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21"/>
    <w:rsid w:val="00094668"/>
    <w:rsid w:val="0023221B"/>
    <w:rsid w:val="00235721"/>
    <w:rsid w:val="00246ECA"/>
    <w:rsid w:val="002D4F54"/>
    <w:rsid w:val="00327F32"/>
    <w:rsid w:val="005556A7"/>
    <w:rsid w:val="00612A16"/>
    <w:rsid w:val="007068BA"/>
    <w:rsid w:val="00875E80"/>
    <w:rsid w:val="00AB3786"/>
    <w:rsid w:val="00B00E7A"/>
    <w:rsid w:val="00B22867"/>
    <w:rsid w:val="00BB323B"/>
    <w:rsid w:val="00D40724"/>
    <w:rsid w:val="00E923FA"/>
    <w:rsid w:val="00EE49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39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E49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9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2025-05-09T19:46:00Z</dcterms:created>
  <dcterms:modified xsi:type="dcterms:W3CDTF">2025-05-20T15:40:00Z</dcterms:modified>
</cp:coreProperties>
</file>