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AEC" w:rsidRPr="00A470A0" w:rsidP="00942462" w14:paraId="30E1B260" w14:textId="77777777">
      <w:pPr>
        <w:jc w:val="center"/>
        <w:rPr>
          <w:sz w:val="22"/>
          <w:szCs w:val="22"/>
        </w:rPr>
      </w:pPr>
    </w:p>
    <w:p w:rsidR="00D62AEC" w:rsidRPr="00A470A0" w:rsidP="00942462" w14:paraId="5D84CA77" w14:textId="77777777">
      <w:pPr>
        <w:jc w:val="center"/>
        <w:rPr>
          <w:b/>
          <w:sz w:val="22"/>
          <w:szCs w:val="22"/>
        </w:rPr>
      </w:pPr>
      <w:r w:rsidRPr="00A470A0">
        <w:rPr>
          <w:b/>
          <w:sz w:val="22"/>
          <w:szCs w:val="22"/>
        </w:rPr>
        <w:t>SUPPORTING STATEMENT</w:t>
      </w:r>
    </w:p>
    <w:p w:rsidR="008B746B" w:rsidP="0097024B" w14:paraId="4A581CE8" w14:textId="77777777">
      <w:pPr>
        <w:tabs>
          <w:tab w:val="left" w:pos="7455"/>
        </w:tabs>
        <w:ind w:left="288" w:hanging="288"/>
        <w:rPr>
          <w:sz w:val="22"/>
          <w:szCs w:val="22"/>
        </w:rPr>
      </w:pPr>
    </w:p>
    <w:p w:rsidR="005A55EA" w:rsidRPr="005A55EA" w:rsidP="005A55EA" w14:paraId="704EB616" w14:textId="2F7C0704">
      <w:pPr>
        <w:rPr>
          <w:sz w:val="22"/>
          <w:szCs w:val="22"/>
        </w:rPr>
      </w:pPr>
      <w:r w:rsidRPr="005A55EA">
        <w:rPr>
          <w:sz w:val="22"/>
          <w:szCs w:val="22"/>
        </w:rPr>
        <w:t xml:space="preserve">This collection is being submitted to the Office of Management and Budget (OMB) as an extension of a currently-approved collection in order to obtain the three-year approval.   </w:t>
      </w:r>
    </w:p>
    <w:p w:rsidR="00C77C3B" w:rsidRPr="00A470A0" w:rsidP="0097024B" w14:paraId="24FD17E7" w14:textId="77777777">
      <w:pPr>
        <w:tabs>
          <w:tab w:val="left" w:pos="7455"/>
        </w:tabs>
        <w:ind w:left="288" w:hanging="288"/>
        <w:rPr>
          <w:sz w:val="22"/>
          <w:szCs w:val="22"/>
        </w:rPr>
      </w:pPr>
    </w:p>
    <w:p w:rsidR="00D62AEC" w:rsidRPr="00A470A0" w:rsidP="0097024B" w14:paraId="3159DCC7" w14:textId="4E496234">
      <w:pPr>
        <w:tabs>
          <w:tab w:val="left" w:pos="7455"/>
        </w:tabs>
        <w:ind w:left="288" w:hanging="288"/>
        <w:rPr>
          <w:b/>
          <w:sz w:val="22"/>
          <w:szCs w:val="22"/>
        </w:rPr>
      </w:pPr>
      <w:r w:rsidRPr="00A470A0">
        <w:rPr>
          <w:b/>
          <w:sz w:val="22"/>
          <w:szCs w:val="22"/>
        </w:rPr>
        <w:t>A.</w:t>
      </w:r>
      <w:r w:rsidRPr="00A470A0">
        <w:rPr>
          <w:b/>
          <w:sz w:val="22"/>
          <w:szCs w:val="22"/>
        </w:rPr>
        <w:tab/>
      </w:r>
      <w:r w:rsidRPr="00A470A0">
        <w:rPr>
          <w:b/>
          <w:sz w:val="22"/>
          <w:szCs w:val="22"/>
        </w:rPr>
        <w:t>Justification:</w:t>
      </w:r>
    </w:p>
    <w:p w:rsidR="00D62AEC" w:rsidRPr="00A470A0" w:rsidP="0097024B" w14:paraId="5F7798BB" w14:textId="77777777">
      <w:pPr>
        <w:ind w:left="288" w:hanging="288"/>
        <w:rPr>
          <w:sz w:val="22"/>
          <w:szCs w:val="22"/>
        </w:rPr>
      </w:pPr>
    </w:p>
    <w:p w:rsidR="002F3464" w:rsidRPr="00976C66" w:rsidP="00976C66" w14:paraId="56B8CFC9" w14:textId="477680E5">
      <w:pPr>
        <w:pStyle w:val="ListParagraph"/>
        <w:numPr>
          <w:ilvl w:val="0"/>
          <w:numId w:val="8"/>
        </w:numPr>
        <w:autoSpaceDE w:val="0"/>
        <w:autoSpaceDN w:val="0"/>
        <w:adjustRightInd w:val="0"/>
        <w:ind w:left="360"/>
        <w:rPr>
          <w:sz w:val="22"/>
          <w:szCs w:val="22"/>
        </w:rPr>
      </w:pPr>
      <w:r w:rsidRPr="00976C66">
        <w:rPr>
          <w:sz w:val="22"/>
          <w:szCs w:val="22"/>
        </w:rPr>
        <w:t>Sections 64.2500 and 76.2000 of t</w:t>
      </w:r>
      <w:r w:rsidRPr="00976C66" w:rsidR="00D62AEC">
        <w:rPr>
          <w:sz w:val="22"/>
          <w:szCs w:val="22"/>
        </w:rPr>
        <w:t xml:space="preserve">he </w:t>
      </w:r>
      <w:r w:rsidRPr="00976C66">
        <w:rPr>
          <w:sz w:val="22"/>
          <w:szCs w:val="22"/>
        </w:rPr>
        <w:t xml:space="preserve">Commission’s </w:t>
      </w:r>
      <w:r w:rsidRPr="00976C66" w:rsidR="00D62AEC">
        <w:rPr>
          <w:sz w:val="22"/>
          <w:szCs w:val="22"/>
        </w:rPr>
        <w:t>rules</w:t>
      </w:r>
      <w:r w:rsidRPr="00976C66">
        <w:rPr>
          <w:sz w:val="22"/>
          <w:szCs w:val="22"/>
        </w:rPr>
        <w:t xml:space="preserve"> prohibit agreements between providers of communications services and owners of multi</w:t>
      </w:r>
      <w:r w:rsidRPr="00976C66" w:rsidR="007C72D7">
        <w:rPr>
          <w:sz w:val="22"/>
          <w:szCs w:val="22"/>
        </w:rPr>
        <w:t xml:space="preserve">ple </w:t>
      </w:r>
      <w:r w:rsidRPr="00976C66">
        <w:rPr>
          <w:sz w:val="22"/>
          <w:szCs w:val="22"/>
        </w:rPr>
        <w:t xml:space="preserve">tenant environments (MTEs) that grant the provider exclusive access and rights to provide service to </w:t>
      </w:r>
      <w:r w:rsidRPr="00976C66" w:rsidR="00E82104">
        <w:rPr>
          <w:sz w:val="22"/>
          <w:szCs w:val="22"/>
        </w:rPr>
        <w:t>an</w:t>
      </w:r>
      <w:r w:rsidRPr="00976C66">
        <w:rPr>
          <w:sz w:val="22"/>
          <w:szCs w:val="22"/>
        </w:rPr>
        <w:t xml:space="preserve"> MTE.  The Commission a</w:t>
      </w:r>
      <w:r w:rsidRPr="00976C66" w:rsidR="00A46569">
        <w:rPr>
          <w:sz w:val="22"/>
          <w:szCs w:val="22"/>
        </w:rPr>
        <w:t>mended those sections by a</w:t>
      </w:r>
      <w:r w:rsidRPr="00976C66">
        <w:rPr>
          <w:sz w:val="22"/>
          <w:szCs w:val="22"/>
        </w:rPr>
        <w:t>dopt</w:t>
      </w:r>
      <w:r w:rsidRPr="00976C66" w:rsidR="00A46569">
        <w:rPr>
          <w:sz w:val="22"/>
          <w:szCs w:val="22"/>
        </w:rPr>
        <w:t>ing</w:t>
      </w:r>
      <w:r w:rsidRPr="00976C66">
        <w:rPr>
          <w:sz w:val="22"/>
          <w:szCs w:val="22"/>
        </w:rPr>
        <w:t xml:space="preserve"> rules </w:t>
      </w:r>
      <w:r w:rsidRPr="00976C66" w:rsidR="00A46569">
        <w:rPr>
          <w:sz w:val="22"/>
          <w:szCs w:val="22"/>
        </w:rPr>
        <w:t xml:space="preserve">that </w:t>
      </w:r>
      <w:r w:rsidRPr="00976C66">
        <w:rPr>
          <w:sz w:val="22"/>
          <w:szCs w:val="22"/>
        </w:rPr>
        <w:t xml:space="preserve">prohibit practices </w:t>
      </w:r>
      <w:r w:rsidRPr="00976C66" w:rsidR="004A38F3">
        <w:rPr>
          <w:sz w:val="22"/>
          <w:szCs w:val="22"/>
        </w:rPr>
        <w:t xml:space="preserve">that </w:t>
      </w:r>
      <w:r w:rsidRPr="00976C66">
        <w:rPr>
          <w:sz w:val="22"/>
          <w:szCs w:val="22"/>
        </w:rPr>
        <w:t>undermine the Commission’s longstanding prohibition on exclusive access contracts.  Specifically, the Commission now prohibits common carriers and multichannel video programming distributors (MVPDs</w:t>
      </w:r>
      <w:r w:rsidRPr="00976C66" w:rsidR="00A46569">
        <w:rPr>
          <w:sz w:val="22"/>
          <w:szCs w:val="22"/>
        </w:rPr>
        <w:t>)</w:t>
      </w:r>
      <w:r w:rsidRPr="00976C66" w:rsidR="00D95565">
        <w:rPr>
          <w:sz w:val="22"/>
          <w:szCs w:val="22"/>
        </w:rPr>
        <w:t xml:space="preserve"> subject to 47 USC </w:t>
      </w:r>
      <w:r w:rsidRPr="00976C66" w:rsidR="00251AD1">
        <w:rPr>
          <w:sz w:val="22"/>
          <w:szCs w:val="22"/>
        </w:rPr>
        <w:t>§</w:t>
      </w:r>
      <w:r w:rsidR="00251AD1">
        <w:rPr>
          <w:sz w:val="22"/>
          <w:szCs w:val="22"/>
        </w:rPr>
        <w:t> </w:t>
      </w:r>
      <w:r w:rsidRPr="00976C66" w:rsidR="00D95565">
        <w:rPr>
          <w:sz w:val="22"/>
          <w:szCs w:val="22"/>
        </w:rPr>
        <w:t>628(b)</w:t>
      </w:r>
      <w:r w:rsidRPr="00976C66">
        <w:rPr>
          <w:sz w:val="22"/>
          <w:szCs w:val="22"/>
        </w:rPr>
        <w:t xml:space="preserve"> from entering into</w:t>
      </w:r>
      <w:r w:rsidRPr="00976C66" w:rsidR="00A46569">
        <w:rPr>
          <w:sz w:val="22"/>
          <w:szCs w:val="22"/>
        </w:rPr>
        <w:t xml:space="preserve"> </w:t>
      </w:r>
      <w:r w:rsidRPr="00976C66">
        <w:rPr>
          <w:sz w:val="22"/>
          <w:szCs w:val="22"/>
        </w:rPr>
        <w:t>exclusive and graduated revenue sharing agreements</w:t>
      </w:r>
      <w:r w:rsidRPr="00976C66" w:rsidR="004A38F3">
        <w:rPr>
          <w:sz w:val="22"/>
          <w:szCs w:val="22"/>
        </w:rPr>
        <w:t xml:space="preserve"> with MTE owners</w:t>
      </w:r>
      <w:r w:rsidRPr="00976C66">
        <w:rPr>
          <w:sz w:val="22"/>
          <w:szCs w:val="22"/>
        </w:rPr>
        <w:t>.</w:t>
      </w:r>
      <w:r w:rsidRPr="00976C66" w:rsidR="00A46569">
        <w:rPr>
          <w:sz w:val="22"/>
          <w:szCs w:val="22"/>
        </w:rPr>
        <w:t xml:space="preserve">  In addition, the Commission now </w:t>
      </w:r>
      <w:r w:rsidRPr="00976C66">
        <w:rPr>
          <w:sz w:val="22"/>
          <w:szCs w:val="22"/>
        </w:rPr>
        <w:t>require</w:t>
      </w:r>
      <w:r w:rsidRPr="00976C66" w:rsidR="004A38F3">
        <w:rPr>
          <w:sz w:val="22"/>
          <w:szCs w:val="22"/>
        </w:rPr>
        <w:t>s</w:t>
      </w:r>
      <w:r w:rsidRPr="00976C66">
        <w:rPr>
          <w:sz w:val="22"/>
          <w:szCs w:val="22"/>
        </w:rPr>
        <w:t xml:space="preserve"> that</w:t>
      </w:r>
      <w:r w:rsidRPr="00976C66" w:rsidR="00A46569">
        <w:rPr>
          <w:sz w:val="22"/>
          <w:szCs w:val="22"/>
        </w:rPr>
        <w:t xml:space="preserve"> covered providers i</w:t>
      </w:r>
      <w:r w:rsidRPr="00976C66">
        <w:rPr>
          <w:sz w:val="22"/>
          <w:szCs w:val="22"/>
        </w:rPr>
        <w:t xml:space="preserve">nclude disclaimers on marketing materials distributed to MTE tenants </w:t>
      </w:r>
      <w:r w:rsidRPr="00976C66" w:rsidR="00E82104">
        <w:rPr>
          <w:sz w:val="22"/>
          <w:szCs w:val="22"/>
        </w:rPr>
        <w:t xml:space="preserve">and prospective tenants </w:t>
      </w:r>
      <w:r w:rsidRPr="00976C66">
        <w:rPr>
          <w:sz w:val="22"/>
          <w:szCs w:val="22"/>
        </w:rPr>
        <w:t>that inform t</w:t>
      </w:r>
      <w:r w:rsidRPr="00976C66" w:rsidR="00E82104">
        <w:rPr>
          <w:sz w:val="22"/>
          <w:szCs w:val="22"/>
        </w:rPr>
        <w:t>hem</w:t>
      </w:r>
      <w:r w:rsidRPr="00976C66">
        <w:rPr>
          <w:sz w:val="22"/>
          <w:szCs w:val="22"/>
        </w:rPr>
        <w:t xml:space="preserve"> of</w:t>
      </w:r>
      <w:r w:rsidRPr="00976C66" w:rsidR="00A46569">
        <w:rPr>
          <w:sz w:val="22"/>
          <w:szCs w:val="22"/>
        </w:rPr>
        <w:t xml:space="preserve"> </w:t>
      </w:r>
      <w:r w:rsidRPr="00976C66">
        <w:rPr>
          <w:sz w:val="22"/>
          <w:szCs w:val="22"/>
        </w:rPr>
        <w:t>the existence of an exclusive marketing arrangement</w:t>
      </w:r>
      <w:r w:rsidRPr="00976C66" w:rsidR="00A46569">
        <w:rPr>
          <w:sz w:val="22"/>
          <w:szCs w:val="22"/>
        </w:rPr>
        <w:t xml:space="preserve"> (defined as an arrangement, either written or in practice, between an MTE owner and a service provider that gives the service provider, usually in exchange for some consideration, the exclusive right to certain means of marketing its service to tenants of the MTE).  The Commission is mandating provider disclosure of exclusive marketing arrangements in order to remedy MTE tenant confusion regarding the impact of exclusive marketing arrangements, prevent the evasion of the exclusive access rules, and</w:t>
      </w:r>
      <w:r w:rsidRPr="00976C66" w:rsidR="0074431F">
        <w:rPr>
          <w:sz w:val="22"/>
          <w:szCs w:val="22"/>
        </w:rPr>
        <w:t xml:space="preserve"> </w:t>
      </w:r>
      <w:r w:rsidRPr="00976C66" w:rsidR="00A46569">
        <w:rPr>
          <w:sz w:val="22"/>
          <w:szCs w:val="22"/>
        </w:rPr>
        <w:t xml:space="preserve">promote competition for communications services in MTEs.  </w:t>
      </w:r>
    </w:p>
    <w:p w:rsidR="002F3464" w:rsidP="00976C66" w14:paraId="78F1F976" w14:textId="77777777">
      <w:pPr>
        <w:pStyle w:val="ListParagraph"/>
        <w:autoSpaceDE w:val="0"/>
        <w:autoSpaceDN w:val="0"/>
        <w:adjustRightInd w:val="0"/>
        <w:ind w:left="360"/>
        <w:rPr>
          <w:sz w:val="22"/>
          <w:szCs w:val="22"/>
        </w:rPr>
      </w:pPr>
    </w:p>
    <w:p w:rsidR="0039491E" w:rsidRPr="00137903" w:rsidP="00137903" w14:paraId="5A8F877C" w14:textId="0204615C">
      <w:pPr>
        <w:pStyle w:val="ListParagraph"/>
        <w:autoSpaceDE w:val="0"/>
        <w:autoSpaceDN w:val="0"/>
        <w:adjustRightInd w:val="0"/>
        <w:ind w:left="360"/>
      </w:pPr>
      <w:r w:rsidRPr="00976C66">
        <w:rPr>
          <w:sz w:val="22"/>
          <w:szCs w:val="22"/>
        </w:rPr>
        <w:t xml:space="preserve">  </w:t>
      </w:r>
    </w:p>
    <w:p w:rsidR="0039491E" w:rsidRPr="0039491E" w:rsidP="0039491E" w14:paraId="7897BD60" w14:textId="2281B672">
      <w:pPr>
        <w:ind w:left="360"/>
        <w:rPr>
          <w:sz w:val="22"/>
          <w:szCs w:val="22"/>
        </w:rPr>
      </w:pPr>
      <w:r w:rsidRPr="00044EC8">
        <w:rPr>
          <w:sz w:val="22"/>
          <w:szCs w:val="22"/>
        </w:rPr>
        <w:t>This information collection does not affect individuals or households; thus, there are no impacts under the Privacy Act.</w:t>
      </w:r>
    </w:p>
    <w:p w:rsidR="0039491E" w:rsidP="00976C66" w14:paraId="6DF9FD03" w14:textId="77777777">
      <w:pPr>
        <w:pStyle w:val="ListParagraph"/>
        <w:autoSpaceDE w:val="0"/>
        <w:autoSpaceDN w:val="0"/>
        <w:adjustRightInd w:val="0"/>
        <w:ind w:left="360"/>
        <w:rPr>
          <w:sz w:val="22"/>
          <w:szCs w:val="22"/>
        </w:rPr>
      </w:pPr>
    </w:p>
    <w:p w:rsidR="002F3464" w:rsidP="00976C66" w14:paraId="761C8420" w14:textId="270B0CE2">
      <w:pPr>
        <w:pStyle w:val="ListParagraph"/>
        <w:autoSpaceDE w:val="0"/>
        <w:autoSpaceDN w:val="0"/>
        <w:adjustRightInd w:val="0"/>
        <w:ind w:left="360"/>
        <w:rPr>
          <w:sz w:val="22"/>
          <w:szCs w:val="22"/>
        </w:rPr>
      </w:pPr>
      <w:r w:rsidRPr="00976C66">
        <w:rPr>
          <w:sz w:val="22"/>
          <w:szCs w:val="22"/>
        </w:rPr>
        <w:t xml:space="preserve">Statutory authority for this collection is contained in </w:t>
      </w:r>
      <w:r w:rsidRPr="00976C66" w:rsidR="0006738B">
        <w:rPr>
          <w:sz w:val="22"/>
          <w:szCs w:val="22"/>
        </w:rPr>
        <w:t>s</w:t>
      </w:r>
      <w:r w:rsidRPr="00976C66">
        <w:rPr>
          <w:sz w:val="22"/>
          <w:szCs w:val="22"/>
        </w:rPr>
        <w:t>ection</w:t>
      </w:r>
      <w:r w:rsidRPr="00976C66" w:rsidR="00A46569">
        <w:rPr>
          <w:sz w:val="22"/>
          <w:szCs w:val="22"/>
        </w:rPr>
        <w:t>s</w:t>
      </w:r>
      <w:r w:rsidRPr="00976C66" w:rsidR="00EA4C99">
        <w:rPr>
          <w:sz w:val="22"/>
          <w:szCs w:val="22"/>
        </w:rPr>
        <w:t xml:space="preserve"> </w:t>
      </w:r>
      <w:r w:rsidRPr="00976C66">
        <w:rPr>
          <w:sz w:val="22"/>
          <w:szCs w:val="22"/>
        </w:rPr>
        <w:t>2</w:t>
      </w:r>
      <w:r w:rsidRPr="00976C66" w:rsidR="00A46569">
        <w:rPr>
          <w:sz w:val="22"/>
          <w:szCs w:val="22"/>
        </w:rPr>
        <w:t>01(b) and 628(b)</w:t>
      </w:r>
      <w:r w:rsidRPr="00976C66">
        <w:rPr>
          <w:sz w:val="22"/>
          <w:szCs w:val="22"/>
        </w:rPr>
        <w:t xml:space="preserve"> of the Communications Act of 1934, as amended.</w:t>
      </w:r>
    </w:p>
    <w:p w:rsidR="009412ED" w:rsidRPr="00A470A0" w:rsidP="00976C66" w14:paraId="59DA90C6" w14:textId="5F4A789B">
      <w:pPr>
        <w:pStyle w:val="ListParagraph"/>
        <w:autoSpaceDE w:val="0"/>
        <w:autoSpaceDN w:val="0"/>
        <w:adjustRightInd w:val="0"/>
        <w:rPr>
          <w:sz w:val="22"/>
          <w:szCs w:val="22"/>
        </w:rPr>
      </w:pPr>
    </w:p>
    <w:p w:rsidR="00D62AEC" w:rsidRPr="00A470A0" w:rsidP="00800733" w14:paraId="30F0F10B" w14:textId="7EAE6E04">
      <w:pPr>
        <w:ind w:left="360" w:hanging="360"/>
        <w:rPr>
          <w:sz w:val="22"/>
          <w:szCs w:val="22"/>
        </w:rPr>
      </w:pPr>
      <w:r w:rsidRPr="00A470A0">
        <w:rPr>
          <w:sz w:val="22"/>
          <w:szCs w:val="22"/>
        </w:rPr>
        <w:t xml:space="preserve">2.  </w:t>
      </w:r>
      <w:r w:rsidRPr="00A470A0" w:rsidR="00E66220">
        <w:rPr>
          <w:sz w:val="22"/>
          <w:szCs w:val="22"/>
        </w:rPr>
        <w:t xml:space="preserve"> </w:t>
      </w:r>
      <w:r w:rsidRPr="00A470A0">
        <w:rPr>
          <w:sz w:val="22"/>
          <w:szCs w:val="22"/>
        </w:rPr>
        <w:t>Th</w:t>
      </w:r>
      <w:r w:rsidRPr="00A470A0" w:rsidR="00FB5ED4">
        <w:rPr>
          <w:sz w:val="22"/>
          <w:szCs w:val="22"/>
        </w:rPr>
        <w:t>e</w:t>
      </w:r>
      <w:r w:rsidRPr="00A470A0">
        <w:rPr>
          <w:sz w:val="22"/>
          <w:szCs w:val="22"/>
        </w:rPr>
        <w:t xml:space="preserve"> information </w:t>
      </w:r>
      <w:r w:rsidRPr="00A470A0" w:rsidR="00FB5ED4">
        <w:rPr>
          <w:sz w:val="22"/>
          <w:szCs w:val="22"/>
        </w:rPr>
        <w:t>required</w:t>
      </w:r>
      <w:r w:rsidRPr="00A470A0" w:rsidR="0074431F">
        <w:rPr>
          <w:sz w:val="22"/>
          <w:szCs w:val="22"/>
        </w:rPr>
        <w:t xml:space="preserve"> to be disclosed</w:t>
      </w:r>
      <w:r w:rsidRPr="00A470A0" w:rsidR="00FB5ED4">
        <w:rPr>
          <w:sz w:val="22"/>
          <w:szCs w:val="22"/>
        </w:rPr>
        <w:t xml:space="preserve"> as a result of the revision</w:t>
      </w:r>
      <w:r w:rsidRPr="00A470A0" w:rsidR="0074431F">
        <w:rPr>
          <w:sz w:val="22"/>
          <w:szCs w:val="22"/>
        </w:rPr>
        <w:t>s</w:t>
      </w:r>
      <w:r w:rsidRPr="00A470A0" w:rsidR="00FB5ED4">
        <w:rPr>
          <w:sz w:val="22"/>
          <w:szCs w:val="22"/>
        </w:rPr>
        <w:t xml:space="preserve"> to 47 CFR §</w:t>
      </w:r>
      <w:r w:rsidRPr="00A470A0" w:rsidR="004A38F3">
        <w:rPr>
          <w:sz w:val="22"/>
          <w:szCs w:val="22"/>
        </w:rPr>
        <w:t>§</w:t>
      </w:r>
      <w:r w:rsidR="00251AD1">
        <w:rPr>
          <w:sz w:val="22"/>
          <w:szCs w:val="22"/>
        </w:rPr>
        <w:t> </w:t>
      </w:r>
      <w:r w:rsidRPr="00A470A0" w:rsidR="004A38F3">
        <w:rPr>
          <w:sz w:val="22"/>
          <w:szCs w:val="22"/>
        </w:rPr>
        <w:t>64.2500 and 76.2000</w:t>
      </w:r>
      <w:r w:rsidRPr="00A470A0" w:rsidR="00FB5ED4">
        <w:rPr>
          <w:sz w:val="22"/>
          <w:szCs w:val="22"/>
        </w:rPr>
        <w:t xml:space="preserve"> </w:t>
      </w:r>
      <w:r w:rsidRPr="00A470A0">
        <w:rPr>
          <w:sz w:val="22"/>
          <w:szCs w:val="22"/>
        </w:rPr>
        <w:t xml:space="preserve">will be used </w:t>
      </w:r>
      <w:r w:rsidRPr="00A470A0" w:rsidR="00EA4C99">
        <w:rPr>
          <w:sz w:val="22"/>
          <w:szCs w:val="22"/>
        </w:rPr>
        <w:t>t</w:t>
      </w:r>
      <w:r w:rsidRPr="00A470A0">
        <w:rPr>
          <w:sz w:val="22"/>
          <w:szCs w:val="22"/>
        </w:rPr>
        <w:t xml:space="preserve">o </w:t>
      </w:r>
      <w:r w:rsidRPr="00A470A0" w:rsidR="004A38F3">
        <w:rPr>
          <w:sz w:val="22"/>
          <w:szCs w:val="22"/>
        </w:rPr>
        <w:t>remedy MTE tenant confusion regarding the impact of exclusive marketing arrangements, prevent the evasion of the exclusive access rules, and</w:t>
      </w:r>
      <w:r w:rsidRPr="00A470A0" w:rsidR="0074431F">
        <w:rPr>
          <w:sz w:val="22"/>
          <w:szCs w:val="22"/>
        </w:rPr>
        <w:t xml:space="preserve"> </w:t>
      </w:r>
      <w:r w:rsidRPr="00A470A0" w:rsidR="004A38F3">
        <w:rPr>
          <w:sz w:val="22"/>
          <w:szCs w:val="22"/>
        </w:rPr>
        <w:t xml:space="preserve">promote competition for communications services in MTEs.  </w:t>
      </w:r>
    </w:p>
    <w:p w:rsidR="00D62AEC" w:rsidRPr="00A470A0" w:rsidP="00800733" w14:paraId="265C092A" w14:textId="77777777">
      <w:pPr>
        <w:ind w:left="360" w:hanging="360"/>
        <w:rPr>
          <w:sz w:val="22"/>
          <w:szCs w:val="22"/>
        </w:rPr>
      </w:pPr>
    </w:p>
    <w:p w:rsidR="006F2668" w:rsidRPr="00A470A0" w:rsidP="006F2668" w14:paraId="6A79FD22" w14:textId="255CCE34">
      <w:pPr>
        <w:pStyle w:val="Default"/>
        <w:ind w:left="360" w:hanging="360"/>
        <w:rPr>
          <w:sz w:val="22"/>
          <w:szCs w:val="22"/>
        </w:rPr>
      </w:pPr>
      <w:r w:rsidRPr="00A470A0">
        <w:rPr>
          <w:sz w:val="22"/>
          <w:szCs w:val="22"/>
        </w:rPr>
        <w:t xml:space="preserve">3. </w:t>
      </w:r>
      <w:r w:rsidRPr="00A470A0" w:rsidR="001D6017">
        <w:rPr>
          <w:sz w:val="22"/>
          <w:szCs w:val="22"/>
        </w:rPr>
        <w:t xml:space="preserve">  </w:t>
      </w:r>
      <w:r w:rsidRPr="00A470A0" w:rsidR="00BE4375">
        <w:rPr>
          <w:sz w:val="22"/>
          <w:szCs w:val="22"/>
        </w:rPr>
        <w:t xml:space="preserve">This collection includes the use of automated, electronic, mechanical, and other technological collection techniques or forms of information technology, such as requiring provider disclosures on electronically delivered and produced written marketing material that is directed at tenants and potential tenants of an MTE where there is an exclusive marketing arrangement.  </w:t>
      </w:r>
      <w:r w:rsidRPr="00A470A0" w:rsidR="004A38F3">
        <w:rPr>
          <w:sz w:val="22"/>
          <w:szCs w:val="22"/>
        </w:rPr>
        <w:t>Written marketing material is “directed at” a tenant or prospective tenant of an MTE if it (1)</w:t>
      </w:r>
      <w:r w:rsidR="00251AD1">
        <w:rPr>
          <w:sz w:val="22"/>
          <w:szCs w:val="22"/>
        </w:rPr>
        <w:t> </w:t>
      </w:r>
      <w:r w:rsidRPr="00A470A0" w:rsidR="004A38F3">
        <w:rPr>
          <w:sz w:val="22"/>
          <w:szCs w:val="22"/>
        </w:rPr>
        <w:t>contains specific mention of the MTE; (2)</w:t>
      </w:r>
      <w:r w:rsidR="00251AD1">
        <w:rPr>
          <w:sz w:val="22"/>
          <w:szCs w:val="22"/>
        </w:rPr>
        <w:t> </w:t>
      </w:r>
      <w:r w:rsidRPr="00A470A0" w:rsidR="004A38F3">
        <w:rPr>
          <w:sz w:val="22"/>
          <w:szCs w:val="22"/>
        </w:rPr>
        <w:t>is provided directly to the tenant or prospective tenant because of its relationship (or prospective relationship) to the MTE, regardless of the means by which it is provided (including, but not limited to, being sent via email, regular mail, mailbox insert, or door hanger); or (3)</w:t>
      </w:r>
      <w:r w:rsidR="00251AD1">
        <w:rPr>
          <w:sz w:val="22"/>
          <w:szCs w:val="22"/>
        </w:rPr>
        <w:t> </w:t>
      </w:r>
      <w:r w:rsidRPr="00A470A0" w:rsidR="004A38F3">
        <w:rPr>
          <w:sz w:val="22"/>
          <w:szCs w:val="22"/>
        </w:rPr>
        <w:t xml:space="preserve">given to a third party, including the MTE owner, with the understanding it will be directed at tenants or prospective tenants of the MTE. </w:t>
      </w:r>
      <w:r w:rsidRPr="00A470A0">
        <w:rPr>
          <w:sz w:val="22"/>
          <w:szCs w:val="22"/>
        </w:rPr>
        <w:t xml:space="preserve"> </w:t>
      </w:r>
      <w:r w:rsidRPr="00A470A0" w:rsidR="004A38F3">
        <w:rPr>
          <w:sz w:val="22"/>
          <w:szCs w:val="22"/>
        </w:rPr>
        <w:t>It does not, however, include general-purpose marketing material that incidentally reaches tenants or prospective tenants of the MTE (e.g., general area media or online advertising, website promotions).</w:t>
      </w:r>
    </w:p>
    <w:p w:rsidR="00D62AEC" w:rsidRPr="00A470A0" w:rsidP="00800733" w14:paraId="0FC45A42" w14:textId="77777777">
      <w:pPr>
        <w:ind w:left="360" w:hanging="360"/>
        <w:rPr>
          <w:sz w:val="22"/>
          <w:szCs w:val="22"/>
        </w:rPr>
      </w:pPr>
    </w:p>
    <w:p w:rsidR="00D62AEC" w:rsidRPr="00A470A0" w:rsidP="00800733" w14:paraId="7AC751D7" w14:textId="6D9B5E39">
      <w:pPr>
        <w:tabs>
          <w:tab w:val="left" w:pos="360"/>
        </w:tabs>
        <w:ind w:left="360" w:hanging="360"/>
        <w:rPr>
          <w:sz w:val="22"/>
          <w:szCs w:val="22"/>
        </w:rPr>
      </w:pPr>
      <w:r w:rsidRPr="00A470A0">
        <w:rPr>
          <w:sz w:val="22"/>
          <w:szCs w:val="22"/>
        </w:rPr>
        <w:t xml:space="preserve">4.  </w:t>
      </w:r>
      <w:r w:rsidRPr="00A470A0" w:rsidR="00766281">
        <w:rPr>
          <w:sz w:val="22"/>
          <w:szCs w:val="22"/>
        </w:rPr>
        <w:tab/>
      </w:r>
      <w:r w:rsidRPr="00A470A0" w:rsidR="0074431F">
        <w:rPr>
          <w:sz w:val="22"/>
          <w:szCs w:val="22"/>
        </w:rPr>
        <w:t>Duplication is avoided in this collection because t</w:t>
      </w:r>
      <w:r w:rsidRPr="00A470A0">
        <w:rPr>
          <w:sz w:val="22"/>
          <w:szCs w:val="22"/>
        </w:rPr>
        <w:t>he</w:t>
      </w:r>
      <w:r w:rsidRPr="00A470A0" w:rsidR="006F2668">
        <w:rPr>
          <w:sz w:val="22"/>
          <w:szCs w:val="22"/>
        </w:rPr>
        <w:t xml:space="preserve"> required information to be disclosed pursuant to the rules </w:t>
      </w:r>
      <w:r w:rsidRPr="00A470A0">
        <w:rPr>
          <w:sz w:val="22"/>
          <w:szCs w:val="22"/>
        </w:rPr>
        <w:t>is not available elsewhere</w:t>
      </w:r>
      <w:r w:rsidRPr="00A470A0" w:rsidR="006F2668">
        <w:rPr>
          <w:sz w:val="22"/>
          <w:szCs w:val="22"/>
        </w:rPr>
        <w:t xml:space="preserve">, since only the provider and the MTE owner would know about </w:t>
      </w:r>
      <w:r w:rsidRPr="00A470A0" w:rsidR="006F2668">
        <w:rPr>
          <w:sz w:val="22"/>
          <w:szCs w:val="22"/>
        </w:rPr>
        <w:t>the existence of the exclusive marketing arrangement</w:t>
      </w:r>
      <w:r w:rsidRPr="00A470A0">
        <w:rPr>
          <w:sz w:val="22"/>
          <w:szCs w:val="22"/>
        </w:rPr>
        <w:t xml:space="preserve">.  The information </w:t>
      </w:r>
      <w:r w:rsidRPr="00A470A0" w:rsidR="006F2668">
        <w:rPr>
          <w:sz w:val="22"/>
          <w:szCs w:val="22"/>
        </w:rPr>
        <w:t xml:space="preserve">that must be provided </w:t>
      </w:r>
      <w:r w:rsidRPr="00A470A0" w:rsidR="00566205">
        <w:rPr>
          <w:sz w:val="22"/>
          <w:szCs w:val="22"/>
        </w:rPr>
        <w:t>to MTE tenants and prospective tenants is</w:t>
      </w:r>
      <w:r w:rsidRPr="00A470A0">
        <w:rPr>
          <w:sz w:val="22"/>
          <w:szCs w:val="22"/>
        </w:rPr>
        <w:t xml:space="preserve"> in the possession of the </w:t>
      </w:r>
      <w:r w:rsidRPr="00A470A0" w:rsidR="006F2668">
        <w:rPr>
          <w:sz w:val="22"/>
          <w:szCs w:val="22"/>
        </w:rPr>
        <w:t xml:space="preserve">provider </w:t>
      </w:r>
      <w:r w:rsidRPr="00A470A0" w:rsidR="00566205">
        <w:rPr>
          <w:sz w:val="22"/>
          <w:szCs w:val="22"/>
        </w:rPr>
        <w:t xml:space="preserve">and </w:t>
      </w:r>
      <w:r w:rsidRPr="00A470A0">
        <w:rPr>
          <w:sz w:val="22"/>
          <w:szCs w:val="22"/>
        </w:rPr>
        <w:t xml:space="preserve">the </w:t>
      </w:r>
      <w:r w:rsidRPr="00A470A0" w:rsidR="006F2668">
        <w:rPr>
          <w:sz w:val="22"/>
          <w:szCs w:val="22"/>
        </w:rPr>
        <w:t xml:space="preserve">provider </w:t>
      </w:r>
      <w:r w:rsidRPr="00A470A0">
        <w:rPr>
          <w:sz w:val="22"/>
          <w:szCs w:val="22"/>
        </w:rPr>
        <w:t xml:space="preserve">is in the best position to </w:t>
      </w:r>
      <w:r w:rsidRPr="00A470A0" w:rsidR="00566205">
        <w:rPr>
          <w:sz w:val="22"/>
          <w:szCs w:val="22"/>
        </w:rPr>
        <w:t xml:space="preserve">distribute </w:t>
      </w:r>
      <w:r w:rsidRPr="00A470A0" w:rsidR="006F2668">
        <w:rPr>
          <w:sz w:val="22"/>
          <w:szCs w:val="22"/>
        </w:rPr>
        <w:t xml:space="preserve">the required </w:t>
      </w:r>
      <w:r w:rsidRPr="00A470A0">
        <w:rPr>
          <w:sz w:val="22"/>
          <w:szCs w:val="22"/>
        </w:rPr>
        <w:t>information</w:t>
      </w:r>
      <w:r w:rsidRPr="00A470A0" w:rsidR="0074431F">
        <w:rPr>
          <w:sz w:val="22"/>
          <w:szCs w:val="22"/>
        </w:rPr>
        <w:t>, thus avoiding any duplication of efforts</w:t>
      </w:r>
      <w:r w:rsidRPr="00A470A0">
        <w:rPr>
          <w:sz w:val="22"/>
          <w:szCs w:val="22"/>
        </w:rPr>
        <w:t>.</w:t>
      </w:r>
    </w:p>
    <w:p w:rsidR="00D62AEC" w:rsidRPr="00A470A0" w:rsidP="00800733" w14:paraId="4B9BAA54" w14:textId="77777777">
      <w:pPr>
        <w:tabs>
          <w:tab w:val="left" w:pos="360"/>
        </w:tabs>
        <w:ind w:left="360" w:hanging="360"/>
        <w:rPr>
          <w:sz w:val="22"/>
          <w:szCs w:val="22"/>
        </w:rPr>
      </w:pPr>
    </w:p>
    <w:p w:rsidR="00D62AEC" w:rsidRPr="00A470A0" w:rsidP="00292B30" w14:paraId="2DE230DC" w14:textId="22E7B40C">
      <w:pPr>
        <w:autoSpaceDE w:val="0"/>
        <w:autoSpaceDN w:val="0"/>
        <w:adjustRightInd w:val="0"/>
        <w:ind w:left="360" w:hanging="360"/>
        <w:rPr>
          <w:sz w:val="22"/>
          <w:szCs w:val="22"/>
        </w:rPr>
      </w:pPr>
      <w:r w:rsidRPr="00A470A0">
        <w:rPr>
          <w:sz w:val="22"/>
          <w:szCs w:val="22"/>
        </w:rPr>
        <w:t xml:space="preserve">5.  </w:t>
      </w:r>
      <w:r w:rsidRPr="00A470A0" w:rsidR="00766281">
        <w:rPr>
          <w:sz w:val="22"/>
          <w:szCs w:val="22"/>
        </w:rPr>
        <w:tab/>
      </w:r>
      <w:r w:rsidRPr="00A470A0">
        <w:rPr>
          <w:sz w:val="22"/>
          <w:szCs w:val="22"/>
        </w:rPr>
        <w:t xml:space="preserve">This </w:t>
      </w:r>
      <w:r w:rsidRPr="00A470A0" w:rsidR="00566205">
        <w:rPr>
          <w:sz w:val="22"/>
          <w:szCs w:val="22"/>
        </w:rPr>
        <w:t xml:space="preserve">required disclosure </w:t>
      </w:r>
      <w:r w:rsidRPr="00A470A0">
        <w:rPr>
          <w:sz w:val="22"/>
          <w:szCs w:val="22"/>
        </w:rPr>
        <w:t xml:space="preserve">may have an impact on small </w:t>
      </w:r>
      <w:r w:rsidRPr="00A470A0" w:rsidR="00566205">
        <w:rPr>
          <w:sz w:val="22"/>
          <w:szCs w:val="22"/>
        </w:rPr>
        <w:t>providers</w:t>
      </w:r>
      <w:r w:rsidRPr="00A470A0">
        <w:rPr>
          <w:sz w:val="22"/>
          <w:szCs w:val="22"/>
        </w:rPr>
        <w:t xml:space="preserve">.  In compliance with the </w:t>
      </w:r>
      <w:r w:rsidRPr="00A470A0" w:rsidR="0073787E">
        <w:rPr>
          <w:sz w:val="22"/>
          <w:szCs w:val="22"/>
        </w:rPr>
        <w:t xml:space="preserve">Paperwork Reduction Act of 1995, the Commission </w:t>
      </w:r>
      <w:r w:rsidRPr="00A470A0">
        <w:rPr>
          <w:sz w:val="22"/>
          <w:szCs w:val="22"/>
        </w:rPr>
        <w:t xml:space="preserve">is making </w:t>
      </w:r>
      <w:r w:rsidRPr="00A470A0" w:rsidR="0073787E">
        <w:rPr>
          <w:sz w:val="22"/>
          <w:szCs w:val="22"/>
        </w:rPr>
        <w:t xml:space="preserve">every </w:t>
      </w:r>
      <w:r w:rsidRPr="00A470A0">
        <w:rPr>
          <w:sz w:val="22"/>
          <w:szCs w:val="22"/>
        </w:rPr>
        <w:t xml:space="preserve">effort to minimize the </w:t>
      </w:r>
      <w:r w:rsidRPr="00A470A0" w:rsidR="00566205">
        <w:rPr>
          <w:sz w:val="22"/>
          <w:szCs w:val="22"/>
        </w:rPr>
        <w:t xml:space="preserve">disclosure </w:t>
      </w:r>
      <w:r w:rsidRPr="00A470A0">
        <w:rPr>
          <w:sz w:val="22"/>
          <w:szCs w:val="22"/>
        </w:rPr>
        <w:t xml:space="preserve">burden on all </w:t>
      </w:r>
      <w:r w:rsidRPr="00A470A0" w:rsidR="00566205">
        <w:rPr>
          <w:sz w:val="22"/>
          <w:szCs w:val="22"/>
        </w:rPr>
        <w:t>providers</w:t>
      </w:r>
      <w:r w:rsidRPr="00A470A0" w:rsidR="0073787E">
        <w:rPr>
          <w:sz w:val="22"/>
          <w:szCs w:val="22"/>
        </w:rPr>
        <w:t>, regardless of size.</w:t>
      </w:r>
      <w:r w:rsidRPr="00A470A0" w:rsidR="00292B30">
        <w:rPr>
          <w:sz w:val="22"/>
          <w:szCs w:val="22"/>
        </w:rPr>
        <w:t xml:space="preserve">  For example, we adopted a disclosure requirement that will have minimal costs for providers, given that a provider simply needs to include a brief, legible disclosure of the exclusive marketing arrangement on marketing material it is otherwise planning to design, print (where appropriate), and send to tenants and prospective tenants of an MTE.  In addition, </w:t>
      </w:r>
      <w:r w:rsidRPr="00A470A0" w:rsidR="001B07C3">
        <w:rPr>
          <w:sz w:val="22"/>
          <w:szCs w:val="22"/>
        </w:rPr>
        <w:t xml:space="preserve">the Commission </w:t>
      </w:r>
      <w:r w:rsidRPr="00A470A0" w:rsidR="00292B30">
        <w:rPr>
          <w:sz w:val="22"/>
          <w:szCs w:val="22"/>
        </w:rPr>
        <w:t xml:space="preserve">did not adopt a more onerous disclosure requirement—such as an affirmative, recurring disclosure—because </w:t>
      </w:r>
      <w:r w:rsidRPr="00A470A0" w:rsidR="001B07C3">
        <w:rPr>
          <w:sz w:val="22"/>
          <w:szCs w:val="22"/>
        </w:rPr>
        <w:t xml:space="preserve">it </w:t>
      </w:r>
      <w:r w:rsidRPr="00A470A0" w:rsidR="00292B30">
        <w:rPr>
          <w:sz w:val="22"/>
          <w:szCs w:val="22"/>
        </w:rPr>
        <w:t xml:space="preserve">found it was not necessary to achieve </w:t>
      </w:r>
      <w:r w:rsidRPr="00A470A0" w:rsidR="001B07C3">
        <w:rPr>
          <w:sz w:val="22"/>
          <w:szCs w:val="22"/>
        </w:rPr>
        <w:t xml:space="preserve">its </w:t>
      </w:r>
      <w:r w:rsidRPr="00A470A0" w:rsidR="00292B30">
        <w:rPr>
          <w:sz w:val="22"/>
          <w:szCs w:val="22"/>
        </w:rPr>
        <w:t xml:space="preserve">objectives of reducing tenant confusion and encouraging competition in MTEs.  Rather, </w:t>
      </w:r>
      <w:r w:rsidRPr="00A470A0" w:rsidR="001B07C3">
        <w:rPr>
          <w:sz w:val="22"/>
          <w:szCs w:val="22"/>
        </w:rPr>
        <w:t xml:space="preserve">the Commission </w:t>
      </w:r>
      <w:r w:rsidRPr="00A470A0" w:rsidR="00292B30">
        <w:rPr>
          <w:sz w:val="22"/>
          <w:szCs w:val="22"/>
        </w:rPr>
        <w:t>found that the minimal requirements for disclosure will alleviate confusion by making MTE tenants aware of the existence of an exclusive marketing arrangement and helping them understand that it does not preclude competition for individual customers in an MTE.</w:t>
      </w:r>
    </w:p>
    <w:p w:rsidR="0073787E" w:rsidRPr="00A470A0" w:rsidP="00800733" w14:paraId="59792151" w14:textId="77777777">
      <w:pPr>
        <w:tabs>
          <w:tab w:val="left" w:pos="360"/>
        </w:tabs>
        <w:ind w:left="360" w:hanging="360"/>
        <w:rPr>
          <w:sz w:val="22"/>
          <w:szCs w:val="22"/>
        </w:rPr>
      </w:pPr>
    </w:p>
    <w:p w:rsidR="00D62AEC" w:rsidRPr="00A470A0" w:rsidP="00097DCE" w14:paraId="16FFFF83" w14:textId="35C79857">
      <w:pPr>
        <w:autoSpaceDE w:val="0"/>
        <w:autoSpaceDN w:val="0"/>
        <w:adjustRightInd w:val="0"/>
        <w:ind w:left="360" w:hanging="360"/>
        <w:rPr>
          <w:sz w:val="22"/>
          <w:szCs w:val="22"/>
        </w:rPr>
      </w:pPr>
      <w:r w:rsidRPr="00A470A0">
        <w:rPr>
          <w:sz w:val="22"/>
          <w:szCs w:val="22"/>
        </w:rPr>
        <w:t xml:space="preserve">6.   </w:t>
      </w:r>
      <w:r w:rsidRPr="00A470A0" w:rsidR="00292B30">
        <w:rPr>
          <w:sz w:val="22"/>
          <w:szCs w:val="22"/>
        </w:rPr>
        <w:t>I</w:t>
      </w:r>
      <w:r w:rsidRPr="00A470A0">
        <w:rPr>
          <w:sz w:val="22"/>
          <w:szCs w:val="22"/>
        </w:rPr>
        <w:t>f th</w:t>
      </w:r>
      <w:r w:rsidRPr="00A470A0" w:rsidR="00292B30">
        <w:rPr>
          <w:sz w:val="22"/>
          <w:szCs w:val="22"/>
        </w:rPr>
        <w:t xml:space="preserve">e required provider disclosure </w:t>
      </w:r>
      <w:r w:rsidRPr="00A470A0" w:rsidR="00D00B28">
        <w:rPr>
          <w:sz w:val="22"/>
          <w:szCs w:val="22"/>
        </w:rPr>
        <w:t xml:space="preserve">is </w:t>
      </w:r>
      <w:r w:rsidRPr="00A470A0" w:rsidR="00292B30">
        <w:rPr>
          <w:sz w:val="22"/>
          <w:szCs w:val="22"/>
        </w:rPr>
        <w:t>n</w:t>
      </w:r>
      <w:r w:rsidRPr="00A470A0">
        <w:rPr>
          <w:sz w:val="22"/>
          <w:szCs w:val="22"/>
        </w:rPr>
        <w:t xml:space="preserve">ot conducted, </w:t>
      </w:r>
      <w:r w:rsidRPr="00A470A0" w:rsidR="00292B30">
        <w:rPr>
          <w:sz w:val="22"/>
          <w:szCs w:val="22"/>
        </w:rPr>
        <w:t xml:space="preserve">or conducted less frequently, </w:t>
      </w:r>
      <w:r w:rsidRPr="00A470A0">
        <w:rPr>
          <w:sz w:val="22"/>
          <w:szCs w:val="22"/>
        </w:rPr>
        <w:t>the</w:t>
      </w:r>
      <w:r w:rsidRPr="00A470A0" w:rsidR="00D00B28">
        <w:rPr>
          <w:sz w:val="22"/>
          <w:szCs w:val="22"/>
        </w:rPr>
        <w:t>n the</w:t>
      </w:r>
      <w:r w:rsidRPr="00A470A0">
        <w:rPr>
          <w:sz w:val="22"/>
          <w:szCs w:val="22"/>
        </w:rPr>
        <w:t xml:space="preserve"> Commission</w:t>
      </w:r>
      <w:r w:rsidRPr="00A470A0" w:rsidR="00292B30">
        <w:rPr>
          <w:sz w:val="22"/>
          <w:szCs w:val="22"/>
        </w:rPr>
        <w:t xml:space="preserve"> will not be able to achieve its goals of reducing MTE tenant confusion and encouraging competition for communication services in MTEs</w:t>
      </w:r>
      <w:r w:rsidRPr="00A470A0">
        <w:rPr>
          <w:sz w:val="22"/>
          <w:szCs w:val="22"/>
        </w:rPr>
        <w:t>.</w:t>
      </w:r>
      <w:r w:rsidRPr="00A470A0" w:rsidR="00292B30">
        <w:rPr>
          <w:sz w:val="22"/>
          <w:szCs w:val="22"/>
        </w:rPr>
        <w:t xml:space="preserve">  In adopting the disclosure rules, </w:t>
      </w:r>
      <w:r w:rsidRPr="00A470A0" w:rsidR="001B07C3">
        <w:rPr>
          <w:sz w:val="22"/>
          <w:szCs w:val="22"/>
        </w:rPr>
        <w:t xml:space="preserve">the Commission </w:t>
      </w:r>
      <w:r w:rsidRPr="00A470A0" w:rsidR="00292B30">
        <w:rPr>
          <w:sz w:val="22"/>
          <w:szCs w:val="22"/>
        </w:rPr>
        <w:t xml:space="preserve">found that the costs to providers for implementing the disclosure requirement will be outweighed by the benefits to consumers and MTEs of having accurate knowledge of exclusive marketing arrangements and the corresponding impact of such arrangements.  </w:t>
      </w:r>
      <w:r w:rsidRPr="00A470A0" w:rsidR="001B07C3">
        <w:rPr>
          <w:sz w:val="22"/>
          <w:szCs w:val="22"/>
        </w:rPr>
        <w:t xml:space="preserve">The Commission </w:t>
      </w:r>
      <w:r w:rsidRPr="00A470A0" w:rsidR="00292B30">
        <w:rPr>
          <w:sz w:val="22"/>
          <w:szCs w:val="22"/>
        </w:rPr>
        <w:t>attempted to minimize the burden on providers by not adopting a more onerous disclosure requirement—such as an affirmative, recurring disclosure.</w:t>
      </w:r>
    </w:p>
    <w:p w:rsidR="00D62AEC" w:rsidRPr="00A470A0" w:rsidP="00800733" w14:paraId="75FA0B52" w14:textId="77777777">
      <w:pPr>
        <w:tabs>
          <w:tab w:val="left" w:pos="360"/>
        </w:tabs>
        <w:ind w:left="360" w:hanging="360"/>
        <w:rPr>
          <w:sz w:val="22"/>
          <w:szCs w:val="22"/>
        </w:rPr>
      </w:pPr>
    </w:p>
    <w:p w:rsidR="00D62AEC" w:rsidRPr="00A470A0" w:rsidP="00E66220" w14:paraId="1491349D" w14:textId="452C0F15">
      <w:pPr>
        <w:tabs>
          <w:tab w:val="left" w:pos="360"/>
        </w:tabs>
        <w:ind w:left="360" w:hanging="360"/>
        <w:rPr>
          <w:sz w:val="22"/>
          <w:szCs w:val="22"/>
        </w:rPr>
      </w:pPr>
      <w:r w:rsidRPr="00A470A0">
        <w:rPr>
          <w:sz w:val="22"/>
          <w:szCs w:val="22"/>
        </w:rPr>
        <w:t xml:space="preserve">7.  </w:t>
      </w:r>
      <w:r w:rsidRPr="00A470A0" w:rsidR="00766281">
        <w:rPr>
          <w:sz w:val="22"/>
          <w:szCs w:val="22"/>
        </w:rPr>
        <w:tab/>
      </w:r>
      <w:r w:rsidRPr="00A470A0" w:rsidR="00D00B28">
        <w:rPr>
          <w:sz w:val="22"/>
          <w:szCs w:val="22"/>
        </w:rPr>
        <w:t>No special circumstances apply to this collection</w:t>
      </w:r>
      <w:r w:rsidRPr="00A470A0" w:rsidR="007C6CB8">
        <w:rPr>
          <w:sz w:val="22"/>
          <w:szCs w:val="22"/>
        </w:rPr>
        <w:t>.</w:t>
      </w:r>
    </w:p>
    <w:p w:rsidR="00D62AEC" w:rsidRPr="00A470A0" w:rsidP="009066F5" w14:paraId="219C2D33" w14:textId="77777777">
      <w:pPr>
        <w:rPr>
          <w:sz w:val="22"/>
          <w:szCs w:val="22"/>
        </w:rPr>
      </w:pPr>
    </w:p>
    <w:p w:rsidR="00D62AEC" w:rsidRPr="00A470A0" w:rsidP="00800733" w14:paraId="7F7EBFE9" w14:textId="425C3028">
      <w:pPr>
        <w:ind w:left="360" w:hanging="360"/>
        <w:rPr>
          <w:sz w:val="22"/>
          <w:szCs w:val="22"/>
        </w:rPr>
      </w:pPr>
      <w:r w:rsidRPr="00A470A0">
        <w:rPr>
          <w:sz w:val="22"/>
          <w:szCs w:val="22"/>
        </w:rPr>
        <w:t xml:space="preserve">8.  </w:t>
      </w:r>
      <w:r w:rsidRPr="00A470A0" w:rsidR="00766281">
        <w:rPr>
          <w:sz w:val="22"/>
          <w:szCs w:val="22"/>
        </w:rPr>
        <w:tab/>
      </w:r>
      <w:r w:rsidRPr="00E84EDE" w:rsidR="00324E46">
        <w:rPr>
          <w:sz w:val="22"/>
          <w:szCs w:val="22"/>
        </w:rPr>
        <w:t xml:space="preserve">The Commission published a notice in the </w:t>
      </w:r>
      <w:r w:rsidRPr="00E84EDE" w:rsidR="00324E46">
        <w:rPr>
          <w:i/>
          <w:sz w:val="22"/>
          <w:szCs w:val="22"/>
        </w:rPr>
        <w:t>Federal Register</w:t>
      </w:r>
      <w:r w:rsidRPr="00E84EDE" w:rsidR="00324E46">
        <w:rPr>
          <w:sz w:val="22"/>
          <w:szCs w:val="22"/>
        </w:rPr>
        <w:t xml:space="preserve"> initiating a 60-day comment period on this collection on</w:t>
      </w:r>
      <w:r w:rsidRPr="00E84EDE" w:rsidR="0073787E">
        <w:rPr>
          <w:sz w:val="22"/>
          <w:szCs w:val="22"/>
        </w:rPr>
        <w:t xml:space="preserve"> </w:t>
      </w:r>
      <w:r w:rsidR="002F7102">
        <w:rPr>
          <w:sz w:val="22"/>
          <w:szCs w:val="22"/>
        </w:rPr>
        <w:t xml:space="preserve">January 14, </w:t>
      </w:r>
      <w:r w:rsidRPr="002F7102" w:rsidR="00097DCE">
        <w:rPr>
          <w:sz w:val="22"/>
          <w:szCs w:val="22"/>
        </w:rPr>
        <w:t>202</w:t>
      </w:r>
      <w:r w:rsidRPr="002F7102" w:rsidR="007E2ADD">
        <w:rPr>
          <w:sz w:val="22"/>
          <w:szCs w:val="22"/>
        </w:rPr>
        <w:t>5</w:t>
      </w:r>
      <w:r w:rsidRPr="002F7102" w:rsidR="00097DCE">
        <w:rPr>
          <w:sz w:val="22"/>
          <w:szCs w:val="22"/>
        </w:rPr>
        <w:t xml:space="preserve"> (</w:t>
      </w:r>
      <w:r w:rsidR="002F7102">
        <w:rPr>
          <w:sz w:val="22"/>
          <w:szCs w:val="22"/>
        </w:rPr>
        <w:t>90</w:t>
      </w:r>
      <w:r w:rsidRPr="002F7102" w:rsidR="005B379C">
        <w:rPr>
          <w:sz w:val="22"/>
          <w:szCs w:val="22"/>
        </w:rPr>
        <w:t xml:space="preserve"> </w:t>
      </w:r>
      <w:r w:rsidRPr="002F7102" w:rsidR="00324E46">
        <w:rPr>
          <w:sz w:val="22"/>
          <w:szCs w:val="22"/>
        </w:rPr>
        <w:t>FR</w:t>
      </w:r>
      <w:r w:rsidRPr="002F7102" w:rsidR="005B379C">
        <w:rPr>
          <w:sz w:val="22"/>
          <w:szCs w:val="22"/>
        </w:rPr>
        <w:t xml:space="preserve"> </w:t>
      </w:r>
      <w:r w:rsidR="002F7102">
        <w:rPr>
          <w:sz w:val="22"/>
          <w:szCs w:val="22"/>
        </w:rPr>
        <w:t>3210</w:t>
      </w:r>
      <w:r w:rsidRPr="002F7102" w:rsidR="00324E46">
        <w:rPr>
          <w:sz w:val="22"/>
          <w:szCs w:val="22"/>
        </w:rPr>
        <w:t xml:space="preserve">).  No </w:t>
      </w:r>
      <w:r w:rsidR="00C777E0">
        <w:rPr>
          <w:sz w:val="22"/>
          <w:szCs w:val="22"/>
        </w:rPr>
        <w:t xml:space="preserve">PRA </w:t>
      </w:r>
      <w:r w:rsidRPr="002F7102" w:rsidR="00324E46">
        <w:rPr>
          <w:sz w:val="22"/>
          <w:szCs w:val="22"/>
        </w:rPr>
        <w:t>comments were received</w:t>
      </w:r>
      <w:r w:rsidR="00C777E0">
        <w:rPr>
          <w:sz w:val="22"/>
          <w:szCs w:val="22"/>
        </w:rPr>
        <w:t xml:space="preserve"> from the public as a result of this notice.  </w:t>
      </w:r>
      <w:r w:rsidRPr="002F7102" w:rsidR="00324E46">
        <w:rPr>
          <w:sz w:val="22"/>
          <w:szCs w:val="22"/>
        </w:rPr>
        <w:t xml:space="preserve">  </w:t>
      </w:r>
    </w:p>
    <w:p w:rsidR="00D62AEC" w:rsidRPr="00A470A0" w:rsidP="00800733" w14:paraId="3C954B4D" w14:textId="77777777">
      <w:pPr>
        <w:ind w:left="360" w:hanging="360"/>
        <w:rPr>
          <w:sz w:val="22"/>
          <w:szCs w:val="22"/>
        </w:rPr>
      </w:pPr>
    </w:p>
    <w:p w:rsidR="00D62AEC" w:rsidRPr="00A470A0" w:rsidP="00800733" w14:paraId="467693FA" w14:textId="39402DDB">
      <w:pPr>
        <w:ind w:left="360" w:hanging="360"/>
        <w:rPr>
          <w:sz w:val="22"/>
          <w:szCs w:val="22"/>
        </w:rPr>
      </w:pPr>
      <w:r w:rsidRPr="00A470A0">
        <w:rPr>
          <w:sz w:val="22"/>
          <w:szCs w:val="22"/>
        </w:rPr>
        <w:t xml:space="preserve">9.  </w:t>
      </w:r>
      <w:r w:rsidRPr="00A470A0" w:rsidR="0097024B">
        <w:rPr>
          <w:sz w:val="22"/>
          <w:szCs w:val="22"/>
        </w:rPr>
        <w:tab/>
      </w:r>
      <w:r w:rsidRPr="00A470A0">
        <w:rPr>
          <w:sz w:val="22"/>
          <w:szCs w:val="22"/>
        </w:rPr>
        <w:t>No gifts or payments will be given to</w:t>
      </w:r>
      <w:r w:rsidRPr="00A470A0" w:rsidR="00097DCE">
        <w:rPr>
          <w:sz w:val="22"/>
          <w:szCs w:val="22"/>
        </w:rPr>
        <w:t xml:space="preserve"> providers as part of this required disclosure</w:t>
      </w:r>
      <w:r w:rsidRPr="00A470A0">
        <w:rPr>
          <w:sz w:val="22"/>
          <w:szCs w:val="22"/>
        </w:rPr>
        <w:t>.</w:t>
      </w:r>
    </w:p>
    <w:p w:rsidR="00D62AEC" w:rsidRPr="00A470A0" w:rsidP="00800733" w14:paraId="4E17B0D7" w14:textId="77777777">
      <w:pPr>
        <w:ind w:left="360" w:hanging="360"/>
        <w:rPr>
          <w:sz w:val="22"/>
          <w:szCs w:val="22"/>
        </w:rPr>
      </w:pPr>
    </w:p>
    <w:p w:rsidR="00D62AEC" w:rsidRPr="00A470A0" w:rsidP="00800733" w14:paraId="7DE80BD5" w14:textId="60881BB1">
      <w:pPr>
        <w:ind w:left="360" w:hanging="360"/>
        <w:rPr>
          <w:sz w:val="22"/>
          <w:szCs w:val="22"/>
        </w:rPr>
      </w:pPr>
      <w:r w:rsidRPr="00A470A0">
        <w:rPr>
          <w:sz w:val="22"/>
          <w:szCs w:val="22"/>
        </w:rPr>
        <w:t xml:space="preserve">10. </w:t>
      </w:r>
      <w:r w:rsidRPr="00A470A0">
        <w:rPr>
          <w:sz w:val="22"/>
          <w:szCs w:val="22"/>
        </w:rPr>
        <w:t>There is no need for confidentiality</w:t>
      </w:r>
      <w:r w:rsidRPr="00A470A0" w:rsidR="00097DCE">
        <w:rPr>
          <w:sz w:val="22"/>
          <w:szCs w:val="22"/>
        </w:rPr>
        <w:t xml:space="preserve"> as part of this collection</w:t>
      </w:r>
      <w:r w:rsidRPr="00A470A0">
        <w:rPr>
          <w:sz w:val="22"/>
          <w:szCs w:val="22"/>
        </w:rPr>
        <w:t>.</w:t>
      </w:r>
    </w:p>
    <w:p w:rsidR="008B746B" w:rsidRPr="00A470A0" w:rsidP="008B746B" w14:paraId="4A1AE184" w14:textId="77777777">
      <w:pPr>
        <w:rPr>
          <w:sz w:val="22"/>
          <w:szCs w:val="22"/>
        </w:rPr>
      </w:pPr>
    </w:p>
    <w:p w:rsidR="00D62AEC" w:rsidRPr="00A470A0" w:rsidP="008B746B" w14:paraId="044A579A" w14:textId="4370D2EC">
      <w:pPr>
        <w:ind w:left="360" w:hanging="360"/>
        <w:rPr>
          <w:sz w:val="22"/>
          <w:szCs w:val="22"/>
        </w:rPr>
      </w:pPr>
      <w:r w:rsidRPr="00A470A0">
        <w:rPr>
          <w:sz w:val="22"/>
          <w:szCs w:val="22"/>
        </w:rPr>
        <w:t>11.</w:t>
      </w:r>
      <w:r w:rsidRPr="00A470A0">
        <w:rPr>
          <w:sz w:val="22"/>
          <w:szCs w:val="22"/>
        </w:rPr>
        <w:tab/>
      </w:r>
      <w:r w:rsidRPr="00A470A0">
        <w:rPr>
          <w:sz w:val="22"/>
          <w:szCs w:val="22"/>
        </w:rPr>
        <w:t xml:space="preserve">This </w:t>
      </w:r>
      <w:r w:rsidRPr="00A470A0" w:rsidR="00097DCE">
        <w:rPr>
          <w:sz w:val="22"/>
          <w:szCs w:val="22"/>
        </w:rPr>
        <w:t>collection</w:t>
      </w:r>
      <w:r w:rsidRPr="00A470A0" w:rsidR="00FB5ED4">
        <w:rPr>
          <w:sz w:val="22"/>
          <w:szCs w:val="22"/>
        </w:rPr>
        <w:t xml:space="preserve"> </w:t>
      </w:r>
      <w:r w:rsidRPr="00A470A0">
        <w:rPr>
          <w:sz w:val="22"/>
          <w:szCs w:val="22"/>
        </w:rPr>
        <w:t>does not address any private matters of a sensitive nature</w:t>
      </w:r>
      <w:r w:rsidRPr="00A470A0" w:rsidR="00FD1622">
        <w:rPr>
          <w:sz w:val="22"/>
          <w:szCs w:val="22"/>
        </w:rPr>
        <w:t>,</w:t>
      </w:r>
      <w:r w:rsidRPr="00A470A0">
        <w:rPr>
          <w:sz w:val="22"/>
          <w:szCs w:val="22"/>
        </w:rPr>
        <w:t xml:space="preserve"> nor are there any privacy impacts.</w:t>
      </w:r>
    </w:p>
    <w:p w:rsidR="00D62AEC" w:rsidRPr="00A470A0" w:rsidP="008B746B" w14:paraId="330F6FD6" w14:textId="77777777">
      <w:pPr>
        <w:ind w:left="360" w:hanging="360"/>
        <w:rPr>
          <w:sz w:val="22"/>
          <w:szCs w:val="22"/>
        </w:rPr>
      </w:pPr>
    </w:p>
    <w:p w:rsidR="006C5A4B" w:rsidRPr="00A470A0" w:rsidP="006C5A4B" w14:paraId="09CC4B1D" w14:textId="0F79AFD5">
      <w:pPr>
        <w:suppressAutoHyphens/>
        <w:ind w:left="360" w:hanging="360"/>
        <w:rPr>
          <w:sz w:val="22"/>
          <w:szCs w:val="22"/>
        </w:rPr>
      </w:pPr>
      <w:r w:rsidRPr="00A470A0">
        <w:rPr>
          <w:sz w:val="22"/>
          <w:szCs w:val="22"/>
        </w:rPr>
        <w:t>12.</w:t>
      </w:r>
      <w:r w:rsidRPr="00A470A0">
        <w:rPr>
          <w:sz w:val="22"/>
          <w:szCs w:val="22"/>
        </w:rPr>
        <w:tab/>
      </w:r>
      <w:r w:rsidRPr="00A470A0" w:rsidR="00E02505">
        <w:rPr>
          <w:sz w:val="22"/>
          <w:szCs w:val="22"/>
        </w:rPr>
        <w:t>The required provider disclosure must (1)</w:t>
      </w:r>
      <w:r w:rsidR="007E2ADD">
        <w:rPr>
          <w:sz w:val="22"/>
          <w:szCs w:val="22"/>
        </w:rPr>
        <w:t> </w:t>
      </w:r>
      <w:r w:rsidRPr="00A470A0" w:rsidR="00E02505">
        <w:rPr>
          <w:sz w:val="22"/>
          <w:szCs w:val="22"/>
        </w:rPr>
        <w:t>be included on all written marketing material from the provider directed at tenants or prospective tenants of the affected MTE; (2)</w:t>
      </w:r>
      <w:r w:rsidR="007E2ADD">
        <w:rPr>
          <w:sz w:val="22"/>
          <w:szCs w:val="22"/>
        </w:rPr>
        <w:t> </w:t>
      </w:r>
      <w:r w:rsidRPr="00A470A0" w:rsidR="00E02505">
        <w:rPr>
          <w:sz w:val="22"/>
          <w:szCs w:val="22"/>
        </w:rPr>
        <w:t>identify the existence of the exclusive marketing arrangement and include a plain-language description of the arrangement and what it means; and (3)</w:t>
      </w:r>
      <w:r w:rsidR="007E2ADD">
        <w:rPr>
          <w:sz w:val="22"/>
          <w:szCs w:val="22"/>
        </w:rPr>
        <w:t> </w:t>
      </w:r>
      <w:r w:rsidRPr="00A470A0" w:rsidR="00E02505">
        <w:rPr>
          <w:sz w:val="22"/>
          <w:szCs w:val="22"/>
        </w:rPr>
        <w:t xml:space="preserve">be made in a manner that it is clear, conspicuous, and legible. The term “written marketing material” includes electronic or print material.  </w:t>
      </w:r>
    </w:p>
    <w:p w:rsidR="00D62AEC" w:rsidRPr="00A470A0" w:rsidP="00B837FD" w14:paraId="6E629A19" w14:textId="77777777">
      <w:pPr>
        <w:ind w:left="360" w:hanging="360"/>
        <w:rPr>
          <w:sz w:val="22"/>
          <w:szCs w:val="22"/>
        </w:rPr>
      </w:pPr>
    </w:p>
    <w:p w:rsidR="002F3464" w:rsidP="005F00EB" w14:paraId="6D6AD265" w14:textId="14AD20EC">
      <w:pPr>
        <w:pStyle w:val="FootnoteText"/>
        <w:spacing w:after="120"/>
        <w:ind w:left="360"/>
        <w:rPr>
          <w:sz w:val="22"/>
          <w:szCs w:val="22"/>
        </w:rPr>
      </w:pPr>
      <w:r w:rsidRPr="00976C66">
        <w:rPr>
          <w:b/>
          <w:bCs/>
          <w:i/>
          <w:iCs/>
          <w:sz w:val="22"/>
          <w:szCs w:val="22"/>
        </w:rPr>
        <w:t>Total number of unduplicated respondents:</w:t>
      </w:r>
      <w:r w:rsidRPr="00A470A0">
        <w:rPr>
          <w:i/>
          <w:iCs/>
          <w:sz w:val="22"/>
          <w:szCs w:val="22"/>
        </w:rPr>
        <w:t xml:space="preserve">  </w:t>
      </w:r>
      <w:r w:rsidRPr="00A470A0">
        <w:rPr>
          <w:sz w:val="22"/>
          <w:szCs w:val="22"/>
        </w:rPr>
        <w:t>Providers required to comply with the disclosure requirement are common carriers</w:t>
      </w:r>
      <w:r w:rsidRPr="00A470A0" w:rsidR="0093650C">
        <w:rPr>
          <w:sz w:val="22"/>
          <w:szCs w:val="22"/>
        </w:rPr>
        <w:t>, cable operators, and other providers of MVPD services that have exclusive marketing arrangements with an owner of an MTE</w:t>
      </w:r>
      <w:r w:rsidRPr="00A470A0">
        <w:rPr>
          <w:sz w:val="22"/>
          <w:szCs w:val="22"/>
        </w:rPr>
        <w:t>.</w:t>
      </w:r>
      <w:r w:rsidRPr="00A470A0" w:rsidR="0093650C">
        <w:rPr>
          <w:sz w:val="22"/>
          <w:szCs w:val="22"/>
        </w:rPr>
        <w:t xml:space="preserve">  </w:t>
      </w:r>
      <w:r w:rsidRPr="00A470A0" w:rsidR="005F00EB">
        <w:rPr>
          <w:sz w:val="22"/>
          <w:szCs w:val="22"/>
        </w:rPr>
        <w:t xml:space="preserve">There are approximately </w:t>
      </w:r>
      <w:r w:rsidRPr="00A470A0" w:rsidR="00A470A0">
        <w:rPr>
          <w:sz w:val="22"/>
          <w:szCs w:val="22"/>
        </w:rPr>
        <w:t>378</w:t>
      </w:r>
      <w:r w:rsidRPr="00A470A0" w:rsidR="005F00EB">
        <w:rPr>
          <w:sz w:val="22"/>
          <w:szCs w:val="22"/>
        </w:rPr>
        <w:t xml:space="preserve"> cable </w:t>
      </w:r>
      <w:r w:rsidRPr="00A470A0" w:rsidR="005F00EB">
        <w:rPr>
          <w:sz w:val="22"/>
          <w:szCs w:val="22"/>
        </w:rPr>
        <w:t>operators</w:t>
      </w:r>
      <w:r w:rsidRPr="00A470A0" w:rsidR="00E82104">
        <w:rPr>
          <w:sz w:val="22"/>
          <w:szCs w:val="22"/>
        </w:rPr>
        <w:t>/MVPDs</w:t>
      </w:r>
      <w:r>
        <w:rPr>
          <w:rStyle w:val="FootnoteReference"/>
          <w:sz w:val="22"/>
          <w:szCs w:val="22"/>
        </w:rPr>
        <w:footnoteReference w:id="2"/>
      </w:r>
      <w:r w:rsidRPr="00A470A0" w:rsidR="0095740B">
        <w:rPr>
          <w:sz w:val="22"/>
          <w:szCs w:val="22"/>
        </w:rPr>
        <w:t xml:space="preserve"> and </w:t>
      </w:r>
      <w:r w:rsidRPr="00A470A0" w:rsidR="005B174F">
        <w:rPr>
          <w:sz w:val="22"/>
          <w:szCs w:val="22"/>
        </w:rPr>
        <w:t>3,054 wired telecommunications carriers</w:t>
      </w:r>
      <w:r>
        <w:rPr>
          <w:rStyle w:val="FootnoteReference"/>
          <w:sz w:val="22"/>
          <w:szCs w:val="22"/>
        </w:rPr>
        <w:footnoteReference w:id="3"/>
      </w:r>
      <w:r w:rsidRPr="00A470A0" w:rsidR="005B174F">
        <w:rPr>
          <w:sz w:val="22"/>
          <w:szCs w:val="22"/>
        </w:rPr>
        <w:t xml:space="preserve"> </w:t>
      </w:r>
      <w:r w:rsidRPr="00A470A0" w:rsidR="005F00EB">
        <w:rPr>
          <w:sz w:val="22"/>
          <w:szCs w:val="22"/>
        </w:rPr>
        <w:t xml:space="preserve">in the United States.  </w:t>
      </w:r>
      <w:r w:rsidRPr="00A470A0" w:rsidR="0093650C">
        <w:rPr>
          <w:sz w:val="22"/>
          <w:szCs w:val="22"/>
        </w:rPr>
        <w:t xml:space="preserve">We estimate that </w:t>
      </w:r>
      <w:r w:rsidRPr="00A470A0" w:rsidR="005F00EB">
        <w:rPr>
          <w:sz w:val="22"/>
          <w:szCs w:val="22"/>
        </w:rPr>
        <w:t xml:space="preserve">approximately 50 percent of these entities provide service in MTEs, resulting in approximately </w:t>
      </w:r>
      <w:r w:rsidR="00797982">
        <w:rPr>
          <w:sz w:val="22"/>
          <w:szCs w:val="22"/>
        </w:rPr>
        <w:t>1,716</w:t>
      </w:r>
      <w:r w:rsidRPr="00A470A0" w:rsidR="001C6770">
        <w:rPr>
          <w:sz w:val="22"/>
          <w:szCs w:val="22"/>
        </w:rPr>
        <w:t xml:space="preserve"> unduplicated </w:t>
      </w:r>
      <w:r w:rsidRPr="00A470A0" w:rsidR="005F00EB">
        <w:rPr>
          <w:sz w:val="22"/>
          <w:szCs w:val="22"/>
        </w:rPr>
        <w:t>respondents</w:t>
      </w:r>
      <w:r w:rsidRPr="00A470A0" w:rsidR="001C6770">
        <w:rPr>
          <w:sz w:val="22"/>
          <w:szCs w:val="22"/>
        </w:rPr>
        <w:t xml:space="preserve">.  </w:t>
      </w:r>
      <w:r w:rsidRPr="00A470A0" w:rsidR="0093650C">
        <w:rPr>
          <w:sz w:val="22"/>
          <w:szCs w:val="22"/>
        </w:rPr>
        <w:t xml:space="preserve">Based on the record in this proceeding, we find that exclusive marketing arrangements are prevalent in the industry and estimate that </w:t>
      </w:r>
      <w:r w:rsidRPr="00A470A0" w:rsidR="0095740B">
        <w:rPr>
          <w:sz w:val="22"/>
          <w:szCs w:val="22"/>
        </w:rPr>
        <w:t>3</w:t>
      </w:r>
      <w:r w:rsidRPr="00A470A0" w:rsidR="00A21F78">
        <w:rPr>
          <w:sz w:val="22"/>
          <w:szCs w:val="22"/>
        </w:rPr>
        <w:t>0</w:t>
      </w:r>
      <w:r w:rsidRPr="00A470A0" w:rsidR="0093650C">
        <w:rPr>
          <w:sz w:val="22"/>
          <w:szCs w:val="22"/>
        </w:rPr>
        <w:t xml:space="preserve"> percent of </w:t>
      </w:r>
      <w:r w:rsidRPr="00797982" w:rsidR="001C6770">
        <w:rPr>
          <w:sz w:val="22"/>
          <w:szCs w:val="22"/>
        </w:rPr>
        <w:t xml:space="preserve">these </w:t>
      </w:r>
      <w:r w:rsidRPr="00797982" w:rsidR="0093650C">
        <w:rPr>
          <w:sz w:val="22"/>
          <w:szCs w:val="22"/>
        </w:rPr>
        <w:t xml:space="preserve">providers have </w:t>
      </w:r>
      <w:r w:rsidRPr="00797982" w:rsidR="001C6770">
        <w:rPr>
          <w:sz w:val="22"/>
          <w:szCs w:val="22"/>
        </w:rPr>
        <w:t xml:space="preserve">an </w:t>
      </w:r>
      <w:r w:rsidRPr="00A66DD5" w:rsidR="0093650C">
        <w:rPr>
          <w:sz w:val="22"/>
          <w:szCs w:val="22"/>
        </w:rPr>
        <w:t>exclusive marketing arrangement with</w:t>
      </w:r>
      <w:r w:rsidRPr="004B1190" w:rsidR="001C6770">
        <w:rPr>
          <w:sz w:val="22"/>
          <w:szCs w:val="22"/>
        </w:rPr>
        <w:t xml:space="preserve"> an</w:t>
      </w:r>
      <w:r w:rsidRPr="004B1190" w:rsidR="0093650C">
        <w:rPr>
          <w:sz w:val="22"/>
          <w:szCs w:val="22"/>
        </w:rPr>
        <w:t xml:space="preserve"> MTE owner.</w:t>
      </w:r>
      <w:r>
        <w:rPr>
          <w:rStyle w:val="FootnoteReference"/>
          <w:sz w:val="22"/>
          <w:szCs w:val="22"/>
        </w:rPr>
        <w:footnoteReference w:id="4"/>
      </w:r>
      <w:r w:rsidRPr="00A470A0" w:rsidR="0093650C">
        <w:rPr>
          <w:sz w:val="22"/>
          <w:szCs w:val="22"/>
        </w:rPr>
        <w:t xml:space="preserve">  Consequently, we calculate that the total number of unduplicated respondents </w:t>
      </w:r>
      <w:r w:rsidRPr="00A470A0" w:rsidR="001C6770">
        <w:rPr>
          <w:sz w:val="22"/>
          <w:szCs w:val="22"/>
        </w:rPr>
        <w:t xml:space="preserve">required to give notice of an exclusive marketing arrangement </w:t>
      </w:r>
      <w:r w:rsidRPr="00A470A0" w:rsidR="0093650C">
        <w:rPr>
          <w:sz w:val="22"/>
          <w:szCs w:val="22"/>
        </w:rPr>
        <w:t>is</w:t>
      </w:r>
      <w:r>
        <w:rPr>
          <w:sz w:val="22"/>
          <w:szCs w:val="22"/>
        </w:rPr>
        <w:t>:</w:t>
      </w:r>
    </w:p>
    <w:p w:rsidR="00E02505" w:rsidRPr="00797982" w:rsidP="005F00EB" w14:paraId="7BE632C0" w14:textId="2676554B">
      <w:pPr>
        <w:pStyle w:val="FootnoteText"/>
        <w:spacing w:after="120"/>
        <w:ind w:left="360"/>
        <w:rPr>
          <w:i/>
          <w:iCs/>
          <w:sz w:val="22"/>
          <w:szCs w:val="22"/>
        </w:rPr>
      </w:pPr>
      <w:r w:rsidRPr="00976C66">
        <w:rPr>
          <w:b/>
          <w:bCs/>
          <w:sz w:val="22"/>
          <w:szCs w:val="22"/>
        </w:rPr>
        <w:t>1,716</w:t>
      </w:r>
      <w:r w:rsidRPr="00976C66" w:rsidR="0093650C">
        <w:rPr>
          <w:b/>
          <w:bCs/>
          <w:sz w:val="22"/>
          <w:szCs w:val="22"/>
        </w:rPr>
        <w:t xml:space="preserve"> </w:t>
      </w:r>
      <w:r w:rsidR="002F3464">
        <w:rPr>
          <w:b/>
          <w:bCs/>
          <w:sz w:val="22"/>
          <w:szCs w:val="22"/>
        </w:rPr>
        <w:t xml:space="preserve">unduplicated respondents x </w:t>
      </w:r>
      <w:r w:rsidRPr="00976C66" w:rsidR="0093650C">
        <w:rPr>
          <w:b/>
          <w:bCs/>
          <w:sz w:val="22"/>
          <w:szCs w:val="22"/>
        </w:rPr>
        <w:t xml:space="preserve"> 0.</w:t>
      </w:r>
      <w:r w:rsidRPr="00976C66" w:rsidR="00FA3694">
        <w:rPr>
          <w:b/>
          <w:bCs/>
          <w:sz w:val="22"/>
          <w:szCs w:val="22"/>
        </w:rPr>
        <w:t>3</w:t>
      </w:r>
      <w:r w:rsidRPr="00976C66" w:rsidR="00A21F78">
        <w:rPr>
          <w:b/>
          <w:bCs/>
          <w:sz w:val="22"/>
          <w:szCs w:val="22"/>
        </w:rPr>
        <w:t>0</w:t>
      </w:r>
      <w:r w:rsidRPr="00976C66" w:rsidR="0093650C">
        <w:rPr>
          <w:b/>
          <w:bCs/>
          <w:sz w:val="22"/>
          <w:szCs w:val="22"/>
        </w:rPr>
        <w:t xml:space="preserve"> = </w:t>
      </w:r>
      <w:r w:rsidRPr="00976C66">
        <w:rPr>
          <w:b/>
          <w:bCs/>
          <w:sz w:val="22"/>
          <w:szCs w:val="22"/>
        </w:rPr>
        <w:t>515</w:t>
      </w:r>
      <w:r w:rsidRPr="00976C66" w:rsidR="001C6770">
        <w:rPr>
          <w:b/>
          <w:bCs/>
          <w:sz w:val="22"/>
          <w:szCs w:val="22"/>
        </w:rPr>
        <w:t xml:space="preserve"> </w:t>
      </w:r>
      <w:r w:rsidR="00DF293E">
        <w:rPr>
          <w:b/>
          <w:bCs/>
          <w:sz w:val="22"/>
          <w:szCs w:val="22"/>
        </w:rPr>
        <w:t xml:space="preserve">total number of unduplicated </w:t>
      </w:r>
      <w:r w:rsidRPr="00976C66" w:rsidR="0093650C">
        <w:rPr>
          <w:b/>
          <w:bCs/>
          <w:sz w:val="22"/>
          <w:szCs w:val="22"/>
        </w:rPr>
        <w:t>respondents.</w:t>
      </w:r>
      <w:r w:rsidRPr="00797982">
        <w:rPr>
          <w:i/>
          <w:iCs/>
          <w:sz w:val="22"/>
          <w:szCs w:val="22"/>
        </w:rPr>
        <w:t xml:space="preserve"> </w:t>
      </w:r>
    </w:p>
    <w:p w:rsidR="002F3464" w:rsidP="002F3464" w14:paraId="7D8E28A4" w14:textId="24B2E415">
      <w:pPr>
        <w:pStyle w:val="Default"/>
        <w:ind w:left="360"/>
        <w:rPr>
          <w:sz w:val="22"/>
          <w:szCs w:val="22"/>
        </w:rPr>
      </w:pPr>
      <w:r w:rsidRPr="00976C66">
        <w:rPr>
          <w:b/>
          <w:bCs/>
          <w:i/>
          <w:iCs/>
          <w:sz w:val="22"/>
          <w:szCs w:val="22"/>
        </w:rPr>
        <w:t>Total annual disclosures:</w:t>
      </w:r>
      <w:r w:rsidRPr="00A470A0">
        <w:rPr>
          <w:i/>
          <w:iCs/>
          <w:sz w:val="22"/>
          <w:szCs w:val="22"/>
        </w:rPr>
        <w:t xml:space="preserve"> </w:t>
      </w:r>
      <w:r w:rsidRPr="00A470A0">
        <w:rPr>
          <w:sz w:val="22"/>
          <w:szCs w:val="22"/>
        </w:rPr>
        <w:t>Providers must make their disclosures to all tenants and prospective tenants in an MTE where there is an exclusive marketing arrangement.  By MTE, we specifically mean commercial or residential premises such as apartment buildings, condominium buildings, shopping malls, or cooperatives that are occupied by multiple entities.  The term MTE encompasses everything within the scope of two other terms the Commission has used in the past—multiple dwelling unit and multiunit premises.  It is currently estimated that 33 percent of Americans live in condominiums or apartments, and millions more work in office buildings.</w:t>
      </w:r>
      <w:r>
        <w:rPr>
          <w:rStyle w:val="FootnoteReference"/>
          <w:sz w:val="22"/>
          <w:szCs w:val="22"/>
        </w:rPr>
        <w:footnoteReference w:id="5"/>
      </w:r>
      <w:r w:rsidRPr="00A470A0">
        <w:rPr>
          <w:sz w:val="22"/>
          <w:szCs w:val="22"/>
        </w:rPr>
        <w:t xml:space="preserve">  We estimate there are 28 million individual units in residential MTEs</w:t>
      </w:r>
      <w:r>
        <w:rPr>
          <w:rStyle w:val="FootnoteReference"/>
          <w:sz w:val="22"/>
          <w:szCs w:val="22"/>
        </w:rPr>
        <w:footnoteReference w:id="6"/>
      </w:r>
      <w:r w:rsidRPr="00A470A0">
        <w:rPr>
          <w:sz w:val="22"/>
          <w:szCs w:val="22"/>
        </w:rPr>
        <w:t xml:space="preserve"> and another 8 million MTE office tenants in 6 million commercial office buildings.</w:t>
      </w:r>
      <w:r>
        <w:rPr>
          <w:rStyle w:val="FootnoteReference"/>
          <w:sz w:val="22"/>
          <w:szCs w:val="22"/>
        </w:rPr>
        <w:footnoteReference w:id="7"/>
      </w:r>
      <w:r w:rsidRPr="00A470A0">
        <w:rPr>
          <w:sz w:val="22"/>
          <w:szCs w:val="22"/>
        </w:rPr>
        <w:t xml:space="preserve">  If 33 percent of these tenants are in an MTE with an exclusive marketing arrangement, then providers will </w:t>
      </w:r>
      <w:r w:rsidRPr="00A470A0" w:rsidR="00F417E4">
        <w:rPr>
          <w:sz w:val="22"/>
          <w:szCs w:val="22"/>
        </w:rPr>
        <w:t>provid</w:t>
      </w:r>
      <w:r w:rsidR="00F417E4">
        <w:rPr>
          <w:sz w:val="22"/>
          <w:szCs w:val="22"/>
        </w:rPr>
        <w:t>e</w:t>
      </w:r>
      <w:r w:rsidRPr="00A470A0" w:rsidR="00F417E4">
        <w:rPr>
          <w:sz w:val="22"/>
          <w:szCs w:val="22"/>
        </w:rPr>
        <w:t xml:space="preserve"> </w:t>
      </w:r>
      <w:r w:rsidRPr="00A470A0">
        <w:rPr>
          <w:sz w:val="22"/>
          <w:szCs w:val="22"/>
        </w:rPr>
        <w:t xml:space="preserve">required disclosures to approximately 12 million MTE tenants (36 million MTE tenants times .33).  We estimate that, on average, providers will send two pieces of marketing material to current and prospective tenants each year that must include the required disclosure.  </w:t>
      </w:r>
      <w:r w:rsidRPr="00A470A0" w:rsidR="00374F6B">
        <w:rPr>
          <w:sz w:val="22"/>
          <w:szCs w:val="22"/>
        </w:rPr>
        <w:t>Thus, to calculate the total number of disclosures to be made annually, m</w:t>
      </w:r>
      <w:r w:rsidRPr="00A470A0">
        <w:rPr>
          <w:sz w:val="22"/>
          <w:szCs w:val="22"/>
        </w:rPr>
        <w:t xml:space="preserve">ultiply the total number of </w:t>
      </w:r>
      <w:r w:rsidRPr="00A470A0" w:rsidR="00374F6B">
        <w:rPr>
          <w:sz w:val="22"/>
          <w:szCs w:val="22"/>
        </w:rPr>
        <w:t xml:space="preserve">tenants to receive the disclosures </w:t>
      </w:r>
      <w:r w:rsidRPr="00A470A0">
        <w:rPr>
          <w:sz w:val="22"/>
          <w:szCs w:val="22"/>
        </w:rPr>
        <w:t xml:space="preserve">times the total number of </w:t>
      </w:r>
      <w:r w:rsidRPr="00A470A0" w:rsidR="00374F6B">
        <w:rPr>
          <w:sz w:val="22"/>
          <w:szCs w:val="22"/>
        </w:rPr>
        <w:t xml:space="preserve">times the </w:t>
      </w:r>
      <w:r w:rsidRPr="00A470A0">
        <w:rPr>
          <w:sz w:val="22"/>
          <w:szCs w:val="22"/>
        </w:rPr>
        <w:t>disclosures</w:t>
      </w:r>
      <w:r w:rsidRPr="00A470A0" w:rsidR="00374F6B">
        <w:rPr>
          <w:sz w:val="22"/>
          <w:szCs w:val="22"/>
        </w:rPr>
        <w:t xml:space="preserve"> will be sent to tenants annually</w:t>
      </w:r>
      <w:r w:rsidRPr="00A470A0">
        <w:rPr>
          <w:sz w:val="22"/>
          <w:szCs w:val="22"/>
        </w:rPr>
        <w:t xml:space="preserve">:  </w:t>
      </w:r>
    </w:p>
    <w:p w:rsidR="002F3464" w:rsidP="002F3464" w14:paraId="6A8F2155" w14:textId="77777777">
      <w:pPr>
        <w:pStyle w:val="Default"/>
        <w:ind w:left="360"/>
        <w:rPr>
          <w:sz w:val="22"/>
          <w:szCs w:val="22"/>
        </w:rPr>
      </w:pPr>
    </w:p>
    <w:p w:rsidR="00587AA0" w:rsidRPr="00976C66" w:rsidP="002F3464" w14:paraId="08E5DAC2" w14:textId="097575D1">
      <w:pPr>
        <w:pStyle w:val="Default"/>
        <w:ind w:left="360"/>
        <w:rPr>
          <w:b/>
          <w:bCs/>
          <w:sz w:val="22"/>
          <w:szCs w:val="22"/>
        </w:rPr>
      </w:pPr>
      <w:r w:rsidRPr="00976C66">
        <w:rPr>
          <w:b/>
          <w:bCs/>
          <w:sz w:val="22"/>
          <w:szCs w:val="22"/>
        </w:rPr>
        <w:t xml:space="preserve">12 million </w:t>
      </w:r>
      <w:r w:rsidRPr="00976C66" w:rsidR="00C842C3">
        <w:rPr>
          <w:b/>
          <w:bCs/>
          <w:sz w:val="22"/>
          <w:szCs w:val="22"/>
        </w:rPr>
        <w:t>MTE tenants</w:t>
      </w:r>
      <w:r w:rsidRPr="00976C66">
        <w:rPr>
          <w:b/>
          <w:bCs/>
          <w:sz w:val="22"/>
          <w:szCs w:val="22"/>
        </w:rPr>
        <w:t xml:space="preserve"> </w:t>
      </w:r>
      <w:r w:rsidR="002F3464">
        <w:rPr>
          <w:b/>
          <w:bCs/>
          <w:sz w:val="22"/>
          <w:szCs w:val="22"/>
        </w:rPr>
        <w:t xml:space="preserve">x </w:t>
      </w:r>
      <w:r w:rsidRPr="00976C66">
        <w:rPr>
          <w:b/>
          <w:bCs/>
          <w:sz w:val="22"/>
          <w:szCs w:val="22"/>
        </w:rPr>
        <w:t>tw</w:t>
      </w:r>
      <w:r w:rsidRPr="00976C66" w:rsidR="00C842C3">
        <w:rPr>
          <w:b/>
          <w:bCs/>
          <w:sz w:val="22"/>
          <w:szCs w:val="22"/>
        </w:rPr>
        <w:t>o not</w:t>
      </w:r>
      <w:r w:rsidRPr="00976C66">
        <w:rPr>
          <w:b/>
          <w:bCs/>
          <w:sz w:val="22"/>
          <w:szCs w:val="22"/>
        </w:rPr>
        <w:t>ice</w:t>
      </w:r>
      <w:r w:rsidRPr="00976C66" w:rsidR="00C842C3">
        <w:rPr>
          <w:b/>
          <w:bCs/>
          <w:sz w:val="22"/>
          <w:szCs w:val="22"/>
        </w:rPr>
        <w:t>s</w:t>
      </w:r>
      <w:r w:rsidRPr="00976C66">
        <w:rPr>
          <w:b/>
          <w:bCs/>
          <w:sz w:val="22"/>
          <w:szCs w:val="22"/>
        </w:rPr>
        <w:t xml:space="preserve"> per year = </w:t>
      </w:r>
      <w:r w:rsidRPr="00976C66" w:rsidR="00374F6B">
        <w:rPr>
          <w:b/>
          <w:bCs/>
          <w:sz w:val="22"/>
          <w:szCs w:val="22"/>
        </w:rPr>
        <w:t>24 m</w:t>
      </w:r>
      <w:r w:rsidRPr="00976C66">
        <w:rPr>
          <w:b/>
          <w:bCs/>
          <w:sz w:val="22"/>
          <w:szCs w:val="22"/>
        </w:rPr>
        <w:t xml:space="preserve">illion total annual </w:t>
      </w:r>
      <w:r w:rsidRPr="00976C66" w:rsidR="00374F6B">
        <w:rPr>
          <w:b/>
          <w:bCs/>
          <w:sz w:val="22"/>
          <w:szCs w:val="22"/>
        </w:rPr>
        <w:t>disclosures</w:t>
      </w:r>
      <w:r w:rsidRPr="00976C66">
        <w:rPr>
          <w:b/>
          <w:bCs/>
          <w:sz w:val="22"/>
          <w:szCs w:val="22"/>
        </w:rPr>
        <w:t>.</w:t>
      </w:r>
    </w:p>
    <w:p w:rsidR="00587AA0" w:rsidRPr="00A470A0" w:rsidP="00E02505" w14:paraId="1DDE254B" w14:textId="77777777">
      <w:pPr>
        <w:pStyle w:val="Default"/>
        <w:ind w:left="360"/>
        <w:rPr>
          <w:i/>
          <w:iCs/>
          <w:sz w:val="22"/>
          <w:szCs w:val="22"/>
        </w:rPr>
      </w:pPr>
    </w:p>
    <w:p w:rsidR="001C6770" w:rsidRPr="00A470A0" w:rsidP="00E02505" w14:paraId="0C63C535" w14:textId="3D825CA7">
      <w:pPr>
        <w:pStyle w:val="Default"/>
        <w:ind w:left="360"/>
        <w:rPr>
          <w:sz w:val="22"/>
          <w:szCs w:val="22"/>
        </w:rPr>
      </w:pPr>
      <w:r w:rsidRPr="00976C66">
        <w:rPr>
          <w:b/>
          <w:bCs/>
          <w:i/>
          <w:iCs/>
          <w:sz w:val="22"/>
          <w:szCs w:val="22"/>
        </w:rPr>
        <w:t xml:space="preserve">Disclosures sent </w:t>
      </w:r>
      <w:r w:rsidRPr="00976C66" w:rsidR="00E02505">
        <w:rPr>
          <w:b/>
          <w:bCs/>
          <w:i/>
          <w:iCs/>
          <w:sz w:val="22"/>
          <w:szCs w:val="22"/>
        </w:rPr>
        <w:t xml:space="preserve">per </w:t>
      </w:r>
      <w:r w:rsidRPr="00976C66" w:rsidR="00472116">
        <w:rPr>
          <w:b/>
          <w:bCs/>
          <w:i/>
          <w:iCs/>
          <w:sz w:val="22"/>
          <w:szCs w:val="22"/>
        </w:rPr>
        <w:t>respondent</w:t>
      </w:r>
      <w:r w:rsidRPr="00A470A0" w:rsidR="00E02505">
        <w:rPr>
          <w:i/>
          <w:iCs/>
          <w:sz w:val="22"/>
          <w:szCs w:val="22"/>
        </w:rPr>
        <w:t>:</w:t>
      </w:r>
      <w:r w:rsidRPr="00A470A0" w:rsidR="00472116">
        <w:rPr>
          <w:i/>
          <w:iCs/>
          <w:sz w:val="22"/>
          <w:szCs w:val="22"/>
        </w:rPr>
        <w:t xml:space="preserve">  </w:t>
      </w:r>
      <w:r w:rsidRPr="00A470A0" w:rsidR="00081638">
        <w:rPr>
          <w:sz w:val="22"/>
          <w:szCs w:val="22"/>
        </w:rPr>
        <w:t>The average nu</w:t>
      </w:r>
      <w:r w:rsidRPr="00A470A0" w:rsidR="006C2F7D">
        <w:rPr>
          <w:sz w:val="22"/>
          <w:szCs w:val="22"/>
        </w:rPr>
        <w:t>mber of disclosures sent per respondent can be calculated by dividing the total number of disclosures to be made each year (24 million) by the total number of respondents (</w:t>
      </w:r>
      <w:r w:rsidRPr="00B0099F" w:rsidR="004B1190">
        <w:rPr>
          <w:sz w:val="22"/>
          <w:szCs w:val="22"/>
        </w:rPr>
        <w:t>515</w:t>
      </w:r>
      <w:r w:rsidRPr="00A470A0" w:rsidR="006C2F7D">
        <w:rPr>
          <w:sz w:val="22"/>
          <w:szCs w:val="22"/>
        </w:rPr>
        <w:t xml:space="preserve">) to arrive at </w:t>
      </w:r>
      <w:r w:rsidR="004F30E4">
        <w:rPr>
          <w:sz w:val="22"/>
          <w:szCs w:val="22"/>
        </w:rPr>
        <w:t>46,602</w:t>
      </w:r>
      <w:r w:rsidRPr="00A470A0" w:rsidR="006C2F7D">
        <w:rPr>
          <w:sz w:val="22"/>
          <w:szCs w:val="22"/>
        </w:rPr>
        <w:t xml:space="preserve"> disclosures to be sent annually by each respondent.</w:t>
      </w:r>
    </w:p>
    <w:p w:rsidR="00E02505" w:rsidRPr="00A470A0" w:rsidP="00E02505" w14:paraId="4935DDD2" w14:textId="241D2010">
      <w:pPr>
        <w:pStyle w:val="Default"/>
        <w:ind w:left="360"/>
        <w:rPr>
          <w:sz w:val="22"/>
          <w:szCs w:val="22"/>
        </w:rPr>
      </w:pPr>
      <w:r w:rsidRPr="00A470A0">
        <w:rPr>
          <w:sz w:val="22"/>
          <w:szCs w:val="22"/>
        </w:rPr>
        <w:t xml:space="preserve">  </w:t>
      </w:r>
    </w:p>
    <w:p w:rsidR="00B14718" w:rsidP="00E02505" w14:paraId="2F332E3F" w14:textId="77777777">
      <w:pPr>
        <w:pStyle w:val="Default"/>
        <w:ind w:left="360"/>
        <w:rPr>
          <w:sz w:val="22"/>
          <w:szCs w:val="22"/>
        </w:rPr>
      </w:pPr>
      <w:r w:rsidRPr="00976C66">
        <w:rPr>
          <w:b/>
          <w:bCs/>
          <w:i/>
          <w:iCs/>
          <w:sz w:val="22"/>
          <w:szCs w:val="22"/>
        </w:rPr>
        <w:t>Total annual burden hours:</w:t>
      </w:r>
      <w:r w:rsidRPr="00A470A0">
        <w:rPr>
          <w:i/>
          <w:iCs/>
          <w:sz w:val="22"/>
          <w:szCs w:val="22"/>
        </w:rPr>
        <w:t xml:space="preserve"> </w:t>
      </w:r>
      <w:r w:rsidRPr="00A470A0" w:rsidR="00FA3694">
        <w:rPr>
          <w:sz w:val="22"/>
          <w:szCs w:val="22"/>
        </w:rPr>
        <w:t xml:space="preserve">A provider simply needs to include a brief, legible disclosure of the exclusive marketing arrangement on marketing material it is otherwise planning to design, print (where appropriate), and send to tenants and prospective tenants of an MTE.  While </w:t>
      </w:r>
      <w:r w:rsidRPr="00A470A0" w:rsidR="0005519A">
        <w:rPr>
          <w:sz w:val="22"/>
          <w:szCs w:val="22"/>
        </w:rPr>
        <w:t xml:space="preserve">some initial </w:t>
      </w:r>
      <w:r w:rsidRPr="00A470A0" w:rsidR="00FA3694">
        <w:rPr>
          <w:sz w:val="22"/>
          <w:szCs w:val="22"/>
        </w:rPr>
        <w:t xml:space="preserve">time </w:t>
      </w:r>
      <w:r w:rsidRPr="00A470A0" w:rsidR="0005519A">
        <w:rPr>
          <w:sz w:val="22"/>
          <w:szCs w:val="22"/>
        </w:rPr>
        <w:t xml:space="preserve">must be taken </w:t>
      </w:r>
      <w:r w:rsidRPr="00A470A0" w:rsidR="00FA3694">
        <w:rPr>
          <w:sz w:val="22"/>
          <w:szCs w:val="22"/>
        </w:rPr>
        <w:t>to draft the wording for the disclosure, once it has been finalized, it need only be added to the mark-up of the marketing material to be distributed to tenants and prospective tenants in an MTE</w:t>
      </w:r>
      <w:r w:rsidRPr="00A470A0" w:rsidR="00507398">
        <w:rPr>
          <w:sz w:val="22"/>
          <w:szCs w:val="22"/>
        </w:rPr>
        <w:t xml:space="preserve"> (whether by directed email, mailbox insert, door hanger, posted leaflet, </w:t>
      </w:r>
      <w:r w:rsidRPr="00A470A0" w:rsidR="00507398">
        <w:rPr>
          <w:sz w:val="22"/>
          <w:szCs w:val="22"/>
        </w:rPr>
        <w:t>etc</w:t>
      </w:r>
      <w:r w:rsidRPr="00A470A0" w:rsidR="00507398">
        <w:rPr>
          <w:sz w:val="22"/>
          <w:szCs w:val="22"/>
        </w:rPr>
        <w:t>,)</w:t>
      </w:r>
      <w:r w:rsidRPr="00A470A0" w:rsidR="00FA3694">
        <w:rPr>
          <w:sz w:val="22"/>
          <w:szCs w:val="22"/>
        </w:rPr>
        <w:t xml:space="preserve">.  Thus, we estimate that, on average, it will take </w:t>
      </w:r>
      <w:r w:rsidR="00D446B4">
        <w:rPr>
          <w:sz w:val="22"/>
          <w:szCs w:val="22"/>
        </w:rPr>
        <w:t>each provider approximately three hours to comply annually with the disclosure requirement.  We estimate it will take one hour of an attorney’s time to prepare the disclosure to be disseminated by the provider and approximately two hours for a marketing professional to determine where the disclosure should go on a provider’s marketing material and then to disseminate the material</w:t>
      </w:r>
      <w:r w:rsidRPr="00A470A0" w:rsidR="00FA3694">
        <w:rPr>
          <w:sz w:val="22"/>
          <w:szCs w:val="22"/>
        </w:rPr>
        <w:t xml:space="preserve">.  </w:t>
      </w:r>
    </w:p>
    <w:p w:rsidR="00B14718" w:rsidP="00E02505" w14:paraId="440E4CFE" w14:textId="77777777">
      <w:pPr>
        <w:pStyle w:val="Default"/>
        <w:ind w:left="360"/>
        <w:rPr>
          <w:sz w:val="22"/>
          <w:szCs w:val="22"/>
        </w:rPr>
      </w:pPr>
    </w:p>
    <w:p w:rsidR="00E02505" w:rsidRPr="00976C66" w:rsidP="00E02505" w14:paraId="2FD3DDC9" w14:textId="3B0C50F3">
      <w:pPr>
        <w:pStyle w:val="Default"/>
        <w:ind w:left="360"/>
        <w:rPr>
          <w:b/>
          <w:bCs/>
          <w:sz w:val="22"/>
          <w:szCs w:val="22"/>
        </w:rPr>
      </w:pPr>
      <w:r w:rsidRPr="00A470A0">
        <w:rPr>
          <w:sz w:val="22"/>
          <w:szCs w:val="22"/>
        </w:rPr>
        <w:t>T</w:t>
      </w:r>
      <w:r w:rsidRPr="00A470A0" w:rsidR="0005519A">
        <w:rPr>
          <w:sz w:val="22"/>
          <w:szCs w:val="22"/>
        </w:rPr>
        <w:t xml:space="preserve">he total </w:t>
      </w:r>
      <w:r w:rsidRPr="00A470A0">
        <w:rPr>
          <w:sz w:val="22"/>
          <w:szCs w:val="22"/>
        </w:rPr>
        <w:t xml:space="preserve">annual burden hours </w:t>
      </w:r>
      <w:r w:rsidRPr="00A470A0" w:rsidR="0005519A">
        <w:rPr>
          <w:sz w:val="22"/>
          <w:szCs w:val="22"/>
        </w:rPr>
        <w:t xml:space="preserve">can be calculated by multiplying </w:t>
      </w:r>
      <w:r w:rsidRPr="00976C66" w:rsidR="0047639A">
        <w:rPr>
          <w:b/>
          <w:bCs/>
          <w:sz w:val="22"/>
          <w:szCs w:val="22"/>
        </w:rPr>
        <w:t xml:space="preserve">3 hours </w:t>
      </w:r>
      <w:r w:rsidRPr="00976C66" w:rsidR="00B14718">
        <w:rPr>
          <w:b/>
          <w:bCs/>
          <w:sz w:val="22"/>
          <w:szCs w:val="22"/>
        </w:rPr>
        <w:t xml:space="preserve">x </w:t>
      </w:r>
      <w:r w:rsidRPr="00976C66" w:rsidR="0047639A">
        <w:rPr>
          <w:b/>
          <w:bCs/>
          <w:sz w:val="22"/>
          <w:szCs w:val="22"/>
        </w:rPr>
        <w:t>515 providers</w:t>
      </w:r>
      <w:r w:rsidRPr="00976C66">
        <w:rPr>
          <w:b/>
          <w:bCs/>
          <w:sz w:val="22"/>
          <w:szCs w:val="22"/>
        </w:rPr>
        <w:t xml:space="preserve"> = </w:t>
      </w:r>
      <w:r w:rsidRPr="00976C66" w:rsidR="0047639A">
        <w:rPr>
          <w:b/>
          <w:bCs/>
          <w:sz w:val="22"/>
          <w:szCs w:val="22"/>
        </w:rPr>
        <w:t>1,545</w:t>
      </w:r>
      <w:r w:rsidRPr="00976C66">
        <w:rPr>
          <w:b/>
          <w:bCs/>
          <w:sz w:val="22"/>
          <w:szCs w:val="22"/>
        </w:rPr>
        <w:t xml:space="preserve"> </w:t>
      </w:r>
      <w:r w:rsidRPr="00976C66" w:rsidR="0005519A">
        <w:rPr>
          <w:b/>
          <w:bCs/>
          <w:sz w:val="22"/>
          <w:szCs w:val="22"/>
        </w:rPr>
        <w:t xml:space="preserve">total annual burden hours.  </w:t>
      </w:r>
      <w:r w:rsidRPr="00976C66">
        <w:rPr>
          <w:b/>
          <w:bCs/>
          <w:sz w:val="22"/>
          <w:szCs w:val="22"/>
        </w:rPr>
        <w:t xml:space="preserve"> </w:t>
      </w:r>
    </w:p>
    <w:p w:rsidR="001C6770" w:rsidRPr="00976C66" w:rsidP="00E02505" w14:paraId="2C24DFDA" w14:textId="77777777">
      <w:pPr>
        <w:pStyle w:val="Default"/>
        <w:ind w:left="360"/>
        <w:rPr>
          <w:b/>
          <w:bCs/>
          <w:i/>
          <w:iCs/>
          <w:sz w:val="22"/>
          <w:szCs w:val="22"/>
        </w:rPr>
      </w:pPr>
    </w:p>
    <w:p w:rsidR="00E02505" w:rsidRPr="00976C66" w:rsidP="00E02505" w14:paraId="6DF0242F" w14:textId="3CA0535E">
      <w:pPr>
        <w:pStyle w:val="Default"/>
        <w:ind w:left="360"/>
        <w:rPr>
          <w:b/>
          <w:bCs/>
          <w:sz w:val="22"/>
          <w:szCs w:val="22"/>
        </w:rPr>
      </w:pPr>
      <w:r w:rsidRPr="00976C66">
        <w:rPr>
          <w:b/>
          <w:bCs/>
          <w:i/>
          <w:iCs/>
          <w:sz w:val="22"/>
          <w:szCs w:val="22"/>
        </w:rPr>
        <w:t>Average Burden Per Collec</w:t>
      </w:r>
      <w:r w:rsidRPr="00976C66" w:rsidR="00472116">
        <w:rPr>
          <w:b/>
          <w:bCs/>
          <w:i/>
          <w:iCs/>
          <w:sz w:val="22"/>
          <w:szCs w:val="22"/>
        </w:rPr>
        <w:t>tion:</w:t>
      </w:r>
      <w:r w:rsidRPr="00A470A0" w:rsidR="00472116">
        <w:rPr>
          <w:i/>
          <w:iCs/>
          <w:sz w:val="22"/>
          <w:szCs w:val="22"/>
        </w:rPr>
        <w:t xml:space="preserve">  </w:t>
      </w:r>
      <w:r w:rsidRPr="00A470A0" w:rsidR="0005519A">
        <w:rPr>
          <w:sz w:val="22"/>
          <w:szCs w:val="22"/>
        </w:rPr>
        <w:t xml:space="preserve">Since we are requesting a three-year term for this collection, we estimate that the </w:t>
      </w:r>
      <w:r w:rsidRPr="00A470A0" w:rsidR="00E82104">
        <w:rPr>
          <w:sz w:val="22"/>
          <w:szCs w:val="22"/>
        </w:rPr>
        <w:t xml:space="preserve">total </w:t>
      </w:r>
      <w:r w:rsidRPr="00A470A0" w:rsidR="0005519A">
        <w:rPr>
          <w:sz w:val="22"/>
          <w:szCs w:val="22"/>
        </w:rPr>
        <w:t xml:space="preserve">burden of the collection is </w:t>
      </w:r>
      <w:r w:rsidRPr="00A44723" w:rsidR="0047639A">
        <w:rPr>
          <w:b/>
          <w:bCs/>
          <w:sz w:val="22"/>
          <w:szCs w:val="22"/>
        </w:rPr>
        <w:t>1</w:t>
      </w:r>
      <w:r w:rsidRPr="00976C66" w:rsidR="0047639A">
        <w:rPr>
          <w:b/>
          <w:bCs/>
          <w:sz w:val="22"/>
          <w:szCs w:val="22"/>
        </w:rPr>
        <w:t>,545</w:t>
      </w:r>
      <w:r w:rsidRPr="00976C66" w:rsidR="0005519A">
        <w:rPr>
          <w:b/>
          <w:bCs/>
          <w:sz w:val="22"/>
          <w:szCs w:val="22"/>
        </w:rPr>
        <w:t xml:space="preserve"> annual burden hours </w:t>
      </w:r>
      <w:r w:rsidRPr="00976C66" w:rsidR="00B14718">
        <w:rPr>
          <w:b/>
          <w:bCs/>
          <w:sz w:val="22"/>
          <w:szCs w:val="22"/>
        </w:rPr>
        <w:t xml:space="preserve">x </w:t>
      </w:r>
      <w:r w:rsidRPr="00976C66" w:rsidR="0005519A">
        <w:rPr>
          <w:b/>
          <w:bCs/>
          <w:sz w:val="22"/>
          <w:szCs w:val="22"/>
        </w:rPr>
        <w:t xml:space="preserve">3 years = </w:t>
      </w:r>
      <w:r w:rsidRPr="00976C66" w:rsidR="0047639A">
        <w:rPr>
          <w:b/>
          <w:bCs/>
          <w:sz w:val="22"/>
          <w:szCs w:val="22"/>
        </w:rPr>
        <w:t>4,635</w:t>
      </w:r>
      <w:r w:rsidRPr="00976C66" w:rsidR="0005519A">
        <w:rPr>
          <w:b/>
          <w:bCs/>
          <w:sz w:val="22"/>
          <w:szCs w:val="22"/>
        </w:rPr>
        <w:t xml:space="preserve"> </w:t>
      </w:r>
      <w:r w:rsidR="00C04656">
        <w:rPr>
          <w:b/>
          <w:bCs/>
          <w:sz w:val="22"/>
          <w:szCs w:val="22"/>
        </w:rPr>
        <w:t xml:space="preserve">total burden </w:t>
      </w:r>
      <w:r w:rsidRPr="00976C66" w:rsidR="0005519A">
        <w:rPr>
          <w:b/>
          <w:bCs/>
          <w:sz w:val="22"/>
          <w:szCs w:val="22"/>
        </w:rPr>
        <w:t>hours</w:t>
      </w:r>
      <w:r w:rsidR="00C04656">
        <w:rPr>
          <w:b/>
          <w:bCs/>
          <w:sz w:val="22"/>
          <w:szCs w:val="22"/>
        </w:rPr>
        <w:t xml:space="preserve"> for the collection</w:t>
      </w:r>
      <w:r w:rsidRPr="00976C66" w:rsidR="0005519A">
        <w:rPr>
          <w:b/>
          <w:bCs/>
          <w:sz w:val="22"/>
          <w:szCs w:val="22"/>
        </w:rPr>
        <w:t>.</w:t>
      </w:r>
    </w:p>
    <w:p w:rsidR="001C6770" w:rsidRPr="00A470A0" w:rsidP="00E02505" w14:paraId="7EF7126C" w14:textId="77777777">
      <w:pPr>
        <w:ind w:left="360"/>
        <w:rPr>
          <w:i/>
          <w:iCs/>
          <w:sz w:val="22"/>
          <w:szCs w:val="22"/>
        </w:rPr>
      </w:pPr>
    </w:p>
    <w:p w:rsidR="00097DCE" w:rsidRPr="00A470A0" w:rsidP="00E02505" w14:paraId="4E507971" w14:textId="21BB6C65">
      <w:pPr>
        <w:ind w:left="360"/>
        <w:rPr>
          <w:sz w:val="22"/>
          <w:szCs w:val="22"/>
        </w:rPr>
      </w:pPr>
      <w:r w:rsidRPr="00976C66">
        <w:rPr>
          <w:b/>
          <w:bCs/>
          <w:i/>
          <w:iCs/>
          <w:sz w:val="22"/>
          <w:szCs w:val="22"/>
        </w:rPr>
        <w:t xml:space="preserve">Annual Burden </w:t>
      </w:r>
      <w:r w:rsidRPr="00976C66" w:rsidR="00E02505">
        <w:rPr>
          <w:b/>
          <w:bCs/>
          <w:i/>
          <w:iCs/>
          <w:sz w:val="22"/>
          <w:szCs w:val="22"/>
        </w:rPr>
        <w:t xml:space="preserve">Per </w:t>
      </w:r>
      <w:r w:rsidRPr="00976C66">
        <w:rPr>
          <w:b/>
          <w:bCs/>
          <w:i/>
          <w:iCs/>
          <w:sz w:val="22"/>
          <w:szCs w:val="22"/>
        </w:rPr>
        <w:t>Respondent</w:t>
      </w:r>
      <w:r w:rsidRPr="00976C66" w:rsidR="00E02505">
        <w:rPr>
          <w:b/>
          <w:bCs/>
          <w:i/>
          <w:iCs/>
          <w:sz w:val="22"/>
          <w:szCs w:val="22"/>
        </w:rPr>
        <w:t>:</w:t>
      </w:r>
      <w:r w:rsidR="0047639A">
        <w:rPr>
          <w:i/>
          <w:iCs/>
          <w:sz w:val="22"/>
          <w:szCs w:val="22"/>
        </w:rPr>
        <w:t xml:space="preserve">  </w:t>
      </w:r>
      <w:r w:rsidR="0047639A">
        <w:rPr>
          <w:sz w:val="22"/>
          <w:szCs w:val="22"/>
        </w:rPr>
        <w:t>Three hours</w:t>
      </w:r>
      <w:r w:rsidRPr="00A470A0">
        <w:rPr>
          <w:sz w:val="22"/>
          <w:szCs w:val="22"/>
        </w:rPr>
        <w:t>.</w:t>
      </w:r>
    </w:p>
    <w:p w:rsidR="00E02505" w:rsidRPr="00A470A0" w:rsidP="00E02505" w14:paraId="3F697047" w14:textId="77777777">
      <w:pPr>
        <w:ind w:left="360"/>
        <w:rPr>
          <w:sz w:val="22"/>
          <w:szCs w:val="22"/>
        </w:rPr>
      </w:pPr>
    </w:p>
    <w:p w:rsidR="00D62AEC" w:rsidRPr="00E84EDE" w:rsidP="00A44723" w14:paraId="2E2D1B72" w14:textId="55B129EB">
      <w:pPr>
        <w:ind w:left="360"/>
        <w:rPr>
          <w:sz w:val="22"/>
          <w:szCs w:val="22"/>
        </w:rPr>
      </w:pPr>
      <w:r w:rsidRPr="00E84EDE">
        <w:rPr>
          <w:b/>
          <w:bCs/>
          <w:i/>
          <w:iCs/>
          <w:sz w:val="22"/>
          <w:szCs w:val="22"/>
        </w:rPr>
        <w:t>Average Annual Cost Burden Per Respondent</w:t>
      </w:r>
      <w:r w:rsidRPr="00E84EDE" w:rsidR="00A44723">
        <w:rPr>
          <w:b/>
          <w:bCs/>
          <w:sz w:val="22"/>
          <w:szCs w:val="22"/>
        </w:rPr>
        <w:t>:</w:t>
      </w:r>
      <w:r w:rsidRPr="00E84EDE" w:rsidR="00A44723">
        <w:rPr>
          <w:b/>
          <w:bCs/>
          <w:i/>
          <w:iCs/>
          <w:sz w:val="22"/>
          <w:szCs w:val="22"/>
        </w:rPr>
        <w:t xml:space="preserve">  </w:t>
      </w:r>
      <w:r w:rsidRPr="00E84EDE" w:rsidR="00A44723">
        <w:rPr>
          <w:sz w:val="22"/>
          <w:szCs w:val="22"/>
        </w:rPr>
        <w:t>As stated above, w</w:t>
      </w:r>
      <w:r w:rsidRPr="00E84EDE">
        <w:rPr>
          <w:sz w:val="22"/>
          <w:szCs w:val="22"/>
        </w:rPr>
        <w:t xml:space="preserve">e </w:t>
      </w:r>
      <w:r w:rsidRPr="00E84EDE" w:rsidR="0047639A">
        <w:rPr>
          <w:sz w:val="22"/>
          <w:szCs w:val="22"/>
        </w:rPr>
        <w:t>estimate that</w:t>
      </w:r>
      <w:r w:rsidRPr="00E84EDE" w:rsidR="00A44723">
        <w:rPr>
          <w:sz w:val="22"/>
          <w:szCs w:val="22"/>
        </w:rPr>
        <w:t>, for each respondent,</w:t>
      </w:r>
      <w:r w:rsidRPr="00E84EDE" w:rsidR="0047639A">
        <w:rPr>
          <w:sz w:val="22"/>
          <w:szCs w:val="22"/>
        </w:rPr>
        <w:t xml:space="preserve"> it will take </w:t>
      </w:r>
      <w:r w:rsidRPr="00E84EDE" w:rsidR="00A44723">
        <w:rPr>
          <w:sz w:val="22"/>
          <w:szCs w:val="22"/>
        </w:rPr>
        <w:t xml:space="preserve">annually </w:t>
      </w:r>
      <w:r w:rsidRPr="00E84EDE" w:rsidR="0047639A">
        <w:rPr>
          <w:sz w:val="22"/>
          <w:szCs w:val="22"/>
        </w:rPr>
        <w:t xml:space="preserve">one hour of </w:t>
      </w:r>
      <w:r w:rsidRPr="00E84EDE" w:rsidR="00A44723">
        <w:rPr>
          <w:sz w:val="22"/>
          <w:szCs w:val="22"/>
        </w:rPr>
        <w:t>an</w:t>
      </w:r>
      <w:r w:rsidRPr="00E84EDE" w:rsidR="0047639A">
        <w:rPr>
          <w:sz w:val="22"/>
          <w:szCs w:val="22"/>
        </w:rPr>
        <w:t xml:space="preserve"> attorney’s time to produce the disclosure</w:t>
      </w:r>
      <w:r w:rsidRPr="00E84EDE" w:rsidR="00A44723">
        <w:rPr>
          <w:sz w:val="22"/>
          <w:szCs w:val="22"/>
        </w:rPr>
        <w:t xml:space="preserve"> and two hours for an in-house marketing professional to prepare and send the marketing materials</w:t>
      </w:r>
      <w:r w:rsidRPr="00E84EDE" w:rsidR="0047639A">
        <w:rPr>
          <w:sz w:val="22"/>
          <w:szCs w:val="22"/>
        </w:rPr>
        <w:t>.  At $1</w:t>
      </w:r>
      <w:r w:rsidRPr="00E84EDE" w:rsidR="00953C54">
        <w:rPr>
          <w:sz w:val="22"/>
          <w:szCs w:val="22"/>
        </w:rPr>
        <w:t>75</w:t>
      </w:r>
      <w:r w:rsidRPr="00E84EDE" w:rsidR="0047639A">
        <w:rPr>
          <w:sz w:val="22"/>
          <w:szCs w:val="22"/>
        </w:rPr>
        <w:t xml:space="preserve"> per hour, we estimate that each provider will spend $1</w:t>
      </w:r>
      <w:r w:rsidRPr="00E84EDE" w:rsidR="00E44C59">
        <w:rPr>
          <w:sz w:val="22"/>
          <w:szCs w:val="22"/>
        </w:rPr>
        <w:t>75</w:t>
      </w:r>
      <w:r w:rsidRPr="00E84EDE" w:rsidR="0047639A">
        <w:rPr>
          <w:sz w:val="22"/>
          <w:szCs w:val="22"/>
        </w:rPr>
        <w:t xml:space="preserve"> annually for the attorney</w:t>
      </w:r>
      <w:r w:rsidRPr="00E84EDE" w:rsidR="003D550D">
        <w:rPr>
          <w:sz w:val="22"/>
          <w:szCs w:val="22"/>
        </w:rPr>
        <w:t>, and w</w:t>
      </w:r>
      <w:r w:rsidRPr="00E84EDE" w:rsidR="0047639A">
        <w:rPr>
          <w:sz w:val="22"/>
          <w:szCs w:val="22"/>
        </w:rPr>
        <w:t xml:space="preserve">e also </w:t>
      </w:r>
      <w:r w:rsidRPr="00E84EDE" w:rsidR="003D550D">
        <w:rPr>
          <w:sz w:val="22"/>
          <w:szCs w:val="22"/>
        </w:rPr>
        <w:t>estimate</w:t>
      </w:r>
      <w:r w:rsidRPr="00E84EDE" w:rsidR="0047639A">
        <w:rPr>
          <w:sz w:val="22"/>
          <w:szCs w:val="22"/>
        </w:rPr>
        <w:t xml:space="preserve"> that</w:t>
      </w:r>
      <w:r w:rsidRPr="00E84EDE" w:rsidR="003D550D">
        <w:rPr>
          <w:sz w:val="22"/>
          <w:szCs w:val="22"/>
        </w:rPr>
        <w:t xml:space="preserve"> each provider annually will pay </w:t>
      </w:r>
      <w:r w:rsidRPr="00E84EDE" w:rsidR="0047639A">
        <w:rPr>
          <w:sz w:val="22"/>
          <w:szCs w:val="22"/>
        </w:rPr>
        <w:t xml:space="preserve">an </w:t>
      </w:r>
      <w:r w:rsidRPr="00E84EDE">
        <w:rPr>
          <w:sz w:val="22"/>
          <w:szCs w:val="22"/>
        </w:rPr>
        <w:t xml:space="preserve">in-house </w:t>
      </w:r>
      <w:r w:rsidRPr="00E84EDE" w:rsidR="0047639A">
        <w:rPr>
          <w:sz w:val="22"/>
          <w:szCs w:val="22"/>
        </w:rPr>
        <w:t>marketing professional</w:t>
      </w:r>
      <w:r w:rsidRPr="00E84EDE">
        <w:rPr>
          <w:sz w:val="22"/>
          <w:szCs w:val="22"/>
        </w:rPr>
        <w:t xml:space="preserve"> </w:t>
      </w:r>
      <w:r w:rsidRPr="00E84EDE" w:rsidR="007C72D7">
        <w:rPr>
          <w:sz w:val="22"/>
          <w:szCs w:val="22"/>
        </w:rPr>
        <w:t>$</w:t>
      </w:r>
      <w:r w:rsidR="002F0590">
        <w:rPr>
          <w:sz w:val="22"/>
          <w:szCs w:val="22"/>
        </w:rPr>
        <w:t>37</w:t>
      </w:r>
      <w:r w:rsidR="00137903">
        <w:rPr>
          <w:sz w:val="22"/>
          <w:szCs w:val="22"/>
        </w:rPr>
        <w:t>.97</w:t>
      </w:r>
      <w:r w:rsidRPr="00E84EDE" w:rsidR="007C72D7">
        <w:rPr>
          <w:sz w:val="22"/>
          <w:szCs w:val="22"/>
        </w:rPr>
        <w:t xml:space="preserve"> </w:t>
      </w:r>
      <w:r w:rsidRPr="00E84EDE">
        <w:rPr>
          <w:sz w:val="22"/>
          <w:szCs w:val="22"/>
        </w:rPr>
        <w:t>per hour</w:t>
      </w:r>
      <w:r w:rsidRPr="00E84EDE" w:rsidR="003D550D">
        <w:rPr>
          <w:sz w:val="22"/>
          <w:szCs w:val="22"/>
        </w:rPr>
        <w:t xml:space="preserve"> for the marketing work</w:t>
      </w:r>
      <w:r w:rsidRPr="00E84EDE">
        <w:rPr>
          <w:sz w:val="22"/>
          <w:szCs w:val="22"/>
        </w:rPr>
        <w:t>.</w:t>
      </w:r>
      <w:r>
        <w:rPr>
          <w:rStyle w:val="FootnoteReference"/>
          <w:sz w:val="22"/>
          <w:szCs w:val="22"/>
        </w:rPr>
        <w:footnoteReference w:id="8"/>
      </w:r>
      <w:r w:rsidRPr="00E84EDE">
        <w:rPr>
          <w:sz w:val="22"/>
          <w:szCs w:val="22"/>
        </w:rPr>
        <w:t xml:space="preserve"> </w:t>
      </w:r>
    </w:p>
    <w:p w:rsidR="005F79EE" w:rsidRPr="00E84EDE" w:rsidP="00800733" w14:paraId="1F99C486" w14:textId="69151A5A">
      <w:pPr>
        <w:ind w:left="360"/>
        <w:rPr>
          <w:sz w:val="22"/>
          <w:szCs w:val="22"/>
        </w:rPr>
      </w:pPr>
    </w:p>
    <w:p w:rsidR="003D550D" w:rsidRPr="00E84EDE" w:rsidP="00800733" w14:paraId="13DD74A4" w14:textId="0FE5606B">
      <w:pPr>
        <w:ind w:left="360" w:hanging="360"/>
        <w:rPr>
          <w:sz w:val="22"/>
          <w:szCs w:val="22"/>
        </w:rPr>
      </w:pPr>
      <w:r w:rsidRPr="00E84EDE">
        <w:rPr>
          <w:sz w:val="22"/>
          <w:szCs w:val="22"/>
        </w:rPr>
        <w:tab/>
      </w:r>
      <w:r w:rsidRPr="00E84EDE" w:rsidR="002013B4">
        <w:rPr>
          <w:sz w:val="22"/>
          <w:szCs w:val="22"/>
        </w:rPr>
        <w:t>1</w:t>
      </w:r>
      <w:r w:rsidRPr="00E84EDE" w:rsidR="008273F5">
        <w:rPr>
          <w:sz w:val="22"/>
          <w:szCs w:val="22"/>
        </w:rPr>
        <w:t xml:space="preserve"> </w:t>
      </w:r>
      <w:r w:rsidRPr="00E84EDE">
        <w:rPr>
          <w:sz w:val="22"/>
          <w:szCs w:val="22"/>
        </w:rPr>
        <w:t xml:space="preserve">hour </w:t>
      </w:r>
      <w:r w:rsidRPr="00E84EDE" w:rsidR="00553A05">
        <w:rPr>
          <w:sz w:val="22"/>
          <w:szCs w:val="22"/>
        </w:rPr>
        <w:t>X</w:t>
      </w:r>
      <w:r w:rsidRPr="00E84EDE">
        <w:rPr>
          <w:sz w:val="22"/>
          <w:szCs w:val="22"/>
        </w:rPr>
        <w:t xml:space="preserve"> $</w:t>
      </w:r>
      <w:r w:rsidRPr="00E84EDE" w:rsidR="004E09ED">
        <w:rPr>
          <w:sz w:val="22"/>
          <w:szCs w:val="22"/>
        </w:rPr>
        <w:t>1</w:t>
      </w:r>
      <w:r w:rsidRPr="00E84EDE" w:rsidR="00E44C59">
        <w:rPr>
          <w:sz w:val="22"/>
          <w:szCs w:val="22"/>
        </w:rPr>
        <w:t>75</w:t>
      </w:r>
      <w:r w:rsidRPr="00E84EDE">
        <w:rPr>
          <w:sz w:val="22"/>
          <w:szCs w:val="22"/>
        </w:rPr>
        <w:t xml:space="preserve">/hour </w:t>
      </w:r>
      <w:r w:rsidRPr="00E84EDE" w:rsidR="0047639A">
        <w:rPr>
          <w:sz w:val="22"/>
          <w:szCs w:val="22"/>
        </w:rPr>
        <w:t xml:space="preserve">for the attorney </w:t>
      </w:r>
      <w:r w:rsidRPr="00E84EDE">
        <w:rPr>
          <w:sz w:val="22"/>
          <w:szCs w:val="22"/>
        </w:rPr>
        <w:t>= $</w:t>
      </w:r>
      <w:r w:rsidRPr="00E84EDE" w:rsidR="0047639A">
        <w:rPr>
          <w:sz w:val="22"/>
          <w:szCs w:val="22"/>
        </w:rPr>
        <w:t>1</w:t>
      </w:r>
      <w:r w:rsidRPr="00E84EDE" w:rsidR="00E44C59">
        <w:rPr>
          <w:sz w:val="22"/>
          <w:szCs w:val="22"/>
        </w:rPr>
        <w:t>75</w:t>
      </w:r>
      <w:r w:rsidRPr="00E84EDE" w:rsidR="00CB7480">
        <w:rPr>
          <w:sz w:val="22"/>
          <w:szCs w:val="22"/>
        </w:rPr>
        <w:t xml:space="preserve"> </w:t>
      </w:r>
      <w:r w:rsidRPr="00E84EDE" w:rsidR="008273F5">
        <w:rPr>
          <w:sz w:val="22"/>
          <w:szCs w:val="22"/>
        </w:rPr>
        <w:t xml:space="preserve">average </w:t>
      </w:r>
      <w:r w:rsidRPr="00E84EDE" w:rsidR="00CB7480">
        <w:rPr>
          <w:sz w:val="22"/>
          <w:szCs w:val="22"/>
        </w:rPr>
        <w:t xml:space="preserve">annual cost </w:t>
      </w:r>
      <w:r w:rsidRPr="00E84EDE" w:rsidR="00DC6BBB">
        <w:rPr>
          <w:sz w:val="22"/>
          <w:szCs w:val="22"/>
        </w:rPr>
        <w:t xml:space="preserve">to </w:t>
      </w:r>
      <w:r w:rsidRPr="00E84EDE" w:rsidR="00DF293E">
        <w:rPr>
          <w:sz w:val="22"/>
          <w:szCs w:val="22"/>
        </w:rPr>
        <w:t xml:space="preserve">each </w:t>
      </w:r>
      <w:r w:rsidRPr="00E84EDE" w:rsidR="007C72D7">
        <w:rPr>
          <w:sz w:val="22"/>
          <w:szCs w:val="22"/>
        </w:rPr>
        <w:t>provider</w:t>
      </w:r>
    </w:p>
    <w:p w:rsidR="003D550D" w:rsidRPr="00E84EDE" w:rsidP="003D550D" w14:paraId="5397DB05" w14:textId="353204D4">
      <w:pPr>
        <w:ind w:left="360"/>
        <w:rPr>
          <w:sz w:val="22"/>
          <w:szCs w:val="22"/>
        </w:rPr>
      </w:pPr>
      <w:r w:rsidRPr="00E84EDE">
        <w:rPr>
          <w:sz w:val="22"/>
          <w:szCs w:val="22"/>
        </w:rPr>
        <w:t>2 hours X $</w:t>
      </w:r>
      <w:r w:rsidR="002F0590">
        <w:rPr>
          <w:sz w:val="22"/>
          <w:szCs w:val="22"/>
        </w:rPr>
        <w:t>37.</w:t>
      </w:r>
      <w:r w:rsidR="009C5481">
        <w:rPr>
          <w:sz w:val="22"/>
          <w:szCs w:val="22"/>
        </w:rPr>
        <w:t>97</w:t>
      </w:r>
      <w:r w:rsidRPr="00E84EDE">
        <w:rPr>
          <w:sz w:val="22"/>
          <w:szCs w:val="22"/>
        </w:rPr>
        <w:t>/hour for the marketing professional = $</w:t>
      </w:r>
      <w:r w:rsidR="00C34949">
        <w:rPr>
          <w:sz w:val="22"/>
          <w:szCs w:val="22"/>
        </w:rPr>
        <w:t>7</w:t>
      </w:r>
      <w:r w:rsidR="00137903">
        <w:rPr>
          <w:sz w:val="22"/>
          <w:szCs w:val="22"/>
        </w:rPr>
        <w:t>5.94</w:t>
      </w:r>
      <w:r w:rsidRPr="00E84EDE">
        <w:rPr>
          <w:sz w:val="22"/>
          <w:szCs w:val="22"/>
        </w:rPr>
        <w:t xml:space="preserve"> average annual cost to </w:t>
      </w:r>
      <w:r w:rsidRPr="00E84EDE" w:rsidR="00DF293E">
        <w:rPr>
          <w:sz w:val="22"/>
          <w:szCs w:val="22"/>
        </w:rPr>
        <w:t xml:space="preserve">each </w:t>
      </w:r>
      <w:r w:rsidRPr="00E84EDE">
        <w:rPr>
          <w:sz w:val="22"/>
          <w:szCs w:val="22"/>
        </w:rPr>
        <w:t>provider</w:t>
      </w:r>
      <w:r w:rsidRPr="00E84EDE" w:rsidR="00507398">
        <w:rPr>
          <w:sz w:val="22"/>
          <w:szCs w:val="22"/>
        </w:rPr>
        <w:t xml:space="preserve">  </w:t>
      </w:r>
    </w:p>
    <w:p w:rsidR="00DF293E" w:rsidRPr="00E84EDE" w:rsidP="003D550D" w14:paraId="59D2EF57" w14:textId="158A23D5">
      <w:pPr>
        <w:ind w:left="360"/>
        <w:rPr>
          <w:sz w:val="22"/>
          <w:szCs w:val="22"/>
        </w:rPr>
      </w:pPr>
      <w:r w:rsidRPr="00E84EDE">
        <w:rPr>
          <w:sz w:val="22"/>
          <w:szCs w:val="22"/>
        </w:rPr>
        <w:t xml:space="preserve">Total annual cost burden </w:t>
      </w:r>
      <w:r w:rsidRPr="00E84EDE">
        <w:rPr>
          <w:sz w:val="22"/>
          <w:szCs w:val="22"/>
        </w:rPr>
        <w:t>per</w:t>
      </w:r>
      <w:r w:rsidRPr="00E84EDE">
        <w:rPr>
          <w:sz w:val="22"/>
          <w:szCs w:val="22"/>
        </w:rPr>
        <w:t xml:space="preserve"> </w:t>
      </w:r>
      <w:r w:rsidRPr="00E84EDE" w:rsidR="00553A05">
        <w:rPr>
          <w:sz w:val="22"/>
          <w:szCs w:val="22"/>
        </w:rPr>
        <w:t xml:space="preserve">provider = </w:t>
      </w:r>
      <w:r w:rsidRPr="00E84EDE">
        <w:rPr>
          <w:sz w:val="22"/>
          <w:szCs w:val="22"/>
        </w:rPr>
        <w:t>$175 + $</w:t>
      </w:r>
      <w:r w:rsidR="00C34949">
        <w:rPr>
          <w:sz w:val="22"/>
          <w:szCs w:val="22"/>
        </w:rPr>
        <w:t>7</w:t>
      </w:r>
      <w:r w:rsidR="00137903">
        <w:rPr>
          <w:sz w:val="22"/>
          <w:szCs w:val="22"/>
        </w:rPr>
        <w:t>5.94</w:t>
      </w:r>
      <w:r w:rsidRPr="00E84EDE">
        <w:rPr>
          <w:sz w:val="22"/>
          <w:szCs w:val="22"/>
        </w:rPr>
        <w:t xml:space="preserve"> = </w:t>
      </w:r>
      <w:r w:rsidRPr="00E84EDE" w:rsidR="00553A05">
        <w:rPr>
          <w:sz w:val="22"/>
          <w:szCs w:val="22"/>
        </w:rPr>
        <w:t>$</w:t>
      </w:r>
      <w:r w:rsidR="00FB6B96">
        <w:rPr>
          <w:sz w:val="22"/>
          <w:szCs w:val="22"/>
        </w:rPr>
        <w:t>2</w:t>
      </w:r>
      <w:r w:rsidR="00137903">
        <w:rPr>
          <w:sz w:val="22"/>
          <w:szCs w:val="22"/>
        </w:rPr>
        <w:t>50.94</w:t>
      </w:r>
      <w:r w:rsidRPr="00E84EDE" w:rsidR="00553A05">
        <w:rPr>
          <w:sz w:val="22"/>
          <w:szCs w:val="22"/>
        </w:rPr>
        <w:t xml:space="preserve">.  </w:t>
      </w:r>
    </w:p>
    <w:p w:rsidR="00D62AEC" w:rsidRPr="00A470A0" w:rsidP="003D550D" w14:paraId="17FDA9FB" w14:textId="50F6CD34">
      <w:pPr>
        <w:ind w:left="360"/>
        <w:rPr>
          <w:sz w:val="22"/>
          <w:szCs w:val="22"/>
        </w:rPr>
      </w:pPr>
      <w:r w:rsidRPr="00E84EDE">
        <w:rPr>
          <w:sz w:val="22"/>
          <w:szCs w:val="22"/>
        </w:rPr>
        <w:t xml:space="preserve">Total annual cost burden for </w:t>
      </w:r>
      <w:r w:rsidRPr="00E84EDE" w:rsidR="00507398">
        <w:rPr>
          <w:sz w:val="22"/>
          <w:szCs w:val="22"/>
        </w:rPr>
        <w:t>this collection = $</w:t>
      </w:r>
      <w:r w:rsidR="00FB6B96">
        <w:rPr>
          <w:sz w:val="22"/>
          <w:szCs w:val="22"/>
        </w:rPr>
        <w:t>2</w:t>
      </w:r>
      <w:r w:rsidR="00137903">
        <w:rPr>
          <w:sz w:val="22"/>
          <w:szCs w:val="22"/>
        </w:rPr>
        <w:t>50.94</w:t>
      </w:r>
      <w:r w:rsidRPr="00E84EDE" w:rsidR="00507398">
        <w:rPr>
          <w:sz w:val="22"/>
          <w:szCs w:val="22"/>
        </w:rPr>
        <w:t xml:space="preserve"> annual cost per provider </w:t>
      </w:r>
      <w:r w:rsidR="00DA489E">
        <w:rPr>
          <w:sz w:val="22"/>
          <w:szCs w:val="22"/>
        </w:rPr>
        <w:t>x</w:t>
      </w:r>
      <w:r w:rsidRPr="00E84EDE" w:rsidR="00507398">
        <w:rPr>
          <w:sz w:val="22"/>
          <w:szCs w:val="22"/>
        </w:rPr>
        <w:t xml:space="preserve"> 5</w:t>
      </w:r>
      <w:r w:rsidRPr="00E84EDE" w:rsidR="00E76B10">
        <w:rPr>
          <w:sz w:val="22"/>
          <w:szCs w:val="22"/>
        </w:rPr>
        <w:t>15</w:t>
      </w:r>
      <w:r w:rsidRPr="00E84EDE" w:rsidR="00507398">
        <w:rPr>
          <w:sz w:val="22"/>
          <w:szCs w:val="22"/>
        </w:rPr>
        <w:t xml:space="preserve"> providers = $</w:t>
      </w:r>
      <w:r w:rsidR="00DA489E">
        <w:rPr>
          <w:sz w:val="22"/>
          <w:szCs w:val="22"/>
        </w:rPr>
        <w:t>12</w:t>
      </w:r>
      <w:r w:rsidR="00137903">
        <w:rPr>
          <w:sz w:val="22"/>
          <w:szCs w:val="22"/>
        </w:rPr>
        <w:t>9,234.10</w:t>
      </w:r>
      <w:r w:rsidRPr="00E84EDE" w:rsidR="00507398">
        <w:rPr>
          <w:sz w:val="22"/>
          <w:szCs w:val="22"/>
        </w:rPr>
        <w:t>.</w:t>
      </w:r>
    </w:p>
    <w:p w:rsidR="00D07583" w:rsidRPr="00A470A0" w:rsidP="00800733" w14:paraId="68462D71" w14:textId="674A410F">
      <w:pPr>
        <w:ind w:left="360" w:hanging="360"/>
        <w:rPr>
          <w:sz w:val="22"/>
          <w:szCs w:val="22"/>
        </w:rPr>
      </w:pPr>
    </w:p>
    <w:p w:rsidR="00F2335B" w:rsidRPr="00A470A0" w:rsidP="00E02505" w14:paraId="393E9AA9" w14:textId="17BEF4BD">
      <w:pPr>
        <w:ind w:left="360" w:hanging="360"/>
        <w:rPr>
          <w:sz w:val="22"/>
          <w:szCs w:val="22"/>
        </w:rPr>
      </w:pPr>
      <w:r w:rsidRPr="00A470A0">
        <w:rPr>
          <w:sz w:val="22"/>
          <w:szCs w:val="22"/>
        </w:rPr>
        <w:t xml:space="preserve">13.  </w:t>
      </w:r>
      <w:r w:rsidRPr="00A470A0" w:rsidR="00E02505">
        <w:rPr>
          <w:sz w:val="22"/>
          <w:szCs w:val="22"/>
        </w:rPr>
        <w:t>We do not anticipate any other annual cost burdens to providers as a result of complying with the disclosure requirements.</w:t>
      </w:r>
    </w:p>
    <w:p w:rsidR="00D62AEC" w:rsidRPr="00A470A0" w:rsidP="008B5E01" w14:paraId="04F953E2" w14:textId="28BA9DC6">
      <w:pPr>
        <w:rPr>
          <w:sz w:val="22"/>
          <w:szCs w:val="22"/>
        </w:rPr>
      </w:pPr>
    </w:p>
    <w:p w:rsidR="00D62AEC" w:rsidRPr="00A470A0" w:rsidP="00DC6BBB" w14:paraId="6C13C40B" w14:textId="1D57E487">
      <w:pPr>
        <w:ind w:left="360" w:hanging="360"/>
        <w:rPr>
          <w:sz w:val="22"/>
          <w:szCs w:val="22"/>
        </w:rPr>
      </w:pPr>
      <w:r w:rsidRPr="00A470A0">
        <w:rPr>
          <w:sz w:val="22"/>
          <w:szCs w:val="22"/>
        </w:rPr>
        <w:t xml:space="preserve">14.  </w:t>
      </w:r>
      <w:r w:rsidRPr="00A470A0" w:rsidR="00DC6BBB">
        <w:rPr>
          <w:sz w:val="22"/>
          <w:szCs w:val="22"/>
        </w:rPr>
        <w:t xml:space="preserve">There are no annualized costs to the federal government as a result of this </w:t>
      </w:r>
      <w:r w:rsidRPr="00A470A0" w:rsidR="00097DCE">
        <w:rPr>
          <w:sz w:val="22"/>
          <w:szCs w:val="22"/>
        </w:rPr>
        <w:t>collection</w:t>
      </w:r>
      <w:r w:rsidRPr="00A470A0" w:rsidR="00C66426">
        <w:rPr>
          <w:sz w:val="22"/>
          <w:szCs w:val="22"/>
        </w:rPr>
        <w:t>.</w:t>
      </w:r>
    </w:p>
    <w:p w:rsidR="00FD1622" w:rsidRPr="00A470A0" w:rsidP="00DC6BBB" w14:paraId="4D54BAA5" w14:textId="77777777">
      <w:pPr>
        <w:ind w:left="360" w:hanging="360"/>
        <w:rPr>
          <w:sz w:val="22"/>
          <w:szCs w:val="22"/>
        </w:rPr>
      </w:pPr>
    </w:p>
    <w:p w:rsidR="00074427" w:rsidRPr="00A470A0" w:rsidP="00A70D0B" w14:paraId="25FC7772" w14:textId="213E440A">
      <w:pPr>
        <w:suppressAutoHyphens/>
        <w:ind w:left="360" w:hanging="360"/>
        <w:rPr>
          <w:sz w:val="22"/>
          <w:szCs w:val="22"/>
        </w:rPr>
      </w:pPr>
      <w:r w:rsidRPr="00A470A0">
        <w:rPr>
          <w:spacing w:val="-3"/>
          <w:sz w:val="22"/>
          <w:szCs w:val="22"/>
        </w:rPr>
        <w:t xml:space="preserve">15.  </w:t>
      </w:r>
      <w:r w:rsidR="007C662E">
        <w:rPr>
          <w:spacing w:val="-3"/>
          <w:sz w:val="22"/>
          <w:szCs w:val="22"/>
        </w:rPr>
        <w:t xml:space="preserve">There are no adjustments or program changes to this collection.  </w:t>
      </w:r>
      <w:r w:rsidR="007A5726">
        <w:rPr>
          <w:sz w:val="22"/>
          <w:szCs w:val="22"/>
        </w:rPr>
        <w:t xml:space="preserve"> </w:t>
      </w:r>
    </w:p>
    <w:p w:rsidR="00A70D0B" w:rsidRPr="00A470A0" w:rsidP="00A70D0B" w14:paraId="766F07A4" w14:textId="77777777">
      <w:pPr>
        <w:suppressAutoHyphens/>
        <w:ind w:left="360" w:hanging="360"/>
        <w:rPr>
          <w:sz w:val="22"/>
          <w:szCs w:val="22"/>
        </w:rPr>
      </w:pPr>
    </w:p>
    <w:p w:rsidR="00D62AEC" w:rsidRPr="00A470A0" w:rsidP="00481518" w14:paraId="559F5347" w14:textId="77777777">
      <w:pPr>
        <w:suppressAutoHyphens/>
        <w:ind w:left="360" w:hanging="360"/>
        <w:rPr>
          <w:spacing w:val="-3"/>
          <w:sz w:val="22"/>
          <w:szCs w:val="22"/>
        </w:rPr>
      </w:pPr>
      <w:r w:rsidRPr="00A470A0">
        <w:rPr>
          <w:spacing w:val="-3"/>
          <w:sz w:val="22"/>
          <w:szCs w:val="22"/>
        </w:rPr>
        <w:t xml:space="preserve">16.  The Commission </w:t>
      </w:r>
      <w:r w:rsidRPr="00A470A0" w:rsidR="009231DE">
        <w:rPr>
          <w:spacing w:val="-3"/>
          <w:sz w:val="22"/>
          <w:szCs w:val="22"/>
        </w:rPr>
        <w:t>does not intend to publish any information at this time</w:t>
      </w:r>
      <w:r w:rsidRPr="00A470A0">
        <w:rPr>
          <w:spacing w:val="-3"/>
          <w:sz w:val="22"/>
          <w:szCs w:val="22"/>
        </w:rPr>
        <w:t>.</w:t>
      </w:r>
    </w:p>
    <w:p w:rsidR="00D62AEC" w:rsidRPr="00A470A0" w:rsidP="00481518" w14:paraId="5C4AB065" w14:textId="77777777">
      <w:pPr>
        <w:suppressAutoHyphens/>
        <w:ind w:left="360" w:hanging="360"/>
        <w:rPr>
          <w:spacing w:val="-3"/>
          <w:sz w:val="22"/>
          <w:szCs w:val="22"/>
        </w:rPr>
      </w:pPr>
    </w:p>
    <w:p w:rsidR="00D62AEC" w:rsidRPr="00A470A0" w:rsidP="00481518" w14:paraId="385DF838" w14:textId="49199BAC">
      <w:pPr>
        <w:suppressAutoHyphens/>
        <w:ind w:left="360" w:hanging="360"/>
        <w:rPr>
          <w:spacing w:val="-3"/>
          <w:sz w:val="22"/>
          <w:szCs w:val="22"/>
        </w:rPr>
      </w:pPr>
      <w:r w:rsidRPr="00A470A0">
        <w:rPr>
          <w:spacing w:val="-3"/>
          <w:sz w:val="22"/>
          <w:szCs w:val="22"/>
        </w:rPr>
        <w:t xml:space="preserve">17.  </w:t>
      </w:r>
      <w:r w:rsidRPr="00A470A0" w:rsidR="009231DE">
        <w:rPr>
          <w:sz w:val="22"/>
          <w:szCs w:val="22"/>
        </w:rPr>
        <w:t>The Commission does not intend to seek approval to</w:t>
      </w:r>
      <w:r w:rsidRPr="00A470A0" w:rsidR="00A5791D">
        <w:rPr>
          <w:sz w:val="22"/>
          <w:szCs w:val="22"/>
        </w:rPr>
        <w:t xml:space="preserve"> not</w:t>
      </w:r>
      <w:r w:rsidRPr="00A470A0" w:rsidR="009231DE">
        <w:rPr>
          <w:sz w:val="22"/>
          <w:szCs w:val="22"/>
        </w:rPr>
        <w:t xml:space="preserve"> display the </w:t>
      </w:r>
      <w:r w:rsidRPr="00A470A0" w:rsidR="00FD1622">
        <w:rPr>
          <w:sz w:val="22"/>
          <w:szCs w:val="22"/>
        </w:rPr>
        <w:t>e</w:t>
      </w:r>
      <w:r w:rsidRPr="00A470A0" w:rsidR="009231DE">
        <w:rPr>
          <w:sz w:val="22"/>
          <w:szCs w:val="22"/>
        </w:rPr>
        <w:t>xpiration date for OMB approval of this</w:t>
      </w:r>
      <w:r w:rsidRPr="00A470A0" w:rsidR="002B3450">
        <w:rPr>
          <w:sz w:val="22"/>
          <w:szCs w:val="22"/>
        </w:rPr>
        <w:t xml:space="preserve"> </w:t>
      </w:r>
      <w:r w:rsidRPr="00A470A0" w:rsidR="009231DE">
        <w:rPr>
          <w:sz w:val="22"/>
          <w:szCs w:val="22"/>
        </w:rPr>
        <w:t>collection</w:t>
      </w:r>
    </w:p>
    <w:p w:rsidR="00D62AEC" w:rsidRPr="00A470A0" w:rsidP="00B837FD" w14:paraId="08085AE8" w14:textId="77777777">
      <w:pPr>
        <w:suppressAutoHyphens/>
        <w:ind w:left="360" w:hanging="360"/>
        <w:jc w:val="both"/>
        <w:rPr>
          <w:spacing w:val="-3"/>
          <w:sz w:val="22"/>
          <w:szCs w:val="22"/>
        </w:rPr>
      </w:pPr>
    </w:p>
    <w:p w:rsidR="00D62AEC" w:rsidRPr="00A470A0" w:rsidP="00B837FD" w14:paraId="43943299" w14:textId="77777777">
      <w:pPr>
        <w:suppressAutoHyphens/>
        <w:ind w:left="360" w:hanging="360"/>
        <w:jc w:val="both"/>
        <w:rPr>
          <w:spacing w:val="-3"/>
          <w:sz w:val="22"/>
          <w:szCs w:val="22"/>
        </w:rPr>
      </w:pPr>
      <w:r w:rsidRPr="00A470A0">
        <w:rPr>
          <w:spacing w:val="-3"/>
          <w:sz w:val="22"/>
          <w:szCs w:val="22"/>
        </w:rPr>
        <w:t>18.  There are no exceptions to the Certification Statement</w:t>
      </w:r>
      <w:r w:rsidRPr="00A470A0" w:rsidR="000F6F81">
        <w:rPr>
          <w:spacing w:val="-3"/>
          <w:sz w:val="22"/>
          <w:szCs w:val="22"/>
        </w:rPr>
        <w:t>.</w:t>
      </w:r>
      <w:r w:rsidRPr="00A470A0">
        <w:rPr>
          <w:spacing w:val="-3"/>
          <w:sz w:val="22"/>
          <w:szCs w:val="22"/>
        </w:rPr>
        <w:t xml:space="preserve"> </w:t>
      </w:r>
    </w:p>
    <w:p w:rsidR="00F14891" w:rsidRPr="00A470A0" w:rsidP="00B837FD" w14:paraId="2765F9E4" w14:textId="77777777">
      <w:pPr>
        <w:suppressAutoHyphens/>
        <w:ind w:left="360" w:hanging="360"/>
        <w:jc w:val="both"/>
        <w:rPr>
          <w:spacing w:val="-3"/>
          <w:sz w:val="22"/>
          <w:szCs w:val="22"/>
        </w:rPr>
      </w:pPr>
    </w:p>
    <w:p w:rsidR="00D62AEC" w:rsidRPr="00A470A0" w:rsidP="008B746B" w14:paraId="0E305F4C" w14:textId="77777777">
      <w:pPr>
        <w:suppressAutoHyphens/>
        <w:jc w:val="both"/>
        <w:rPr>
          <w:b/>
          <w:spacing w:val="-3"/>
          <w:sz w:val="22"/>
          <w:szCs w:val="22"/>
          <w:u w:val="single"/>
        </w:rPr>
      </w:pPr>
      <w:r w:rsidRPr="00A470A0">
        <w:rPr>
          <w:b/>
          <w:spacing w:val="-3"/>
          <w:sz w:val="22"/>
          <w:szCs w:val="22"/>
          <w:u w:val="single"/>
        </w:rPr>
        <w:t>B.  Collections of Information Employing Statistical Methods:</w:t>
      </w:r>
    </w:p>
    <w:p w:rsidR="00D62AEC" w:rsidRPr="00A470A0" w:rsidP="00442522" w14:paraId="70C49450" w14:textId="77777777">
      <w:pPr>
        <w:suppressAutoHyphens/>
        <w:jc w:val="both"/>
        <w:rPr>
          <w:spacing w:val="-3"/>
          <w:sz w:val="22"/>
          <w:szCs w:val="22"/>
        </w:rPr>
      </w:pPr>
    </w:p>
    <w:p w:rsidR="00D62AEC" w:rsidRPr="00A470A0" w:rsidP="00EF7CAE" w14:paraId="3F2FECA4" w14:textId="05CA7741">
      <w:pPr>
        <w:suppressAutoHyphens/>
        <w:jc w:val="both"/>
        <w:rPr>
          <w:spacing w:val="-3"/>
          <w:sz w:val="22"/>
          <w:szCs w:val="22"/>
        </w:rPr>
      </w:pPr>
      <w:r w:rsidRPr="00A470A0">
        <w:rPr>
          <w:spacing w:val="-3"/>
          <w:sz w:val="22"/>
          <w:szCs w:val="22"/>
        </w:rPr>
        <w:t xml:space="preserve">This collection does not employ any </w:t>
      </w:r>
      <w:r w:rsidRPr="00A470A0">
        <w:rPr>
          <w:spacing w:val="-3"/>
          <w:sz w:val="22"/>
          <w:szCs w:val="22"/>
        </w:rPr>
        <w:t>statistical methods.</w:t>
      </w:r>
    </w:p>
    <w:sectPr w:rsidSect="003B387D">
      <w:headerReference w:type="default" r:id="rId6"/>
      <w:footerReference w:type="even" r:id="rId7"/>
      <w:footerReference w:type="default" r:id="rId8"/>
      <w:pgSz w:w="12240" w:h="15840"/>
      <w:pgMar w:top="144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C7A" w:rsidP="00C0264D" w14:paraId="4F2D5D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7C7A" w14:paraId="1A6B2F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C7A" w:rsidRPr="0042550B" w:rsidP="00C0264D" w14:paraId="5838A0DD" w14:textId="77777777">
    <w:pPr>
      <w:pStyle w:val="Footer"/>
      <w:framePr w:wrap="around" w:vAnchor="text" w:hAnchor="margin" w:xAlign="center" w:y="1"/>
      <w:rPr>
        <w:rStyle w:val="PageNumber"/>
        <w:sz w:val="20"/>
      </w:rPr>
    </w:pPr>
    <w:r w:rsidRPr="0042550B">
      <w:rPr>
        <w:rStyle w:val="PageNumber"/>
        <w:sz w:val="20"/>
      </w:rPr>
      <w:fldChar w:fldCharType="begin"/>
    </w:r>
    <w:r w:rsidRPr="0042550B">
      <w:rPr>
        <w:rStyle w:val="PageNumber"/>
        <w:sz w:val="20"/>
      </w:rPr>
      <w:instrText xml:space="preserve">PAGE  </w:instrText>
    </w:r>
    <w:r w:rsidRPr="0042550B">
      <w:rPr>
        <w:rStyle w:val="PageNumber"/>
        <w:sz w:val="20"/>
      </w:rPr>
      <w:fldChar w:fldCharType="separate"/>
    </w:r>
    <w:r w:rsidR="00E24A1D">
      <w:rPr>
        <w:rStyle w:val="PageNumber"/>
        <w:noProof/>
        <w:sz w:val="20"/>
      </w:rPr>
      <w:t>1</w:t>
    </w:r>
    <w:r w:rsidRPr="0042550B">
      <w:rPr>
        <w:rStyle w:val="PageNumber"/>
        <w:sz w:val="20"/>
      </w:rPr>
      <w:fldChar w:fldCharType="end"/>
    </w:r>
  </w:p>
  <w:p w:rsidR="00677C7A" w14:paraId="0F8032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0478" w14:paraId="149010F8" w14:textId="77777777">
      <w:r>
        <w:separator/>
      </w:r>
    </w:p>
  </w:footnote>
  <w:footnote w:type="continuationSeparator" w:id="1">
    <w:p w:rsidR="00580478" w14:paraId="54AFA390" w14:textId="77777777">
      <w:r>
        <w:continuationSeparator/>
      </w:r>
    </w:p>
  </w:footnote>
  <w:footnote w:id="2">
    <w:p w:rsidR="005F00EB" w:rsidRPr="00A470A0" w:rsidP="0095740B" w14:paraId="2497D951" w14:textId="67D9BC4F">
      <w:pPr>
        <w:pStyle w:val="FootnoteText"/>
        <w:spacing w:after="120"/>
      </w:pPr>
      <w:r w:rsidRPr="00A470A0">
        <w:rPr>
          <w:rStyle w:val="FootnoteReference"/>
        </w:rPr>
        <w:footnoteRef/>
      </w:r>
      <w:r w:rsidRPr="00A470A0">
        <w:t xml:space="preserve"> </w:t>
      </w:r>
      <w:r w:rsidRPr="00A470A0">
        <w:rPr>
          <w:i/>
          <w:iCs/>
        </w:rPr>
        <w:t>See</w:t>
      </w:r>
      <w:r w:rsidRPr="00A470A0" w:rsidR="00A470A0">
        <w:rPr>
          <w:i/>
        </w:rPr>
        <w:t xml:space="preserve"> </w:t>
      </w:r>
      <w:r w:rsidRPr="00A470A0" w:rsidR="00A470A0">
        <w:t xml:space="preserve">U.S. Census Bureau, </w:t>
      </w:r>
      <w:r w:rsidRPr="00A470A0" w:rsidR="00A470A0">
        <w:rPr>
          <w:i/>
          <w:iCs/>
        </w:rPr>
        <w:t xml:space="preserve">2017 </w:t>
      </w:r>
      <w:r w:rsidRPr="00A470A0" w:rsidR="00A470A0">
        <w:rPr>
          <w:i/>
        </w:rPr>
        <w:t>Economic Census</w:t>
      </w:r>
      <w:r w:rsidRPr="00A470A0" w:rsidR="00A470A0">
        <w:rPr>
          <w:bCs/>
          <w:i/>
        </w:rPr>
        <w:t xml:space="preserve"> of the United States</w:t>
      </w:r>
      <w:r w:rsidRPr="00A470A0" w:rsidR="00A470A0">
        <w:t xml:space="preserve">, </w:t>
      </w:r>
      <w:r w:rsidRPr="00A470A0" w:rsidR="00A470A0">
        <w:rPr>
          <w:i/>
          <w:iCs/>
        </w:rPr>
        <w:t xml:space="preserve">Selected Sectors: Sales, Value of Shipments, or Revenue Size of Firms for the U.S.: 2017, </w:t>
      </w:r>
      <w:r w:rsidRPr="00A470A0" w:rsidR="00A470A0">
        <w:t xml:space="preserve">Table ID: EC1700SIZEREVFIRM, NAICS Code 515210, </w:t>
      </w:r>
      <w:hyperlink r:id="rId1" w:history="1">
        <w:r w:rsidRPr="00A470A0" w:rsidR="00A470A0">
          <w:rPr>
            <w:rStyle w:val="Hyperlink"/>
          </w:rPr>
          <w:t>https://data.census.gov/cedsci/table?y=2017&amp;n=515210&amp;tid=ECNSIZE2017.EC1700SIZEREVFIRM&amp;hidePreview=false</w:t>
        </w:r>
      </w:hyperlink>
      <w:r w:rsidRPr="00A470A0">
        <w:t>.</w:t>
      </w:r>
      <w:r w:rsidR="00BE68C6">
        <w:t xml:space="preserve">  </w:t>
      </w:r>
    </w:p>
  </w:footnote>
  <w:footnote w:id="3">
    <w:p w:rsidR="005B174F" w:rsidRPr="00A470A0" w:rsidP="005B174F" w14:paraId="2F19C4B8" w14:textId="6CF2910B">
      <w:pPr>
        <w:pStyle w:val="FootnoteText"/>
        <w:spacing w:after="120"/>
      </w:pPr>
      <w:r w:rsidRPr="00A470A0">
        <w:rPr>
          <w:rStyle w:val="FootnoteReference"/>
        </w:rPr>
        <w:footnoteRef/>
      </w:r>
      <w:r w:rsidRPr="00A470A0">
        <w:t xml:space="preserve"> </w:t>
      </w:r>
      <w:r w:rsidRPr="00A470A0">
        <w:rPr>
          <w:i/>
        </w:rPr>
        <w:t>See</w:t>
      </w:r>
      <w:r w:rsidRPr="00A470A0">
        <w:t xml:space="preserve"> U.S. Census Bureau, </w:t>
      </w:r>
      <w:r w:rsidRPr="00A470A0">
        <w:rPr>
          <w:bCs/>
          <w:i/>
        </w:rPr>
        <w:t>2017</w:t>
      </w:r>
      <w:r w:rsidRPr="00A470A0">
        <w:rPr>
          <w:i/>
        </w:rPr>
        <w:t xml:space="preserve"> Economic Census</w:t>
      </w:r>
      <w:r w:rsidRPr="00A470A0">
        <w:rPr>
          <w:bCs/>
          <w:i/>
        </w:rPr>
        <w:t xml:space="preserve"> of the United States, </w:t>
      </w:r>
      <w:r w:rsidRPr="00A470A0">
        <w:rPr>
          <w:i/>
          <w:iCs/>
        </w:rPr>
        <w:t xml:space="preserve">Selected Sectors: Employment Size of Firms for the U.S.: 2017, </w:t>
      </w:r>
      <w:r w:rsidRPr="00A470A0">
        <w:t xml:space="preserve">Table ID: EC1700SIZEEMPFIRM, NAICS Code 517311, </w:t>
      </w:r>
      <w:hyperlink r:id="rId2" w:history="1">
        <w:r w:rsidRPr="00A470A0">
          <w:rPr>
            <w:rStyle w:val="Hyperlink"/>
          </w:rPr>
          <w:t>https://data.census.gov/cedsci/table?y=2017&amp;n=517311&amp;tid=ECNSIZE2017.EC1700SIZEEMPFIRM&amp;hidePreview=false</w:t>
        </w:r>
      </w:hyperlink>
      <w:r w:rsidRPr="00A470A0">
        <w:t xml:space="preserve">. </w:t>
      </w:r>
    </w:p>
  </w:footnote>
  <w:footnote w:id="4">
    <w:p w:rsidR="0095740B" w:rsidRPr="00A470A0" w:rsidP="0095740B" w14:paraId="0375EA22" w14:textId="4D9C752A">
      <w:pPr>
        <w:autoSpaceDE w:val="0"/>
        <w:autoSpaceDN w:val="0"/>
        <w:adjustRightInd w:val="0"/>
        <w:spacing w:after="120"/>
        <w:rPr>
          <w:sz w:val="20"/>
        </w:rPr>
      </w:pPr>
      <w:r w:rsidRPr="00A470A0">
        <w:rPr>
          <w:rStyle w:val="FootnoteReference"/>
          <w:sz w:val="20"/>
        </w:rPr>
        <w:footnoteRef/>
      </w:r>
      <w:r w:rsidRPr="00A470A0">
        <w:rPr>
          <w:sz w:val="20"/>
        </w:rPr>
        <w:t xml:space="preserve"> </w:t>
      </w:r>
      <w:r w:rsidRPr="00A470A0">
        <w:rPr>
          <w:i/>
          <w:iCs/>
          <w:sz w:val="20"/>
        </w:rPr>
        <w:t xml:space="preserve">See </w:t>
      </w:r>
      <w:r w:rsidRPr="00A470A0">
        <w:rPr>
          <w:sz w:val="20"/>
        </w:rPr>
        <w:t xml:space="preserve">Consolidated Communications and </w:t>
      </w:r>
      <w:r w:rsidRPr="00A470A0">
        <w:rPr>
          <w:sz w:val="20"/>
        </w:rPr>
        <w:t>Ziply Fiber Comments, GN Docket 17-142, at 6-7 (rec. Oct. 20, 2021).</w:t>
      </w:r>
    </w:p>
  </w:footnote>
  <w:footnote w:id="5">
    <w:p w:rsidR="00587AA0" w:rsidRPr="00A470A0" w:rsidP="00587AA0" w14:paraId="64DF3A59" w14:textId="77777777">
      <w:pPr>
        <w:pStyle w:val="FootnoteText"/>
        <w:spacing w:after="120"/>
      </w:pPr>
      <w:r w:rsidRPr="00A470A0">
        <w:rPr>
          <w:rStyle w:val="FootnoteReference"/>
        </w:rPr>
        <w:footnoteRef/>
      </w:r>
      <w:r w:rsidRPr="00A470A0">
        <w:t xml:space="preserve"> </w:t>
      </w:r>
      <w:r w:rsidRPr="00A470A0">
        <w:rPr>
          <w:i/>
          <w:iCs/>
        </w:rPr>
        <w:t>See Improving Competitive Access to Multiple Tenant Environments; Petition for Preemption of Article 52 of the San Francisco Police Code Filed by the Multiple Family Broadband Council</w:t>
      </w:r>
      <w:r w:rsidRPr="00A470A0">
        <w:t xml:space="preserve">, GN Docket No. 17-142, MB Docket No. 17-91, Notice of Proposed Rulemaking and Declaratory Ruling, 34 FCC </w:t>
      </w:r>
      <w:r w:rsidRPr="00A470A0">
        <w:t>Rcd 5702, 5703, para. 1 (2019) (quoting INCOMPAS 2017 NOI Comments at 3 (citing United States Census Bureau, 2010-14 American Community Survey 5-Year Estimates, Units in Structure)).</w:t>
      </w:r>
    </w:p>
  </w:footnote>
  <w:footnote w:id="6">
    <w:p w:rsidR="00587AA0" w:rsidRPr="00A470A0" w:rsidP="00587AA0" w14:paraId="62CE59FF" w14:textId="77777777">
      <w:pPr>
        <w:pStyle w:val="FootnoteText"/>
        <w:spacing w:after="120"/>
      </w:pPr>
      <w:r w:rsidRPr="00A470A0">
        <w:rPr>
          <w:rStyle w:val="FootnoteReference"/>
        </w:rPr>
        <w:footnoteRef/>
      </w:r>
      <w:r w:rsidRPr="00A470A0">
        <w:t xml:space="preserve"> </w:t>
      </w:r>
      <w:r w:rsidRPr="00A470A0">
        <w:rPr>
          <w:i/>
          <w:iCs/>
        </w:rPr>
        <w:t xml:space="preserve">See </w:t>
      </w:r>
      <w:r w:rsidRPr="00A470A0">
        <w:t>Megan Gallagher and Mica O’Brien,</w:t>
      </w:r>
      <w:r w:rsidRPr="00A470A0">
        <w:rPr>
          <w:i/>
          <w:iCs/>
        </w:rPr>
        <w:t xml:space="preserve"> How Landlords Can Help Close the Digital Divide for Their Tenants</w:t>
      </w:r>
      <w:r w:rsidRPr="00A470A0">
        <w:t xml:space="preserve">, Housing Matters, an Urban Institute Initiative (Apr. 21, 2021), </w:t>
      </w:r>
      <w:hyperlink r:id="rId3" w:history="1">
        <w:r w:rsidRPr="00A470A0">
          <w:rPr>
            <w:rStyle w:val="Hyperlink"/>
          </w:rPr>
          <w:t>https://housingmatters.urban.org/articles/how-landlords-can-help-close-digital-divide-their-tenants</w:t>
        </w:r>
      </w:hyperlink>
    </w:p>
  </w:footnote>
  <w:footnote w:id="7">
    <w:p w:rsidR="00587AA0" w:rsidRPr="00A470A0" w:rsidP="00587AA0" w14:paraId="215F7A88" w14:textId="77777777">
      <w:pPr>
        <w:pStyle w:val="FootnoteText"/>
        <w:spacing w:after="120"/>
      </w:pPr>
      <w:r w:rsidRPr="00A470A0">
        <w:rPr>
          <w:rStyle w:val="FootnoteReference"/>
        </w:rPr>
        <w:footnoteRef/>
      </w:r>
      <w:r w:rsidRPr="00A470A0">
        <w:t xml:space="preserve"> </w:t>
      </w:r>
      <w:r w:rsidRPr="00A470A0">
        <w:rPr>
          <w:i/>
          <w:iCs/>
        </w:rPr>
        <w:t>See Commercial buildings have gotten larger in the United States, with implications for energy</w:t>
      </w:r>
      <w:r w:rsidRPr="00A470A0">
        <w:t>, U.S. Energy Information Administration</w:t>
      </w:r>
      <w:r w:rsidRPr="00A470A0">
        <w:rPr>
          <w:i/>
          <w:iCs/>
        </w:rPr>
        <w:t xml:space="preserve"> </w:t>
      </w:r>
      <w:r w:rsidRPr="00A470A0">
        <w:t xml:space="preserve">(Dec. 3, 2020), </w:t>
      </w:r>
      <w:hyperlink r:id="rId4" w:history="1">
        <w:r w:rsidRPr="00A470A0">
          <w:rPr>
            <w:rStyle w:val="Hyperlink"/>
          </w:rPr>
          <w:t>https://www.eia.gov/todayinenergy/detail.php?id=46118</w:t>
        </w:r>
      </w:hyperlink>
    </w:p>
  </w:footnote>
  <w:footnote w:id="8">
    <w:p w:rsidR="00D83400" w:rsidRPr="00A470A0" w14:paraId="3059AC23" w14:textId="148DEB6D">
      <w:pPr>
        <w:pStyle w:val="FootnoteText"/>
      </w:pPr>
      <w:r w:rsidRPr="00A470A0">
        <w:rPr>
          <w:rStyle w:val="FootnoteReference"/>
        </w:rPr>
        <w:footnoteRef/>
      </w:r>
      <w:r w:rsidRPr="00A470A0">
        <w:t xml:space="preserve"> We estimate the hourly wage for an in-house </w:t>
      </w:r>
      <w:r w:rsidR="003E670F">
        <w:t>marketing professional</w:t>
      </w:r>
      <w:r w:rsidRPr="00A470A0">
        <w:t xml:space="preserve"> to be roughly equivalent to the pay of a federal government worker at the GS-</w:t>
      </w:r>
      <w:r w:rsidR="00DA30D1">
        <w:t>9</w:t>
      </w:r>
      <w:r w:rsidRPr="00A470A0">
        <w:t xml:space="preserve">, step </w:t>
      </w:r>
      <w:r w:rsidR="00C04656">
        <w:t>5</w:t>
      </w:r>
      <w:r w:rsidRPr="00A470A0">
        <w:t xml:space="preserve"> level.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EDE" w:rsidRPr="00626311" w:rsidP="00B23B39" w14:paraId="0C031265" w14:textId="0E9FE74A">
    <w:pPr>
      <w:pStyle w:val="Header"/>
      <w:tabs>
        <w:tab w:val="left" w:pos="7740"/>
        <w:tab w:val="clear" w:pos="8640"/>
      </w:tabs>
      <w:rPr>
        <w:b/>
        <w:shd w:val="clear" w:color="auto" w:fill="FFFF99"/>
      </w:rPr>
    </w:pPr>
    <w:r w:rsidRPr="00187752">
      <w:rPr>
        <w:b/>
        <w:bCs/>
        <w:sz w:val="22"/>
        <w:szCs w:val="22"/>
      </w:rPr>
      <w:t>Required Disclosure of Exclusive Marketing Arrangements in MTEs,</w:t>
    </w:r>
    <w:r w:rsidRPr="00E84EDE">
      <w:rPr>
        <w:b/>
      </w:rPr>
      <w:t xml:space="preserve"> </w:t>
    </w:r>
    <w:r>
      <w:rPr>
        <w:b/>
      </w:rPr>
      <w:tab/>
    </w:r>
    <w:r w:rsidR="001F37F2">
      <w:rPr>
        <w:b/>
      </w:rPr>
      <w:tab/>
    </w:r>
    <w:r w:rsidR="00137CD4">
      <w:rPr>
        <w:b/>
      </w:rPr>
      <w:t xml:space="preserve">      3</w:t>
    </w:r>
    <w:r w:rsidRPr="008B5E01">
      <w:rPr>
        <w:b/>
      </w:rPr>
      <w:t>060-</w:t>
    </w:r>
    <w:r w:rsidR="00251AD1">
      <w:rPr>
        <w:b/>
      </w:rPr>
      <w:t>130</w:t>
    </w:r>
    <w:r w:rsidR="00137CD4">
      <w:rPr>
        <w:b/>
      </w:rPr>
      <w:t>5</w:t>
    </w:r>
  </w:p>
  <w:p w:rsidR="00187752" w:rsidP="00B23B39" w14:paraId="5C2A7EF9" w14:textId="7C79E8D3">
    <w:pPr>
      <w:pStyle w:val="Header"/>
      <w:tabs>
        <w:tab w:val="left" w:pos="6480"/>
        <w:tab w:val="left" w:pos="7200"/>
        <w:tab w:val="left" w:pos="7920"/>
      </w:tabs>
      <w:rPr>
        <w:b/>
        <w:bCs/>
        <w:sz w:val="22"/>
        <w:szCs w:val="22"/>
      </w:rPr>
    </w:pPr>
    <w:r w:rsidRPr="00187752">
      <w:rPr>
        <w:b/>
        <w:bCs/>
        <w:sz w:val="22"/>
        <w:szCs w:val="22"/>
      </w:rPr>
      <w:t>Rule Sections 64.2500</w:t>
    </w:r>
    <w:r>
      <w:rPr>
        <w:b/>
        <w:bCs/>
        <w:sz w:val="22"/>
        <w:szCs w:val="22"/>
      </w:rPr>
      <w:t>(e)</w:t>
    </w:r>
    <w:r w:rsidRPr="00187752">
      <w:rPr>
        <w:b/>
        <w:bCs/>
        <w:sz w:val="22"/>
        <w:szCs w:val="22"/>
      </w:rPr>
      <w:t xml:space="preserve"> and 76.2000</w:t>
    </w:r>
    <w:r>
      <w:rPr>
        <w:b/>
        <w:bCs/>
        <w:sz w:val="22"/>
        <w:szCs w:val="22"/>
      </w:rPr>
      <w:t>(d)</w:t>
    </w:r>
    <w:r w:rsidR="001F37F2">
      <w:rPr>
        <w:b/>
        <w:bCs/>
        <w:sz w:val="22"/>
        <w:szCs w:val="22"/>
      </w:rPr>
      <w:tab/>
    </w:r>
    <w:r>
      <w:rPr>
        <w:b/>
      </w:rPr>
      <w:tab/>
    </w:r>
    <w:r w:rsidR="00137CD4">
      <w:rPr>
        <w:b/>
      </w:rPr>
      <w:tab/>
    </w:r>
    <w:r w:rsidR="00137CD4">
      <w:rPr>
        <w:b/>
      </w:rPr>
      <w:tab/>
    </w:r>
    <w:r w:rsidR="002F7102">
      <w:rPr>
        <w:b/>
      </w:rPr>
      <w:t xml:space="preserve">   March 20</w:t>
    </w:r>
    <w:r>
      <w:rPr>
        <w:b/>
      </w:rPr>
      <w:t>2</w:t>
    </w:r>
    <w:r w:rsidR="002C4B6D">
      <w:rPr>
        <w:b/>
      </w:rPr>
      <w:t>5</w:t>
    </w:r>
  </w:p>
  <w:p w:rsidR="00677C7A" w:rsidRPr="007E45BE" w14:paraId="191211BF" w14:textId="02898B4C">
    <w:pPr>
      <w:pStyle w:val="Header"/>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456D8"/>
    <w:multiLevelType w:val="hybridMultilevel"/>
    <w:tmpl w:val="2C40D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E47C2E"/>
    <w:multiLevelType w:val="hybridMultilevel"/>
    <w:tmpl w:val="0E96F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F307FA"/>
    <w:multiLevelType w:val="hybridMultilevel"/>
    <w:tmpl w:val="9B3E23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CC129C"/>
    <w:multiLevelType w:val="hybridMultilevel"/>
    <w:tmpl w:val="4524F8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895184"/>
    <w:multiLevelType w:val="hybridMultilevel"/>
    <w:tmpl w:val="673A83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DE3F68"/>
    <w:multiLevelType w:val="hybridMultilevel"/>
    <w:tmpl w:val="1F4E5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257ECC"/>
    <w:multiLevelType w:val="hybridMultilevel"/>
    <w:tmpl w:val="3E14F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7176E8"/>
    <w:multiLevelType w:val="hybridMultilevel"/>
    <w:tmpl w:val="6CDEE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7288437">
    <w:abstractNumId w:val="1"/>
  </w:num>
  <w:num w:numId="2" w16cid:durableId="434518815">
    <w:abstractNumId w:val="5"/>
  </w:num>
  <w:num w:numId="3" w16cid:durableId="1555239692">
    <w:abstractNumId w:val="0"/>
  </w:num>
  <w:num w:numId="4" w16cid:durableId="678847767">
    <w:abstractNumId w:val="7"/>
  </w:num>
  <w:num w:numId="5" w16cid:durableId="186792053">
    <w:abstractNumId w:val="6"/>
  </w:num>
  <w:num w:numId="6" w16cid:durableId="1774278269">
    <w:abstractNumId w:val="3"/>
  </w:num>
  <w:num w:numId="7" w16cid:durableId="211885107">
    <w:abstractNumId w:val="2"/>
  </w:num>
  <w:num w:numId="8" w16cid:durableId="1452819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22"/>
    <w:rsid w:val="000025EF"/>
    <w:rsid w:val="00020A7F"/>
    <w:rsid w:val="00026B78"/>
    <w:rsid w:val="000312F8"/>
    <w:rsid w:val="00034FFF"/>
    <w:rsid w:val="00036191"/>
    <w:rsid w:val="000416EA"/>
    <w:rsid w:val="00044EC8"/>
    <w:rsid w:val="0005519A"/>
    <w:rsid w:val="00063C41"/>
    <w:rsid w:val="0006476D"/>
    <w:rsid w:val="0006738B"/>
    <w:rsid w:val="000701B6"/>
    <w:rsid w:val="000708C2"/>
    <w:rsid w:val="00074427"/>
    <w:rsid w:val="00081638"/>
    <w:rsid w:val="000933BF"/>
    <w:rsid w:val="00094175"/>
    <w:rsid w:val="00094BDB"/>
    <w:rsid w:val="00097DCE"/>
    <w:rsid w:val="000B4931"/>
    <w:rsid w:val="000C02D0"/>
    <w:rsid w:val="000C1345"/>
    <w:rsid w:val="000C30B5"/>
    <w:rsid w:val="000D3DC1"/>
    <w:rsid w:val="000D512C"/>
    <w:rsid w:val="000D5B3E"/>
    <w:rsid w:val="000E13EF"/>
    <w:rsid w:val="000E658F"/>
    <w:rsid w:val="000E7333"/>
    <w:rsid w:val="000E7DFB"/>
    <w:rsid w:val="000F34E0"/>
    <w:rsid w:val="000F6F81"/>
    <w:rsid w:val="00101419"/>
    <w:rsid w:val="001342D5"/>
    <w:rsid w:val="00137903"/>
    <w:rsid w:val="00137CD4"/>
    <w:rsid w:val="00145E4A"/>
    <w:rsid w:val="00151FE1"/>
    <w:rsid w:val="00154737"/>
    <w:rsid w:val="00154792"/>
    <w:rsid w:val="00160E99"/>
    <w:rsid w:val="001626A0"/>
    <w:rsid w:val="00172A41"/>
    <w:rsid w:val="00184182"/>
    <w:rsid w:val="0018567F"/>
    <w:rsid w:val="00185BFE"/>
    <w:rsid w:val="00187752"/>
    <w:rsid w:val="00193071"/>
    <w:rsid w:val="00195331"/>
    <w:rsid w:val="001A0C7B"/>
    <w:rsid w:val="001B07C3"/>
    <w:rsid w:val="001B35B4"/>
    <w:rsid w:val="001B5466"/>
    <w:rsid w:val="001B6957"/>
    <w:rsid w:val="001B7B07"/>
    <w:rsid w:val="001C29A6"/>
    <w:rsid w:val="001C5D79"/>
    <w:rsid w:val="001C6770"/>
    <w:rsid w:val="001C7394"/>
    <w:rsid w:val="001D1CF9"/>
    <w:rsid w:val="001D2744"/>
    <w:rsid w:val="001D6017"/>
    <w:rsid w:val="001E3ABC"/>
    <w:rsid w:val="001E51C4"/>
    <w:rsid w:val="001E71CA"/>
    <w:rsid w:val="001F1DE6"/>
    <w:rsid w:val="001F37F2"/>
    <w:rsid w:val="002013B4"/>
    <w:rsid w:val="002019E6"/>
    <w:rsid w:val="00201FE7"/>
    <w:rsid w:val="002046CC"/>
    <w:rsid w:val="002170E8"/>
    <w:rsid w:val="002228FB"/>
    <w:rsid w:val="00222EE9"/>
    <w:rsid w:val="0022631A"/>
    <w:rsid w:val="0022677D"/>
    <w:rsid w:val="0023438C"/>
    <w:rsid w:val="00241FB8"/>
    <w:rsid w:val="00242EEA"/>
    <w:rsid w:val="002444DE"/>
    <w:rsid w:val="00251AD1"/>
    <w:rsid w:val="0025670E"/>
    <w:rsid w:val="00262C70"/>
    <w:rsid w:val="00264E9C"/>
    <w:rsid w:val="00286490"/>
    <w:rsid w:val="002869D2"/>
    <w:rsid w:val="00290F51"/>
    <w:rsid w:val="00292B30"/>
    <w:rsid w:val="002958CB"/>
    <w:rsid w:val="002B3450"/>
    <w:rsid w:val="002B4E05"/>
    <w:rsid w:val="002C13D3"/>
    <w:rsid w:val="002C4B6D"/>
    <w:rsid w:val="002C655C"/>
    <w:rsid w:val="002D727B"/>
    <w:rsid w:val="002E1C40"/>
    <w:rsid w:val="002E249A"/>
    <w:rsid w:val="002F0590"/>
    <w:rsid w:val="002F2B3F"/>
    <w:rsid w:val="002F3464"/>
    <w:rsid w:val="002F3766"/>
    <w:rsid w:val="002F6AED"/>
    <w:rsid w:val="002F7102"/>
    <w:rsid w:val="00307286"/>
    <w:rsid w:val="00313DE1"/>
    <w:rsid w:val="003179FC"/>
    <w:rsid w:val="00324E46"/>
    <w:rsid w:val="00330427"/>
    <w:rsid w:val="0033579E"/>
    <w:rsid w:val="00351E9E"/>
    <w:rsid w:val="0035543B"/>
    <w:rsid w:val="00356EF1"/>
    <w:rsid w:val="0036444A"/>
    <w:rsid w:val="00366202"/>
    <w:rsid w:val="00367354"/>
    <w:rsid w:val="00374F6B"/>
    <w:rsid w:val="0039491E"/>
    <w:rsid w:val="003A1B23"/>
    <w:rsid w:val="003A656C"/>
    <w:rsid w:val="003B387D"/>
    <w:rsid w:val="003C4238"/>
    <w:rsid w:val="003C6E17"/>
    <w:rsid w:val="003D550D"/>
    <w:rsid w:val="003E24EA"/>
    <w:rsid w:val="003E670F"/>
    <w:rsid w:val="004071E3"/>
    <w:rsid w:val="0041147A"/>
    <w:rsid w:val="004203D8"/>
    <w:rsid w:val="00420951"/>
    <w:rsid w:val="0042550B"/>
    <w:rsid w:val="004343FE"/>
    <w:rsid w:val="00436D28"/>
    <w:rsid w:val="00442522"/>
    <w:rsid w:val="004521E7"/>
    <w:rsid w:val="00453FBC"/>
    <w:rsid w:val="00465A6A"/>
    <w:rsid w:val="004672A4"/>
    <w:rsid w:val="00472116"/>
    <w:rsid w:val="004728F7"/>
    <w:rsid w:val="0047639A"/>
    <w:rsid w:val="00481518"/>
    <w:rsid w:val="00485728"/>
    <w:rsid w:val="00495153"/>
    <w:rsid w:val="004A00B0"/>
    <w:rsid w:val="004A38F3"/>
    <w:rsid w:val="004A651E"/>
    <w:rsid w:val="004B1190"/>
    <w:rsid w:val="004D4C07"/>
    <w:rsid w:val="004E07CE"/>
    <w:rsid w:val="004E09ED"/>
    <w:rsid w:val="004E1E88"/>
    <w:rsid w:val="004F0065"/>
    <w:rsid w:val="004F30E4"/>
    <w:rsid w:val="004F4E0A"/>
    <w:rsid w:val="004F4EC1"/>
    <w:rsid w:val="004F5BFA"/>
    <w:rsid w:val="004F67CE"/>
    <w:rsid w:val="00501034"/>
    <w:rsid w:val="00503D82"/>
    <w:rsid w:val="00507398"/>
    <w:rsid w:val="0051246E"/>
    <w:rsid w:val="005142DD"/>
    <w:rsid w:val="00535DBE"/>
    <w:rsid w:val="005360C1"/>
    <w:rsid w:val="00536392"/>
    <w:rsid w:val="005412A8"/>
    <w:rsid w:val="00541820"/>
    <w:rsid w:val="005538D9"/>
    <w:rsid w:val="00553A05"/>
    <w:rsid w:val="00566205"/>
    <w:rsid w:val="005703E4"/>
    <w:rsid w:val="00576091"/>
    <w:rsid w:val="00580478"/>
    <w:rsid w:val="00582A97"/>
    <w:rsid w:val="00587AA0"/>
    <w:rsid w:val="0059524D"/>
    <w:rsid w:val="00597AD8"/>
    <w:rsid w:val="005A55EA"/>
    <w:rsid w:val="005A7528"/>
    <w:rsid w:val="005B174F"/>
    <w:rsid w:val="005B379C"/>
    <w:rsid w:val="005C080C"/>
    <w:rsid w:val="005C4156"/>
    <w:rsid w:val="005C6520"/>
    <w:rsid w:val="005D1A1B"/>
    <w:rsid w:val="005D314B"/>
    <w:rsid w:val="005F00EB"/>
    <w:rsid w:val="005F09E6"/>
    <w:rsid w:val="005F201B"/>
    <w:rsid w:val="005F79EE"/>
    <w:rsid w:val="00604E11"/>
    <w:rsid w:val="006067FB"/>
    <w:rsid w:val="00607B9C"/>
    <w:rsid w:val="006202DB"/>
    <w:rsid w:val="00626311"/>
    <w:rsid w:val="00633DBB"/>
    <w:rsid w:val="006423B3"/>
    <w:rsid w:val="00656A44"/>
    <w:rsid w:val="006601C0"/>
    <w:rsid w:val="00665681"/>
    <w:rsid w:val="00665DB3"/>
    <w:rsid w:val="00670BB7"/>
    <w:rsid w:val="00675A8A"/>
    <w:rsid w:val="00676036"/>
    <w:rsid w:val="00677C7A"/>
    <w:rsid w:val="00677CF9"/>
    <w:rsid w:val="0068045D"/>
    <w:rsid w:val="00693F87"/>
    <w:rsid w:val="006A5203"/>
    <w:rsid w:val="006A6D96"/>
    <w:rsid w:val="006B021C"/>
    <w:rsid w:val="006C2F7D"/>
    <w:rsid w:val="006C5A4B"/>
    <w:rsid w:val="006C62E5"/>
    <w:rsid w:val="006D47B9"/>
    <w:rsid w:val="006F0C02"/>
    <w:rsid w:val="006F2668"/>
    <w:rsid w:val="006F576E"/>
    <w:rsid w:val="00700813"/>
    <w:rsid w:val="00701A97"/>
    <w:rsid w:val="00705518"/>
    <w:rsid w:val="0070739A"/>
    <w:rsid w:val="0071448F"/>
    <w:rsid w:val="0073365C"/>
    <w:rsid w:val="0073787E"/>
    <w:rsid w:val="0074431F"/>
    <w:rsid w:val="00746273"/>
    <w:rsid w:val="00750E0F"/>
    <w:rsid w:val="007526FC"/>
    <w:rsid w:val="00753EFB"/>
    <w:rsid w:val="007557BC"/>
    <w:rsid w:val="007627B2"/>
    <w:rsid w:val="007627CA"/>
    <w:rsid w:val="00763053"/>
    <w:rsid w:val="007632ED"/>
    <w:rsid w:val="00766281"/>
    <w:rsid w:val="00771BD9"/>
    <w:rsid w:val="007740A4"/>
    <w:rsid w:val="007740AE"/>
    <w:rsid w:val="00776948"/>
    <w:rsid w:val="0078405C"/>
    <w:rsid w:val="00784B70"/>
    <w:rsid w:val="0079129F"/>
    <w:rsid w:val="00793D99"/>
    <w:rsid w:val="00797982"/>
    <w:rsid w:val="007A28BC"/>
    <w:rsid w:val="007A5726"/>
    <w:rsid w:val="007B6067"/>
    <w:rsid w:val="007C662E"/>
    <w:rsid w:val="007C6CB8"/>
    <w:rsid w:val="007C72D7"/>
    <w:rsid w:val="007D018B"/>
    <w:rsid w:val="007D5893"/>
    <w:rsid w:val="007D6CF4"/>
    <w:rsid w:val="007E0D94"/>
    <w:rsid w:val="007E12AC"/>
    <w:rsid w:val="007E2ADD"/>
    <w:rsid w:val="007E2F01"/>
    <w:rsid w:val="007E45BE"/>
    <w:rsid w:val="007E7D71"/>
    <w:rsid w:val="007F50CD"/>
    <w:rsid w:val="00800733"/>
    <w:rsid w:val="00801F74"/>
    <w:rsid w:val="00811640"/>
    <w:rsid w:val="0081576F"/>
    <w:rsid w:val="0082468C"/>
    <w:rsid w:val="00825038"/>
    <w:rsid w:val="008273F5"/>
    <w:rsid w:val="00830FD0"/>
    <w:rsid w:val="00855AD8"/>
    <w:rsid w:val="00856341"/>
    <w:rsid w:val="00870470"/>
    <w:rsid w:val="0087492F"/>
    <w:rsid w:val="0087687D"/>
    <w:rsid w:val="008779AE"/>
    <w:rsid w:val="00880C55"/>
    <w:rsid w:val="00885F2C"/>
    <w:rsid w:val="00893C33"/>
    <w:rsid w:val="008962D0"/>
    <w:rsid w:val="008A1690"/>
    <w:rsid w:val="008A1F64"/>
    <w:rsid w:val="008A5FC7"/>
    <w:rsid w:val="008B5E01"/>
    <w:rsid w:val="008B62AC"/>
    <w:rsid w:val="008B746B"/>
    <w:rsid w:val="008E713C"/>
    <w:rsid w:val="008E78D8"/>
    <w:rsid w:val="00902335"/>
    <w:rsid w:val="009066F5"/>
    <w:rsid w:val="00911EC5"/>
    <w:rsid w:val="00917829"/>
    <w:rsid w:val="009224B9"/>
    <w:rsid w:val="009231DE"/>
    <w:rsid w:val="00932CB7"/>
    <w:rsid w:val="00933AF3"/>
    <w:rsid w:val="0093650C"/>
    <w:rsid w:val="00937CB4"/>
    <w:rsid w:val="009412ED"/>
    <w:rsid w:val="00942462"/>
    <w:rsid w:val="00944238"/>
    <w:rsid w:val="0094626E"/>
    <w:rsid w:val="00947D99"/>
    <w:rsid w:val="00953C54"/>
    <w:rsid w:val="0095740B"/>
    <w:rsid w:val="00957DC0"/>
    <w:rsid w:val="00960132"/>
    <w:rsid w:val="00965BE2"/>
    <w:rsid w:val="0097024B"/>
    <w:rsid w:val="0097168F"/>
    <w:rsid w:val="00973ABB"/>
    <w:rsid w:val="0097618A"/>
    <w:rsid w:val="00976C66"/>
    <w:rsid w:val="00982400"/>
    <w:rsid w:val="00982AC5"/>
    <w:rsid w:val="00983A14"/>
    <w:rsid w:val="009909E4"/>
    <w:rsid w:val="00995619"/>
    <w:rsid w:val="00996951"/>
    <w:rsid w:val="009A7052"/>
    <w:rsid w:val="009B346F"/>
    <w:rsid w:val="009B72DB"/>
    <w:rsid w:val="009C506D"/>
    <w:rsid w:val="009C5481"/>
    <w:rsid w:val="009C7D59"/>
    <w:rsid w:val="009E25ED"/>
    <w:rsid w:val="009E4DAC"/>
    <w:rsid w:val="00A03215"/>
    <w:rsid w:val="00A0413E"/>
    <w:rsid w:val="00A11F5F"/>
    <w:rsid w:val="00A128E5"/>
    <w:rsid w:val="00A1520F"/>
    <w:rsid w:val="00A1572F"/>
    <w:rsid w:val="00A21F78"/>
    <w:rsid w:val="00A40178"/>
    <w:rsid w:val="00A420FB"/>
    <w:rsid w:val="00A42432"/>
    <w:rsid w:val="00A44723"/>
    <w:rsid w:val="00A46569"/>
    <w:rsid w:val="00A470A0"/>
    <w:rsid w:val="00A5325A"/>
    <w:rsid w:val="00A5392C"/>
    <w:rsid w:val="00A53AD7"/>
    <w:rsid w:val="00A542DF"/>
    <w:rsid w:val="00A55A19"/>
    <w:rsid w:val="00A5791D"/>
    <w:rsid w:val="00A66DD5"/>
    <w:rsid w:val="00A70D0B"/>
    <w:rsid w:val="00A754AC"/>
    <w:rsid w:val="00A83C15"/>
    <w:rsid w:val="00A8483E"/>
    <w:rsid w:val="00A8654F"/>
    <w:rsid w:val="00A87FAB"/>
    <w:rsid w:val="00AA15BD"/>
    <w:rsid w:val="00AB17CB"/>
    <w:rsid w:val="00AB518E"/>
    <w:rsid w:val="00AC7F3F"/>
    <w:rsid w:val="00AD2F8F"/>
    <w:rsid w:val="00AD59F9"/>
    <w:rsid w:val="00AE3193"/>
    <w:rsid w:val="00AE60B9"/>
    <w:rsid w:val="00AF1131"/>
    <w:rsid w:val="00AF158C"/>
    <w:rsid w:val="00AF2B31"/>
    <w:rsid w:val="00AF4ECB"/>
    <w:rsid w:val="00B0099F"/>
    <w:rsid w:val="00B11B2E"/>
    <w:rsid w:val="00B14718"/>
    <w:rsid w:val="00B14F23"/>
    <w:rsid w:val="00B14FAD"/>
    <w:rsid w:val="00B23B39"/>
    <w:rsid w:val="00B2416C"/>
    <w:rsid w:val="00B31F73"/>
    <w:rsid w:val="00B3301E"/>
    <w:rsid w:val="00B33DC9"/>
    <w:rsid w:val="00B40A61"/>
    <w:rsid w:val="00B56CA5"/>
    <w:rsid w:val="00B74514"/>
    <w:rsid w:val="00B76675"/>
    <w:rsid w:val="00B82277"/>
    <w:rsid w:val="00B837FD"/>
    <w:rsid w:val="00B90CAC"/>
    <w:rsid w:val="00B937C4"/>
    <w:rsid w:val="00B93C79"/>
    <w:rsid w:val="00B94098"/>
    <w:rsid w:val="00B95EDE"/>
    <w:rsid w:val="00BA5BA5"/>
    <w:rsid w:val="00BB3FCD"/>
    <w:rsid w:val="00BD3DC5"/>
    <w:rsid w:val="00BD6D9D"/>
    <w:rsid w:val="00BE4375"/>
    <w:rsid w:val="00BE68C6"/>
    <w:rsid w:val="00BE7A86"/>
    <w:rsid w:val="00BF22E8"/>
    <w:rsid w:val="00C0264D"/>
    <w:rsid w:val="00C041C4"/>
    <w:rsid w:val="00C04656"/>
    <w:rsid w:val="00C06D88"/>
    <w:rsid w:val="00C076DA"/>
    <w:rsid w:val="00C11A5C"/>
    <w:rsid w:val="00C227A3"/>
    <w:rsid w:val="00C316F2"/>
    <w:rsid w:val="00C34949"/>
    <w:rsid w:val="00C42D4F"/>
    <w:rsid w:val="00C555A8"/>
    <w:rsid w:val="00C6058F"/>
    <w:rsid w:val="00C66426"/>
    <w:rsid w:val="00C7023F"/>
    <w:rsid w:val="00C74DF8"/>
    <w:rsid w:val="00C777E0"/>
    <w:rsid w:val="00C77C3B"/>
    <w:rsid w:val="00C842C3"/>
    <w:rsid w:val="00C857C8"/>
    <w:rsid w:val="00C93F2C"/>
    <w:rsid w:val="00C96BBE"/>
    <w:rsid w:val="00CA3CE8"/>
    <w:rsid w:val="00CA6ED7"/>
    <w:rsid w:val="00CB006F"/>
    <w:rsid w:val="00CB7480"/>
    <w:rsid w:val="00CB7952"/>
    <w:rsid w:val="00CC3D91"/>
    <w:rsid w:val="00CD0104"/>
    <w:rsid w:val="00CD05AD"/>
    <w:rsid w:val="00CD1FF2"/>
    <w:rsid w:val="00CE57BE"/>
    <w:rsid w:val="00CE7C59"/>
    <w:rsid w:val="00CF1E8F"/>
    <w:rsid w:val="00CF2763"/>
    <w:rsid w:val="00CF5F17"/>
    <w:rsid w:val="00D00B28"/>
    <w:rsid w:val="00D047D6"/>
    <w:rsid w:val="00D05074"/>
    <w:rsid w:val="00D0531D"/>
    <w:rsid w:val="00D07583"/>
    <w:rsid w:val="00D253E0"/>
    <w:rsid w:val="00D27F5E"/>
    <w:rsid w:val="00D322C5"/>
    <w:rsid w:val="00D446B4"/>
    <w:rsid w:val="00D4611E"/>
    <w:rsid w:val="00D55B1E"/>
    <w:rsid w:val="00D61B43"/>
    <w:rsid w:val="00D62AEC"/>
    <w:rsid w:val="00D65C1C"/>
    <w:rsid w:val="00D66522"/>
    <w:rsid w:val="00D668E1"/>
    <w:rsid w:val="00D70561"/>
    <w:rsid w:val="00D71E11"/>
    <w:rsid w:val="00D83400"/>
    <w:rsid w:val="00D910E2"/>
    <w:rsid w:val="00D936EB"/>
    <w:rsid w:val="00D95565"/>
    <w:rsid w:val="00DA2465"/>
    <w:rsid w:val="00DA30D1"/>
    <w:rsid w:val="00DA41CB"/>
    <w:rsid w:val="00DA489E"/>
    <w:rsid w:val="00DA7586"/>
    <w:rsid w:val="00DA76E7"/>
    <w:rsid w:val="00DB13D5"/>
    <w:rsid w:val="00DB1BDF"/>
    <w:rsid w:val="00DC3BC7"/>
    <w:rsid w:val="00DC624A"/>
    <w:rsid w:val="00DC6BBB"/>
    <w:rsid w:val="00DD4D59"/>
    <w:rsid w:val="00DD58F4"/>
    <w:rsid w:val="00DF293E"/>
    <w:rsid w:val="00DF3379"/>
    <w:rsid w:val="00DF5709"/>
    <w:rsid w:val="00DF5A56"/>
    <w:rsid w:val="00DF5E42"/>
    <w:rsid w:val="00E02505"/>
    <w:rsid w:val="00E052AA"/>
    <w:rsid w:val="00E110CC"/>
    <w:rsid w:val="00E15E25"/>
    <w:rsid w:val="00E24A1D"/>
    <w:rsid w:val="00E263E1"/>
    <w:rsid w:val="00E37220"/>
    <w:rsid w:val="00E43C0A"/>
    <w:rsid w:val="00E44C59"/>
    <w:rsid w:val="00E468C7"/>
    <w:rsid w:val="00E46E63"/>
    <w:rsid w:val="00E530C1"/>
    <w:rsid w:val="00E55BA5"/>
    <w:rsid w:val="00E62816"/>
    <w:rsid w:val="00E66220"/>
    <w:rsid w:val="00E67EA5"/>
    <w:rsid w:val="00E71D66"/>
    <w:rsid w:val="00E740C5"/>
    <w:rsid w:val="00E76B10"/>
    <w:rsid w:val="00E81990"/>
    <w:rsid w:val="00E82104"/>
    <w:rsid w:val="00E84EDE"/>
    <w:rsid w:val="00E85A7F"/>
    <w:rsid w:val="00E96D7F"/>
    <w:rsid w:val="00EA14D8"/>
    <w:rsid w:val="00EA4C99"/>
    <w:rsid w:val="00EB5CF7"/>
    <w:rsid w:val="00EB7361"/>
    <w:rsid w:val="00EC0F15"/>
    <w:rsid w:val="00EC64DE"/>
    <w:rsid w:val="00ED1C57"/>
    <w:rsid w:val="00EE1DB1"/>
    <w:rsid w:val="00EE3B1A"/>
    <w:rsid w:val="00EE553B"/>
    <w:rsid w:val="00EF7CAE"/>
    <w:rsid w:val="00F0614A"/>
    <w:rsid w:val="00F10C01"/>
    <w:rsid w:val="00F14681"/>
    <w:rsid w:val="00F14891"/>
    <w:rsid w:val="00F215C2"/>
    <w:rsid w:val="00F22490"/>
    <w:rsid w:val="00F2335B"/>
    <w:rsid w:val="00F23E13"/>
    <w:rsid w:val="00F260FC"/>
    <w:rsid w:val="00F27022"/>
    <w:rsid w:val="00F32945"/>
    <w:rsid w:val="00F3456B"/>
    <w:rsid w:val="00F355B2"/>
    <w:rsid w:val="00F417E4"/>
    <w:rsid w:val="00F47827"/>
    <w:rsid w:val="00F517A3"/>
    <w:rsid w:val="00F52E43"/>
    <w:rsid w:val="00F55535"/>
    <w:rsid w:val="00F63E5A"/>
    <w:rsid w:val="00F723F9"/>
    <w:rsid w:val="00F8056F"/>
    <w:rsid w:val="00F91A97"/>
    <w:rsid w:val="00F92957"/>
    <w:rsid w:val="00F9576F"/>
    <w:rsid w:val="00FA0C29"/>
    <w:rsid w:val="00FA2742"/>
    <w:rsid w:val="00FA3694"/>
    <w:rsid w:val="00FA7AF8"/>
    <w:rsid w:val="00FB3B7D"/>
    <w:rsid w:val="00FB5ED4"/>
    <w:rsid w:val="00FB6B96"/>
    <w:rsid w:val="00FD1572"/>
    <w:rsid w:val="00FD1622"/>
    <w:rsid w:val="00FD3EA3"/>
    <w:rsid w:val="00FD58FD"/>
    <w:rsid w:val="00FE1873"/>
    <w:rsid w:val="00FE3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5A612"/>
  <w15:docId w15:val="{95A49FCB-BB86-4E25-990C-D0B26B5A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aliases w:val="ALTS FOOTNOTE,ALTS FOOTNOTE Char1,Footnote Text Char Char,Footnote Text Char2,Footnote Text Char2 Char Char,Footnote Text Char2 Char1 Char1 Char Char,Footnote Text Char3 Char1 Char Char,Footnote Text Char3 Char1 Char Char Char Char,f,fn"/>
    <w:basedOn w:val="Normal"/>
    <w:link w:val="FootnoteTextChar"/>
    <w:qFormat/>
    <w:rsid w:val="00E62816"/>
    <w:rPr>
      <w:sz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aliases w:val="Footnote Text Char Char Char,Footnote Text Char2 Char,Footnote Text Char2 Char Char Char,Footnote Text Char2 Char1 Char1 Char Char Char,Footnote Text Char3 Char1 Char Char Char,Footnote Text Char3 Char1 Char Char Char Char Char,f Char"/>
    <w:basedOn w:val="DefaultParagraphFont"/>
    <w:link w:val="FootnoteText"/>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 w:type="character" w:styleId="CommentReference">
    <w:name w:val="annotation reference"/>
    <w:basedOn w:val="DefaultParagraphFont"/>
    <w:rsid w:val="008A1F64"/>
    <w:rPr>
      <w:sz w:val="16"/>
      <w:szCs w:val="16"/>
    </w:rPr>
  </w:style>
  <w:style w:type="paragraph" w:styleId="CommentText">
    <w:name w:val="annotation text"/>
    <w:basedOn w:val="Normal"/>
    <w:link w:val="CommentTextChar"/>
    <w:rsid w:val="008A1F64"/>
    <w:rPr>
      <w:sz w:val="20"/>
    </w:rPr>
  </w:style>
  <w:style w:type="character" w:customStyle="1" w:styleId="CommentTextChar">
    <w:name w:val="Comment Text Char"/>
    <w:basedOn w:val="DefaultParagraphFont"/>
    <w:link w:val="CommentText"/>
    <w:rsid w:val="008A1F64"/>
  </w:style>
  <w:style w:type="paragraph" w:styleId="CommentSubject">
    <w:name w:val="annotation subject"/>
    <w:basedOn w:val="CommentText"/>
    <w:next w:val="CommentText"/>
    <w:link w:val="CommentSubjectChar"/>
    <w:rsid w:val="008A1F64"/>
    <w:rPr>
      <w:b/>
      <w:bCs/>
    </w:rPr>
  </w:style>
  <w:style w:type="character" w:customStyle="1" w:styleId="CommentSubjectChar">
    <w:name w:val="Comment Subject Char"/>
    <w:basedOn w:val="CommentTextChar"/>
    <w:link w:val="CommentSubject"/>
    <w:rsid w:val="008A1F64"/>
    <w:rPr>
      <w:b/>
      <w:bCs/>
    </w:rPr>
  </w:style>
  <w:style w:type="paragraph" w:customStyle="1" w:styleId="Default">
    <w:name w:val="Default"/>
    <w:rsid w:val="004A38F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C72D7"/>
    <w:rPr>
      <w:color w:val="605E5C"/>
      <w:shd w:val="clear" w:color="auto" w:fill="E1DFDD"/>
    </w:rPr>
  </w:style>
  <w:style w:type="character" w:styleId="FollowedHyperlink">
    <w:name w:val="FollowedHyperlink"/>
    <w:basedOn w:val="DefaultParagraphFont"/>
    <w:semiHidden/>
    <w:unhideWhenUsed/>
    <w:rsid w:val="00F63E5A"/>
    <w:rPr>
      <w:color w:val="954F72" w:themeColor="followedHyperlink"/>
      <w:u w:val="single"/>
    </w:rPr>
  </w:style>
  <w:style w:type="paragraph" w:styleId="Revision">
    <w:name w:val="Revision"/>
    <w:hidden/>
    <w:uiPriority w:val="99"/>
    <w:semiHidden/>
    <w:rsid w:val="00675A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cedsci/table?y=2017&amp;n=515210&amp;tid=ECNSIZE2017.EC1700SIZEREVFIRM&amp;hidePreview=false" TargetMode="External" /><Relationship Id="rId2" Type="http://schemas.openxmlformats.org/officeDocument/2006/relationships/hyperlink" Target="https://data.census.gov/cedsci/table?y=2017&amp;n=517311&amp;tid=ECNSIZE2017.EC1700SIZEEMPFIRM&amp;hidePreview=false" TargetMode="External" /><Relationship Id="rId3" Type="http://schemas.openxmlformats.org/officeDocument/2006/relationships/hyperlink" Target="https://housingmatters.urban.org/articles/how-landlords-can-help-close-digital-divide-their-tenants" TargetMode="External" /><Relationship Id="rId4" Type="http://schemas.openxmlformats.org/officeDocument/2006/relationships/hyperlink" Target="https://www.eia.gov/todayinenergy/detail.php?id=461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D89C-8DE6-4A7C-806E-D3189D01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Ongele</cp:lastModifiedBy>
  <cp:revision>2</cp:revision>
  <cp:lastPrinted>2012-09-06T18:58:00Z</cp:lastPrinted>
  <dcterms:created xsi:type="dcterms:W3CDTF">2025-03-11T19:12:00Z</dcterms:created>
  <dcterms:modified xsi:type="dcterms:W3CDTF">2025-03-17T16:55:00Z</dcterms:modified>
</cp:coreProperties>
</file>