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377E6" w:rsidP="006377E6" w14:paraId="169326E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Pr>
          <w:b/>
          <w:sz w:val="24"/>
          <w:szCs w:val="24"/>
        </w:rPr>
        <w:t>Supporting Statement for Paperwork Reduction Act Submissions</w:t>
      </w:r>
    </w:p>
    <w:p w:rsidR="006377E6" w:rsidP="006377E6" w14:paraId="264888F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Pr>
          <w:b/>
          <w:sz w:val="24"/>
          <w:szCs w:val="24"/>
        </w:rPr>
        <w:t>Tribal Housing and Urban Development Veteran Administration Supportive Housing Program</w:t>
      </w:r>
    </w:p>
    <w:p w:rsidR="006377E6" w:rsidP="006377E6" w14:paraId="47BB612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Pr>
          <w:b/>
          <w:sz w:val="24"/>
          <w:szCs w:val="24"/>
        </w:rPr>
        <w:t>OMB No: 2577-NEW</w:t>
      </w:r>
    </w:p>
    <w:p w:rsidR="006377E6" w:rsidP="006377E6" w14:paraId="7A8A941E"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6377E6" w:rsidP="006377E6" w14:paraId="31612E4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color w:val="000000"/>
          <w:sz w:val="18"/>
        </w:rPr>
      </w:pPr>
      <w:r>
        <w:rPr>
          <w:rFonts w:ascii="Helvetica" w:hAnsi="Helvetica"/>
          <w:b/>
          <w:sz w:val="18"/>
        </w:rPr>
        <w:t xml:space="preserve">A. </w:t>
      </w:r>
      <w:r>
        <w:rPr>
          <w:rFonts w:ascii="Helvetica" w:hAnsi="Helvetica"/>
          <w:b/>
          <w:sz w:val="18"/>
        </w:rPr>
        <w:tab/>
        <w:t>Justi</w:t>
      </w:r>
      <w:r>
        <w:rPr>
          <w:rFonts w:ascii="Helvetica" w:hAnsi="Helvetica"/>
          <w:b/>
          <w:color w:val="000000"/>
          <w:sz w:val="18"/>
        </w:rPr>
        <w:t>fication</w:t>
      </w:r>
    </w:p>
    <w:p w:rsidR="006377E6" w:rsidP="006377E6" w14:paraId="7838F22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color w:val="000000"/>
          <w:sz w:val="18"/>
        </w:rPr>
      </w:pPr>
    </w:p>
    <w:p w:rsidR="006377E6" w:rsidP="006377E6" w14:paraId="3BAE508E" w14:textId="77777777">
      <w:pPr>
        <w:keepLines/>
        <w:tabs>
          <w:tab w:val="left" w:pos="360"/>
        </w:tabs>
        <w:spacing w:after="80"/>
        <w:ind w:left="360" w:hanging="360"/>
        <w:rPr>
          <w:b/>
          <w:bCs/>
          <w:color w:val="000000"/>
          <w:sz w:val="22"/>
        </w:rPr>
      </w:pPr>
      <w:r>
        <w:rPr>
          <w:b/>
          <w:bCs/>
          <w:color w:val="000000"/>
          <w:sz w:val="18"/>
        </w:rPr>
        <w:t>1.</w:t>
      </w:r>
      <w:r>
        <w:rPr>
          <w:b/>
          <w:bCs/>
          <w:color w:val="000000"/>
          <w:sz w:val="18"/>
        </w:rPr>
        <w:tab/>
      </w:r>
      <w:r>
        <w:rPr>
          <w:b/>
          <w:bCs/>
          <w:color w:val="000000"/>
          <w:sz w:val="22"/>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377E6" w:rsidP="006377E6" w14:paraId="29552CA2" w14:textId="77777777">
      <w:pPr>
        <w:keepLines/>
        <w:tabs>
          <w:tab w:val="left" w:pos="360"/>
        </w:tabs>
        <w:spacing w:after="80"/>
        <w:ind w:left="360"/>
        <w:rPr>
          <w:color w:val="000000"/>
          <w:sz w:val="22"/>
          <w:szCs w:val="22"/>
        </w:rPr>
      </w:pPr>
    </w:p>
    <w:p w:rsidR="006377E6" w:rsidP="006377E6" w14:paraId="439DFC8C" w14:textId="77777777">
      <w:pPr>
        <w:pStyle w:val="BodyText"/>
        <w:keepNext/>
        <w:tabs>
          <w:tab w:val="left" w:pos="480"/>
          <w:tab w:val="left" w:pos="9990"/>
        </w:tabs>
        <w:ind w:left="390"/>
        <w:rPr>
          <w:sz w:val="22"/>
          <w:szCs w:val="22"/>
        </w:rPr>
      </w:pPr>
      <w:r>
        <w:rPr>
          <w:sz w:val="22"/>
          <w:szCs w:val="22"/>
        </w:rPr>
        <w:t xml:space="preserve">The Tribal HUD-VA Supportive Housing (Tribal HUD-VASH) Program provides rental assistance and supportive services to Native American veterans who are homeless or at risk of homelessness in Indian country.  Housing assistance under this program is made available by grants to Tribes and Tribally Designated Housing Entities (TDHEs) that are eligible to receive Indian Housing Block Grant (IHBG) funding under the Native American Housing Assistance and Self-Determination Act of 1996 (25 U.S.C. 4101 et seq.) (NAHASDA).  Grants and renewal funds are awarded based on the number of rental units (Tenant-Based and Project-Based Rental Assistance) approved by HUD. Grants include an additional amount for administrative costs and eligible homeless veterans receive case management services through the Department of Veterans Affairs.  </w:t>
      </w:r>
    </w:p>
    <w:p w:rsidR="006377E6" w:rsidP="006377E6" w14:paraId="1EEE5B75" w14:textId="77777777">
      <w:pPr>
        <w:pStyle w:val="Header"/>
        <w:ind w:left="300"/>
        <w:rPr>
          <w:color w:val="000000" w:themeColor="text1"/>
          <w:sz w:val="22"/>
          <w:szCs w:val="22"/>
        </w:rPr>
      </w:pPr>
      <w:r>
        <w:rPr>
          <w:color w:val="000000" w:themeColor="text1"/>
          <w:sz w:val="22"/>
          <w:szCs w:val="22"/>
        </w:rPr>
        <w:t xml:space="preserve">Attached are the relevant excerpts from the Consolidated and Further Continuing Appropriations Act, 2015 (Pub. L. 113-235, Title II), the </w:t>
      </w:r>
      <w:r>
        <w:rPr>
          <w:rStyle w:val="cf01"/>
          <w:rFonts w:cs="Times New Roman"/>
          <w:color w:val="000000" w:themeColor="text1"/>
          <w:sz w:val="22"/>
          <w:szCs w:val="22"/>
        </w:rPr>
        <w:t xml:space="preserve">Consolidated Appropriations Act, 2017 (P.L. 115-31), </w:t>
      </w:r>
      <w:r>
        <w:rPr>
          <w:rStyle w:val="cf01"/>
          <w:rFonts w:cs="Times New Roman"/>
          <w:color w:val="000000" w:themeColor="text1"/>
          <w:sz w:val="22"/>
          <w:szCs w:val="22"/>
        </w:rPr>
        <w:tab/>
        <w:t>the Consolidated Appropriations Act, 2018, P.L. 115-141, the Consolidated Appropriations Act, 2019, P. L. 116-6, the Consolidated Appropriations Act, 2020, P.L. 116-94, the Consolidated Appropriations Act, 2021, P. L. 116-260, the Consolidated Appropriations Act, 2022, P.L. 117-103, and the Consolidated Appropriations Act, 2023 P. L. 117-328.</w:t>
      </w:r>
      <w:r>
        <w:rPr>
          <w:rStyle w:val="cf01"/>
          <w:rFonts w:eastAsia="Segoe UI" w:cs="Times New Roman"/>
          <w:color w:val="000000" w:themeColor="text1"/>
          <w:sz w:val="22"/>
          <w:szCs w:val="22"/>
        </w:rPr>
        <w:t xml:space="preserve"> </w:t>
      </w:r>
    </w:p>
    <w:p w:rsidR="006377E6" w:rsidP="006377E6" w14:paraId="39374DC1" w14:textId="77777777">
      <w:pPr>
        <w:keepLines/>
        <w:tabs>
          <w:tab w:val="left" w:pos="360"/>
        </w:tabs>
        <w:spacing w:after="80"/>
        <w:ind w:left="360"/>
        <w:rPr>
          <w:color w:val="000000"/>
          <w:sz w:val="22"/>
          <w:szCs w:val="22"/>
        </w:rPr>
      </w:pPr>
    </w:p>
    <w:p w:rsidR="006377E6" w:rsidP="006377E6" w14:paraId="19AEAC13" w14:textId="77777777">
      <w:pPr>
        <w:tabs>
          <w:tab w:val="left" w:pos="360"/>
        </w:tabs>
        <w:rPr>
          <w:color w:val="000000"/>
          <w:sz w:val="18"/>
        </w:rPr>
      </w:pPr>
    </w:p>
    <w:p w:rsidR="006377E6" w:rsidP="006377E6" w14:paraId="5D0C08E7" w14:textId="77777777">
      <w:pPr>
        <w:keepLines/>
        <w:tabs>
          <w:tab w:val="left" w:pos="360"/>
        </w:tabs>
        <w:spacing w:after="80"/>
        <w:ind w:left="360" w:hanging="360"/>
        <w:rPr>
          <w:b/>
          <w:bCs/>
          <w:color w:val="000000"/>
          <w:sz w:val="18"/>
        </w:rPr>
      </w:pPr>
      <w:r>
        <w:rPr>
          <w:b/>
          <w:bCs/>
          <w:color w:val="000000"/>
          <w:sz w:val="18"/>
        </w:rPr>
        <w:t>2.</w:t>
      </w:r>
      <w:r>
        <w:rPr>
          <w:b/>
          <w:bCs/>
          <w:color w:val="000000"/>
          <w:sz w:val="18"/>
        </w:rPr>
        <w:tab/>
      </w:r>
      <w:r>
        <w:rPr>
          <w:b/>
          <w:bCs/>
          <w:color w:val="000000"/>
          <w:sz w:val="22"/>
        </w:rPr>
        <w:t>Indicate how, by whom, and for what purpose the information is to be used. Except for a new collection, indicate the actual use the agency has made of the information received from the current collection.</w:t>
      </w:r>
    </w:p>
    <w:p w:rsidR="006377E6" w:rsidP="006377E6" w14:paraId="31BE6202" w14:textId="77777777">
      <w:pPr>
        <w:keepLines/>
        <w:tabs>
          <w:tab w:val="left" w:pos="360"/>
        </w:tabs>
        <w:spacing w:after="80"/>
        <w:ind w:left="360"/>
        <w:rPr>
          <w:color w:val="000000"/>
          <w:sz w:val="22"/>
          <w:szCs w:val="22"/>
        </w:rPr>
      </w:pPr>
    </w:p>
    <w:p w:rsidR="006377E6" w:rsidP="006377E6" w14:paraId="6FC2A344" w14:textId="77777777">
      <w:pPr>
        <w:ind w:left="360"/>
      </w:pPr>
      <w:r>
        <w:rPr>
          <w:b/>
          <w:bCs/>
          <w:sz w:val="22"/>
          <w:szCs w:val="22"/>
        </w:rPr>
        <w:t>Tribal HUD-VASH Family Report</w:t>
      </w:r>
      <w:r>
        <w:rPr>
          <w:sz w:val="22"/>
          <w:szCs w:val="22"/>
        </w:rPr>
        <w:t xml:space="preserve"> form will record and gather information from Tribal HUD-VASH grantees on household demographic, personal, and rental information as required for the Tribal HUD-VASH program. </w:t>
      </w:r>
      <w:r>
        <w:rPr>
          <w:color w:val="000000"/>
          <w:sz w:val="22"/>
          <w:szCs w:val="22"/>
        </w:rPr>
        <w:t xml:space="preserve">The tribes/TDHEs record information about families assisted in their program, including lease start and end date, rental assistance type, property size, number of bedrooms, and rental assistance payments. </w:t>
      </w:r>
    </w:p>
    <w:p w:rsidR="006377E6" w:rsidP="006377E6" w14:paraId="18FE5EEB" w14:textId="77777777">
      <w:pPr>
        <w:keepLines/>
        <w:tabs>
          <w:tab w:val="left" w:pos="360"/>
        </w:tabs>
        <w:spacing w:after="80"/>
        <w:ind w:left="360"/>
        <w:rPr>
          <w:color w:val="000000"/>
          <w:sz w:val="22"/>
          <w:szCs w:val="22"/>
        </w:rPr>
      </w:pPr>
    </w:p>
    <w:p w:rsidR="006377E6" w:rsidP="006377E6" w14:paraId="718C108B" w14:textId="77777777">
      <w:pPr>
        <w:keepLines/>
        <w:tabs>
          <w:tab w:val="left" w:pos="360"/>
          <w:tab w:val="right" w:pos="10800"/>
        </w:tabs>
        <w:spacing w:after="80"/>
        <w:ind w:left="360"/>
        <w:rPr>
          <w:b/>
          <w:bCs/>
          <w:color w:val="000000" w:themeColor="text1"/>
          <w:sz w:val="22"/>
          <w:szCs w:val="22"/>
        </w:rPr>
      </w:pPr>
      <w:r>
        <w:rPr>
          <w:b/>
          <w:bCs/>
          <w:color w:val="000000" w:themeColor="text1"/>
          <w:sz w:val="22"/>
          <w:szCs w:val="22"/>
        </w:rPr>
        <w:t>Application and Renewal of the Grant Information required for the Program:</w:t>
      </w:r>
    </w:p>
    <w:p w:rsidR="006377E6" w:rsidP="006377E6" w14:paraId="2563A706" w14:textId="77777777">
      <w:pPr>
        <w:keepLines/>
        <w:tabs>
          <w:tab w:val="left" w:pos="360"/>
          <w:tab w:val="right" w:pos="10800"/>
        </w:tabs>
        <w:spacing w:after="80"/>
        <w:ind w:left="360"/>
        <w:rPr>
          <w:b/>
          <w:bCs/>
          <w:color w:val="000000"/>
          <w:sz w:val="22"/>
          <w:szCs w:val="22"/>
        </w:rPr>
      </w:pPr>
      <w:r>
        <w:rPr>
          <w:b/>
          <w:bCs/>
          <w:color w:val="000000" w:themeColor="text1"/>
          <w:sz w:val="22"/>
          <w:szCs w:val="22"/>
        </w:rPr>
        <w:t>The application materials are listed below.</w:t>
      </w:r>
    </w:p>
    <w:p w:rsidR="006377E6" w:rsidP="006377E6" w14:paraId="7B0B54D6" w14:textId="77777777">
      <w:pPr>
        <w:pStyle w:val="ListParagraph"/>
        <w:keepLines/>
        <w:numPr>
          <w:ilvl w:val="0"/>
          <w:numId w:val="1"/>
        </w:numPr>
        <w:tabs>
          <w:tab w:val="left" w:pos="360"/>
        </w:tabs>
        <w:overflowPunct/>
        <w:autoSpaceDE/>
        <w:autoSpaceDN/>
        <w:adjustRightInd/>
        <w:spacing w:after="80" w:line="276" w:lineRule="auto"/>
        <w:rPr>
          <w:color w:val="000000"/>
          <w:sz w:val="22"/>
          <w:szCs w:val="22"/>
        </w:rPr>
      </w:pPr>
      <w:r>
        <w:rPr>
          <w:b/>
          <w:bCs/>
          <w:color w:val="000000"/>
        </w:rPr>
        <w:t>Cover Letter</w:t>
      </w:r>
      <w:r>
        <w:rPr>
          <w:color w:val="000000"/>
        </w:rPr>
        <w:t xml:space="preserve">: The tribe/TDHE must submit a one-page cover letter on the organization’s letterhead identifying the point of contact and their contact information, and an authorized representative signature.   </w:t>
      </w:r>
    </w:p>
    <w:p w:rsidR="006377E6" w:rsidP="006377E6" w14:paraId="7CC296C4" w14:textId="77777777">
      <w:pPr>
        <w:pStyle w:val="ListParagraph"/>
        <w:keepLines/>
        <w:numPr>
          <w:ilvl w:val="0"/>
          <w:numId w:val="1"/>
        </w:numPr>
        <w:tabs>
          <w:tab w:val="left" w:pos="360"/>
        </w:tabs>
        <w:overflowPunct/>
        <w:autoSpaceDE/>
        <w:autoSpaceDN/>
        <w:adjustRightInd/>
        <w:spacing w:after="80" w:line="276" w:lineRule="auto"/>
        <w:rPr>
          <w:color w:val="000000"/>
        </w:rPr>
      </w:pPr>
      <w:r>
        <w:rPr>
          <w:b/>
          <w:bCs/>
          <w:color w:val="000000"/>
        </w:rPr>
        <w:t>Tribal Resolution (if applicable):</w:t>
      </w:r>
      <w:r>
        <w:rPr>
          <w:color w:val="000000"/>
        </w:rPr>
        <w:t xml:space="preserve">  Grantees must have a currently applicable Tribal resolution authorizing participation in the Tribal HUD-VASH program.  For renewal applications, the cover letter can certify that the existing resolution is still in effect.  New applications must submit the resolution with their application letter.  </w:t>
      </w:r>
    </w:p>
    <w:p w:rsidR="006377E6" w:rsidP="006377E6" w14:paraId="501ED550" w14:textId="77777777">
      <w:pPr>
        <w:pStyle w:val="ListParagraph"/>
        <w:widowControl w:val="0"/>
        <w:numPr>
          <w:ilvl w:val="0"/>
          <w:numId w:val="1"/>
        </w:numPr>
        <w:overflowPunct/>
        <w:autoSpaceDE/>
        <w:autoSpaceDN/>
        <w:adjustRightInd/>
        <w:spacing w:after="200" w:line="276" w:lineRule="auto"/>
        <w:rPr>
          <w:b/>
        </w:rPr>
      </w:pPr>
      <w:bookmarkStart w:id="0" w:name="_Hlk500860580"/>
      <w:r>
        <w:rPr>
          <w:b/>
        </w:rPr>
        <w:t xml:space="preserve">Program Update and Overview: </w:t>
      </w:r>
      <w:r>
        <w:t xml:space="preserve">The grantee must report how it has utilized its current funding to </w:t>
      </w:r>
      <w:r>
        <w:t>administer the demonstration program, including the grantee’s progress towards meeting the program’s goals, current and projected program enrollment, challenges faced, measures taken to address issues, conducting interim/annual reexaminations, and the grantee’s community involvement strategies.</w:t>
      </w:r>
    </w:p>
    <w:bookmarkEnd w:id="0"/>
    <w:p w:rsidR="006377E6" w:rsidP="006377E6" w14:paraId="49EA3E7F" w14:textId="77777777">
      <w:pPr>
        <w:pStyle w:val="ListParagraph"/>
        <w:widowControl w:val="0"/>
        <w:numPr>
          <w:ilvl w:val="0"/>
          <w:numId w:val="1"/>
        </w:numPr>
        <w:overflowPunct/>
        <w:autoSpaceDE/>
        <w:autoSpaceDN/>
        <w:adjustRightInd/>
        <w:spacing w:after="200" w:line="276" w:lineRule="auto"/>
        <w:rPr>
          <w:b/>
          <w:color w:val="006600"/>
        </w:rPr>
      </w:pPr>
      <w:r>
        <w:rPr>
          <w:b/>
        </w:rPr>
        <w:t xml:space="preserve">Renewal Funding Information: </w:t>
      </w:r>
      <w:r>
        <w:t>A completed Renewal Funding Table as provided by HUD-ONAP.</w:t>
      </w:r>
    </w:p>
    <w:p w:rsidR="006377E6" w:rsidP="006377E6" w14:paraId="3A6C5F36" w14:textId="77777777">
      <w:pPr>
        <w:pStyle w:val="ListParagraph"/>
        <w:widowControl w:val="0"/>
        <w:numPr>
          <w:ilvl w:val="0"/>
          <w:numId w:val="1"/>
        </w:numPr>
        <w:overflowPunct/>
        <w:autoSpaceDE/>
        <w:autoSpaceDN/>
        <w:adjustRightInd/>
        <w:spacing w:after="200" w:line="276" w:lineRule="auto"/>
        <w:rPr>
          <w:b/>
          <w:color w:val="000000" w:themeColor="text1"/>
        </w:rPr>
      </w:pPr>
      <w:r>
        <w:rPr>
          <w:b/>
          <w:color w:val="000000" w:themeColor="text1"/>
        </w:rPr>
        <w:t xml:space="preserve">Tribal HUD-VASH application and reporting materials </w:t>
      </w:r>
      <w:r>
        <w:rPr>
          <w:color w:val="000000" w:themeColor="text1"/>
        </w:rPr>
        <w:t>as issued in the Federal Register Notice, “Implementation of the Tribal HUD-VA Supportive Housing Program” (FR 6091-N-01) or future notices.</w:t>
      </w:r>
    </w:p>
    <w:p w:rsidR="006377E6" w:rsidP="006377E6" w14:paraId="6A8D629F" w14:textId="77777777">
      <w:pPr>
        <w:pStyle w:val="ListParagraph"/>
        <w:keepLines/>
        <w:numPr>
          <w:ilvl w:val="0"/>
          <w:numId w:val="1"/>
        </w:numPr>
        <w:tabs>
          <w:tab w:val="left" w:pos="360"/>
        </w:tabs>
        <w:overflowPunct/>
        <w:autoSpaceDE/>
        <w:autoSpaceDN/>
        <w:adjustRightInd/>
        <w:spacing w:after="80" w:line="276" w:lineRule="auto"/>
        <w:rPr>
          <w:color w:val="000000"/>
        </w:rPr>
      </w:pPr>
      <w:r>
        <w:rPr>
          <w:b/>
          <w:bCs/>
          <w:color w:val="000000"/>
        </w:rPr>
        <w:t>Renewal Application Program Update and Overview</w:t>
      </w:r>
      <w:r>
        <w:rPr>
          <w:color w:val="000000"/>
        </w:rPr>
        <w:t xml:space="preserve">: Grantees </w:t>
      </w:r>
      <w:r>
        <w:rPr>
          <w:color w:val="000000"/>
        </w:rPr>
        <w:t>have the opportunity to</w:t>
      </w:r>
      <w:r>
        <w:rPr>
          <w:color w:val="000000"/>
        </w:rPr>
        <w:t xml:space="preserve"> submit a renewal application annually.  The application reviews information reported by the Tribes or THDE’s that outlines their progress in housing Native American veterans who are homeless or at risk of homelessness.  This application must include how they have utilized their current funding to administer the program. They also must identify their current and projected program enrollment, any challenges they have incurred and how they have addressed those obstacles.  The Tribe or TDHE must also engage their community through their selected strategies to hear any comments or concerns regarding the renewal process.  </w:t>
      </w:r>
    </w:p>
    <w:p w:rsidR="006377E6" w:rsidP="006377E6" w14:paraId="4D0D5CF4" w14:textId="77777777">
      <w:pPr>
        <w:pStyle w:val="ListParagraph"/>
        <w:keepLines/>
        <w:numPr>
          <w:ilvl w:val="0"/>
          <w:numId w:val="1"/>
        </w:numPr>
        <w:tabs>
          <w:tab w:val="left" w:pos="360"/>
        </w:tabs>
        <w:overflowPunct/>
        <w:autoSpaceDE/>
        <w:autoSpaceDN/>
        <w:adjustRightInd/>
        <w:spacing w:after="80" w:line="276" w:lineRule="auto"/>
        <w:rPr>
          <w:color w:val="000000"/>
        </w:rPr>
      </w:pPr>
      <w:r>
        <w:rPr>
          <w:b/>
          <w:bCs/>
          <w:color w:val="000000"/>
        </w:rPr>
        <w:t>Renewal funding criteria established in PIH Notice 2018-10, “Procedural Guidance for Tribal HUD-VA Supportive Housing Renewal Grant Applications.”:</w:t>
      </w:r>
      <w:r>
        <w:rPr>
          <w:color w:val="000000"/>
        </w:rPr>
        <w:t xml:space="preserve"> A completed Tribal HUD-VASH Family Report.  The Excel spreadsheet collects information about lease dates, type of assistance, rent amount, source of funds, and veteran status.</w:t>
      </w:r>
    </w:p>
    <w:p w:rsidR="006377E6" w:rsidP="006377E6" w14:paraId="14B3EBC3" w14:textId="77777777">
      <w:pPr>
        <w:tabs>
          <w:tab w:val="left" w:pos="360"/>
        </w:tabs>
        <w:rPr>
          <w:color w:val="000000"/>
          <w:sz w:val="18"/>
        </w:rPr>
      </w:pPr>
    </w:p>
    <w:p w:rsidR="006377E6" w:rsidP="006377E6" w14:paraId="556859A0" w14:textId="77777777">
      <w:pPr>
        <w:keepLines/>
        <w:tabs>
          <w:tab w:val="left" w:pos="360"/>
        </w:tabs>
        <w:spacing w:after="80"/>
        <w:ind w:left="360" w:hanging="360"/>
        <w:rPr>
          <w:b/>
          <w:bCs/>
          <w:color w:val="000000"/>
          <w:sz w:val="22"/>
        </w:rPr>
      </w:pPr>
      <w:r>
        <w:rPr>
          <w:b/>
          <w:bCs/>
          <w:color w:val="000000"/>
          <w:sz w:val="18"/>
        </w:rPr>
        <w:t>3.</w:t>
      </w:r>
      <w:r>
        <w:rPr>
          <w:b/>
          <w:bCs/>
          <w:color w:val="000000"/>
          <w:sz w:val="18"/>
        </w:rPr>
        <w:tab/>
      </w:r>
      <w:r>
        <w:rPr>
          <w:b/>
          <w:bCs/>
          <w:color w:val="000000"/>
          <w:sz w:val="22"/>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(item 13b1 of OMB form 83-i).</w:t>
      </w:r>
    </w:p>
    <w:p w:rsidR="006377E6" w:rsidP="006377E6" w14:paraId="1F433B66" w14:textId="77777777">
      <w:pPr>
        <w:keepLines/>
        <w:tabs>
          <w:tab w:val="left" w:pos="360"/>
        </w:tabs>
        <w:spacing w:after="80"/>
        <w:ind w:left="360"/>
        <w:rPr>
          <w:color w:val="000000"/>
          <w:sz w:val="22"/>
          <w:szCs w:val="22"/>
        </w:rPr>
      </w:pPr>
      <w:r>
        <w:rPr>
          <w:color w:val="000000"/>
          <w:sz w:val="22"/>
          <w:szCs w:val="22"/>
        </w:rPr>
        <w:t xml:space="preserve">HUD is developing the Housing Information Portal (HIP) to replace the Inventory Management System/PIH Information Center (PIC/IMS) to collect information for the Tribal HUD-VASH Family Report online. </w:t>
      </w:r>
    </w:p>
    <w:p w:rsidR="006377E6" w:rsidP="006377E6" w14:paraId="714A7D96" w14:textId="77777777">
      <w:pPr>
        <w:tabs>
          <w:tab w:val="left" w:pos="360"/>
        </w:tabs>
        <w:ind w:left="360" w:hanging="360"/>
        <w:rPr>
          <w:color w:val="000000"/>
          <w:sz w:val="18"/>
        </w:rPr>
      </w:pPr>
    </w:p>
    <w:p w:rsidR="006377E6" w:rsidP="006377E6" w14:paraId="51C0D2E9" w14:textId="77777777">
      <w:pPr>
        <w:keepLines/>
        <w:tabs>
          <w:tab w:val="left" w:pos="360"/>
        </w:tabs>
        <w:spacing w:after="80"/>
        <w:ind w:left="360" w:hanging="360"/>
        <w:rPr>
          <w:b/>
          <w:bCs/>
          <w:color w:val="000000"/>
          <w:sz w:val="22"/>
        </w:rPr>
      </w:pPr>
      <w:r>
        <w:rPr>
          <w:b/>
          <w:bCs/>
          <w:color w:val="000000"/>
          <w:sz w:val="18"/>
        </w:rPr>
        <w:t>4.</w:t>
      </w:r>
      <w:r>
        <w:rPr>
          <w:b/>
          <w:bCs/>
          <w:color w:val="000000"/>
          <w:sz w:val="18"/>
        </w:rPr>
        <w:tab/>
      </w:r>
      <w:r>
        <w:rPr>
          <w:b/>
          <w:bCs/>
          <w:color w:val="000000"/>
          <w:sz w:val="22"/>
        </w:rPr>
        <w:t>Describe efforts to identify duplication. Show specifically why any similar information already available cannot be used or modified for use for the purposes described in Item 2 above.</w:t>
      </w:r>
    </w:p>
    <w:p w:rsidR="006377E6" w:rsidP="006377E6" w14:paraId="6D681261" w14:textId="77777777">
      <w:pPr>
        <w:keepLines/>
        <w:tabs>
          <w:tab w:val="left" w:pos="360"/>
        </w:tabs>
        <w:spacing w:after="80"/>
        <w:ind w:left="360" w:hanging="360"/>
        <w:rPr>
          <w:b/>
          <w:bCs/>
          <w:color w:val="000000"/>
          <w:sz w:val="22"/>
        </w:rPr>
      </w:pPr>
      <w:r>
        <w:rPr>
          <w:rStyle w:val="normaltextrun"/>
          <w:color w:val="000000"/>
          <w:sz w:val="22"/>
          <w:szCs w:val="22"/>
          <w:bdr w:val="none" w:sz="0" w:space="0" w:color="auto" w:frame="1"/>
        </w:rPr>
        <w:tab/>
        <w:t>There is no duplication of the subject information. </w:t>
      </w:r>
    </w:p>
    <w:p w:rsidR="006377E6" w:rsidP="006377E6" w14:paraId="4C95F5FE" w14:textId="77777777">
      <w:pPr>
        <w:keepLines/>
        <w:tabs>
          <w:tab w:val="left" w:pos="360"/>
        </w:tabs>
        <w:spacing w:after="80"/>
        <w:ind w:left="360"/>
        <w:rPr>
          <w:color w:val="000000"/>
          <w:sz w:val="22"/>
          <w:szCs w:val="22"/>
        </w:rPr>
      </w:pPr>
    </w:p>
    <w:p w:rsidR="006377E6" w:rsidP="006377E6" w14:paraId="300AFAB3" w14:textId="77777777">
      <w:pPr>
        <w:keepLines/>
        <w:tabs>
          <w:tab w:val="left" w:pos="360"/>
        </w:tabs>
        <w:spacing w:after="80"/>
        <w:ind w:left="360" w:hanging="360"/>
        <w:rPr>
          <w:b/>
          <w:bCs/>
          <w:color w:val="000000"/>
          <w:sz w:val="22"/>
        </w:rPr>
      </w:pPr>
      <w:r>
        <w:rPr>
          <w:b/>
          <w:bCs/>
          <w:color w:val="000000"/>
          <w:sz w:val="18"/>
        </w:rPr>
        <w:t>5.</w:t>
      </w:r>
      <w:r>
        <w:rPr>
          <w:b/>
          <w:bCs/>
          <w:color w:val="000000"/>
          <w:sz w:val="18"/>
        </w:rPr>
        <w:tab/>
      </w:r>
      <w:r>
        <w:rPr>
          <w:b/>
          <w:bCs/>
          <w:color w:val="000000"/>
          <w:sz w:val="22"/>
        </w:rPr>
        <w:t>Does the collection of information impact small businesses or other small entities (item 5 of OMB form 83-i)?  Describe any methods used to minimize burden.</w:t>
      </w:r>
    </w:p>
    <w:p w:rsidR="006377E6" w:rsidP="006377E6" w14:paraId="30406E4F" w14:textId="77777777">
      <w:pPr>
        <w:keepLines/>
        <w:tabs>
          <w:tab w:val="left" w:pos="360"/>
        </w:tabs>
        <w:spacing w:after="80"/>
        <w:ind w:left="360"/>
        <w:rPr>
          <w:color w:val="000000"/>
          <w:sz w:val="22"/>
          <w:szCs w:val="22"/>
        </w:rPr>
      </w:pPr>
      <w:r>
        <w:rPr>
          <w:color w:val="000000"/>
          <w:sz w:val="22"/>
          <w:szCs w:val="22"/>
        </w:rPr>
        <w:t>Very few small entities are impacted.</w:t>
      </w:r>
    </w:p>
    <w:p w:rsidR="006377E6" w:rsidP="006377E6" w14:paraId="32D498E7" w14:textId="77777777">
      <w:pPr>
        <w:tabs>
          <w:tab w:val="left" w:pos="360"/>
        </w:tabs>
        <w:ind w:left="360" w:hanging="360"/>
        <w:rPr>
          <w:color w:val="000000"/>
          <w:sz w:val="18"/>
        </w:rPr>
      </w:pPr>
    </w:p>
    <w:p w:rsidR="006377E6" w:rsidP="006377E6" w14:paraId="20FAA558" w14:textId="77777777">
      <w:pPr>
        <w:keepLines/>
        <w:tabs>
          <w:tab w:val="left" w:pos="360"/>
        </w:tabs>
        <w:spacing w:after="80"/>
        <w:ind w:left="360" w:hanging="360"/>
        <w:rPr>
          <w:b/>
          <w:bCs/>
          <w:color w:val="000000"/>
          <w:sz w:val="22"/>
        </w:rPr>
      </w:pPr>
      <w:r>
        <w:rPr>
          <w:b/>
          <w:bCs/>
          <w:color w:val="000000"/>
          <w:sz w:val="18"/>
        </w:rPr>
        <w:t>6.</w:t>
      </w:r>
      <w:r>
        <w:rPr>
          <w:b/>
          <w:bCs/>
          <w:color w:val="000000"/>
          <w:sz w:val="18"/>
        </w:rPr>
        <w:tab/>
      </w:r>
      <w:r>
        <w:rPr>
          <w:b/>
          <w:bCs/>
          <w:color w:val="000000"/>
          <w:sz w:val="22"/>
        </w:rPr>
        <w:t>Describe the consequence to Federal program or policy activities if the collection is not conducted or is conducted less frequently, as well as any technical or legal obstacles to reducing burden.</w:t>
      </w:r>
    </w:p>
    <w:p w:rsidR="006377E6" w:rsidP="006377E6" w14:paraId="4AA5E920" w14:textId="77777777">
      <w:pPr>
        <w:keepLines/>
        <w:tabs>
          <w:tab w:val="left" w:pos="360"/>
        </w:tabs>
        <w:spacing w:after="80"/>
        <w:ind w:left="360"/>
        <w:rPr>
          <w:color w:val="000000"/>
          <w:sz w:val="22"/>
          <w:szCs w:val="22"/>
        </w:rPr>
      </w:pPr>
      <w:r>
        <w:rPr>
          <w:color w:val="000000"/>
          <w:sz w:val="22"/>
          <w:szCs w:val="22"/>
        </w:rPr>
        <w:t>Information is collected to meet requirements of the law and used to award funds to end homelessness among veteran Native Americans.</w:t>
      </w:r>
    </w:p>
    <w:p w:rsidR="006377E6" w:rsidP="006377E6" w14:paraId="59ED4764" w14:textId="77777777">
      <w:pPr>
        <w:keepLines/>
        <w:tabs>
          <w:tab w:val="left" w:pos="360"/>
        </w:tabs>
        <w:spacing w:after="80"/>
        <w:ind w:left="360" w:hanging="360"/>
        <w:rPr>
          <w:color w:val="000000"/>
          <w:sz w:val="18"/>
        </w:rPr>
      </w:pPr>
    </w:p>
    <w:p w:rsidR="006377E6" w:rsidP="006377E6" w14:paraId="7ED8AE33" w14:textId="77777777">
      <w:pPr>
        <w:numPr>
          <w:ilvl w:val="0"/>
          <w:numId w:val="2"/>
        </w:numPr>
        <w:overflowPunct/>
        <w:autoSpaceDE/>
        <w:adjustRightInd/>
        <w:spacing w:line="276" w:lineRule="auto"/>
        <w:contextualSpacing/>
        <w:rPr>
          <w:rFonts w:eastAsia="Calibri"/>
          <w:sz w:val="22"/>
          <w:szCs w:val="22"/>
        </w:rPr>
      </w:pPr>
      <w:r>
        <w:rPr>
          <w:rFonts w:eastAsia="Calibri"/>
          <w:b/>
          <w:sz w:val="22"/>
          <w:szCs w:val="22"/>
        </w:rPr>
        <w:t>Explain any special circumstances that would cause an information to be collected in a manner:</w:t>
      </w:r>
    </w:p>
    <w:p w:rsidR="006377E6" w:rsidP="006377E6" w14:paraId="599FE9CA" w14:textId="77777777">
      <w:pPr>
        <w:keepLines/>
        <w:numPr>
          <w:ilvl w:val="0"/>
          <w:numId w:val="3"/>
        </w:numPr>
        <w:tabs>
          <w:tab w:val="left" w:pos="360"/>
        </w:tabs>
        <w:spacing w:after="80"/>
        <w:rPr>
          <w:rFonts w:eastAsia="Calibri"/>
          <w:sz w:val="22"/>
          <w:szCs w:val="22"/>
        </w:rPr>
      </w:pPr>
      <w:bookmarkStart w:id="1" w:name="_Hlk494808620"/>
      <w:r>
        <w:rPr>
          <w:rFonts w:eastAsia="Calibri"/>
          <w:sz w:val="22"/>
          <w:szCs w:val="22"/>
        </w:rPr>
        <w:t>requiring respondents to report information to the agency more than quarterly; Not Applicable</w:t>
      </w:r>
    </w:p>
    <w:p w:rsidR="006377E6" w:rsidP="006377E6" w14:paraId="66D8CF9C" w14:textId="77777777">
      <w:pPr>
        <w:overflowPunct/>
        <w:autoSpaceDE/>
        <w:adjustRightInd/>
        <w:spacing w:line="276" w:lineRule="auto"/>
        <w:ind w:left="1080"/>
        <w:contextualSpacing/>
        <w:rPr>
          <w:rFonts w:eastAsia="Calibri"/>
          <w:sz w:val="22"/>
          <w:szCs w:val="22"/>
        </w:rPr>
      </w:pPr>
    </w:p>
    <w:p w:rsidR="006377E6" w:rsidP="006377E6" w14:paraId="26A17CB9" w14:textId="77777777">
      <w:pPr>
        <w:keepLines/>
        <w:numPr>
          <w:ilvl w:val="0"/>
          <w:numId w:val="3"/>
        </w:numPr>
        <w:tabs>
          <w:tab w:val="left" w:pos="360"/>
        </w:tabs>
        <w:spacing w:after="80"/>
        <w:rPr>
          <w:rFonts w:eastAsia="Calibri"/>
          <w:sz w:val="22"/>
          <w:szCs w:val="22"/>
        </w:rPr>
      </w:pPr>
      <w:r>
        <w:rPr>
          <w:rFonts w:eastAsia="Calibri"/>
          <w:sz w:val="22"/>
          <w:szCs w:val="22"/>
        </w:rPr>
        <w:t>requiring respondents to prepare a written response to a collection of information in fewer than 30 days after receipt of it: Not Applicable</w:t>
      </w:r>
    </w:p>
    <w:p w:rsidR="006377E6" w:rsidP="006377E6" w14:paraId="1C3A9203" w14:textId="77777777">
      <w:pPr>
        <w:overflowPunct/>
        <w:autoSpaceDE/>
        <w:adjustRightInd/>
        <w:spacing w:line="276" w:lineRule="auto"/>
        <w:ind w:left="720"/>
        <w:contextualSpacing/>
        <w:rPr>
          <w:rFonts w:eastAsia="Calibri"/>
          <w:bCs/>
          <w:sz w:val="22"/>
          <w:szCs w:val="22"/>
        </w:rPr>
      </w:pPr>
    </w:p>
    <w:p w:rsidR="006377E6" w:rsidP="006377E6" w14:paraId="0E00378A" w14:textId="77777777">
      <w:pPr>
        <w:keepLines/>
        <w:numPr>
          <w:ilvl w:val="0"/>
          <w:numId w:val="3"/>
        </w:numPr>
        <w:tabs>
          <w:tab w:val="left" w:pos="360"/>
        </w:tabs>
        <w:spacing w:after="80"/>
        <w:rPr>
          <w:rFonts w:eastAsia="Calibri"/>
          <w:sz w:val="22"/>
          <w:szCs w:val="22"/>
        </w:rPr>
      </w:pPr>
      <w:r>
        <w:rPr>
          <w:rFonts w:eastAsia="Calibri"/>
          <w:sz w:val="22"/>
          <w:szCs w:val="22"/>
        </w:rPr>
        <w:t xml:space="preserve">requiring respondents to submit more than an original and two copies of any </w:t>
      </w:r>
      <w:r>
        <w:rPr>
          <w:rFonts w:eastAsia="Calibri"/>
          <w:sz w:val="22"/>
          <w:szCs w:val="22"/>
        </w:rPr>
        <w:t>document;</w:t>
      </w:r>
      <w:r>
        <w:rPr>
          <w:rFonts w:eastAsia="Calibri"/>
          <w:sz w:val="22"/>
          <w:szCs w:val="22"/>
        </w:rPr>
        <w:t xml:space="preserve"> Not Applicable</w:t>
      </w:r>
    </w:p>
    <w:p w:rsidR="006377E6" w:rsidP="006377E6" w14:paraId="395F5052" w14:textId="77777777">
      <w:pPr>
        <w:overflowPunct/>
        <w:autoSpaceDE/>
        <w:adjustRightInd/>
        <w:spacing w:line="276" w:lineRule="auto"/>
        <w:ind w:left="1080"/>
        <w:contextualSpacing/>
        <w:rPr>
          <w:rFonts w:eastAsia="Calibri"/>
          <w:sz w:val="22"/>
          <w:szCs w:val="22"/>
        </w:rPr>
      </w:pPr>
    </w:p>
    <w:p w:rsidR="006377E6" w:rsidP="006377E6" w14:paraId="1899338E" w14:textId="77777777">
      <w:pPr>
        <w:keepLines/>
        <w:numPr>
          <w:ilvl w:val="0"/>
          <w:numId w:val="3"/>
        </w:numPr>
        <w:tabs>
          <w:tab w:val="left" w:pos="360"/>
        </w:tabs>
        <w:spacing w:after="80"/>
        <w:rPr>
          <w:rFonts w:eastAsia="Calibri"/>
          <w:sz w:val="22"/>
          <w:szCs w:val="22"/>
        </w:rPr>
      </w:pPr>
      <w:r>
        <w:rPr>
          <w:rFonts w:eastAsia="Calibri"/>
          <w:sz w:val="22"/>
          <w:szCs w:val="22"/>
        </w:rPr>
        <w:t>requiring respondents to retain records other than health, medical, government contract, grant-in-aid, or tax records for more than three years; Not Applicable</w:t>
      </w:r>
    </w:p>
    <w:p w:rsidR="006377E6" w:rsidP="006377E6" w14:paraId="485B994A" w14:textId="77777777">
      <w:pPr>
        <w:overflowPunct/>
        <w:autoSpaceDE/>
        <w:adjustRightInd/>
        <w:spacing w:line="276" w:lineRule="auto"/>
        <w:ind w:left="720"/>
        <w:contextualSpacing/>
        <w:rPr>
          <w:rFonts w:eastAsia="Calibri"/>
          <w:bCs/>
          <w:sz w:val="22"/>
          <w:szCs w:val="22"/>
        </w:rPr>
      </w:pPr>
    </w:p>
    <w:p w:rsidR="006377E6" w:rsidP="006377E6" w14:paraId="7D148964" w14:textId="77777777">
      <w:pPr>
        <w:keepLines/>
        <w:numPr>
          <w:ilvl w:val="0"/>
          <w:numId w:val="3"/>
        </w:numPr>
        <w:tabs>
          <w:tab w:val="left" w:pos="360"/>
        </w:tabs>
        <w:spacing w:after="80"/>
        <w:rPr>
          <w:rFonts w:eastAsia="Calibri"/>
          <w:sz w:val="22"/>
          <w:szCs w:val="22"/>
        </w:rPr>
      </w:pPr>
      <w:r>
        <w:rPr>
          <w:rFonts w:eastAsia="Calibri"/>
          <w:sz w:val="22"/>
          <w:szCs w:val="22"/>
        </w:rPr>
        <w:t>in connection with a statistical survey, that is not designed to produce valid and reliable results than can be generalized to the universe of the study; Not Applicable</w:t>
      </w:r>
    </w:p>
    <w:p w:rsidR="006377E6" w:rsidP="006377E6" w14:paraId="17E7B58B" w14:textId="77777777">
      <w:pPr>
        <w:overflowPunct/>
        <w:autoSpaceDE/>
        <w:adjustRightInd/>
        <w:spacing w:line="276" w:lineRule="auto"/>
        <w:ind w:left="720"/>
        <w:contextualSpacing/>
        <w:rPr>
          <w:rFonts w:eastAsia="Calibri"/>
          <w:bCs/>
          <w:sz w:val="22"/>
          <w:szCs w:val="22"/>
        </w:rPr>
      </w:pPr>
    </w:p>
    <w:p w:rsidR="006377E6" w:rsidP="006377E6" w14:paraId="2F2C64D9" w14:textId="77777777">
      <w:pPr>
        <w:keepLines/>
        <w:numPr>
          <w:ilvl w:val="0"/>
          <w:numId w:val="3"/>
        </w:numPr>
        <w:tabs>
          <w:tab w:val="left" w:pos="360"/>
        </w:tabs>
        <w:spacing w:after="80"/>
        <w:rPr>
          <w:rFonts w:eastAsia="Calibri"/>
          <w:sz w:val="22"/>
          <w:szCs w:val="22"/>
        </w:rPr>
      </w:pPr>
      <w:r>
        <w:rPr>
          <w:rFonts w:eastAsia="Calibri"/>
          <w:sz w:val="22"/>
          <w:szCs w:val="22"/>
        </w:rPr>
        <w:t>requiring the use of statistical data classification that has not been reviewed and approved by OMB; Not Applicable</w:t>
      </w:r>
    </w:p>
    <w:p w:rsidR="006377E6" w:rsidP="006377E6" w14:paraId="55259A05" w14:textId="77777777">
      <w:pPr>
        <w:overflowPunct/>
        <w:autoSpaceDE/>
        <w:adjustRightInd/>
        <w:spacing w:line="276" w:lineRule="auto"/>
        <w:ind w:left="1080"/>
        <w:contextualSpacing/>
        <w:rPr>
          <w:rFonts w:eastAsia="Calibri"/>
          <w:sz w:val="22"/>
          <w:szCs w:val="22"/>
        </w:rPr>
      </w:pPr>
    </w:p>
    <w:p w:rsidR="006377E6" w:rsidP="006377E6" w14:paraId="1E928CB5" w14:textId="77777777">
      <w:pPr>
        <w:keepLines/>
        <w:numPr>
          <w:ilvl w:val="0"/>
          <w:numId w:val="3"/>
        </w:numPr>
        <w:tabs>
          <w:tab w:val="left" w:pos="360"/>
        </w:tabs>
        <w:spacing w:after="80"/>
        <w:rPr>
          <w:rFonts w:eastAsia="Calibri"/>
          <w:sz w:val="22"/>
          <w:szCs w:val="22"/>
        </w:rPr>
      </w:pPr>
      <w:r>
        <w:rPr>
          <w:rFonts w:eastAsia="Calibri"/>
          <w:sz w:val="22"/>
          <w:szCs w:val="22"/>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6377E6" w:rsidP="006377E6" w14:paraId="772CBBE4" w14:textId="77777777">
      <w:pPr>
        <w:overflowPunct/>
        <w:autoSpaceDE/>
        <w:adjustRightInd/>
        <w:spacing w:line="276" w:lineRule="auto"/>
        <w:ind w:left="720"/>
        <w:contextualSpacing/>
        <w:rPr>
          <w:rFonts w:eastAsia="Calibri"/>
          <w:bCs/>
          <w:sz w:val="22"/>
          <w:szCs w:val="22"/>
        </w:rPr>
      </w:pPr>
      <w:r>
        <w:rPr>
          <w:rFonts w:eastAsia="Calibri"/>
          <w:bCs/>
          <w:sz w:val="22"/>
          <w:szCs w:val="22"/>
        </w:rPr>
        <w:t>Not Applicable</w:t>
      </w:r>
    </w:p>
    <w:p w:rsidR="006377E6" w:rsidP="006377E6" w14:paraId="0A310641" w14:textId="77777777">
      <w:pPr>
        <w:overflowPunct/>
        <w:autoSpaceDE/>
        <w:adjustRightInd/>
        <w:spacing w:line="276" w:lineRule="auto"/>
        <w:ind w:left="1080"/>
        <w:contextualSpacing/>
        <w:rPr>
          <w:rFonts w:eastAsia="Calibri"/>
          <w:sz w:val="22"/>
          <w:szCs w:val="22"/>
        </w:rPr>
      </w:pPr>
    </w:p>
    <w:p w:rsidR="006377E6" w:rsidP="006377E6" w14:paraId="15C998CC" w14:textId="77777777">
      <w:pPr>
        <w:keepLines/>
        <w:numPr>
          <w:ilvl w:val="0"/>
          <w:numId w:val="3"/>
        </w:numPr>
        <w:tabs>
          <w:tab w:val="left" w:pos="360"/>
        </w:tabs>
        <w:spacing w:after="80"/>
        <w:rPr>
          <w:rFonts w:eastAsia="Calibri"/>
          <w:sz w:val="22"/>
          <w:szCs w:val="22"/>
        </w:rPr>
      </w:pPr>
      <w:r>
        <w:rPr>
          <w:rFonts w:eastAsia="Calibri"/>
          <w:sz w:val="22"/>
          <w:szCs w:val="22"/>
        </w:rPr>
        <w:t>requiring respondents to submit proprietary trade secret, or other confidential information unless the agency can demonstrate that it has instituted procedures to protect the information’s confidentiality to the extent permitted by law. Not Applicable</w:t>
      </w:r>
    </w:p>
    <w:bookmarkEnd w:id="1"/>
    <w:p w:rsidR="006377E6" w:rsidP="006377E6" w14:paraId="71F791E3" w14:textId="77777777">
      <w:pPr>
        <w:tabs>
          <w:tab w:val="left" w:pos="360"/>
        </w:tabs>
        <w:rPr>
          <w:color w:val="000000"/>
          <w:sz w:val="22"/>
        </w:rPr>
      </w:pPr>
    </w:p>
    <w:p w:rsidR="006377E6" w:rsidP="006377E6" w14:paraId="41A4B21E" w14:textId="77777777">
      <w:pPr>
        <w:keepLines/>
        <w:tabs>
          <w:tab w:val="left" w:pos="360"/>
        </w:tabs>
        <w:spacing w:after="80"/>
        <w:ind w:left="360" w:hanging="360"/>
        <w:rPr>
          <w:b/>
          <w:bCs/>
          <w:color w:val="000000"/>
          <w:sz w:val="22"/>
        </w:rPr>
      </w:pPr>
      <w:r>
        <w:rPr>
          <w:b/>
          <w:bCs/>
          <w:color w:val="000000"/>
          <w:sz w:val="18"/>
        </w:rPr>
        <w:t>8.</w:t>
      </w:r>
      <w:r>
        <w:rPr>
          <w:b/>
          <w:bCs/>
          <w:color w:val="000000"/>
          <w:sz w:val="18"/>
        </w:rPr>
        <w:tab/>
      </w:r>
      <w:r>
        <w:rPr>
          <w:b/>
          <w:bCs/>
          <w:color w:val="000000"/>
          <w:sz w:val="22"/>
        </w:rPr>
        <w:t xml:space="preserve">If applicable, provide a copy and identify the date and page number of </w:t>
      </w:r>
      <w:r>
        <w:rPr>
          <w:b/>
          <w:bCs/>
          <w:color w:val="000000"/>
          <w:sz w:val="22"/>
        </w:rPr>
        <w:t>publication</w:t>
      </w:r>
      <w:r>
        <w:rPr>
          <w:b/>
          <w:bCs/>
          <w:color w:val="000000"/>
          <w:sz w:val="22"/>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6377E6" w:rsidP="006377E6" w14:paraId="6651FE17" w14:textId="77777777">
      <w:pPr>
        <w:keepLines/>
        <w:tabs>
          <w:tab w:val="left" w:pos="360"/>
        </w:tabs>
        <w:spacing w:after="80"/>
        <w:ind w:left="360" w:hanging="360"/>
        <w:rPr>
          <w:b/>
          <w:bCs/>
          <w:color w:val="000000"/>
          <w:sz w:val="22"/>
        </w:rPr>
      </w:pPr>
      <w:r>
        <w:rPr>
          <w:b/>
          <w:bCs/>
          <w:color w:val="000000"/>
          <w:sz w:val="22"/>
        </w:rPr>
        <w:t>•</w:t>
      </w:r>
      <w:r>
        <w:rPr>
          <w:b/>
          <w:bCs/>
          <w:color w:val="000000"/>
          <w:sz w:val="22"/>
        </w:rPr>
        <w:tab/>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6377E6" w:rsidP="006377E6" w14:paraId="728DA659" w14:textId="77777777">
      <w:pPr>
        <w:keepLines/>
        <w:tabs>
          <w:tab w:val="left" w:pos="360"/>
        </w:tabs>
        <w:spacing w:after="80"/>
        <w:ind w:left="360" w:hanging="360"/>
        <w:rPr>
          <w:b/>
          <w:bCs/>
          <w:color w:val="000000"/>
          <w:sz w:val="22"/>
        </w:rPr>
      </w:pPr>
      <w:r>
        <w:rPr>
          <w:b/>
          <w:bCs/>
          <w:color w:val="000000"/>
          <w:sz w:val="22"/>
        </w:rPr>
        <w:t>•</w:t>
      </w:r>
      <w:r>
        <w:rPr>
          <w:b/>
          <w:bCs/>
          <w:color w:val="000000"/>
          <w:sz w:val="22"/>
        </w:rPr>
        <w:tab/>
        <w:t>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w:t>
      </w:r>
    </w:p>
    <w:p w:rsidR="006377E6" w:rsidP="006377E6" w14:paraId="3F33970C" w14:textId="77777777">
      <w:pPr>
        <w:keepLines/>
        <w:tabs>
          <w:tab w:val="left" w:pos="360"/>
        </w:tabs>
        <w:spacing w:after="80"/>
        <w:ind w:left="360" w:hanging="360"/>
        <w:rPr>
          <w:b/>
          <w:bCs/>
          <w:color w:val="000000"/>
          <w:sz w:val="22"/>
        </w:rPr>
      </w:pPr>
    </w:p>
    <w:p w:rsidR="006377E6" w:rsidP="006377E6" w14:paraId="393684CC" w14:textId="77777777">
      <w:pPr>
        <w:keepLines/>
        <w:tabs>
          <w:tab w:val="left" w:pos="360"/>
        </w:tabs>
        <w:spacing w:after="80"/>
        <w:ind w:left="360" w:hanging="360"/>
        <w:rPr>
          <w:b/>
          <w:bCs/>
          <w:color w:val="000000"/>
          <w:sz w:val="22"/>
        </w:rPr>
      </w:pPr>
      <w:r>
        <w:rPr>
          <w:b/>
          <w:bCs/>
          <w:color w:val="000000"/>
          <w:sz w:val="22"/>
        </w:rPr>
        <w:tab/>
      </w:r>
      <w:r>
        <w:rPr>
          <w:sz w:val="22"/>
        </w:rPr>
        <w:t xml:space="preserve">HUD published a Notice of Proposed Information Collection for public comments in the </w:t>
      </w:r>
      <w:r>
        <w:rPr>
          <w:i/>
          <w:sz w:val="22"/>
        </w:rPr>
        <w:t>Federal Register</w:t>
      </w:r>
      <w:r>
        <w:rPr>
          <w:sz w:val="22"/>
        </w:rPr>
        <w:t>, Volume 88; Number 201; Page 72096 on October 19, 2023. No public comments were received.</w:t>
      </w:r>
    </w:p>
    <w:p w:rsidR="006377E6" w:rsidP="006377E6" w14:paraId="7B914CFD" w14:textId="77777777">
      <w:pPr>
        <w:keepLines/>
        <w:tabs>
          <w:tab w:val="left" w:pos="360"/>
        </w:tabs>
        <w:spacing w:after="80"/>
        <w:ind w:left="360"/>
        <w:rPr>
          <w:color w:val="000000"/>
          <w:sz w:val="22"/>
          <w:szCs w:val="22"/>
        </w:rPr>
      </w:pPr>
    </w:p>
    <w:p w:rsidR="006377E6" w:rsidP="006377E6" w14:paraId="10437FAC" w14:textId="77777777">
      <w:pPr>
        <w:tabs>
          <w:tab w:val="left" w:pos="360"/>
        </w:tabs>
        <w:ind w:left="360" w:hanging="360"/>
        <w:rPr>
          <w:color w:val="000000"/>
          <w:sz w:val="18"/>
        </w:rPr>
      </w:pPr>
    </w:p>
    <w:p w:rsidR="006377E6" w:rsidP="006377E6" w14:paraId="0885A368" w14:textId="77777777">
      <w:pPr>
        <w:keepLines/>
        <w:tabs>
          <w:tab w:val="left" w:pos="360"/>
        </w:tabs>
        <w:spacing w:after="80"/>
        <w:ind w:left="360" w:hanging="360"/>
        <w:rPr>
          <w:b/>
          <w:bCs/>
          <w:color w:val="000000"/>
          <w:sz w:val="22"/>
        </w:rPr>
      </w:pPr>
      <w:r>
        <w:rPr>
          <w:b/>
          <w:bCs/>
          <w:color w:val="000000"/>
          <w:sz w:val="18"/>
        </w:rPr>
        <w:t>9.</w:t>
      </w:r>
      <w:r>
        <w:rPr>
          <w:b/>
          <w:bCs/>
          <w:color w:val="000000"/>
          <w:sz w:val="18"/>
        </w:rPr>
        <w:tab/>
      </w:r>
      <w:r>
        <w:rPr>
          <w:b/>
          <w:bCs/>
          <w:color w:val="000000"/>
          <w:sz w:val="22"/>
        </w:rPr>
        <w:t xml:space="preserve">Explain any decision to provide any payment or gift to respondents, other than </w:t>
      </w:r>
      <w:r>
        <w:rPr>
          <w:b/>
          <w:bCs/>
          <w:color w:val="000000"/>
          <w:sz w:val="22"/>
        </w:rPr>
        <w:t>reenumeration</w:t>
      </w:r>
      <w:r>
        <w:rPr>
          <w:b/>
          <w:bCs/>
          <w:color w:val="000000"/>
          <w:sz w:val="22"/>
        </w:rPr>
        <w:t xml:space="preserve"> of contractors or grantees.</w:t>
      </w:r>
    </w:p>
    <w:p w:rsidR="006377E6" w:rsidP="006377E6" w14:paraId="09DA8FEC" w14:textId="77777777">
      <w:pPr>
        <w:tabs>
          <w:tab w:val="left" w:pos="360"/>
        </w:tabs>
        <w:rPr>
          <w:color w:val="000000"/>
          <w:sz w:val="22"/>
          <w:szCs w:val="22"/>
        </w:rPr>
      </w:pPr>
      <w:r>
        <w:rPr>
          <w:color w:val="000000"/>
          <w:sz w:val="18"/>
        </w:rPr>
        <w:tab/>
      </w:r>
      <w:r>
        <w:rPr>
          <w:color w:val="000000"/>
          <w:sz w:val="22"/>
          <w:szCs w:val="22"/>
        </w:rPr>
        <w:t>No payments or gifts to respondents are provided.</w:t>
      </w:r>
    </w:p>
    <w:p w:rsidR="006377E6" w:rsidP="006377E6" w14:paraId="20CFFA9F" w14:textId="77777777">
      <w:pPr>
        <w:tabs>
          <w:tab w:val="left" w:pos="360"/>
        </w:tabs>
        <w:ind w:left="360" w:hanging="360"/>
        <w:rPr>
          <w:color w:val="000000"/>
          <w:sz w:val="18"/>
        </w:rPr>
      </w:pPr>
    </w:p>
    <w:p w:rsidR="006377E6" w:rsidP="006377E6" w14:paraId="65CE6DD7" w14:textId="77777777">
      <w:pPr>
        <w:keepLines/>
        <w:tabs>
          <w:tab w:val="left" w:pos="360"/>
        </w:tabs>
        <w:spacing w:after="80"/>
        <w:ind w:left="360" w:hanging="360"/>
        <w:rPr>
          <w:b/>
          <w:bCs/>
          <w:color w:val="000000"/>
          <w:sz w:val="22"/>
        </w:rPr>
      </w:pPr>
      <w:r>
        <w:rPr>
          <w:b/>
          <w:bCs/>
          <w:color w:val="000000"/>
          <w:sz w:val="18"/>
        </w:rPr>
        <w:t>10.</w:t>
      </w:r>
      <w:r>
        <w:rPr>
          <w:b/>
          <w:bCs/>
          <w:color w:val="000000"/>
          <w:sz w:val="18"/>
        </w:rPr>
        <w:tab/>
      </w:r>
      <w:r>
        <w:rPr>
          <w:b/>
          <w:bCs/>
          <w:color w:val="000000"/>
          <w:sz w:val="22"/>
        </w:rPr>
        <w:t>Describe any assurance of confidentiality provided to respondents and the basis for assurance in statute, regulation, or agency policy.</w:t>
      </w:r>
    </w:p>
    <w:p w:rsidR="006377E6" w:rsidP="006377E6" w14:paraId="3B58C745" w14:textId="77777777">
      <w:pPr>
        <w:keepLines/>
        <w:tabs>
          <w:tab w:val="left" w:pos="360"/>
        </w:tabs>
        <w:spacing w:after="80"/>
        <w:ind w:left="360" w:hanging="360"/>
        <w:rPr>
          <w:b/>
          <w:bCs/>
          <w:color w:val="000000"/>
          <w:sz w:val="22"/>
        </w:rPr>
      </w:pPr>
    </w:p>
    <w:p w:rsidR="006377E6" w:rsidP="006377E6" w14:paraId="57E166B3" w14:textId="77777777">
      <w:pPr>
        <w:keepLines/>
        <w:tabs>
          <w:tab w:val="left" w:pos="360"/>
        </w:tabs>
        <w:spacing w:after="80"/>
        <w:ind w:left="360" w:hanging="360"/>
        <w:rPr>
          <w:color w:val="000000"/>
          <w:sz w:val="22"/>
          <w:szCs w:val="22"/>
        </w:rPr>
      </w:pPr>
      <w:r>
        <w:rPr>
          <w:rStyle w:val="normaltextrun"/>
          <w:color w:val="000000"/>
          <w:sz w:val="22"/>
          <w:szCs w:val="22"/>
          <w:shd w:val="clear" w:color="auto" w:fill="FFFFFF"/>
        </w:rPr>
        <w:tab/>
        <w:t xml:space="preserve">Personal identifiable information is covered under the Privacy Act of 1974 (U.S.C. 552a).  </w:t>
      </w:r>
    </w:p>
    <w:p w:rsidR="006377E6" w:rsidP="006377E6" w14:paraId="7D2DC98D" w14:textId="77777777">
      <w:pPr>
        <w:tabs>
          <w:tab w:val="left" w:pos="360"/>
        </w:tabs>
        <w:ind w:left="360" w:hanging="360"/>
        <w:rPr>
          <w:color w:val="000000"/>
          <w:sz w:val="18"/>
        </w:rPr>
      </w:pPr>
    </w:p>
    <w:p w:rsidR="006377E6" w:rsidP="006377E6" w14:paraId="609A0EF9" w14:textId="77777777">
      <w:pPr>
        <w:keepLines/>
        <w:tabs>
          <w:tab w:val="left" w:pos="360"/>
        </w:tabs>
        <w:spacing w:after="80"/>
        <w:ind w:left="360" w:hanging="360"/>
        <w:rPr>
          <w:b/>
          <w:bCs/>
          <w:color w:val="000000"/>
          <w:sz w:val="22"/>
        </w:rPr>
      </w:pPr>
      <w:r>
        <w:rPr>
          <w:b/>
          <w:bCs/>
          <w:color w:val="000000"/>
          <w:sz w:val="18"/>
        </w:rPr>
        <w:t>11.</w:t>
      </w:r>
      <w:r>
        <w:rPr>
          <w:b/>
          <w:bCs/>
          <w:color w:val="000000"/>
          <w:sz w:val="18"/>
        </w:rPr>
        <w:tab/>
      </w:r>
      <w:r>
        <w:rPr>
          <w:b/>
          <w:bCs/>
          <w:color w:val="000000"/>
          <w:sz w:val="22"/>
        </w:rPr>
        <w:t xml:space="preserve">Provide additional justification for any questions of a sensitive nature, such as sexual behavior and attitudes, religious beliefs, and other matters that are commonly considered private. </w:t>
      </w:r>
      <w:r>
        <w:rPr>
          <w:color w:val="000000"/>
          <w:sz w:val="22"/>
        </w:rPr>
        <w:t>Not Applicable</w:t>
      </w:r>
    </w:p>
    <w:p w:rsidR="006377E6" w:rsidP="006377E6" w14:paraId="113D3DE7" w14:textId="77777777">
      <w:pPr>
        <w:tabs>
          <w:tab w:val="left" w:pos="360"/>
        </w:tabs>
        <w:rPr>
          <w:color w:val="000000"/>
          <w:sz w:val="22"/>
          <w:szCs w:val="22"/>
        </w:rPr>
      </w:pPr>
      <w:r>
        <w:rPr>
          <w:color w:val="000000"/>
          <w:sz w:val="18"/>
        </w:rPr>
        <w:tab/>
      </w:r>
    </w:p>
    <w:p w:rsidR="006377E6" w:rsidP="006377E6" w14:paraId="757C796B" w14:textId="77777777">
      <w:pPr>
        <w:tabs>
          <w:tab w:val="left" w:pos="360"/>
        </w:tabs>
        <w:ind w:left="360" w:hanging="360"/>
        <w:rPr>
          <w:color w:val="000000"/>
          <w:sz w:val="18"/>
        </w:rPr>
      </w:pPr>
    </w:p>
    <w:p w:rsidR="006377E6" w:rsidP="006377E6" w14:paraId="434AE80B" w14:textId="77777777">
      <w:pPr>
        <w:keepLines/>
        <w:tabs>
          <w:tab w:val="left" w:pos="360"/>
        </w:tabs>
        <w:spacing w:after="80"/>
        <w:ind w:left="360" w:hanging="360"/>
        <w:rPr>
          <w:b/>
          <w:bCs/>
          <w:color w:val="000000"/>
          <w:sz w:val="22"/>
        </w:rPr>
      </w:pPr>
      <w:r>
        <w:rPr>
          <w:b/>
          <w:bCs/>
          <w:color w:val="000000"/>
          <w:sz w:val="18"/>
        </w:rPr>
        <w:t>12.</w:t>
      </w:r>
      <w:r>
        <w:rPr>
          <w:b/>
          <w:bCs/>
          <w:color w:val="000000"/>
          <w:sz w:val="18"/>
        </w:rPr>
        <w:tab/>
      </w:r>
      <w:r>
        <w:rPr>
          <w:b/>
          <w:bCs/>
          <w:color w:val="000000"/>
          <w:sz w:val="22"/>
        </w:rPr>
        <w:t xml:space="preserve">Provide estimates of the hour burden of the collection of information. The statement should: * Indicate the number of respondents, frequency of response, annual hour burden, and an explanation of how the burden was estimated.  Read the complete instructions on </w:t>
      </w:r>
      <w:r>
        <w:rPr>
          <w:b/>
          <w:bCs/>
          <w:color w:val="000000"/>
          <w:sz w:val="22"/>
        </w:rPr>
        <w:t>the form</w:t>
      </w:r>
      <w:r>
        <w:rPr>
          <w:b/>
          <w:bCs/>
          <w:color w:val="000000"/>
          <w:sz w:val="22"/>
        </w:rPr>
        <w:t xml:space="preserve"> 83i.</w:t>
      </w:r>
    </w:p>
    <w:p w:rsidR="006377E6" w:rsidP="006377E6" w14:paraId="2BB4D6AC" w14:textId="77777777">
      <w:pPr>
        <w:keepLines/>
        <w:tabs>
          <w:tab w:val="left" w:pos="360"/>
        </w:tabs>
        <w:spacing w:after="80"/>
        <w:ind w:left="360" w:hanging="360"/>
        <w:rPr>
          <w:color w:val="000000"/>
          <w:sz w:val="24"/>
          <w:szCs w:val="24"/>
        </w:rPr>
      </w:pPr>
      <w:r>
        <w:rPr>
          <w:color w:val="000000"/>
          <w:sz w:val="18"/>
        </w:rPr>
        <w:tab/>
      </w:r>
      <w:r>
        <w:rPr>
          <w:color w:val="000000"/>
          <w:sz w:val="24"/>
          <w:szCs w:val="24"/>
        </w:rPr>
        <w:t>The equivalent wage rate in Tribal governments and TDHEs is a GS 9 = $23.49</w:t>
      </w:r>
    </w:p>
    <w:p w:rsidR="006377E6" w:rsidP="006377E6" w14:paraId="539C54CE" w14:textId="77777777">
      <w:pPr>
        <w:rPr>
          <w:sz w:val="22"/>
          <w:szCs w:val="22"/>
        </w:rPr>
      </w:pPr>
    </w:p>
    <w:tbl>
      <w:tblPr>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85"/>
        <w:gridCol w:w="1350"/>
        <w:gridCol w:w="1711"/>
        <w:gridCol w:w="1171"/>
        <w:gridCol w:w="1441"/>
        <w:gridCol w:w="1081"/>
        <w:gridCol w:w="810"/>
        <w:gridCol w:w="1351"/>
      </w:tblGrid>
      <w:tr w14:paraId="2541429F" w14:textId="77777777" w:rsidTr="006377E6">
        <w:tblPrEx>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rPr>
          <w:trHeight w:val="707"/>
          <w:jc w:val="center"/>
        </w:trPr>
        <w:tc>
          <w:tcPr>
            <w:tcW w:w="1885" w:type="dxa"/>
            <w:tcBorders>
              <w:top w:val="single" w:sz="4" w:space="0" w:color="auto"/>
              <w:left w:val="single" w:sz="4" w:space="0" w:color="auto"/>
              <w:bottom w:val="single" w:sz="4" w:space="0" w:color="000000"/>
              <w:right w:val="single" w:sz="4" w:space="0" w:color="000000"/>
            </w:tcBorders>
            <w:shd w:val="clear" w:color="auto" w:fill="C6D9F1"/>
            <w:hideMark/>
          </w:tcPr>
          <w:p w:rsidR="006377E6" w14:paraId="2F6E5840" w14:textId="77777777">
            <w:pPr>
              <w:spacing w:line="256" w:lineRule="auto"/>
              <w:rPr>
                <w:b/>
                <w:sz w:val="18"/>
                <w:szCs w:val="18"/>
              </w:rPr>
            </w:pPr>
            <w:r>
              <w:rPr>
                <w:b/>
                <w:sz w:val="18"/>
                <w:szCs w:val="18"/>
              </w:rPr>
              <w:t>Information</w:t>
            </w:r>
          </w:p>
          <w:p w:rsidR="006377E6" w14:paraId="373C5AEE" w14:textId="77777777">
            <w:pPr>
              <w:spacing w:line="256" w:lineRule="auto"/>
              <w:rPr>
                <w:b/>
                <w:sz w:val="18"/>
                <w:szCs w:val="18"/>
              </w:rPr>
            </w:pPr>
            <w:r>
              <w:rPr>
                <w:b/>
                <w:sz w:val="18"/>
                <w:szCs w:val="18"/>
              </w:rPr>
              <w:t>Collection</w:t>
            </w:r>
          </w:p>
        </w:tc>
        <w:tc>
          <w:tcPr>
            <w:tcW w:w="1350" w:type="dxa"/>
            <w:tcBorders>
              <w:top w:val="single" w:sz="4" w:space="0" w:color="auto"/>
              <w:left w:val="single" w:sz="4" w:space="0" w:color="000000"/>
              <w:bottom w:val="single" w:sz="4" w:space="0" w:color="000000"/>
              <w:right w:val="single" w:sz="4" w:space="0" w:color="000000"/>
            </w:tcBorders>
            <w:shd w:val="clear" w:color="auto" w:fill="C6D9F1"/>
            <w:hideMark/>
          </w:tcPr>
          <w:p w:rsidR="006377E6" w14:paraId="21792179" w14:textId="77777777">
            <w:pPr>
              <w:spacing w:line="256" w:lineRule="auto"/>
              <w:rPr>
                <w:b/>
                <w:sz w:val="18"/>
                <w:szCs w:val="18"/>
              </w:rPr>
            </w:pPr>
            <w:r>
              <w:rPr>
                <w:b/>
                <w:sz w:val="18"/>
                <w:szCs w:val="18"/>
              </w:rPr>
              <w:t>Number of</w:t>
            </w:r>
          </w:p>
          <w:p w:rsidR="006377E6" w14:paraId="3F05DD99" w14:textId="77777777">
            <w:pPr>
              <w:spacing w:line="256" w:lineRule="auto"/>
              <w:rPr>
                <w:b/>
                <w:sz w:val="18"/>
                <w:szCs w:val="18"/>
              </w:rPr>
            </w:pPr>
            <w:r>
              <w:rPr>
                <w:b/>
                <w:sz w:val="18"/>
                <w:szCs w:val="18"/>
              </w:rPr>
              <w:t>Respondents</w:t>
            </w:r>
          </w:p>
        </w:tc>
        <w:tc>
          <w:tcPr>
            <w:tcW w:w="1710" w:type="dxa"/>
            <w:tcBorders>
              <w:top w:val="single" w:sz="4" w:space="0" w:color="auto"/>
              <w:left w:val="single" w:sz="4" w:space="0" w:color="000000"/>
              <w:bottom w:val="single" w:sz="4" w:space="0" w:color="000000"/>
              <w:right w:val="single" w:sz="4" w:space="0" w:color="000000"/>
            </w:tcBorders>
            <w:shd w:val="clear" w:color="auto" w:fill="C6D9F1"/>
            <w:hideMark/>
          </w:tcPr>
          <w:p w:rsidR="006377E6" w14:paraId="5F130ABA" w14:textId="77777777">
            <w:pPr>
              <w:spacing w:line="256" w:lineRule="auto"/>
              <w:rPr>
                <w:b/>
                <w:sz w:val="18"/>
                <w:szCs w:val="18"/>
              </w:rPr>
            </w:pPr>
            <w:r>
              <w:rPr>
                <w:b/>
                <w:sz w:val="18"/>
                <w:szCs w:val="18"/>
              </w:rPr>
              <w:t>*Average Number of Reponses per Respondent</w:t>
            </w:r>
          </w:p>
        </w:tc>
        <w:tc>
          <w:tcPr>
            <w:tcW w:w="1170" w:type="dxa"/>
            <w:tcBorders>
              <w:top w:val="single" w:sz="4" w:space="0" w:color="auto"/>
              <w:left w:val="single" w:sz="4" w:space="0" w:color="000000"/>
              <w:bottom w:val="single" w:sz="4" w:space="0" w:color="000000"/>
              <w:right w:val="single" w:sz="4" w:space="0" w:color="000000"/>
            </w:tcBorders>
            <w:shd w:val="clear" w:color="auto" w:fill="C6D9F1"/>
            <w:hideMark/>
          </w:tcPr>
          <w:p w:rsidR="006377E6" w14:paraId="788F5ABB" w14:textId="77777777">
            <w:pPr>
              <w:spacing w:line="256" w:lineRule="auto"/>
              <w:rPr>
                <w:b/>
                <w:sz w:val="18"/>
                <w:szCs w:val="18"/>
              </w:rPr>
            </w:pPr>
            <w:r>
              <w:rPr>
                <w:b/>
                <w:sz w:val="18"/>
                <w:szCs w:val="18"/>
              </w:rPr>
              <w:t>Total Annual Responses</w:t>
            </w:r>
          </w:p>
        </w:tc>
        <w:tc>
          <w:tcPr>
            <w:tcW w:w="1440" w:type="dxa"/>
            <w:tcBorders>
              <w:top w:val="single" w:sz="4" w:space="0" w:color="auto"/>
              <w:left w:val="single" w:sz="4" w:space="0" w:color="000000"/>
              <w:bottom w:val="single" w:sz="4" w:space="0" w:color="000000"/>
              <w:right w:val="single" w:sz="4" w:space="0" w:color="000000"/>
            </w:tcBorders>
            <w:shd w:val="clear" w:color="auto" w:fill="C6D9F1"/>
            <w:hideMark/>
          </w:tcPr>
          <w:p w:rsidR="006377E6" w14:paraId="2E98BDFB" w14:textId="77777777">
            <w:pPr>
              <w:spacing w:line="256" w:lineRule="auto"/>
              <w:jc w:val="center"/>
              <w:rPr>
                <w:b/>
                <w:sz w:val="18"/>
                <w:szCs w:val="18"/>
              </w:rPr>
            </w:pPr>
            <w:r>
              <w:rPr>
                <w:b/>
                <w:sz w:val="18"/>
                <w:szCs w:val="18"/>
              </w:rPr>
              <w:t>Burden Hours/Minutes per Response</w:t>
            </w:r>
          </w:p>
        </w:tc>
        <w:tc>
          <w:tcPr>
            <w:tcW w:w="1080" w:type="dxa"/>
            <w:tcBorders>
              <w:top w:val="single" w:sz="4" w:space="0" w:color="auto"/>
              <w:left w:val="single" w:sz="4" w:space="0" w:color="000000"/>
              <w:bottom w:val="single" w:sz="4" w:space="0" w:color="000000"/>
              <w:right w:val="single" w:sz="4" w:space="0" w:color="000000"/>
            </w:tcBorders>
            <w:shd w:val="clear" w:color="auto" w:fill="C6D9F1"/>
            <w:hideMark/>
          </w:tcPr>
          <w:p w:rsidR="006377E6" w14:paraId="34BD1E60" w14:textId="77777777">
            <w:pPr>
              <w:spacing w:line="256" w:lineRule="auto"/>
              <w:rPr>
                <w:b/>
                <w:sz w:val="18"/>
                <w:szCs w:val="18"/>
              </w:rPr>
            </w:pPr>
            <w:r>
              <w:rPr>
                <w:b/>
                <w:sz w:val="18"/>
                <w:szCs w:val="18"/>
              </w:rPr>
              <w:t xml:space="preserve">    Total  </w:t>
            </w:r>
          </w:p>
          <w:p w:rsidR="006377E6" w14:paraId="56431AB2" w14:textId="77777777">
            <w:pPr>
              <w:spacing w:line="256" w:lineRule="auto"/>
              <w:rPr>
                <w:b/>
                <w:sz w:val="18"/>
                <w:szCs w:val="18"/>
              </w:rPr>
            </w:pPr>
            <w:r>
              <w:rPr>
                <w:b/>
                <w:sz w:val="18"/>
                <w:szCs w:val="18"/>
              </w:rPr>
              <w:t xml:space="preserve">    Hours       </w:t>
            </w:r>
          </w:p>
        </w:tc>
        <w:tc>
          <w:tcPr>
            <w:tcW w:w="810" w:type="dxa"/>
            <w:tcBorders>
              <w:top w:val="single" w:sz="4" w:space="0" w:color="auto"/>
              <w:left w:val="single" w:sz="4" w:space="0" w:color="000000"/>
              <w:bottom w:val="single" w:sz="4" w:space="0" w:color="000000"/>
              <w:right w:val="single" w:sz="4" w:space="0" w:color="000000"/>
            </w:tcBorders>
            <w:shd w:val="clear" w:color="auto" w:fill="C6D9F1"/>
            <w:hideMark/>
          </w:tcPr>
          <w:p w:rsidR="006377E6" w14:paraId="676405FD" w14:textId="77777777">
            <w:pPr>
              <w:spacing w:line="256" w:lineRule="auto"/>
              <w:rPr>
                <w:b/>
                <w:sz w:val="18"/>
                <w:szCs w:val="18"/>
              </w:rPr>
            </w:pPr>
            <w:r>
              <w:rPr>
                <w:b/>
                <w:sz w:val="18"/>
                <w:szCs w:val="18"/>
              </w:rPr>
              <w:t>Hourly Cost</w:t>
            </w:r>
          </w:p>
        </w:tc>
        <w:tc>
          <w:tcPr>
            <w:tcW w:w="1350" w:type="dxa"/>
            <w:tcBorders>
              <w:top w:val="single" w:sz="4" w:space="0" w:color="auto"/>
              <w:left w:val="single" w:sz="4" w:space="0" w:color="000000"/>
              <w:bottom w:val="single" w:sz="4" w:space="0" w:color="000000"/>
              <w:right w:val="single" w:sz="4" w:space="0" w:color="000000"/>
            </w:tcBorders>
            <w:shd w:val="clear" w:color="auto" w:fill="C6D9F1"/>
          </w:tcPr>
          <w:p w:rsidR="006377E6" w14:paraId="0346A743" w14:textId="77777777">
            <w:pPr>
              <w:spacing w:line="256" w:lineRule="auto"/>
              <w:rPr>
                <w:b/>
                <w:sz w:val="18"/>
                <w:szCs w:val="18"/>
              </w:rPr>
            </w:pPr>
            <w:r>
              <w:rPr>
                <w:b/>
                <w:sz w:val="18"/>
                <w:szCs w:val="18"/>
              </w:rPr>
              <w:t>Total Annual Cost</w:t>
            </w:r>
          </w:p>
          <w:p w:rsidR="006377E6" w14:paraId="488B5B7A" w14:textId="77777777">
            <w:pPr>
              <w:spacing w:line="256" w:lineRule="auto"/>
              <w:rPr>
                <w:b/>
                <w:sz w:val="18"/>
                <w:szCs w:val="18"/>
              </w:rPr>
            </w:pPr>
          </w:p>
        </w:tc>
      </w:tr>
      <w:tr w14:paraId="0B1B5C67" w14:textId="77777777" w:rsidTr="006377E6">
        <w:tblPrEx>
          <w:tblW w:w="10800" w:type="dxa"/>
          <w:jc w:val="center"/>
          <w:tblLayout w:type="fixed"/>
          <w:tblLook w:val="00A0"/>
        </w:tblPrEx>
        <w:trPr>
          <w:jc w:val="center"/>
        </w:trPr>
        <w:tc>
          <w:tcPr>
            <w:tcW w:w="1885" w:type="dxa"/>
            <w:tcBorders>
              <w:top w:val="single" w:sz="4" w:space="0" w:color="000000"/>
              <w:left w:val="single" w:sz="4" w:space="0" w:color="auto"/>
              <w:bottom w:val="single" w:sz="4" w:space="0" w:color="000000"/>
              <w:right w:val="single" w:sz="4" w:space="0" w:color="000000"/>
            </w:tcBorders>
            <w:hideMark/>
          </w:tcPr>
          <w:p w:rsidR="006377E6" w14:paraId="53A59C70" w14:textId="77777777">
            <w:pPr>
              <w:tabs>
                <w:tab w:val="left" w:pos="384"/>
              </w:tabs>
              <w:spacing w:line="256" w:lineRule="auto"/>
              <w:rPr>
                <w:bCs/>
                <w:sz w:val="18"/>
                <w:szCs w:val="18"/>
              </w:rPr>
            </w:pPr>
            <w:r>
              <w:rPr>
                <w:bCs/>
                <w:sz w:val="18"/>
                <w:szCs w:val="18"/>
              </w:rPr>
              <w:t>Tribal HUD VASH Family Report</w:t>
            </w:r>
          </w:p>
        </w:tc>
        <w:tc>
          <w:tcPr>
            <w:tcW w:w="1350" w:type="dxa"/>
            <w:tcBorders>
              <w:top w:val="single" w:sz="4" w:space="0" w:color="000000"/>
              <w:left w:val="single" w:sz="4" w:space="0" w:color="000000"/>
              <w:bottom w:val="single" w:sz="4" w:space="0" w:color="000000"/>
              <w:right w:val="single" w:sz="4" w:space="0" w:color="000000"/>
            </w:tcBorders>
            <w:hideMark/>
          </w:tcPr>
          <w:p w:rsidR="006377E6" w14:paraId="136F43E4" w14:textId="77777777">
            <w:pPr>
              <w:spacing w:line="256" w:lineRule="auto"/>
              <w:jc w:val="center"/>
              <w:rPr>
                <w:sz w:val="18"/>
                <w:szCs w:val="18"/>
              </w:rPr>
            </w:pPr>
            <w:r>
              <w:rPr>
                <w:sz w:val="18"/>
                <w:szCs w:val="18"/>
              </w:rPr>
              <w:t>35</w:t>
            </w:r>
          </w:p>
        </w:tc>
        <w:tc>
          <w:tcPr>
            <w:tcW w:w="1710" w:type="dxa"/>
            <w:tcBorders>
              <w:top w:val="single" w:sz="4" w:space="0" w:color="000000"/>
              <w:left w:val="single" w:sz="4" w:space="0" w:color="000000"/>
              <w:bottom w:val="single" w:sz="4" w:space="0" w:color="000000"/>
              <w:right w:val="single" w:sz="4" w:space="0" w:color="000000"/>
            </w:tcBorders>
            <w:hideMark/>
          </w:tcPr>
          <w:p w:rsidR="006377E6" w14:paraId="2E8C3515" w14:textId="77777777">
            <w:pPr>
              <w:spacing w:line="256" w:lineRule="auto"/>
              <w:jc w:val="center"/>
              <w:rPr>
                <w:sz w:val="18"/>
                <w:szCs w:val="18"/>
              </w:rPr>
            </w:pPr>
            <w:r>
              <w:rPr>
                <w:sz w:val="18"/>
                <w:szCs w:val="18"/>
              </w:rPr>
              <w:t>25</w:t>
            </w:r>
          </w:p>
        </w:tc>
        <w:tc>
          <w:tcPr>
            <w:tcW w:w="1170" w:type="dxa"/>
            <w:tcBorders>
              <w:top w:val="single" w:sz="4" w:space="0" w:color="000000"/>
              <w:left w:val="single" w:sz="4" w:space="0" w:color="000000"/>
              <w:bottom w:val="single" w:sz="4" w:space="0" w:color="000000"/>
              <w:right w:val="single" w:sz="4" w:space="0" w:color="000000"/>
            </w:tcBorders>
            <w:hideMark/>
          </w:tcPr>
          <w:p w:rsidR="006377E6" w14:paraId="53DD2365" w14:textId="77777777">
            <w:pPr>
              <w:spacing w:line="256" w:lineRule="auto"/>
              <w:jc w:val="center"/>
              <w:rPr>
                <w:rFonts w:ascii="Arial" w:hAnsi="Arial" w:cs="Arial"/>
                <w:color w:val="000000"/>
                <w:sz w:val="18"/>
                <w:szCs w:val="18"/>
              </w:rPr>
            </w:pPr>
            <w:r>
              <w:rPr>
                <w:rFonts w:ascii="Arial" w:hAnsi="Arial" w:cs="Arial"/>
                <w:color w:val="000000" w:themeColor="text1"/>
                <w:sz w:val="18"/>
                <w:szCs w:val="18"/>
              </w:rPr>
              <w:t>875</w:t>
            </w:r>
          </w:p>
        </w:tc>
        <w:tc>
          <w:tcPr>
            <w:tcW w:w="1440" w:type="dxa"/>
            <w:tcBorders>
              <w:top w:val="single" w:sz="4" w:space="0" w:color="000000"/>
              <w:left w:val="single" w:sz="4" w:space="0" w:color="000000"/>
              <w:bottom w:val="single" w:sz="4" w:space="0" w:color="000000"/>
              <w:right w:val="single" w:sz="4" w:space="0" w:color="000000"/>
            </w:tcBorders>
            <w:hideMark/>
          </w:tcPr>
          <w:p w:rsidR="006377E6" w14:paraId="65A3BF71" w14:textId="77777777">
            <w:pPr>
              <w:spacing w:line="256" w:lineRule="auto"/>
              <w:jc w:val="center"/>
              <w:rPr>
                <w:sz w:val="18"/>
                <w:szCs w:val="18"/>
              </w:rPr>
            </w:pPr>
            <w:r>
              <w:rPr>
                <w:sz w:val="18"/>
                <w:szCs w:val="18"/>
              </w:rPr>
              <w:t>90 minutes</w:t>
            </w:r>
          </w:p>
        </w:tc>
        <w:tc>
          <w:tcPr>
            <w:tcW w:w="1080" w:type="dxa"/>
            <w:tcBorders>
              <w:top w:val="single" w:sz="4" w:space="0" w:color="000000"/>
              <w:left w:val="single" w:sz="4" w:space="0" w:color="000000"/>
              <w:bottom w:val="single" w:sz="4" w:space="0" w:color="000000"/>
              <w:right w:val="single" w:sz="4" w:space="0" w:color="000000"/>
            </w:tcBorders>
            <w:hideMark/>
          </w:tcPr>
          <w:p w:rsidR="006377E6" w14:paraId="55F44584" w14:textId="77777777">
            <w:pPr>
              <w:spacing w:line="256" w:lineRule="auto"/>
              <w:jc w:val="center"/>
              <w:rPr>
                <w:sz w:val="18"/>
                <w:szCs w:val="18"/>
              </w:rPr>
            </w:pPr>
            <w:r>
              <w:rPr>
                <w:sz w:val="18"/>
                <w:szCs w:val="18"/>
              </w:rPr>
              <w:t>1312.50</w:t>
            </w:r>
          </w:p>
        </w:tc>
        <w:tc>
          <w:tcPr>
            <w:tcW w:w="810" w:type="dxa"/>
            <w:tcBorders>
              <w:top w:val="single" w:sz="4" w:space="0" w:color="000000"/>
              <w:left w:val="single" w:sz="4" w:space="0" w:color="000000"/>
              <w:bottom w:val="single" w:sz="4" w:space="0" w:color="000000"/>
              <w:right w:val="single" w:sz="4" w:space="0" w:color="000000"/>
            </w:tcBorders>
            <w:hideMark/>
          </w:tcPr>
          <w:p w:rsidR="006377E6" w14:paraId="171BAF46" w14:textId="77777777">
            <w:pPr>
              <w:spacing w:line="256" w:lineRule="auto"/>
              <w:jc w:val="center"/>
              <w:rPr>
                <w:sz w:val="18"/>
                <w:szCs w:val="18"/>
              </w:rPr>
            </w:pPr>
            <w:r>
              <w:rPr>
                <w:sz w:val="18"/>
                <w:szCs w:val="18"/>
              </w:rPr>
              <w:t>$23.49</w:t>
            </w:r>
          </w:p>
        </w:tc>
        <w:tc>
          <w:tcPr>
            <w:tcW w:w="1350" w:type="dxa"/>
            <w:tcBorders>
              <w:top w:val="single" w:sz="4" w:space="0" w:color="000000"/>
              <w:left w:val="single" w:sz="4" w:space="0" w:color="000000"/>
              <w:bottom w:val="single" w:sz="4" w:space="0" w:color="000000"/>
              <w:right w:val="single" w:sz="4" w:space="0" w:color="000000"/>
            </w:tcBorders>
            <w:hideMark/>
          </w:tcPr>
          <w:p w:rsidR="006377E6" w14:paraId="1C1FCD80" w14:textId="77777777">
            <w:pPr>
              <w:spacing w:line="256" w:lineRule="auto"/>
              <w:jc w:val="center"/>
              <w:rPr>
                <w:b/>
                <w:sz w:val="18"/>
                <w:szCs w:val="18"/>
              </w:rPr>
            </w:pPr>
            <w:r>
              <w:rPr>
                <w:b/>
                <w:bCs/>
                <w:sz w:val="18"/>
                <w:szCs w:val="18"/>
              </w:rPr>
              <w:t>$30,839.63</w:t>
            </w:r>
          </w:p>
        </w:tc>
      </w:tr>
      <w:tr w14:paraId="419F17DF" w14:textId="77777777" w:rsidTr="006377E6">
        <w:tblPrEx>
          <w:tblW w:w="10800" w:type="dxa"/>
          <w:jc w:val="center"/>
          <w:tblLayout w:type="fixed"/>
          <w:tblLook w:val="00A0"/>
        </w:tblPrEx>
        <w:trPr>
          <w:jc w:val="center"/>
        </w:trPr>
        <w:tc>
          <w:tcPr>
            <w:tcW w:w="1885" w:type="dxa"/>
            <w:tcBorders>
              <w:top w:val="single" w:sz="4" w:space="0" w:color="000000"/>
              <w:left w:val="single" w:sz="4" w:space="0" w:color="auto"/>
              <w:bottom w:val="single" w:sz="4" w:space="0" w:color="000000"/>
              <w:right w:val="single" w:sz="4" w:space="0" w:color="000000"/>
            </w:tcBorders>
            <w:hideMark/>
          </w:tcPr>
          <w:p w:rsidR="006377E6" w14:paraId="33B49809" w14:textId="77777777">
            <w:pPr>
              <w:spacing w:line="256" w:lineRule="auto"/>
              <w:rPr>
                <w:sz w:val="18"/>
                <w:szCs w:val="18"/>
              </w:rPr>
            </w:pPr>
            <w:r>
              <w:rPr>
                <w:sz w:val="18"/>
                <w:szCs w:val="18"/>
              </w:rPr>
              <w:t>Tribal HUD VASH Application/Renewal Materials</w:t>
            </w:r>
          </w:p>
        </w:tc>
        <w:tc>
          <w:tcPr>
            <w:tcW w:w="1350" w:type="dxa"/>
            <w:tcBorders>
              <w:top w:val="single" w:sz="4" w:space="0" w:color="000000"/>
              <w:left w:val="single" w:sz="4" w:space="0" w:color="000000"/>
              <w:bottom w:val="single" w:sz="4" w:space="0" w:color="000000"/>
              <w:right w:val="single" w:sz="4" w:space="0" w:color="000000"/>
            </w:tcBorders>
            <w:hideMark/>
          </w:tcPr>
          <w:p w:rsidR="006377E6" w14:paraId="32396916" w14:textId="77777777">
            <w:pPr>
              <w:spacing w:line="256" w:lineRule="auto"/>
              <w:jc w:val="center"/>
              <w:rPr>
                <w:sz w:val="18"/>
                <w:szCs w:val="18"/>
              </w:rPr>
            </w:pPr>
            <w:r>
              <w:rPr>
                <w:sz w:val="18"/>
                <w:szCs w:val="18"/>
              </w:rPr>
              <w:t>35</w:t>
            </w:r>
          </w:p>
        </w:tc>
        <w:tc>
          <w:tcPr>
            <w:tcW w:w="1710" w:type="dxa"/>
            <w:tcBorders>
              <w:top w:val="single" w:sz="4" w:space="0" w:color="000000"/>
              <w:left w:val="single" w:sz="4" w:space="0" w:color="000000"/>
              <w:bottom w:val="single" w:sz="4" w:space="0" w:color="000000"/>
              <w:right w:val="single" w:sz="4" w:space="0" w:color="000000"/>
            </w:tcBorders>
            <w:hideMark/>
          </w:tcPr>
          <w:p w:rsidR="006377E6" w14:paraId="5F814655" w14:textId="77777777">
            <w:pPr>
              <w:spacing w:line="256" w:lineRule="auto"/>
              <w:jc w:val="center"/>
              <w:rPr>
                <w:sz w:val="18"/>
                <w:szCs w:val="18"/>
              </w:rPr>
            </w:pPr>
            <w:r>
              <w:rPr>
                <w:sz w:val="18"/>
                <w:szCs w:val="18"/>
              </w:rPr>
              <w:t>1</w:t>
            </w:r>
          </w:p>
        </w:tc>
        <w:tc>
          <w:tcPr>
            <w:tcW w:w="1170" w:type="dxa"/>
            <w:tcBorders>
              <w:top w:val="single" w:sz="4" w:space="0" w:color="000000"/>
              <w:left w:val="single" w:sz="4" w:space="0" w:color="000000"/>
              <w:bottom w:val="single" w:sz="4" w:space="0" w:color="000000"/>
              <w:right w:val="single" w:sz="4" w:space="0" w:color="000000"/>
            </w:tcBorders>
            <w:hideMark/>
          </w:tcPr>
          <w:p w:rsidR="006377E6" w14:paraId="7D7426CF" w14:textId="77777777">
            <w:pPr>
              <w:spacing w:line="256" w:lineRule="auto"/>
              <w:jc w:val="center"/>
              <w:rPr>
                <w:rFonts w:ascii="Arial" w:hAnsi="Arial" w:cs="Arial"/>
                <w:color w:val="000000"/>
                <w:sz w:val="18"/>
                <w:szCs w:val="18"/>
              </w:rPr>
            </w:pPr>
            <w:r>
              <w:rPr>
                <w:rFonts w:ascii="Arial" w:hAnsi="Arial" w:cs="Arial"/>
                <w:color w:val="000000"/>
                <w:sz w:val="18"/>
                <w:szCs w:val="18"/>
              </w:rPr>
              <w:t>35</w:t>
            </w:r>
          </w:p>
        </w:tc>
        <w:tc>
          <w:tcPr>
            <w:tcW w:w="1440" w:type="dxa"/>
            <w:tcBorders>
              <w:top w:val="single" w:sz="4" w:space="0" w:color="000000"/>
              <w:left w:val="single" w:sz="4" w:space="0" w:color="000000"/>
              <w:bottom w:val="single" w:sz="4" w:space="0" w:color="000000"/>
              <w:right w:val="single" w:sz="4" w:space="0" w:color="000000"/>
            </w:tcBorders>
            <w:hideMark/>
          </w:tcPr>
          <w:p w:rsidR="006377E6" w14:paraId="6C01BDAC" w14:textId="77777777">
            <w:pPr>
              <w:spacing w:line="256" w:lineRule="auto"/>
              <w:jc w:val="center"/>
              <w:rPr>
                <w:sz w:val="18"/>
                <w:szCs w:val="18"/>
              </w:rPr>
            </w:pPr>
            <w:r>
              <w:rPr>
                <w:sz w:val="18"/>
                <w:szCs w:val="18"/>
              </w:rPr>
              <w:t>480 minutes</w:t>
            </w:r>
          </w:p>
        </w:tc>
        <w:tc>
          <w:tcPr>
            <w:tcW w:w="1080" w:type="dxa"/>
            <w:tcBorders>
              <w:top w:val="single" w:sz="4" w:space="0" w:color="000000"/>
              <w:left w:val="single" w:sz="4" w:space="0" w:color="000000"/>
              <w:bottom w:val="single" w:sz="4" w:space="0" w:color="000000"/>
              <w:right w:val="single" w:sz="4" w:space="0" w:color="000000"/>
            </w:tcBorders>
            <w:hideMark/>
          </w:tcPr>
          <w:p w:rsidR="006377E6" w14:paraId="19D64DAC" w14:textId="77777777">
            <w:pPr>
              <w:spacing w:line="256" w:lineRule="auto"/>
              <w:jc w:val="center"/>
              <w:rPr>
                <w:sz w:val="18"/>
                <w:szCs w:val="18"/>
              </w:rPr>
            </w:pPr>
            <w:r>
              <w:rPr>
                <w:sz w:val="18"/>
                <w:szCs w:val="18"/>
              </w:rPr>
              <w:t>280</w:t>
            </w:r>
          </w:p>
        </w:tc>
        <w:tc>
          <w:tcPr>
            <w:tcW w:w="810" w:type="dxa"/>
            <w:tcBorders>
              <w:top w:val="single" w:sz="4" w:space="0" w:color="000000"/>
              <w:left w:val="single" w:sz="4" w:space="0" w:color="000000"/>
              <w:bottom w:val="single" w:sz="4" w:space="0" w:color="000000"/>
              <w:right w:val="single" w:sz="4" w:space="0" w:color="000000"/>
            </w:tcBorders>
            <w:hideMark/>
          </w:tcPr>
          <w:p w:rsidR="006377E6" w14:paraId="4D6E7F66" w14:textId="77777777">
            <w:pPr>
              <w:spacing w:line="256" w:lineRule="auto"/>
              <w:jc w:val="center"/>
              <w:rPr>
                <w:sz w:val="18"/>
                <w:szCs w:val="18"/>
              </w:rPr>
            </w:pPr>
            <w:r>
              <w:rPr>
                <w:sz w:val="18"/>
                <w:szCs w:val="18"/>
              </w:rPr>
              <w:t>23.49</w:t>
            </w:r>
          </w:p>
        </w:tc>
        <w:tc>
          <w:tcPr>
            <w:tcW w:w="1350" w:type="dxa"/>
            <w:tcBorders>
              <w:top w:val="single" w:sz="4" w:space="0" w:color="000000"/>
              <w:left w:val="single" w:sz="4" w:space="0" w:color="000000"/>
              <w:bottom w:val="single" w:sz="4" w:space="0" w:color="000000"/>
              <w:right w:val="single" w:sz="4" w:space="0" w:color="000000"/>
            </w:tcBorders>
            <w:hideMark/>
          </w:tcPr>
          <w:p w:rsidR="006377E6" w14:paraId="231A4393" w14:textId="77777777">
            <w:pPr>
              <w:spacing w:line="256" w:lineRule="auto"/>
              <w:jc w:val="center"/>
              <w:rPr>
                <w:b/>
                <w:sz w:val="18"/>
                <w:szCs w:val="18"/>
              </w:rPr>
            </w:pPr>
            <w:r>
              <w:rPr>
                <w:b/>
                <w:sz w:val="18"/>
                <w:szCs w:val="18"/>
              </w:rPr>
              <w:t xml:space="preserve">  6,</w:t>
            </w:r>
            <w:r>
              <w:rPr>
                <w:b/>
                <w:bCs/>
                <w:sz w:val="18"/>
                <w:szCs w:val="18"/>
              </w:rPr>
              <w:t>577.20</w:t>
            </w:r>
          </w:p>
        </w:tc>
      </w:tr>
      <w:tr w14:paraId="26828D93" w14:textId="77777777" w:rsidTr="006377E6">
        <w:tblPrEx>
          <w:tblW w:w="10800" w:type="dxa"/>
          <w:jc w:val="center"/>
          <w:tblLayout w:type="fixed"/>
          <w:tblLook w:val="00A0"/>
        </w:tblPrEx>
        <w:trPr>
          <w:jc w:val="center"/>
        </w:trPr>
        <w:tc>
          <w:tcPr>
            <w:tcW w:w="1885" w:type="dxa"/>
            <w:tcBorders>
              <w:top w:val="single" w:sz="4" w:space="0" w:color="000000"/>
              <w:left w:val="single" w:sz="4" w:space="0" w:color="auto"/>
              <w:bottom w:val="single" w:sz="4" w:space="0" w:color="000000"/>
              <w:right w:val="single" w:sz="4" w:space="0" w:color="000000"/>
            </w:tcBorders>
            <w:hideMark/>
          </w:tcPr>
          <w:p w:rsidR="006377E6" w14:paraId="0F63AC11" w14:textId="77777777">
            <w:pPr>
              <w:spacing w:line="256" w:lineRule="auto"/>
              <w:rPr>
                <w:b/>
                <w:bCs/>
                <w:sz w:val="18"/>
                <w:szCs w:val="18"/>
              </w:rPr>
            </w:pPr>
            <w:r>
              <w:rPr>
                <w:b/>
                <w:bCs/>
                <w:sz w:val="18"/>
                <w:szCs w:val="18"/>
              </w:rPr>
              <w:t>Totals</w:t>
            </w:r>
          </w:p>
        </w:tc>
        <w:tc>
          <w:tcPr>
            <w:tcW w:w="1350" w:type="dxa"/>
            <w:tcBorders>
              <w:top w:val="single" w:sz="4" w:space="0" w:color="000000"/>
              <w:left w:val="single" w:sz="4" w:space="0" w:color="000000"/>
              <w:bottom w:val="single" w:sz="4" w:space="0" w:color="000000"/>
              <w:right w:val="single" w:sz="4" w:space="0" w:color="000000"/>
            </w:tcBorders>
            <w:hideMark/>
          </w:tcPr>
          <w:p w:rsidR="006377E6" w14:paraId="7DCCCAC9" w14:textId="77777777">
            <w:pPr>
              <w:spacing w:line="256" w:lineRule="auto"/>
              <w:jc w:val="center"/>
              <w:rPr>
                <w:b/>
                <w:bCs/>
                <w:sz w:val="18"/>
                <w:szCs w:val="18"/>
              </w:rPr>
            </w:pPr>
            <w:r>
              <w:rPr>
                <w:b/>
                <w:bCs/>
                <w:sz w:val="18"/>
                <w:szCs w:val="18"/>
              </w:rPr>
              <w:t>70</w:t>
            </w:r>
          </w:p>
        </w:tc>
        <w:tc>
          <w:tcPr>
            <w:tcW w:w="1710" w:type="dxa"/>
            <w:tcBorders>
              <w:top w:val="single" w:sz="4" w:space="0" w:color="000000"/>
              <w:left w:val="single" w:sz="4" w:space="0" w:color="000000"/>
              <w:bottom w:val="single" w:sz="4" w:space="0" w:color="000000"/>
              <w:right w:val="single" w:sz="4" w:space="0" w:color="000000"/>
            </w:tcBorders>
          </w:tcPr>
          <w:p w:rsidR="006377E6" w14:paraId="348C6D38" w14:textId="77777777">
            <w:pPr>
              <w:spacing w:line="256" w:lineRule="auto"/>
              <w:jc w:val="center"/>
              <w:rPr>
                <w:b/>
                <w:bCs/>
                <w:sz w:val="18"/>
                <w:szCs w:val="18"/>
              </w:rPr>
            </w:pPr>
          </w:p>
        </w:tc>
        <w:tc>
          <w:tcPr>
            <w:tcW w:w="1170" w:type="dxa"/>
            <w:tcBorders>
              <w:top w:val="single" w:sz="4" w:space="0" w:color="000000"/>
              <w:left w:val="single" w:sz="4" w:space="0" w:color="000000"/>
              <w:bottom w:val="single" w:sz="4" w:space="0" w:color="000000"/>
              <w:right w:val="single" w:sz="4" w:space="0" w:color="000000"/>
            </w:tcBorders>
            <w:hideMark/>
          </w:tcPr>
          <w:p w:rsidR="006377E6" w14:paraId="0A46BBEA" w14:textId="77777777">
            <w:pPr>
              <w:spacing w:line="256" w:lineRule="auto"/>
              <w:jc w:val="center"/>
              <w:rPr>
                <w:b/>
                <w:bCs/>
                <w:sz w:val="18"/>
                <w:szCs w:val="18"/>
              </w:rPr>
            </w:pPr>
            <w:r>
              <w:rPr>
                <w:b/>
                <w:bCs/>
                <w:sz w:val="18"/>
                <w:szCs w:val="18"/>
              </w:rPr>
              <w:t>910</w:t>
            </w:r>
          </w:p>
        </w:tc>
        <w:tc>
          <w:tcPr>
            <w:tcW w:w="1440" w:type="dxa"/>
            <w:tcBorders>
              <w:top w:val="single" w:sz="4" w:space="0" w:color="000000"/>
              <w:left w:val="single" w:sz="4" w:space="0" w:color="000000"/>
              <w:bottom w:val="single" w:sz="4" w:space="0" w:color="000000"/>
              <w:right w:val="single" w:sz="4" w:space="0" w:color="000000"/>
            </w:tcBorders>
          </w:tcPr>
          <w:p w:rsidR="006377E6" w14:paraId="56A3A6D2" w14:textId="77777777">
            <w:pPr>
              <w:spacing w:line="256" w:lineRule="auto"/>
              <w:jc w:val="center"/>
              <w:rPr>
                <w:b/>
                <w:bCs/>
                <w:sz w:val="18"/>
                <w:szCs w:val="18"/>
              </w:rPr>
            </w:pPr>
          </w:p>
        </w:tc>
        <w:tc>
          <w:tcPr>
            <w:tcW w:w="1080" w:type="dxa"/>
            <w:tcBorders>
              <w:top w:val="single" w:sz="4" w:space="0" w:color="000000"/>
              <w:left w:val="single" w:sz="4" w:space="0" w:color="000000"/>
              <w:bottom w:val="single" w:sz="4" w:space="0" w:color="000000"/>
              <w:right w:val="single" w:sz="4" w:space="0" w:color="000000"/>
            </w:tcBorders>
            <w:hideMark/>
          </w:tcPr>
          <w:p w:rsidR="006377E6" w14:paraId="5F43A393" w14:textId="77777777">
            <w:pPr>
              <w:spacing w:line="256" w:lineRule="auto"/>
              <w:jc w:val="center"/>
              <w:rPr>
                <w:b/>
                <w:bCs/>
                <w:sz w:val="18"/>
                <w:szCs w:val="18"/>
              </w:rPr>
            </w:pPr>
            <w:r>
              <w:rPr>
                <w:b/>
                <w:bCs/>
                <w:sz w:val="18"/>
                <w:szCs w:val="18"/>
              </w:rPr>
              <w:t>1592.50</w:t>
            </w:r>
          </w:p>
        </w:tc>
        <w:tc>
          <w:tcPr>
            <w:tcW w:w="810" w:type="dxa"/>
            <w:tcBorders>
              <w:top w:val="single" w:sz="4" w:space="0" w:color="000000"/>
              <w:left w:val="single" w:sz="4" w:space="0" w:color="000000"/>
              <w:bottom w:val="single" w:sz="4" w:space="0" w:color="000000"/>
              <w:right w:val="single" w:sz="4" w:space="0" w:color="000000"/>
            </w:tcBorders>
          </w:tcPr>
          <w:p w:rsidR="006377E6" w14:paraId="40E71DB6" w14:textId="77777777">
            <w:pPr>
              <w:spacing w:line="256" w:lineRule="auto"/>
              <w:jc w:val="center"/>
              <w:rPr>
                <w:b/>
                <w:bCs/>
                <w:sz w:val="18"/>
                <w:szCs w:val="18"/>
              </w:rPr>
            </w:pPr>
          </w:p>
        </w:tc>
        <w:tc>
          <w:tcPr>
            <w:tcW w:w="1350" w:type="dxa"/>
            <w:tcBorders>
              <w:top w:val="single" w:sz="4" w:space="0" w:color="000000"/>
              <w:left w:val="single" w:sz="4" w:space="0" w:color="000000"/>
              <w:bottom w:val="single" w:sz="4" w:space="0" w:color="000000"/>
              <w:right w:val="single" w:sz="4" w:space="0" w:color="000000"/>
            </w:tcBorders>
            <w:hideMark/>
          </w:tcPr>
          <w:p w:rsidR="006377E6" w14:paraId="7D6BAAC0" w14:textId="77777777">
            <w:pPr>
              <w:spacing w:line="256" w:lineRule="auto"/>
              <w:jc w:val="center"/>
              <w:rPr>
                <w:b/>
                <w:bCs/>
                <w:sz w:val="18"/>
                <w:szCs w:val="18"/>
              </w:rPr>
            </w:pPr>
            <w:r>
              <w:rPr>
                <w:b/>
                <w:bCs/>
                <w:sz w:val="18"/>
                <w:szCs w:val="18"/>
              </w:rPr>
              <w:t xml:space="preserve"> 37,416.83</w:t>
            </w:r>
          </w:p>
        </w:tc>
      </w:tr>
    </w:tbl>
    <w:p w:rsidR="006377E6" w:rsidP="006377E6" w14:paraId="797E03C2" w14:textId="77777777">
      <w:pPr>
        <w:rPr>
          <w:i/>
          <w:sz w:val="22"/>
          <w:szCs w:val="22"/>
        </w:rPr>
      </w:pPr>
    </w:p>
    <w:p w:rsidR="006377E6" w:rsidP="006377E6" w14:paraId="726334FE" w14:textId="77777777">
      <w:pPr>
        <w:rPr>
          <w:i/>
          <w:sz w:val="18"/>
          <w:szCs w:val="18"/>
        </w:rPr>
      </w:pPr>
      <w:r>
        <w:rPr>
          <w:i/>
          <w:sz w:val="18"/>
          <w:szCs w:val="18"/>
        </w:rPr>
        <w:t>*Average Number of Responses per Respondent = Total Annual Responses / Number of Respondents</w:t>
      </w:r>
    </w:p>
    <w:p w:rsidR="006377E6" w:rsidP="006377E6" w14:paraId="62F4D681" w14:textId="77777777">
      <w:pPr>
        <w:tabs>
          <w:tab w:val="left" w:pos="360"/>
        </w:tabs>
        <w:ind w:left="360" w:hanging="360"/>
        <w:rPr>
          <w:color w:val="000000"/>
          <w:sz w:val="18"/>
        </w:rPr>
      </w:pPr>
    </w:p>
    <w:p w:rsidR="006377E6" w:rsidP="006377E6" w14:paraId="65D5F1CC" w14:textId="77777777">
      <w:pPr>
        <w:keepLines/>
        <w:tabs>
          <w:tab w:val="left" w:pos="360"/>
        </w:tabs>
        <w:spacing w:after="80"/>
        <w:ind w:left="360" w:hanging="360"/>
        <w:rPr>
          <w:b/>
          <w:bCs/>
          <w:color w:val="000000"/>
          <w:sz w:val="22"/>
        </w:rPr>
      </w:pPr>
      <w:r>
        <w:rPr>
          <w:b/>
          <w:bCs/>
          <w:color w:val="000000"/>
          <w:sz w:val="18"/>
        </w:rPr>
        <w:t>13.</w:t>
      </w:r>
      <w:r>
        <w:rPr>
          <w:b/>
          <w:bCs/>
          <w:color w:val="000000"/>
          <w:sz w:val="18"/>
        </w:rPr>
        <w:tab/>
      </w:r>
      <w:r>
        <w:rPr>
          <w:b/>
          <w:bCs/>
          <w:color w:val="000000"/>
          <w:sz w:val="22"/>
        </w:rPr>
        <w:t xml:space="preserve">Estimate of the annual cost to respondents or recordkeepers (do not include the cost of hour burden shown in Items 12 and 14).  Read the complete instructions on </w:t>
      </w:r>
      <w:r>
        <w:rPr>
          <w:b/>
          <w:bCs/>
          <w:color w:val="000000"/>
          <w:sz w:val="22"/>
        </w:rPr>
        <w:t>the form</w:t>
      </w:r>
      <w:r>
        <w:rPr>
          <w:b/>
          <w:bCs/>
          <w:color w:val="000000"/>
          <w:sz w:val="22"/>
        </w:rPr>
        <w:t xml:space="preserve"> 83i.</w:t>
      </w:r>
    </w:p>
    <w:p w:rsidR="006377E6" w:rsidP="006377E6" w14:paraId="5BA9FE44" w14:textId="77777777">
      <w:pPr>
        <w:tabs>
          <w:tab w:val="left" w:pos="360"/>
        </w:tabs>
        <w:rPr>
          <w:color w:val="000000"/>
          <w:sz w:val="24"/>
          <w:szCs w:val="24"/>
        </w:rPr>
      </w:pPr>
      <w:r>
        <w:rPr>
          <w:color w:val="000000"/>
          <w:sz w:val="18"/>
        </w:rPr>
        <w:tab/>
      </w:r>
      <w:r>
        <w:rPr>
          <w:color w:val="000000"/>
          <w:sz w:val="24"/>
          <w:szCs w:val="24"/>
        </w:rPr>
        <w:t xml:space="preserve">There </w:t>
      </w:r>
      <w:r>
        <w:rPr>
          <w:color w:val="000000"/>
          <w:sz w:val="24"/>
          <w:szCs w:val="24"/>
        </w:rPr>
        <w:t>is</w:t>
      </w:r>
      <w:r>
        <w:rPr>
          <w:color w:val="000000"/>
          <w:sz w:val="24"/>
          <w:szCs w:val="24"/>
        </w:rPr>
        <w:t xml:space="preserve"> no start-up or equipment costs.</w:t>
      </w:r>
    </w:p>
    <w:p w:rsidR="006377E6" w:rsidP="006377E6" w14:paraId="238C6AC5" w14:textId="77777777">
      <w:pPr>
        <w:tabs>
          <w:tab w:val="left" w:pos="360"/>
        </w:tabs>
        <w:ind w:left="360" w:hanging="360"/>
        <w:rPr>
          <w:color w:val="000000"/>
          <w:sz w:val="18"/>
        </w:rPr>
      </w:pPr>
    </w:p>
    <w:p w:rsidR="006377E6" w:rsidP="006377E6" w14:paraId="5CE8C8E7" w14:textId="77777777">
      <w:pPr>
        <w:tabs>
          <w:tab w:val="left" w:pos="360"/>
        </w:tabs>
        <w:rPr>
          <w:color w:val="000000"/>
          <w:sz w:val="18"/>
        </w:rPr>
      </w:pPr>
    </w:p>
    <w:p w:rsidR="006377E6" w:rsidP="006377E6" w14:paraId="69702EBE" w14:textId="77777777">
      <w:pPr>
        <w:tabs>
          <w:tab w:val="left" w:pos="360"/>
        </w:tabs>
        <w:ind w:left="360" w:hanging="360"/>
        <w:rPr>
          <w:color w:val="000000"/>
          <w:sz w:val="18"/>
        </w:rPr>
      </w:pPr>
    </w:p>
    <w:p w:rsidR="006377E6" w:rsidP="006377E6" w14:paraId="0FBE0D49" w14:textId="77777777">
      <w:pPr>
        <w:keepLines/>
        <w:tabs>
          <w:tab w:val="left" w:pos="360"/>
        </w:tabs>
        <w:spacing w:after="80"/>
        <w:ind w:left="360" w:hanging="360"/>
        <w:rPr>
          <w:b/>
          <w:bCs/>
          <w:color w:val="000000"/>
          <w:sz w:val="22"/>
        </w:rPr>
      </w:pPr>
      <w:r>
        <w:rPr>
          <w:b/>
          <w:bCs/>
          <w:color w:val="000000"/>
          <w:sz w:val="18"/>
        </w:rPr>
        <w:t>14.</w:t>
      </w:r>
      <w:r>
        <w:rPr>
          <w:b/>
          <w:bCs/>
          <w:color w:val="000000"/>
          <w:sz w:val="18"/>
        </w:rPr>
        <w:tab/>
        <w:t>E</w:t>
      </w:r>
      <w:r>
        <w:rPr>
          <w:b/>
          <w:bCs/>
          <w:color w:val="000000"/>
          <w:sz w:val="22"/>
        </w:rPr>
        <w:t>stimate annualized costs to the Federal government.</w:t>
      </w:r>
    </w:p>
    <w:p w:rsidR="006377E6" w:rsidP="006377E6" w14:paraId="09107055" w14:textId="77777777">
      <w:pPr>
        <w:tabs>
          <w:tab w:val="left" w:pos="360"/>
        </w:tabs>
        <w:ind w:left="360"/>
        <w:rPr>
          <w:sz w:val="22"/>
        </w:rPr>
      </w:pPr>
      <w:r>
        <w:rPr>
          <w:sz w:val="22"/>
        </w:rPr>
        <w:t>The estimated annualized cost to the Federal Government is based on the hourly rate of $51.15, of the 2023 General Pay Scale for a GS 12 Step 5, which represents the staff of HUD’s Office of Native American Programs (ONAP) Field and Headquarters staff.  ONAP estimates that staff annually spend 284 hours on these documents. 284 hours per year X $51.15 = $14,526.60.</w:t>
      </w:r>
    </w:p>
    <w:p w:rsidR="006377E6" w:rsidP="006377E6" w14:paraId="56B212F1" w14:textId="77777777">
      <w:pPr>
        <w:keepNext/>
        <w:tabs>
          <w:tab w:val="left" w:pos="480"/>
        </w:tabs>
        <w:ind w:left="480" w:hanging="480"/>
        <w:rPr>
          <w:sz w:val="22"/>
        </w:rPr>
      </w:pPr>
    </w:p>
    <w:p w:rsidR="006377E6" w:rsidP="006377E6" w14:paraId="088D8BE2" w14:textId="77777777">
      <w:pPr>
        <w:pStyle w:val="BodyTextIndent"/>
        <w:tabs>
          <w:tab w:val="left" w:pos="480"/>
        </w:tabs>
        <w:ind w:left="480" w:hanging="480"/>
        <w:rPr>
          <w:color w:val="000000"/>
          <w:sz w:val="22"/>
          <w:szCs w:val="22"/>
        </w:rPr>
      </w:pPr>
      <w:r>
        <w:rPr>
          <w:sz w:val="22"/>
        </w:rPr>
        <w:tab/>
        <w:t>There is no additional cost to the Government related to reviewing these documents.</w:t>
      </w:r>
    </w:p>
    <w:p w:rsidR="006377E6" w:rsidP="006377E6" w14:paraId="393C18E5" w14:textId="77777777">
      <w:pPr>
        <w:tabs>
          <w:tab w:val="left" w:pos="360"/>
        </w:tabs>
        <w:ind w:left="360" w:hanging="360"/>
        <w:rPr>
          <w:color w:val="000000"/>
          <w:sz w:val="18"/>
        </w:rPr>
      </w:pPr>
    </w:p>
    <w:p w:rsidR="006377E6" w:rsidP="006377E6" w14:paraId="5193E115" w14:textId="77777777">
      <w:pPr>
        <w:keepLines/>
        <w:tabs>
          <w:tab w:val="left" w:pos="360"/>
        </w:tabs>
        <w:spacing w:after="80"/>
        <w:ind w:left="360" w:hanging="360"/>
        <w:rPr>
          <w:b/>
          <w:bCs/>
          <w:color w:val="000000"/>
          <w:sz w:val="22"/>
        </w:rPr>
      </w:pPr>
      <w:r>
        <w:rPr>
          <w:b/>
          <w:bCs/>
          <w:color w:val="000000"/>
          <w:sz w:val="18"/>
        </w:rPr>
        <w:t>15.</w:t>
      </w:r>
      <w:r>
        <w:rPr>
          <w:b/>
          <w:bCs/>
          <w:color w:val="000000"/>
          <w:sz w:val="18"/>
        </w:rPr>
        <w:tab/>
      </w:r>
      <w:r>
        <w:rPr>
          <w:b/>
          <w:bCs/>
          <w:color w:val="000000"/>
          <w:sz w:val="22"/>
        </w:rPr>
        <w:t>Explain any program changes or adjustments reported in items 13 and 14 of the OMB Form 83i.</w:t>
      </w:r>
    </w:p>
    <w:p w:rsidR="006377E6" w:rsidP="006377E6" w14:paraId="312EBEF1" w14:textId="48F2FE5D">
      <w:pPr>
        <w:tabs>
          <w:tab w:val="left" w:pos="360"/>
        </w:tabs>
        <w:ind w:left="360"/>
        <w:rPr>
          <w:rStyle w:val="normaltextrun"/>
          <w:szCs w:val="22"/>
          <w:shd w:val="clear" w:color="auto" w:fill="FFFFFF"/>
        </w:rPr>
      </w:pPr>
      <w:r>
        <w:rPr>
          <w:rStyle w:val="normaltextrun"/>
          <w:color w:val="000000"/>
          <w:sz w:val="22"/>
          <w:szCs w:val="22"/>
          <w:shd w:val="clear" w:color="auto" w:fill="FFFFFF"/>
        </w:rPr>
        <w:t>This is a new collection.</w:t>
      </w:r>
    </w:p>
    <w:p w:rsidR="006377E6" w:rsidP="006377E6" w14:paraId="695FF4FF" w14:textId="77777777">
      <w:pPr>
        <w:tabs>
          <w:tab w:val="left" w:pos="360"/>
        </w:tabs>
        <w:ind w:left="360" w:hanging="360"/>
        <w:rPr>
          <w:sz w:val="18"/>
        </w:rPr>
      </w:pPr>
    </w:p>
    <w:p w:rsidR="006377E6" w:rsidP="006377E6" w14:paraId="2146C57D" w14:textId="77777777">
      <w:pPr>
        <w:keepLines/>
        <w:tabs>
          <w:tab w:val="left" w:pos="360"/>
        </w:tabs>
        <w:spacing w:after="80"/>
        <w:ind w:left="360" w:hanging="360"/>
        <w:rPr>
          <w:b/>
          <w:bCs/>
          <w:color w:val="000000"/>
          <w:sz w:val="22"/>
        </w:rPr>
      </w:pPr>
      <w:r>
        <w:rPr>
          <w:b/>
          <w:bCs/>
          <w:color w:val="000000"/>
          <w:sz w:val="18"/>
        </w:rPr>
        <w:t>16.</w:t>
      </w:r>
      <w:r>
        <w:rPr>
          <w:b/>
          <w:bCs/>
          <w:color w:val="000000"/>
          <w:sz w:val="18"/>
        </w:rPr>
        <w:tab/>
      </w:r>
      <w:r>
        <w:rPr>
          <w:b/>
          <w:bCs/>
          <w:color w:val="000000"/>
          <w:sz w:val="22"/>
        </w:rPr>
        <w:t xml:space="preserve">If the information </w:t>
      </w:r>
      <w:r>
        <w:rPr>
          <w:b/>
          <w:bCs/>
          <w:color w:val="000000"/>
          <w:sz w:val="22"/>
        </w:rPr>
        <w:t>will be</w:t>
      </w:r>
      <w:r>
        <w:rPr>
          <w:b/>
          <w:bCs/>
          <w:color w:val="000000"/>
          <w:sz w:val="22"/>
        </w:rPr>
        <w:t xml:space="preserve"> published, outline plans for tabulation and publication.</w:t>
      </w:r>
    </w:p>
    <w:p w:rsidR="006377E6" w:rsidP="006377E6" w14:paraId="331300A3" w14:textId="77777777">
      <w:pPr>
        <w:tabs>
          <w:tab w:val="left" w:pos="360"/>
        </w:tabs>
        <w:rPr>
          <w:color w:val="000000"/>
          <w:sz w:val="22"/>
          <w:szCs w:val="22"/>
        </w:rPr>
      </w:pPr>
      <w:r>
        <w:rPr>
          <w:color w:val="000000"/>
          <w:sz w:val="22"/>
          <w:szCs w:val="22"/>
        </w:rPr>
        <w:tab/>
        <w:t>Not applicable</w:t>
      </w:r>
    </w:p>
    <w:p w:rsidR="006377E6" w:rsidP="006377E6" w14:paraId="7B0C37D7" w14:textId="77777777">
      <w:pPr>
        <w:tabs>
          <w:tab w:val="left" w:pos="360"/>
        </w:tabs>
        <w:ind w:left="360" w:hanging="360"/>
        <w:rPr>
          <w:color w:val="000000"/>
          <w:sz w:val="18"/>
        </w:rPr>
      </w:pPr>
    </w:p>
    <w:p w:rsidR="006377E6" w:rsidP="006377E6" w14:paraId="1EC73003" w14:textId="77777777">
      <w:pPr>
        <w:keepLines/>
        <w:tabs>
          <w:tab w:val="left" w:pos="360"/>
        </w:tabs>
        <w:spacing w:after="80"/>
        <w:ind w:left="360" w:hanging="360"/>
        <w:rPr>
          <w:b/>
          <w:bCs/>
          <w:color w:val="000000"/>
          <w:sz w:val="22"/>
        </w:rPr>
      </w:pPr>
      <w:r>
        <w:rPr>
          <w:b/>
          <w:bCs/>
          <w:color w:val="000000"/>
          <w:sz w:val="18"/>
        </w:rPr>
        <w:t>17.</w:t>
      </w:r>
      <w:r>
        <w:rPr>
          <w:b/>
          <w:bCs/>
          <w:color w:val="000000"/>
          <w:sz w:val="18"/>
        </w:rPr>
        <w:tab/>
      </w:r>
      <w:r>
        <w:rPr>
          <w:b/>
          <w:bCs/>
          <w:color w:val="000000"/>
          <w:sz w:val="22"/>
          <w:szCs w:val="22"/>
        </w:rPr>
        <w:t>If seeking approval to not display the expiration date for OMB approval of the information collection, explain the reasons that display would be inappropriate.</w:t>
      </w:r>
    </w:p>
    <w:p w:rsidR="006377E6" w:rsidP="006377E6" w14:paraId="5A89B523" w14:textId="77777777">
      <w:pPr>
        <w:tabs>
          <w:tab w:val="left" w:pos="360"/>
        </w:tabs>
        <w:rPr>
          <w:color w:val="000000"/>
          <w:sz w:val="22"/>
          <w:szCs w:val="22"/>
        </w:rPr>
      </w:pPr>
      <w:r>
        <w:rPr>
          <w:color w:val="000000"/>
          <w:sz w:val="18"/>
        </w:rPr>
        <w:tab/>
      </w:r>
      <w:r>
        <w:rPr>
          <w:color w:val="000000"/>
          <w:sz w:val="22"/>
          <w:szCs w:val="22"/>
        </w:rPr>
        <w:t>HUD is not seeking approval to avoid displaying the OMB expiration date.</w:t>
      </w:r>
    </w:p>
    <w:p w:rsidR="006377E6" w:rsidP="006377E6" w14:paraId="6FF6D594" w14:textId="77777777">
      <w:pPr>
        <w:tabs>
          <w:tab w:val="left" w:pos="360"/>
        </w:tabs>
        <w:ind w:left="360" w:hanging="360"/>
        <w:rPr>
          <w:color w:val="000000"/>
          <w:sz w:val="18"/>
        </w:rPr>
      </w:pPr>
    </w:p>
    <w:p w:rsidR="006377E6" w:rsidP="006377E6" w14:paraId="6B6C951C" w14:textId="77777777">
      <w:pPr>
        <w:keepLines/>
        <w:tabs>
          <w:tab w:val="left" w:pos="360"/>
        </w:tabs>
        <w:spacing w:after="80"/>
        <w:ind w:left="360" w:hanging="360"/>
        <w:rPr>
          <w:b/>
          <w:bCs/>
          <w:color w:val="000000"/>
          <w:sz w:val="22"/>
        </w:rPr>
      </w:pPr>
      <w:r>
        <w:rPr>
          <w:b/>
          <w:bCs/>
          <w:color w:val="000000"/>
          <w:sz w:val="18"/>
        </w:rPr>
        <w:t>18.</w:t>
      </w:r>
      <w:r>
        <w:rPr>
          <w:b/>
          <w:bCs/>
          <w:color w:val="000000"/>
          <w:sz w:val="18"/>
        </w:rPr>
        <w:tab/>
      </w:r>
      <w:r>
        <w:rPr>
          <w:b/>
          <w:bCs/>
          <w:color w:val="000000"/>
          <w:sz w:val="22"/>
        </w:rPr>
        <w:t>Explain each exception to the certification statement identified in item 19.</w:t>
      </w:r>
    </w:p>
    <w:p w:rsidR="006377E6" w:rsidP="006377E6" w14:paraId="3FA1473C" w14:textId="77777777">
      <w:pPr>
        <w:tabs>
          <w:tab w:val="left" w:pos="360"/>
        </w:tabs>
        <w:rPr>
          <w:color w:val="000000"/>
          <w:sz w:val="22"/>
          <w:szCs w:val="22"/>
        </w:rPr>
      </w:pPr>
      <w:r>
        <w:rPr>
          <w:color w:val="000000"/>
          <w:sz w:val="22"/>
          <w:szCs w:val="22"/>
        </w:rPr>
        <w:tab/>
        <w:t xml:space="preserve">Not </w:t>
      </w:r>
      <w:r>
        <w:rPr>
          <w:color w:val="000000"/>
          <w:sz w:val="22"/>
          <w:szCs w:val="22"/>
        </w:rPr>
        <w:t>Applicable, since</w:t>
      </w:r>
      <w:r>
        <w:rPr>
          <w:color w:val="000000"/>
          <w:sz w:val="22"/>
          <w:szCs w:val="22"/>
        </w:rPr>
        <w:t xml:space="preserve"> statistical methods are not used.</w:t>
      </w:r>
    </w:p>
    <w:p w:rsidR="006377E6" w:rsidP="006377E6" w14:paraId="2936B093" w14:textId="77777777">
      <w:pPr>
        <w:tabs>
          <w:tab w:val="left" w:pos="360"/>
        </w:tabs>
        <w:ind w:left="360" w:hanging="360"/>
        <w:rPr>
          <w:color w:val="000000"/>
          <w:sz w:val="18"/>
        </w:rPr>
      </w:pPr>
    </w:p>
    <w:p w:rsidR="006377E6" w:rsidP="006377E6" w14:paraId="3220C0D5" w14:textId="77777777">
      <w:pPr>
        <w:tabs>
          <w:tab w:val="left" w:pos="360"/>
        </w:tabs>
        <w:ind w:left="360" w:hanging="360"/>
        <w:rPr>
          <w:color w:val="000000"/>
        </w:rPr>
      </w:pPr>
    </w:p>
    <w:p w:rsidR="006377E6" w:rsidP="006377E6" w14:paraId="2D928585" w14:textId="77777777">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color w:val="000000"/>
          <w:sz w:val="18"/>
        </w:rPr>
      </w:pPr>
      <w:r>
        <w:rPr>
          <w:rFonts w:ascii="Helvetica" w:hAnsi="Helvetica"/>
          <w:b/>
          <w:color w:val="000000"/>
          <w:sz w:val="18"/>
        </w:rPr>
        <w:t xml:space="preserve">B. </w:t>
      </w:r>
      <w:r>
        <w:rPr>
          <w:rFonts w:ascii="Helvetica" w:hAnsi="Helvetica"/>
          <w:b/>
          <w:color w:val="000000"/>
          <w:sz w:val="18"/>
        </w:rPr>
        <w:tab/>
        <w:t>Collections of Information Employing Statistical Methods</w:t>
      </w:r>
    </w:p>
    <w:p w:rsidR="006377E6" w:rsidP="006377E6" w14:paraId="6919067F" w14:textId="77777777">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rFonts w:ascii="Courier" w:hAnsi="Courier"/>
          <w:color w:val="000000"/>
          <w:sz w:val="18"/>
        </w:rPr>
      </w:pPr>
    </w:p>
    <w:p w:rsidR="006377E6" w:rsidP="006377E6" w14:paraId="001B2569" w14:textId="77777777">
      <w:pPr>
        <w:tabs>
          <w:tab w:val="left" w:pos="240"/>
        </w:tabs>
        <w:rPr>
          <w:rFonts w:ascii="Helvetica" w:hAnsi="Helvetica"/>
          <w:color w:val="000000"/>
          <w:sz w:val="22"/>
          <w:szCs w:val="22"/>
        </w:rPr>
      </w:pPr>
    </w:p>
    <w:p w:rsidR="006377E6" w:rsidP="006377E6" w14:paraId="2C76D682" w14:textId="77777777"/>
    <w:p w:rsidR="00410483" w14:paraId="03793815"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72C4C9E"/>
    <w:multiLevelType w:val="hybridMultilevel"/>
    <w:tmpl w:val="ABD0C75E"/>
    <w:lvl w:ilvl="0">
      <w:start w:va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57580A04"/>
    <w:multiLevelType w:val="hybridMultilevel"/>
    <w:tmpl w:val="D892DF0C"/>
    <w:lvl w:ilvl="0">
      <w:start w:val="7"/>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6596046A"/>
    <w:multiLevelType w:val="hybridMultilevel"/>
    <w:tmpl w:val="06A41126"/>
    <w:lvl w:ilvl="0">
      <w:start w:val="1"/>
      <w:numFmt w:val="decimal"/>
      <w:lvlText w:val="%1."/>
      <w:lvlJc w:val="left"/>
      <w:pPr>
        <w:ind w:left="720" w:hanging="360"/>
      </w:pPr>
      <w:rPr>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214038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9005859">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3931108">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7E6"/>
    <w:rsid w:val="002F5D47"/>
    <w:rsid w:val="00410483"/>
    <w:rsid w:val="006377E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A055933"/>
  <w15:chartTrackingRefBased/>
  <w15:docId w15:val="{EB6A053D-8FC0-4C07-9466-3DBDC7017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77E6"/>
    <w:pPr>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6377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77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77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77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77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77E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77E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77E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77E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77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77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77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77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77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77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77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77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77E6"/>
    <w:rPr>
      <w:rFonts w:eastAsiaTheme="majorEastAsia" w:cstheme="majorBidi"/>
      <w:color w:val="272727" w:themeColor="text1" w:themeTint="D8"/>
    </w:rPr>
  </w:style>
  <w:style w:type="paragraph" w:styleId="Title">
    <w:name w:val="Title"/>
    <w:basedOn w:val="Normal"/>
    <w:next w:val="Normal"/>
    <w:link w:val="TitleChar"/>
    <w:uiPriority w:val="10"/>
    <w:qFormat/>
    <w:rsid w:val="006377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77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77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77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77E6"/>
    <w:pPr>
      <w:spacing w:before="160"/>
      <w:jc w:val="center"/>
    </w:pPr>
    <w:rPr>
      <w:i/>
      <w:iCs/>
      <w:color w:val="404040" w:themeColor="text1" w:themeTint="BF"/>
    </w:rPr>
  </w:style>
  <w:style w:type="character" w:customStyle="1" w:styleId="QuoteChar">
    <w:name w:val="Quote Char"/>
    <w:basedOn w:val="DefaultParagraphFont"/>
    <w:link w:val="Quote"/>
    <w:uiPriority w:val="29"/>
    <w:rsid w:val="006377E6"/>
    <w:rPr>
      <w:i/>
      <w:iCs/>
      <w:color w:val="404040" w:themeColor="text1" w:themeTint="BF"/>
    </w:rPr>
  </w:style>
  <w:style w:type="paragraph" w:styleId="ListParagraph">
    <w:name w:val="List Paragraph"/>
    <w:basedOn w:val="Normal"/>
    <w:uiPriority w:val="99"/>
    <w:qFormat/>
    <w:rsid w:val="006377E6"/>
    <w:pPr>
      <w:ind w:left="720"/>
      <w:contextualSpacing/>
    </w:pPr>
  </w:style>
  <w:style w:type="character" w:styleId="IntenseEmphasis">
    <w:name w:val="Intense Emphasis"/>
    <w:basedOn w:val="DefaultParagraphFont"/>
    <w:uiPriority w:val="21"/>
    <w:qFormat/>
    <w:rsid w:val="006377E6"/>
    <w:rPr>
      <w:i/>
      <w:iCs/>
      <w:color w:val="0F4761" w:themeColor="accent1" w:themeShade="BF"/>
    </w:rPr>
  </w:style>
  <w:style w:type="paragraph" w:styleId="IntenseQuote">
    <w:name w:val="Intense Quote"/>
    <w:basedOn w:val="Normal"/>
    <w:next w:val="Normal"/>
    <w:link w:val="IntenseQuoteChar"/>
    <w:uiPriority w:val="30"/>
    <w:qFormat/>
    <w:rsid w:val="006377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77E6"/>
    <w:rPr>
      <w:i/>
      <w:iCs/>
      <w:color w:val="0F4761" w:themeColor="accent1" w:themeShade="BF"/>
    </w:rPr>
  </w:style>
  <w:style w:type="character" w:styleId="IntenseReference">
    <w:name w:val="Intense Reference"/>
    <w:basedOn w:val="DefaultParagraphFont"/>
    <w:uiPriority w:val="32"/>
    <w:qFormat/>
    <w:rsid w:val="006377E6"/>
    <w:rPr>
      <w:b/>
      <w:bCs/>
      <w:smallCaps/>
      <w:color w:val="0F4761" w:themeColor="accent1" w:themeShade="BF"/>
      <w:spacing w:val="5"/>
    </w:rPr>
  </w:style>
  <w:style w:type="character" w:customStyle="1" w:styleId="HeaderChar">
    <w:name w:val="Header Char"/>
    <w:aliases w:val="Title Cover - Program Office Char"/>
    <w:basedOn w:val="DefaultParagraphFont"/>
    <w:link w:val="Header"/>
    <w:semiHidden/>
    <w:locked/>
    <w:rsid w:val="006377E6"/>
    <w:rPr>
      <w:rFonts w:ascii="Times New Roman" w:eastAsia="Times New Roman" w:hAnsi="Times New Roman" w:cs="Times New Roman"/>
      <w:sz w:val="20"/>
      <w:szCs w:val="20"/>
    </w:rPr>
  </w:style>
  <w:style w:type="paragraph" w:styleId="Header">
    <w:name w:val="header"/>
    <w:aliases w:val="Title Cover - Program Office"/>
    <w:basedOn w:val="Normal"/>
    <w:link w:val="HeaderChar"/>
    <w:semiHidden/>
    <w:unhideWhenUsed/>
    <w:rsid w:val="006377E6"/>
    <w:pPr>
      <w:tabs>
        <w:tab w:val="center" w:pos="4320"/>
        <w:tab w:val="right" w:pos="8640"/>
      </w:tabs>
    </w:pPr>
    <w:rPr>
      <w:kern w:val="2"/>
      <w14:ligatures w14:val="standardContextual"/>
    </w:rPr>
  </w:style>
  <w:style w:type="character" w:customStyle="1" w:styleId="HeaderChar1">
    <w:name w:val="Header Char1"/>
    <w:basedOn w:val="DefaultParagraphFont"/>
    <w:uiPriority w:val="99"/>
    <w:semiHidden/>
    <w:rsid w:val="006377E6"/>
    <w:rPr>
      <w:rFonts w:ascii="Times New Roman" w:eastAsia="Times New Roman" w:hAnsi="Times New Roman" w:cs="Times New Roman"/>
      <w:kern w:val="0"/>
      <w:sz w:val="20"/>
      <w:szCs w:val="20"/>
      <w14:ligatures w14:val="none"/>
    </w:rPr>
  </w:style>
  <w:style w:type="paragraph" w:styleId="BodyText">
    <w:name w:val="Body Text"/>
    <w:basedOn w:val="Normal"/>
    <w:link w:val="BodyTextChar"/>
    <w:uiPriority w:val="99"/>
    <w:semiHidden/>
    <w:unhideWhenUsed/>
    <w:rsid w:val="006377E6"/>
    <w:pPr>
      <w:spacing w:after="120"/>
    </w:pPr>
  </w:style>
  <w:style w:type="character" w:customStyle="1" w:styleId="BodyTextChar">
    <w:name w:val="Body Text Char"/>
    <w:basedOn w:val="DefaultParagraphFont"/>
    <w:link w:val="BodyText"/>
    <w:uiPriority w:val="99"/>
    <w:semiHidden/>
    <w:rsid w:val="006377E6"/>
    <w:rPr>
      <w:rFonts w:ascii="Times New Roman" w:eastAsia="Times New Roman" w:hAnsi="Times New Roman" w:cs="Times New Roman"/>
      <w:kern w:val="0"/>
      <w:sz w:val="20"/>
      <w:szCs w:val="20"/>
      <w14:ligatures w14:val="none"/>
    </w:rPr>
  </w:style>
  <w:style w:type="paragraph" w:styleId="BodyTextIndent">
    <w:name w:val="Body Text Indent"/>
    <w:basedOn w:val="Normal"/>
    <w:link w:val="BodyTextIndentChar"/>
    <w:uiPriority w:val="99"/>
    <w:semiHidden/>
    <w:unhideWhenUsed/>
    <w:rsid w:val="006377E6"/>
    <w:pPr>
      <w:spacing w:after="120"/>
      <w:ind w:left="360"/>
    </w:pPr>
  </w:style>
  <w:style w:type="character" w:customStyle="1" w:styleId="BodyTextIndentChar">
    <w:name w:val="Body Text Indent Char"/>
    <w:basedOn w:val="DefaultParagraphFont"/>
    <w:link w:val="BodyTextIndent"/>
    <w:uiPriority w:val="99"/>
    <w:semiHidden/>
    <w:rsid w:val="006377E6"/>
    <w:rPr>
      <w:rFonts w:ascii="Times New Roman" w:eastAsia="Times New Roman" w:hAnsi="Times New Roman" w:cs="Times New Roman"/>
      <w:kern w:val="0"/>
      <w:sz w:val="20"/>
      <w:szCs w:val="20"/>
      <w14:ligatures w14:val="none"/>
    </w:rPr>
  </w:style>
  <w:style w:type="character" w:customStyle="1" w:styleId="normaltextrun">
    <w:name w:val="normaltextrun"/>
    <w:basedOn w:val="DefaultParagraphFont"/>
    <w:rsid w:val="006377E6"/>
  </w:style>
  <w:style w:type="character" w:customStyle="1" w:styleId="cf01">
    <w:name w:val="cf01"/>
    <w:basedOn w:val="DefaultParagraphFont"/>
    <w:uiPriority w:val="1"/>
    <w:rsid w:val="006377E6"/>
    <w:rPr>
      <w:rFonts w:ascii="Segoe UI" w:hAnsi="Segoe UI" w:eastAsiaTheme="minorEastAsia"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1777</Words>
  <Characters>10135</Characters>
  <Application>Microsoft Office Word</Application>
  <DocSecurity>0</DocSecurity>
  <Lines>84</Lines>
  <Paragraphs>23</Paragraphs>
  <ScaleCrop>false</ScaleCrop>
  <Company>U.S. Department of Housing and Urban Development</Company>
  <LinksUpToDate>false</LinksUpToDate>
  <CharactersWithSpaces>11889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Pollard, Colette</dc:creator>
  <cp:lastModifiedBy>Pollard, Colette</cp:lastModifiedBy>
  <cp:revision>1</cp:revision>
  <dcterms:created xsi:type="dcterms:W3CDTF">2024-03-26T17:15:00Z</dcterms:created>
  <dcterms:modified xsi:type="dcterms:W3CDTF">2024-03-26T17:17:00Z</dcterms:modified>
</cp:coreProperties>
</file>