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RPr="003E0A5C" w:rsidP="00F27C2C" w14:paraId="72450408"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00F27C2C" w14:paraId="5CB89EA4" w14:textId="57892DE4">
      <w:pPr>
        <w:spacing w:after="0" w:line="240" w:lineRule="auto"/>
        <w:jc w:val="center"/>
        <w:rPr>
          <w:b/>
        </w:rPr>
      </w:pPr>
      <w:r>
        <w:rPr>
          <w:rFonts w:eastAsia="Calibri" w:cs="Times New Roman"/>
          <w:b/>
          <w:szCs w:val="24"/>
        </w:rPr>
        <w:t>State Data Transfer</w:t>
      </w:r>
      <w:r w:rsidR="002750C9">
        <w:rPr>
          <w:rFonts w:eastAsia="Calibri" w:cs="Times New Roman"/>
          <w:b/>
          <w:szCs w:val="24"/>
        </w:rPr>
        <w:t xml:space="preserve"> </w:t>
      </w:r>
    </w:p>
    <w:p w:rsidR="00F27C2C" w:rsidRPr="007F27B2" w:rsidP="00F27C2C" w14:paraId="31AADD9C" w14:textId="48636BE0">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F3032D">
        <w:rPr>
          <w:b/>
        </w:rPr>
        <w:t>0753</w:t>
      </w:r>
    </w:p>
    <w:p w:rsidR="00F27C2C" w:rsidP="00F27C2C" w14:paraId="03046FF5" w14:textId="77777777">
      <w:pPr>
        <w:autoSpaceDE w:val="0"/>
        <w:autoSpaceDN w:val="0"/>
        <w:adjustRightInd w:val="0"/>
        <w:spacing w:after="0" w:line="240" w:lineRule="auto"/>
        <w:rPr>
          <w:rFonts w:cs="Times New Roman"/>
          <w:szCs w:val="24"/>
        </w:rPr>
      </w:pPr>
    </w:p>
    <w:p w:rsidR="00F27C2C" w:rsidRPr="00705DF4" w:rsidP="00D109CC" w14:paraId="5C47CC04" w14:textId="77777777">
      <w:pPr>
        <w:pStyle w:val="Heading1"/>
        <w:rPr>
          <w:bCs/>
        </w:rPr>
      </w:pPr>
      <w:bookmarkStart w:id="0" w:name="_Hlk49938575"/>
      <w:r w:rsidRPr="00587D94">
        <w:rPr>
          <w:rStyle w:val="Heading1Char"/>
          <w:b/>
          <w:bCs/>
        </w:rPr>
        <w:t>Abstract</w:t>
      </w:r>
      <w:bookmarkStart w:id="1" w:name="_Hlk47077366"/>
      <w:r w:rsidRPr="00D109CC">
        <w:rPr>
          <w:rStyle w:val="Heading1Char"/>
          <w:b/>
          <w:bCs/>
        </w:rPr>
        <w:t>:</w:t>
      </w:r>
      <w:r>
        <w:rPr>
          <w:rStyle w:val="FootnoteReference"/>
          <w:bCs/>
        </w:rPr>
        <w:footnoteReference w:id="3"/>
      </w:r>
      <w:bookmarkEnd w:id="1"/>
    </w:p>
    <w:bookmarkEnd w:id="0"/>
    <w:p w:rsidR="00A50715" w14:paraId="496A9045" w14:textId="77777777"/>
    <w:p w:rsidR="00571746" w:rsidRPr="00103B28" w:rsidP="00571746" w14:paraId="182D773E" w14:textId="52DA6A3A">
      <w:pPr>
        <w:rPr>
          <w:rFonts w:eastAsia="Times New Roman" w:cs="Times New Roman"/>
          <w:bCs/>
          <w:iCs/>
          <w:szCs w:val="24"/>
        </w:rPr>
      </w:pPr>
      <w:bookmarkStart w:id="2" w:name="_Hlk66707705"/>
      <w:r>
        <w:rPr>
          <w:rFonts w:cs="Times New Roman"/>
        </w:rPr>
        <w:t>T</w:t>
      </w:r>
      <w:r w:rsidR="0031712C">
        <w:rPr>
          <w:rFonts w:cs="Times New Roman"/>
        </w:rPr>
        <w:t>he National Highway Traffic Safety Administration (NHTSA) is submitting t</w:t>
      </w:r>
      <w:r>
        <w:rPr>
          <w:rFonts w:cs="Times New Roman"/>
        </w:rPr>
        <w:t xml:space="preserve">his </w:t>
      </w:r>
      <w:r w:rsidR="0031712C">
        <w:rPr>
          <w:rFonts w:cs="Times New Roman"/>
        </w:rPr>
        <w:t>information collection request (ICR) to request an extension with</w:t>
      </w:r>
      <w:r>
        <w:rPr>
          <w:rFonts w:cs="Times New Roman"/>
        </w:rPr>
        <w:t xml:space="preserve"> modification </w:t>
      </w:r>
      <w:r w:rsidR="0031712C">
        <w:rPr>
          <w:rFonts w:cs="Times New Roman"/>
        </w:rPr>
        <w:t>of NHTSA’s</w:t>
      </w:r>
      <w:r w:rsidR="002A06C8">
        <w:rPr>
          <w:rFonts w:cs="Times New Roman"/>
        </w:rPr>
        <w:t xml:space="preserve"> currently approved information collection</w:t>
      </w:r>
      <w:r w:rsidR="0031712C">
        <w:rPr>
          <w:rFonts w:cs="Times New Roman"/>
        </w:rPr>
        <w:t xml:space="preserve"> for its State Data Transfer (SDT) program.</w:t>
      </w:r>
      <w:r w:rsidR="002A06C8">
        <w:rPr>
          <w:rFonts w:cs="Times New Roman"/>
        </w:rPr>
        <w:t xml:space="preserve">  </w:t>
      </w:r>
      <w:r w:rsidRPr="00FB39BF" w:rsidR="0002316C">
        <w:rPr>
          <w:rFonts w:cs="Times New Roman"/>
        </w:rPr>
        <w:t>The SDT program</w:t>
      </w:r>
      <w:r w:rsidRPr="00FB39BF" w:rsidR="000426D3">
        <w:rPr>
          <w:rFonts w:cs="Times New Roman"/>
        </w:rPr>
        <w:t xml:space="preserve"> is a voluntary collection</w:t>
      </w:r>
      <w:r w:rsidRPr="00FB39BF" w:rsidR="00F20BE8">
        <w:rPr>
          <w:rFonts w:cs="Times New Roman"/>
        </w:rPr>
        <w:t xml:space="preserve"> of </w:t>
      </w:r>
      <w:r w:rsidR="00CF2425">
        <w:rPr>
          <w:rFonts w:cs="Times New Roman"/>
        </w:rPr>
        <w:t xml:space="preserve">motor </w:t>
      </w:r>
      <w:r w:rsidRPr="00FB39BF" w:rsidR="00F20BE8">
        <w:rPr>
          <w:rFonts w:cs="Times New Roman"/>
        </w:rPr>
        <w:t xml:space="preserve">vehicle crash data.  </w:t>
      </w:r>
      <w:bookmarkEnd w:id="2"/>
      <w:r w:rsidRPr="00FB39BF" w:rsidR="00F20BE8">
        <w:rPr>
          <w:rFonts w:cs="Times New Roman"/>
        </w:rPr>
        <w:t xml:space="preserve">State </w:t>
      </w:r>
      <w:r w:rsidRPr="00FB39BF" w:rsidR="000426D3">
        <w:rPr>
          <w:rFonts w:cs="Times New Roman"/>
        </w:rPr>
        <w:t xml:space="preserve">agencies collect information </w:t>
      </w:r>
      <w:r>
        <w:rPr>
          <w:rFonts w:cs="Times New Roman"/>
        </w:rPr>
        <w:t xml:space="preserve">about </w:t>
      </w:r>
      <w:r w:rsidRPr="00FB39BF">
        <w:rPr>
          <w:rFonts w:cs="Times New Roman"/>
        </w:rPr>
        <w:t xml:space="preserve">motor vehicle crashes </w:t>
      </w:r>
      <w:r w:rsidRPr="00FB39BF" w:rsidR="000426D3">
        <w:rPr>
          <w:rFonts w:cs="Times New Roman"/>
        </w:rPr>
        <w:t xml:space="preserve">on </w:t>
      </w:r>
      <w:r w:rsidRPr="00FB39BF" w:rsidR="00F20BE8">
        <w:rPr>
          <w:rFonts w:cs="Times New Roman"/>
        </w:rPr>
        <w:t xml:space="preserve">Police </w:t>
      </w:r>
      <w:r w:rsidR="00473E0D">
        <w:rPr>
          <w:rFonts w:cs="Times New Roman"/>
        </w:rPr>
        <w:t>Accident</w:t>
      </w:r>
      <w:r w:rsidRPr="00FB39BF" w:rsidR="00F20BE8">
        <w:rPr>
          <w:rFonts w:cs="Times New Roman"/>
        </w:rPr>
        <w:t xml:space="preserve"> Report</w:t>
      </w:r>
      <w:r w:rsidR="00614AD5">
        <w:rPr>
          <w:rFonts w:cs="Times New Roman"/>
        </w:rPr>
        <w:t>s</w:t>
      </w:r>
      <w:r w:rsidRPr="00FB39BF" w:rsidR="00F20BE8">
        <w:rPr>
          <w:rFonts w:cs="Times New Roman"/>
        </w:rPr>
        <w:t xml:space="preserve"> (P</w:t>
      </w:r>
      <w:r w:rsidR="00482D24">
        <w:rPr>
          <w:rFonts w:cs="Times New Roman"/>
        </w:rPr>
        <w:t>A</w:t>
      </w:r>
      <w:r w:rsidRPr="00FB39BF" w:rsidR="00F20BE8">
        <w:rPr>
          <w:rFonts w:cs="Times New Roman"/>
        </w:rPr>
        <w:t>R</w:t>
      </w:r>
      <w:r w:rsidR="00614AD5">
        <w:rPr>
          <w:rFonts w:cs="Times New Roman"/>
        </w:rPr>
        <w:t>s</w:t>
      </w:r>
      <w:r w:rsidRPr="00FB39BF" w:rsidR="00F20BE8">
        <w:rPr>
          <w:rFonts w:cs="Times New Roman"/>
        </w:rPr>
        <w:t>)</w:t>
      </w:r>
      <w:r>
        <w:rPr>
          <w:rStyle w:val="FootnoteReference"/>
          <w:rFonts w:cs="Times New Roman"/>
        </w:rPr>
        <w:footnoteReference w:id="4"/>
      </w:r>
      <w:r w:rsidR="00DF5DD2">
        <w:rPr>
          <w:rFonts w:cs="Times New Roman"/>
        </w:rPr>
        <w:t xml:space="preserve"> for their own needs</w:t>
      </w:r>
      <w:r>
        <w:rPr>
          <w:rFonts w:cs="Times New Roman"/>
        </w:rPr>
        <w:t>.</w:t>
      </w:r>
      <w:r w:rsidRPr="00FB39BF" w:rsidR="00F20BE8">
        <w:rPr>
          <w:rFonts w:cs="Times New Roman"/>
        </w:rPr>
        <w:t xml:space="preserve">  </w:t>
      </w:r>
      <w:r w:rsidRPr="00FB39BF" w:rsidR="00CF77CC">
        <w:rPr>
          <w:rFonts w:cs="Times New Roman"/>
        </w:rPr>
        <w:t xml:space="preserve">In general, a </w:t>
      </w:r>
      <w:r w:rsidR="008777FD">
        <w:rPr>
          <w:rFonts w:cs="Times New Roman"/>
        </w:rPr>
        <w:t>PAR</w:t>
      </w:r>
      <w:r w:rsidRPr="00FB39BF" w:rsidR="00CF77CC">
        <w:rPr>
          <w:rFonts w:cs="Times New Roman"/>
        </w:rPr>
        <w:t xml:space="preserve"> includes information about the vehicles and individuals involved in a crash, injuries or fatalities resulting from a crash, roadway information, environmental information, </w:t>
      </w:r>
      <w:r w:rsidR="006F36AE">
        <w:rPr>
          <w:rFonts w:cs="Times New Roman"/>
        </w:rPr>
        <w:t xml:space="preserve">and </w:t>
      </w:r>
      <w:r w:rsidRPr="00FB39BF" w:rsidR="00CF77CC">
        <w:rPr>
          <w:rFonts w:cs="Times New Roman"/>
        </w:rPr>
        <w:t>information to reconstruct the crash scenes, etc.</w:t>
      </w:r>
      <w:r w:rsidR="000E7B5A">
        <w:rPr>
          <w:rFonts w:cs="Times New Roman"/>
        </w:rPr>
        <w:t xml:space="preserve">  </w:t>
      </w:r>
      <w:r>
        <w:rPr>
          <w:rFonts w:cs="Times New Roman"/>
        </w:rPr>
        <w:t xml:space="preserve">The SDT is a process </w:t>
      </w:r>
      <w:r w:rsidR="008A2830">
        <w:rPr>
          <w:rFonts w:cs="Times New Roman"/>
        </w:rPr>
        <w:t>through which</w:t>
      </w:r>
      <w:r>
        <w:rPr>
          <w:rFonts w:cs="Times New Roman"/>
        </w:rPr>
        <w:t xml:space="preserve"> </w:t>
      </w:r>
      <w:r w:rsidR="004511A5">
        <w:rPr>
          <w:rFonts w:cs="Times New Roman"/>
        </w:rPr>
        <w:t>participat</w:t>
      </w:r>
      <w:r>
        <w:rPr>
          <w:rFonts w:cs="Times New Roman"/>
        </w:rPr>
        <w:t xml:space="preserve">ing </w:t>
      </w:r>
      <w:r w:rsidR="0049090E">
        <w:rPr>
          <w:rFonts w:cs="Times New Roman"/>
        </w:rPr>
        <w:t xml:space="preserve">States </w:t>
      </w:r>
      <w:r w:rsidR="00B85836">
        <w:rPr>
          <w:rFonts w:cs="Times New Roman"/>
        </w:rPr>
        <w:t>transfer the</w:t>
      </w:r>
      <w:r w:rsidR="0051377F">
        <w:rPr>
          <w:rFonts w:cs="Times New Roman"/>
        </w:rPr>
        <w:t>ir</w:t>
      </w:r>
      <w:r w:rsidR="00B85836">
        <w:rPr>
          <w:rFonts w:cs="Times New Roman"/>
        </w:rPr>
        <w:t xml:space="preserve"> </w:t>
      </w:r>
      <w:r w:rsidR="008777FD">
        <w:rPr>
          <w:rFonts w:cs="Times New Roman"/>
        </w:rPr>
        <w:t>PAR</w:t>
      </w:r>
      <w:r w:rsidR="00B85836">
        <w:rPr>
          <w:rFonts w:cs="Times New Roman"/>
        </w:rPr>
        <w:t xml:space="preserve"> </w:t>
      </w:r>
      <w:r w:rsidR="004511A5">
        <w:rPr>
          <w:rFonts w:cs="Times New Roman"/>
        </w:rPr>
        <w:t xml:space="preserve">data </w:t>
      </w:r>
      <w:r w:rsidR="00B85836">
        <w:rPr>
          <w:rFonts w:cs="Times New Roman"/>
        </w:rPr>
        <w:t xml:space="preserve">to </w:t>
      </w:r>
      <w:r w:rsidR="00D205E5">
        <w:rPr>
          <w:rFonts w:cs="Times New Roman"/>
        </w:rPr>
        <w:t>the National Highway Traffic Safety Administration (</w:t>
      </w:r>
      <w:r w:rsidR="00B85836">
        <w:rPr>
          <w:rFonts w:cs="Times New Roman"/>
        </w:rPr>
        <w:t>NHTSA</w:t>
      </w:r>
      <w:r w:rsidR="00D205E5">
        <w:rPr>
          <w:rFonts w:cs="Times New Roman"/>
        </w:rPr>
        <w:t>)</w:t>
      </w:r>
      <w:r>
        <w:rPr>
          <w:rFonts w:cs="Times New Roman"/>
        </w:rPr>
        <w:t xml:space="preserve">.  </w:t>
      </w:r>
      <w:bookmarkStart w:id="3" w:name="_Hlk66261734"/>
      <w:r>
        <w:rPr>
          <w:rFonts w:cs="Times New Roman"/>
          <w:color w:val="000000"/>
          <w:szCs w:val="24"/>
        </w:rPr>
        <w:t xml:space="preserve">SDT has two components that </w:t>
      </w:r>
      <w:r w:rsidR="00D205E5">
        <w:rPr>
          <w:rFonts w:cs="Times New Roman"/>
          <w:color w:val="000000"/>
          <w:szCs w:val="24"/>
        </w:rPr>
        <w:t>NHTSA’s National Center for Statistics and Analysis (</w:t>
      </w:r>
      <w:r>
        <w:rPr>
          <w:rFonts w:cs="Times New Roman"/>
          <w:color w:val="000000"/>
          <w:szCs w:val="24"/>
        </w:rPr>
        <w:t>NCSA</w:t>
      </w:r>
      <w:r w:rsidR="00D205E5">
        <w:rPr>
          <w:rFonts w:cs="Times New Roman"/>
          <w:color w:val="000000"/>
          <w:szCs w:val="24"/>
        </w:rPr>
        <w:t>)</w:t>
      </w:r>
      <w:r>
        <w:rPr>
          <w:rFonts w:cs="Times New Roman"/>
          <w:color w:val="000000"/>
          <w:szCs w:val="24"/>
        </w:rPr>
        <w:t xml:space="preserve"> </w:t>
      </w:r>
      <w:r w:rsidR="00614AD5">
        <w:rPr>
          <w:rFonts w:cs="Times New Roman"/>
          <w:color w:val="000000"/>
          <w:szCs w:val="24"/>
        </w:rPr>
        <w:t>calls</w:t>
      </w:r>
      <w:r>
        <w:rPr>
          <w:rFonts w:cs="Times New Roman"/>
          <w:color w:val="000000"/>
          <w:szCs w:val="24"/>
        </w:rPr>
        <w:t xml:space="preserve"> protocols:</w:t>
      </w:r>
    </w:p>
    <w:p w:rsidR="00571746" w:rsidRPr="00103B28" w:rsidP="00571746" w14:paraId="234446A3" w14:textId="77777777">
      <w:pPr>
        <w:pStyle w:val="ListParagraph"/>
        <w:numPr>
          <w:ilvl w:val="0"/>
          <w:numId w:val="11"/>
        </w:numPr>
        <w:contextualSpacing w:val="0"/>
        <w:rPr>
          <w:rFonts w:eastAsia="Times New Roman" w:cs="Times New Roman"/>
          <w:bCs/>
          <w:iCs/>
          <w:szCs w:val="24"/>
        </w:rPr>
      </w:pPr>
      <w:r w:rsidRPr="00103B28">
        <w:rPr>
          <w:rFonts w:eastAsia="Times New Roman" w:cs="Times New Roman"/>
          <w:bCs/>
          <w:iCs/>
          <w:szCs w:val="24"/>
        </w:rPr>
        <w:t xml:space="preserve">The </w:t>
      </w:r>
      <w:r w:rsidRPr="00103B28">
        <w:rPr>
          <w:rFonts w:eastAsia="Times New Roman" w:cs="Times New Roman"/>
          <w:bCs/>
          <w:iCs/>
          <w:szCs w:val="24"/>
          <w:u w:val="single"/>
        </w:rPr>
        <w:t>State Data System (SDS)</w:t>
      </w:r>
      <w:r w:rsidRPr="00103B28">
        <w:rPr>
          <w:rFonts w:eastAsia="Times New Roman" w:cs="Times New Roman"/>
          <w:bCs/>
          <w:iCs/>
          <w:szCs w:val="24"/>
        </w:rPr>
        <w:t xml:space="preserve"> protocol obtain</w:t>
      </w:r>
      <w:r>
        <w:rPr>
          <w:rFonts w:eastAsia="Times New Roman" w:cs="Times New Roman"/>
          <w:bCs/>
          <w:iCs/>
          <w:szCs w:val="24"/>
        </w:rPr>
        <w:t>s</w:t>
      </w:r>
      <w:r w:rsidRPr="00103B28">
        <w:rPr>
          <w:rFonts w:eastAsia="Times New Roman" w:cs="Times New Roman"/>
          <w:bCs/>
          <w:iCs/>
          <w:szCs w:val="24"/>
        </w:rPr>
        <w:t xml:space="preserve"> </w:t>
      </w:r>
      <w:r w:rsidR="008777FD">
        <w:rPr>
          <w:rFonts w:eastAsia="Times New Roman" w:cs="Times New Roman"/>
          <w:bCs/>
          <w:iCs/>
          <w:szCs w:val="24"/>
        </w:rPr>
        <w:t>PAR</w:t>
      </w:r>
      <w:r w:rsidRPr="00103B28">
        <w:rPr>
          <w:rFonts w:eastAsia="Times New Roman" w:cs="Times New Roman"/>
          <w:bCs/>
          <w:iCs/>
          <w:szCs w:val="24"/>
        </w:rPr>
        <w:t xml:space="preserve"> crash data from</w:t>
      </w:r>
      <w:r>
        <w:rPr>
          <w:rFonts w:eastAsia="Times New Roman" w:cs="Times New Roman"/>
          <w:bCs/>
          <w:iCs/>
          <w:szCs w:val="24"/>
        </w:rPr>
        <w:t xml:space="preserve"> </w:t>
      </w:r>
      <w:r w:rsidRPr="00103B28">
        <w:rPr>
          <w:rFonts w:eastAsia="Times New Roman" w:cs="Times New Roman"/>
          <w:bCs/>
          <w:iCs/>
          <w:szCs w:val="24"/>
        </w:rPr>
        <w:t xml:space="preserve">States </w:t>
      </w:r>
      <w:r>
        <w:rPr>
          <w:rFonts w:eastAsia="Times New Roman" w:cs="Times New Roman"/>
          <w:bCs/>
          <w:iCs/>
          <w:szCs w:val="24"/>
        </w:rPr>
        <w:t xml:space="preserve">that submit data on an annual basis to </w:t>
      </w:r>
      <w:r>
        <w:rPr>
          <w:rFonts w:cs="Times New Roman"/>
          <w:color w:val="000000"/>
          <w:szCs w:val="24"/>
        </w:rPr>
        <w:t>NCSA</w:t>
      </w:r>
      <w:r>
        <w:rPr>
          <w:rFonts w:eastAsia="Times New Roman" w:cs="Times New Roman"/>
          <w:bCs/>
          <w:iCs/>
          <w:szCs w:val="24"/>
        </w:rPr>
        <w:t xml:space="preserve">.  The data is submitted </w:t>
      </w:r>
      <w:r w:rsidRPr="00103B28">
        <w:rPr>
          <w:rFonts w:eastAsia="Times New Roman" w:cs="Times New Roman"/>
          <w:bCs/>
          <w:iCs/>
          <w:szCs w:val="24"/>
        </w:rPr>
        <w:t xml:space="preserve">via electronic media, such as encrypted CD-ROM/DVD, or through secured mail or a secure </w:t>
      </w:r>
      <w:r w:rsidRPr="00440FB6" w:rsidR="00D32F17">
        <w:rPr>
          <w:rFonts w:eastAsia="Times New Roman" w:cs="Times New Roman"/>
          <w:bCs/>
          <w:iCs/>
          <w:szCs w:val="24"/>
        </w:rPr>
        <w:t>file transfer protocol (SFTP).</w:t>
      </w:r>
      <w:r w:rsidR="00B12F39">
        <w:rPr>
          <w:rFonts w:eastAsia="Times New Roman" w:cs="Times New Roman"/>
          <w:bCs/>
          <w:iCs/>
          <w:szCs w:val="24"/>
        </w:rPr>
        <w:t xml:space="preserve"> </w:t>
      </w:r>
      <w:r w:rsidR="00452B97">
        <w:rPr>
          <w:rFonts w:eastAsia="Times New Roman" w:cs="Times New Roman"/>
          <w:bCs/>
          <w:iCs/>
          <w:szCs w:val="24"/>
        </w:rPr>
        <w:t xml:space="preserve">Files submitted through the SDS protocol are referred to as “annual crash files.” </w:t>
      </w:r>
    </w:p>
    <w:p w:rsidR="004634A0" w:rsidRPr="006641C1" w:rsidP="60EB5B96" w14:paraId="29DBBF06" w14:textId="67F7C540">
      <w:pPr>
        <w:pStyle w:val="ListParagraph"/>
        <w:numPr>
          <w:ilvl w:val="0"/>
          <w:numId w:val="11"/>
        </w:numPr>
        <w:rPr>
          <w:rFonts w:cs="Times New Roman"/>
          <w:color w:val="000000"/>
        </w:rPr>
      </w:pPr>
      <w:r w:rsidRPr="60EB5B96">
        <w:rPr>
          <w:rFonts w:eastAsia="Times New Roman" w:cs="Times New Roman"/>
        </w:rPr>
        <w:t xml:space="preserve">The </w:t>
      </w:r>
      <w:r w:rsidRPr="60EB5B96">
        <w:rPr>
          <w:rFonts w:eastAsia="Times New Roman" w:cs="Times New Roman"/>
          <w:u w:val="single"/>
        </w:rPr>
        <w:t>Electronic Data Transfer (EDT)</w:t>
      </w:r>
      <w:r w:rsidRPr="60EB5B96">
        <w:rPr>
          <w:rFonts w:eastAsia="Times New Roman" w:cs="Times New Roman"/>
        </w:rPr>
        <w:t xml:space="preserve"> protocol obtains </w:t>
      </w:r>
      <w:r w:rsidRPr="60EB5B96" w:rsidR="008777FD">
        <w:rPr>
          <w:rFonts w:eastAsia="Times New Roman" w:cs="Times New Roman"/>
        </w:rPr>
        <w:t>PAR</w:t>
      </w:r>
      <w:r w:rsidRPr="60EB5B96">
        <w:rPr>
          <w:rFonts w:eastAsia="Times New Roman" w:cs="Times New Roman"/>
        </w:rPr>
        <w:t xml:space="preserve"> crash data, crash reports</w:t>
      </w:r>
      <w:r w:rsidRPr="60EB5B96" w:rsidR="00452B97">
        <w:rPr>
          <w:rFonts w:eastAsia="Times New Roman" w:cs="Times New Roman"/>
        </w:rPr>
        <w:t>, and</w:t>
      </w:r>
      <w:r w:rsidRPr="60EB5B96">
        <w:rPr>
          <w:rFonts w:eastAsia="Times New Roman" w:cs="Times New Roman"/>
        </w:rPr>
        <w:t xml:space="preserve"> crash images from participating State crash systems through an electronic data transfer.  Generally, this transfer occurs on a nightly basis following State data quality control checks and acceptance </w:t>
      </w:r>
      <w:r w:rsidRPr="60EB5B96" w:rsidR="0051377F">
        <w:rPr>
          <w:rFonts w:eastAsia="Times New Roman" w:cs="Times New Roman"/>
        </w:rPr>
        <w:t xml:space="preserve">by </w:t>
      </w:r>
      <w:r w:rsidRPr="60EB5B96">
        <w:rPr>
          <w:rFonts w:eastAsia="Times New Roman" w:cs="Times New Roman"/>
        </w:rPr>
        <w:t xml:space="preserve">each State’s centralized </w:t>
      </w:r>
      <w:r w:rsidRPr="37EF2FDD" w:rsidR="02986FD7">
        <w:rPr>
          <w:rFonts w:eastAsia="Times New Roman" w:cs="Times New Roman"/>
        </w:rPr>
        <w:t xml:space="preserve">statewide </w:t>
      </w:r>
      <w:r w:rsidRPr="68899E01" w:rsidR="02986FD7">
        <w:rPr>
          <w:rFonts w:eastAsia="Times New Roman" w:cs="Times New Roman"/>
        </w:rPr>
        <w:t>crash data repository</w:t>
      </w:r>
      <w:r w:rsidRPr="68899E01">
        <w:rPr>
          <w:rFonts w:eastAsia="Times New Roman" w:cs="Times New Roman"/>
        </w:rPr>
        <w:t>.</w:t>
      </w:r>
      <w:r w:rsidRPr="60EB5B96">
        <w:rPr>
          <w:rFonts w:eastAsia="Times New Roman" w:cs="Times New Roman"/>
        </w:rPr>
        <w:t xml:space="preserve">  The information is transmitted using </w:t>
      </w:r>
      <w:r w:rsidRPr="60EB5B96" w:rsidR="006919E2">
        <w:rPr>
          <w:rFonts w:eastAsia="Times New Roman" w:cs="Times New Roman"/>
        </w:rPr>
        <w:t>Extensible Markup Language (</w:t>
      </w:r>
      <w:r w:rsidRPr="60EB5B96">
        <w:rPr>
          <w:rFonts w:eastAsia="Times New Roman" w:cs="Times New Roman"/>
        </w:rPr>
        <w:t>XML</w:t>
      </w:r>
      <w:r w:rsidRPr="60EB5B96" w:rsidR="006919E2">
        <w:rPr>
          <w:rFonts w:eastAsia="Times New Roman" w:cs="Times New Roman"/>
        </w:rPr>
        <w:t>)</w:t>
      </w:r>
      <w:r w:rsidRPr="60EB5B96">
        <w:rPr>
          <w:rFonts w:eastAsia="Times New Roman" w:cs="Times New Roman"/>
        </w:rPr>
        <w:t xml:space="preserve"> or </w:t>
      </w:r>
      <w:r w:rsidRPr="60EB5B96" w:rsidR="006919E2">
        <w:rPr>
          <w:rFonts w:eastAsia="Times New Roman" w:cs="Times New Roman"/>
        </w:rPr>
        <w:t>JavaScript Object Notation (</w:t>
      </w:r>
      <w:r w:rsidRPr="60EB5B96">
        <w:rPr>
          <w:rFonts w:eastAsia="Times New Roman" w:cs="Times New Roman"/>
        </w:rPr>
        <w:t>JSON</w:t>
      </w:r>
      <w:r w:rsidRPr="60EB5B96" w:rsidR="006919E2">
        <w:rPr>
          <w:rFonts w:eastAsia="Times New Roman" w:cs="Times New Roman"/>
        </w:rPr>
        <w:t>)</w:t>
      </w:r>
      <w:r w:rsidRPr="60EB5B96">
        <w:rPr>
          <w:rFonts w:eastAsia="Times New Roman" w:cs="Times New Roman"/>
        </w:rPr>
        <w:t xml:space="preserve"> files through a web service using </w:t>
      </w:r>
      <w:r w:rsidRPr="60EB5B96" w:rsidR="0051377F">
        <w:rPr>
          <w:rFonts w:eastAsia="Times New Roman" w:cs="Times New Roman"/>
        </w:rPr>
        <w:t xml:space="preserve">the </w:t>
      </w:r>
      <w:r w:rsidRPr="60EB5B96" w:rsidR="006919E2">
        <w:rPr>
          <w:rFonts w:eastAsia="Times New Roman" w:cs="Times New Roman"/>
        </w:rPr>
        <w:t>Hypertext Transfer Protocol Secure (</w:t>
      </w:r>
      <w:r w:rsidRPr="60EB5B96">
        <w:rPr>
          <w:rFonts w:eastAsia="Times New Roman" w:cs="Times New Roman"/>
        </w:rPr>
        <w:t>HTTPS</w:t>
      </w:r>
      <w:r w:rsidRPr="60EB5B96" w:rsidR="006919E2">
        <w:rPr>
          <w:rFonts w:eastAsia="Times New Roman" w:cs="Times New Roman"/>
        </w:rPr>
        <w:t>)</w:t>
      </w:r>
      <w:r w:rsidRPr="60EB5B96">
        <w:rPr>
          <w:rFonts w:eastAsia="Times New Roman" w:cs="Times New Roman"/>
        </w:rPr>
        <w:t xml:space="preserve"> protocol between a State’s crash data system and NHTSA.</w:t>
      </w:r>
      <w:r w:rsidRPr="60EB5B96" w:rsidR="00EF09B4">
        <w:rPr>
          <w:rFonts w:eastAsia="Times New Roman" w:cs="Times New Roman"/>
        </w:rPr>
        <w:t xml:space="preserve"> </w:t>
      </w:r>
      <w:r w:rsidRPr="60EB5B96" w:rsidR="00300683">
        <w:rPr>
          <w:rFonts w:eastAsia="Times New Roman" w:cs="Times New Roman"/>
        </w:rPr>
        <w:t>NHTSA started using t</w:t>
      </w:r>
      <w:r w:rsidRPr="60EB5B96" w:rsidR="00EF09B4">
        <w:rPr>
          <w:rFonts w:eastAsia="Times New Roman" w:cs="Times New Roman"/>
        </w:rPr>
        <w:t>his EDT prot</w:t>
      </w:r>
      <w:r w:rsidRPr="60EB5B96" w:rsidR="00300683">
        <w:rPr>
          <w:rFonts w:eastAsia="Times New Roman" w:cs="Times New Roman"/>
        </w:rPr>
        <w:t xml:space="preserve">ocol </w:t>
      </w:r>
      <w:r w:rsidRPr="60EB5B96" w:rsidR="00FE60FD">
        <w:rPr>
          <w:rFonts w:eastAsia="Times New Roman" w:cs="Times New Roman"/>
        </w:rPr>
        <w:t>in</w:t>
      </w:r>
      <w:r w:rsidRPr="60EB5B96" w:rsidR="00300683">
        <w:rPr>
          <w:rFonts w:eastAsia="Times New Roman" w:cs="Times New Roman"/>
        </w:rPr>
        <w:t xml:space="preserve"> 2015.</w:t>
      </w:r>
      <w:r w:rsidRPr="60EB5B96" w:rsidR="00507C20">
        <w:rPr>
          <w:rFonts w:eastAsia="Times New Roman" w:cs="Times New Roman"/>
        </w:rPr>
        <w:t xml:space="preserve"> </w:t>
      </w:r>
      <w:r w:rsidRPr="60EB5B96" w:rsidR="00C87FCD">
        <w:rPr>
          <w:rFonts w:eastAsia="Times New Roman" w:cs="Times New Roman"/>
        </w:rPr>
        <w:t xml:space="preserve">The data </w:t>
      </w:r>
      <w:r w:rsidR="00742613">
        <w:rPr>
          <w:rFonts w:eastAsia="Times New Roman" w:cs="Times New Roman"/>
        </w:rPr>
        <w:t xml:space="preserve">that </w:t>
      </w:r>
      <w:r w:rsidRPr="60EB5B96" w:rsidR="00C87FCD">
        <w:rPr>
          <w:rFonts w:eastAsia="Times New Roman" w:cs="Times New Roman"/>
        </w:rPr>
        <w:t>NHTSA receive</w:t>
      </w:r>
      <w:r w:rsidRPr="60EB5B96" w:rsidR="00AB3A20">
        <w:rPr>
          <w:rFonts w:eastAsia="Times New Roman" w:cs="Times New Roman"/>
        </w:rPr>
        <w:t>s</w:t>
      </w:r>
      <w:r w:rsidRPr="60EB5B96" w:rsidR="00C87FCD">
        <w:rPr>
          <w:rFonts w:eastAsia="Times New Roman" w:cs="Times New Roman"/>
        </w:rPr>
        <w:t xml:space="preserve"> </w:t>
      </w:r>
      <w:r w:rsidRPr="60EB5B96" w:rsidR="00AB3A20">
        <w:rPr>
          <w:rFonts w:eastAsia="Times New Roman" w:cs="Times New Roman"/>
        </w:rPr>
        <w:t>is</w:t>
      </w:r>
      <w:r w:rsidRPr="60EB5B96" w:rsidR="00BF4A63">
        <w:rPr>
          <w:rFonts w:eastAsia="Times New Roman" w:cs="Times New Roman"/>
        </w:rPr>
        <w:t xml:space="preserve"> in the States’ format</w:t>
      </w:r>
      <w:r w:rsidRPr="60EB5B96" w:rsidR="00BC555A">
        <w:rPr>
          <w:rFonts w:eastAsia="Times New Roman" w:cs="Times New Roman"/>
        </w:rPr>
        <w:t xml:space="preserve">, </w:t>
      </w:r>
      <w:r w:rsidRPr="60EB5B96" w:rsidR="00AB3A20">
        <w:rPr>
          <w:rFonts w:eastAsia="Times New Roman" w:cs="Times New Roman"/>
        </w:rPr>
        <w:t xml:space="preserve">which is </w:t>
      </w:r>
      <w:r w:rsidRPr="60EB5B96" w:rsidR="00BC555A">
        <w:rPr>
          <w:rFonts w:eastAsia="Times New Roman" w:cs="Times New Roman"/>
        </w:rPr>
        <w:t>not standardized</w:t>
      </w:r>
      <w:r w:rsidRPr="60EB5B96" w:rsidR="00BF4A63">
        <w:rPr>
          <w:rFonts w:eastAsia="Times New Roman" w:cs="Times New Roman"/>
        </w:rPr>
        <w:t xml:space="preserve">. NHTSA </w:t>
      </w:r>
      <w:r w:rsidRPr="60EB5B96" w:rsidR="00AB3A20">
        <w:rPr>
          <w:rFonts w:eastAsia="Times New Roman" w:cs="Times New Roman"/>
        </w:rPr>
        <w:t>does not</w:t>
      </w:r>
      <w:r>
        <w:rPr>
          <w:rFonts w:eastAsia="Times New Roman" w:cs="Times New Roman"/>
        </w:rPr>
        <w:t xml:space="preserve"> currently</w:t>
      </w:r>
      <w:r w:rsidRPr="60EB5B96" w:rsidR="00BF4A63">
        <w:rPr>
          <w:rFonts w:eastAsia="Times New Roman" w:cs="Times New Roman"/>
        </w:rPr>
        <w:t xml:space="preserve"> provide </w:t>
      </w:r>
      <w:r w:rsidRPr="60EB5B96" w:rsidR="00BC555A">
        <w:rPr>
          <w:rFonts w:eastAsia="Times New Roman" w:cs="Times New Roman"/>
        </w:rPr>
        <w:t xml:space="preserve">regular funding to the States </w:t>
      </w:r>
      <w:r w:rsidRPr="60EB5B96" w:rsidR="00AB3A20">
        <w:rPr>
          <w:rFonts w:eastAsia="Times New Roman" w:cs="Times New Roman"/>
        </w:rPr>
        <w:t>to participate in</w:t>
      </w:r>
      <w:r w:rsidRPr="60EB5B96" w:rsidR="00BC555A">
        <w:rPr>
          <w:rFonts w:eastAsia="Times New Roman" w:cs="Times New Roman"/>
        </w:rPr>
        <w:t xml:space="preserve"> EDT. </w:t>
      </w:r>
    </w:p>
    <w:p w:rsidR="004634A0" w:rsidP="004634A0" w14:paraId="61AE42B7" w14:textId="77777777">
      <w:pPr>
        <w:pStyle w:val="ListParagraph"/>
      </w:pPr>
    </w:p>
    <w:p w:rsidR="00571746" w:rsidRPr="004634A0" w:rsidP="006641C1" w14:paraId="0D56AF23" w14:textId="5C8E7B1C">
      <w:pPr>
        <w:ind w:left="720"/>
        <w:rPr>
          <w:rFonts w:cs="Times New Roman"/>
          <w:color w:val="000000"/>
        </w:rPr>
      </w:pPr>
      <w:r>
        <w:t>On November 15, 2021,</w:t>
      </w:r>
      <w:r w:rsidRPr="0031712C" w:rsidR="0031712C">
        <w:t xml:space="preserve"> President Biden signed the Infrastructure Investment and Jobs Act (IIJA or the Bipartisan Infrastructure Law), Public Law 117-58. </w:t>
      </w:r>
      <w:r>
        <w:t xml:space="preserve"> </w:t>
      </w:r>
      <w:r w:rsidR="0031712C">
        <w:t>Section</w:t>
      </w:r>
      <w:r>
        <w:t xml:space="preserve">. 24108 (d) authorizes </w:t>
      </w:r>
      <w:r w:rsidR="004634A0">
        <w:t xml:space="preserve">the </w:t>
      </w:r>
      <w:r>
        <w:t xml:space="preserve">Secretary of Transportation to establish the State Electronic Data Collection (SEDC) </w:t>
      </w:r>
      <w:r w:rsidR="00AC154F">
        <w:t xml:space="preserve">program </w:t>
      </w:r>
      <w:r>
        <w:t xml:space="preserve">to provide grants to States to </w:t>
      </w:r>
      <w:r w:rsidR="00AB3A20">
        <w:t xml:space="preserve">establish, </w:t>
      </w:r>
      <w:r>
        <w:t>upgrade</w:t>
      </w:r>
      <w:r w:rsidR="00AB3A20">
        <w:t>,</w:t>
      </w:r>
      <w:r>
        <w:t xml:space="preserve"> and standardize their centralized statewide crash data repositories to enable electronic data collection, intrastate data sharing, and electronic data transfer to NHTSA</w:t>
      </w:r>
      <w:r w:rsidR="00AB3A20">
        <w:t>. The objective is</w:t>
      </w:r>
      <w:r>
        <w:t xml:space="preserve"> to increase the accuracy, timeliness, and accessibility of the data, including data relat</w:t>
      </w:r>
      <w:r w:rsidR="00AB3A20">
        <w:t>ed</w:t>
      </w:r>
      <w:r>
        <w:t xml:space="preserve"> to fatalities involving vulnerable road users.</w:t>
      </w:r>
      <w:r w:rsidRPr="004634A0" w:rsidR="001B1E4E">
        <w:rPr>
          <w:rFonts w:eastAsia="Times New Roman" w:cs="Times New Roman"/>
        </w:rPr>
        <w:t xml:space="preserve"> Through </w:t>
      </w:r>
      <w:r w:rsidRPr="004634A0" w:rsidR="48155393">
        <w:rPr>
          <w:rFonts w:eastAsia="Times New Roman" w:cs="Times New Roman"/>
        </w:rPr>
        <w:t xml:space="preserve">the </w:t>
      </w:r>
      <w:r w:rsidRPr="000D582F" w:rsidR="001B1E4E">
        <w:rPr>
          <w:rFonts w:eastAsia="Times New Roman" w:cs="Times New Roman"/>
        </w:rPr>
        <w:t>SEDC</w:t>
      </w:r>
      <w:r w:rsidRPr="000D582F" w:rsidR="09181E7D">
        <w:rPr>
          <w:rFonts w:eastAsia="Times New Roman" w:cs="Times New Roman"/>
        </w:rPr>
        <w:t xml:space="preserve"> program</w:t>
      </w:r>
      <w:r w:rsidRPr="004634A0" w:rsidR="001B1E4E">
        <w:rPr>
          <w:rFonts w:eastAsia="Times New Roman" w:cs="Times New Roman"/>
        </w:rPr>
        <w:t xml:space="preserve">, NHTSA </w:t>
      </w:r>
      <w:r w:rsidRPr="004634A0" w:rsidR="00907693">
        <w:rPr>
          <w:rFonts w:eastAsia="Times New Roman" w:cs="Times New Roman"/>
        </w:rPr>
        <w:t xml:space="preserve">will </w:t>
      </w:r>
      <w:r w:rsidR="00AB3A20">
        <w:t>award</w:t>
      </w:r>
      <w:r w:rsidR="005219BA">
        <w:t xml:space="preserve"> grants to States to modernize</w:t>
      </w:r>
      <w:r w:rsidR="00AB3A20">
        <w:t xml:space="preserve"> or establish</w:t>
      </w:r>
      <w:r w:rsidR="005219BA">
        <w:t xml:space="preserve"> their centralized</w:t>
      </w:r>
      <w:r w:rsidR="46D91FB4">
        <w:t xml:space="preserve"> </w:t>
      </w:r>
      <w:r w:rsidR="173DFE0F">
        <w:t>statewide</w:t>
      </w:r>
      <w:r w:rsidR="005219BA">
        <w:t xml:space="preserve"> crash data </w:t>
      </w:r>
      <w:r w:rsidR="28647FC4">
        <w:t>repositor</w:t>
      </w:r>
      <w:r w:rsidR="2CC5700D">
        <w:t>ies</w:t>
      </w:r>
      <w:r w:rsidR="1CE6B7D5">
        <w:t xml:space="preserve"> </w:t>
      </w:r>
      <w:r w:rsidR="005219BA">
        <w:t>to enable full electronic data transfer to NHTSA</w:t>
      </w:r>
      <w:r w:rsidR="00642910">
        <w:t>, increase their alignment to the Model Minimum Uniform Crash Criteria</w:t>
      </w:r>
      <w:r w:rsidR="00D675E5">
        <w:t xml:space="preserve"> (MMUCC)</w:t>
      </w:r>
      <w:r w:rsidR="00642910">
        <w:t xml:space="preserve"> Sixth Edition</w:t>
      </w:r>
      <w:r w:rsidR="005219BA">
        <w:t xml:space="preserve"> </w:t>
      </w:r>
      <w:r w:rsidR="00642910">
        <w:t>data</w:t>
      </w:r>
      <w:r w:rsidR="00D961FC">
        <w:t xml:space="preserve">, </w:t>
      </w:r>
      <w:r w:rsidR="005219BA">
        <w:t xml:space="preserve">and </w:t>
      </w:r>
      <w:r w:rsidR="00AB3A20">
        <w:t>transmit</w:t>
      </w:r>
      <w:r w:rsidR="005219BA">
        <w:t xml:space="preserve"> the data in </w:t>
      </w:r>
      <w:r w:rsidR="00AB3A20">
        <w:t xml:space="preserve">a </w:t>
      </w:r>
      <w:r w:rsidR="005219BA">
        <w:t>standar</w:t>
      </w:r>
      <w:r w:rsidR="00885C16">
        <w:t>dized format</w:t>
      </w:r>
      <w:r w:rsidR="00D961FC">
        <w:t xml:space="preserve"> to NHTSA</w:t>
      </w:r>
      <w:r w:rsidR="00AB3A20">
        <w:t xml:space="preserve">. </w:t>
      </w:r>
      <w:bookmarkStart w:id="4" w:name="_Hlk129010984"/>
      <w:r w:rsidR="000B780F">
        <w:t xml:space="preserve">This </w:t>
      </w:r>
      <w:r w:rsidR="008A2659">
        <w:t>information collection request</w:t>
      </w:r>
      <w:r w:rsidR="000B780F">
        <w:t xml:space="preserve"> is </w:t>
      </w:r>
      <w:r w:rsidR="004634A0">
        <w:t xml:space="preserve">to </w:t>
      </w:r>
      <w:r w:rsidR="009F193F">
        <w:t>modif</w:t>
      </w:r>
      <w:r w:rsidR="004634A0">
        <w:t xml:space="preserve">y NHTSA’s existing information collection for SDT </w:t>
      </w:r>
      <w:r w:rsidR="000B780F">
        <w:t xml:space="preserve">to </w:t>
      </w:r>
      <w:r w:rsidR="004634A0">
        <w:t>account for changes resulting from</w:t>
      </w:r>
      <w:r w:rsidR="000B780F">
        <w:t xml:space="preserve"> </w:t>
      </w:r>
      <w:bookmarkStart w:id="5" w:name="_Hlk129011000"/>
      <w:r w:rsidR="000B780F">
        <w:t>th</w:t>
      </w:r>
      <w:r w:rsidR="006B4E93">
        <w:t>e</w:t>
      </w:r>
      <w:r w:rsidR="000B780F">
        <w:t xml:space="preserve"> </w:t>
      </w:r>
      <w:r w:rsidR="006B4E93">
        <w:t>new grant program</w:t>
      </w:r>
      <w:r w:rsidR="004634A0">
        <w:t>. The new grant program will not only increase the number of States</w:t>
      </w:r>
      <w:r w:rsidR="006B4E93">
        <w:t xml:space="preserve"> using the</w:t>
      </w:r>
      <w:r w:rsidR="000B780F">
        <w:t xml:space="preserve"> EDT </w:t>
      </w:r>
      <w:r w:rsidR="00DB2642">
        <w:t>protocol,</w:t>
      </w:r>
      <w:r w:rsidR="004634A0">
        <w:t xml:space="preserve"> but it will also request data standardization and increased alignment with the MMUCC</w:t>
      </w:r>
      <w:r w:rsidR="00125097">
        <w:t xml:space="preserve"> States awarded the SEDC grant to collect and transmit data to NHTSA will be referred to as SEDC States; States that continue to transmit data through the existing EDT protocol, </w:t>
      </w:r>
      <w:r w:rsidRPr="004634A0" w:rsidR="00125097">
        <w:rPr>
          <w:i/>
          <w:iCs/>
        </w:rPr>
        <w:t>not</w:t>
      </w:r>
      <w:r w:rsidR="00125097">
        <w:t xml:space="preserve"> developed and/or updated </w:t>
      </w:r>
      <w:r w:rsidRPr="00DB19E6" w:rsidR="00125097">
        <w:t>with</w:t>
      </w:r>
      <w:r w:rsidR="00125097">
        <w:t xml:space="preserve"> SEDC grant funds (i.e., current EDT States) will be referred to as non-SEDC States.</w:t>
      </w:r>
    </w:p>
    <w:bookmarkEnd w:id="3"/>
    <w:bookmarkEnd w:id="4"/>
    <w:bookmarkEnd w:id="5"/>
    <w:p w:rsidR="00CF77CC" w:rsidRPr="00FB39BF" w:rsidP="00B96874" w14:paraId="518995F9" w14:textId="28FA5F4C">
      <w:r>
        <w:t>The SDT process</w:t>
      </w:r>
      <w:r w:rsidR="002C7299">
        <w:t xml:space="preserve"> allows States to submit </w:t>
      </w:r>
      <w:r w:rsidR="00F708AC">
        <w:t>all</w:t>
      </w:r>
      <w:r w:rsidR="002C7299">
        <w:t xml:space="preserve"> their </w:t>
      </w:r>
      <w:r w:rsidR="008777FD">
        <w:t>PAR</w:t>
      </w:r>
      <w:r>
        <w:t xml:space="preserve"> </w:t>
      </w:r>
      <w:r w:rsidR="00B85836">
        <w:t>data</w:t>
      </w:r>
      <w:r w:rsidR="0051377F">
        <w:t xml:space="preserve"> </w:t>
      </w:r>
      <w:r w:rsidR="00CF2100">
        <w:t>to</w:t>
      </w:r>
      <w:r w:rsidR="002C7299">
        <w:t xml:space="preserve"> NHTSA</w:t>
      </w:r>
      <w:r w:rsidR="0058341C">
        <w:t>. NCSA use</w:t>
      </w:r>
      <w:r w:rsidR="00A57C5B">
        <w:t>s</w:t>
      </w:r>
      <w:r w:rsidR="0058341C">
        <w:t xml:space="preserve"> this data </w:t>
      </w:r>
      <w:r>
        <w:t xml:space="preserve">to develop a census of </w:t>
      </w:r>
      <w:r w:rsidR="008E21DB">
        <w:t xml:space="preserve">the participating </w:t>
      </w:r>
      <w:r w:rsidR="006F36AE">
        <w:t>S</w:t>
      </w:r>
      <w:r w:rsidR="008E21DB">
        <w:t xml:space="preserve">tate’s </w:t>
      </w:r>
      <w:r>
        <w:t>crashes</w:t>
      </w:r>
      <w:r w:rsidR="00FF6A6B">
        <w:t>. This dataset help</w:t>
      </w:r>
      <w:r w:rsidR="005B7DBB">
        <w:t>s</w:t>
      </w:r>
      <w:r w:rsidR="00FF6A6B">
        <w:t xml:space="preserve"> NCSA </w:t>
      </w:r>
      <w:r w:rsidR="00B5689C">
        <w:t xml:space="preserve">identify </w:t>
      </w:r>
      <w:r w:rsidRPr="00FB39BF">
        <w:t>existing and emerging highway safety trends</w:t>
      </w:r>
      <w:r w:rsidR="00B5689C">
        <w:t xml:space="preserve"> and </w:t>
      </w:r>
      <w:r w:rsidRPr="00FB39BF">
        <w:t>assess</w:t>
      </w:r>
      <w:r w:rsidR="00B5689C">
        <w:t xml:space="preserve"> </w:t>
      </w:r>
      <w:r w:rsidRPr="00FB39BF">
        <w:t>the effectiveness of motor vehicle safety standards</w:t>
      </w:r>
      <w:r w:rsidR="002625AF">
        <w:t xml:space="preserve"> and</w:t>
      </w:r>
      <w:r w:rsidR="00B5689C">
        <w:t xml:space="preserve"> new and emerging technologies</w:t>
      </w:r>
      <w:r w:rsidRPr="00FB39BF">
        <w:t>.</w:t>
      </w:r>
      <w:r w:rsidR="001C60A2">
        <w:t xml:space="preserve">  NHTSA also use</w:t>
      </w:r>
      <w:r w:rsidR="005B7DBB">
        <w:t>s</w:t>
      </w:r>
      <w:r w:rsidR="001C60A2">
        <w:t xml:space="preserve"> the dataset </w:t>
      </w:r>
      <w:r w:rsidR="009B3EF5">
        <w:t>to support NHTSA’s Corporate Average Fuel Economy</w:t>
      </w:r>
      <w:r w:rsidR="00680D86">
        <w:t xml:space="preserve"> </w:t>
      </w:r>
      <w:r w:rsidR="00912240">
        <w:t>(CAFE)</w:t>
      </w:r>
      <w:r w:rsidR="009B3EF5">
        <w:t xml:space="preserve"> program. </w:t>
      </w:r>
      <w:r w:rsidR="00B36CB2">
        <w:t xml:space="preserve"> </w:t>
      </w:r>
      <w:r w:rsidR="00CC64C1">
        <w:t>Specif</w:t>
      </w:r>
      <w:r w:rsidR="00A434D5">
        <w:t>ically, NHT</w:t>
      </w:r>
      <w:r w:rsidR="00CB4D05">
        <w:t>SA use</w:t>
      </w:r>
      <w:r w:rsidR="005B7DBB">
        <w:t>s</w:t>
      </w:r>
      <w:r w:rsidR="00CB4D05">
        <w:t xml:space="preserve"> the data to complete</w:t>
      </w:r>
      <w:r w:rsidR="0037493F">
        <w:t xml:space="preserve"> the </w:t>
      </w:r>
      <w:r w:rsidRPr="003D46D0" w:rsidR="0037493F">
        <w:t>cost-benefit analys</w:t>
      </w:r>
      <w:r w:rsidR="00E03D50">
        <w:t>e</w:t>
      </w:r>
      <w:r w:rsidRPr="003D46D0" w:rsidR="0037493F">
        <w:t xml:space="preserve">s </w:t>
      </w:r>
      <w:r w:rsidR="00E03D50">
        <w:t xml:space="preserve">for </w:t>
      </w:r>
      <w:r w:rsidR="00A434D5">
        <w:t>CAFE rulemakings,</w:t>
      </w:r>
      <w:r w:rsidR="0037493F">
        <w:t xml:space="preserve"> </w:t>
      </w:r>
      <w:r w:rsidRPr="003D46D0" w:rsidR="0037493F">
        <w:t xml:space="preserve">including </w:t>
      </w:r>
      <w:r w:rsidR="00CB4D05">
        <w:t xml:space="preserve">using the data to evaluate </w:t>
      </w:r>
      <w:r w:rsidRPr="003D46D0" w:rsidR="0037493F">
        <w:t xml:space="preserve">the effects vehicle mass </w:t>
      </w:r>
      <w:r w:rsidR="0053322E">
        <w:t xml:space="preserve">has </w:t>
      </w:r>
      <w:r w:rsidRPr="003D46D0" w:rsidR="0037493F">
        <w:t>on fatalities.</w:t>
      </w:r>
      <w:r w:rsidR="0037493F">
        <w:t xml:space="preserve"> </w:t>
      </w:r>
    </w:p>
    <w:p w:rsidR="007B1391" w:rsidP="00B85836" w14:paraId="299D0D1B" w14:textId="4C85AB29">
      <w:pPr>
        <w:spacing w:after="240"/>
      </w:pPr>
      <w:r w:rsidRPr="1A4ECEB2">
        <w:rPr>
          <w:rFonts w:cs="Times New Roman"/>
        </w:rPr>
        <w:t>NHTSA also use</w:t>
      </w:r>
      <w:r w:rsidRPr="1A4ECEB2" w:rsidR="7FBBC0DE">
        <w:rPr>
          <w:rFonts w:cs="Times New Roman"/>
        </w:rPr>
        <w:t>s</w:t>
      </w:r>
      <w:r w:rsidRPr="1A4ECEB2">
        <w:rPr>
          <w:rFonts w:cs="Times New Roman"/>
        </w:rPr>
        <w:t xml:space="preserve"> th</w:t>
      </w:r>
      <w:r w:rsidRPr="1A4ECEB2" w:rsidR="43D54CDA">
        <w:rPr>
          <w:rFonts w:cs="Times New Roman"/>
        </w:rPr>
        <w:t>e</w:t>
      </w:r>
      <w:r w:rsidRPr="1A4ECEB2">
        <w:rPr>
          <w:rFonts w:cs="Times New Roman"/>
        </w:rPr>
        <w:t xml:space="preserve"> information </w:t>
      </w:r>
      <w:r w:rsidRPr="1A4ECEB2" w:rsidR="333670FB">
        <w:rPr>
          <w:rFonts w:cs="Times New Roman"/>
        </w:rPr>
        <w:t xml:space="preserve">collected </w:t>
      </w:r>
      <w:r w:rsidRPr="1A4ECEB2">
        <w:rPr>
          <w:rFonts w:cs="Times New Roman"/>
        </w:rPr>
        <w:t xml:space="preserve">to </w:t>
      </w:r>
      <w:r w:rsidRPr="1A4ECEB2" w:rsidR="6178CED7">
        <w:rPr>
          <w:rFonts w:cs="Times New Roman"/>
        </w:rPr>
        <w:t xml:space="preserve">support </w:t>
      </w:r>
      <w:r w:rsidRPr="1A4ECEB2" w:rsidR="710D717F">
        <w:rPr>
          <w:rFonts w:cs="Times New Roman"/>
        </w:rPr>
        <w:t>NHTSA’s</w:t>
      </w:r>
      <w:r w:rsidRPr="1A4ECEB2" w:rsidR="6178CED7">
        <w:rPr>
          <w:rFonts w:cs="Times New Roman"/>
        </w:rPr>
        <w:t xml:space="preserve"> </w:t>
      </w:r>
      <w:r w:rsidR="43D54CDA">
        <w:t>Fatality Analysis Reporting System (FARS), Crash Report Sampling System (CRSS), Crash Investigation Sampling System (CISS)</w:t>
      </w:r>
      <w:r w:rsidR="6178CED7">
        <w:t xml:space="preserve">, </w:t>
      </w:r>
      <w:r w:rsidR="4B0F0CB0">
        <w:t xml:space="preserve">Special Crash Investigation (SCI), Non-Traffic Surveillance (NTS), Crash Injury Research and Engineering Network (CIREN), </w:t>
      </w:r>
      <w:r w:rsidR="6178CED7">
        <w:t>and</w:t>
      </w:r>
      <w:r w:rsidR="689CF4AE">
        <w:t xml:space="preserve"> </w:t>
      </w:r>
      <w:r w:rsidR="43D54CDA">
        <w:t>other data collection programs</w:t>
      </w:r>
      <w:r w:rsidR="6178CED7">
        <w:t xml:space="preserve"> by pre</w:t>
      </w:r>
      <w:r w:rsidR="67B26A69">
        <w:t>-</w:t>
      </w:r>
      <w:r w:rsidR="6178CED7">
        <w:t>populating data where possible and leveraging the data for sample</w:t>
      </w:r>
      <w:r w:rsidR="467DC4D4">
        <w:t xml:space="preserve"> selection</w:t>
      </w:r>
      <w:r w:rsidR="6178CED7">
        <w:t>, etc</w:t>
      </w:r>
      <w:r w:rsidR="43D54CDA">
        <w:t>.  NHTSA</w:t>
      </w:r>
      <w:r>
        <w:t xml:space="preserve"> </w:t>
      </w:r>
      <w:r w:rsidR="43D54CDA">
        <w:t>also share</w:t>
      </w:r>
      <w:r w:rsidR="61BCD439">
        <w:t>s</w:t>
      </w:r>
      <w:r w:rsidR="43D54CDA">
        <w:t xml:space="preserve"> the data with other </w:t>
      </w:r>
      <w:r w:rsidR="0B992709">
        <w:t>Department of Transportation (</w:t>
      </w:r>
      <w:r w:rsidR="43D54CDA">
        <w:t>DOT</w:t>
      </w:r>
      <w:r w:rsidR="0B992709">
        <w:t>)</w:t>
      </w:r>
      <w:r w:rsidR="43D54CDA">
        <w:t xml:space="preserve"> agencies that analyze crash data for motor vehicle and traffic safety trends</w:t>
      </w:r>
      <w:r w:rsidR="6178CED7">
        <w:t>.</w:t>
      </w:r>
      <w:r w:rsidR="3881D489">
        <w:t xml:space="preserve"> </w:t>
      </w:r>
      <w:r w:rsidR="32FC542A">
        <w:t xml:space="preserve">In the future, </w:t>
      </w:r>
      <w:r w:rsidR="19C3D212">
        <w:t xml:space="preserve">the data </w:t>
      </w:r>
      <w:r w:rsidR="039B4E8F">
        <w:t xml:space="preserve">received through the </w:t>
      </w:r>
      <w:r w:rsidR="32FC542A">
        <w:t xml:space="preserve">SEDC </w:t>
      </w:r>
      <w:r w:rsidR="46AD15BF">
        <w:t xml:space="preserve">program </w:t>
      </w:r>
      <w:r w:rsidR="19C3D212">
        <w:t xml:space="preserve">will be </w:t>
      </w:r>
      <w:r w:rsidR="32FC542A">
        <w:t xml:space="preserve">made available to the </w:t>
      </w:r>
      <w:r w:rsidR="19C3D212">
        <w:t>public</w:t>
      </w:r>
      <w:r w:rsidR="32FC542A">
        <w:t xml:space="preserve"> as prescribed </w:t>
      </w:r>
      <w:r w:rsidR="4848E620">
        <w:t>by</w:t>
      </w:r>
      <w:r w:rsidR="32FC542A">
        <w:t xml:space="preserve"> the BIL</w:t>
      </w:r>
      <w:r w:rsidR="039B4E8F">
        <w:t>.</w:t>
      </w:r>
    </w:p>
    <w:p w:rsidR="007B1391" w:rsidP="009E4561" w14:paraId="47DF42F7" w14:textId="6155562D">
      <w:pPr>
        <w:pStyle w:val="CommentText"/>
        <w:rPr>
          <w:rFonts w:ascii="Times New Roman" w:hAnsi="Times New Roman"/>
          <w:sz w:val="24"/>
          <w:szCs w:val="24"/>
        </w:rPr>
      </w:pPr>
      <w:bookmarkStart w:id="6" w:name="_Hlk90640644"/>
      <w:r w:rsidRPr="004A6D9D">
        <w:rPr>
          <w:rFonts w:ascii="Times New Roman" w:hAnsi="Times New Roman"/>
          <w:sz w:val="24"/>
          <w:szCs w:val="24"/>
        </w:rPr>
        <w:t xml:space="preserve">The annual burden </w:t>
      </w:r>
      <w:r w:rsidRPr="5FA3B962" w:rsidR="000D582F">
        <w:rPr>
          <w:rFonts w:ascii="Times New Roman" w:hAnsi="Times New Roman"/>
          <w:sz w:val="24"/>
          <w:szCs w:val="24"/>
        </w:rPr>
        <w:t>for this collection is 312,663 hours and $</w:t>
      </w:r>
      <w:r w:rsidR="00BB4229">
        <w:rPr>
          <w:rFonts w:ascii="Times New Roman" w:hAnsi="Times New Roman"/>
          <w:sz w:val="24"/>
          <w:szCs w:val="24"/>
        </w:rPr>
        <w:t>2</w:t>
      </w:r>
      <w:r w:rsidR="003D1E4D">
        <w:rPr>
          <w:rFonts w:ascii="Times New Roman" w:hAnsi="Times New Roman"/>
          <w:sz w:val="24"/>
          <w:szCs w:val="24"/>
        </w:rPr>
        <w:t>5</w:t>
      </w:r>
      <w:r w:rsidR="00BB4229">
        <w:rPr>
          <w:rFonts w:ascii="Times New Roman" w:hAnsi="Times New Roman"/>
          <w:sz w:val="24"/>
          <w:szCs w:val="24"/>
        </w:rPr>
        <w:t>,</w:t>
      </w:r>
      <w:r w:rsidR="00161456">
        <w:rPr>
          <w:rFonts w:ascii="Times New Roman" w:hAnsi="Times New Roman"/>
          <w:sz w:val="24"/>
          <w:szCs w:val="24"/>
        </w:rPr>
        <w:t>000,000</w:t>
      </w:r>
      <w:r w:rsidRPr="5FA3B962" w:rsidR="000D582F">
        <w:rPr>
          <w:rFonts w:ascii="Times New Roman" w:hAnsi="Times New Roman"/>
          <w:sz w:val="24"/>
          <w:szCs w:val="24"/>
        </w:rPr>
        <w:t>. This is an increase of 311,980 hours and $</w:t>
      </w:r>
      <w:r w:rsidR="001D3841">
        <w:rPr>
          <w:rFonts w:ascii="Times New Roman" w:hAnsi="Times New Roman"/>
          <w:sz w:val="24"/>
          <w:szCs w:val="24"/>
        </w:rPr>
        <w:t>25,</w:t>
      </w:r>
      <w:r w:rsidR="00161456">
        <w:rPr>
          <w:rFonts w:ascii="Times New Roman" w:hAnsi="Times New Roman"/>
          <w:sz w:val="24"/>
          <w:szCs w:val="24"/>
        </w:rPr>
        <w:t>000,000</w:t>
      </w:r>
      <w:r w:rsidRPr="5FA3B962" w:rsidR="000D582F">
        <w:rPr>
          <w:rFonts w:ascii="Times New Roman" w:hAnsi="Times New Roman"/>
          <w:sz w:val="24"/>
          <w:szCs w:val="24"/>
        </w:rPr>
        <w:t xml:space="preserve"> from when the information collection was last approved (from 683 hours and $</w:t>
      </w:r>
      <w:r w:rsidR="004C4523">
        <w:rPr>
          <w:rFonts w:ascii="Times New Roman" w:hAnsi="Times New Roman"/>
          <w:sz w:val="24"/>
          <w:szCs w:val="24"/>
        </w:rPr>
        <w:t>0</w:t>
      </w:r>
      <w:r w:rsidRPr="5FA3B962" w:rsidR="000D582F">
        <w:rPr>
          <w:rFonts w:ascii="Times New Roman" w:hAnsi="Times New Roman"/>
          <w:sz w:val="24"/>
          <w:szCs w:val="24"/>
        </w:rPr>
        <w:t>).</w:t>
      </w:r>
      <w:r w:rsidRPr="5FA3B962">
        <w:rPr>
          <w:rFonts w:ascii="Times New Roman" w:hAnsi="Times New Roman"/>
          <w:sz w:val="24"/>
          <w:szCs w:val="24"/>
        </w:rPr>
        <w:t xml:space="preserve"> </w:t>
      </w:r>
      <w:r w:rsidRPr="004A6D9D">
        <w:rPr>
          <w:rFonts w:ascii="Times New Roman" w:hAnsi="Times New Roman"/>
          <w:sz w:val="24"/>
          <w:szCs w:val="24"/>
        </w:rPr>
        <w:t xml:space="preserve">The adjustment in burden hours is due to the </w:t>
      </w:r>
      <w:r w:rsidR="0039303E">
        <w:rPr>
          <w:rFonts w:ascii="Times New Roman" w:hAnsi="Times New Roman"/>
          <w:sz w:val="24"/>
          <w:szCs w:val="24"/>
        </w:rPr>
        <w:t xml:space="preserve">new SEDC grant program.  </w:t>
      </w:r>
      <w:r w:rsidR="00251FB1">
        <w:rPr>
          <w:rFonts w:ascii="Times New Roman" w:hAnsi="Times New Roman"/>
          <w:sz w:val="24"/>
          <w:szCs w:val="24"/>
        </w:rPr>
        <w:t xml:space="preserve">SEDC </w:t>
      </w:r>
      <w:r w:rsidR="00390779">
        <w:rPr>
          <w:rFonts w:ascii="Times New Roman" w:hAnsi="Times New Roman"/>
          <w:sz w:val="24"/>
          <w:szCs w:val="24"/>
        </w:rPr>
        <w:t xml:space="preserve">grants </w:t>
      </w:r>
      <w:r w:rsidR="00317AA7">
        <w:rPr>
          <w:rFonts w:ascii="Times New Roman" w:hAnsi="Times New Roman"/>
          <w:sz w:val="24"/>
          <w:szCs w:val="24"/>
        </w:rPr>
        <w:t>increase the number of state</w:t>
      </w:r>
      <w:r w:rsidR="007761D2">
        <w:rPr>
          <w:rFonts w:ascii="Times New Roman" w:hAnsi="Times New Roman"/>
          <w:sz w:val="24"/>
          <w:szCs w:val="24"/>
        </w:rPr>
        <w:t>s</w:t>
      </w:r>
      <w:r w:rsidR="00317AA7">
        <w:rPr>
          <w:rFonts w:ascii="Times New Roman" w:hAnsi="Times New Roman"/>
          <w:sz w:val="24"/>
          <w:szCs w:val="24"/>
        </w:rPr>
        <w:t xml:space="preserve"> participating and will</w:t>
      </w:r>
      <w:r w:rsidR="00390779">
        <w:rPr>
          <w:rFonts w:ascii="Times New Roman" w:hAnsi="Times New Roman"/>
          <w:sz w:val="24"/>
          <w:szCs w:val="24"/>
        </w:rPr>
        <w:t xml:space="preserve"> </w:t>
      </w:r>
      <w:r w:rsidR="001874EE">
        <w:rPr>
          <w:rFonts w:ascii="Times New Roman" w:hAnsi="Times New Roman"/>
          <w:sz w:val="24"/>
          <w:szCs w:val="24"/>
        </w:rPr>
        <w:t xml:space="preserve">increase the burden on the states because the </w:t>
      </w:r>
      <w:r w:rsidR="008228F9">
        <w:rPr>
          <w:rFonts w:ascii="Times New Roman" w:hAnsi="Times New Roman"/>
          <w:sz w:val="24"/>
          <w:szCs w:val="24"/>
        </w:rPr>
        <w:t xml:space="preserve">SEDC </w:t>
      </w:r>
      <w:r w:rsidR="00481F2F">
        <w:rPr>
          <w:rFonts w:ascii="Times New Roman" w:hAnsi="Times New Roman"/>
          <w:sz w:val="24"/>
          <w:szCs w:val="24"/>
        </w:rPr>
        <w:t>S</w:t>
      </w:r>
      <w:r w:rsidR="008228F9">
        <w:rPr>
          <w:rFonts w:ascii="Times New Roman" w:hAnsi="Times New Roman"/>
          <w:sz w:val="24"/>
          <w:szCs w:val="24"/>
        </w:rPr>
        <w:t>tates will be</w:t>
      </w:r>
      <w:r w:rsidR="007761D2">
        <w:rPr>
          <w:rFonts w:ascii="Times New Roman" w:hAnsi="Times New Roman"/>
          <w:sz w:val="24"/>
          <w:szCs w:val="24"/>
        </w:rPr>
        <w:t xml:space="preserve"> </w:t>
      </w:r>
      <w:r w:rsidR="00AF4096">
        <w:rPr>
          <w:rFonts w:ascii="Times New Roman" w:hAnsi="Times New Roman"/>
          <w:sz w:val="24"/>
          <w:szCs w:val="24"/>
        </w:rPr>
        <w:t xml:space="preserve">required to </w:t>
      </w:r>
      <w:r w:rsidRPr="004A6D9D">
        <w:rPr>
          <w:rFonts w:ascii="Times New Roman" w:hAnsi="Times New Roman"/>
          <w:sz w:val="24"/>
          <w:szCs w:val="24"/>
        </w:rPr>
        <w:t xml:space="preserve">increase </w:t>
      </w:r>
      <w:r w:rsidR="000519C3">
        <w:rPr>
          <w:rFonts w:ascii="Times New Roman" w:hAnsi="Times New Roman"/>
          <w:sz w:val="24"/>
          <w:szCs w:val="24"/>
        </w:rPr>
        <w:t xml:space="preserve">their alignment to MMUCC and </w:t>
      </w:r>
      <w:r w:rsidR="000519C3">
        <w:rPr>
          <w:rFonts w:ascii="Times New Roman" w:hAnsi="Times New Roman"/>
          <w:sz w:val="24"/>
          <w:szCs w:val="24"/>
        </w:rPr>
        <w:t>transmit st</w:t>
      </w:r>
      <w:r w:rsidR="00251FB1">
        <w:rPr>
          <w:rFonts w:ascii="Times New Roman" w:hAnsi="Times New Roman"/>
          <w:sz w:val="24"/>
          <w:szCs w:val="24"/>
        </w:rPr>
        <w:t>andardized data</w:t>
      </w:r>
      <w:r w:rsidR="005938C2">
        <w:rPr>
          <w:rFonts w:ascii="Times New Roman" w:hAnsi="Times New Roman"/>
          <w:sz w:val="24"/>
          <w:szCs w:val="24"/>
        </w:rPr>
        <w:t>.</w:t>
      </w:r>
      <w:r w:rsidR="006E091E">
        <w:rPr>
          <w:rFonts w:ascii="Times New Roman" w:hAnsi="Times New Roman"/>
          <w:sz w:val="24"/>
          <w:szCs w:val="24"/>
        </w:rPr>
        <w:t xml:space="preserve"> However, </w:t>
      </w:r>
      <w:r w:rsidR="00291155">
        <w:rPr>
          <w:rFonts w:ascii="Times New Roman" w:hAnsi="Times New Roman"/>
          <w:sz w:val="24"/>
          <w:szCs w:val="24"/>
        </w:rPr>
        <w:t>NHTSA can provide 80</w:t>
      </w:r>
      <w:r w:rsidR="005938C2">
        <w:rPr>
          <w:rFonts w:ascii="Times New Roman" w:hAnsi="Times New Roman"/>
          <w:sz w:val="24"/>
          <w:szCs w:val="24"/>
        </w:rPr>
        <w:t xml:space="preserve"> </w:t>
      </w:r>
      <w:r w:rsidR="00291155">
        <w:rPr>
          <w:rFonts w:ascii="Times New Roman" w:hAnsi="Times New Roman"/>
          <w:sz w:val="24"/>
          <w:szCs w:val="24"/>
        </w:rPr>
        <w:t xml:space="preserve">percent of the funds for the </w:t>
      </w:r>
      <w:r w:rsidR="0029451C">
        <w:rPr>
          <w:rFonts w:ascii="Times New Roman" w:hAnsi="Times New Roman"/>
          <w:sz w:val="24"/>
          <w:szCs w:val="24"/>
        </w:rPr>
        <w:t>SEDC grant program,</w:t>
      </w:r>
      <w:r w:rsidR="00745C9B">
        <w:rPr>
          <w:rFonts w:ascii="Times New Roman" w:hAnsi="Times New Roman"/>
          <w:sz w:val="24"/>
          <w:szCs w:val="24"/>
        </w:rPr>
        <w:t xml:space="preserve"> so the State respondent </w:t>
      </w:r>
      <w:r w:rsidR="007E3721">
        <w:rPr>
          <w:rFonts w:ascii="Times New Roman" w:hAnsi="Times New Roman"/>
          <w:sz w:val="24"/>
          <w:szCs w:val="24"/>
        </w:rPr>
        <w:t xml:space="preserve">must </w:t>
      </w:r>
      <w:r w:rsidR="00745C9B">
        <w:rPr>
          <w:rFonts w:ascii="Times New Roman" w:hAnsi="Times New Roman"/>
          <w:sz w:val="24"/>
          <w:szCs w:val="24"/>
        </w:rPr>
        <w:t xml:space="preserve">provide </w:t>
      </w:r>
      <w:r w:rsidR="007E3721">
        <w:rPr>
          <w:rFonts w:ascii="Times New Roman" w:hAnsi="Times New Roman"/>
          <w:sz w:val="24"/>
          <w:szCs w:val="24"/>
        </w:rPr>
        <w:t xml:space="preserve">at least </w:t>
      </w:r>
      <w:r w:rsidR="00745C9B">
        <w:rPr>
          <w:rFonts w:ascii="Times New Roman" w:hAnsi="Times New Roman"/>
          <w:sz w:val="24"/>
          <w:szCs w:val="24"/>
        </w:rPr>
        <w:t xml:space="preserve">20 percent or about </w:t>
      </w:r>
      <w:r w:rsidR="009F60BE">
        <w:rPr>
          <w:rFonts w:ascii="Times New Roman" w:hAnsi="Times New Roman"/>
          <w:sz w:val="24"/>
          <w:szCs w:val="24"/>
        </w:rPr>
        <w:t xml:space="preserve">$5,000,000 annually. </w:t>
      </w:r>
      <w:r w:rsidR="005938C2">
        <w:rPr>
          <w:rFonts w:ascii="Times New Roman" w:hAnsi="Times New Roman"/>
          <w:sz w:val="24"/>
          <w:szCs w:val="24"/>
        </w:rPr>
        <w:t xml:space="preserve"> </w:t>
      </w:r>
      <w:bookmarkEnd w:id="6"/>
    </w:p>
    <w:p w:rsidR="0086290E" w:rsidRPr="0086290E" w:rsidP="0086290E" w14:paraId="344EF4DB" w14:textId="77777777">
      <w:pPr>
        <w:pStyle w:val="Default"/>
      </w:pPr>
    </w:p>
    <w:p w:rsidR="000154D7" w:rsidRPr="005271A9" w:rsidP="005271A9" w14:paraId="54144AFA"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A650D" w:rsidP="00970234" w14:paraId="298D355C" w14:textId="77777777">
      <w:pPr>
        <w:spacing w:after="0"/>
      </w:pPr>
    </w:p>
    <w:p w:rsidR="000154D7" w:rsidRPr="00587D94" w:rsidP="00D109CC" w14:paraId="2944CA6A" w14:textId="77777777">
      <w:pPr>
        <w:pStyle w:val="Heading2"/>
      </w:pPr>
      <w:bookmarkStart w:id="7" w:name="_Hlk51324508"/>
      <w:r w:rsidRPr="00587D94">
        <w:rPr>
          <w:rStyle w:val="Heading2Char"/>
          <w:b/>
        </w:rPr>
        <w:t>Explain the circumstances that mak</w:t>
      </w:r>
      <w:r w:rsidRPr="00587D94" w:rsidR="004668D3">
        <w:rPr>
          <w:rStyle w:val="Heading2Char"/>
          <w:b/>
        </w:rPr>
        <w:t>e the collection of information</w:t>
      </w:r>
      <w:r w:rsidRPr="00587D94">
        <w:rPr>
          <w:rStyle w:val="Heading2Char"/>
          <w:b/>
        </w:rPr>
        <w:t xml:space="preserve"> necessary. Identify any legal </w:t>
      </w:r>
      <w:r w:rsidRPr="00D109CC">
        <w:t>and administrative requirements that necessitate the collection. Attach a copy of the appropriate section of each statute and regulation mandating or authorizing the collection of information</w:t>
      </w:r>
      <w:r w:rsidRPr="00587D94">
        <w:t>.</w:t>
      </w:r>
    </w:p>
    <w:p w:rsidR="00975B0E" w:rsidRPr="00103B28" w:rsidP="00E2776B" w14:paraId="4F15FCA1" w14:textId="341FE9B3">
      <w:pPr>
        <w:autoSpaceDE w:val="0"/>
        <w:autoSpaceDN w:val="0"/>
        <w:adjustRightInd w:val="0"/>
        <w:spacing w:before="120" w:after="120"/>
        <w:ind w:left="720"/>
        <w:rPr>
          <w:rFonts w:cs="Times New Roman"/>
          <w:color w:val="000000"/>
        </w:rPr>
      </w:pPr>
      <w:bookmarkStart w:id="8" w:name="_Hlk66707783"/>
      <w:bookmarkEnd w:id="7"/>
      <w:r w:rsidRPr="5FA3B962">
        <w:rPr>
          <w:rFonts w:cs="Times New Roman"/>
          <w:color w:val="000000" w:themeColor="text1"/>
        </w:rPr>
        <w:t>NHTSA is authorized by 49 U.S.C. § 30182 and 23 U.S.C. § 403 to collect data on motor vehicle traffic crashes to aid in the identification of issues and the development, implementation, and evaluation of motor vehicle and highway safety countermeasures. The information collected serves to identify and develop safety countermeasures that will reduce deaths, injuries, and economic losses resulting from motor vehicle crashes.</w:t>
      </w:r>
    </w:p>
    <w:p w:rsidR="007C3098" w:rsidRPr="0092452A" w:rsidP="007C3098" w14:paraId="19898834" w14:textId="46E66B62">
      <w:pPr>
        <w:tabs>
          <w:tab w:val="left" w:pos="-720"/>
          <w:tab w:val="left" w:pos="540"/>
        </w:tabs>
        <w:ind w:left="720"/>
        <w:rPr>
          <w:rFonts w:cs="Times New Roman"/>
          <w:color w:val="000000"/>
          <w:szCs w:val="24"/>
        </w:rPr>
      </w:pPr>
      <w:bookmarkStart w:id="9" w:name="_Hlk66707617"/>
      <w:bookmarkEnd w:id="8"/>
      <w:r w:rsidRPr="0092452A">
        <w:rPr>
          <w:rFonts w:cs="Times New Roman"/>
          <w:color w:val="000000"/>
          <w:szCs w:val="24"/>
        </w:rPr>
        <w:t xml:space="preserve">The SDT data </w:t>
      </w:r>
      <w:r w:rsidR="00AB3A20">
        <w:rPr>
          <w:rFonts w:cs="Times New Roman"/>
          <w:color w:val="000000"/>
          <w:szCs w:val="24"/>
        </w:rPr>
        <w:t>are</w:t>
      </w:r>
      <w:r w:rsidRPr="0092452A">
        <w:rPr>
          <w:rFonts w:cs="Times New Roman"/>
          <w:color w:val="000000"/>
          <w:szCs w:val="24"/>
        </w:rPr>
        <w:t xml:space="preserve"> </w:t>
      </w:r>
      <w:r w:rsidR="0051377F">
        <w:rPr>
          <w:rFonts w:cs="Times New Roman"/>
          <w:color w:val="000000"/>
          <w:szCs w:val="24"/>
        </w:rPr>
        <w:t xml:space="preserve">used to generate a </w:t>
      </w:r>
      <w:r w:rsidRPr="0092452A">
        <w:rPr>
          <w:rFonts w:cs="Times New Roman"/>
          <w:color w:val="000000"/>
          <w:szCs w:val="24"/>
        </w:rPr>
        <w:t xml:space="preserve">census of police reported crashes </w:t>
      </w:r>
      <w:r w:rsidRPr="0092452A" w:rsidR="008B150F">
        <w:rPr>
          <w:rFonts w:cs="Times New Roman"/>
          <w:color w:val="000000"/>
          <w:szCs w:val="24"/>
        </w:rPr>
        <w:t>occur</w:t>
      </w:r>
      <w:r w:rsidR="008B150F">
        <w:rPr>
          <w:rFonts w:cs="Times New Roman"/>
          <w:color w:val="000000"/>
          <w:szCs w:val="24"/>
        </w:rPr>
        <w:t>ring</w:t>
      </w:r>
      <w:r w:rsidRPr="0092452A">
        <w:rPr>
          <w:rFonts w:cs="Times New Roman"/>
          <w:color w:val="000000"/>
          <w:szCs w:val="24"/>
        </w:rPr>
        <w:t xml:space="preserve"> within the</w:t>
      </w:r>
      <w:r>
        <w:rPr>
          <w:rFonts w:cs="Times New Roman"/>
          <w:color w:val="000000"/>
          <w:szCs w:val="24"/>
        </w:rPr>
        <w:t xml:space="preserve"> participating </w:t>
      </w:r>
      <w:r w:rsidR="00BB7815">
        <w:rPr>
          <w:rFonts w:cs="Times New Roman"/>
          <w:color w:val="000000"/>
          <w:szCs w:val="24"/>
        </w:rPr>
        <w:t>S</w:t>
      </w:r>
      <w:r w:rsidRPr="0092452A">
        <w:rPr>
          <w:rFonts w:cs="Times New Roman"/>
          <w:color w:val="000000"/>
          <w:szCs w:val="24"/>
        </w:rPr>
        <w:t>tate</w:t>
      </w:r>
      <w:r w:rsidR="0051377F">
        <w:rPr>
          <w:rFonts w:cs="Times New Roman"/>
          <w:color w:val="000000"/>
          <w:szCs w:val="24"/>
        </w:rPr>
        <w:t>s</w:t>
      </w:r>
      <w:r w:rsidRPr="0092452A">
        <w:rPr>
          <w:rFonts w:cs="Times New Roman"/>
          <w:color w:val="000000"/>
          <w:szCs w:val="24"/>
        </w:rPr>
        <w:t xml:space="preserve">.  The State agencies </w:t>
      </w:r>
      <w:r w:rsidR="0051377F">
        <w:rPr>
          <w:rFonts w:cs="Times New Roman"/>
          <w:color w:val="000000"/>
          <w:szCs w:val="24"/>
        </w:rPr>
        <w:t xml:space="preserve">already </w:t>
      </w:r>
      <w:r w:rsidRPr="0092452A">
        <w:rPr>
          <w:rFonts w:cs="Times New Roman"/>
          <w:color w:val="000000"/>
          <w:szCs w:val="24"/>
        </w:rPr>
        <w:t xml:space="preserve">collect </w:t>
      </w:r>
      <w:r>
        <w:rPr>
          <w:rFonts w:cs="Times New Roman"/>
          <w:color w:val="000000"/>
          <w:szCs w:val="24"/>
        </w:rPr>
        <w:t xml:space="preserve">the information on </w:t>
      </w:r>
      <w:r w:rsidR="008777FD">
        <w:rPr>
          <w:rFonts w:cs="Times New Roman"/>
          <w:color w:val="000000"/>
          <w:szCs w:val="24"/>
        </w:rPr>
        <w:t>PAR</w:t>
      </w:r>
      <w:r>
        <w:rPr>
          <w:rFonts w:cs="Times New Roman"/>
          <w:color w:val="000000"/>
          <w:szCs w:val="24"/>
        </w:rPr>
        <w:t>s</w:t>
      </w:r>
      <w:r w:rsidRPr="0092452A">
        <w:rPr>
          <w:rFonts w:cs="Times New Roman"/>
          <w:color w:val="000000"/>
          <w:szCs w:val="24"/>
        </w:rPr>
        <w:t xml:space="preserve"> for </w:t>
      </w:r>
      <w:r>
        <w:rPr>
          <w:rFonts w:cs="Times New Roman"/>
          <w:color w:val="000000"/>
          <w:szCs w:val="24"/>
        </w:rPr>
        <w:t xml:space="preserve">their </w:t>
      </w:r>
      <w:r w:rsidR="0051377F">
        <w:rPr>
          <w:rFonts w:cs="Times New Roman"/>
          <w:color w:val="000000"/>
          <w:szCs w:val="24"/>
        </w:rPr>
        <w:t xml:space="preserve">own </w:t>
      </w:r>
      <w:r w:rsidRPr="0092452A">
        <w:rPr>
          <w:rFonts w:cs="Times New Roman"/>
          <w:color w:val="000000"/>
          <w:szCs w:val="24"/>
        </w:rPr>
        <w:t xml:space="preserve">needs.  The data are collected in various formats and timelines according to each State’s collection programs and systems.  </w:t>
      </w:r>
      <w:r>
        <w:rPr>
          <w:rFonts w:cs="Times New Roman"/>
          <w:color w:val="000000"/>
          <w:szCs w:val="24"/>
        </w:rPr>
        <w:t>SDT</w:t>
      </w:r>
      <w:r w:rsidR="0051377F">
        <w:rPr>
          <w:rFonts w:cs="Times New Roman"/>
          <w:color w:val="000000"/>
          <w:szCs w:val="24"/>
        </w:rPr>
        <w:t xml:space="preserve"> enable</w:t>
      </w:r>
      <w:r w:rsidR="00F7329F">
        <w:rPr>
          <w:rFonts w:cs="Times New Roman"/>
          <w:color w:val="000000"/>
          <w:szCs w:val="24"/>
        </w:rPr>
        <w:t>s</w:t>
      </w:r>
      <w:r>
        <w:rPr>
          <w:rFonts w:cs="Times New Roman"/>
          <w:color w:val="000000"/>
          <w:szCs w:val="24"/>
        </w:rPr>
        <w:t xml:space="preserve"> NHTSA</w:t>
      </w:r>
      <w:r w:rsidR="0051377F">
        <w:rPr>
          <w:rFonts w:cs="Times New Roman"/>
          <w:color w:val="000000"/>
          <w:szCs w:val="24"/>
        </w:rPr>
        <w:t xml:space="preserve"> to</w:t>
      </w:r>
      <w:r>
        <w:rPr>
          <w:rFonts w:cs="Times New Roman"/>
          <w:color w:val="000000"/>
          <w:szCs w:val="24"/>
        </w:rPr>
        <w:t xml:space="preserve"> </w:t>
      </w:r>
      <w:r w:rsidR="0051377F">
        <w:rPr>
          <w:rFonts w:cs="Times New Roman"/>
          <w:color w:val="000000"/>
          <w:szCs w:val="24"/>
        </w:rPr>
        <w:t xml:space="preserve">develop </w:t>
      </w:r>
      <w:r w:rsidR="005D21B8">
        <w:rPr>
          <w:rFonts w:cs="Times New Roman"/>
          <w:color w:val="000000"/>
          <w:szCs w:val="24"/>
        </w:rPr>
        <w:t xml:space="preserve">a census of </w:t>
      </w:r>
      <w:r w:rsidR="00843791">
        <w:rPr>
          <w:rFonts w:cs="Times New Roman"/>
          <w:color w:val="000000"/>
          <w:szCs w:val="24"/>
        </w:rPr>
        <w:t xml:space="preserve">participating </w:t>
      </w:r>
      <w:r w:rsidRPr="0092452A">
        <w:rPr>
          <w:rFonts w:cs="Times New Roman"/>
          <w:color w:val="000000"/>
          <w:szCs w:val="24"/>
        </w:rPr>
        <w:t>State</w:t>
      </w:r>
      <w:r w:rsidR="00843791">
        <w:rPr>
          <w:rFonts w:cs="Times New Roman"/>
          <w:color w:val="000000"/>
          <w:szCs w:val="24"/>
        </w:rPr>
        <w:t>s</w:t>
      </w:r>
      <w:r w:rsidR="00F65858">
        <w:rPr>
          <w:rFonts w:cs="Times New Roman"/>
          <w:color w:val="000000"/>
          <w:szCs w:val="24"/>
        </w:rPr>
        <w:t>’</w:t>
      </w:r>
      <w:r w:rsidRPr="0092452A">
        <w:rPr>
          <w:rFonts w:cs="Times New Roman"/>
          <w:color w:val="000000"/>
          <w:szCs w:val="24"/>
        </w:rPr>
        <w:t xml:space="preserve"> injury and property-damage-only crashes not available through any other NHTSA </w:t>
      </w:r>
      <w:r>
        <w:rPr>
          <w:rFonts w:cs="Times New Roman"/>
          <w:color w:val="000000"/>
          <w:szCs w:val="24"/>
        </w:rPr>
        <w:t>data collection program.</w:t>
      </w:r>
    </w:p>
    <w:p w:rsidR="00832266" w:rsidP="00832266" w14:paraId="4C3AF2F4" w14:textId="77777777">
      <w:pPr>
        <w:tabs>
          <w:tab w:val="left" w:pos="-720"/>
          <w:tab w:val="left" w:pos="540"/>
        </w:tabs>
        <w:ind w:left="720"/>
      </w:pPr>
      <w:bookmarkStart w:id="10" w:name="_Hlk66708455"/>
      <w:bookmarkEnd w:id="9"/>
      <w:r>
        <w:t xml:space="preserve">NHTSA </w:t>
      </w:r>
      <w:r w:rsidR="0051377F">
        <w:t xml:space="preserve">also </w:t>
      </w:r>
      <w:r w:rsidR="003212E5">
        <w:t>collects</w:t>
      </w:r>
      <w:r w:rsidR="0051377F">
        <w:t xml:space="preserve"> th</w:t>
      </w:r>
      <w:r w:rsidR="00C0346F">
        <w:t>e</w:t>
      </w:r>
      <w:r w:rsidR="003212E5">
        <w:t xml:space="preserve"> </w:t>
      </w:r>
      <w:r w:rsidR="008777FD">
        <w:t>PAR</w:t>
      </w:r>
      <w:r w:rsidR="00BB7815">
        <w:t xml:space="preserve"> </w:t>
      </w:r>
      <w:r w:rsidR="003212E5">
        <w:t>information</w:t>
      </w:r>
      <w:r w:rsidR="008F3120">
        <w:t xml:space="preserve"> </w:t>
      </w:r>
      <w:r w:rsidR="007D5B20">
        <w:t>via</w:t>
      </w:r>
      <w:r w:rsidR="003212E5">
        <w:t xml:space="preserve"> SDT </w:t>
      </w:r>
      <w:r w:rsidR="008F3120">
        <w:t xml:space="preserve">for </w:t>
      </w:r>
      <w:r w:rsidR="0051377F">
        <w:t xml:space="preserve">additional </w:t>
      </w:r>
      <w:r w:rsidR="008F3120">
        <w:t>use</w:t>
      </w:r>
      <w:r w:rsidR="0051377F">
        <w:t>s</w:t>
      </w:r>
      <w:r w:rsidR="008F3120">
        <w:t xml:space="preserve"> in </w:t>
      </w:r>
      <w:r w:rsidR="003212E5">
        <w:t xml:space="preserve">several </w:t>
      </w:r>
      <w:r w:rsidR="0051377F">
        <w:t xml:space="preserve">existing </w:t>
      </w:r>
      <w:r w:rsidR="003212E5">
        <w:t>data collection programs</w:t>
      </w:r>
      <w:r w:rsidR="008F3120">
        <w:t xml:space="preserve"> and special studies</w:t>
      </w:r>
      <w:r w:rsidR="003212E5">
        <w:t xml:space="preserve">. </w:t>
      </w:r>
      <w:r w:rsidR="007D5B20">
        <w:t xml:space="preserve"> </w:t>
      </w:r>
      <w:r>
        <w:t>The following are brief descriptions of these data collection programs:</w:t>
      </w:r>
    </w:p>
    <w:p w:rsidR="00832266" w:rsidP="00970234" w14:paraId="0C876019" w14:textId="77777777">
      <w:pPr>
        <w:pStyle w:val="ListParagraph"/>
        <w:numPr>
          <w:ilvl w:val="0"/>
          <w:numId w:val="12"/>
        </w:numPr>
        <w:tabs>
          <w:tab w:val="left" w:pos="-720"/>
          <w:tab w:val="left" w:pos="540"/>
        </w:tabs>
        <w:ind w:left="1267" w:hanging="187"/>
        <w:contextualSpacing w:val="0"/>
        <w:rPr>
          <w:rFonts w:cs="Times New Roman"/>
          <w:szCs w:val="24"/>
        </w:rPr>
      </w:pPr>
      <w:r>
        <w:rPr>
          <w:rFonts w:cs="Times New Roman"/>
          <w:szCs w:val="24"/>
        </w:rPr>
        <w:t>FARS (O</w:t>
      </w:r>
      <w:r w:rsidR="0051377F">
        <w:rPr>
          <w:rFonts w:cs="Times New Roman"/>
          <w:szCs w:val="24"/>
        </w:rPr>
        <w:t>MB</w:t>
      </w:r>
      <w:r>
        <w:rPr>
          <w:rFonts w:cs="Times New Roman"/>
          <w:szCs w:val="24"/>
        </w:rPr>
        <w:t xml:space="preserve"> Control No. 2127-0006) is a nationwide census of fatalities caused by motor vehicle traffic crashes.  In addition to </w:t>
      </w:r>
      <w:r w:rsidR="008777FD">
        <w:rPr>
          <w:rFonts w:cs="Times New Roman"/>
          <w:szCs w:val="24"/>
        </w:rPr>
        <w:t>PAR</w:t>
      </w:r>
      <w:r>
        <w:rPr>
          <w:rFonts w:cs="Times New Roman"/>
          <w:szCs w:val="24"/>
        </w:rPr>
        <w:t xml:space="preserve"> data</w:t>
      </w:r>
      <w:r w:rsidR="00A23A41">
        <w:rPr>
          <w:rFonts w:cs="Times New Roman"/>
          <w:szCs w:val="24"/>
        </w:rPr>
        <w:t>, FARS</w:t>
      </w:r>
      <w:r>
        <w:rPr>
          <w:rFonts w:cs="Times New Roman"/>
          <w:szCs w:val="24"/>
        </w:rPr>
        <w:t xml:space="preserve"> includ</w:t>
      </w:r>
      <w:r w:rsidR="00A23A41">
        <w:rPr>
          <w:rFonts w:cs="Times New Roman"/>
          <w:szCs w:val="24"/>
        </w:rPr>
        <w:t>es</w:t>
      </w:r>
      <w:r>
        <w:rPr>
          <w:rFonts w:cs="Times New Roman"/>
          <w:szCs w:val="24"/>
        </w:rPr>
        <w:t xml:space="preserve"> detailed information regarding the location of the crash, the vehicles, and the people involved</w:t>
      </w:r>
      <w:r w:rsidR="00A23A41">
        <w:rPr>
          <w:rFonts w:cs="Times New Roman"/>
          <w:szCs w:val="24"/>
        </w:rPr>
        <w:t>.</w:t>
      </w:r>
      <w:r>
        <w:rPr>
          <w:rFonts w:cs="Times New Roman"/>
          <w:szCs w:val="24"/>
        </w:rPr>
        <w:t xml:space="preserve"> </w:t>
      </w:r>
      <w:r w:rsidR="00A23A41">
        <w:rPr>
          <w:rFonts w:cs="Times New Roman"/>
          <w:szCs w:val="24"/>
        </w:rPr>
        <w:t xml:space="preserve"> </w:t>
      </w:r>
      <w:r>
        <w:rPr>
          <w:rFonts w:cs="Times New Roman"/>
          <w:szCs w:val="24"/>
        </w:rPr>
        <w:t xml:space="preserve">FARS cases can </w:t>
      </w:r>
      <w:r w:rsidR="00A23A41">
        <w:rPr>
          <w:rFonts w:cs="Times New Roman"/>
          <w:szCs w:val="24"/>
        </w:rPr>
        <w:t xml:space="preserve">also </w:t>
      </w:r>
      <w:r>
        <w:rPr>
          <w:rFonts w:cs="Times New Roman"/>
          <w:szCs w:val="24"/>
        </w:rPr>
        <w:t>include toxicology report data, medical records, medical examiner reports, etc.</w:t>
      </w:r>
      <w:r>
        <w:rPr>
          <w:rStyle w:val="FootnoteReference"/>
          <w:rFonts w:cs="Times New Roman"/>
          <w:szCs w:val="24"/>
        </w:rPr>
        <w:footnoteReference w:id="5"/>
      </w:r>
    </w:p>
    <w:p w:rsidR="00832266" w:rsidP="00970234" w14:paraId="407E504F" w14:textId="77777777">
      <w:pPr>
        <w:pStyle w:val="ListParagraph"/>
        <w:numPr>
          <w:ilvl w:val="0"/>
          <w:numId w:val="12"/>
        </w:numPr>
        <w:tabs>
          <w:tab w:val="left" w:pos="-720"/>
          <w:tab w:val="left" w:pos="540"/>
        </w:tabs>
        <w:ind w:left="1267" w:hanging="187"/>
        <w:contextualSpacing w:val="0"/>
        <w:rPr>
          <w:rFonts w:cs="Times New Roman"/>
          <w:szCs w:val="24"/>
        </w:rPr>
      </w:pPr>
      <w:r>
        <w:rPr>
          <w:rFonts w:cs="Times New Roman"/>
          <w:szCs w:val="24"/>
        </w:rPr>
        <w:t xml:space="preserve">CRSS (OMB Control No. 2127-0714) is a nationally representative sample of police-reported crashes involving all types of motor vehicles, pedestrians, and cyclists, ranging from property-damage-only crashes to those that result in fatalities.  CRSS data elements are a subset of the data elements on each State’s </w:t>
      </w:r>
      <w:r w:rsidR="008777FD">
        <w:rPr>
          <w:rFonts w:cs="Times New Roman"/>
          <w:szCs w:val="24"/>
        </w:rPr>
        <w:t>PAR</w:t>
      </w:r>
      <w:r>
        <w:rPr>
          <w:rFonts w:cs="Times New Roman"/>
          <w:szCs w:val="24"/>
        </w:rPr>
        <w:t>.</w:t>
      </w:r>
      <w:r>
        <w:rPr>
          <w:rStyle w:val="FootnoteReference"/>
          <w:rFonts w:cs="Times New Roman"/>
          <w:szCs w:val="24"/>
        </w:rPr>
        <w:footnoteReference w:id="6"/>
      </w:r>
      <w:r>
        <w:rPr>
          <w:rFonts w:cs="Times New Roman"/>
          <w:szCs w:val="24"/>
          <w:vertAlign w:val="superscript"/>
        </w:rPr>
        <w:t xml:space="preserve"> </w:t>
      </w:r>
    </w:p>
    <w:p w:rsidR="00832266" w:rsidP="00970234" w14:paraId="48DBCD80" w14:textId="10B26BE4">
      <w:pPr>
        <w:pStyle w:val="ListParagraph"/>
        <w:numPr>
          <w:ilvl w:val="0"/>
          <w:numId w:val="12"/>
        </w:numPr>
        <w:tabs>
          <w:tab w:val="left" w:pos="-720"/>
          <w:tab w:val="left" w:pos="540"/>
        </w:tabs>
        <w:ind w:left="1267" w:hanging="187"/>
        <w:contextualSpacing w:val="0"/>
        <w:rPr>
          <w:rFonts w:cs="Times New Roman"/>
          <w:szCs w:val="24"/>
        </w:rPr>
      </w:pPr>
      <w:r>
        <w:rPr>
          <w:rFonts w:cs="Times New Roman"/>
          <w:szCs w:val="24"/>
        </w:rPr>
        <w:t>Investigation-based Crash Data Studies (OMB Control Number 2127-0706)</w:t>
      </w:r>
      <w:r w:rsidR="00055626">
        <w:rPr>
          <w:rFonts w:cs="Times New Roman"/>
          <w:szCs w:val="24"/>
        </w:rPr>
        <w:t xml:space="preserve"> </w:t>
      </w:r>
      <w:r w:rsidR="000E0333">
        <w:rPr>
          <w:rFonts w:cs="Times New Roman"/>
          <w:szCs w:val="24"/>
        </w:rPr>
        <w:t>includes C</w:t>
      </w:r>
      <w:r w:rsidR="0096409B">
        <w:rPr>
          <w:rFonts w:cs="Times New Roman"/>
          <w:szCs w:val="24"/>
        </w:rPr>
        <w:t>ISS</w:t>
      </w:r>
      <w:r w:rsidR="000E0333">
        <w:rPr>
          <w:rFonts w:cs="Times New Roman"/>
          <w:szCs w:val="24"/>
        </w:rPr>
        <w:t xml:space="preserve">, </w:t>
      </w:r>
      <w:r w:rsidR="003D2D20">
        <w:rPr>
          <w:rFonts w:cs="Times New Roman"/>
          <w:szCs w:val="24"/>
        </w:rPr>
        <w:t>SCI and Special Studies.  CISS</w:t>
      </w:r>
      <w:r>
        <w:rPr>
          <w:rFonts w:cs="Times New Roman"/>
          <w:szCs w:val="24"/>
        </w:rPr>
        <w:t xml:space="preserve"> is a nationally representative sample of minor, serious, and fatal crashes involving at least one passenger vehicle—cars, light trucks, sport utility vehicles, and vans—towed from the scene.  CISS collects data at both the crash level through scene analysis and </w:t>
      </w:r>
      <w:r w:rsidR="00A23A41">
        <w:rPr>
          <w:rFonts w:cs="Times New Roman"/>
          <w:szCs w:val="24"/>
        </w:rPr>
        <w:t xml:space="preserve">the </w:t>
      </w:r>
      <w:r>
        <w:rPr>
          <w:rFonts w:cs="Times New Roman"/>
          <w:szCs w:val="24"/>
        </w:rPr>
        <w:t xml:space="preserve">vehicle level through vehicle damage assessment together with injury coding.  Data collected through CISS expands upon the information that is collected in a </w:t>
      </w:r>
      <w:r w:rsidR="008777FD">
        <w:rPr>
          <w:rFonts w:cs="Times New Roman"/>
          <w:szCs w:val="24"/>
        </w:rPr>
        <w:t>PAR</w:t>
      </w:r>
      <w:r>
        <w:rPr>
          <w:rFonts w:cs="Times New Roman"/>
          <w:szCs w:val="24"/>
        </w:rPr>
        <w:t>.</w:t>
      </w:r>
      <w:r>
        <w:rPr>
          <w:rStyle w:val="FootnoteReference"/>
          <w:rFonts w:cs="Times New Roman"/>
          <w:szCs w:val="24"/>
        </w:rPr>
        <w:footnoteReference w:id="7"/>
      </w:r>
    </w:p>
    <w:p w:rsidR="005D21B8" w:rsidP="0005099C" w14:paraId="3367896F" w14:textId="77777777">
      <w:pPr>
        <w:tabs>
          <w:tab w:val="left" w:pos="-720"/>
          <w:tab w:val="left" w:pos="540"/>
        </w:tabs>
        <w:ind w:left="1267"/>
        <w:rPr>
          <w:rFonts w:cs="Times New Roman"/>
          <w:szCs w:val="24"/>
        </w:rPr>
      </w:pPr>
      <w:r w:rsidRPr="51A6686D">
        <w:rPr>
          <w:rFonts w:cs="Times New Roman"/>
        </w:rPr>
        <w:t>The SCI</w:t>
      </w:r>
      <w:r w:rsidRPr="51A6686D" w:rsidR="00204058">
        <w:rPr>
          <w:rFonts w:cs="Times New Roman"/>
        </w:rPr>
        <w:t xml:space="preserve"> </w:t>
      </w:r>
      <w:r w:rsidR="00204058">
        <w:rPr>
          <w:lang w:val="en"/>
        </w:rPr>
        <w:t xml:space="preserve">Program provides NHTSA with the most in-depth crash data collected by the agency. </w:t>
      </w:r>
      <w:r w:rsidR="007D5B20">
        <w:rPr>
          <w:lang w:val="en"/>
        </w:rPr>
        <w:t xml:space="preserve"> </w:t>
      </w:r>
      <w:r w:rsidR="00204058">
        <w:rPr>
          <w:lang w:val="en"/>
        </w:rPr>
        <w:t xml:space="preserve">The data collected ranges from basic </w:t>
      </w:r>
      <w:r w:rsidR="007D5B20">
        <w:rPr>
          <w:lang w:val="en"/>
        </w:rPr>
        <w:t>information</w:t>
      </w:r>
      <w:r w:rsidR="00204058">
        <w:rPr>
          <w:lang w:val="en"/>
        </w:rPr>
        <w:t xml:space="preserve"> contained in routine police and insurance crash reports, to comprehensive data from special reports </w:t>
      </w:r>
      <w:r w:rsidR="007D5B20">
        <w:rPr>
          <w:lang w:val="en"/>
        </w:rPr>
        <w:t xml:space="preserve">produced </w:t>
      </w:r>
      <w:r w:rsidR="00204058">
        <w:rPr>
          <w:lang w:val="en"/>
        </w:rPr>
        <w:t xml:space="preserve">by professional crash investigation teams. </w:t>
      </w:r>
      <w:r w:rsidR="007D5B20">
        <w:rPr>
          <w:lang w:val="en"/>
        </w:rPr>
        <w:t xml:space="preserve"> </w:t>
      </w:r>
      <w:r w:rsidR="00204058">
        <w:rPr>
          <w:lang w:val="en"/>
        </w:rPr>
        <w:t>Hundreds of data elements relevant to the vehicle, occupants, injury mechanisms, roadway, and safety systems are collected for each of the over 100 crashes designated for study annually.</w:t>
      </w:r>
    </w:p>
    <w:p w:rsidR="00037060" w:rsidP="0097743A" w14:paraId="0F2A08EE" w14:textId="75961C7B">
      <w:pPr>
        <w:pStyle w:val="NormalWeb"/>
        <w:numPr>
          <w:ilvl w:val="0"/>
          <w:numId w:val="12"/>
        </w:numPr>
        <w:spacing w:before="0" w:beforeAutospacing="0" w:line="276" w:lineRule="auto"/>
        <w:ind w:left="1267" w:hanging="187"/>
      </w:pPr>
      <w:r>
        <w:rPr>
          <w:rStyle w:val="ui-provider"/>
        </w:rPr>
        <w:t>The Non-Traffic Surveillance (NTS) is a</w:t>
      </w:r>
      <w:r w:rsidR="00E254EB">
        <w:rPr>
          <w:rStyle w:val="ui-provider"/>
        </w:rPr>
        <w:t xml:space="preserve"> </w:t>
      </w:r>
      <w:r>
        <w:rPr>
          <w:rStyle w:val="ui-provider"/>
        </w:rPr>
        <w:t>data collection effort for collecting information about non-traffic crashes and non-crash incidents.  The NTS data provide counts and details regarding fatalities and injuries that occur in non-traffic crashes and in non-crash incidents.  </w:t>
      </w:r>
      <w:r>
        <w:t>The NTS non-traffic crash data are obtained through NHTSA’s data collection efforts for the Crash Report Sampling System (CRSS), the Crash Investigation Sampling System (CISS), and the Fatality Analysis Reporting System (FARS). NTS also includes data outside of NHTSA’s own data collections. NTS’ non-crash injury data is based upon emergency department records from a special study conducted by the Consumer Product Safety Commission’s National Electronic Injury Surveillance System (NEISS) All Injury Program.  NTS non-crash fatality data is derived from death certificate information from the Centers for Disease Control’s National Vital Statistics System.</w:t>
      </w:r>
    </w:p>
    <w:p w:rsidR="00204058" w:rsidP="003A1FD7" w14:paraId="55340160" w14:textId="18978FB0">
      <w:pPr>
        <w:pStyle w:val="ListParagraph"/>
        <w:numPr>
          <w:ilvl w:val="0"/>
          <w:numId w:val="12"/>
        </w:numPr>
        <w:tabs>
          <w:tab w:val="left" w:pos="-720"/>
          <w:tab w:val="left" w:pos="540"/>
        </w:tabs>
        <w:spacing w:before="240"/>
        <w:ind w:left="1267" w:hanging="187"/>
        <w:contextualSpacing w:val="0"/>
        <w:rPr>
          <w:lang w:val="en"/>
        </w:rPr>
      </w:pPr>
      <w:r w:rsidRPr="7B1E8D90">
        <w:rPr>
          <w:rFonts w:cs="Times New Roman"/>
        </w:rPr>
        <w:t xml:space="preserve">CIREN </w:t>
      </w:r>
      <w:r w:rsidRPr="7B1E8D90">
        <w:rPr>
          <w:lang w:val="en"/>
        </w:rPr>
        <w:t xml:space="preserve">combines </w:t>
      </w:r>
      <w:r w:rsidRPr="7B1E8D90" w:rsidR="00470414">
        <w:rPr>
          <w:lang w:val="en"/>
        </w:rPr>
        <w:t>crash</w:t>
      </w:r>
      <w:r w:rsidRPr="7B1E8D90">
        <w:rPr>
          <w:lang w:val="en"/>
        </w:rPr>
        <w:t xml:space="preserve"> data collection with professional multidisciplinary analysis of medical and engineering evidence to determine injury causation in every crash investigation conducted.  The mission of the CIREN is to improve the prevention, treatment, and rehabilitation of motor vehicle crash injuries to reduce deaths, disabilities, and human and economic costs.</w:t>
      </w:r>
    </w:p>
    <w:p w:rsidR="007873D1" w:rsidP="65717FB3" w14:paraId="47259033" w14:textId="367E0A2C">
      <w:pPr>
        <w:tabs>
          <w:tab w:val="left" w:pos="540"/>
        </w:tabs>
        <w:ind w:left="720"/>
      </w:pPr>
      <w:r>
        <w:t>Before EDT</w:t>
      </w:r>
      <w:r w:rsidR="00832266">
        <w:t xml:space="preserve">, the transfer of </w:t>
      </w:r>
      <w:r w:rsidR="00037060">
        <w:t xml:space="preserve">motor vehicle </w:t>
      </w:r>
      <w:r w:rsidR="00832266">
        <w:t>crash data from a State’s crash data system to NHTSA’s FARS, CRSS</w:t>
      </w:r>
      <w:r w:rsidR="00BB7815">
        <w:t>,</w:t>
      </w:r>
      <w:r w:rsidR="00832266">
        <w:t xml:space="preserve"> and CISS required individuals to manually enter </w:t>
      </w:r>
      <w:r w:rsidR="002D353F">
        <w:t xml:space="preserve">all </w:t>
      </w:r>
      <w:r w:rsidR="00832266">
        <w:t>State crash data into each of the</w:t>
      </w:r>
      <w:r w:rsidR="002625AF">
        <w:t>se systems</w:t>
      </w:r>
      <w:r w:rsidR="00832266">
        <w:t>.</w:t>
      </w:r>
      <w:r w:rsidR="00D51E0D">
        <w:t xml:space="preserve">  </w:t>
      </w:r>
      <w:r w:rsidR="00BB7815">
        <w:t xml:space="preserve">The </w:t>
      </w:r>
      <w:r w:rsidR="00D51E0D">
        <w:t>SDT program</w:t>
      </w:r>
      <w:r w:rsidR="00D75934">
        <w:t>’s EDT protocol</w:t>
      </w:r>
      <w:r w:rsidR="00D51E0D">
        <w:t xml:space="preserve"> </w:t>
      </w:r>
      <w:r>
        <w:t>enable</w:t>
      </w:r>
      <w:r w:rsidR="00037060">
        <w:t>d</w:t>
      </w:r>
      <w:r>
        <w:t xml:space="preserve"> </w:t>
      </w:r>
      <w:r w:rsidR="00D51E0D">
        <w:t xml:space="preserve">NHTSA to automate the transfer of </w:t>
      </w:r>
      <w:r w:rsidR="00BB7815">
        <w:t xml:space="preserve">participating </w:t>
      </w:r>
      <w:r w:rsidR="00D51E0D">
        <w:t>State</w:t>
      </w:r>
      <w:r w:rsidR="00BB7815">
        <w:t>s’</w:t>
      </w:r>
      <w:r w:rsidR="00D51E0D">
        <w:t xml:space="preserve"> motor vehicle crash data to NHTSA</w:t>
      </w:r>
      <w:r w:rsidR="00037060">
        <w:t>’s data collection systems</w:t>
      </w:r>
      <w:r w:rsidR="002D353F">
        <w:t xml:space="preserve"> and automate some of the </w:t>
      </w:r>
      <w:r w:rsidR="00EF7CD6">
        <w:t>data coding process</w:t>
      </w:r>
      <w:r w:rsidR="7C323D9A">
        <w:t>es</w:t>
      </w:r>
      <w:r w:rsidR="00EF7CD6">
        <w:t xml:space="preserve"> in FARS, CRSS and </w:t>
      </w:r>
      <w:r w:rsidR="00EF7CD6">
        <w:t>CISS</w:t>
      </w:r>
      <w:r w:rsidR="00037060">
        <w:t>.</w:t>
      </w:r>
      <w:r w:rsidR="00D51E0D">
        <w:t xml:space="preserve">  </w:t>
      </w:r>
      <w:r w:rsidR="000D582F">
        <w:t xml:space="preserve">On November 15, 2021, </w:t>
      </w:r>
      <w:r w:rsidRPr="00916F8F" w:rsidR="000D582F">
        <w:t>President Biden signed the Infrastructure Investment and Jobs Act (IIJA or the Bipartisan Infrastructure Law), Public Law 117-58</w:t>
      </w:r>
      <w:r w:rsidR="000D582F">
        <w:t xml:space="preserve">. Section 24108 (d) authorizes the Secretary of Transportation to establish the State Electronic Data Collection (SEDC) program to provide grants to States to establish, upgrade, and standardize their centralized statewide crash data repositories to enable electronic data collection, intrastate data sharing, and electronic data transfer to NHTSA.  </w:t>
      </w:r>
      <w:r w:rsidR="00D711E2">
        <w:t xml:space="preserve">Through </w:t>
      </w:r>
      <w:r w:rsidR="06CF90D4">
        <w:t xml:space="preserve">the </w:t>
      </w:r>
      <w:r w:rsidR="00D711E2">
        <w:t>SEDC</w:t>
      </w:r>
      <w:r w:rsidR="00EF39D3">
        <w:t xml:space="preserve"> </w:t>
      </w:r>
      <w:r w:rsidR="19ABAD4F">
        <w:t>program</w:t>
      </w:r>
      <w:r w:rsidR="00D711E2">
        <w:t xml:space="preserve">, </w:t>
      </w:r>
      <w:r w:rsidR="00037060">
        <w:t xml:space="preserve">participating </w:t>
      </w:r>
      <w:r w:rsidR="00E94E56">
        <w:t xml:space="preserve">States </w:t>
      </w:r>
      <w:r w:rsidR="00037060">
        <w:t xml:space="preserve">will </w:t>
      </w:r>
      <w:r w:rsidR="00E94E56">
        <w:t xml:space="preserve">build </w:t>
      </w:r>
      <w:r w:rsidR="0043719F">
        <w:t xml:space="preserve">and </w:t>
      </w:r>
      <w:r w:rsidR="00D24150">
        <w:t>moderniz</w:t>
      </w:r>
      <w:r w:rsidR="00037060">
        <w:t>e their</w:t>
      </w:r>
      <w:r w:rsidR="0043719F">
        <w:t xml:space="preserve"> </w:t>
      </w:r>
      <w:r w:rsidR="00E94E56">
        <w:t xml:space="preserve">centralized </w:t>
      </w:r>
      <w:r w:rsidR="1F1BCA8E">
        <w:t>statewide crash data</w:t>
      </w:r>
      <w:r w:rsidR="00037060">
        <w:t xml:space="preserve"> repositories</w:t>
      </w:r>
      <w:r w:rsidR="00E94E56">
        <w:t xml:space="preserve"> and increase</w:t>
      </w:r>
      <w:r w:rsidR="00037060">
        <w:t xml:space="preserve"> </w:t>
      </w:r>
      <w:r w:rsidR="00A84595">
        <w:t>their</w:t>
      </w:r>
      <w:r w:rsidR="00037060">
        <w:t xml:space="preserve"> alignment</w:t>
      </w:r>
      <w:r w:rsidR="00832266">
        <w:t xml:space="preserve"> </w:t>
      </w:r>
      <w:r w:rsidR="0001146F">
        <w:t>to</w:t>
      </w:r>
      <w:r w:rsidR="00832266">
        <w:t xml:space="preserve"> </w:t>
      </w:r>
      <w:r w:rsidR="00E94E56">
        <w:t xml:space="preserve">the </w:t>
      </w:r>
      <w:r>
        <w:t>MMUCC</w:t>
      </w:r>
      <w:r w:rsidR="00037060">
        <w:t xml:space="preserve"> Sixth Edition</w:t>
      </w:r>
      <w:r w:rsidR="5DBCD142">
        <w:t>;</w:t>
      </w:r>
      <w:r w:rsidR="00AF433E">
        <w:t xml:space="preserve"> NHTSA</w:t>
      </w:r>
      <w:r w:rsidR="0043719F">
        <w:t xml:space="preserve"> will receive more standardized </w:t>
      </w:r>
      <w:r w:rsidR="65BFC3CB">
        <w:t xml:space="preserve">and </w:t>
      </w:r>
      <w:r w:rsidR="00C250B4">
        <w:t xml:space="preserve">timely </w:t>
      </w:r>
      <w:r w:rsidR="220DAA18">
        <w:t xml:space="preserve">data </w:t>
      </w:r>
      <w:r w:rsidR="0043719F">
        <w:t xml:space="preserve">and </w:t>
      </w:r>
      <w:r w:rsidR="00486237">
        <w:t>increase the usability of the data</w:t>
      </w:r>
      <w:r>
        <w:t xml:space="preserve">. </w:t>
      </w:r>
    </w:p>
    <w:p w:rsidR="00D51E0D" w:rsidP="00E95FE3" w14:paraId="0719C395" w14:textId="77777777">
      <w:pPr>
        <w:tabs>
          <w:tab w:val="left" w:pos="-720"/>
          <w:tab w:val="left" w:pos="540"/>
        </w:tabs>
        <w:ind w:left="720"/>
      </w:pPr>
      <w:r>
        <w:t xml:space="preserve">NHTSA’s SDT program will reduce the burden </w:t>
      </w:r>
      <w:r w:rsidR="00BB7815">
        <w:t xml:space="preserve">of </w:t>
      </w:r>
      <w:r>
        <w:t>manual data entry and result in more accurate and timely data to help save lives, prevent injuries, and reduce economic costs due to motor vehicle crashes.</w:t>
      </w:r>
    </w:p>
    <w:p w:rsidR="007A7BB5" w:rsidRPr="005271A9" w:rsidP="00D109CC" w14:paraId="0270D073" w14:textId="77777777">
      <w:pPr>
        <w:pStyle w:val="Heading2"/>
      </w:pPr>
      <w:bookmarkStart w:id="11" w:name="_Hlk51325321"/>
      <w:bookmarkEnd w:id="10"/>
      <w:r w:rsidRPr="005271A9">
        <w:t>Indicate how, by whom, and for what purpose the information is to be used. Except for a new collection, indicate the actual use the agency has made of the information received from the current collection</w:t>
      </w:r>
      <w:bookmarkEnd w:id="11"/>
      <w:r w:rsidRPr="005271A9">
        <w:t>.</w:t>
      </w:r>
    </w:p>
    <w:p w:rsidR="002A7D1B" w:rsidP="0093233F" w14:paraId="3CF96A6C" w14:textId="52906CFD">
      <w:pPr>
        <w:ind w:left="720"/>
      </w:pPr>
      <w:bookmarkStart w:id="12" w:name="_Hlk66708419"/>
      <w:r>
        <w:t>NHTSA</w:t>
      </w:r>
      <w:r w:rsidR="004511A5">
        <w:t xml:space="preserve"> utilize</w:t>
      </w:r>
      <w:r w:rsidR="00CB7D51">
        <w:t>s</w:t>
      </w:r>
      <w:r w:rsidR="004511A5">
        <w:t xml:space="preserve"> the SDT data to identify </w:t>
      </w:r>
      <w:r w:rsidRPr="00FB39BF" w:rsidR="004511A5">
        <w:t>existing and emerging highway safety trends</w:t>
      </w:r>
      <w:r w:rsidR="00C66DD4">
        <w:t xml:space="preserve">, </w:t>
      </w:r>
      <w:r w:rsidRPr="00FB39BF" w:rsidR="004511A5">
        <w:t>assess</w:t>
      </w:r>
      <w:r w:rsidR="004511A5">
        <w:t xml:space="preserve"> </w:t>
      </w:r>
      <w:r w:rsidRPr="00FB39BF" w:rsidR="004511A5">
        <w:t>the effectiveness of motor vehicle safety standards</w:t>
      </w:r>
      <w:r w:rsidR="00C66DD4">
        <w:t xml:space="preserve">, and study the impact of </w:t>
      </w:r>
      <w:r w:rsidR="004511A5">
        <w:t>new and emerging technologies on vehicle</w:t>
      </w:r>
      <w:r w:rsidRPr="00FB39BF" w:rsidR="004511A5">
        <w:t xml:space="preserve"> and highway safety programs.</w:t>
      </w:r>
      <w:r w:rsidR="004511A5">
        <w:t xml:space="preserve"> </w:t>
      </w:r>
      <w:r w:rsidR="002625AF">
        <w:t xml:space="preserve"> </w:t>
      </w:r>
      <w:r w:rsidR="008F3120">
        <w:t>For example,</w:t>
      </w:r>
      <w:r w:rsidR="004511A5">
        <w:t xml:space="preserve"> NHTSA </w:t>
      </w:r>
      <w:r w:rsidR="007873D1">
        <w:t>combine</w:t>
      </w:r>
      <w:r w:rsidR="00CB7D51">
        <w:t>s</w:t>
      </w:r>
      <w:r w:rsidR="007873D1">
        <w:t xml:space="preserve"> data from</w:t>
      </w:r>
      <w:r w:rsidR="00B81CEB">
        <w:t xml:space="preserve"> SDT </w:t>
      </w:r>
      <w:r w:rsidR="00DF72AC">
        <w:t xml:space="preserve">with information </w:t>
      </w:r>
      <w:r w:rsidR="008F2F46">
        <w:t xml:space="preserve">about </w:t>
      </w:r>
      <w:r w:rsidR="00DF72AC">
        <w:t>t</w:t>
      </w:r>
      <w:r w:rsidR="004511A5">
        <w:t>he type of a</w:t>
      </w:r>
      <w:r w:rsidR="00E0378D">
        <w:t>dvanced</w:t>
      </w:r>
      <w:r w:rsidR="004511A5">
        <w:t xml:space="preserve"> driver assistance</w:t>
      </w:r>
      <w:r w:rsidR="008F2F46">
        <w:t xml:space="preserve"> systems (ADAS)</w:t>
      </w:r>
      <w:r w:rsidR="00ED48C2">
        <w:t xml:space="preserve"> </w:t>
      </w:r>
      <w:r w:rsidR="00DF72AC">
        <w:t>on crash</w:t>
      </w:r>
      <w:r w:rsidR="00C66DD4">
        <w:t>-</w:t>
      </w:r>
      <w:r w:rsidR="00DF72AC">
        <w:t xml:space="preserve">involved vehicles to estimate the effectiveness of vehicles equipped with </w:t>
      </w:r>
      <w:r w:rsidR="00900658">
        <w:t xml:space="preserve">ADAS </w:t>
      </w:r>
      <w:r w:rsidR="00DF72AC">
        <w:t xml:space="preserve">technologies such as lane keeping </w:t>
      </w:r>
      <w:r>
        <w:t>support, automatic emergency braking, blind spot detection, etc.</w:t>
      </w:r>
    </w:p>
    <w:p w:rsidR="00207438" w:rsidP="00207438" w14:paraId="4774963D" w14:textId="52EF598F">
      <w:pPr>
        <w:ind w:left="720"/>
      </w:pPr>
      <w:bookmarkStart w:id="13" w:name="_Hlk66708765"/>
      <w:bookmarkEnd w:id="12"/>
      <w:r>
        <w:t>NHTSA also use</w:t>
      </w:r>
      <w:r w:rsidR="00FA33B8">
        <w:t>s</w:t>
      </w:r>
      <w:r>
        <w:t xml:space="preserve"> the SDT to support t</w:t>
      </w:r>
      <w:r w:rsidRPr="00CE2B0F">
        <w:t xml:space="preserve">he cost-benefit analysis </w:t>
      </w:r>
      <w:r>
        <w:t>for the</w:t>
      </w:r>
      <w:r w:rsidRPr="00CE2B0F">
        <w:t xml:space="preserve"> C</w:t>
      </w:r>
      <w:r>
        <w:t xml:space="preserve">orporate </w:t>
      </w:r>
      <w:r w:rsidRPr="00CE2B0F">
        <w:t>A</w:t>
      </w:r>
      <w:r>
        <w:t xml:space="preserve">verage </w:t>
      </w:r>
      <w:r w:rsidRPr="00CE2B0F">
        <w:t>F</w:t>
      </w:r>
      <w:r>
        <w:t xml:space="preserve">uel </w:t>
      </w:r>
      <w:r w:rsidRPr="00CE2B0F">
        <w:t>E</w:t>
      </w:r>
      <w:r>
        <w:t>conomy (CAF</w:t>
      </w:r>
      <w:r w:rsidR="00F708AC">
        <w:t>E</w:t>
      </w:r>
      <w:r>
        <w:t>)</w:t>
      </w:r>
      <w:r w:rsidRPr="00CE2B0F">
        <w:t xml:space="preserve"> rulemaking</w:t>
      </w:r>
      <w:r>
        <w:t>.  NHTSA use</w:t>
      </w:r>
      <w:r w:rsidR="00FA33B8">
        <w:t>s</w:t>
      </w:r>
      <w:r>
        <w:t xml:space="preserve"> the SDT </w:t>
      </w:r>
      <w:r w:rsidR="00886A97">
        <w:t xml:space="preserve">data </w:t>
      </w:r>
      <w:r>
        <w:t xml:space="preserve">to estimate </w:t>
      </w:r>
      <w:r w:rsidR="0053322E">
        <w:t xml:space="preserve">what </w:t>
      </w:r>
      <w:r w:rsidRPr="00CE2B0F">
        <w:t>effect</w:t>
      </w:r>
      <w:r w:rsidR="0053322E">
        <w:t xml:space="preserve"> </w:t>
      </w:r>
      <w:r w:rsidRPr="00CE2B0F">
        <w:t xml:space="preserve">vehicle mass </w:t>
      </w:r>
      <w:r w:rsidR="0053322E">
        <w:t xml:space="preserve">has </w:t>
      </w:r>
      <w:r w:rsidRPr="00CE2B0F">
        <w:t xml:space="preserve">on fatalities. Without the volume of data from the States in </w:t>
      </w:r>
      <w:r w:rsidR="00B17AD1">
        <w:t xml:space="preserve">the </w:t>
      </w:r>
      <w:r w:rsidR="00FA33B8">
        <w:t>SDT dataset</w:t>
      </w:r>
      <w:r w:rsidRPr="00CE2B0F">
        <w:t>, it would not be feasible to estimate meaningful fatality rates or their relationship with vehicle mass.</w:t>
      </w:r>
    </w:p>
    <w:p w:rsidR="002A7D1B" w:rsidP="0093233F" w14:paraId="5EB48D4E" w14:textId="434BB49E">
      <w:pPr>
        <w:ind w:left="720"/>
        <w:rPr>
          <w:szCs w:val="24"/>
        </w:rPr>
      </w:pPr>
      <w:r>
        <w:t>NHTSA also use</w:t>
      </w:r>
      <w:r w:rsidR="001B35DD">
        <w:t>s</w:t>
      </w:r>
      <w:r>
        <w:t xml:space="preserve"> the motor vehicle crash data it collects from State</w:t>
      </w:r>
      <w:r w:rsidR="00DE5A09">
        <w:t>s</w:t>
      </w:r>
      <w:r>
        <w:t xml:space="preserve"> </w:t>
      </w:r>
      <w:r w:rsidR="00A55170">
        <w:t>through SDT to pre-populate</w:t>
      </w:r>
      <w:r>
        <w:t xml:space="preserve"> several studies that support NHTSA</w:t>
      </w:r>
      <w:r w:rsidR="00900658">
        <w:t>’s</w:t>
      </w:r>
      <w:r>
        <w:t xml:space="preserve"> mission: </w:t>
      </w:r>
      <w:r w:rsidR="00204058">
        <w:t xml:space="preserve">FARS, CRSS, CISS, SCI, NTS, CIREN and other </w:t>
      </w:r>
      <w:r w:rsidR="00972465">
        <w:t xml:space="preserve">application special studies.  </w:t>
      </w:r>
      <w:r w:rsidR="00204058">
        <w:t xml:space="preserve"> </w:t>
      </w:r>
    </w:p>
    <w:p w:rsidR="007A7BB5" w:rsidP="0084322F" w14:paraId="4F9DDFCC" w14:textId="3EB2E680">
      <w:pPr>
        <w:ind w:left="720"/>
        <w:rPr>
          <w:rFonts w:cs="Times New Roman"/>
          <w:szCs w:val="24"/>
        </w:rPr>
      </w:pPr>
      <w:bookmarkStart w:id="14" w:name="_Hlk66708869"/>
      <w:bookmarkEnd w:id="13"/>
      <w:r>
        <w:rPr>
          <w:szCs w:val="24"/>
        </w:rPr>
        <w:t xml:space="preserve">In addition, the SDT data </w:t>
      </w:r>
      <w:r w:rsidR="00B17AD1">
        <w:rPr>
          <w:szCs w:val="24"/>
        </w:rPr>
        <w:t>are</w:t>
      </w:r>
      <w:r>
        <w:rPr>
          <w:szCs w:val="24"/>
        </w:rPr>
        <w:t xml:space="preserve"> made available to other DOT agencies</w:t>
      </w:r>
      <w:r w:rsidR="00601B64">
        <w:rPr>
          <w:szCs w:val="24"/>
        </w:rPr>
        <w:t xml:space="preserve">, </w:t>
      </w:r>
      <w:r>
        <w:rPr>
          <w:szCs w:val="24"/>
        </w:rPr>
        <w:t>such as</w:t>
      </w:r>
      <w:r w:rsidR="00601B64">
        <w:rPr>
          <w:szCs w:val="24"/>
        </w:rPr>
        <w:t xml:space="preserve"> the</w:t>
      </w:r>
      <w:r>
        <w:rPr>
          <w:szCs w:val="24"/>
        </w:rPr>
        <w:t xml:space="preserve"> Federal Highway Administration and </w:t>
      </w:r>
      <w:r w:rsidR="00601B64">
        <w:rPr>
          <w:szCs w:val="24"/>
        </w:rPr>
        <w:t xml:space="preserve">the </w:t>
      </w:r>
      <w:r>
        <w:rPr>
          <w:szCs w:val="24"/>
        </w:rPr>
        <w:t>Federal Motor Carrier Safety Administration</w:t>
      </w:r>
      <w:r w:rsidR="00601B64">
        <w:rPr>
          <w:szCs w:val="24"/>
        </w:rPr>
        <w:t>, to</w:t>
      </w:r>
      <w:r w:rsidRPr="00601B64" w:rsidR="00601B64">
        <w:rPr>
          <w:szCs w:val="24"/>
        </w:rPr>
        <w:t xml:space="preserve"> support their mission to save lives on our national roadways</w:t>
      </w:r>
      <w:r>
        <w:rPr>
          <w:szCs w:val="24"/>
        </w:rPr>
        <w:t>.</w:t>
      </w:r>
      <w:bookmarkEnd w:id="14"/>
      <w:r w:rsidR="00254C28">
        <w:rPr>
          <w:szCs w:val="24"/>
        </w:rPr>
        <w:t xml:space="preserve"> The SDT data received through SEDC grant will be made available to public as </w:t>
      </w:r>
      <w:r w:rsidR="00801AD7">
        <w:rPr>
          <w:szCs w:val="24"/>
        </w:rPr>
        <w:t>required in BIL.</w:t>
      </w:r>
    </w:p>
    <w:p w:rsidR="007A7BB5" w:rsidP="00D109CC" w14:paraId="769F759D" w14:textId="77777777">
      <w:pPr>
        <w:pStyle w:val="Heading2"/>
      </w:pPr>
      <w:bookmarkStart w:id="15" w:name="_Hlk51330129"/>
      <w:r w:rsidRPr="005271A9">
        <w:t xml:space="preserve">Describe whether, and to what extent, the collection of information involves the use of automated, electronic, mechanical, or other technological collection techniques or </w:t>
      </w:r>
      <w:r w:rsidRPr="005271A9">
        <w:t>other forms of information technology, e.g., permitting electronic submission of responses, and the basis for the decision for adopting this means of collection. Also, describe any consideration of using information technology to reduce burden.</w:t>
      </w:r>
    </w:p>
    <w:p w:rsidR="00655C66" w:rsidP="1709447A" w14:paraId="5E700670" w14:textId="0B4E01D4">
      <w:pPr>
        <w:pStyle w:val="ListParagraph"/>
        <w:tabs>
          <w:tab w:val="left" w:pos="540"/>
        </w:tabs>
        <w:spacing w:before="240"/>
      </w:pPr>
      <w:r>
        <w:t xml:space="preserve">SDT </w:t>
      </w:r>
      <w:r w:rsidR="00C66DD4">
        <w:t xml:space="preserve">currently consists of two data transfer protocols.  The SDS protocol relies on </w:t>
      </w:r>
      <w:r w:rsidR="008A1A47">
        <w:t>electronic data received through</w:t>
      </w:r>
      <w:r w:rsidR="00972465">
        <w:t xml:space="preserve"> submitted electronic media, </w:t>
      </w:r>
      <w:r w:rsidR="00A55170">
        <w:t xml:space="preserve">or electronic file transfer protocol </w:t>
      </w:r>
      <w:r w:rsidR="00341063">
        <w:t>on an annual basis</w:t>
      </w:r>
      <w:r w:rsidR="00C66DD4">
        <w:t>.</w:t>
      </w:r>
      <w:r w:rsidR="008A1A47">
        <w:t xml:space="preserve"> </w:t>
      </w:r>
      <w:r w:rsidR="002625AF">
        <w:t xml:space="preserve"> The </w:t>
      </w:r>
      <w:r w:rsidR="008A1A47">
        <w:t xml:space="preserve">SDS protocol is being phased out as </w:t>
      </w:r>
      <w:r w:rsidR="002625AF">
        <w:t>S</w:t>
      </w:r>
      <w:r w:rsidR="008A1A47">
        <w:t>tate</w:t>
      </w:r>
      <w:r w:rsidR="00C01C81">
        <w:t>s</w:t>
      </w:r>
      <w:r w:rsidR="008132B9">
        <w:t xml:space="preserve"> </w:t>
      </w:r>
      <w:r w:rsidR="00B17AD1">
        <w:t xml:space="preserve">continue to </w:t>
      </w:r>
      <w:r w:rsidR="008132B9">
        <w:t>establish centralized</w:t>
      </w:r>
      <w:r w:rsidR="002625AF">
        <w:t xml:space="preserve"> </w:t>
      </w:r>
      <w:r w:rsidR="5FB4F5C2">
        <w:t xml:space="preserve">statewide </w:t>
      </w:r>
      <w:r w:rsidR="002625AF">
        <w:t xml:space="preserve">crash data </w:t>
      </w:r>
      <w:r w:rsidR="6E5136BE">
        <w:t>repositorie</w:t>
      </w:r>
      <w:r w:rsidR="3050F51F">
        <w:t>s</w:t>
      </w:r>
      <w:r w:rsidR="008132B9">
        <w:t xml:space="preserve"> and</w:t>
      </w:r>
      <w:r w:rsidR="008A1A47">
        <w:t xml:space="preserve"> </w:t>
      </w:r>
      <w:r w:rsidR="00C01C81">
        <w:t xml:space="preserve">are </w:t>
      </w:r>
      <w:r w:rsidR="008A1A47">
        <w:t xml:space="preserve">able to support automated </w:t>
      </w:r>
      <w:r w:rsidR="00345BF5">
        <w:t xml:space="preserve">transfer </w:t>
      </w:r>
      <w:r w:rsidR="008A1A47">
        <w:t>processes.</w:t>
      </w:r>
    </w:p>
    <w:p w:rsidR="00071CD2" w:rsidP="00392CD8" w14:paraId="0AB3E104" w14:textId="77777777">
      <w:pPr>
        <w:pStyle w:val="ListParagraph"/>
        <w:tabs>
          <w:tab w:val="left" w:pos="-720"/>
          <w:tab w:val="left" w:pos="540"/>
        </w:tabs>
        <w:spacing w:before="240"/>
      </w:pPr>
    </w:p>
    <w:p w:rsidR="00AF38A4" w:rsidP="7B1E8D90" w14:paraId="4424EE21" w14:textId="1F392F6C">
      <w:pPr>
        <w:pStyle w:val="ListParagraph"/>
        <w:tabs>
          <w:tab w:val="left" w:pos="540"/>
        </w:tabs>
        <w:spacing w:before="240"/>
      </w:pPr>
      <w:r>
        <w:t>The EDT protocol</w:t>
      </w:r>
      <w:r w:rsidR="008A1A47">
        <w:t xml:space="preserve"> </w:t>
      </w:r>
      <w:r w:rsidR="00392CD8">
        <w:t xml:space="preserve">is an </w:t>
      </w:r>
      <w:r w:rsidR="007C6FC5">
        <w:t xml:space="preserve">automated electronic information </w:t>
      </w:r>
      <w:r w:rsidR="008A1A47">
        <w:t xml:space="preserve">process that </w:t>
      </w:r>
      <w:r w:rsidR="007C6FC5">
        <w:t>reduce</w:t>
      </w:r>
      <w:r w:rsidR="00FF4259">
        <w:t>s</w:t>
      </w:r>
      <w:r w:rsidR="007C6FC5">
        <w:t xml:space="preserve"> the burden on State respondents by limiting manual </w:t>
      </w:r>
      <w:r w:rsidR="000F3F18">
        <w:t xml:space="preserve">and redundant </w:t>
      </w:r>
      <w:r w:rsidR="007C6FC5">
        <w:t>data entry</w:t>
      </w:r>
      <w:r w:rsidR="00071CD2">
        <w:t xml:space="preserve"> for </w:t>
      </w:r>
      <w:r w:rsidR="00392CD8">
        <w:t>NHTSA</w:t>
      </w:r>
      <w:r w:rsidR="38A8A3AF">
        <w:t>’s</w:t>
      </w:r>
      <w:r w:rsidR="00392CD8">
        <w:t xml:space="preserve"> data collection</w:t>
      </w:r>
      <w:r w:rsidR="000F3F18">
        <w:t xml:space="preserve"> program</w:t>
      </w:r>
      <w:r w:rsidR="00245170">
        <w:t xml:space="preserve">. </w:t>
      </w:r>
      <w:r w:rsidR="00071CD2">
        <w:t xml:space="preserve"> EDT data </w:t>
      </w:r>
      <w:r w:rsidR="000F3F18">
        <w:t>is</w:t>
      </w:r>
      <w:r w:rsidR="00071CD2">
        <w:t xml:space="preserve"> used to </w:t>
      </w:r>
      <w:r w:rsidR="00FF4259">
        <w:t xml:space="preserve">structure crash cases, </w:t>
      </w:r>
      <w:r w:rsidR="00071CD2">
        <w:t xml:space="preserve">pre-populate some of the information </w:t>
      </w:r>
      <w:r w:rsidR="000F3F18">
        <w:t>multiple</w:t>
      </w:r>
      <w:r w:rsidR="00392CD8">
        <w:t xml:space="preserve"> data collection</w:t>
      </w:r>
      <w:r w:rsidR="000F3F18">
        <w:t xml:space="preserve"> program</w:t>
      </w:r>
      <w:r w:rsidR="00071CD2">
        <w:t>s</w:t>
      </w:r>
      <w:r w:rsidR="00345BF5">
        <w:t>,</w:t>
      </w:r>
      <w:r w:rsidR="00245170">
        <w:t xml:space="preserve"> </w:t>
      </w:r>
      <w:r w:rsidR="00071CD2">
        <w:t xml:space="preserve">and </w:t>
      </w:r>
      <w:r w:rsidR="007C6FC5">
        <w:t>reduce</w:t>
      </w:r>
      <w:r w:rsidR="00FF4259">
        <w:t>s</w:t>
      </w:r>
      <w:r w:rsidR="007C6FC5">
        <w:t xml:space="preserve"> the State resources </w:t>
      </w:r>
      <w:r w:rsidR="002625AF">
        <w:t xml:space="preserve">required to </w:t>
      </w:r>
      <w:r w:rsidR="00071CD2">
        <w:t>provid</w:t>
      </w:r>
      <w:r w:rsidR="002625AF">
        <w:t>e</w:t>
      </w:r>
      <w:r w:rsidR="00071CD2">
        <w:t xml:space="preserve"> </w:t>
      </w:r>
      <w:r w:rsidR="00345BF5">
        <w:t xml:space="preserve">the </w:t>
      </w:r>
      <w:r w:rsidR="00071CD2">
        <w:t xml:space="preserve">data </w:t>
      </w:r>
      <w:r w:rsidR="002625AF">
        <w:t xml:space="preserve">to </w:t>
      </w:r>
      <w:r w:rsidR="00071CD2">
        <w:t>NHTSA</w:t>
      </w:r>
      <w:r w:rsidR="007C6FC5">
        <w:t xml:space="preserve">. </w:t>
      </w:r>
    </w:p>
    <w:p w:rsidR="00EE5D54" w:rsidP="00F51FB5" w14:paraId="471A7935" w14:textId="77777777">
      <w:pPr>
        <w:pStyle w:val="ListParagraph"/>
        <w:tabs>
          <w:tab w:val="left" w:pos="-720"/>
          <w:tab w:val="left" w:pos="540"/>
        </w:tabs>
        <w:spacing w:before="240"/>
      </w:pPr>
    </w:p>
    <w:p w:rsidR="00FB76C8" w:rsidP="5FA3B962" w14:paraId="7A32F1D0" w14:textId="3D52CC32">
      <w:pPr>
        <w:pStyle w:val="ListParagraph"/>
        <w:tabs>
          <w:tab w:val="left" w:pos="540"/>
        </w:tabs>
        <w:spacing w:before="240"/>
      </w:pPr>
      <w:r w:rsidRPr="00FB76C8">
        <w:t>NHTSA</w:t>
      </w:r>
      <w:r>
        <w:t xml:space="preserve"> work</w:t>
      </w:r>
      <w:r w:rsidR="00FF4259">
        <w:t>s</w:t>
      </w:r>
      <w:r w:rsidR="00C008F9">
        <w:t xml:space="preserve"> with</w:t>
      </w:r>
      <w:r w:rsidRPr="00FB76C8">
        <w:t xml:space="preserve"> State</w:t>
      </w:r>
      <w:r w:rsidR="00C008F9">
        <w:t>s that choose to participate in EDT to establish</w:t>
      </w:r>
      <w:r w:rsidRPr="00FB76C8">
        <w:t xml:space="preserve"> automatic data feed</w:t>
      </w:r>
      <w:r w:rsidR="00C008F9">
        <w:t>s</w:t>
      </w:r>
      <w:r w:rsidRPr="00FB76C8">
        <w:t>.  Th</w:t>
      </w:r>
      <w:r w:rsidR="000F3F18">
        <w:t>e</w:t>
      </w:r>
      <w:r w:rsidRPr="00FB76C8">
        <w:t xml:space="preserve"> data </w:t>
      </w:r>
      <w:r w:rsidR="000F3F18">
        <w:t>are</w:t>
      </w:r>
      <w:r w:rsidRPr="00FB76C8">
        <w:t xml:space="preserve"> then populated into NHTSA’s data collection systems</w:t>
      </w:r>
      <w:r w:rsidR="000F3F18">
        <w:t>,</w:t>
      </w:r>
      <w:r w:rsidRPr="00FB76C8">
        <w:t xml:space="preserve"> wherever possible</w:t>
      </w:r>
      <w:r w:rsidR="000F3F18">
        <w:t>,</w:t>
      </w:r>
      <w:r w:rsidRPr="00FB76C8">
        <w:t xml:space="preserve"> </w:t>
      </w:r>
      <w:r w:rsidR="002C7824">
        <w:t>to reduce the burden on States.</w:t>
      </w:r>
      <w:r w:rsidR="000F3F18">
        <w:t xml:space="preserve"> In addition, </w:t>
      </w:r>
      <w:r w:rsidR="00A03BBD">
        <w:t xml:space="preserve">NHTSA will use the data to </w:t>
      </w:r>
      <w:r w:rsidR="000F3F18">
        <w:t>populate</w:t>
      </w:r>
      <w:r w:rsidR="00A03BBD">
        <w:t xml:space="preserve"> a separate</w:t>
      </w:r>
      <w:r w:rsidR="000F3F18">
        <w:t>, uniform</w:t>
      </w:r>
      <w:r w:rsidR="008A1F3E">
        <w:t xml:space="preserve"> census</w:t>
      </w:r>
      <w:r w:rsidR="00A03BBD">
        <w:t xml:space="preserve"> data </w:t>
      </w:r>
      <w:r w:rsidR="00C62593">
        <w:t>repository</w:t>
      </w:r>
      <w:r w:rsidR="00CF4C63">
        <w:t xml:space="preserve"> </w:t>
      </w:r>
      <w:r w:rsidR="000F3F18">
        <w:t>of</w:t>
      </w:r>
      <w:r w:rsidR="008A1F3E">
        <w:t xml:space="preserve"> all crash</w:t>
      </w:r>
      <w:r w:rsidR="000F3F18">
        <w:t xml:space="preserve"> data </w:t>
      </w:r>
      <w:r w:rsidR="00AB5424">
        <w:t>received</w:t>
      </w:r>
      <w:r w:rsidR="008A1F3E">
        <w:t xml:space="preserve"> from the participating States.</w:t>
      </w:r>
      <w:r w:rsidRPr="00FB76C8">
        <w:t xml:space="preserve"> During the implementation phase, </w:t>
      </w:r>
      <w:r w:rsidR="008758A6">
        <w:t xml:space="preserve">the non-SEDC States, </w:t>
      </w:r>
      <w:r w:rsidR="00AF4B65">
        <w:t>will have minimum burden to contend with</w:t>
      </w:r>
      <w:r w:rsidR="000F3F18">
        <w:t xml:space="preserve"> since </w:t>
      </w:r>
      <w:r w:rsidRPr="00FB76C8">
        <w:t xml:space="preserve">NHTSA and its IT contractor </w:t>
      </w:r>
      <w:r w:rsidR="004F4471">
        <w:t>have</w:t>
      </w:r>
      <w:r w:rsidRPr="00FB76C8" w:rsidR="004F4471">
        <w:t xml:space="preserve"> </w:t>
      </w:r>
      <w:r w:rsidRPr="00FB76C8">
        <w:t>carr</w:t>
      </w:r>
      <w:r w:rsidR="004915C8">
        <w:t>ied</w:t>
      </w:r>
      <w:r w:rsidRPr="00FB76C8">
        <w:t xml:space="preserve"> out most of the development work </w:t>
      </w:r>
      <w:r w:rsidR="000F3F18">
        <w:t>associated with the EDT protocol</w:t>
      </w:r>
      <w:r w:rsidR="004915C8">
        <w:t xml:space="preserve">; future SEDC States </w:t>
      </w:r>
      <w:r w:rsidR="000F3F18">
        <w:t>will have an increase</w:t>
      </w:r>
      <w:r w:rsidR="00972D54">
        <w:t>d</w:t>
      </w:r>
      <w:r w:rsidR="000F3F18">
        <w:t xml:space="preserve"> bu</w:t>
      </w:r>
      <w:r w:rsidR="00972D54">
        <w:t>r</w:t>
      </w:r>
      <w:r w:rsidR="000F3F18">
        <w:t xml:space="preserve">den </w:t>
      </w:r>
      <w:r w:rsidR="004915C8">
        <w:t xml:space="preserve">due to the </w:t>
      </w:r>
      <w:r w:rsidR="00CB233E">
        <w:t xml:space="preserve">BIL </w:t>
      </w:r>
      <w:r w:rsidR="004915C8">
        <w:t>requirements</w:t>
      </w:r>
      <w:r w:rsidR="000F3F18">
        <w:t xml:space="preserve"> that </w:t>
      </w:r>
      <w:r w:rsidR="00972D54">
        <w:t>specify a need to increase alignment to a</w:t>
      </w:r>
      <w:r w:rsidR="004915C8">
        <w:t xml:space="preserve"> </w:t>
      </w:r>
      <w:r w:rsidR="00972D54">
        <w:t xml:space="preserve">specific data </w:t>
      </w:r>
      <w:r w:rsidR="004915C8">
        <w:t>standardization</w:t>
      </w:r>
      <w:r w:rsidR="00567D52">
        <w:t xml:space="preserve"> </w:t>
      </w:r>
      <w:r w:rsidR="00972D54">
        <w:t xml:space="preserve">(MMUCC </w:t>
      </w:r>
      <w:r w:rsidR="00E07685">
        <w:t>Sixth Edition</w:t>
      </w:r>
      <w:r w:rsidR="00972D54">
        <w:t xml:space="preserve">) set by </w:t>
      </w:r>
      <w:r w:rsidR="00CB233E">
        <w:t>NHTSA</w:t>
      </w:r>
      <w:r w:rsidR="00972D54">
        <w:t xml:space="preserve">.  SEDC States will use the new discretionary grant funds to help with its </w:t>
      </w:r>
      <w:r w:rsidR="00567D52">
        <w:t>data standardization effort</w:t>
      </w:r>
      <w:r w:rsidR="00972D54">
        <w:t xml:space="preserve">s. </w:t>
      </w:r>
      <w:r w:rsidRPr="00FB76C8">
        <w:t xml:space="preserve">Following implementation, NHTSA and the State will review the data transfer process annually to determine if there are any required updates to the data feed from either NHTSA or </w:t>
      </w:r>
      <w:r w:rsidR="00972D54">
        <w:t xml:space="preserve">the </w:t>
      </w:r>
      <w:r w:rsidRPr="00FB76C8">
        <w:t>State, including adding or removing fields, data schema changes, data attribute changes, etc.</w:t>
      </w:r>
      <w:r w:rsidRPr="00C008F9" w:rsidR="00C008F9">
        <w:t xml:space="preserve"> Eventually, NHTSA hopes that </w:t>
      </w:r>
      <w:r w:rsidR="27135CE2">
        <w:t>E</w:t>
      </w:r>
      <w:r w:rsidR="00C008F9">
        <w:t>DT</w:t>
      </w:r>
      <w:r w:rsidRPr="00C008F9" w:rsidR="00C008F9">
        <w:t xml:space="preserve"> will fully replace SDS and other legacy collection methods.</w:t>
      </w:r>
    </w:p>
    <w:p w:rsidR="00A43EAF" w:rsidRPr="005271A9" w:rsidP="00A43EAF" w14:paraId="0F73B2D9" w14:textId="77777777">
      <w:pPr>
        <w:pStyle w:val="ListParagraph"/>
        <w:tabs>
          <w:tab w:val="left" w:pos="-720"/>
          <w:tab w:val="left" w:pos="540"/>
        </w:tabs>
        <w:rPr>
          <w:b/>
        </w:rPr>
      </w:pPr>
    </w:p>
    <w:p w:rsidR="008A6B31" w:rsidRPr="005271A9" w:rsidP="00D109CC" w14:paraId="64A0F317" w14:textId="77777777">
      <w:pPr>
        <w:pStyle w:val="Heading2"/>
      </w:pPr>
      <w:bookmarkStart w:id="16" w:name="_Hlk51330199"/>
      <w:bookmarkEnd w:id="15"/>
      <w:r w:rsidRPr="005271A9">
        <w:t xml:space="preserve">Describe efforts to identify duplication. </w:t>
      </w:r>
      <w:bookmarkStart w:id="17" w:name="_Hlk45117781"/>
      <w:r w:rsidRPr="005271A9">
        <w:t>Show specifically why any similar information already available cannot be used or modified for use for the purposes described in Item 2 above.</w:t>
      </w:r>
      <w:bookmarkEnd w:id="17"/>
    </w:p>
    <w:bookmarkEnd w:id="16"/>
    <w:p w:rsidR="008A6B31" w:rsidP="008A6B31" w14:paraId="0D9AA568" w14:textId="77777777">
      <w:pPr>
        <w:autoSpaceDE w:val="0"/>
        <w:autoSpaceDN w:val="0"/>
        <w:adjustRightInd w:val="0"/>
        <w:spacing w:after="0" w:line="240" w:lineRule="auto"/>
        <w:rPr>
          <w:rFonts w:cs="Times New Roman"/>
          <w:szCs w:val="24"/>
        </w:rPr>
      </w:pPr>
    </w:p>
    <w:p w:rsidR="00A25538" w:rsidP="00E0378D" w14:paraId="00C8376A" w14:textId="2E231371">
      <w:pPr>
        <w:ind w:left="720"/>
      </w:pPr>
      <w:r>
        <w:t xml:space="preserve">Although </w:t>
      </w:r>
      <w:r w:rsidR="00F52D22">
        <w:t xml:space="preserve">information collected via SDT overlaps with </w:t>
      </w:r>
      <w:r w:rsidR="003A5A31">
        <w:t>data collected through FARS, CRSS, CISS, SCI, NTS, and CIREN, t</w:t>
      </w:r>
      <w:r w:rsidR="007E0715">
        <w:t>here is no duplication. Instead</w:t>
      </w:r>
      <w:r w:rsidR="006F1237">
        <w:t xml:space="preserve">, </w:t>
      </w:r>
      <w:r>
        <w:t>SDT</w:t>
      </w:r>
      <w:r w:rsidR="005D3A7D">
        <w:t>’s EDT protocol</w:t>
      </w:r>
      <w:r w:rsidR="00C66DD4">
        <w:t xml:space="preserve"> </w:t>
      </w:r>
      <w:r>
        <w:t>enable</w:t>
      </w:r>
      <w:r w:rsidR="0075768B">
        <w:t>s</w:t>
      </w:r>
      <w:r>
        <w:t xml:space="preserve"> NHTSA to </w:t>
      </w:r>
      <w:r w:rsidR="00254A5E">
        <w:t>reduce the burden of</w:t>
      </w:r>
      <w:r>
        <w:t xml:space="preserve"> several </w:t>
      </w:r>
      <w:r w:rsidR="00254A5E">
        <w:t xml:space="preserve">of NHTSA’s existing </w:t>
      </w:r>
      <w:r>
        <w:t xml:space="preserve">motor vehicle crash data collections from the States.  </w:t>
      </w:r>
      <w:r w:rsidR="001F5C30">
        <w:t>The EDT protocol does this by pre</w:t>
      </w:r>
      <w:r w:rsidR="00CB4D05">
        <w:t>-</w:t>
      </w:r>
      <w:r w:rsidR="001F5C30">
        <w:t xml:space="preserve">populating data into NHTSA’s FARS, CRSS, and </w:t>
      </w:r>
      <w:r w:rsidR="002D1C70">
        <w:t>CISS databases</w:t>
      </w:r>
      <w:r w:rsidR="00B11EC9">
        <w:t>, thus reducing existing redundancy</w:t>
      </w:r>
      <w:r w:rsidR="002D1C70">
        <w:t xml:space="preserve">. </w:t>
      </w:r>
      <w:r>
        <w:t>This reduce</w:t>
      </w:r>
      <w:r w:rsidR="00550A71">
        <w:t>s</w:t>
      </w:r>
      <w:r w:rsidR="002D1C70">
        <w:t xml:space="preserve"> the burden </w:t>
      </w:r>
      <w:r w:rsidR="00C46141">
        <w:t xml:space="preserve">of manually entering data.  </w:t>
      </w:r>
      <w:r>
        <w:t>States that have elected to participate i</w:t>
      </w:r>
      <w:r w:rsidR="006772BF">
        <w:t>n the EDT protocol</w:t>
      </w:r>
      <w:r>
        <w:t xml:space="preserve"> have seen improved efficiencies and improved accuracy of data in the areas of FARS and CRSS data collection.  SDT will continue to be voluntary, with participation based on States’ interest and capabilities.</w:t>
      </w:r>
    </w:p>
    <w:p w:rsidR="00A25538" w:rsidP="0084322F" w14:paraId="1C028C91" w14:textId="3B970740">
      <w:pPr>
        <w:ind w:left="720"/>
        <w:rPr>
          <w:rFonts w:cs="Times New Roman"/>
        </w:rPr>
      </w:pPr>
      <w:r>
        <w:t>Broader SDT adoption by more States will support further efficiencies in FARS, CRSS, CISS</w:t>
      </w:r>
      <w:r w:rsidR="0057336A">
        <w:t>, SCI, NTS, CIREN</w:t>
      </w:r>
      <w:r>
        <w:t xml:space="preserve"> and safety analysis throughout DOT.  This is a goal typically shared by both the States and the Federal offices responsible for management of the data.  As a result, </w:t>
      </w:r>
      <w:r w:rsidR="00C66DD4">
        <w:t xml:space="preserve">DOT will advocate for </w:t>
      </w:r>
      <w:r>
        <w:t>SDT adoption in the States as a best practice to improve the data management between State and Federal entities specific to crash and associated safety data.</w:t>
      </w:r>
    </w:p>
    <w:p w:rsidR="008A6B31" w:rsidRPr="005271A9" w:rsidP="00D109CC" w14:paraId="28D74CDA" w14:textId="77777777">
      <w:pPr>
        <w:pStyle w:val="Heading2"/>
      </w:pPr>
      <w:bookmarkStart w:id="18" w:name="_Hlk51330529"/>
      <w:r w:rsidRPr="005271A9">
        <w:t>If the collection of information impacts small businesses or other small entities, describe any methods used to minimize burden</w:t>
      </w:r>
      <w:bookmarkEnd w:id="18"/>
      <w:r w:rsidRPr="005271A9">
        <w:t>.</w:t>
      </w:r>
    </w:p>
    <w:p w:rsidR="008E55F8" w:rsidRPr="00F96FD5" w:rsidP="0084322F" w14:paraId="66AC12AF" w14:textId="3FB73ECA">
      <w:pPr>
        <w:tabs>
          <w:tab w:val="left" w:pos="-720"/>
          <w:tab w:val="left" w:pos="540"/>
        </w:tabs>
        <w:ind w:left="720"/>
        <w:rPr>
          <w:rFonts w:cs="Times New Roman"/>
          <w:szCs w:val="24"/>
        </w:rPr>
      </w:pPr>
      <w:r>
        <w:t>Respondents to this information collection effort only include</w:t>
      </w:r>
      <w:r w:rsidR="004E38CC">
        <w:t xml:space="preserve"> </w:t>
      </w:r>
      <w:r>
        <w:t>State</w:t>
      </w:r>
      <w:r w:rsidR="00A1356A">
        <w:t>s</w:t>
      </w:r>
      <w:r w:rsidR="004E38CC">
        <w:t xml:space="preserve">, </w:t>
      </w:r>
      <w:r w:rsidR="00DA0146">
        <w:t xml:space="preserve">the </w:t>
      </w:r>
      <w:r w:rsidR="004E38CC">
        <w:t xml:space="preserve">District of </w:t>
      </w:r>
      <w:r w:rsidR="00DA0146">
        <w:t xml:space="preserve">Columbia, </w:t>
      </w:r>
      <w:r w:rsidR="001C3F5B">
        <w:t xml:space="preserve">U. S. </w:t>
      </w:r>
      <w:r w:rsidR="007F5193">
        <w:t xml:space="preserve">Territory </w:t>
      </w:r>
      <w:r>
        <w:t>government</w:t>
      </w:r>
      <w:r w:rsidR="00DA127A">
        <w:t>s</w:t>
      </w:r>
      <w:r w:rsidR="00FB3CC6">
        <w:t>,</w:t>
      </w:r>
      <w:r w:rsidR="00653CC9">
        <w:t xml:space="preserve"> or the Secretary of the Interior acting on behalf of an Indian Trib</w:t>
      </w:r>
      <w:r w:rsidR="00FB3CC6">
        <w:t>e</w:t>
      </w:r>
      <w:r w:rsidR="001C0DFD">
        <w:t xml:space="preserve">. These respondents </w:t>
      </w:r>
      <w:r>
        <w:t>are not considered small entities.</w:t>
      </w:r>
    </w:p>
    <w:p w:rsidR="008A6B31" w:rsidRPr="005271A9" w:rsidP="00D109CC" w14:paraId="7255B0B4" w14:textId="77777777">
      <w:pPr>
        <w:pStyle w:val="Heading2"/>
      </w:pPr>
      <w:bookmarkStart w:id="19" w:name="_Hlk51330653"/>
      <w:r w:rsidRPr="005271A9">
        <w:t>Describe the consequence to Federal program or policy activities if the collection is not conducted or is conducted less frequently, as well as any technical or legal obstacles to reducing burden.</w:t>
      </w:r>
    </w:p>
    <w:bookmarkEnd w:id="19"/>
    <w:p w:rsidR="007C5573" w:rsidP="0093233F" w14:paraId="5C68EBEA" w14:textId="289EF2D5">
      <w:pPr>
        <w:ind w:left="720"/>
      </w:pPr>
      <w:r>
        <w:t>SDT provide</w:t>
      </w:r>
      <w:r w:rsidR="003A6BC6">
        <w:t>s</w:t>
      </w:r>
      <w:r>
        <w:t xml:space="preserve"> </w:t>
      </w:r>
      <w:r w:rsidR="00F4461E">
        <w:t xml:space="preserve">the </w:t>
      </w:r>
      <w:r w:rsidR="002625AF">
        <w:t>most comprehensive</w:t>
      </w:r>
      <w:r w:rsidR="00F4461E">
        <w:t xml:space="preserve"> </w:t>
      </w:r>
      <w:r w:rsidR="008777FD">
        <w:t>PAR</w:t>
      </w:r>
      <w:r w:rsidR="00A50715">
        <w:t xml:space="preserve"> information for </w:t>
      </w:r>
      <w:r w:rsidR="00B60FEA">
        <w:t xml:space="preserve">participating </w:t>
      </w:r>
      <w:r w:rsidRPr="0092452A">
        <w:t xml:space="preserve">State injury and property-damage-only crashes </w:t>
      </w:r>
      <w:r w:rsidR="00A50715">
        <w:t>in one consolidated data feed</w:t>
      </w:r>
      <w:r w:rsidR="00B60FEA">
        <w:t xml:space="preserve">.  This </w:t>
      </w:r>
      <w:r w:rsidR="00C048E6">
        <w:t>information</w:t>
      </w:r>
      <w:r w:rsidR="00B60FEA">
        <w:t xml:space="preserve"> is </w:t>
      </w:r>
      <w:r w:rsidRPr="0092452A">
        <w:t xml:space="preserve">not available through any other NHTSA </w:t>
      </w:r>
      <w:r>
        <w:t xml:space="preserve">data collection program.  </w:t>
      </w:r>
      <w:r w:rsidRPr="00D92AB5">
        <w:t xml:space="preserve">SDT data </w:t>
      </w:r>
      <w:r w:rsidR="00A45D4D">
        <w:t>is</w:t>
      </w:r>
      <w:r w:rsidRPr="00D92AB5" w:rsidR="00B70A4E">
        <w:t xml:space="preserve"> </w:t>
      </w:r>
      <w:r w:rsidRPr="00D92AB5">
        <w:t xml:space="preserve">used to </w:t>
      </w:r>
      <w:r w:rsidRPr="00D92AB5" w:rsidR="00B70A4E">
        <w:t xml:space="preserve">identify, </w:t>
      </w:r>
      <w:r w:rsidRPr="00D92AB5" w:rsidR="002C6433">
        <w:t>evaluate,</w:t>
      </w:r>
      <w:r w:rsidRPr="00D92AB5">
        <w:t xml:space="preserve"> and respond to changes in safety on </w:t>
      </w:r>
      <w:r w:rsidRPr="00D92AB5" w:rsidR="00691A74">
        <w:t xml:space="preserve">our </w:t>
      </w:r>
      <w:r w:rsidR="00970234">
        <w:t>N</w:t>
      </w:r>
      <w:r w:rsidRPr="00D92AB5" w:rsidR="00691A74">
        <w:t>at</w:t>
      </w:r>
      <w:r w:rsidRPr="00D92AB5" w:rsidR="00CE396C">
        <w:t>i</w:t>
      </w:r>
      <w:r w:rsidRPr="00D92AB5" w:rsidR="00691A74">
        <w:t>on</w:t>
      </w:r>
      <w:r w:rsidR="00970234">
        <w:t>’</w:t>
      </w:r>
      <w:r w:rsidRPr="00D92AB5" w:rsidR="00691A74">
        <w:t>s</w:t>
      </w:r>
      <w:r w:rsidRPr="00D92AB5">
        <w:t xml:space="preserve"> roadways. Studies in safety include vehicle; vehicle technology use; roadway; passenger safety</w:t>
      </w:r>
      <w:r w:rsidRPr="00D92AB5" w:rsidR="00691A74">
        <w:t>,</w:t>
      </w:r>
      <w:r w:rsidRPr="00D92AB5">
        <w:t xml:space="preserve"> </w:t>
      </w:r>
      <w:r w:rsidRPr="00D92AB5" w:rsidR="00691A74">
        <w:t>other road users and underserved populations</w:t>
      </w:r>
      <w:r w:rsidRPr="00D92AB5">
        <w:t>. Absent the SDT program and the data it collect</w:t>
      </w:r>
      <w:r w:rsidR="00C652E1">
        <w:t>s</w:t>
      </w:r>
      <w:r w:rsidRPr="00D92AB5">
        <w:t>, NHTSA will not be able to identify existing and emerging highway safety trends, assess the effectiveness of motor vehicle safety standards, and study the impact of new and emerging technologies as effectively.</w:t>
      </w:r>
      <w:r>
        <w:t xml:space="preserve">  </w:t>
      </w:r>
    </w:p>
    <w:p w:rsidR="00FE0A40" w:rsidP="0093233F" w14:paraId="402F5A08" w14:textId="6260805A">
      <w:pPr>
        <w:ind w:left="720"/>
      </w:pPr>
      <w:r>
        <w:t xml:space="preserve">For </w:t>
      </w:r>
      <w:r w:rsidR="007C5573">
        <w:t>example</w:t>
      </w:r>
      <w:r w:rsidR="00E0378D">
        <w:t>,</w:t>
      </w:r>
      <w:r w:rsidR="007C5573">
        <w:t xml:space="preserve"> </w:t>
      </w:r>
      <w:r>
        <w:t>NHTSA utilize</w:t>
      </w:r>
      <w:r w:rsidR="00C652E1">
        <w:t>s</w:t>
      </w:r>
      <w:r>
        <w:t xml:space="preserve"> the </w:t>
      </w:r>
      <w:r w:rsidR="007C5573">
        <w:t xml:space="preserve">SDT data </w:t>
      </w:r>
      <w:r>
        <w:t xml:space="preserve">to </w:t>
      </w:r>
      <w:r w:rsidR="0012542F">
        <w:t>iden</w:t>
      </w:r>
      <w:r w:rsidR="000B2FD8">
        <w:t>tify</w:t>
      </w:r>
      <w:r w:rsidR="0012542F">
        <w:t xml:space="preserve"> crash-involved vehicles with </w:t>
      </w:r>
      <w:r w:rsidR="00E0378D">
        <w:t>advanced driver assistance technologies</w:t>
      </w:r>
      <w:r w:rsidR="0012542F">
        <w:t xml:space="preserve"> and </w:t>
      </w:r>
      <w:r w:rsidR="007C5573">
        <w:t>evaluat</w:t>
      </w:r>
      <w:r w:rsidR="0012542F">
        <w:t xml:space="preserve">e </w:t>
      </w:r>
      <w:r w:rsidR="007C5573">
        <w:t>effectiveness</w:t>
      </w:r>
      <w:r w:rsidR="006357C4">
        <w:t xml:space="preserve"> of the </w:t>
      </w:r>
      <w:r w:rsidR="00E0378D">
        <w:t>s</w:t>
      </w:r>
      <w:r w:rsidR="006357C4">
        <w:t>ystems</w:t>
      </w:r>
      <w:r w:rsidR="007C5573">
        <w:t>.  W</w:t>
      </w:r>
      <w:r w:rsidR="007834C6">
        <w:t xml:space="preserve">ithout SDT data, NHTSA would be </w:t>
      </w:r>
      <w:r w:rsidR="00F6227F">
        <w:t xml:space="preserve">not as </w:t>
      </w:r>
      <w:r w:rsidR="007834C6">
        <w:t>able to</w:t>
      </w:r>
      <w:r w:rsidR="005E213F">
        <w:t xml:space="preserve"> estimate the effectiveness of vehicles equipped with a</w:t>
      </w:r>
      <w:r w:rsidR="00E0378D">
        <w:t>dvanced</w:t>
      </w:r>
      <w:r w:rsidR="005E213F">
        <w:t xml:space="preserve"> driver assistance technologies.  A</w:t>
      </w:r>
      <w:r w:rsidR="00E0378D">
        <w:t>dvanced</w:t>
      </w:r>
      <w:r w:rsidR="005E213F">
        <w:t xml:space="preserve"> driver assistance technologies are </w:t>
      </w:r>
      <w:r w:rsidR="00B511AF">
        <w:t xml:space="preserve">relatively </w:t>
      </w:r>
      <w:r w:rsidR="005E213F">
        <w:t xml:space="preserve">new and </w:t>
      </w:r>
      <w:r w:rsidR="00B511AF">
        <w:t>are</w:t>
      </w:r>
      <w:r w:rsidR="005E213F">
        <w:t xml:space="preserve"> only offer</w:t>
      </w:r>
      <w:r w:rsidR="009A593D">
        <w:t>ed</w:t>
      </w:r>
      <w:r w:rsidR="005E213F">
        <w:t xml:space="preserve"> in new vehicles</w:t>
      </w:r>
      <w:r w:rsidR="009A593D">
        <w:t>,</w:t>
      </w:r>
      <w:r w:rsidR="005E213F">
        <w:t xml:space="preserve"> </w:t>
      </w:r>
      <w:r w:rsidR="009A593D">
        <w:t xml:space="preserve">which </w:t>
      </w:r>
      <w:r w:rsidR="005E213F">
        <w:t xml:space="preserve">represent </w:t>
      </w:r>
      <w:r w:rsidR="009A593D">
        <w:t xml:space="preserve">a </w:t>
      </w:r>
      <w:r w:rsidR="005E213F">
        <w:t>small proportion of all vehicles</w:t>
      </w:r>
      <w:r w:rsidR="00B511AF">
        <w:t>—</w:t>
      </w:r>
      <w:r w:rsidR="005E213F">
        <w:t xml:space="preserve">and </w:t>
      </w:r>
      <w:r w:rsidR="00B511AF">
        <w:t xml:space="preserve">an </w:t>
      </w:r>
      <w:r w:rsidR="005E213F">
        <w:t>even small</w:t>
      </w:r>
      <w:r w:rsidR="009A593D">
        <w:t>er</w:t>
      </w:r>
      <w:r w:rsidR="005E213F">
        <w:t xml:space="preserve"> proportion of vehicles involved in crashes.  SDT </w:t>
      </w:r>
      <w:r w:rsidR="009175BF">
        <w:t>is</w:t>
      </w:r>
      <w:r w:rsidR="005E213F">
        <w:t xml:space="preserve"> the </w:t>
      </w:r>
      <w:r w:rsidR="00B511AF">
        <w:t xml:space="preserve">most effective way to collect data on </w:t>
      </w:r>
      <w:r w:rsidR="005E213F">
        <w:t>vehicles with th</w:t>
      </w:r>
      <w:r w:rsidR="00B511AF">
        <w:t>ese</w:t>
      </w:r>
      <w:r w:rsidR="005E213F">
        <w:t xml:space="preserve"> new technolog</w:t>
      </w:r>
      <w:r w:rsidR="00B511AF">
        <w:t>ies</w:t>
      </w:r>
      <w:r w:rsidR="005E213F">
        <w:t xml:space="preserve">.  </w:t>
      </w:r>
      <w:r w:rsidR="00B60FEA">
        <w:t xml:space="preserve">The </w:t>
      </w:r>
      <w:r>
        <w:t xml:space="preserve">SDT data </w:t>
      </w:r>
      <w:r w:rsidR="00B60FEA">
        <w:t xml:space="preserve">collection </w:t>
      </w:r>
      <w:r w:rsidR="00520BFD">
        <w:t xml:space="preserve">provides NHTSA with the large dataset </w:t>
      </w:r>
      <w:r w:rsidR="00B60FEA">
        <w:t>and enhance</w:t>
      </w:r>
      <w:r>
        <w:t xml:space="preserve"> NHTSA</w:t>
      </w:r>
      <w:r w:rsidR="00B60FEA">
        <w:t>’s</w:t>
      </w:r>
      <w:r>
        <w:t xml:space="preserve"> ability to estimate effectiveness of </w:t>
      </w:r>
      <w:r w:rsidR="00B60FEA">
        <w:t xml:space="preserve">these </w:t>
      </w:r>
      <w:r>
        <w:t>new technologies.</w:t>
      </w:r>
    </w:p>
    <w:p w:rsidR="0048090A" w:rsidP="0048090A" w14:paraId="739DBF91" w14:textId="71218E4C">
      <w:pPr>
        <w:ind w:left="720"/>
      </w:pPr>
      <w:r>
        <w:t>NHTSA also use</w:t>
      </w:r>
      <w:r w:rsidR="00520BFD">
        <w:t>s</w:t>
      </w:r>
      <w:r>
        <w:t xml:space="preserve"> the SDT to support t</w:t>
      </w:r>
      <w:r w:rsidRPr="00CE2B0F">
        <w:t xml:space="preserve">he cost-benefit analysis </w:t>
      </w:r>
      <w:r>
        <w:t xml:space="preserve">for </w:t>
      </w:r>
      <w:r w:rsidR="00934D78">
        <w:t>its</w:t>
      </w:r>
      <w:r w:rsidRPr="00CE2B0F">
        <w:t xml:space="preserve"> C</w:t>
      </w:r>
      <w:r>
        <w:t xml:space="preserve">orporate </w:t>
      </w:r>
      <w:r w:rsidRPr="00CE2B0F">
        <w:t>A</w:t>
      </w:r>
      <w:r>
        <w:t xml:space="preserve">verage </w:t>
      </w:r>
      <w:r w:rsidRPr="00CE2B0F">
        <w:t>F</w:t>
      </w:r>
      <w:r>
        <w:t xml:space="preserve">uel </w:t>
      </w:r>
      <w:r w:rsidRPr="00CE2B0F">
        <w:t>E</w:t>
      </w:r>
      <w:r>
        <w:t>conomy (CAF</w:t>
      </w:r>
      <w:r w:rsidR="00F708AC">
        <w:t>E</w:t>
      </w:r>
      <w:r>
        <w:t>)</w:t>
      </w:r>
      <w:r w:rsidRPr="00CE2B0F">
        <w:t xml:space="preserve"> rulemaking</w:t>
      </w:r>
      <w:r>
        <w:t>.  NHTSA use</w:t>
      </w:r>
      <w:r w:rsidR="00D845C6">
        <w:t>s</w:t>
      </w:r>
      <w:r>
        <w:t xml:space="preserve"> the SDT </w:t>
      </w:r>
      <w:r w:rsidR="00F11C16">
        <w:t>data</w:t>
      </w:r>
      <w:r>
        <w:t xml:space="preserve"> to estimate the</w:t>
      </w:r>
      <w:r w:rsidRPr="00CE2B0F">
        <w:t xml:space="preserve"> effects of reducing vehicle mass (to help meet fuel economy targets) on fatalities. Without the volume of data from the States in the sample, it would not be feasible to estimate meaningful fatality rates or their relationship with vehicle mass.</w:t>
      </w:r>
    </w:p>
    <w:p w:rsidR="00A25538" w:rsidP="008A6B31" w14:paraId="05CB15A4" w14:textId="18D7E121">
      <w:pPr>
        <w:ind w:left="720"/>
      </w:pPr>
      <w:r>
        <w:t>Furthermore, the SDT program allow</w:t>
      </w:r>
      <w:r w:rsidR="00D845C6">
        <w:t>s</w:t>
      </w:r>
      <w:r>
        <w:t xml:space="preserve"> NHTSA to decrease the burden on States associated with NHTSA’s existing motor vehicle crash data collections </w:t>
      </w:r>
      <w:r w:rsidR="00B60FEA">
        <w:t xml:space="preserve">as </w:t>
      </w:r>
      <w:r>
        <w:t xml:space="preserve">described above.  Absent implementation of the SDT program, States will continue to provide the data separately for each motor vehicle crash data collection, which frequently requires manual data entry.  By establishing one electronic transfer of State motor vehicle crash data under SDT, the burden on the participating States </w:t>
      </w:r>
      <w:r w:rsidR="009A4967">
        <w:t>is</w:t>
      </w:r>
      <w:r>
        <w:t xml:space="preserve"> reduced and the data timeliness and accuracy increased.  The electronic nature of the SDT program provides higher frequency data transfer with lower effort.</w:t>
      </w:r>
    </w:p>
    <w:p w:rsidR="008A6B31" w:rsidRPr="005271A9" w:rsidP="00D109CC" w14:paraId="5B09E0B6" w14:textId="77777777">
      <w:pPr>
        <w:pStyle w:val="Heading2"/>
      </w:pPr>
      <w:bookmarkStart w:id="20" w:name="_Hlk51330697"/>
      <w:r w:rsidRPr="005271A9">
        <w:t>Explain any special circumstances that would cause an information collection to be conducted in a manner:</w:t>
      </w:r>
    </w:p>
    <w:p w:rsidR="008A6B31" w:rsidRPr="005271A9" w:rsidP="008A6B31" w14:paraId="24FE7F6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008A6B31" w:rsidRPr="005271A9" w:rsidP="008A6B31" w14:paraId="526B8C95"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008A6B31" w:rsidRPr="005271A9" w:rsidP="008A6B31" w14:paraId="02FD0002"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008A6B31" w:rsidRPr="005271A9" w:rsidP="008A6B31" w14:paraId="3EF5F1F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008A6B31" w:rsidRPr="005271A9" w:rsidP="008A6B31" w14:paraId="7C507522"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008A6B31" w:rsidRPr="005271A9" w:rsidP="008A6B31" w14:paraId="35AA997B"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008A6B31" w:rsidRPr="005271A9" w:rsidP="008A6B31" w14:paraId="6CCECE89"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5271A9" w:rsidP="008A6B31" w14:paraId="54D64937" w14:textId="77777777">
      <w:pPr>
        <w:pStyle w:val="ListParagraph"/>
        <w:numPr>
          <w:ilvl w:val="1"/>
          <w:numId w:val="1"/>
        </w:numPr>
        <w:autoSpaceDE w:val="0"/>
        <w:autoSpaceDN w:val="0"/>
        <w:adjustRightInd w:val="0"/>
        <w:spacing w:after="0" w:line="240" w:lineRule="auto"/>
        <w:rPr>
          <w:rFonts w:cs="Times New Roman"/>
          <w:b/>
          <w:szCs w:val="24"/>
        </w:rPr>
      </w:pPr>
      <w:bookmarkStart w:id="21"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20"/>
    <w:bookmarkEnd w:id="21"/>
    <w:p w:rsidR="008A6B31" w:rsidP="008A6B31" w14:paraId="3BC3AF1A" w14:textId="77777777">
      <w:pPr>
        <w:autoSpaceDE w:val="0"/>
        <w:autoSpaceDN w:val="0"/>
        <w:adjustRightInd w:val="0"/>
        <w:spacing w:after="0" w:line="240" w:lineRule="auto"/>
        <w:rPr>
          <w:rFonts w:cs="Times New Roman"/>
          <w:szCs w:val="24"/>
        </w:rPr>
      </w:pPr>
    </w:p>
    <w:p w:rsidR="00757DEF" w:rsidP="0093233F" w14:paraId="5D215667" w14:textId="73F0A944">
      <w:pPr>
        <w:ind w:left="720"/>
      </w:pPr>
      <w:r>
        <w:t>This collection involves respondents providing information more often than quarterly</w:t>
      </w:r>
      <w:r w:rsidR="00056E38">
        <w:t>.</w:t>
      </w:r>
      <w:r w:rsidR="2C516FEF">
        <w:t xml:space="preserve"> </w:t>
      </w:r>
      <w:r w:rsidR="00056E38">
        <w:t xml:space="preserve">The information is </w:t>
      </w:r>
      <w:r>
        <w:t xml:space="preserve">submitted electronically using secure protocols </w:t>
      </w:r>
      <w:r w:rsidR="00862DA7">
        <w:t xml:space="preserve">and at a frequency </w:t>
      </w:r>
      <w:r>
        <w:t xml:space="preserve">agreed upon by both State and Federal offices. </w:t>
      </w:r>
      <w:r w:rsidR="00B60FEA">
        <w:t xml:space="preserve"> </w:t>
      </w:r>
      <w:r w:rsidR="00862DA7">
        <w:t xml:space="preserve">With </w:t>
      </w:r>
      <w:r w:rsidR="0010712D">
        <w:t>the</w:t>
      </w:r>
      <w:r w:rsidR="00862DA7">
        <w:t xml:space="preserve"> States</w:t>
      </w:r>
      <w:r w:rsidR="00845E45">
        <w:t xml:space="preserve"> participating in the EDT protocol</w:t>
      </w:r>
      <w:r w:rsidR="00862DA7">
        <w:t xml:space="preserve">, the data submission is automated </w:t>
      </w:r>
      <w:r w:rsidR="00B60FEA">
        <w:t>and</w:t>
      </w:r>
      <w:r w:rsidR="00862DA7">
        <w:t xml:space="preserve"> happen</w:t>
      </w:r>
      <w:r w:rsidR="00B60FEA">
        <w:t>s</w:t>
      </w:r>
      <w:r w:rsidR="00862DA7">
        <w:t xml:space="preserve"> each night </w:t>
      </w:r>
      <w:r w:rsidR="006429C6">
        <w:t>electronically</w:t>
      </w:r>
      <w:r w:rsidR="00862DA7">
        <w:t>.</w:t>
      </w:r>
      <w:r>
        <w:t xml:space="preserve"> </w:t>
      </w:r>
      <w:r w:rsidR="00B60FEA">
        <w:t xml:space="preserve"> </w:t>
      </w:r>
      <w:r>
        <w:t xml:space="preserve">The electronic-only submittal is </w:t>
      </w:r>
      <w:r w:rsidR="00605871">
        <w:t xml:space="preserve">intended </w:t>
      </w:r>
      <w:r>
        <w:t xml:space="preserve">to decrease the data management and </w:t>
      </w:r>
      <w:r>
        <w:t xml:space="preserve">communication burden on all involved parties.  When </w:t>
      </w:r>
      <w:r w:rsidR="00C80D18">
        <w:t xml:space="preserve">adopted, the EDT protocol </w:t>
      </w:r>
      <w:r>
        <w:t>replaces costly and time-consuming manual or paper-based processes.</w:t>
      </w:r>
    </w:p>
    <w:p w:rsidR="008A6B31" w:rsidP="0093233F" w14:paraId="62FCA514" w14:textId="77777777">
      <w:pPr>
        <w:ind w:left="720"/>
        <w:rPr>
          <w:rFonts w:cs="Times New Roman"/>
          <w:szCs w:val="24"/>
        </w:rPr>
      </w:pPr>
      <w:r>
        <w:rPr>
          <w:rFonts w:cs="Times New Roman"/>
          <w:szCs w:val="24"/>
        </w:rPr>
        <w:t>This collection does not require respondents to submit more than an original and two copies of any document</w:t>
      </w:r>
      <w:r w:rsidR="00B60FEA">
        <w:rPr>
          <w:rFonts w:cs="Times New Roman"/>
          <w:szCs w:val="24"/>
        </w:rPr>
        <w:t>, though</w:t>
      </w:r>
      <w:r w:rsidR="006429C6">
        <w:rPr>
          <w:rFonts w:cs="Times New Roman"/>
          <w:szCs w:val="24"/>
        </w:rPr>
        <w:t xml:space="preserve"> respondents </w:t>
      </w:r>
      <w:r w:rsidR="00B60FEA">
        <w:rPr>
          <w:rFonts w:cs="Times New Roman"/>
          <w:szCs w:val="24"/>
        </w:rPr>
        <w:t>may</w:t>
      </w:r>
      <w:r w:rsidR="006429C6">
        <w:rPr>
          <w:rFonts w:cs="Times New Roman"/>
          <w:szCs w:val="24"/>
        </w:rPr>
        <w:t xml:space="preserve"> send several copies of one PAR if there are updates to a crash. </w:t>
      </w:r>
      <w:r w:rsidR="00B60FEA">
        <w:rPr>
          <w:rFonts w:cs="Times New Roman"/>
          <w:szCs w:val="24"/>
        </w:rPr>
        <w:t xml:space="preserve"> </w:t>
      </w:r>
      <w:r w:rsidR="00D10617">
        <w:rPr>
          <w:rFonts w:cs="Times New Roman"/>
          <w:szCs w:val="24"/>
        </w:rPr>
        <w:t>T</w:t>
      </w:r>
      <w:r w:rsidR="006429C6">
        <w:rPr>
          <w:rFonts w:cs="Times New Roman"/>
          <w:szCs w:val="24"/>
        </w:rPr>
        <w:t xml:space="preserve">he process is automated and happens without human intervention. </w:t>
      </w:r>
      <w:r w:rsidR="00B60FEA">
        <w:rPr>
          <w:rFonts w:cs="Times New Roman"/>
          <w:szCs w:val="24"/>
        </w:rPr>
        <w:t xml:space="preserve"> </w:t>
      </w:r>
      <w:r w:rsidR="006429C6">
        <w:rPr>
          <w:rFonts w:cs="Times New Roman"/>
          <w:szCs w:val="24"/>
        </w:rPr>
        <w:t>If there are any updates for a crash after the information has been sent to NHTSA, the States’ electronic system</w:t>
      </w:r>
      <w:r w:rsidR="00B746FF">
        <w:rPr>
          <w:rFonts w:cs="Times New Roman"/>
          <w:szCs w:val="24"/>
        </w:rPr>
        <w:t>s</w:t>
      </w:r>
      <w:r w:rsidR="006429C6">
        <w:rPr>
          <w:rFonts w:cs="Times New Roman"/>
          <w:szCs w:val="24"/>
        </w:rPr>
        <w:t xml:space="preserve"> send updates automatically and NHTSA’s EDT process receives the information and updates </w:t>
      </w:r>
      <w:r w:rsidR="00B746FF">
        <w:rPr>
          <w:rFonts w:cs="Times New Roman"/>
          <w:szCs w:val="24"/>
        </w:rPr>
        <w:t xml:space="preserve">its </w:t>
      </w:r>
      <w:r w:rsidR="006429C6">
        <w:rPr>
          <w:rFonts w:cs="Times New Roman"/>
          <w:szCs w:val="24"/>
        </w:rPr>
        <w:t>records automatically.</w:t>
      </w:r>
    </w:p>
    <w:p w:rsidR="00027332" w:rsidP="0093233F" w14:paraId="4AE5C750" w14:textId="62202726">
      <w:pPr>
        <w:ind w:left="720"/>
        <w:rPr>
          <w:rFonts w:cs="Times New Roman"/>
          <w:szCs w:val="24"/>
        </w:rPr>
      </w:pPr>
      <w:r>
        <w:rPr>
          <w:rFonts w:cs="Times New Roman"/>
          <w:szCs w:val="24"/>
        </w:rPr>
        <w:t xml:space="preserve">Other than </w:t>
      </w:r>
      <w:r w:rsidR="00BC2507">
        <w:rPr>
          <w:rFonts w:cs="Times New Roman"/>
          <w:szCs w:val="24"/>
        </w:rPr>
        <w:t>above</w:t>
      </w:r>
      <w:r>
        <w:rPr>
          <w:rFonts w:cs="Times New Roman"/>
          <w:szCs w:val="24"/>
        </w:rPr>
        <w:t xml:space="preserve"> descri</w:t>
      </w:r>
      <w:r w:rsidR="005765FC">
        <w:rPr>
          <w:rFonts w:cs="Times New Roman"/>
          <w:szCs w:val="24"/>
        </w:rPr>
        <w:t xml:space="preserve">ption about </w:t>
      </w:r>
      <w:r w:rsidR="00F937AA">
        <w:rPr>
          <w:rFonts w:cs="Times New Roman"/>
          <w:szCs w:val="24"/>
        </w:rPr>
        <w:t xml:space="preserve">the </w:t>
      </w:r>
      <w:r w:rsidR="005765FC">
        <w:rPr>
          <w:rFonts w:cs="Times New Roman"/>
          <w:szCs w:val="24"/>
        </w:rPr>
        <w:t xml:space="preserve">automatic </w:t>
      </w:r>
      <w:r w:rsidR="00F937AA">
        <w:rPr>
          <w:rFonts w:cs="Times New Roman"/>
          <w:szCs w:val="24"/>
        </w:rPr>
        <w:t>information collection frequency and update</w:t>
      </w:r>
      <w:r w:rsidR="000D582F">
        <w:rPr>
          <w:rFonts w:cs="Times New Roman"/>
          <w:szCs w:val="24"/>
        </w:rPr>
        <w:t>s</w:t>
      </w:r>
      <w:r w:rsidR="00F937AA">
        <w:rPr>
          <w:rFonts w:cs="Times New Roman"/>
          <w:szCs w:val="24"/>
        </w:rPr>
        <w:t xml:space="preserve">, there are no other special circumstances </w:t>
      </w:r>
      <w:r w:rsidR="00BC2507">
        <w:rPr>
          <w:rFonts w:cs="Times New Roman"/>
          <w:szCs w:val="24"/>
        </w:rPr>
        <w:t xml:space="preserve">that would cause this collection to be collected in a manner inconsistent with 5 CFR 1320.5(d)(2). </w:t>
      </w:r>
    </w:p>
    <w:p w:rsidR="00150F00" w:rsidRPr="005271A9" w:rsidP="00D109CC" w14:paraId="12391E72" w14:textId="77777777">
      <w:pPr>
        <w:pStyle w:val="Heading2"/>
      </w:pPr>
      <w:bookmarkStart w:id="22" w:name="_Hlk51330779"/>
      <w:r w:rsidRPr="005271A9">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t>.</w:t>
      </w:r>
      <w:r w:rsidRPr="005271A9">
        <w:t xml:space="preserve"> </w:t>
      </w:r>
    </w:p>
    <w:bookmarkEnd w:id="22"/>
    <w:p w:rsidR="007A54E9" w:rsidP="007A54E9" w14:paraId="45AE62AE" w14:textId="268C88F9">
      <w:pPr>
        <w:autoSpaceDE w:val="0"/>
        <w:autoSpaceDN w:val="0"/>
        <w:adjustRightInd w:val="0"/>
        <w:ind w:left="720"/>
      </w:pPr>
      <w:r w:rsidRPr="00D710F2">
        <w:t xml:space="preserve">NHTSA </w:t>
      </w:r>
      <w:r w:rsidR="000D57DD">
        <w:t xml:space="preserve">first </w:t>
      </w:r>
      <w:r w:rsidRPr="00D710F2">
        <w:t>published a notice in the Federal Register with a 60-day public comment period to announce th</w:t>
      </w:r>
      <w:r>
        <w:t xml:space="preserve">e proposed EDT protocol part of SDT </w:t>
      </w:r>
      <w:r w:rsidRPr="00D710F2">
        <w:t xml:space="preserve">information collection on </w:t>
      </w:r>
      <w:r w:rsidR="00403A25">
        <w:t>May 3, 2023</w:t>
      </w:r>
      <w:r w:rsidR="00FC5845">
        <w:t xml:space="preserve"> (87 FR 27949)</w:t>
      </w:r>
      <w:r w:rsidRPr="00D710F2">
        <w:t xml:space="preserve">.  </w:t>
      </w:r>
      <w:r w:rsidRPr="001E467C" w:rsidR="001E467C">
        <w:t xml:space="preserve"> </w:t>
      </w:r>
      <w:r w:rsidR="00517EE4">
        <w:t xml:space="preserve"> </w:t>
      </w:r>
    </w:p>
    <w:p w:rsidR="00524665" w:rsidP="0055497F" w14:paraId="6B9E2A85" w14:textId="6FCAC059">
      <w:pPr>
        <w:tabs>
          <w:tab w:val="left" w:pos="-720"/>
          <w:tab w:val="left" w:pos="540"/>
        </w:tabs>
        <w:ind w:left="720"/>
      </w:pPr>
      <w:r>
        <w:t>NHTSA received one comment in support of the data collection from the National Association of Mutual Insurance Companies (NAMIC).  NAMIC emphasized the information collection is not only necessary</w:t>
      </w:r>
      <w:r w:rsidRPr="00C82131">
        <w:t xml:space="preserve"> but “critical for the proper performance of the functions of NHTSA and there is every reason to believe that the results of the study will have great practical utility.” </w:t>
      </w:r>
      <w:r>
        <w:t xml:space="preserve"> </w:t>
      </w:r>
      <w:r w:rsidRPr="00524665">
        <w:t xml:space="preserve">Furthermore, NAMIC is interested in working with NHTSA on areas of studies and analysis.  </w:t>
      </w:r>
      <w:r>
        <w:t>NAMIC is supportive of the Notice and strongly urges NHTSA to propose more wide and extensive auto safety data recording and reporting.</w:t>
      </w:r>
    </w:p>
    <w:p w:rsidR="00D65621" w:rsidP="0055497F" w14:paraId="28F116D6" w14:textId="6FB7DE6C">
      <w:pPr>
        <w:tabs>
          <w:tab w:val="left" w:pos="-720"/>
          <w:tab w:val="left" w:pos="540"/>
        </w:tabs>
        <w:ind w:left="720"/>
      </w:pPr>
      <w:r w:rsidRPr="00C622AC">
        <w:rPr>
          <w:szCs w:val="24"/>
        </w:rPr>
        <w:t xml:space="preserve">NHTSA published a 30-day notice on </w:t>
      </w:r>
      <w:r>
        <w:rPr>
          <w:szCs w:val="24"/>
        </w:rPr>
        <w:t>September 5</w:t>
      </w:r>
      <w:r w:rsidRPr="00C622AC">
        <w:rPr>
          <w:szCs w:val="24"/>
        </w:rPr>
        <w:t>, 202</w:t>
      </w:r>
      <w:r>
        <w:rPr>
          <w:szCs w:val="24"/>
        </w:rPr>
        <w:t>3</w:t>
      </w:r>
      <w:r w:rsidR="00FF13A6">
        <w:rPr>
          <w:szCs w:val="24"/>
        </w:rPr>
        <w:t>,</w:t>
      </w:r>
      <w:r w:rsidRPr="00C622AC">
        <w:rPr>
          <w:szCs w:val="24"/>
        </w:rPr>
        <w:t xml:space="preserve"> requesting comment on NHTSA’s intention to submit this ICR to OMB for approval (8</w:t>
      </w:r>
      <w:r>
        <w:rPr>
          <w:szCs w:val="24"/>
        </w:rPr>
        <w:t>8</w:t>
      </w:r>
      <w:r w:rsidRPr="00C622AC">
        <w:rPr>
          <w:szCs w:val="24"/>
        </w:rPr>
        <w:t xml:space="preserve"> FR </w:t>
      </w:r>
      <w:r w:rsidR="008A0F77">
        <w:rPr>
          <w:szCs w:val="24"/>
        </w:rPr>
        <w:t>60736</w:t>
      </w:r>
      <w:r w:rsidRPr="00C622AC">
        <w:rPr>
          <w:szCs w:val="24"/>
        </w:rPr>
        <w:t xml:space="preserve">, Pages </w:t>
      </w:r>
      <w:r w:rsidR="00BD2B8A">
        <w:rPr>
          <w:szCs w:val="24"/>
        </w:rPr>
        <w:t>60736</w:t>
      </w:r>
      <w:r w:rsidRPr="00C622AC">
        <w:rPr>
          <w:szCs w:val="24"/>
        </w:rPr>
        <w:t>-</w:t>
      </w:r>
      <w:r w:rsidR="00B11DB4">
        <w:rPr>
          <w:szCs w:val="24"/>
        </w:rPr>
        <w:t>60741</w:t>
      </w:r>
      <w:r w:rsidRPr="00C622AC">
        <w:rPr>
          <w:szCs w:val="24"/>
        </w:rPr>
        <w:t>).</w:t>
      </w:r>
    </w:p>
    <w:p w:rsidR="000373A8" w:rsidRPr="005271A9" w:rsidP="00D109CC" w14:paraId="2A81A043" w14:textId="77777777">
      <w:pPr>
        <w:pStyle w:val="Heading2"/>
      </w:pPr>
      <w:bookmarkStart w:id="23" w:name="_Hlk51330973"/>
      <w:r w:rsidRPr="005271A9">
        <w:t>Explain any decision to provide any payment or gift to respondents, other than remuneration of contractors or grantees.</w:t>
      </w:r>
    </w:p>
    <w:bookmarkEnd w:id="23"/>
    <w:p w:rsidR="000373A8" w:rsidP="000373A8" w14:paraId="49EDFD6F" w14:textId="77777777">
      <w:pPr>
        <w:autoSpaceDE w:val="0"/>
        <w:autoSpaceDN w:val="0"/>
        <w:adjustRightInd w:val="0"/>
        <w:spacing w:after="0" w:line="240" w:lineRule="auto"/>
        <w:ind w:left="360"/>
        <w:rPr>
          <w:rFonts w:cs="Times New Roman"/>
          <w:szCs w:val="24"/>
        </w:rPr>
      </w:pPr>
    </w:p>
    <w:p w:rsidR="00796FAA" w:rsidP="00AD2C33" w14:paraId="78E30EF7" w14:textId="1785421E">
      <w:pPr>
        <w:pStyle w:val="BodyText"/>
        <w:ind w:left="720"/>
      </w:pPr>
      <w:r>
        <w:t>No payments or gifts are provided to respondents</w:t>
      </w:r>
      <w:r w:rsidR="002A3320">
        <w:t xml:space="preserve"> in connection with this </w:t>
      </w:r>
      <w:r w:rsidR="3885986A">
        <w:t>discretionary grant program</w:t>
      </w:r>
      <w:r w:rsidR="16AA2745">
        <w:t xml:space="preserve"> other than the remuneration of contractors or grantees.</w:t>
      </w:r>
      <w:r w:rsidR="000C520A">
        <w:t xml:space="preserve"> </w:t>
      </w:r>
      <w:r w:rsidR="000D5A8E">
        <w:t xml:space="preserve">As stated in BIL, </w:t>
      </w:r>
      <w:r w:rsidR="00654F15">
        <w:t>NHTSA</w:t>
      </w:r>
      <w:r w:rsidRPr="0028460F" w:rsidR="000D5A8E">
        <w:t xml:space="preserve"> shall provide grants to States to upgrade and standardize State crash data </w:t>
      </w:r>
      <w:r w:rsidR="000D5A8E">
        <w:t xml:space="preserve">collection </w:t>
      </w:r>
      <w:r w:rsidRPr="0028460F" w:rsidR="000D5A8E">
        <w:t>systems to enable electronic data collection, intrastate data sharing, and electronic data transfers to the National Highway Traffic Safety Administration to increase the accuracy, timeliness, and accessibility of the data, including data relating to fatalities involving vulnerable road users.</w:t>
      </w:r>
      <w:r w:rsidR="005E7247">
        <w:t xml:space="preserve"> </w:t>
      </w:r>
      <w:r>
        <w:t xml:space="preserve">NHTSA can provide up to eighty (80) percent of the funding for the SEDC grants. The State is responsible for at least twenty (20) percent of the funding, but the State can provide more than the twenty (20) percent.  </w:t>
      </w:r>
    </w:p>
    <w:p w:rsidR="000474FC" w:rsidP="00AD2C33" w14:paraId="76D71A88" w14:textId="77777777">
      <w:pPr>
        <w:ind w:left="720"/>
      </w:pPr>
      <w:r w:rsidRPr="00494C0B">
        <w:t xml:space="preserve">Eligible activities </w:t>
      </w:r>
      <w:r>
        <w:t xml:space="preserve">or equipment </w:t>
      </w:r>
      <w:r w:rsidRPr="00494C0B">
        <w:t xml:space="preserve">for grant funding include the following three </w:t>
      </w:r>
      <w:r>
        <w:t>costs</w:t>
      </w:r>
      <w:r w:rsidRPr="00494C0B">
        <w:t>:</w:t>
      </w:r>
    </w:p>
    <w:p w:rsidR="000474FC" w:rsidRPr="00D50DD4" w:rsidP="00AD2C33" w14:paraId="3521D82E" w14:textId="77777777">
      <w:pPr>
        <w:pStyle w:val="ListParagraph"/>
        <w:numPr>
          <w:ilvl w:val="0"/>
          <w:numId w:val="23"/>
        </w:numPr>
        <w:spacing w:after="0"/>
        <w:ind w:left="1440"/>
        <w:contextualSpacing w:val="0"/>
      </w:pPr>
      <w:r w:rsidRPr="00D50DD4">
        <w:t>equipment to upgrade a statewide crash data repository;</w:t>
      </w:r>
    </w:p>
    <w:p w:rsidR="000474FC" w:rsidRPr="00D50DD4" w:rsidP="00AD2C33" w14:paraId="6E6F3174" w14:textId="77777777">
      <w:pPr>
        <w:pStyle w:val="ListParagraph"/>
        <w:numPr>
          <w:ilvl w:val="0"/>
          <w:numId w:val="23"/>
        </w:numPr>
        <w:spacing w:after="0"/>
        <w:ind w:left="1440"/>
        <w:contextualSpacing w:val="0"/>
      </w:pPr>
      <w:r w:rsidRPr="00D50DD4">
        <w:t xml:space="preserve">adoption of electronic crash reporting by law enforcement agencies; and </w:t>
      </w:r>
    </w:p>
    <w:p w:rsidR="000474FC" w14:paraId="3AC919B0" w14:textId="77777777">
      <w:pPr>
        <w:pStyle w:val="ListParagraph"/>
        <w:numPr>
          <w:ilvl w:val="0"/>
          <w:numId w:val="23"/>
        </w:numPr>
        <w:spacing w:after="240"/>
        <w:ind w:left="1440"/>
      </w:pPr>
      <w:r w:rsidRPr="00D50DD4">
        <w:t>increasing alignment of State crash data with the latest Model Minimum Uniform Crash Criteria.</w:t>
      </w:r>
    </w:p>
    <w:p w:rsidR="00237C6E" w:rsidRPr="00D50DD4" w:rsidP="00AD2C33" w14:paraId="5CF30615" w14:textId="05FD8244">
      <w:pPr>
        <w:pStyle w:val="BodyText"/>
        <w:ind w:left="720"/>
      </w:pPr>
      <w:r>
        <w:t>The 20 percent funding that the States provide can be labor hours for state employee, contractor cost</w:t>
      </w:r>
      <w:r w:rsidR="353D53A1">
        <w:t>s</w:t>
      </w:r>
      <w:r>
        <w:t xml:space="preserve"> or equipment.  </w:t>
      </w:r>
      <w:r w:rsidR="00A71D79">
        <w:t xml:space="preserve">   </w:t>
      </w:r>
    </w:p>
    <w:p w:rsidR="000373A8" w:rsidRPr="000373A8" w:rsidP="00D109CC" w14:paraId="5A5C90D4" w14:textId="77777777">
      <w:pPr>
        <w:pStyle w:val="Heading2"/>
      </w:pPr>
      <w:bookmarkStart w:id="24" w:name="_Hlk51331000"/>
      <w:r w:rsidRPr="005271A9">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t>.</w:t>
      </w:r>
    </w:p>
    <w:bookmarkEnd w:id="24"/>
    <w:p w:rsidR="000373A8" w:rsidP="000373A8" w14:paraId="2C2D0E40" w14:textId="77777777">
      <w:pPr>
        <w:autoSpaceDE w:val="0"/>
        <w:autoSpaceDN w:val="0"/>
        <w:adjustRightInd w:val="0"/>
        <w:spacing w:after="0" w:line="240" w:lineRule="auto"/>
        <w:rPr>
          <w:rFonts w:cs="Times New Roman"/>
          <w:szCs w:val="24"/>
        </w:rPr>
      </w:pPr>
    </w:p>
    <w:p w:rsidR="003C50F6" w:rsidP="004D2CEE" w14:paraId="5788830B" w14:textId="49CC1D29">
      <w:pPr>
        <w:ind w:left="720"/>
      </w:pPr>
      <w:r>
        <w:t xml:space="preserve">All data collected via the SDT program is handled in accordance with </w:t>
      </w:r>
      <w:r w:rsidR="008F06D6">
        <w:t xml:space="preserve">either </w:t>
      </w:r>
      <w:r>
        <w:t xml:space="preserve">established Memoranda of Understanding with </w:t>
      </w:r>
      <w:r w:rsidR="005F79B9">
        <w:t>participating</w:t>
      </w:r>
      <w:r>
        <w:t xml:space="preserve"> </w:t>
      </w:r>
      <w:r w:rsidR="005065F4">
        <w:t>States or</w:t>
      </w:r>
      <w:r w:rsidR="008F06D6">
        <w:t xml:space="preserve"> grant award</w:t>
      </w:r>
      <w:r>
        <w:t>.  In addition, all applicable Federal statutes, including but not limited to the Privacy Act, HIPAA Privacy Rights, FISMA, and OMB and DOT data protection mandates and policies are being followed.</w:t>
      </w:r>
    </w:p>
    <w:p w:rsidR="0069588D" w:rsidP="0084322F" w14:paraId="2B181603" w14:textId="77777777">
      <w:pPr>
        <w:ind w:left="720"/>
      </w:pPr>
      <w:r>
        <w:t>SDT is part of NHTSA</w:t>
      </w:r>
      <w:r w:rsidR="00B746FF">
        <w:t>’s</w:t>
      </w:r>
      <w:r>
        <w:t xml:space="preserve"> Crash Data Acquisition Network</w:t>
      </w:r>
      <w:r w:rsidR="00BB0640">
        <w:t xml:space="preserve"> </w:t>
      </w:r>
      <w:r>
        <w:t xml:space="preserve">(CDAN). CDAN’s PIA is published at </w:t>
      </w:r>
      <w:hyperlink r:id="rId9" w:history="1">
        <w:r w:rsidRPr="00D73F9B" w:rsidR="00D10590">
          <w:rPr>
            <w:rStyle w:val="Hyperlink"/>
          </w:rPr>
          <w:t>https://www.transportation.gov/individuals/privacy/crash-data-acquisition-network-cdan-pia</w:t>
        </w:r>
      </w:hyperlink>
      <w:r>
        <w:t>.</w:t>
      </w:r>
    </w:p>
    <w:p w:rsidR="00D10590" w:rsidRPr="00D10590" w:rsidP="00D10590" w14:paraId="561142D6" w14:textId="77777777">
      <w:pPr>
        <w:ind w:left="720"/>
        <w:rPr>
          <w:rFonts w:cs="Times New Roman"/>
          <w:szCs w:val="24"/>
        </w:rPr>
      </w:pPr>
      <w:r w:rsidRPr="00D10590">
        <w:rPr>
          <w:rFonts w:cs="Times New Roman"/>
          <w:szCs w:val="24"/>
        </w:rPr>
        <w:t>The SDT program collects information from States’ crash databases. The information comes from PARs and may contain personally identifiable information (PII).  Whether a State submits PII to NHTSA via SDT is determined by each participating State.  As discussed above, NHTSA will not publicly disclose PII in State crash data.</w:t>
      </w:r>
    </w:p>
    <w:p w:rsidR="00D10590" w:rsidP="7B1E8D90" w14:paraId="6F3DEC19" w14:textId="3DD26367">
      <w:pPr>
        <w:ind w:left="720"/>
        <w:rPr>
          <w:rFonts w:cs="Times New Roman"/>
        </w:rPr>
      </w:pPr>
      <w:r w:rsidRPr="7B1E8D90">
        <w:rPr>
          <w:rFonts w:cs="Times New Roman"/>
        </w:rPr>
        <w:t xml:space="preserve">The types of PII found in a crash report </w:t>
      </w:r>
      <w:bookmarkStart w:id="25" w:name="_Int_o3VUukoT"/>
      <w:r w:rsidRPr="7B1E8D90">
        <w:rPr>
          <w:rFonts w:cs="Times New Roman"/>
        </w:rPr>
        <w:t>include</w:t>
      </w:r>
      <w:r w:rsidR="005065F4">
        <w:rPr>
          <w:rFonts w:cs="Times New Roman"/>
        </w:rPr>
        <w:t>s</w:t>
      </w:r>
      <w:r w:rsidRPr="7B1E8D90">
        <w:rPr>
          <w:rFonts w:cs="Times New Roman"/>
        </w:rPr>
        <w:t>:</w:t>
      </w:r>
      <w:bookmarkEnd w:id="25"/>
      <w:r w:rsidRPr="7B1E8D90">
        <w:rPr>
          <w:rFonts w:cs="Times New Roman"/>
        </w:rPr>
        <w:t xml:space="preserve"> name, address, contact information for drivers, passengers, pedestrians, </w:t>
      </w:r>
      <w:r w:rsidRPr="7B1E8D90" w:rsidR="002C6433">
        <w:rPr>
          <w:rFonts w:cs="Times New Roman"/>
        </w:rPr>
        <w:t>witnesses,</w:t>
      </w:r>
      <w:r w:rsidRPr="7B1E8D90">
        <w:rPr>
          <w:rFonts w:cs="Times New Roman"/>
        </w:rPr>
        <w:t xml:space="preserve"> and vehicle owners involved in automotive crashes resulting in death and/or injury.  Specifically, SDT may </w:t>
      </w:r>
      <w:r w:rsidRPr="7B1E8D90" w:rsidR="003916EF">
        <w:rPr>
          <w:rFonts w:cs="Times New Roman"/>
        </w:rPr>
        <w:t>obtain</w:t>
      </w:r>
      <w:r w:rsidRPr="7B1E8D90">
        <w:rPr>
          <w:rFonts w:cs="Times New Roman"/>
        </w:rPr>
        <w:t xml:space="preserve"> crash date, crash </w:t>
      </w:r>
      <w:r w:rsidRPr="7B1E8D90">
        <w:rPr>
          <w:rFonts w:cs="Times New Roman"/>
        </w:rPr>
        <w:t>time, crash location, driver license number, driver license State, name, address, gender, date of birth (to calculate age), vehicle license plate number, 4-digit GSA city code, 2-digit State number, Vehicle Identification Number (VIN), and the diagram and narrative of the police report.  This data is used by NHTSA for crash analysis to identify national trends in road safety and influence the development, deployment, and evaluation of lifesaving safety countermeasures.</w:t>
      </w:r>
    </w:p>
    <w:p w:rsidR="0069588D" w:rsidP="00D109CC" w14:paraId="35976B8D" w14:textId="77777777">
      <w:pPr>
        <w:pStyle w:val="Heading2"/>
      </w:pPr>
      <w:bookmarkStart w:id="26" w:name="_Hlk51331086"/>
      <w:r w:rsidRPr="00B676D5">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0590" w:rsidP="00D92AB5" w14:paraId="0D05CC6E" w14:textId="77777777">
      <w:pPr>
        <w:ind w:left="720"/>
        <w:rPr>
          <w:rFonts w:cs="Times New Roman"/>
          <w:b/>
          <w:szCs w:val="24"/>
        </w:rPr>
      </w:pPr>
      <w:r>
        <w:t xml:space="preserve">The SDT program does not collect answers to questions of a sensitive nature, such as sexual behavior and attitudes, religious beliefs, or other matters that are commonly considered private.  </w:t>
      </w:r>
      <w:bookmarkStart w:id="27" w:name="_Hlk51332070"/>
      <w:bookmarkEnd w:id="26"/>
    </w:p>
    <w:p w:rsidR="0069588D" w:rsidRPr="00D92AB5" w:rsidP="00D109CC" w14:paraId="32804106" w14:textId="77777777">
      <w:pPr>
        <w:pStyle w:val="Heading2"/>
      </w:pPr>
      <w:r w:rsidRPr="00D92AB5">
        <w:t xml:space="preserve">Provide estimates of the hour burden of the collection of information on the respondents and estimates of the annualized labor cost to respondents associated with that hour burden. </w:t>
      </w:r>
    </w:p>
    <w:p w:rsidR="00F76C42" w:rsidP="00F76C42" w14:paraId="53F016B2" w14:textId="3CA38062">
      <w:pPr>
        <w:ind w:left="720"/>
        <w:rPr>
          <w:rFonts w:cs="Times New Roman"/>
          <w:color w:val="000000" w:themeColor="text1"/>
        </w:rPr>
      </w:pPr>
      <w:bookmarkStart w:id="28" w:name="_Hlk71224710"/>
      <w:bookmarkEnd w:id="27"/>
      <w:r w:rsidRPr="7B1E8D90">
        <w:rPr>
          <w:rFonts w:cs="Times New Roman"/>
          <w:color w:val="000000" w:themeColor="text1"/>
        </w:rPr>
        <w:t xml:space="preserve">SDT receives the </w:t>
      </w:r>
      <w:r w:rsidRPr="7B1E8D90" w:rsidR="003C7E1D">
        <w:rPr>
          <w:rFonts w:cs="Times New Roman"/>
          <w:color w:val="000000" w:themeColor="text1"/>
        </w:rPr>
        <w:t>crash data</w:t>
      </w:r>
      <w:r w:rsidRPr="7B1E8D90">
        <w:rPr>
          <w:rFonts w:cs="Times New Roman"/>
          <w:color w:val="000000" w:themeColor="text1"/>
        </w:rPr>
        <w:t xml:space="preserve"> from States in two different ways</w:t>
      </w:r>
      <w:r w:rsidRPr="7B1E8D90" w:rsidR="00961382">
        <w:rPr>
          <w:rFonts w:cs="Times New Roman"/>
          <w:color w:val="000000" w:themeColor="text1"/>
        </w:rPr>
        <w:t>: the SDS protocol and EDT protocol</w:t>
      </w:r>
      <w:r w:rsidRPr="7B1E8D90">
        <w:rPr>
          <w:rFonts w:cs="Times New Roman"/>
          <w:color w:val="000000" w:themeColor="text1"/>
        </w:rPr>
        <w:t xml:space="preserve">.  </w:t>
      </w:r>
      <w:r w:rsidRPr="00954912" w:rsidR="00C6775A">
        <w:rPr>
          <w:rFonts w:cs="Times New Roman"/>
          <w:color w:val="000000" w:themeColor="text1"/>
        </w:rPr>
        <w:t>There are currently 3</w:t>
      </w:r>
      <w:r w:rsidRPr="00954912" w:rsidR="7EB8E7B4">
        <w:rPr>
          <w:rFonts w:cs="Times New Roman"/>
          <w:color w:val="000000" w:themeColor="text1"/>
        </w:rPr>
        <w:t>9</w:t>
      </w:r>
      <w:r w:rsidRPr="00954912" w:rsidR="00C6775A">
        <w:rPr>
          <w:rFonts w:cs="Times New Roman"/>
          <w:color w:val="000000" w:themeColor="text1"/>
        </w:rPr>
        <w:t xml:space="preserve"> States participating </w:t>
      </w:r>
      <w:r w:rsidRPr="00954912" w:rsidR="00D01DB4">
        <w:rPr>
          <w:rFonts w:cs="Times New Roman"/>
          <w:color w:val="000000" w:themeColor="text1"/>
        </w:rPr>
        <w:t xml:space="preserve">in </w:t>
      </w:r>
      <w:r w:rsidRPr="00954912" w:rsidR="00C6775A">
        <w:rPr>
          <w:rFonts w:cs="Times New Roman"/>
          <w:color w:val="000000" w:themeColor="text1"/>
        </w:rPr>
        <w:t xml:space="preserve">the SDT: 31 States participating using the SDS protocol and </w:t>
      </w:r>
      <w:r w:rsidRPr="00954912" w:rsidR="00837E13">
        <w:rPr>
          <w:rFonts w:cs="Times New Roman"/>
          <w:color w:val="000000" w:themeColor="text1"/>
        </w:rPr>
        <w:t>20</w:t>
      </w:r>
      <w:r w:rsidRPr="00954912" w:rsidR="00C6775A">
        <w:rPr>
          <w:rFonts w:cs="Times New Roman"/>
          <w:color w:val="000000" w:themeColor="text1"/>
        </w:rPr>
        <w:t xml:space="preserve"> States participating using the EDT protocol.</w:t>
      </w:r>
      <w:r w:rsidRPr="00954912" w:rsidR="00DE32B8">
        <w:rPr>
          <w:rFonts w:cs="Times New Roman"/>
          <w:color w:val="000000" w:themeColor="text1"/>
        </w:rPr>
        <w:t xml:space="preserve">  There are </w:t>
      </w:r>
      <w:r w:rsidRPr="00954912">
        <w:rPr>
          <w:rFonts w:cs="Times New Roman"/>
          <w:color w:val="000000" w:themeColor="text1"/>
        </w:rPr>
        <w:t xml:space="preserve">currently </w:t>
      </w:r>
      <w:r w:rsidRPr="00954912" w:rsidR="00DE32B8">
        <w:rPr>
          <w:rFonts w:cs="Times New Roman"/>
          <w:color w:val="000000" w:themeColor="text1"/>
        </w:rPr>
        <w:t>15 States providing data using both protocol</w:t>
      </w:r>
      <w:r w:rsidRPr="00954912" w:rsidR="00475030">
        <w:rPr>
          <w:rFonts w:cs="Times New Roman"/>
          <w:color w:val="000000" w:themeColor="text1"/>
        </w:rPr>
        <w:t>s</w:t>
      </w:r>
      <w:r w:rsidRPr="00954912" w:rsidR="006576EF">
        <w:rPr>
          <w:rFonts w:cs="Times New Roman"/>
          <w:color w:val="000000" w:themeColor="text1"/>
        </w:rPr>
        <w:t>,</w:t>
      </w:r>
      <w:r w:rsidRPr="00954912" w:rsidR="00DE32B8">
        <w:rPr>
          <w:rFonts w:cs="Times New Roman"/>
          <w:color w:val="000000" w:themeColor="text1"/>
        </w:rPr>
        <w:t xml:space="preserve"> </w:t>
      </w:r>
      <w:r w:rsidRPr="00954912" w:rsidR="009261DC">
        <w:rPr>
          <w:rFonts w:cs="Times New Roman"/>
          <w:color w:val="000000" w:themeColor="text1"/>
        </w:rPr>
        <w:t>but for</w:t>
      </w:r>
      <w:r w:rsidRPr="00954912" w:rsidR="00DE32B8">
        <w:rPr>
          <w:rFonts w:cs="Times New Roman"/>
          <w:color w:val="000000" w:themeColor="text1"/>
        </w:rPr>
        <w:t xml:space="preserve"> some of these</w:t>
      </w:r>
      <w:r w:rsidRPr="7B1E8D90" w:rsidR="00DE32B8">
        <w:rPr>
          <w:rFonts w:cs="Times New Roman"/>
          <w:color w:val="000000" w:themeColor="text1"/>
        </w:rPr>
        <w:t xml:space="preserve"> States, we do not get the same information with both protocols.  For example, </w:t>
      </w:r>
      <w:r w:rsidRPr="7B1E8D90" w:rsidR="009261DC">
        <w:rPr>
          <w:rFonts w:cs="Times New Roman"/>
          <w:color w:val="000000" w:themeColor="text1"/>
        </w:rPr>
        <w:t>for some State</w:t>
      </w:r>
      <w:r w:rsidRPr="7B1E8D90" w:rsidR="00FA72CF">
        <w:rPr>
          <w:rFonts w:cs="Times New Roman"/>
          <w:color w:val="000000" w:themeColor="text1"/>
        </w:rPr>
        <w:t>s</w:t>
      </w:r>
      <w:r w:rsidRPr="7B1E8D90" w:rsidR="009261DC">
        <w:rPr>
          <w:rFonts w:cs="Times New Roman"/>
          <w:color w:val="000000" w:themeColor="text1"/>
        </w:rPr>
        <w:t xml:space="preserve"> we receive all crashes through EDT, but we only get </w:t>
      </w:r>
      <w:r w:rsidRPr="7B1E8D90" w:rsidR="00FA72CF">
        <w:rPr>
          <w:rFonts w:cs="Times New Roman"/>
          <w:color w:val="000000" w:themeColor="text1"/>
        </w:rPr>
        <w:t xml:space="preserve">crashes </w:t>
      </w:r>
      <w:r w:rsidRPr="7B1E8D90" w:rsidR="00571AF6">
        <w:rPr>
          <w:rFonts w:cs="Times New Roman"/>
          <w:color w:val="000000" w:themeColor="text1"/>
        </w:rPr>
        <w:t xml:space="preserve">that meet the </w:t>
      </w:r>
      <w:r w:rsidRPr="7B1E8D90" w:rsidR="009261DC">
        <w:rPr>
          <w:rFonts w:cs="Times New Roman"/>
          <w:color w:val="000000" w:themeColor="text1"/>
        </w:rPr>
        <w:t>State</w:t>
      </w:r>
      <w:r w:rsidRPr="7B1E8D90" w:rsidR="00571AF6">
        <w:rPr>
          <w:rFonts w:cs="Times New Roman"/>
          <w:color w:val="000000" w:themeColor="text1"/>
        </w:rPr>
        <w:t>’s specific threshold for</w:t>
      </w:r>
      <w:r w:rsidRPr="7B1E8D90" w:rsidR="009261DC">
        <w:rPr>
          <w:rFonts w:cs="Times New Roman"/>
          <w:color w:val="000000" w:themeColor="text1"/>
        </w:rPr>
        <w:t xml:space="preserve"> reportable crashes through SDS. </w:t>
      </w:r>
    </w:p>
    <w:p w:rsidR="00C027A1" w:rsidP="00D92AB5" w14:paraId="5B3B5CB8" w14:textId="6CA9ABDA">
      <w:pPr>
        <w:ind w:left="720"/>
        <w:rPr>
          <w:rFonts w:cs="Times New Roman"/>
          <w:color w:val="000000"/>
        </w:rPr>
      </w:pPr>
      <w:r w:rsidRPr="00794EC7">
        <w:rPr>
          <w:rFonts w:cs="Times New Roman"/>
          <w:color w:val="000000" w:themeColor="text1"/>
        </w:rPr>
        <w:t xml:space="preserve">As mentioned </w:t>
      </w:r>
      <w:r w:rsidR="00031F4C">
        <w:rPr>
          <w:rFonts w:cs="Times New Roman"/>
          <w:color w:val="000000" w:themeColor="text1"/>
        </w:rPr>
        <w:t>above</w:t>
      </w:r>
      <w:r w:rsidRPr="00794EC7">
        <w:rPr>
          <w:rFonts w:cs="Times New Roman"/>
          <w:color w:val="000000" w:themeColor="text1"/>
        </w:rPr>
        <w:t xml:space="preserve">, this information collection request is being </w:t>
      </w:r>
      <w:r w:rsidR="00031F4C">
        <w:rPr>
          <w:rFonts w:cs="Times New Roman"/>
          <w:color w:val="000000" w:themeColor="text1"/>
        </w:rPr>
        <w:t>modified</w:t>
      </w:r>
      <w:r w:rsidRPr="00794EC7">
        <w:rPr>
          <w:rFonts w:cs="Times New Roman"/>
          <w:color w:val="000000" w:themeColor="text1"/>
        </w:rPr>
        <w:t xml:space="preserve"> to </w:t>
      </w:r>
      <w:r w:rsidR="00F76C42">
        <w:rPr>
          <w:rFonts w:cs="Times New Roman"/>
          <w:color w:val="000000" w:themeColor="text1"/>
        </w:rPr>
        <w:t xml:space="preserve">account for changes resulting from </w:t>
      </w:r>
      <w:r w:rsidRPr="00794EC7">
        <w:rPr>
          <w:rFonts w:cs="Times New Roman"/>
          <w:color w:val="000000" w:themeColor="text1"/>
        </w:rPr>
        <w:t xml:space="preserve">the new SEDC program under the EDT protocol. </w:t>
      </w:r>
      <w:r w:rsidRPr="00F509BB" w:rsidR="00F509BB">
        <w:rPr>
          <w:rFonts w:cs="Times New Roman"/>
          <w:color w:val="000000" w:themeColor="text1"/>
        </w:rPr>
        <w:t>NHTSA expects that in the next three (3) years, the</w:t>
      </w:r>
      <w:r w:rsidR="009D00BF">
        <w:rPr>
          <w:rFonts w:cs="Times New Roman"/>
          <w:color w:val="000000" w:themeColor="text1"/>
        </w:rPr>
        <w:t xml:space="preserve"> current</w:t>
      </w:r>
      <w:r w:rsidRPr="00F509BB" w:rsidR="00F509BB">
        <w:rPr>
          <w:rFonts w:cs="Times New Roman"/>
          <w:color w:val="000000" w:themeColor="text1"/>
        </w:rPr>
        <w:t xml:space="preserve"> thirty-nine (39) States will continue to submit their data using either SDS or EDT protocol. NHTSA also expects that, in the next three years,</w:t>
      </w:r>
      <w:r w:rsidR="00CB7D82">
        <w:rPr>
          <w:rFonts w:cs="Times New Roman"/>
          <w:color w:val="000000" w:themeColor="text1"/>
        </w:rPr>
        <w:t xml:space="preserve"> </w:t>
      </w:r>
      <w:r w:rsidRPr="00F509BB" w:rsidR="00F509BB">
        <w:rPr>
          <w:rFonts w:cs="Times New Roman"/>
          <w:color w:val="000000" w:themeColor="text1"/>
        </w:rPr>
        <w:t>ten</w:t>
      </w:r>
      <w:r w:rsidR="00B25088">
        <w:rPr>
          <w:rFonts w:cs="Times New Roman"/>
          <w:color w:val="000000" w:themeColor="text1"/>
        </w:rPr>
        <w:t xml:space="preserve"> (</w:t>
      </w:r>
      <w:r w:rsidRPr="00F509BB" w:rsidR="00F509BB">
        <w:rPr>
          <w:rFonts w:cs="Times New Roman"/>
          <w:color w:val="000000" w:themeColor="text1"/>
        </w:rPr>
        <w:t>10</w:t>
      </w:r>
      <w:r w:rsidR="00B25088">
        <w:rPr>
          <w:rFonts w:cs="Times New Roman"/>
          <w:color w:val="000000" w:themeColor="text1"/>
        </w:rPr>
        <w:t>)</w:t>
      </w:r>
      <w:r w:rsidRPr="00F509BB" w:rsidR="00F509BB">
        <w:rPr>
          <w:rFonts w:cs="Times New Roman"/>
          <w:color w:val="000000" w:themeColor="text1"/>
        </w:rPr>
        <w:t xml:space="preserve"> out of the twenty (20) </w:t>
      </w:r>
      <w:r w:rsidR="00EF0123">
        <w:rPr>
          <w:rFonts w:cs="Times New Roman"/>
          <w:color w:val="000000" w:themeColor="text1"/>
        </w:rPr>
        <w:t>current</w:t>
      </w:r>
      <w:r w:rsidRPr="00F509BB" w:rsidR="00F509BB">
        <w:rPr>
          <w:rFonts w:cs="Times New Roman"/>
          <w:color w:val="000000" w:themeColor="text1"/>
        </w:rPr>
        <w:t xml:space="preserve"> EDT States will </w:t>
      </w:r>
      <w:r w:rsidR="00264294">
        <w:rPr>
          <w:rFonts w:cs="Times New Roman"/>
          <w:color w:val="000000" w:themeColor="text1"/>
        </w:rPr>
        <w:t>apply</w:t>
      </w:r>
      <w:r w:rsidR="00725EB6">
        <w:rPr>
          <w:rFonts w:cs="Times New Roman"/>
          <w:color w:val="000000" w:themeColor="text1"/>
        </w:rPr>
        <w:t xml:space="preserve"> for</w:t>
      </w:r>
      <w:r w:rsidR="00264294">
        <w:rPr>
          <w:rFonts w:cs="Times New Roman"/>
          <w:color w:val="000000" w:themeColor="text1"/>
        </w:rPr>
        <w:t xml:space="preserve"> and </w:t>
      </w:r>
      <w:r w:rsidRPr="00F509BB" w:rsidR="00F509BB">
        <w:rPr>
          <w:rFonts w:cs="Times New Roman"/>
          <w:color w:val="000000" w:themeColor="text1"/>
        </w:rPr>
        <w:t xml:space="preserve">be awarded SEDC grants and start sending more MMUCC-aligned data to NHTSA; three (3) SDS States, that are not EDT States, will </w:t>
      </w:r>
      <w:r w:rsidR="00264294">
        <w:rPr>
          <w:rFonts w:cs="Times New Roman"/>
          <w:color w:val="000000" w:themeColor="text1"/>
        </w:rPr>
        <w:t xml:space="preserve">apply and </w:t>
      </w:r>
      <w:r w:rsidRPr="00F509BB" w:rsidR="00F509BB">
        <w:rPr>
          <w:rFonts w:cs="Times New Roman"/>
          <w:color w:val="000000" w:themeColor="text1"/>
        </w:rPr>
        <w:t>be award</w:t>
      </w:r>
      <w:r w:rsidR="00264294">
        <w:rPr>
          <w:rFonts w:cs="Times New Roman"/>
          <w:color w:val="000000" w:themeColor="text1"/>
        </w:rPr>
        <w:t>ed</w:t>
      </w:r>
      <w:r w:rsidR="00576D1C">
        <w:rPr>
          <w:rFonts w:cs="Times New Roman"/>
          <w:color w:val="000000" w:themeColor="text1"/>
        </w:rPr>
        <w:t xml:space="preserve"> </w:t>
      </w:r>
      <w:r w:rsidRPr="00F509BB" w:rsidR="00F509BB">
        <w:rPr>
          <w:rFonts w:cs="Times New Roman"/>
          <w:color w:val="000000" w:themeColor="text1"/>
        </w:rPr>
        <w:t>SEDC grants and begin sending MMUCC-aligned data to NHTSA; and two (2) new States, neither SDS nor EDT participating States, will</w:t>
      </w:r>
      <w:r w:rsidR="00264294">
        <w:rPr>
          <w:rFonts w:cs="Times New Roman"/>
          <w:color w:val="000000" w:themeColor="text1"/>
        </w:rPr>
        <w:t xml:space="preserve"> apply and</w:t>
      </w:r>
      <w:r w:rsidRPr="00F509BB" w:rsidR="00F509BB">
        <w:rPr>
          <w:rFonts w:cs="Times New Roman"/>
          <w:color w:val="000000" w:themeColor="text1"/>
        </w:rPr>
        <w:t xml:space="preserve"> be awarde</w:t>
      </w:r>
      <w:r w:rsidR="00576D1C">
        <w:rPr>
          <w:rFonts w:cs="Times New Roman"/>
          <w:color w:val="000000" w:themeColor="text1"/>
        </w:rPr>
        <w:t>d</w:t>
      </w:r>
      <w:r w:rsidRPr="00F509BB" w:rsidR="00F509BB">
        <w:rPr>
          <w:rFonts w:cs="Times New Roman"/>
          <w:color w:val="000000" w:themeColor="text1"/>
        </w:rPr>
        <w:t xml:space="preserve"> SEDC grants and begin collecting and transmitting standardized data to NHTSA. Therefore, NHTSA estimates the total number of States participating in the SDT will increase by four (4), to a total of forty-three (43), which is the existing thirty-nine (39) SDT States plus the four (4) new SEDC States in the next three (3) years. </w:t>
      </w:r>
      <w:r w:rsidR="006A1625">
        <w:rPr>
          <w:rFonts w:cs="Times New Roman"/>
          <w:color w:val="000000" w:themeColor="text1"/>
        </w:rPr>
        <w:t xml:space="preserve">At the end of the three years, </w:t>
      </w:r>
      <w:r w:rsidRPr="00954912" w:rsidR="00F76C42">
        <w:rPr>
          <w:rFonts w:cs="Times New Roman"/>
          <w:color w:val="000000" w:themeColor="text1"/>
        </w:rPr>
        <w:t xml:space="preserve">NHTSA estimates that there will be </w:t>
      </w:r>
      <w:r w:rsidRPr="00954912" w:rsidR="00F35564">
        <w:rPr>
          <w:rFonts w:cs="Times New Roman"/>
          <w:color w:val="000000" w:themeColor="text1"/>
        </w:rPr>
        <w:t xml:space="preserve">25 </w:t>
      </w:r>
      <w:r w:rsidRPr="00954912" w:rsidR="00F76C42">
        <w:rPr>
          <w:rFonts w:cs="Times New Roman"/>
          <w:color w:val="000000" w:themeColor="text1"/>
        </w:rPr>
        <w:t xml:space="preserve">SDS States, </w:t>
      </w:r>
      <w:r w:rsidRPr="00954912" w:rsidR="00F35564">
        <w:rPr>
          <w:rFonts w:cs="Times New Roman"/>
          <w:color w:val="000000" w:themeColor="text1"/>
        </w:rPr>
        <w:t>1</w:t>
      </w:r>
      <w:r w:rsidRPr="00954912" w:rsidR="001B42ED">
        <w:rPr>
          <w:rFonts w:cs="Times New Roman"/>
          <w:color w:val="000000" w:themeColor="text1"/>
        </w:rPr>
        <w:t>0</w:t>
      </w:r>
      <w:r w:rsidRPr="00954912" w:rsidR="00F35564">
        <w:rPr>
          <w:rFonts w:cs="Times New Roman"/>
          <w:color w:val="000000" w:themeColor="text1"/>
        </w:rPr>
        <w:t xml:space="preserve"> </w:t>
      </w:r>
      <w:r w:rsidRPr="00954912" w:rsidR="00F76C42">
        <w:rPr>
          <w:rFonts w:cs="Times New Roman"/>
          <w:color w:val="000000" w:themeColor="text1"/>
        </w:rPr>
        <w:t xml:space="preserve">EDT </w:t>
      </w:r>
      <w:r w:rsidRPr="00954912" w:rsidR="00C8532A">
        <w:rPr>
          <w:rFonts w:cs="Times New Roman"/>
          <w:color w:val="000000" w:themeColor="text1"/>
        </w:rPr>
        <w:t xml:space="preserve">non-SEDC </w:t>
      </w:r>
      <w:r w:rsidRPr="00954912" w:rsidR="00F76C42">
        <w:rPr>
          <w:rFonts w:cs="Times New Roman"/>
          <w:color w:val="000000" w:themeColor="text1"/>
        </w:rPr>
        <w:t xml:space="preserve">States, </w:t>
      </w:r>
      <w:r w:rsidRPr="00954912" w:rsidR="001B42ED">
        <w:rPr>
          <w:rFonts w:cs="Times New Roman"/>
          <w:color w:val="000000" w:themeColor="text1"/>
        </w:rPr>
        <w:t xml:space="preserve">20 SEDC EDT States </w:t>
      </w:r>
      <w:r w:rsidRPr="00954912" w:rsidR="00F76C42">
        <w:rPr>
          <w:rFonts w:cs="Times New Roman"/>
          <w:color w:val="000000" w:themeColor="text1"/>
        </w:rPr>
        <w:t xml:space="preserve">with </w:t>
      </w:r>
      <w:r w:rsidRPr="00954912" w:rsidR="00C8532A">
        <w:rPr>
          <w:rFonts w:cs="Times New Roman"/>
          <w:color w:val="000000" w:themeColor="text1"/>
        </w:rPr>
        <w:t>potential</w:t>
      </w:r>
      <w:r w:rsidRPr="00954912" w:rsidR="002255EF">
        <w:rPr>
          <w:rFonts w:cs="Times New Roman"/>
          <w:color w:val="000000" w:themeColor="text1"/>
        </w:rPr>
        <w:t>ly</w:t>
      </w:r>
      <w:r w:rsidRPr="00954912" w:rsidR="00C8532A">
        <w:rPr>
          <w:rFonts w:cs="Times New Roman"/>
          <w:color w:val="000000" w:themeColor="text1"/>
        </w:rPr>
        <w:t xml:space="preserve"> 1</w:t>
      </w:r>
      <w:r w:rsidRPr="00AD2C33" w:rsidR="0018465D">
        <w:rPr>
          <w:rFonts w:cs="Times New Roman"/>
          <w:color w:val="000000" w:themeColor="text1"/>
        </w:rPr>
        <w:t>5</w:t>
      </w:r>
      <w:r w:rsidRPr="00954912" w:rsidR="00C8532A">
        <w:rPr>
          <w:rFonts w:cs="Times New Roman"/>
          <w:color w:val="000000" w:themeColor="text1"/>
        </w:rPr>
        <w:t xml:space="preserve"> </w:t>
      </w:r>
      <w:r w:rsidRPr="00954912" w:rsidR="00F76C42">
        <w:rPr>
          <w:rFonts w:cs="Times New Roman"/>
          <w:color w:val="000000" w:themeColor="text1"/>
        </w:rPr>
        <w:t xml:space="preserve">States </w:t>
      </w:r>
      <w:r w:rsidRPr="00954912" w:rsidR="00F76C42">
        <w:rPr>
          <w:rFonts w:cs="Times New Roman"/>
          <w:color w:val="000000" w:themeColor="text1"/>
        </w:rPr>
        <w:t xml:space="preserve">submitting information using both protocols. </w:t>
      </w:r>
      <w:r w:rsidRPr="00562459">
        <w:rPr>
          <w:rFonts w:cs="Times New Roman"/>
          <w:color w:val="000000" w:themeColor="text1"/>
        </w:rPr>
        <w:t>Due to the different requirements for SDS States, EDT non-SEDC States and</w:t>
      </w:r>
      <w:r w:rsidRPr="00794EC7">
        <w:rPr>
          <w:rFonts w:cs="Times New Roman"/>
          <w:color w:val="000000" w:themeColor="text1"/>
        </w:rPr>
        <w:t xml:space="preserve"> EDT SEDC States, the annual burden for these three types of data transmissions will be described separately below.</w:t>
      </w:r>
    </w:p>
    <w:p w:rsidR="00A23407" w:rsidRPr="00B74A28" w:rsidP="004B6737" w14:paraId="09E7C409" w14:textId="389D23C6">
      <w:pPr>
        <w:pStyle w:val="Heading3"/>
      </w:pPr>
      <w:r w:rsidRPr="00A23407">
        <w:t>States using SDS</w:t>
      </w:r>
      <w:r w:rsidRPr="00B74A28">
        <w:t xml:space="preserve"> Protocol</w:t>
      </w:r>
    </w:p>
    <w:p w:rsidR="000B20E3" w:rsidP="00147B34" w14:paraId="4C95F902" w14:textId="5AB0B1AA">
      <w:pPr>
        <w:pStyle w:val="ListParagraph"/>
        <w:rPr>
          <w:rFonts w:cs="Times New Roman"/>
          <w:color w:val="000000"/>
        </w:rPr>
      </w:pPr>
      <w:r w:rsidRPr="1709447A">
        <w:rPr>
          <w:rFonts w:cs="Times New Roman"/>
          <w:color w:val="000000" w:themeColor="text1"/>
        </w:rPr>
        <w:t xml:space="preserve">SDS information is </w:t>
      </w:r>
      <w:r w:rsidRPr="1709447A" w:rsidR="00D63324">
        <w:rPr>
          <w:rFonts w:cs="Times New Roman"/>
          <w:color w:val="000000" w:themeColor="text1"/>
        </w:rPr>
        <w:t>obtained annually</w:t>
      </w:r>
      <w:r w:rsidRPr="1709447A">
        <w:rPr>
          <w:rFonts w:cs="Times New Roman"/>
          <w:color w:val="000000" w:themeColor="text1"/>
        </w:rPr>
        <w:t xml:space="preserve"> from </w:t>
      </w:r>
      <w:r w:rsidRPr="1709447A" w:rsidR="00207992">
        <w:rPr>
          <w:rFonts w:cs="Times New Roman"/>
          <w:color w:val="000000" w:themeColor="text1"/>
        </w:rPr>
        <w:t>States</w:t>
      </w:r>
      <w:r w:rsidRPr="1709447A" w:rsidR="00147B34">
        <w:rPr>
          <w:rFonts w:cs="Times New Roman"/>
          <w:color w:val="000000" w:themeColor="text1"/>
        </w:rPr>
        <w:t xml:space="preserve"> </w:t>
      </w:r>
      <w:r w:rsidR="00F76C42">
        <w:rPr>
          <w:rFonts w:cs="Times New Roman"/>
          <w:color w:val="000000" w:themeColor="text1"/>
        </w:rPr>
        <w:t xml:space="preserve">and is </w:t>
      </w:r>
      <w:r w:rsidRPr="1709447A" w:rsidR="00147B34">
        <w:rPr>
          <w:rFonts w:cs="Times New Roman"/>
          <w:color w:val="000000" w:themeColor="text1"/>
        </w:rPr>
        <w:t>submitted in a more traditional method</w:t>
      </w:r>
      <w:r w:rsidRPr="1709447A" w:rsidR="00207992">
        <w:rPr>
          <w:rFonts w:cs="Times New Roman"/>
          <w:color w:val="000000" w:themeColor="text1"/>
        </w:rPr>
        <w:t xml:space="preserve"> </w:t>
      </w:r>
      <w:r w:rsidRPr="1709447A" w:rsidR="00147B34">
        <w:rPr>
          <w:rFonts w:eastAsia="Times New Roman" w:cs="Times New Roman"/>
        </w:rPr>
        <w:t xml:space="preserve">via electronic media through secured mail or a </w:t>
      </w:r>
      <w:r w:rsidRPr="1709447A" w:rsidR="00EC5691">
        <w:rPr>
          <w:rFonts w:eastAsia="Times New Roman" w:cs="Times New Roman"/>
        </w:rPr>
        <w:t>Secure File Transfer Protocol (SFTP)</w:t>
      </w:r>
      <w:r w:rsidRPr="1709447A" w:rsidR="00147B34">
        <w:rPr>
          <w:rFonts w:eastAsia="Times New Roman" w:cs="Times New Roman"/>
        </w:rPr>
        <w:t xml:space="preserve">.  </w:t>
      </w:r>
      <w:r w:rsidRPr="1709447A" w:rsidR="007B2ECE">
        <w:rPr>
          <w:rFonts w:eastAsia="Times New Roman" w:cs="Times New Roman"/>
        </w:rPr>
        <w:t>NHTSA</w:t>
      </w:r>
      <w:r w:rsidR="007B2ECE">
        <w:t xml:space="preserve"> assumes a participating State already has a centralized </w:t>
      </w:r>
      <w:r w:rsidR="641341ED">
        <w:t xml:space="preserve">statewide crash data </w:t>
      </w:r>
      <w:r w:rsidR="7891F841">
        <w:t>repository</w:t>
      </w:r>
      <w:r w:rsidR="5A378F44">
        <w:t>.</w:t>
      </w:r>
      <w:r w:rsidR="007B2ECE">
        <w:t xml:space="preserve">  </w:t>
      </w:r>
      <w:r w:rsidR="00227AAF">
        <w:t xml:space="preserve">Currently, </w:t>
      </w:r>
      <w:r w:rsidR="005A1BF6">
        <w:t>thirty-one (</w:t>
      </w:r>
      <w:r w:rsidRPr="1709447A" w:rsidR="00BD6523">
        <w:rPr>
          <w:rFonts w:eastAsia="Times New Roman" w:cs="Times New Roman"/>
        </w:rPr>
        <w:t>3</w:t>
      </w:r>
      <w:r w:rsidRPr="1709447A" w:rsidR="008B5C5B">
        <w:rPr>
          <w:rFonts w:eastAsia="Times New Roman" w:cs="Times New Roman"/>
        </w:rPr>
        <w:t>1</w:t>
      </w:r>
      <w:r w:rsidR="005A1BF6">
        <w:rPr>
          <w:rFonts w:eastAsia="Times New Roman" w:cs="Times New Roman"/>
        </w:rPr>
        <w:t>)</w:t>
      </w:r>
      <w:r w:rsidRPr="1709447A" w:rsidR="00377279">
        <w:rPr>
          <w:rFonts w:eastAsia="Times New Roman" w:cs="Times New Roman"/>
        </w:rPr>
        <w:t xml:space="preserve"> States </w:t>
      </w:r>
      <w:r w:rsidRPr="1709447A" w:rsidR="008B5C5B">
        <w:rPr>
          <w:rFonts w:eastAsia="Times New Roman" w:cs="Times New Roman"/>
        </w:rPr>
        <w:t>are</w:t>
      </w:r>
      <w:r w:rsidRPr="1709447A" w:rsidR="00377279">
        <w:rPr>
          <w:rFonts w:eastAsia="Times New Roman" w:cs="Times New Roman"/>
        </w:rPr>
        <w:t xml:space="preserve"> voluntar</w:t>
      </w:r>
      <w:r w:rsidRPr="1709447A" w:rsidR="008B5C5B">
        <w:rPr>
          <w:rFonts w:eastAsia="Times New Roman" w:cs="Times New Roman"/>
        </w:rPr>
        <w:t>ily</w:t>
      </w:r>
      <w:r w:rsidRPr="1709447A" w:rsidR="00377279">
        <w:rPr>
          <w:rFonts w:eastAsia="Times New Roman" w:cs="Times New Roman"/>
        </w:rPr>
        <w:t xml:space="preserve"> submit</w:t>
      </w:r>
      <w:r w:rsidRPr="1709447A" w:rsidR="008B5C5B">
        <w:rPr>
          <w:rFonts w:eastAsia="Times New Roman" w:cs="Times New Roman"/>
        </w:rPr>
        <w:t>ting</w:t>
      </w:r>
      <w:r w:rsidRPr="1709447A" w:rsidR="00377279">
        <w:rPr>
          <w:rFonts w:eastAsia="Times New Roman" w:cs="Times New Roman"/>
        </w:rPr>
        <w:t xml:space="preserve"> their annu</w:t>
      </w:r>
      <w:r w:rsidRPr="1709447A" w:rsidR="00BD6523">
        <w:rPr>
          <w:rFonts w:eastAsia="Times New Roman" w:cs="Times New Roman"/>
        </w:rPr>
        <w:t>a</w:t>
      </w:r>
      <w:r w:rsidRPr="1709447A" w:rsidR="00377279">
        <w:rPr>
          <w:rFonts w:eastAsia="Times New Roman" w:cs="Times New Roman"/>
        </w:rPr>
        <w:t>l crash data</w:t>
      </w:r>
      <w:r w:rsidRPr="1709447A" w:rsidR="003C7E1D">
        <w:rPr>
          <w:rFonts w:eastAsia="Times New Roman" w:cs="Times New Roman"/>
        </w:rPr>
        <w:t>base</w:t>
      </w:r>
      <w:r w:rsidRPr="1709447A" w:rsidR="008B5C5B">
        <w:rPr>
          <w:rFonts w:eastAsia="Times New Roman" w:cs="Times New Roman"/>
        </w:rPr>
        <w:t xml:space="preserve"> to NHTSA</w:t>
      </w:r>
      <w:r w:rsidRPr="1709447A" w:rsidR="00377279">
        <w:rPr>
          <w:rFonts w:eastAsia="Times New Roman" w:cs="Times New Roman"/>
        </w:rPr>
        <w:t xml:space="preserve">, with </w:t>
      </w:r>
      <w:r w:rsidRPr="1709447A" w:rsidR="00B511AF">
        <w:rPr>
          <w:rFonts w:eastAsia="Times New Roman" w:cs="Times New Roman"/>
        </w:rPr>
        <w:t>five</w:t>
      </w:r>
      <w:r w:rsidRPr="1709447A" w:rsidR="00377279">
        <w:rPr>
          <w:rFonts w:eastAsia="Times New Roman" w:cs="Times New Roman"/>
        </w:rPr>
        <w:t xml:space="preserve"> </w:t>
      </w:r>
      <w:r w:rsidR="00AB44F6">
        <w:rPr>
          <w:rFonts w:eastAsia="Times New Roman" w:cs="Times New Roman"/>
        </w:rPr>
        <w:t xml:space="preserve">(5) </w:t>
      </w:r>
      <w:r w:rsidRPr="1709447A" w:rsidR="00B511AF">
        <w:rPr>
          <w:rFonts w:eastAsia="Times New Roman" w:cs="Times New Roman"/>
        </w:rPr>
        <w:t>S</w:t>
      </w:r>
      <w:r w:rsidRPr="1709447A" w:rsidR="00BD6523">
        <w:rPr>
          <w:rFonts w:eastAsia="Times New Roman" w:cs="Times New Roman"/>
        </w:rPr>
        <w:t xml:space="preserve">tates </w:t>
      </w:r>
      <w:r w:rsidRPr="1709447A" w:rsidR="00377279">
        <w:rPr>
          <w:rFonts w:eastAsia="Times New Roman" w:cs="Times New Roman"/>
        </w:rPr>
        <w:t>sending electronic media and</w:t>
      </w:r>
      <w:r w:rsidR="00AB44F6">
        <w:rPr>
          <w:rFonts w:eastAsia="Times New Roman" w:cs="Times New Roman"/>
        </w:rPr>
        <w:t xml:space="preserve"> twenty-six (</w:t>
      </w:r>
      <w:r w:rsidRPr="1709447A" w:rsidR="00BD6523">
        <w:rPr>
          <w:rFonts w:eastAsia="Times New Roman" w:cs="Times New Roman"/>
        </w:rPr>
        <w:t>2</w:t>
      </w:r>
      <w:r w:rsidRPr="1709447A" w:rsidR="008B5C5B">
        <w:rPr>
          <w:rFonts w:eastAsia="Times New Roman" w:cs="Times New Roman"/>
        </w:rPr>
        <w:t>6</w:t>
      </w:r>
      <w:r w:rsidR="00AB44F6">
        <w:rPr>
          <w:rFonts w:eastAsia="Times New Roman" w:cs="Times New Roman"/>
        </w:rPr>
        <w:t>)</w:t>
      </w:r>
      <w:r w:rsidRPr="1709447A" w:rsidR="00377279">
        <w:rPr>
          <w:rFonts w:eastAsia="Times New Roman" w:cs="Times New Roman"/>
        </w:rPr>
        <w:t xml:space="preserve"> states uploading the </w:t>
      </w:r>
      <w:r w:rsidRPr="1709447A" w:rsidR="003C7E1D">
        <w:rPr>
          <w:rFonts w:eastAsia="Times New Roman" w:cs="Times New Roman"/>
        </w:rPr>
        <w:t xml:space="preserve">database </w:t>
      </w:r>
      <w:r w:rsidRPr="1709447A" w:rsidR="00377279">
        <w:rPr>
          <w:rFonts w:eastAsia="Times New Roman" w:cs="Times New Roman"/>
        </w:rPr>
        <w:t xml:space="preserve">to an </w:t>
      </w:r>
      <w:r w:rsidRPr="1709447A" w:rsidR="00EC5691">
        <w:rPr>
          <w:rFonts w:eastAsia="Times New Roman" w:cs="Times New Roman"/>
        </w:rPr>
        <w:t xml:space="preserve">SFTP </w:t>
      </w:r>
      <w:r w:rsidRPr="1709447A" w:rsidR="00377279">
        <w:rPr>
          <w:rFonts w:eastAsia="Times New Roman" w:cs="Times New Roman"/>
        </w:rPr>
        <w:t xml:space="preserve">site.  </w:t>
      </w:r>
      <w:r w:rsidRPr="1709447A" w:rsidR="00CE66D7">
        <w:rPr>
          <w:rFonts w:cs="Times New Roman"/>
          <w:color w:val="000000" w:themeColor="text1"/>
        </w:rPr>
        <w:t>S</w:t>
      </w:r>
      <w:r w:rsidRPr="1709447A" w:rsidR="00CE66D7">
        <w:rPr>
          <w:rFonts w:eastAsia="Times New Roman" w:cs="Times New Roman"/>
        </w:rPr>
        <w:t>ince NH</w:t>
      </w:r>
      <w:r w:rsidRPr="1709447A" w:rsidR="00CE66D7">
        <w:rPr>
          <w:rFonts w:cs="Times New Roman"/>
          <w:color w:val="000000" w:themeColor="text1"/>
        </w:rPr>
        <w:t xml:space="preserve">TSA </w:t>
      </w:r>
      <w:r w:rsidRPr="1709447A" w:rsidR="007B2ECE">
        <w:rPr>
          <w:rFonts w:cs="Times New Roman"/>
          <w:color w:val="000000" w:themeColor="text1"/>
        </w:rPr>
        <w:t>accept</w:t>
      </w:r>
      <w:r w:rsidRPr="1709447A" w:rsidR="00402C03">
        <w:rPr>
          <w:rFonts w:cs="Times New Roman"/>
          <w:color w:val="000000" w:themeColor="text1"/>
        </w:rPr>
        <w:t>s</w:t>
      </w:r>
      <w:r w:rsidRPr="1709447A" w:rsidR="007B2ECE">
        <w:rPr>
          <w:rFonts w:cs="Times New Roman"/>
          <w:color w:val="000000" w:themeColor="text1"/>
        </w:rPr>
        <w:t xml:space="preserve"> the States</w:t>
      </w:r>
      <w:r w:rsidRPr="1709447A" w:rsidR="00B511AF">
        <w:rPr>
          <w:rFonts w:cs="Times New Roman"/>
          <w:color w:val="000000" w:themeColor="text1"/>
        </w:rPr>
        <w:t>’</w:t>
      </w:r>
      <w:r w:rsidRPr="1709447A" w:rsidR="007B2ECE">
        <w:rPr>
          <w:rFonts w:cs="Times New Roman"/>
          <w:color w:val="000000" w:themeColor="text1"/>
        </w:rPr>
        <w:t xml:space="preserve"> centralized </w:t>
      </w:r>
      <w:r w:rsidRPr="1709447A" w:rsidR="7E3A2692">
        <w:rPr>
          <w:rFonts w:cs="Times New Roman"/>
          <w:color w:val="000000" w:themeColor="text1"/>
        </w:rPr>
        <w:t>statewide</w:t>
      </w:r>
      <w:r w:rsidRPr="1709447A" w:rsidR="5A378F44">
        <w:rPr>
          <w:rFonts w:cs="Times New Roman"/>
          <w:color w:val="000000" w:themeColor="text1"/>
        </w:rPr>
        <w:t xml:space="preserve"> crash data</w:t>
      </w:r>
      <w:r w:rsidRPr="1709447A" w:rsidR="4B331E92">
        <w:rPr>
          <w:rFonts w:cs="Times New Roman"/>
          <w:color w:val="000000" w:themeColor="text1"/>
        </w:rPr>
        <w:t xml:space="preserve"> repository</w:t>
      </w:r>
      <w:r w:rsidRPr="1709447A" w:rsidR="007B2ECE">
        <w:rPr>
          <w:rFonts w:cs="Times New Roman"/>
          <w:color w:val="000000" w:themeColor="text1"/>
        </w:rPr>
        <w:t xml:space="preserve"> without changes</w:t>
      </w:r>
      <w:r w:rsidRPr="1709447A" w:rsidR="00CE66D7">
        <w:rPr>
          <w:rFonts w:cs="Times New Roman"/>
          <w:color w:val="000000" w:themeColor="text1"/>
        </w:rPr>
        <w:t>, NHTSA estimate</w:t>
      </w:r>
      <w:r w:rsidRPr="1709447A" w:rsidR="00402C03">
        <w:rPr>
          <w:rFonts w:cs="Times New Roman"/>
          <w:color w:val="000000" w:themeColor="text1"/>
        </w:rPr>
        <w:t>s</w:t>
      </w:r>
      <w:r w:rsidRPr="1709447A" w:rsidR="00CE66D7">
        <w:rPr>
          <w:rFonts w:cs="Times New Roman"/>
          <w:color w:val="000000" w:themeColor="text1"/>
        </w:rPr>
        <w:t xml:space="preserve"> that it will require </w:t>
      </w:r>
      <w:r w:rsidRPr="1709447A" w:rsidR="00B511AF">
        <w:rPr>
          <w:rFonts w:cs="Times New Roman"/>
          <w:color w:val="000000" w:themeColor="text1"/>
        </w:rPr>
        <w:t>eight</w:t>
      </w:r>
      <w:r w:rsidR="00AB44F6">
        <w:rPr>
          <w:rFonts w:cs="Times New Roman"/>
          <w:color w:val="000000" w:themeColor="text1"/>
        </w:rPr>
        <w:t xml:space="preserve"> (8)</w:t>
      </w:r>
      <w:r w:rsidRPr="1709447A" w:rsidR="00CE66D7">
        <w:rPr>
          <w:rFonts w:cs="Times New Roman"/>
          <w:color w:val="000000" w:themeColor="text1"/>
        </w:rPr>
        <w:t xml:space="preserve"> hours for </w:t>
      </w:r>
      <w:r w:rsidRPr="1709447A" w:rsidR="00B511AF">
        <w:rPr>
          <w:rFonts w:cs="Times New Roman"/>
          <w:color w:val="000000" w:themeColor="text1"/>
        </w:rPr>
        <w:t xml:space="preserve">a </w:t>
      </w:r>
      <w:r w:rsidRPr="1709447A" w:rsidR="00CE66D7">
        <w:rPr>
          <w:rFonts w:cs="Times New Roman"/>
          <w:color w:val="000000" w:themeColor="text1"/>
        </w:rPr>
        <w:t xml:space="preserve">State Database Administrator to </w:t>
      </w:r>
      <w:r w:rsidRPr="1709447A">
        <w:rPr>
          <w:rFonts w:cs="Times New Roman"/>
          <w:color w:val="000000" w:themeColor="text1"/>
        </w:rPr>
        <w:t xml:space="preserve">save a </w:t>
      </w:r>
      <w:r w:rsidRPr="1709447A" w:rsidR="00CE66D7">
        <w:rPr>
          <w:rFonts w:cs="Times New Roman"/>
          <w:color w:val="000000" w:themeColor="text1"/>
        </w:rPr>
        <w:t xml:space="preserve">copy </w:t>
      </w:r>
      <w:r w:rsidRPr="1709447A">
        <w:rPr>
          <w:rFonts w:cs="Times New Roman"/>
          <w:color w:val="000000" w:themeColor="text1"/>
        </w:rPr>
        <w:t>of the State</w:t>
      </w:r>
      <w:r w:rsidRPr="1709447A" w:rsidR="00147B34">
        <w:rPr>
          <w:rFonts w:cs="Times New Roman"/>
          <w:color w:val="000000" w:themeColor="text1"/>
        </w:rPr>
        <w:t>’s annual</w:t>
      </w:r>
      <w:r w:rsidRPr="1709447A">
        <w:rPr>
          <w:rFonts w:cs="Times New Roman"/>
          <w:color w:val="000000" w:themeColor="text1"/>
        </w:rPr>
        <w:t xml:space="preserve"> </w:t>
      </w:r>
      <w:r w:rsidRPr="1709447A" w:rsidR="007B2ECE">
        <w:rPr>
          <w:rFonts w:cs="Times New Roman"/>
          <w:color w:val="000000" w:themeColor="text1"/>
        </w:rPr>
        <w:t>c</w:t>
      </w:r>
      <w:r w:rsidRPr="1709447A">
        <w:rPr>
          <w:rFonts w:cs="Times New Roman"/>
          <w:color w:val="000000" w:themeColor="text1"/>
        </w:rPr>
        <w:t xml:space="preserve">rash database </w:t>
      </w:r>
      <w:r w:rsidRPr="1709447A" w:rsidR="00CE66D7">
        <w:rPr>
          <w:rFonts w:cs="Times New Roman"/>
          <w:color w:val="000000" w:themeColor="text1"/>
        </w:rPr>
        <w:t xml:space="preserve">onto </w:t>
      </w:r>
      <w:r w:rsidRPr="1709447A">
        <w:rPr>
          <w:rFonts w:cs="Times New Roman"/>
          <w:color w:val="000000" w:themeColor="text1"/>
        </w:rPr>
        <w:t xml:space="preserve">a </w:t>
      </w:r>
      <w:r w:rsidRPr="1709447A" w:rsidR="004D2CEE">
        <w:rPr>
          <w:rFonts w:cs="Times New Roman"/>
          <w:color w:val="000000" w:themeColor="text1"/>
        </w:rPr>
        <w:t>SFTP</w:t>
      </w:r>
      <w:r w:rsidRPr="1709447A">
        <w:rPr>
          <w:rFonts w:cs="Times New Roman"/>
          <w:color w:val="000000" w:themeColor="text1"/>
        </w:rPr>
        <w:t xml:space="preserve"> site or </w:t>
      </w:r>
      <w:r w:rsidRPr="1709447A" w:rsidR="00CE66D7">
        <w:rPr>
          <w:rFonts w:cs="Times New Roman"/>
          <w:color w:val="000000" w:themeColor="text1"/>
        </w:rPr>
        <w:t xml:space="preserve">electronic media.  </w:t>
      </w:r>
      <w:r w:rsidRPr="1709447A" w:rsidR="00BD6523">
        <w:rPr>
          <w:rFonts w:cs="Times New Roman"/>
          <w:color w:val="000000" w:themeColor="text1"/>
        </w:rPr>
        <w:t>W</w:t>
      </w:r>
      <w:r w:rsidRPr="1709447A">
        <w:rPr>
          <w:rFonts w:cs="Times New Roman"/>
          <w:color w:val="000000" w:themeColor="text1"/>
        </w:rPr>
        <w:t xml:space="preserve">e estimate </w:t>
      </w:r>
      <w:r w:rsidRPr="1709447A" w:rsidR="003C7E1D">
        <w:rPr>
          <w:rFonts w:cs="Times New Roman"/>
          <w:color w:val="000000" w:themeColor="text1"/>
        </w:rPr>
        <w:t>an</w:t>
      </w:r>
      <w:r w:rsidRPr="1709447A">
        <w:rPr>
          <w:rFonts w:cs="Times New Roman"/>
          <w:color w:val="000000" w:themeColor="text1"/>
        </w:rPr>
        <w:t xml:space="preserve"> </w:t>
      </w:r>
      <w:r w:rsidRPr="1709447A" w:rsidR="00147B34">
        <w:rPr>
          <w:rFonts w:cs="Times New Roman"/>
          <w:color w:val="000000" w:themeColor="text1"/>
        </w:rPr>
        <w:t xml:space="preserve">additional </w:t>
      </w:r>
      <w:r w:rsidRPr="1709447A" w:rsidR="00B511AF">
        <w:rPr>
          <w:rFonts w:cs="Times New Roman"/>
          <w:color w:val="000000" w:themeColor="text1"/>
        </w:rPr>
        <w:t>four</w:t>
      </w:r>
      <w:r w:rsidRPr="1709447A" w:rsidR="000C370B">
        <w:rPr>
          <w:rFonts w:cs="Times New Roman"/>
          <w:color w:val="000000" w:themeColor="text1"/>
        </w:rPr>
        <w:t xml:space="preserve"> </w:t>
      </w:r>
      <w:r w:rsidR="005A1BF6">
        <w:rPr>
          <w:rFonts w:cs="Times New Roman"/>
          <w:color w:val="000000" w:themeColor="text1"/>
        </w:rPr>
        <w:t xml:space="preserve">(4) </w:t>
      </w:r>
      <w:r w:rsidRPr="1709447A" w:rsidR="000C370B">
        <w:rPr>
          <w:rFonts w:cs="Times New Roman"/>
          <w:color w:val="000000" w:themeColor="text1"/>
        </w:rPr>
        <w:t xml:space="preserve">hours </w:t>
      </w:r>
      <w:r w:rsidRPr="1709447A" w:rsidR="003C7E1D">
        <w:rPr>
          <w:rFonts w:cs="Times New Roman"/>
          <w:color w:val="000000" w:themeColor="text1"/>
        </w:rPr>
        <w:t xml:space="preserve">will be required </w:t>
      </w:r>
      <w:r w:rsidRPr="1709447A" w:rsidR="000C370B">
        <w:rPr>
          <w:rFonts w:cs="Times New Roman"/>
          <w:color w:val="000000" w:themeColor="text1"/>
        </w:rPr>
        <w:t xml:space="preserve">for </w:t>
      </w:r>
      <w:r w:rsidRPr="1709447A" w:rsidR="00147B34">
        <w:rPr>
          <w:rFonts w:cs="Times New Roman"/>
          <w:color w:val="000000" w:themeColor="text1"/>
        </w:rPr>
        <w:t xml:space="preserve">an </w:t>
      </w:r>
      <w:r w:rsidRPr="1709447A" w:rsidR="000C370B">
        <w:rPr>
          <w:rFonts w:cs="Times New Roman"/>
          <w:color w:val="000000" w:themeColor="text1"/>
        </w:rPr>
        <w:t xml:space="preserve">administrative </w:t>
      </w:r>
      <w:r w:rsidRPr="1709447A" w:rsidR="00147B34">
        <w:rPr>
          <w:rFonts w:cs="Times New Roman"/>
          <w:color w:val="000000" w:themeColor="text1"/>
        </w:rPr>
        <w:t xml:space="preserve">assistant </w:t>
      </w:r>
      <w:r w:rsidRPr="1709447A" w:rsidR="00CE66D7">
        <w:rPr>
          <w:rFonts w:cs="Times New Roman"/>
          <w:color w:val="000000" w:themeColor="text1"/>
        </w:rPr>
        <w:t xml:space="preserve">to package and </w:t>
      </w:r>
      <w:r w:rsidRPr="1709447A" w:rsidR="00A81258">
        <w:rPr>
          <w:rFonts w:cs="Times New Roman"/>
          <w:color w:val="000000" w:themeColor="text1"/>
        </w:rPr>
        <w:t xml:space="preserve">send the </w:t>
      </w:r>
      <w:r w:rsidRPr="1709447A" w:rsidR="007B2ECE">
        <w:rPr>
          <w:rFonts w:cs="Times New Roman"/>
          <w:color w:val="000000" w:themeColor="text1"/>
        </w:rPr>
        <w:t xml:space="preserve">electronic media to </w:t>
      </w:r>
      <w:r w:rsidRPr="1709447A" w:rsidR="00147B34">
        <w:rPr>
          <w:rFonts w:cs="Times New Roman"/>
          <w:color w:val="000000" w:themeColor="text1"/>
        </w:rPr>
        <w:t>NHTSA</w:t>
      </w:r>
      <w:r w:rsidRPr="1709447A">
        <w:rPr>
          <w:rFonts w:cs="Times New Roman"/>
          <w:color w:val="000000" w:themeColor="text1"/>
        </w:rPr>
        <w:t>.</w:t>
      </w:r>
      <w:r w:rsidRPr="1709447A" w:rsidR="007B0509">
        <w:rPr>
          <w:rFonts w:cs="Times New Roman"/>
          <w:color w:val="000000" w:themeColor="text1"/>
        </w:rPr>
        <w:t xml:space="preserve"> </w:t>
      </w:r>
      <w:bookmarkEnd w:id="28"/>
      <w:r w:rsidR="007A266A">
        <w:rPr>
          <w:rFonts w:cs="Times New Roman"/>
          <w:color w:val="000000" w:themeColor="text1"/>
        </w:rPr>
        <w:t>Therefore,</w:t>
      </w:r>
      <w:r w:rsidR="008D06C5">
        <w:rPr>
          <w:rFonts w:cs="Times New Roman"/>
          <w:color w:val="000000" w:themeColor="text1"/>
        </w:rPr>
        <w:t xml:space="preserve"> the burden </w:t>
      </w:r>
      <w:r w:rsidR="00C24B29">
        <w:rPr>
          <w:rFonts w:cs="Times New Roman"/>
          <w:color w:val="000000" w:themeColor="text1"/>
        </w:rPr>
        <w:t xml:space="preserve">hours </w:t>
      </w:r>
      <w:r w:rsidR="008D06C5">
        <w:rPr>
          <w:rFonts w:cs="Times New Roman"/>
          <w:color w:val="000000" w:themeColor="text1"/>
        </w:rPr>
        <w:t xml:space="preserve">for </w:t>
      </w:r>
      <w:r w:rsidR="008B1CC1">
        <w:rPr>
          <w:rFonts w:cs="Times New Roman"/>
          <w:color w:val="000000" w:themeColor="text1"/>
        </w:rPr>
        <w:t>thirty-one (</w:t>
      </w:r>
      <w:r w:rsidR="008D06C5">
        <w:rPr>
          <w:rFonts w:cs="Times New Roman"/>
          <w:color w:val="000000" w:themeColor="text1"/>
        </w:rPr>
        <w:t>31</w:t>
      </w:r>
      <w:r w:rsidR="008B1CC1">
        <w:rPr>
          <w:rFonts w:cs="Times New Roman"/>
          <w:color w:val="000000" w:themeColor="text1"/>
        </w:rPr>
        <w:t>)</w:t>
      </w:r>
      <w:r w:rsidR="008D06C5">
        <w:rPr>
          <w:rFonts w:cs="Times New Roman"/>
          <w:color w:val="000000" w:themeColor="text1"/>
        </w:rPr>
        <w:t xml:space="preserve"> SDS States to </w:t>
      </w:r>
      <w:r w:rsidRPr="00C24B29" w:rsidR="00C24B29">
        <w:rPr>
          <w:rFonts w:cs="Times New Roman"/>
          <w:color w:val="000000" w:themeColor="text1"/>
        </w:rPr>
        <w:t>save a copy of the State’s annual crash database onto a SFTP site or electronic media</w:t>
      </w:r>
      <w:r w:rsidR="00C24B29">
        <w:rPr>
          <w:rFonts w:cs="Times New Roman"/>
          <w:color w:val="000000" w:themeColor="text1"/>
        </w:rPr>
        <w:t xml:space="preserve"> is 248 hours (</w:t>
      </w:r>
      <w:r w:rsidR="007A266A">
        <w:rPr>
          <w:rFonts w:cs="Times New Roman"/>
          <w:color w:val="000000" w:themeColor="text1"/>
        </w:rPr>
        <w:t xml:space="preserve">8 hours x 31 States). An additional burden for the </w:t>
      </w:r>
      <w:r w:rsidR="00C867E1">
        <w:rPr>
          <w:rFonts w:cs="Times New Roman"/>
          <w:color w:val="000000" w:themeColor="text1"/>
        </w:rPr>
        <w:t>five (5)</w:t>
      </w:r>
      <w:r w:rsidR="007A266A">
        <w:rPr>
          <w:rFonts w:cs="Times New Roman"/>
          <w:color w:val="000000" w:themeColor="text1"/>
        </w:rPr>
        <w:t xml:space="preserve"> SDS States to </w:t>
      </w:r>
      <w:r w:rsidRPr="1709447A" w:rsidR="007A266A">
        <w:rPr>
          <w:rFonts w:cs="Times New Roman"/>
          <w:color w:val="000000" w:themeColor="text1"/>
        </w:rPr>
        <w:t>package and send the electronic media to NHTSA</w:t>
      </w:r>
      <w:r w:rsidR="007A266A">
        <w:rPr>
          <w:rFonts w:cs="Times New Roman"/>
          <w:color w:val="000000" w:themeColor="text1"/>
        </w:rPr>
        <w:t xml:space="preserve"> is </w:t>
      </w:r>
      <w:r w:rsidR="00C867E1">
        <w:rPr>
          <w:rFonts w:cs="Times New Roman"/>
          <w:color w:val="000000" w:themeColor="text1"/>
        </w:rPr>
        <w:t>20 hours (4 hours x 5 States).</w:t>
      </w:r>
      <w:r w:rsidR="007A266A">
        <w:rPr>
          <w:rFonts w:cs="Times New Roman"/>
          <w:color w:val="000000" w:themeColor="text1"/>
        </w:rPr>
        <w:t xml:space="preserve"> </w:t>
      </w:r>
    </w:p>
    <w:p w:rsidR="00EE641E" w:rsidRPr="00187E6C" w:rsidP="00D63324" w14:paraId="307EA8C1" w14:textId="4432C275">
      <w:pPr>
        <w:ind w:left="720"/>
        <w:rPr>
          <w:rFonts w:cs="Times New Roman"/>
        </w:rPr>
      </w:pPr>
      <w:bookmarkStart w:id="29" w:name="_Hlk71226762"/>
      <w:r w:rsidRPr="73E0EB06">
        <w:rPr>
          <w:rFonts w:cs="Times New Roman"/>
          <w:color w:val="000000"/>
        </w:rPr>
        <w:t xml:space="preserve">To estimate the labor cost associated with submitting the SDS information, NHTSA looked at wage estimates for the type of personnel involved with </w:t>
      </w:r>
      <w:r w:rsidRPr="73E0EB06" w:rsidR="007B2ECE">
        <w:rPr>
          <w:rFonts w:cs="Times New Roman"/>
          <w:color w:val="000000"/>
        </w:rPr>
        <w:t xml:space="preserve">copying, </w:t>
      </w:r>
      <w:r w:rsidRPr="73E0EB06" w:rsidR="002C6433">
        <w:rPr>
          <w:rFonts w:cs="Times New Roman"/>
          <w:color w:val="000000"/>
        </w:rPr>
        <w:t>packaging,</w:t>
      </w:r>
      <w:r w:rsidRPr="73E0EB06" w:rsidR="007B2ECE">
        <w:rPr>
          <w:rFonts w:cs="Times New Roman"/>
          <w:color w:val="000000"/>
        </w:rPr>
        <w:t xml:space="preserve"> and sending</w:t>
      </w:r>
      <w:r w:rsidRPr="73E0EB06">
        <w:rPr>
          <w:rFonts w:cs="Times New Roman"/>
          <w:color w:val="000000"/>
        </w:rPr>
        <w:t xml:space="preserve"> the data</w:t>
      </w:r>
      <w:r w:rsidRPr="73E0EB06" w:rsidR="003C7E1D">
        <w:rPr>
          <w:rFonts w:cs="Times New Roman"/>
          <w:color w:val="000000"/>
        </w:rPr>
        <w:t>base</w:t>
      </w:r>
      <w:r w:rsidRPr="73E0EB06">
        <w:rPr>
          <w:rFonts w:cs="Times New Roman"/>
          <w:color w:val="000000"/>
        </w:rPr>
        <w:t xml:space="preserve">.  </w:t>
      </w:r>
      <w:r w:rsidRPr="73E0EB06" w:rsidR="00D63324">
        <w:rPr>
          <w:rFonts w:cs="Times New Roman"/>
          <w:color w:val="000000"/>
        </w:rPr>
        <w:t>NHTSA</w:t>
      </w:r>
      <w:r w:rsidRPr="73E0EB06">
        <w:rPr>
          <w:rFonts w:cs="Times New Roman"/>
          <w:color w:val="000000"/>
        </w:rPr>
        <w:t xml:space="preserve"> estimates the </w:t>
      </w:r>
      <w:r w:rsidRPr="73E0EB06" w:rsidR="00D63324">
        <w:rPr>
          <w:rFonts w:cs="Times New Roman"/>
          <w:color w:val="000000"/>
        </w:rPr>
        <w:t xml:space="preserve">total labor costs associated with </w:t>
      </w:r>
      <w:r w:rsidRPr="73E0EB06" w:rsidR="00A81258">
        <w:rPr>
          <w:rFonts w:cs="Times New Roman"/>
          <w:color w:val="000000"/>
        </w:rPr>
        <w:t>copying the database</w:t>
      </w:r>
      <w:r w:rsidRPr="73E0EB06" w:rsidR="00D63324">
        <w:rPr>
          <w:rFonts w:cs="Times New Roman"/>
          <w:color w:val="000000"/>
        </w:rPr>
        <w:t xml:space="preserve"> by looking at the average wage for </w:t>
      </w:r>
      <w:r w:rsidRPr="73E0EB06" w:rsidR="008F4D18">
        <w:rPr>
          <w:rFonts w:cs="Times New Roman"/>
          <w:color w:val="000000"/>
        </w:rPr>
        <w:t>Data</w:t>
      </w:r>
      <w:r w:rsidRPr="73E0EB06" w:rsidR="00155C92">
        <w:rPr>
          <w:rFonts w:cs="Times New Roman"/>
          <w:color w:val="000000"/>
        </w:rPr>
        <w:t xml:space="preserve">base and Network Administrator and Architects. </w:t>
      </w:r>
      <w:r w:rsidRPr="73E0EB06" w:rsidR="00D63324">
        <w:rPr>
          <w:rFonts w:cs="Times New Roman"/>
          <w:color w:val="000000"/>
        </w:rPr>
        <w:t xml:space="preserve"> The Bureau of Labor Statistics (BLS) estimates that the average hourly wage for </w:t>
      </w:r>
      <w:r w:rsidRPr="73E0EB06" w:rsidR="00155C92">
        <w:rPr>
          <w:rFonts w:cs="Times New Roman"/>
          <w:color w:val="000000"/>
        </w:rPr>
        <w:t xml:space="preserve">Database and Network Administrator and Architects </w:t>
      </w:r>
      <w:r w:rsidRPr="73E0EB06" w:rsidR="00D63324">
        <w:rPr>
          <w:rFonts w:cs="Times New Roman"/>
          <w:color w:val="000000"/>
        </w:rPr>
        <w:t>(</w:t>
      </w:r>
      <w:r w:rsidRPr="73E0EB06" w:rsidR="00D524FF">
        <w:rPr>
          <w:rFonts w:cs="Times New Roman"/>
          <w:color w:val="000000"/>
        </w:rPr>
        <w:t>Standard</w:t>
      </w:r>
      <w:r w:rsidRPr="73E0EB06" w:rsidR="00D524FF">
        <w:t xml:space="preserve"> Occupational Classification #15-1</w:t>
      </w:r>
      <w:r w:rsidRPr="73E0EB06" w:rsidR="00155C92">
        <w:t>240</w:t>
      </w:r>
      <w:r w:rsidRPr="73E0EB06" w:rsidR="00D524FF">
        <w:t xml:space="preserve">, May </w:t>
      </w:r>
      <w:r w:rsidRPr="73E0EB06" w:rsidR="00947262">
        <w:t>2021</w:t>
      </w:r>
      <w:r w:rsidRPr="73E0EB06" w:rsidR="00D63324">
        <w:rPr>
          <w:rFonts w:cs="Times New Roman"/>
        </w:rPr>
        <w:t>) is $</w:t>
      </w:r>
      <w:r w:rsidRPr="73E0EB06" w:rsidR="00A36A88">
        <w:rPr>
          <w:rFonts w:cs="Times New Roman"/>
        </w:rPr>
        <w:t>49.25</w:t>
      </w:r>
      <w:r w:rsidRPr="73E0EB06" w:rsidR="00D63324">
        <w:rPr>
          <w:rFonts w:cs="Times New Roman"/>
        </w:rPr>
        <w:t>.</w:t>
      </w:r>
      <w:r>
        <w:rPr>
          <w:rFonts w:cs="Times New Roman"/>
          <w:vertAlign w:val="superscript"/>
        </w:rPr>
        <w:footnoteReference w:id="8"/>
      </w:r>
      <w:r w:rsidRPr="73E0EB06" w:rsidR="00D63324">
        <w:rPr>
          <w:rFonts w:cs="Times New Roman"/>
        </w:rPr>
        <w:t xml:space="preserve">  The Bureau of Labor Statistics estimates that </w:t>
      </w:r>
      <w:r w:rsidRPr="73E0EB06" w:rsidR="00155C92">
        <w:rPr>
          <w:rFonts w:cs="Times New Roman"/>
        </w:rPr>
        <w:t>State and local government workers</w:t>
      </w:r>
      <w:r w:rsidRPr="73E0EB06" w:rsidR="00D63324">
        <w:rPr>
          <w:rFonts w:cs="Times New Roman"/>
        </w:rPr>
        <w:t xml:space="preserve">’ wages represent </w:t>
      </w:r>
      <w:r w:rsidRPr="73E0EB06" w:rsidR="00155C92">
        <w:rPr>
          <w:rFonts w:cs="Times New Roman"/>
        </w:rPr>
        <w:t>61.</w:t>
      </w:r>
      <w:r w:rsidRPr="73E0EB06" w:rsidR="004059CC">
        <w:rPr>
          <w:rFonts w:cs="Times New Roman"/>
        </w:rPr>
        <w:t>9</w:t>
      </w:r>
      <w:r w:rsidRPr="73E0EB06" w:rsidR="00D63324">
        <w:rPr>
          <w:rFonts w:cs="Times New Roman"/>
        </w:rPr>
        <w:t>% of total labor compensation costs.</w:t>
      </w:r>
      <w:r>
        <w:rPr>
          <w:rFonts w:cs="Times New Roman"/>
          <w:vertAlign w:val="superscript"/>
        </w:rPr>
        <w:footnoteReference w:id="9"/>
      </w:r>
      <w:r w:rsidRPr="73E0EB06" w:rsidR="00D63324">
        <w:rPr>
          <w:rFonts w:cs="Times New Roman"/>
        </w:rPr>
        <w:t xml:space="preserve">  Therefore, NHTSA estimates the hourly labor costs </w:t>
      </w:r>
      <w:r w:rsidRPr="73E0EB06" w:rsidR="00147B34">
        <w:rPr>
          <w:rFonts w:cs="Times New Roman"/>
        </w:rPr>
        <w:t xml:space="preserve">for copying the database </w:t>
      </w:r>
      <w:r w:rsidRPr="73E0EB06" w:rsidR="003C7E1D">
        <w:rPr>
          <w:rFonts w:cs="Times New Roman"/>
        </w:rPr>
        <w:t>to be</w:t>
      </w:r>
      <w:r w:rsidRPr="73E0EB06" w:rsidR="00D63324">
        <w:rPr>
          <w:rFonts w:cs="Times New Roman"/>
        </w:rPr>
        <w:t xml:space="preserve"> $</w:t>
      </w:r>
      <w:r w:rsidRPr="73E0EB06" w:rsidR="006B5E76">
        <w:rPr>
          <w:rFonts w:cs="Times New Roman"/>
        </w:rPr>
        <w:t>79.56</w:t>
      </w:r>
      <w:r w:rsidRPr="73E0EB06" w:rsidR="000E79C2">
        <w:rPr>
          <w:rFonts w:cs="Times New Roman"/>
        </w:rPr>
        <w:t xml:space="preserve"> ($</w:t>
      </w:r>
      <w:r w:rsidRPr="73E0EB06" w:rsidR="000610E3">
        <w:rPr>
          <w:rFonts w:cs="Times New Roman"/>
        </w:rPr>
        <w:t>49.25</w:t>
      </w:r>
      <w:r w:rsidRPr="73E0EB06" w:rsidR="00813D04">
        <w:rPr>
          <w:rFonts w:cs="Times New Roman"/>
        </w:rPr>
        <w:t xml:space="preserve"> ÷ </w:t>
      </w:r>
      <w:r w:rsidRPr="73E0EB06" w:rsidR="00DD6FE4">
        <w:rPr>
          <w:rFonts w:cs="Times New Roman"/>
        </w:rPr>
        <w:t>61.9%</w:t>
      </w:r>
      <w:r w:rsidRPr="73E0EB06" w:rsidR="000E79C2">
        <w:rPr>
          <w:rFonts w:cs="Times New Roman"/>
        </w:rPr>
        <w:t>)</w:t>
      </w:r>
      <w:r w:rsidRPr="73E0EB06" w:rsidR="00D63324">
        <w:rPr>
          <w:rFonts w:cs="Times New Roman"/>
        </w:rPr>
        <w:t xml:space="preserve"> for </w:t>
      </w:r>
      <w:r w:rsidRPr="73E0EB06" w:rsidR="000E79C2">
        <w:rPr>
          <w:rFonts w:cs="Times New Roman"/>
        </w:rPr>
        <w:t>Database and Network Administrator and Architects</w:t>
      </w:r>
      <w:r w:rsidRPr="73E0EB06" w:rsidR="00D63324">
        <w:rPr>
          <w:rFonts w:cs="Times New Roman"/>
        </w:rPr>
        <w:t xml:space="preserve">. </w:t>
      </w:r>
      <w:r w:rsidRPr="73E0EB06" w:rsidR="00DD0DB2">
        <w:rPr>
          <w:rFonts w:cs="Times New Roman"/>
        </w:rPr>
        <w:t xml:space="preserve"> </w:t>
      </w:r>
      <w:r w:rsidRPr="73E0EB06">
        <w:t xml:space="preserve">The cost associated with the </w:t>
      </w:r>
      <w:r w:rsidRPr="73E0EB06" w:rsidR="00385AD8">
        <w:t>eight</w:t>
      </w:r>
      <w:r w:rsidRPr="00187E6C">
        <w:rPr>
          <w:szCs w:val="24"/>
        </w:rPr>
        <w:t xml:space="preserve"> </w:t>
      </w:r>
      <w:r w:rsidRPr="73E0EB06" w:rsidR="00765DAD">
        <w:t xml:space="preserve">(8) </w:t>
      </w:r>
      <w:r w:rsidRPr="73E0EB06">
        <w:t xml:space="preserve">hours of </w:t>
      </w:r>
      <w:r w:rsidRPr="73E0EB06" w:rsidR="00DD0DB2">
        <w:t>Database and Network Administrator l</w:t>
      </w:r>
      <w:r w:rsidRPr="73E0EB06">
        <w:t>abor is estimated to be $</w:t>
      </w:r>
      <w:r w:rsidRPr="73E0EB06" w:rsidR="00C1491F">
        <w:t>636</w:t>
      </w:r>
      <w:r w:rsidRPr="73E0EB06" w:rsidR="0001126B">
        <w:t>.48</w:t>
      </w:r>
      <w:r w:rsidRPr="00187E6C">
        <w:rPr>
          <w:szCs w:val="24"/>
        </w:rPr>
        <w:t xml:space="preserve"> </w:t>
      </w:r>
      <w:r w:rsidRPr="73E0EB06" w:rsidR="00134AE9">
        <w:rPr>
          <w:rFonts w:cs="Times New Roman"/>
        </w:rPr>
        <w:t xml:space="preserve">($79.56 × 8 hours) </w:t>
      </w:r>
      <w:r w:rsidRPr="73E0EB06">
        <w:t>per respondent.</w:t>
      </w:r>
    </w:p>
    <w:p w:rsidR="00DD0DB2" w:rsidRPr="00187E6C" w:rsidP="00D63324" w14:paraId="061CC497" w14:textId="561D9AE5">
      <w:pPr>
        <w:ind w:left="720"/>
        <w:rPr>
          <w:rFonts w:cs="Times New Roman"/>
          <w:szCs w:val="24"/>
        </w:rPr>
      </w:pPr>
      <w:r>
        <w:rPr>
          <w:rFonts w:cs="Times New Roman"/>
          <w:szCs w:val="24"/>
        </w:rPr>
        <w:t xml:space="preserve">For the </w:t>
      </w:r>
      <w:r w:rsidR="00110000">
        <w:rPr>
          <w:rFonts w:eastAsia="Times New Roman" w:cs="Times New Roman"/>
          <w:bCs/>
          <w:iCs/>
          <w:szCs w:val="24"/>
        </w:rPr>
        <w:t>5</w:t>
      </w:r>
      <w:r>
        <w:rPr>
          <w:rFonts w:eastAsia="Times New Roman" w:cs="Times New Roman"/>
          <w:bCs/>
          <w:iCs/>
          <w:szCs w:val="24"/>
        </w:rPr>
        <w:t xml:space="preserve"> States sending electronic media,</w:t>
      </w:r>
      <w:r w:rsidRPr="00187E6C">
        <w:rPr>
          <w:rFonts w:cs="Times New Roman"/>
          <w:szCs w:val="24"/>
        </w:rPr>
        <w:t xml:space="preserve"> </w:t>
      </w:r>
      <w:r w:rsidRPr="00187E6C" w:rsidR="00A81258">
        <w:rPr>
          <w:rFonts w:cs="Times New Roman"/>
          <w:szCs w:val="24"/>
        </w:rPr>
        <w:t>NHTSA estimates the total labor costs for packing and sending the database by looking at the average wage for Secretaries and Administrative Assistants.  The BLS estimates that the average hourly wage for Secretaries and Administrator Assistants (</w:t>
      </w:r>
      <w:r w:rsidRPr="00187E6C" w:rsidR="00A81258">
        <w:rPr>
          <w:szCs w:val="24"/>
        </w:rPr>
        <w:t>Standard Occupational Classification #43-</w:t>
      </w:r>
      <w:r w:rsidRPr="00187E6C" w:rsidR="00A81258">
        <w:rPr>
          <w:szCs w:val="24"/>
        </w:rPr>
        <w:t xml:space="preserve">6014, May </w:t>
      </w:r>
      <w:r w:rsidRPr="00187E6C" w:rsidR="00EE44F4">
        <w:rPr>
          <w:szCs w:val="24"/>
        </w:rPr>
        <w:t>20</w:t>
      </w:r>
      <w:r w:rsidR="00EE44F4">
        <w:rPr>
          <w:szCs w:val="24"/>
        </w:rPr>
        <w:t>21</w:t>
      </w:r>
      <w:r w:rsidRPr="00187E6C" w:rsidR="00A81258">
        <w:rPr>
          <w:rFonts w:cs="Times New Roman"/>
          <w:szCs w:val="24"/>
        </w:rPr>
        <w:t xml:space="preserve">) is </w:t>
      </w:r>
      <w:r w:rsidR="00FA0556">
        <w:rPr>
          <w:rFonts w:cs="Times New Roman"/>
          <w:szCs w:val="24"/>
        </w:rPr>
        <w:t>$</w:t>
      </w:r>
      <w:r w:rsidR="00EE44F4">
        <w:rPr>
          <w:rFonts w:cs="Times New Roman"/>
          <w:szCs w:val="24"/>
        </w:rPr>
        <w:t>21.76</w:t>
      </w:r>
      <w:r w:rsidRPr="00187E6C" w:rsidR="00A81258">
        <w:rPr>
          <w:rFonts w:cs="Times New Roman"/>
          <w:szCs w:val="24"/>
        </w:rPr>
        <w:t>.</w:t>
      </w:r>
      <w:r>
        <w:rPr>
          <w:rFonts w:cs="Times New Roman"/>
          <w:szCs w:val="24"/>
          <w:vertAlign w:val="superscript"/>
        </w:rPr>
        <w:footnoteReference w:id="10"/>
      </w:r>
      <w:r w:rsidRPr="00187E6C" w:rsidR="00A81258">
        <w:rPr>
          <w:rFonts w:cs="Times New Roman"/>
          <w:szCs w:val="24"/>
        </w:rPr>
        <w:t xml:space="preserve"> By using </w:t>
      </w:r>
      <w:r w:rsidR="00633A1C">
        <w:rPr>
          <w:rFonts w:cs="Times New Roman"/>
          <w:szCs w:val="24"/>
        </w:rPr>
        <w:t xml:space="preserve">the </w:t>
      </w:r>
      <w:r w:rsidRPr="00187E6C" w:rsidR="00A81258">
        <w:rPr>
          <w:rFonts w:cs="Times New Roman"/>
          <w:szCs w:val="24"/>
        </w:rPr>
        <w:t>same</w:t>
      </w:r>
      <w:r w:rsidR="001E7DBB">
        <w:rPr>
          <w:rFonts w:cs="Times New Roman"/>
          <w:szCs w:val="24"/>
        </w:rPr>
        <w:t xml:space="preserve"> estimate that wages represent</w:t>
      </w:r>
      <w:r w:rsidRPr="00187E6C" w:rsidR="00A81258">
        <w:rPr>
          <w:rFonts w:cs="Times New Roman"/>
          <w:szCs w:val="24"/>
        </w:rPr>
        <w:t xml:space="preserve"> 61.</w:t>
      </w:r>
      <w:r w:rsidR="00DD6FE4">
        <w:rPr>
          <w:rFonts w:cs="Times New Roman"/>
          <w:szCs w:val="24"/>
        </w:rPr>
        <w:t>9</w:t>
      </w:r>
      <w:r w:rsidRPr="00187E6C" w:rsidR="00A81258">
        <w:rPr>
          <w:rFonts w:cs="Times New Roman"/>
          <w:szCs w:val="24"/>
        </w:rPr>
        <w:t xml:space="preserve">% of the total </w:t>
      </w:r>
      <w:r w:rsidR="001E7DBB">
        <w:rPr>
          <w:rFonts w:cs="Times New Roman"/>
          <w:szCs w:val="24"/>
        </w:rPr>
        <w:t xml:space="preserve">compensation cost of </w:t>
      </w:r>
      <w:r w:rsidRPr="00187E6C" w:rsidR="00A81258">
        <w:rPr>
          <w:rFonts w:cs="Times New Roman"/>
          <w:szCs w:val="24"/>
        </w:rPr>
        <w:t>labor, NHTSA estimates the total labor hour</w:t>
      </w:r>
      <w:r w:rsidR="001E7DBB">
        <w:rPr>
          <w:rFonts w:cs="Times New Roman"/>
          <w:szCs w:val="24"/>
        </w:rPr>
        <w:t xml:space="preserve"> cost</w:t>
      </w:r>
      <w:r w:rsidRPr="00187E6C" w:rsidR="00A81258">
        <w:rPr>
          <w:rFonts w:cs="Times New Roman"/>
          <w:szCs w:val="24"/>
        </w:rPr>
        <w:t xml:space="preserve"> for packing and sending the data</w:t>
      </w:r>
      <w:r w:rsidRPr="00187E6C" w:rsidR="00BC78B9">
        <w:rPr>
          <w:rFonts w:cs="Times New Roman"/>
          <w:szCs w:val="24"/>
        </w:rPr>
        <w:t>base on electronic media</w:t>
      </w:r>
      <w:r w:rsidRPr="00187E6C" w:rsidR="00377279">
        <w:rPr>
          <w:rFonts w:cs="Times New Roman"/>
          <w:szCs w:val="24"/>
        </w:rPr>
        <w:t xml:space="preserve"> to be $</w:t>
      </w:r>
      <w:r w:rsidR="00266303">
        <w:rPr>
          <w:rFonts w:cs="Times New Roman"/>
          <w:szCs w:val="24"/>
        </w:rPr>
        <w:t>35.15</w:t>
      </w:r>
      <w:r w:rsidRPr="00187E6C" w:rsidR="0065441C">
        <w:rPr>
          <w:rFonts w:cs="Times New Roman"/>
          <w:szCs w:val="24"/>
        </w:rPr>
        <w:t>($</w:t>
      </w:r>
      <w:r w:rsidR="0065441C">
        <w:rPr>
          <w:rFonts w:cs="Times New Roman"/>
          <w:szCs w:val="24"/>
        </w:rPr>
        <w:t>21.76 ÷ 61.9%</w:t>
      </w:r>
      <w:r w:rsidRPr="00187E6C" w:rsidR="0065441C">
        <w:rPr>
          <w:rFonts w:cs="Times New Roman"/>
          <w:szCs w:val="24"/>
        </w:rPr>
        <w:t>)</w:t>
      </w:r>
      <w:r w:rsidR="0005242E">
        <w:rPr>
          <w:rFonts w:cs="Times New Roman"/>
          <w:szCs w:val="24"/>
        </w:rPr>
        <w:t>.</w:t>
      </w:r>
      <w:r w:rsidRPr="00187E6C" w:rsidR="00A81258">
        <w:rPr>
          <w:rFonts w:cs="Times New Roman"/>
          <w:szCs w:val="24"/>
        </w:rPr>
        <w:t xml:space="preserve"> </w:t>
      </w:r>
      <w:r w:rsidRPr="00187E6C" w:rsidR="00377279">
        <w:rPr>
          <w:rFonts w:cs="Times New Roman"/>
          <w:szCs w:val="24"/>
        </w:rPr>
        <w:t xml:space="preserve"> </w:t>
      </w:r>
      <w:r w:rsidRPr="00187E6C">
        <w:rPr>
          <w:szCs w:val="24"/>
        </w:rPr>
        <w:t>The</w:t>
      </w:r>
      <w:r w:rsidR="0005242E">
        <w:rPr>
          <w:szCs w:val="24"/>
        </w:rPr>
        <w:t>refore, the</w:t>
      </w:r>
      <w:r w:rsidRPr="00187E6C">
        <w:rPr>
          <w:szCs w:val="24"/>
        </w:rPr>
        <w:t xml:space="preserve"> cost associated with the </w:t>
      </w:r>
      <w:r w:rsidR="00385AD8">
        <w:rPr>
          <w:szCs w:val="24"/>
        </w:rPr>
        <w:t>four</w:t>
      </w:r>
      <w:r w:rsidRPr="00187E6C">
        <w:rPr>
          <w:szCs w:val="24"/>
        </w:rPr>
        <w:t xml:space="preserve"> </w:t>
      </w:r>
      <w:r w:rsidR="002F24B7">
        <w:rPr>
          <w:szCs w:val="24"/>
        </w:rPr>
        <w:t xml:space="preserve">(4) </w:t>
      </w:r>
      <w:r w:rsidRPr="00187E6C">
        <w:rPr>
          <w:szCs w:val="24"/>
        </w:rPr>
        <w:t xml:space="preserve">hours </w:t>
      </w:r>
      <w:r w:rsidR="0005242E">
        <w:rPr>
          <w:szCs w:val="24"/>
        </w:rPr>
        <w:t xml:space="preserve">to send the electronic media </w:t>
      </w:r>
      <w:r w:rsidRPr="00187E6C">
        <w:rPr>
          <w:szCs w:val="24"/>
        </w:rPr>
        <w:t>is estimated to be $</w:t>
      </w:r>
      <w:r w:rsidR="00266303">
        <w:rPr>
          <w:szCs w:val="24"/>
        </w:rPr>
        <w:t>14</w:t>
      </w:r>
      <w:r w:rsidR="0001126B">
        <w:rPr>
          <w:szCs w:val="24"/>
        </w:rPr>
        <w:t>0.60</w:t>
      </w:r>
      <w:r w:rsidR="00515A81">
        <w:rPr>
          <w:szCs w:val="24"/>
        </w:rPr>
        <w:t xml:space="preserve"> </w:t>
      </w:r>
      <w:r w:rsidRPr="00187E6C" w:rsidR="00515A81">
        <w:rPr>
          <w:rFonts w:cs="Times New Roman"/>
          <w:szCs w:val="24"/>
        </w:rPr>
        <w:t>($</w:t>
      </w:r>
      <w:r w:rsidR="00B713E4">
        <w:rPr>
          <w:rFonts w:cs="Times New Roman"/>
          <w:szCs w:val="24"/>
        </w:rPr>
        <w:t>35.15</w:t>
      </w:r>
      <w:r w:rsidR="00515A81">
        <w:rPr>
          <w:rFonts w:cs="Times New Roman"/>
          <w:szCs w:val="24"/>
        </w:rPr>
        <w:t xml:space="preserve"> ×</w:t>
      </w:r>
      <w:r w:rsidRPr="00187E6C" w:rsidR="00515A81">
        <w:rPr>
          <w:rFonts w:cs="Times New Roman"/>
          <w:szCs w:val="24"/>
        </w:rPr>
        <w:t xml:space="preserve"> </w:t>
      </w:r>
      <w:r w:rsidR="00B713E4">
        <w:rPr>
          <w:rFonts w:cs="Times New Roman"/>
          <w:szCs w:val="24"/>
        </w:rPr>
        <w:t>4</w:t>
      </w:r>
      <w:r w:rsidRPr="00187E6C" w:rsidR="00515A81">
        <w:rPr>
          <w:rFonts w:cs="Times New Roman"/>
          <w:szCs w:val="24"/>
        </w:rPr>
        <w:t xml:space="preserve"> </w:t>
      </w:r>
      <w:r w:rsidR="00515A81">
        <w:rPr>
          <w:rFonts w:cs="Times New Roman"/>
          <w:szCs w:val="24"/>
        </w:rPr>
        <w:t>hours</w:t>
      </w:r>
      <w:r w:rsidRPr="00187E6C" w:rsidR="00515A81">
        <w:rPr>
          <w:rFonts w:cs="Times New Roman"/>
          <w:szCs w:val="24"/>
        </w:rPr>
        <w:t>)</w:t>
      </w:r>
      <w:r w:rsidRPr="00187E6C">
        <w:rPr>
          <w:szCs w:val="24"/>
        </w:rPr>
        <w:t xml:space="preserve"> per respondent.</w:t>
      </w:r>
    </w:p>
    <w:p w:rsidR="001C7523" w:rsidP="00C4420D" w14:paraId="18AE8B7B" w14:textId="1C5532B6">
      <w:pPr>
        <w:tabs>
          <w:tab w:val="left" w:pos="-720"/>
          <w:tab w:val="left" w:pos="540"/>
        </w:tabs>
        <w:ind w:left="720"/>
        <w:rPr>
          <w:rFonts w:cs="Times New Roman"/>
          <w:szCs w:val="24"/>
        </w:rPr>
      </w:pPr>
      <w:r>
        <w:t>Combining these copying</w:t>
      </w:r>
      <w:r w:rsidR="006953A6">
        <w:t>,</w:t>
      </w:r>
      <w:r>
        <w:t xml:space="preserve"> </w:t>
      </w:r>
      <w:r w:rsidR="00C4420D">
        <w:t>packing</w:t>
      </w:r>
      <w:r w:rsidR="00771AD4">
        <w:t>,</w:t>
      </w:r>
      <w:r w:rsidR="00C4420D">
        <w:t xml:space="preserve"> and sending</w:t>
      </w:r>
      <w:r>
        <w:t xml:space="preserve"> burden estimates for </w:t>
      </w:r>
      <w:r w:rsidR="00C4420D">
        <w:t>SDS</w:t>
      </w:r>
      <w:r>
        <w:t xml:space="preserve">, NHTSA estimates that the total burden hours associated with this collection will be </w:t>
      </w:r>
      <w:r w:rsidR="00C4420D">
        <w:t>26</w:t>
      </w:r>
      <w:r w:rsidR="008B5C5B">
        <w:t>8</w:t>
      </w:r>
      <w:r w:rsidR="00C4420D">
        <w:t xml:space="preserve"> (24</w:t>
      </w:r>
      <w:r w:rsidR="008B5C5B">
        <w:t>8</w:t>
      </w:r>
      <w:r w:rsidR="00C4420D">
        <w:t xml:space="preserve"> + 20)</w:t>
      </w:r>
      <w:r>
        <w:t xml:space="preserve"> hours and total labor cost associated with the collection will be </w:t>
      </w:r>
      <w:r w:rsidRPr="00187E6C" w:rsidR="00377279">
        <w:rPr>
          <w:rFonts w:cs="Times New Roman"/>
          <w:szCs w:val="24"/>
        </w:rPr>
        <w:t>$</w:t>
      </w:r>
      <w:r w:rsidR="00A730B6">
        <w:rPr>
          <w:rFonts w:cs="Times New Roman"/>
          <w:szCs w:val="24"/>
        </w:rPr>
        <w:t>19,</w:t>
      </w:r>
      <w:r w:rsidR="004D481C">
        <w:rPr>
          <w:rFonts w:cs="Times New Roman"/>
          <w:szCs w:val="24"/>
        </w:rPr>
        <w:t>731</w:t>
      </w:r>
      <w:r w:rsidR="00594B18">
        <w:rPr>
          <w:rFonts w:cs="Times New Roman"/>
          <w:szCs w:val="24"/>
        </w:rPr>
        <w:t xml:space="preserve"> </w:t>
      </w:r>
      <w:r w:rsidRPr="00187E6C" w:rsidR="00377279">
        <w:rPr>
          <w:rFonts w:cs="Times New Roman"/>
          <w:szCs w:val="24"/>
        </w:rPr>
        <w:t>($</w:t>
      </w:r>
      <w:r w:rsidR="003F1892">
        <w:rPr>
          <w:rFonts w:cs="Times New Roman"/>
          <w:szCs w:val="24"/>
        </w:rPr>
        <w:t>636</w:t>
      </w:r>
      <w:r w:rsidR="001D69D7">
        <w:rPr>
          <w:rFonts w:cs="Times New Roman"/>
          <w:szCs w:val="24"/>
        </w:rPr>
        <w:t>.48</w:t>
      </w:r>
      <w:r w:rsidRPr="00187E6C" w:rsidR="00377279">
        <w:rPr>
          <w:rFonts w:cs="Times New Roman"/>
          <w:szCs w:val="24"/>
        </w:rPr>
        <w:t xml:space="preserve"> </w:t>
      </w:r>
      <w:r w:rsidR="00CB411C">
        <w:rPr>
          <w:rFonts w:cs="Times New Roman"/>
          <w:szCs w:val="24"/>
        </w:rPr>
        <w:t>×</w:t>
      </w:r>
      <w:r w:rsidRPr="00187E6C" w:rsidR="00377279">
        <w:rPr>
          <w:rFonts w:cs="Times New Roman"/>
          <w:szCs w:val="24"/>
        </w:rPr>
        <w:t xml:space="preserve"> </w:t>
      </w:r>
      <w:r w:rsidR="00BD6523">
        <w:rPr>
          <w:rFonts w:cs="Times New Roman"/>
          <w:szCs w:val="24"/>
        </w:rPr>
        <w:t>3</w:t>
      </w:r>
      <w:r w:rsidR="008B5C5B">
        <w:rPr>
          <w:rFonts w:cs="Times New Roman"/>
          <w:szCs w:val="24"/>
        </w:rPr>
        <w:t>1</w:t>
      </w:r>
      <w:r w:rsidR="00BD6523">
        <w:rPr>
          <w:rFonts w:cs="Times New Roman"/>
          <w:szCs w:val="24"/>
        </w:rPr>
        <w:t xml:space="preserve"> </w:t>
      </w:r>
      <w:r w:rsidR="00B60FEA">
        <w:rPr>
          <w:rFonts w:cs="Times New Roman"/>
          <w:szCs w:val="24"/>
        </w:rPr>
        <w:t>S</w:t>
      </w:r>
      <w:r w:rsidRPr="00187E6C" w:rsidR="00377279">
        <w:rPr>
          <w:rFonts w:cs="Times New Roman"/>
          <w:szCs w:val="24"/>
        </w:rPr>
        <w:t>tates) for copying and $</w:t>
      </w:r>
      <w:r w:rsidR="004D481C">
        <w:rPr>
          <w:rFonts w:cs="Times New Roman"/>
          <w:szCs w:val="24"/>
        </w:rPr>
        <w:t>703</w:t>
      </w:r>
      <w:r w:rsidRPr="00187E6C" w:rsidR="004D481C">
        <w:rPr>
          <w:rFonts w:cs="Times New Roman"/>
          <w:szCs w:val="24"/>
        </w:rPr>
        <w:t xml:space="preserve"> </w:t>
      </w:r>
      <w:r w:rsidRPr="00187E6C" w:rsidR="00377279">
        <w:rPr>
          <w:rFonts w:cs="Times New Roman"/>
          <w:szCs w:val="24"/>
        </w:rPr>
        <w:t>($</w:t>
      </w:r>
      <w:r w:rsidR="00DD7BCD">
        <w:rPr>
          <w:rFonts w:cs="Times New Roman"/>
          <w:szCs w:val="24"/>
        </w:rPr>
        <w:t>14</w:t>
      </w:r>
      <w:r w:rsidR="001D69D7">
        <w:rPr>
          <w:rFonts w:cs="Times New Roman"/>
          <w:szCs w:val="24"/>
        </w:rPr>
        <w:t>0.60</w:t>
      </w:r>
      <w:r w:rsidR="00022FE2">
        <w:rPr>
          <w:rFonts w:cs="Times New Roman"/>
          <w:szCs w:val="24"/>
        </w:rPr>
        <w:t xml:space="preserve"> </w:t>
      </w:r>
      <w:r w:rsidR="00CB411C">
        <w:rPr>
          <w:rFonts w:cs="Times New Roman"/>
          <w:szCs w:val="24"/>
        </w:rPr>
        <w:t>×</w:t>
      </w:r>
      <w:r w:rsidRPr="00187E6C" w:rsidR="00377279">
        <w:rPr>
          <w:rFonts w:cs="Times New Roman"/>
          <w:szCs w:val="24"/>
        </w:rPr>
        <w:t xml:space="preserve"> </w:t>
      </w:r>
      <w:r w:rsidR="00BD6523">
        <w:rPr>
          <w:rFonts w:cs="Times New Roman"/>
          <w:szCs w:val="24"/>
        </w:rPr>
        <w:t>5</w:t>
      </w:r>
      <w:r w:rsidRPr="00187E6C" w:rsidR="00377279">
        <w:rPr>
          <w:rFonts w:cs="Times New Roman"/>
          <w:szCs w:val="24"/>
        </w:rPr>
        <w:t xml:space="preserve"> </w:t>
      </w:r>
      <w:r w:rsidR="00B60FEA">
        <w:rPr>
          <w:rFonts w:cs="Times New Roman"/>
          <w:szCs w:val="24"/>
        </w:rPr>
        <w:t>S</w:t>
      </w:r>
      <w:r w:rsidRPr="00187E6C" w:rsidR="00377279">
        <w:rPr>
          <w:rFonts w:cs="Times New Roman"/>
          <w:szCs w:val="24"/>
        </w:rPr>
        <w:t xml:space="preserve">tates) for </w:t>
      </w:r>
      <w:r w:rsidRPr="00187E6C" w:rsidR="00F6108E">
        <w:rPr>
          <w:rFonts w:cs="Times New Roman"/>
          <w:szCs w:val="24"/>
        </w:rPr>
        <w:t>packing and sending</w:t>
      </w:r>
      <w:r w:rsidR="00022FE2">
        <w:rPr>
          <w:rFonts w:cs="Times New Roman"/>
          <w:szCs w:val="24"/>
        </w:rPr>
        <w:t>, for a total of</w:t>
      </w:r>
      <w:r w:rsidRPr="00187E6C" w:rsidR="00F6108E">
        <w:rPr>
          <w:rFonts w:cs="Times New Roman"/>
          <w:szCs w:val="24"/>
        </w:rPr>
        <w:t xml:space="preserve"> </w:t>
      </w:r>
      <w:r w:rsidR="001F50BD">
        <w:rPr>
          <w:rFonts w:cs="Times New Roman"/>
          <w:szCs w:val="24"/>
        </w:rPr>
        <w:t>$</w:t>
      </w:r>
      <w:r w:rsidR="00994425">
        <w:rPr>
          <w:rFonts w:cs="Times New Roman"/>
          <w:szCs w:val="24"/>
        </w:rPr>
        <w:t>20,434</w:t>
      </w:r>
      <w:r w:rsidR="00BD6523">
        <w:rPr>
          <w:rFonts w:cs="Times New Roman"/>
          <w:szCs w:val="24"/>
        </w:rPr>
        <w:t xml:space="preserve"> ($</w:t>
      </w:r>
      <w:r w:rsidR="00A730B6">
        <w:rPr>
          <w:rFonts w:cs="Times New Roman"/>
          <w:szCs w:val="24"/>
        </w:rPr>
        <w:t>19,</w:t>
      </w:r>
      <w:r w:rsidR="00994425">
        <w:rPr>
          <w:rFonts w:cs="Times New Roman"/>
          <w:szCs w:val="24"/>
        </w:rPr>
        <w:t xml:space="preserve">731 </w:t>
      </w:r>
      <w:r w:rsidR="00022FE2">
        <w:rPr>
          <w:rFonts w:cs="Times New Roman"/>
          <w:szCs w:val="24"/>
        </w:rPr>
        <w:t xml:space="preserve">+ </w:t>
      </w:r>
      <w:r w:rsidR="001F50BD">
        <w:rPr>
          <w:rFonts w:cs="Times New Roman"/>
          <w:szCs w:val="24"/>
        </w:rPr>
        <w:t>$</w:t>
      </w:r>
      <w:r w:rsidR="00994425">
        <w:rPr>
          <w:rFonts w:cs="Times New Roman"/>
          <w:szCs w:val="24"/>
        </w:rPr>
        <w:t>703</w:t>
      </w:r>
      <w:r w:rsidR="00BD6523">
        <w:rPr>
          <w:rFonts w:cs="Times New Roman"/>
          <w:szCs w:val="24"/>
        </w:rPr>
        <w:t>)</w:t>
      </w:r>
      <w:r w:rsidR="004B3A11">
        <w:rPr>
          <w:rFonts w:cs="Times New Roman"/>
          <w:szCs w:val="24"/>
        </w:rPr>
        <w:t xml:space="preserve"> for the SDS protocol</w:t>
      </w:r>
      <w:r w:rsidRPr="00187E6C" w:rsidR="00F6108E">
        <w:rPr>
          <w:rFonts w:cs="Times New Roman"/>
          <w:szCs w:val="24"/>
        </w:rPr>
        <w:t>.</w:t>
      </w:r>
    </w:p>
    <w:p w:rsidR="00970234" w:rsidP="00C4420D" w14:paraId="02DCFC17" w14:textId="77777777">
      <w:pPr>
        <w:tabs>
          <w:tab w:val="left" w:pos="-720"/>
          <w:tab w:val="left" w:pos="540"/>
        </w:tabs>
        <w:ind w:left="720"/>
        <w:rPr>
          <w:rFonts w:cs="Times New Roman"/>
          <w:szCs w:val="24"/>
        </w:rPr>
      </w:pPr>
    </w:p>
    <w:tbl>
      <w:tblPr>
        <w:tblStyle w:val="TableGrid"/>
        <w:tblW w:w="9350" w:type="dxa"/>
        <w:jc w:val="center"/>
        <w:tblLayout w:type="fixed"/>
        <w:tblLook w:val="04A0"/>
      </w:tblPr>
      <w:tblGrid>
        <w:gridCol w:w="1089"/>
        <w:gridCol w:w="1341"/>
        <w:gridCol w:w="1237"/>
        <w:gridCol w:w="1379"/>
        <w:gridCol w:w="948"/>
        <w:gridCol w:w="1007"/>
        <w:gridCol w:w="1359"/>
        <w:gridCol w:w="990"/>
      </w:tblGrid>
      <w:tr w14:paraId="0E277F07" w14:textId="77777777" w:rsidTr="00794EC7">
        <w:tblPrEx>
          <w:tblW w:w="9350" w:type="dxa"/>
          <w:jc w:val="center"/>
          <w:tblLayout w:type="fixed"/>
          <w:tblLook w:val="04A0"/>
        </w:tblPrEx>
        <w:trPr>
          <w:trHeight w:val="300"/>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74EE" w:rsidRPr="00794EC7" w:rsidP="00B624EF" w14:paraId="6450E329" w14:textId="673EF59E">
            <w:pPr>
              <w:tabs>
                <w:tab w:val="left" w:pos="-720"/>
                <w:tab w:val="left" w:pos="540"/>
              </w:tabs>
              <w:jc w:val="center"/>
              <w:rPr>
                <w:b/>
                <w:sz w:val="22"/>
              </w:rPr>
            </w:pPr>
            <w:r w:rsidRPr="00794EC7">
              <w:rPr>
                <w:b/>
                <w:sz w:val="22"/>
              </w:rPr>
              <w:t>SD</w:t>
            </w:r>
            <w:r w:rsidRPr="00794EC7" w:rsidR="00B16EC7">
              <w:rPr>
                <w:b/>
                <w:sz w:val="22"/>
              </w:rPr>
              <w:t>S</w:t>
            </w:r>
            <w:r w:rsidRPr="00794EC7">
              <w:rPr>
                <w:b/>
                <w:sz w:val="22"/>
              </w:rPr>
              <w:t xml:space="preserve"> Burden Estimate Summary</w:t>
            </w:r>
          </w:p>
        </w:tc>
      </w:tr>
      <w:tr w14:paraId="120412E9" w14:textId="77777777" w:rsidTr="51A6686D">
        <w:tblPrEx>
          <w:tblW w:w="9350" w:type="dxa"/>
          <w:jc w:val="center"/>
          <w:tblLayout w:type="fixed"/>
          <w:tblLook w:val="04A0"/>
        </w:tblPrEx>
        <w:trPr>
          <w:trHeight w:val="300"/>
          <w:jc w:val="center"/>
        </w:trPr>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6ED7" w:rsidRPr="00794EC7" w:rsidP="00B624EF" w14:paraId="1C40EEEF" w14:textId="77777777">
            <w:pPr>
              <w:tabs>
                <w:tab w:val="left" w:pos="-720"/>
                <w:tab w:val="left" w:pos="540"/>
              </w:tabs>
              <w:jc w:val="center"/>
              <w:rPr>
                <w:b/>
                <w:sz w:val="22"/>
              </w:rPr>
            </w:pPr>
            <w:r w:rsidRPr="00794EC7">
              <w:rPr>
                <w:b/>
                <w:sz w:val="22"/>
              </w:rPr>
              <w:t>Burden</w:t>
            </w:r>
            <w:r w:rsidRPr="00794EC7">
              <w:rPr>
                <w:b/>
                <w:sz w:val="22"/>
              </w:rPr>
              <w:br/>
              <w:t>Type</w:t>
            </w:r>
          </w:p>
        </w:tc>
        <w:tc>
          <w:tcPr>
            <w:tcW w:w="134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6ED7" w:rsidRPr="00794EC7" w:rsidP="00B624EF" w14:paraId="021B13EE" w14:textId="77777777">
            <w:pPr>
              <w:tabs>
                <w:tab w:val="left" w:pos="-720"/>
                <w:tab w:val="left" w:pos="540"/>
              </w:tabs>
              <w:jc w:val="center"/>
              <w:rPr>
                <w:b/>
                <w:sz w:val="22"/>
              </w:rPr>
            </w:pPr>
            <w:r w:rsidRPr="00794EC7">
              <w:rPr>
                <w:b/>
                <w:sz w:val="22"/>
              </w:rPr>
              <w:t>Respondents</w:t>
            </w:r>
          </w:p>
        </w:tc>
        <w:tc>
          <w:tcPr>
            <w:tcW w:w="1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6ED7" w:rsidRPr="00794EC7" w:rsidP="00B624EF" w14:paraId="63D8416A" w14:textId="77777777">
            <w:pPr>
              <w:tabs>
                <w:tab w:val="left" w:pos="-720"/>
                <w:tab w:val="left" w:pos="540"/>
              </w:tabs>
              <w:jc w:val="center"/>
              <w:rPr>
                <w:b/>
                <w:sz w:val="22"/>
              </w:rPr>
            </w:pPr>
            <w:r w:rsidRPr="00794EC7">
              <w:rPr>
                <w:b/>
                <w:sz w:val="22"/>
              </w:rPr>
              <w:t>Total Annual Responses</w:t>
            </w:r>
          </w:p>
        </w:tc>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6ED7" w:rsidRPr="00794EC7" w:rsidP="00B624EF" w14:paraId="7A5262F0" w14:textId="0C2BAC9E">
            <w:pPr>
              <w:tabs>
                <w:tab w:val="left" w:pos="-720"/>
                <w:tab w:val="left" w:pos="540"/>
              </w:tabs>
              <w:jc w:val="center"/>
              <w:rPr>
                <w:b/>
                <w:sz w:val="22"/>
              </w:rPr>
            </w:pPr>
            <w:r w:rsidRPr="00794EC7">
              <w:rPr>
                <w:b/>
                <w:sz w:val="22"/>
              </w:rPr>
              <w:t xml:space="preserve">Burden </w:t>
            </w:r>
            <w:r w:rsidRPr="00794EC7" w:rsidR="009424AB">
              <w:rPr>
                <w:b/>
                <w:sz w:val="22"/>
              </w:rPr>
              <w:t xml:space="preserve">Hours </w:t>
            </w:r>
            <w:r w:rsidRPr="00794EC7">
              <w:rPr>
                <w:b/>
                <w:sz w:val="22"/>
              </w:rPr>
              <w:t>Per Respondent</w:t>
            </w:r>
          </w:p>
        </w:tc>
        <w:tc>
          <w:tcPr>
            <w:tcW w:w="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6ED7" w:rsidRPr="00794EC7" w:rsidP="00B624EF" w14:paraId="45AA8374" w14:textId="77777777">
            <w:pPr>
              <w:tabs>
                <w:tab w:val="left" w:pos="-720"/>
                <w:tab w:val="left" w:pos="540"/>
              </w:tabs>
              <w:jc w:val="center"/>
              <w:rPr>
                <w:b/>
                <w:sz w:val="22"/>
              </w:rPr>
            </w:pPr>
            <w:r w:rsidRPr="00794EC7">
              <w:rPr>
                <w:b/>
                <w:sz w:val="22"/>
              </w:rPr>
              <w:t>Total Burden Hours</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6ED7" w:rsidRPr="00794EC7" w:rsidP="00B624EF" w14:paraId="3981D321" w14:textId="4DA62A05">
            <w:pPr>
              <w:tabs>
                <w:tab w:val="left" w:pos="-720"/>
                <w:tab w:val="left" w:pos="540"/>
              </w:tabs>
              <w:jc w:val="center"/>
              <w:rPr>
                <w:b/>
                <w:sz w:val="22"/>
              </w:rPr>
            </w:pPr>
            <w:r w:rsidRPr="00794EC7">
              <w:rPr>
                <w:b/>
                <w:sz w:val="22"/>
              </w:rPr>
              <w:t>Labor Cost Per Burden Hour</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6ED7" w:rsidRPr="00794EC7" w:rsidP="00B624EF" w14:paraId="448D7899" w14:textId="7FB4A10E">
            <w:pPr>
              <w:tabs>
                <w:tab w:val="left" w:pos="-720"/>
                <w:tab w:val="left" w:pos="540"/>
              </w:tabs>
              <w:jc w:val="center"/>
              <w:rPr>
                <w:b/>
                <w:sz w:val="22"/>
              </w:rPr>
            </w:pPr>
            <w:r w:rsidRPr="00794EC7">
              <w:rPr>
                <w:b/>
                <w:sz w:val="22"/>
              </w:rPr>
              <w:t>Labor Cost Per Respondent</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6ED7" w:rsidRPr="00794EC7" w:rsidP="00B624EF" w14:paraId="025856BC" w14:textId="77777777">
            <w:pPr>
              <w:tabs>
                <w:tab w:val="left" w:pos="-720"/>
                <w:tab w:val="left" w:pos="540"/>
              </w:tabs>
              <w:jc w:val="center"/>
              <w:rPr>
                <w:b/>
                <w:sz w:val="22"/>
              </w:rPr>
            </w:pPr>
            <w:r w:rsidRPr="00794EC7">
              <w:rPr>
                <w:b/>
                <w:sz w:val="22"/>
              </w:rPr>
              <w:t>Total Labor Cost</w:t>
            </w:r>
          </w:p>
        </w:tc>
      </w:tr>
      <w:tr w14:paraId="6378A88D" w14:textId="77777777" w:rsidTr="00794EC7">
        <w:tblPrEx>
          <w:tblW w:w="9350" w:type="dxa"/>
          <w:jc w:val="center"/>
          <w:tblLayout w:type="fixed"/>
          <w:tblLook w:val="04A0"/>
        </w:tblPrEx>
        <w:trPr>
          <w:trHeight w:val="300"/>
          <w:jc w:val="center"/>
        </w:trPr>
        <w:tc>
          <w:tcPr>
            <w:tcW w:w="1089" w:type="dxa"/>
            <w:tcBorders>
              <w:top w:val="single" w:sz="4" w:space="0" w:color="auto"/>
              <w:left w:val="single" w:sz="4" w:space="0" w:color="auto"/>
              <w:bottom w:val="single" w:sz="4" w:space="0" w:color="auto"/>
              <w:right w:val="single" w:sz="4" w:space="0" w:color="auto"/>
            </w:tcBorders>
          </w:tcPr>
          <w:p w:rsidR="00AD6ED7" w:rsidRPr="00F15550" w:rsidP="00B624EF" w14:paraId="4156395B" w14:textId="77777777">
            <w:pPr>
              <w:tabs>
                <w:tab w:val="left" w:pos="-720"/>
                <w:tab w:val="left" w:pos="540"/>
              </w:tabs>
              <w:jc w:val="center"/>
              <w:rPr>
                <w:sz w:val="22"/>
              </w:rPr>
            </w:pPr>
            <w:r w:rsidRPr="00F15550">
              <w:rPr>
                <w:sz w:val="22"/>
              </w:rPr>
              <w:t>SDS Copying</w:t>
            </w:r>
          </w:p>
        </w:tc>
        <w:tc>
          <w:tcPr>
            <w:tcW w:w="1341" w:type="dxa"/>
            <w:tcBorders>
              <w:top w:val="single" w:sz="4" w:space="0" w:color="auto"/>
              <w:left w:val="single" w:sz="4" w:space="0" w:color="auto"/>
              <w:bottom w:val="single" w:sz="4" w:space="0" w:color="auto"/>
              <w:right w:val="single" w:sz="4" w:space="0" w:color="auto"/>
            </w:tcBorders>
          </w:tcPr>
          <w:p w:rsidR="00AD6ED7" w:rsidRPr="00F15550" w:rsidP="00B624EF" w14:paraId="23E33832" w14:textId="77777777">
            <w:pPr>
              <w:tabs>
                <w:tab w:val="left" w:pos="-720"/>
                <w:tab w:val="left" w:pos="540"/>
              </w:tabs>
              <w:jc w:val="center"/>
              <w:rPr>
                <w:sz w:val="22"/>
              </w:rPr>
            </w:pPr>
            <w:r>
              <w:rPr>
                <w:sz w:val="22"/>
              </w:rPr>
              <w:t>31</w:t>
            </w:r>
          </w:p>
        </w:tc>
        <w:tc>
          <w:tcPr>
            <w:tcW w:w="1237" w:type="dxa"/>
            <w:tcBorders>
              <w:top w:val="single" w:sz="4" w:space="0" w:color="auto"/>
              <w:left w:val="single" w:sz="4" w:space="0" w:color="auto"/>
              <w:bottom w:val="single" w:sz="4" w:space="0" w:color="auto"/>
              <w:right w:val="single" w:sz="4" w:space="0" w:color="auto"/>
            </w:tcBorders>
          </w:tcPr>
          <w:p w:rsidR="00AD6ED7" w:rsidRPr="00F15550" w:rsidP="00B624EF" w14:paraId="5EEF8B5D" w14:textId="77777777">
            <w:pPr>
              <w:tabs>
                <w:tab w:val="left" w:pos="-720"/>
                <w:tab w:val="left" w:pos="540"/>
              </w:tabs>
              <w:jc w:val="center"/>
              <w:rPr>
                <w:sz w:val="22"/>
              </w:rPr>
            </w:pPr>
            <w:r>
              <w:rPr>
                <w:sz w:val="22"/>
              </w:rPr>
              <w:t>31</w:t>
            </w:r>
          </w:p>
        </w:tc>
        <w:tc>
          <w:tcPr>
            <w:tcW w:w="1379" w:type="dxa"/>
            <w:tcBorders>
              <w:top w:val="single" w:sz="4" w:space="0" w:color="auto"/>
              <w:left w:val="single" w:sz="4" w:space="0" w:color="auto"/>
              <w:bottom w:val="single" w:sz="4" w:space="0" w:color="auto"/>
              <w:right w:val="single" w:sz="4" w:space="0" w:color="auto"/>
            </w:tcBorders>
          </w:tcPr>
          <w:p w:rsidR="00AD6ED7" w:rsidRPr="00F15550" w:rsidP="00B624EF" w14:paraId="26C24747" w14:textId="77777777">
            <w:pPr>
              <w:tabs>
                <w:tab w:val="left" w:pos="-720"/>
                <w:tab w:val="left" w:pos="540"/>
              </w:tabs>
              <w:jc w:val="center"/>
              <w:rPr>
                <w:sz w:val="22"/>
              </w:rPr>
            </w:pPr>
            <w:r w:rsidRPr="00F15550">
              <w:rPr>
                <w:sz w:val="22"/>
              </w:rPr>
              <w:t>8</w:t>
            </w:r>
          </w:p>
        </w:tc>
        <w:tc>
          <w:tcPr>
            <w:tcW w:w="948" w:type="dxa"/>
            <w:tcBorders>
              <w:top w:val="single" w:sz="4" w:space="0" w:color="auto"/>
              <w:left w:val="single" w:sz="4" w:space="0" w:color="auto"/>
              <w:bottom w:val="single" w:sz="4" w:space="0" w:color="auto"/>
              <w:right w:val="single" w:sz="4" w:space="0" w:color="auto"/>
            </w:tcBorders>
          </w:tcPr>
          <w:p w:rsidR="00AD6ED7" w:rsidRPr="00F15550" w:rsidP="00B624EF" w14:paraId="06353621" w14:textId="77777777">
            <w:pPr>
              <w:tabs>
                <w:tab w:val="left" w:pos="-720"/>
                <w:tab w:val="left" w:pos="540"/>
              </w:tabs>
              <w:jc w:val="center"/>
              <w:rPr>
                <w:sz w:val="22"/>
              </w:rPr>
            </w:pPr>
            <w:r w:rsidRPr="00F15550">
              <w:rPr>
                <w:sz w:val="22"/>
              </w:rPr>
              <w:t>2</w:t>
            </w:r>
            <w:r>
              <w:rPr>
                <w:sz w:val="22"/>
              </w:rPr>
              <w:t>48</w:t>
            </w:r>
          </w:p>
        </w:tc>
        <w:tc>
          <w:tcPr>
            <w:tcW w:w="1007" w:type="dxa"/>
            <w:tcBorders>
              <w:top w:val="single" w:sz="4" w:space="0" w:color="auto"/>
              <w:left w:val="single" w:sz="4" w:space="0" w:color="auto"/>
              <w:bottom w:val="single" w:sz="4" w:space="0" w:color="auto"/>
              <w:right w:val="single" w:sz="4" w:space="0" w:color="auto"/>
            </w:tcBorders>
          </w:tcPr>
          <w:p w:rsidR="00AD6ED7" w:rsidRPr="00F15550" w:rsidP="00B624EF" w14:paraId="426A4078" w14:textId="3AC1F005">
            <w:pPr>
              <w:tabs>
                <w:tab w:val="left" w:pos="-720"/>
                <w:tab w:val="left" w:pos="540"/>
                <w:tab w:val="center" w:pos="604"/>
              </w:tabs>
              <w:jc w:val="center"/>
              <w:rPr>
                <w:sz w:val="22"/>
              </w:rPr>
            </w:pPr>
            <w:r w:rsidRPr="00F15550">
              <w:rPr>
                <w:sz w:val="22"/>
              </w:rPr>
              <w:t>$</w:t>
            </w:r>
            <w:r w:rsidR="00840B2F">
              <w:rPr>
                <w:sz w:val="22"/>
              </w:rPr>
              <w:t>79.56</w:t>
            </w:r>
          </w:p>
        </w:tc>
        <w:tc>
          <w:tcPr>
            <w:tcW w:w="1359" w:type="dxa"/>
            <w:tcBorders>
              <w:top w:val="single" w:sz="4" w:space="0" w:color="auto"/>
              <w:left w:val="single" w:sz="4" w:space="0" w:color="auto"/>
              <w:bottom w:val="single" w:sz="4" w:space="0" w:color="auto"/>
              <w:right w:val="single" w:sz="4" w:space="0" w:color="auto"/>
            </w:tcBorders>
          </w:tcPr>
          <w:p w:rsidR="00AD6ED7" w:rsidRPr="00F15550" w:rsidP="00B624EF" w14:paraId="01380314" w14:textId="3D21B1C1">
            <w:pPr>
              <w:tabs>
                <w:tab w:val="left" w:pos="-720"/>
                <w:tab w:val="left" w:pos="540"/>
              </w:tabs>
              <w:jc w:val="center"/>
              <w:rPr>
                <w:sz w:val="22"/>
              </w:rPr>
            </w:pPr>
            <w:r w:rsidRPr="00F15550">
              <w:rPr>
                <w:sz w:val="22"/>
              </w:rPr>
              <w:t>$</w:t>
            </w:r>
            <w:r w:rsidR="00F6512E">
              <w:rPr>
                <w:sz w:val="22"/>
              </w:rPr>
              <w:t>636.48</w:t>
            </w:r>
          </w:p>
        </w:tc>
        <w:tc>
          <w:tcPr>
            <w:tcW w:w="990" w:type="dxa"/>
            <w:tcBorders>
              <w:top w:val="single" w:sz="4" w:space="0" w:color="auto"/>
              <w:left w:val="single" w:sz="4" w:space="0" w:color="auto"/>
              <w:bottom w:val="single" w:sz="4" w:space="0" w:color="auto"/>
              <w:right w:val="single" w:sz="4" w:space="0" w:color="auto"/>
            </w:tcBorders>
          </w:tcPr>
          <w:p w:rsidR="00AD6ED7" w:rsidRPr="006A440E" w:rsidP="00B624EF" w14:paraId="521DFCD0" w14:textId="467DA662">
            <w:pPr>
              <w:tabs>
                <w:tab w:val="left" w:pos="-720"/>
                <w:tab w:val="left" w:pos="540"/>
              </w:tabs>
              <w:jc w:val="center"/>
              <w:rPr>
                <w:b/>
                <w:sz w:val="22"/>
              </w:rPr>
            </w:pPr>
            <w:r w:rsidRPr="00F15550">
              <w:rPr>
                <w:b/>
                <w:sz w:val="22"/>
              </w:rPr>
              <w:t>$</w:t>
            </w:r>
            <w:r>
              <w:rPr>
                <w:b/>
                <w:sz w:val="22"/>
              </w:rPr>
              <w:t>19,</w:t>
            </w:r>
            <w:r w:rsidR="00ED6DF7">
              <w:rPr>
                <w:b/>
                <w:sz w:val="22"/>
              </w:rPr>
              <w:t>731</w:t>
            </w:r>
          </w:p>
        </w:tc>
      </w:tr>
      <w:tr w14:paraId="623E21FB" w14:textId="77777777" w:rsidTr="00794EC7">
        <w:tblPrEx>
          <w:tblW w:w="9350" w:type="dxa"/>
          <w:jc w:val="center"/>
          <w:tblLayout w:type="fixed"/>
          <w:tblLook w:val="04A0"/>
        </w:tblPrEx>
        <w:trPr>
          <w:trHeight w:val="300"/>
          <w:jc w:val="center"/>
        </w:trPr>
        <w:tc>
          <w:tcPr>
            <w:tcW w:w="1089" w:type="dxa"/>
            <w:tcBorders>
              <w:top w:val="single" w:sz="4" w:space="0" w:color="auto"/>
              <w:left w:val="single" w:sz="4" w:space="0" w:color="auto"/>
              <w:bottom w:val="single" w:sz="4" w:space="0" w:color="auto"/>
              <w:right w:val="single" w:sz="4" w:space="0" w:color="auto"/>
            </w:tcBorders>
          </w:tcPr>
          <w:p w:rsidR="00AD6ED7" w:rsidRPr="00F15550" w:rsidP="00B624EF" w14:paraId="26E72621" w14:textId="77777777">
            <w:pPr>
              <w:tabs>
                <w:tab w:val="left" w:pos="-720"/>
                <w:tab w:val="left" w:pos="540"/>
              </w:tabs>
              <w:jc w:val="center"/>
              <w:rPr>
                <w:sz w:val="22"/>
              </w:rPr>
            </w:pPr>
            <w:r w:rsidRPr="00F15550">
              <w:rPr>
                <w:sz w:val="22"/>
              </w:rPr>
              <w:t>SDS Packing and sending</w:t>
            </w:r>
          </w:p>
        </w:tc>
        <w:tc>
          <w:tcPr>
            <w:tcW w:w="1341" w:type="dxa"/>
            <w:tcBorders>
              <w:top w:val="single" w:sz="4" w:space="0" w:color="auto"/>
              <w:left w:val="single" w:sz="4" w:space="0" w:color="auto"/>
              <w:bottom w:val="single" w:sz="4" w:space="0" w:color="auto"/>
              <w:right w:val="single" w:sz="4" w:space="0" w:color="auto"/>
            </w:tcBorders>
          </w:tcPr>
          <w:p w:rsidR="00AD6ED7" w:rsidRPr="00F15550" w:rsidP="00B624EF" w14:paraId="0CAE91F7" w14:textId="77777777">
            <w:pPr>
              <w:tabs>
                <w:tab w:val="left" w:pos="-720"/>
                <w:tab w:val="left" w:pos="540"/>
              </w:tabs>
              <w:jc w:val="center"/>
              <w:rPr>
                <w:sz w:val="22"/>
              </w:rPr>
            </w:pPr>
            <w:r w:rsidRPr="00F15550">
              <w:rPr>
                <w:sz w:val="22"/>
              </w:rPr>
              <w:t>5</w:t>
            </w:r>
          </w:p>
        </w:tc>
        <w:tc>
          <w:tcPr>
            <w:tcW w:w="1237" w:type="dxa"/>
            <w:tcBorders>
              <w:top w:val="single" w:sz="4" w:space="0" w:color="auto"/>
              <w:left w:val="single" w:sz="4" w:space="0" w:color="auto"/>
              <w:bottom w:val="single" w:sz="4" w:space="0" w:color="auto"/>
              <w:right w:val="single" w:sz="4" w:space="0" w:color="auto"/>
            </w:tcBorders>
          </w:tcPr>
          <w:p w:rsidR="00AD6ED7" w:rsidRPr="00F15550" w:rsidP="00B624EF" w14:paraId="20225945" w14:textId="77777777">
            <w:pPr>
              <w:tabs>
                <w:tab w:val="left" w:pos="-720"/>
                <w:tab w:val="left" w:pos="540"/>
              </w:tabs>
              <w:jc w:val="center"/>
              <w:rPr>
                <w:sz w:val="22"/>
              </w:rPr>
            </w:pPr>
          </w:p>
        </w:tc>
        <w:tc>
          <w:tcPr>
            <w:tcW w:w="1379" w:type="dxa"/>
            <w:tcBorders>
              <w:top w:val="single" w:sz="4" w:space="0" w:color="auto"/>
              <w:left w:val="single" w:sz="4" w:space="0" w:color="auto"/>
              <w:bottom w:val="single" w:sz="4" w:space="0" w:color="auto"/>
              <w:right w:val="single" w:sz="4" w:space="0" w:color="auto"/>
            </w:tcBorders>
          </w:tcPr>
          <w:p w:rsidR="00AD6ED7" w:rsidRPr="00F15550" w:rsidP="00B624EF" w14:paraId="60C769CE" w14:textId="77777777">
            <w:pPr>
              <w:tabs>
                <w:tab w:val="left" w:pos="-720"/>
                <w:tab w:val="left" w:pos="540"/>
              </w:tabs>
              <w:jc w:val="center"/>
              <w:rPr>
                <w:sz w:val="22"/>
              </w:rPr>
            </w:pPr>
            <w:r w:rsidRPr="00F15550">
              <w:rPr>
                <w:sz w:val="22"/>
              </w:rPr>
              <w:t>4</w:t>
            </w:r>
          </w:p>
        </w:tc>
        <w:tc>
          <w:tcPr>
            <w:tcW w:w="948" w:type="dxa"/>
            <w:tcBorders>
              <w:top w:val="single" w:sz="4" w:space="0" w:color="auto"/>
              <w:left w:val="single" w:sz="4" w:space="0" w:color="auto"/>
              <w:bottom w:val="single" w:sz="4" w:space="0" w:color="auto"/>
              <w:right w:val="single" w:sz="4" w:space="0" w:color="auto"/>
            </w:tcBorders>
          </w:tcPr>
          <w:p w:rsidR="00AD6ED7" w:rsidRPr="00F15550" w:rsidP="00B624EF" w14:paraId="5D32F773" w14:textId="77777777">
            <w:pPr>
              <w:tabs>
                <w:tab w:val="left" w:pos="-720"/>
                <w:tab w:val="left" w:pos="540"/>
              </w:tabs>
              <w:jc w:val="center"/>
              <w:rPr>
                <w:sz w:val="22"/>
              </w:rPr>
            </w:pPr>
            <w:r w:rsidRPr="00F15550">
              <w:rPr>
                <w:sz w:val="22"/>
              </w:rPr>
              <w:t>20</w:t>
            </w:r>
          </w:p>
        </w:tc>
        <w:tc>
          <w:tcPr>
            <w:tcW w:w="1007" w:type="dxa"/>
            <w:tcBorders>
              <w:top w:val="single" w:sz="4" w:space="0" w:color="auto"/>
              <w:left w:val="single" w:sz="4" w:space="0" w:color="auto"/>
              <w:bottom w:val="single" w:sz="4" w:space="0" w:color="auto"/>
              <w:right w:val="single" w:sz="4" w:space="0" w:color="auto"/>
            </w:tcBorders>
          </w:tcPr>
          <w:p w:rsidR="00AD6ED7" w:rsidRPr="00F15550" w:rsidP="00B624EF" w14:paraId="074BDB09" w14:textId="5D64C861">
            <w:pPr>
              <w:tabs>
                <w:tab w:val="left" w:pos="-720"/>
                <w:tab w:val="left" w:pos="540"/>
                <w:tab w:val="center" w:pos="604"/>
              </w:tabs>
              <w:jc w:val="center"/>
              <w:rPr>
                <w:sz w:val="22"/>
              </w:rPr>
            </w:pPr>
            <w:r w:rsidRPr="00F15550">
              <w:rPr>
                <w:sz w:val="22"/>
              </w:rPr>
              <w:t>$</w:t>
            </w:r>
            <w:r w:rsidR="00840B2F">
              <w:rPr>
                <w:sz w:val="22"/>
              </w:rPr>
              <w:t>35.15</w:t>
            </w:r>
          </w:p>
        </w:tc>
        <w:tc>
          <w:tcPr>
            <w:tcW w:w="1359" w:type="dxa"/>
            <w:tcBorders>
              <w:top w:val="single" w:sz="4" w:space="0" w:color="auto"/>
              <w:left w:val="single" w:sz="4" w:space="0" w:color="auto"/>
              <w:bottom w:val="single" w:sz="4" w:space="0" w:color="auto"/>
              <w:right w:val="single" w:sz="4" w:space="0" w:color="auto"/>
            </w:tcBorders>
          </w:tcPr>
          <w:p w:rsidR="00AD6ED7" w:rsidRPr="00F15550" w:rsidP="00B624EF" w14:paraId="041E9D19" w14:textId="7E6815B7">
            <w:pPr>
              <w:tabs>
                <w:tab w:val="left" w:pos="-720"/>
                <w:tab w:val="left" w:pos="540"/>
              </w:tabs>
              <w:jc w:val="center"/>
              <w:rPr>
                <w:sz w:val="22"/>
              </w:rPr>
            </w:pPr>
            <w:r w:rsidRPr="00F15550">
              <w:rPr>
                <w:sz w:val="22"/>
              </w:rPr>
              <w:t>$</w:t>
            </w:r>
            <w:r w:rsidR="00F6512E">
              <w:rPr>
                <w:sz w:val="22"/>
              </w:rPr>
              <w:t>140.60</w:t>
            </w:r>
          </w:p>
        </w:tc>
        <w:tc>
          <w:tcPr>
            <w:tcW w:w="990" w:type="dxa"/>
            <w:tcBorders>
              <w:top w:val="single" w:sz="4" w:space="0" w:color="auto"/>
              <w:left w:val="single" w:sz="4" w:space="0" w:color="auto"/>
              <w:bottom w:val="single" w:sz="4" w:space="0" w:color="auto"/>
              <w:right w:val="single" w:sz="4" w:space="0" w:color="auto"/>
            </w:tcBorders>
          </w:tcPr>
          <w:p w:rsidR="00AD6ED7" w:rsidRPr="006A440E" w:rsidP="00B624EF" w14:paraId="5A4D4ADF" w14:textId="0775963C">
            <w:pPr>
              <w:tabs>
                <w:tab w:val="left" w:pos="-720"/>
                <w:tab w:val="left" w:pos="540"/>
              </w:tabs>
              <w:jc w:val="center"/>
              <w:rPr>
                <w:b/>
                <w:sz w:val="22"/>
              </w:rPr>
            </w:pPr>
            <w:r w:rsidRPr="00F15550">
              <w:rPr>
                <w:b/>
                <w:sz w:val="22"/>
              </w:rPr>
              <w:t>$</w:t>
            </w:r>
            <w:r w:rsidR="000845FA">
              <w:rPr>
                <w:b/>
                <w:sz w:val="22"/>
              </w:rPr>
              <w:t>703</w:t>
            </w:r>
          </w:p>
        </w:tc>
      </w:tr>
      <w:tr w14:paraId="0947BE9A" w14:textId="77777777" w:rsidTr="51A6686D">
        <w:tblPrEx>
          <w:tblW w:w="9350" w:type="dxa"/>
          <w:jc w:val="center"/>
          <w:tblLayout w:type="fixed"/>
          <w:tblLook w:val="04A0"/>
        </w:tblPrEx>
        <w:trPr>
          <w:trHeight w:val="300"/>
          <w:jc w:val="center"/>
        </w:trPr>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6ED7" w:rsidRPr="00794EC7" w:rsidP="00B624EF" w14:paraId="3DE49462" w14:textId="025F7350">
            <w:pPr>
              <w:tabs>
                <w:tab w:val="left" w:pos="-720"/>
                <w:tab w:val="left" w:pos="540"/>
              </w:tabs>
              <w:jc w:val="center"/>
              <w:rPr>
                <w:b/>
                <w:sz w:val="22"/>
              </w:rPr>
            </w:pPr>
            <w:r w:rsidRPr="00794EC7">
              <w:rPr>
                <w:b/>
                <w:sz w:val="22"/>
              </w:rPr>
              <w:t>Total</w:t>
            </w:r>
          </w:p>
        </w:tc>
        <w:tc>
          <w:tcPr>
            <w:tcW w:w="13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6ED7" w:rsidRPr="00794EC7" w:rsidP="00B624EF" w14:paraId="051D370B" w14:textId="77777777">
            <w:pPr>
              <w:tabs>
                <w:tab w:val="left" w:pos="-720"/>
                <w:tab w:val="left" w:pos="540"/>
              </w:tabs>
              <w:jc w:val="center"/>
              <w:rPr>
                <w:b/>
                <w:sz w:val="22"/>
              </w:rPr>
            </w:pPr>
          </w:p>
        </w:tc>
        <w:tc>
          <w:tcPr>
            <w:tcW w:w="1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6ED7" w:rsidRPr="00794EC7" w:rsidP="00B624EF" w14:paraId="4CD54BDB" w14:textId="59798538">
            <w:pPr>
              <w:tabs>
                <w:tab w:val="left" w:pos="-720"/>
                <w:tab w:val="left" w:pos="540"/>
              </w:tabs>
              <w:jc w:val="center"/>
              <w:rPr>
                <w:b/>
                <w:sz w:val="22"/>
              </w:rPr>
            </w:pPr>
            <w:r w:rsidRPr="00794EC7">
              <w:rPr>
                <w:b/>
                <w:sz w:val="22"/>
              </w:rPr>
              <w:t>31</w:t>
            </w:r>
          </w:p>
        </w:tc>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6ED7" w:rsidRPr="00794EC7" w:rsidP="00B624EF" w14:paraId="2DCBE681" w14:textId="77777777">
            <w:pPr>
              <w:tabs>
                <w:tab w:val="left" w:pos="-720"/>
                <w:tab w:val="left" w:pos="540"/>
              </w:tabs>
              <w:jc w:val="center"/>
              <w:rPr>
                <w:b/>
                <w:sz w:val="22"/>
              </w:rPr>
            </w:pPr>
          </w:p>
        </w:tc>
        <w:tc>
          <w:tcPr>
            <w:tcW w:w="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6ED7" w:rsidRPr="00794EC7" w:rsidP="00B624EF" w14:paraId="0256A375" w14:textId="27656415">
            <w:pPr>
              <w:tabs>
                <w:tab w:val="left" w:pos="-720"/>
                <w:tab w:val="left" w:pos="540"/>
              </w:tabs>
              <w:jc w:val="center"/>
              <w:rPr>
                <w:b/>
                <w:sz w:val="22"/>
              </w:rPr>
            </w:pPr>
            <w:r w:rsidRPr="00794EC7">
              <w:rPr>
                <w:b/>
                <w:sz w:val="22"/>
              </w:rPr>
              <w:t>268</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6ED7" w:rsidRPr="00F15550" w:rsidP="00B624EF" w14:paraId="50C962A5" w14:textId="77777777">
            <w:pPr>
              <w:tabs>
                <w:tab w:val="left" w:pos="-720"/>
                <w:tab w:val="left" w:pos="540"/>
              </w:tabs>
              <w:jc w:val="center"/>
              <w:rPr>
                <w:sz w:val="22"/>
              </w:rPr>
            </w:pP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D6ED7" w:rsidRPr="00F15550" w:rsidP="00B624EF" w14:paraId="58DA350D" w14:textId="77777777">
            <w:pPr>
              <w:tabs>
                <w:tab w:val="left" w:pos="-720"/>
                <w:tab w:val="left" w:pos="540"/>
              </w:tabs>
              <w:jc w:val="center"/>
              <w:rPr>
                <w:sz w:val="22"/>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D6ED7" w:rsidRPr="006A440E" w:rsidP="00B624EF" w14:paraId="46320DC9" w14:textId="64CF6DDA">
            <w:pPr>
              <w:tabs>
                <w:tab w:val="left" w:pos="-720"/>
                <w:tab w:val="left" w:pos="540"/>
              </w:tabs>
              <w:jc w:val="center"/>
              <w:rPr>
                <w:b/>
                <w:sz w:val="22"/>
              </w:rPr>
            </w:pPr>
            <w:r>
              <w:rPr>
                <w:b/>
                <w:sz w:val="22"/>
              </w:rPr>
              <w:t>$</w:t>
            </w:r>
            <w:r w:rsidR="00ED6DF7">
              <w:rPr>
                <w:b/>
                <w:sz w:val="22"/>
              </w:rPr>
              <w:t>20,434</w:t>
            </w:r>
          </w:p>
        </w:tc>
      </w:tr>
    </w:tbl>
    <w:p w:rsidR="00AD6ED7" w:rsidRPr="00187E6C" w:rsidP="00C4420D" w14:paraId="71B9D854" w14:textId="77777777">
      <w:pPr>
        <w:tabs>
          <w:tab w:val="left" w:pos="-720"/>
          <w:tab w:val="left" w:pos="540"/>
        </w:tabs>
        <w:ind w:left="720"/>
        <w:rPr>
          <w:rFonts w:eastAsia="Times New Roman" w:cs="Times New Roman"/>
          <w:bCs/>
          <w:iCs/>
          <w:szCs w:val="24"/>
        </w:rPr>
      </w:pPr>
    </w:p>
    <w:p w:rsidR="00093216" w:rsidRPr="00420DB4" w:rsidP="005175C4" w14:paraId="5A2CBC5E" w14:textId="4F22220E">
      <w:pPr>
        <w:pStyle w:val="Heading3"/>
      </w:pPr>
      <w:r>
        <w:t xml:space="preserve">States using the </w:t>
      </w:r>
      <w:r w:rsidRPr="00420DB4">
        <w:t>EDT Protocol</w:t>
      </w:r>
    </w:p>
    <w:p w:rsidR="005E60DA" w:rsidP="00BA7F9F" w14:paraId="5FA6F4DA" w14:textId="0BC7EA8E">
      <w:pPr>
        <w:tabs>
          <w:tab w:val="left" w:pos="-720"/>
          <w:tab w:val="left" w:pos="540"/>
        </w:tabs>
        <w:ind w:left="720"/>
      </w:pPr>
      <w:bookmarkStart w:id="31" w:name="_Hlk71282223"/>
      <w:bookmarkEnd w:id="29"/>
      <w:r>
        <w:t xml:space="preserve">Due to the different requirements </w:t>
      </w:r>
      <w:r w:rsidR="003C7091">
        <w:t xml:space="preserve">including data standardization and </w:t>
      </w:r>
      <w:r w:rsidR="00B24C93">
        <w:t>alignment to MMUCC</w:t>
      </w:r>
      <w:r w:rsidR="003C7091">
        <w:t xml:space="preserve"> </w:t>
      </w:r>
      <w:r>
        <w:t xml:space="preserve">for SEDC and non-SEDC State, the </w:t>
      </w:r>
      <w:r w:rsidR="003C7091">
        <w:t>cost estimates for these two group</w:t>
      </w:r>
      <w:r w:rsidR="007F5193">
        <w:t>s</w:t>
      </w:r>
      <w:r w:rsidR="003C7091">
        <w:t xml:space="preserve"> under EDT protocol will be different</w:t>
      </w:r>
      <w:r w:rsidR="009E49CB">
        <w:t xml:space="preserve"> as described below</w:t>
      </w:r>
      <w:r w:rsidR="003C7091">
        <w:t xml:space="preserve">. </w:t>
      </w:r>
    </w:p>
    <w:p w:rsidR="005E60DA" w:rsidRPr="005175C4" w:rsidP="005175C4" w14:paraId="2A4518A5" w14:textId="68435C5C">
      <w:pPr>
        <w:pStyle w:val="Heading4"/>
      </w:pPr>
      <w:r w:rsidRPr="00897842">
        <w:t>Non-</w:t>
      </w:r>
      <w:r w:rsidR="003431DD">
        <w:t>SEDC</w:t>
      </w:r>
      <w:r w:rsidRPr="00897842">
        <w:t xml:space="preserve"> States</w:t>
      </w:r>
      <w:r w:rsidRPr="00897842" w:rsidR="00A23407">
        <w:t xml:space="preserve"> using EDT Protocol</w:t>
      </w:r>
    </w:p>
    <w:p w:rsidR="00207992" w:rsidP="005663B7" w14:paraId="097CB806" w14:textId="6E335A5C">
      <w:pPr>
        <w:tabs>
          <w:tab w:val="left" w:pos="-720"/>
          <w:tab w:val="left" w:pos="540"/>
        </w:tabs>
        <w:ind w:left="720"/>
      </w:pPr>
      <w:r>
        <w:t xml:space="preserve">The </w:t>
      </w:r>
      <w:r w:rsidR="00070B46">
        <w:t>non-</w:t>
      </w:r>
      <w:r w:rsidR="003431DD">
        <w:t>SEDC</w:t>
      </w:r>
      <w:r w:rsidR="00070B46">
        <w:t xml:space="preserve"> </w:t>
      </w:r>
      <w:r w:rsidR="00F160A8">
        <w:t xml:space="preserve">States using </w:t>
      </w:r>
      <w:r w:rsidR="2783B1D3">
        <w:t xml:space="preserve">the </w:t>
      </w:r>
      <w:r w:rsidR="003C7E1D">
        <w:t xml:space="preserve">EDT </w:t>
      </w:r>
      <w:r w:rsidR="004B3A11">
        <w:t xml:space="preserve">protocol </w:t>
      </w:r>
      <w:r>
        <w:t xml:space="preserve">burden </w:t>
      </w:r>
      <w:r w:rsidR="003C7E1D">
        <w:t>hour estimate</w:t>
      </w:r>
      <w:r>
        <w:t xml:space="preserve"> is based on </w:t>
      </w:r>
      <w:r w:rsidR="00D041D1">
        <w:t xml:space="preserve">the </w:t>
      </w:r>
      <w:r>
        <w:t xml:space="preserve">level of effort </w:t>
      </w:r>
      <w:r w:rsidR="00D041D1">
        <w:t>reported</w:t>
      </w:r>
      <w:r>
        <w:t xml:space="preserve"> by the</w:t>
      </w:r>
      <w:r w:rsidR="00160760">
        <w:t xml:space="preserve"> </w:t>
      </w:r>
      <w:r>
        <w:t xml:space="preserve">States that have fully implemented </w:t>
      </w:r>
      <w:r w:rsidR="003F5F62">
        <w:t>EDT</w:t>
      </w:r>
      <w:r>
        <w:t xml:space="preserve">.  NHTSA estimates that in the next three years, there will </w:t>
      </w:r>
      <w:r w:rsidR="129763FF">
        <w:t>not</w:t>
      </w:r>
      <w:r w:rsidR="004C0F9A">
        <w:t xml:space="preserve"> be any</w:t>
      </w:r>
      <w:r>
        <w:t xml:space="preserve"> new States joining the </w:t>
      </w:r>
      <w:r w:rsidR="008C09CF">
        <w:t>twenty (</w:t>
      </w:r>
      <w:r w:rsidR="004C0F9A">
        <w:t>20</w:t>
      </w:r>
      <w:r w:rsidR="008C09CF">
        <w:t>)</w:t>
      </w:r>
      <w:r w:rsidR="004C0F9A">
        <w:t xml:space="preserve"> </w:t>
      </w:r>
      <w:r w:rsidR="00110000">
        <w:t xml:space="preserve">States already participating in </w:t>
      </w:r>
      <w:r w:rsidR="15D1D051">
        <w:t xml:space="preserve">the </w:t>
      </w:r>
      <w:r>
        <w:t>SDT program</w:t>
      </w:r>
      <w:r w:rsidR="003C7E1D">
        <w:t xml:space="preserve"> using the EDT protocol</w:t>
      </w:r>
      <w:r w:rsidR="004D2CEE">
        <w:t>.</w:t>
      </w:r>
      <w:r>
        <w:t xml:space="preserve">  </w:t>
      </w:r>
      <w:bookmarkEnd w:id="31"/>
      <w:r w:rsidR="001D1847">
        <w:t>Instead, NHTSA believes</w:t>
      </w:r>
      <w:r w:rsidRPr="7B1E8D90" w:rsidR="002E73D3">
        <w:rPr>
          <w:rFonts w:eastAsia="Times New Roman" w:cs="Times New Roman"/>
        </w:rPr>
        <w:t xml:space="preserve"> new State</w:t>
      </w:r>
      <w:r w:rsidR="001D1847">
        <w:rPr>
          <w:rFonts w:eastAsia="Times New Roman" w:cs="Times New Roman"/>
        </w:rPr>
        <w:t>s</w:t>
      </w:r>
      <w:r w:rsidRPr="7B1E8D90" w:rsidR="002E73D3">
        <w:rPr>
          <w:rFonts w:eastAsia="Times New Roman" w:cs="Times New Roman"/>
        </w:rPr>
        <w:t xml:space="preserve"> will participate in EDT </w:t>
      </w:r>
      <w:r w:rsidR="001D1847">
        <w:rPr>
          <w:rFonts w:eastAsia="Times New Roman" w:cs="Times New Roman"/>
        </w:rPr>
        <w:t xml:space="preserve">through </w:t>
      </w:r>
      <w:r w:rsidRPr="7B1E8D90" w:rsidR="215954F6">
        <w:rPr>
          <w:rFonts w:eastAsia="Times New Roman" w:cs="Times New Roman"/>
        </w:rPr>
        <w:t xml:space="preserve">the </w:t>
      </w:r>
      <w:r w:rsidRPr="7B1E8D90" w:rsidR="003431DD">
        <w:rPr>
          <w:rFonts w:eastAsia="Times New Roman" w:cs="Times New Roman"/>
        </w:rPr>
        <w:t>SEDC</w:t>
      </w:r>
      <w:r w:rsidRPr="7B1E8D90" w:rsidR="002E73D3">
        <w:rPr>
          <w:rFonts w:eastAsia="Times New Roman" w:cs="Times New Roman"/>
        </w:rPr>
        <w:t xml:space="preserve"> grant</w:t>
      </w:r>
      <w:r w:rsidRPr="7B1E8D90" w:rsidR="0057786E">
        <w:rPr>
          <w:rFonts w:eastAsia="Times New Roman" w:cs="Times New Roman"/>
        </w:rPr>
        <w:t xml:space="preserve"> </w:t>
      </w:r>
      <w:r w:rsidR="001D1847">
        <w:rPr>
          <w:rFonts w:eastAsia="Times New Roman" w:cs="Times New Roman"/>
        </w:rPr>
        <w:t>program</w:t>
      </w:r>
      <w:r w:rsidRPr="7B1E8D90" w:rsidR="002E73D3">
        <w:rPr>
          <w:rFonts w:eastAsia="Times New Roman" w:cs="Times New Roman"/>
        </w:rPr>
        <w:t xml:space="preserve">. </w:t>
      </w:r>
      <w:r w:rsidRPr="7B1E8D90" w:rsidR="002D659D">
        <w:rPr>
          <w:rFonts w:eastAsia="Times New Roman" w:cs="Times New Roman"/>
        </w:rPr>
        <w:t>In addition, NHTSA estimates that</w:t>
      </w:r>
      <w:r w:rsidR="001D1847">
        <w:rPr>
          <w:rFonts w:eastAsia="Times New Roman" w:cs="Times New Roman"/>
        </w:rPr>
        <w:t xml:space="preserve"> over the next three years,</w:t>
      </w:r>
      <w:r w:rsidRPr="7B1E8D90" w:rsidR="002D659D">
        <w:rPr>
          <w:rFonts w:eastAsia="Times New Roman" w:cs="Times New Roman"/>
        </w:rPr>
        <w:t xml:space="preserve"> </w:t>
      </w:r>
      <w:r w:rsidRPr="7B1E8D90" w:rsidR="004845B3">
        <w:rPr>
          <w:rFonts w:eastAsia="Times New Roman" w:cs="Times New Roman"/>
        </w:rPr>
        <w:t>starting</w:t>
      </w:r>
      <w:r w:rsidRPr="7B1E8D90" w:rsidR="33BE735F">
        <w:rPr>
          <w:rFonts w:eastAsia="Times New Roman" w:cs="Times New Roman"/>
        </w:rPr>
        <w:t xml:space="preserve"> in </w:t>
      </w:r>
      <w:r w:rsidRPr="7B1E8D90" w:rsidR="004845B3">
        <w:rPr>
          <w:rFonts w:eastAsia="Times New Roman" w:cs="Times New Roman"/>
        </w:rPr>
        <w:t>year two</w:t>
      </w:r>
      <w:r w:rsidRPr="7B1E8D90" w:rsidR="267B9BEA">
        <w:rPr>
          <w:rFonts w:eastAsia="Times New Roman" w:cs="Times New Roman"/>
        </w:rPr>
        <w:t>,</w:t>
      </w:r>
      <w:r w:rsidRPr="7B1E8D90" w:rsidR="002D659D">
        <w:rPr>
          <w:rFonts w:eastAsia="Times New Roman" w:cs="Times New Roman"/>
        </w:rPr>
        <w:t xml:space="preserve"> there will </w:t>
      </w:r>
      <w:r w:rsidRPr="7B1E8D90" w:rsidR="002D659D">
        <w:rPr>
          <w:rFonts w:eastAsia="Times New Roman" w:cs="Times New Roman"/>
        </w:rPr>
        <w:t xml:space="preserve">be </w:t>
      </w:r>
      <w:r w:rsidR="001D1847">
        <w:rPr>
          <w:rFonts w:eastAsia="Times New Roman" w:cs="Times New Roman"/>
        </w:rPr>
        <w:t>ten</w:t>
      </w:r>
      <w:r w:rsidRPr="7B1E8D90" w:rsidR="008C09CF">
        <w:rPr>
          <w:rFonts w:eastAsia="Times New Roman" w:cs="Times New Roman"/>
        </w:rPr>
        <w:t xml:space="preserve"> (</w:t>
      </w:r>
      <w:r w:rsidR="001D1847">
        <w:rPr>
          <w:rFonts w:eastAsia="Times New Roman" w:cs="Times New Roman"/>
        </w:rPr>
        <w:t>10</w:t>
      </w:r>
      <w:r w:rsidRPr="7B1E8D90" w:rsidR="008C09CF">
        <w:rPr>
          <w:rFonts w:eastAsia="Times New Roman" w:cs="Times New Roman"/>
        </w:rPr>
        <w:t>)</w:t>
      </w:r>
      <w:r w:rsidRPr="7B1E8D90" w:rsidR="002D659D">
        <w:rPr>
          <w:rFonts w:eastAsia="Times New Roman" w:cs="Times New Roman"/>
        </w:rPr>
        <w:t xml:space="preserve"> existing EDT</w:t>
      </w:r>
      <w:r w:rsidR="001D1847">
        <w:rPr>
          <w:rFonts w:eastAsia="Times New Roman" w:cs="Times New Roman"/>
        </w:rPr>
        <w:t xml:space="preserve"> that will begin participating in</w:t>
      </w:r>
      <w:r w:rsidRPr="7B1E8D90" w:rsidR="0057786E">
        <w:rPr>
          <w:rFonts w:eastAsia="Times New Roman" w:cs="Times New Roman"/>
        </w:rPr>
        <w:t xml:space="preserve"> the new</w:t>
      </w:r>
      <w:r w:rsidRPr="7B1E8D90">
        <w:rPr>
          <w:rFonts w:eastAsia="Times New Roman" w:cs="Times New Roman"/>
        </w:rPr>
        <w:t xml:space="preserve"> </w:t>
      </w:r>
      <w:r w:rsidRPr="7B1E8D90" w:rsidR="003431DD">
        <w:rPr>
          <w:rFonts w:eastAsia="Times New Roman" w:cs="Times New Roman"/>
        </w:rPr>
        <w:t>SEDC</w:t>
      </w:r>
      <w:r w:rsidRPr="7B1E8D90" w:rsidR="002D659D">
        <w:rPr>
          <w:rFonts w:eastAsia="Times New Roman" w:cs="Times New Roman"/>
        </w:rPr>
        <w:t xml:space="preserve"> grant </w:t>
      </w:r>
      <w:r w:rsidR="001D1847">
        <w:rPr>
          <w:rFonts w:eastAsia="Times New Roman" w:cs="Times New Roman"/>
        </w:rPr>
        <w:t xml:space="preserve">program </w:t>
      </w:r>
      <w:r w:rsidRPr="7B1E8D90" w:rsidR="002D659D">
        <w:rPr>
          <w:rFonts w:eastAsia="Times New Roman" w:cs="Times New Roman"/>
        </w:rPr>
        <w:t xml:space="preserve">and </w:t>
      </w:r>
      <w:r w:rsidRPr="7B1E8D90" w:rsidR="0057786E">
        <w:rPr>
          <w:rFonts w:eastAsia="Times New Roman" w:cs="Times New Roman"/>
        </w:rPr>
        <w:t xml:space="preserve">will </w:t>
      </w:r>
      <w:r w:rsidRPr="7B1E8D90" w:rsidR="002D659D">
        <w:rPr>
          <w:rFonts w:eastAsia="Times New Roman" w:cs="Times New Roman"/>
        </w:rPr>
        <w:t>start sending data aligned to MMUCC</w:t>
      </w:r>
      <w:r w:rsidR="001D1847">
        <w:rPr>
          <w:rFonts w:eastAsia="Times New Roman" w:cs="Times New Roman"/>
        </w:rPr>
        <w:t>. NHTSA estimates that</w:t>
      </w:r>
      <w:r w:rsidRPr="7B1E8D90" w:rsidR="0058470F">
        <w:rPr>
          <w:rFonts w:eastAsia="Times New Roman" w:cs="Times New Roman"/>
        </w:rPr>
        <w:t xml:space="preserve">, in year </w:t>
      </w:r>
      <w:r w:rsidRPr="7B1E8D90" w:rsidR="00E3777F">
        <w:rPr>
          <w:rFonts w:eastAsia="Times New Roman" w:cs="Times New Roman"/>
        </w:rPr>
        <w:t xml:space="preserve">one, year </w:t>
      </w:r>
      <w:r w:rsidRPr="7B1E8D90" w:rsidR="0058470F">
        <w:rPr>
          <w:rFonts w:eastAsia="Times New Roman" w:cs="Times New Roman"/>
        </w:rPr>
        <w:t xml:space="preserve">two and year three, the number of non-SEDC EDT states will be </w:t>
      </w:r>
      <w:r w:rsidRPr="7B1E8D90" w:rsidR="00E3777F">
        <w:rPr>
          <w:rFonts w:eastAsia="Times New Roman" w:cs="Times New Roman"/>
        </w:rPr>
        <w:t>20, 15 and 10</w:t>
      </w:r>
      <w:r w:rsidRPr="7B1E8D90" w:rsidR="662512A6">
        <w:rPr>
          <w:rFonts w:eastAsia="Times New Roman" w:cs="Times New Roman"/>
        </w:rPr>
        <w:t>, respectively</w:t>
      </w:r>
      <w:r w:rsidRPr="7B1E8D90" w:rsidR="002D659D">
        <w:rPr>
          <w:rFonts w:eastAsia="Times New Roman" w:cs="Times New Roman"/>
        </w:rPr>
        <w:t xml:space="preserve">. </w:t>
      </w:r>
      <w:r w:rsidR="004B3A11">
        <w:t xml:space="preserve">Therefore, NHTSA estimates that there will be, on average, </w:t>
      </w:r>
      <w:r w:rsidR="00E3777F">
        <w:t>fifteen</w:t>
      </w:r>
      <w:r w:rsidR="008C09CF">
        <w:t xml:space="preserve"> (</w:t>
      </w:r>
      <w:r w:rsidR="002D659D">
        <w:t>1</w:t>
      </w:r>
      <w:r w:rsidR="00E3777F">
        <w:t>5</w:t>
      </w:r>
      <w:r w:rsidR="008C09CF">
        <w:t>)</w:t>
      </w:r>
      <w:r w:rsidR="002D659D">
        <w:t xml:space="preserve"> </w:t>
      </w:r>
      <w:r w:rsidR="00D46FF6">
        <w:t>non-</w:t>
      </w:r>
      <w:r w:rsidR="003431DD">
        <w:t>SEDC</w:t>
      </w:r>
      <w:r w:rsidR="00D46FF6">
        <w:t xml:space="preserve"> </w:t>
      </w:r>
      <w:r w:rsidR="004B3A11">
        <w:t xml:space="preserve">EDT protocol States in each of the next three years. </w:t>
      </w:r>
      <w:r w:rsidRPr="7B1E8D90" w:rsidR="00F4658D">
        <w:rPr>
          <w:rFonts w:eastAsia="Times New Roman" w:cs="Times New Roman"/>
        </w:rPr>
        <w:t xml:space="preserve">Since these </w:t>
      </w:r>
      <w:r w:rsidR="00F97256">
        <w:t>fifteen</w:t>
      </w:r>
      <w:r w:rsidR="00377CBF">
        <w:t xml:space="preserve"> (1</w:t>
      </w:r>
      <w:r w:rsidR="00F97256">
        <w:t>5</w:t>
      </w:r>
      <w:r w:rsidR="00377CBF">
        <w:t xml:space="preserve">) </w:t>
      </w:r>
      <w:r w:rsidRPr="7B1E8D90" w:rsidR="00F4658D">
        <w:rPr>
          <w:rFonts w:eastAsia="Times New Roman" w:cs="Times New Roman"/>
        </w:rPr>
        <w:t>non-</w:t>
      </w:r>
      <w:r w:rsidRPr="7B1E8D90" w:rsidR="003431DD">
        <w:rPr>
          <w:rFonts w:eastAsia="Times New Roman" w:cs="Times New Roman"/>
        </w:rPr>
        <w:t>SEDC</w:t>
      </w:r>
      <w:r w:rsidRPr="7B1E8D90" w:rsidR="00F4658D">
        <w:rPr>
          <w:rFonts w:eastAsia="Times New Roman" w:cs="Times New Roman"/>
        </w:rPr>
        <w:t xml:space="preserve"> States</w:t>
      </w:r>
      <w:r w:rsidRPr="7B1E8D90">
        <w:rPr>
          <w:rFonts w:eastAsia="Times New Roman" w:cs="Times New Roman"/>
        </w:rPr>
        <w:t xml:space="preserve"> </w:t>
      </w:r>
      <w:r w:rsidRPr="7B1E8D90" w:rsidR="69468C8F">
        <w:rPr>
          <w:rFonts w:eastAsia="Times New Roman" w:cs="Times New Roman"/>
        </w:rPr>
        <w:t xml:space="preserve">are already using the </w:t>
      </w:r>
      <w:r w:rsidRPr="7B1E8D90" w:rsidR="00F4658D">
        <w:rPr>
          <w:rFonts w:eastAsia="Times New Roman" w:cs="Times New Roman"/>
        </w:rPr>
        <w:t xml:space="preserve">EDT </w:t>
      </w:r>
      <w:r w:rsidRPr="7B1E8D90" w:rsidR="27F6267D">
        <w:rPr>
          <w:rFonts w:eastAsia="Times New Roman" w:cs="Times New Roman"/>
        </w:rPr>
        <w:t xml:space="preserve">protocol, </w:t>
      </w:r>
      <w:r w:rsidRPr="7B1E8D90" w:rsidR="29826410">
        <w:rPr>
          <w:rFonts w:eastAsia="Times New Roman" w:cs="Times New Roman"/>
        </w:rPr>
        <w:t>the</w:t>
      </w:r>
      <w:r w:rsidRPr="7B1E8D90" w:rsidR="00F4658D">
        <w:rPr>
          <w:rFonts w:eastAsia="Times New Roman" w:cs="Times New Roman"/>
        </w:rPr>
        <w:t xml:space="preserve"> cost </w:t>
      </w:r>
      <w:r>
        <w:t xml:space="preserve">and burden estimates </w:t>
      </w:r>
      <w:r w:rsidR="004B3A11">
        <w:t>for the</w:t>
      </w:r>
      <w:r w:rsidR="009038B6">
        <w:t>se States</w:t>
      </w:r>
      <w:r>
        <w:t xml:space="preserve"> </w:t>
      </w:r>
      <w:r w:rsidR="009038B6">
        <w:t>only</w:t>
      </w:r>
      <w:r w:rsidR="001D1847">
        <w:t xml:space="preserve"> account for</w:t>
      </w:r>
      <w:r w:rsidR="009038B6">
        <w:t xml:space="preserve"> </w:t>
      </w:r>
      <w:r>
        <w:t xml:space="preserve">annual maintenance effort.  </w:t>
      </w:r>
      <w:r w:rsidR="00F26AD2">
        <w:t xml:space="preserve">The </w:t>
      </w:r>
      <w:r>
        <w:t xml:space="preserve">estimates assume a participating State already has a centralized </w:t>
      </w:r>
      <w:r w:rsidR="4C59CC97">
        <w:t xml:space="preserve">statewide </w:t>
      </w:r>
      <w:r w:rsidR="22BF0014">
        <w:t>crash data</w:t>
      </w:r>
      <w:r w:rsidR="3D2A6D79">
        <w:t xml:space="preserve"> repository</w:t>
      </w:r>
      <w:r w:rsidR="22BF0014">
        <w:t>.</w:t>
      </w:r>
      <w:r>
        <w:t xml:space="preserve"> </w:t>
      </w:r>
      <w:r w:rsidR="00C005B2">
        <w:t>T</w:t>
      </w:r>
      <w:r>
        <w:t>he hourly burden</w:t>
      </w:r>
      <w:r w:rsidR="0057786E">
        <w:t xml:space="preserve"> for maintenance</w:t>
      </w:r>
      <w:r>
        <w:t xml:space="preserve"> on States associated with </w:t>
      </w:r>
      <w:r w:rsidR="00267D20">
        <w:t>non-</w:t>
      </w:r>
      <w:r w:rsidR="003431DD">
        <w:t>SEDC</w:t>
      </w:r>
      <w:r w:rsidR="00267D20">
        <w:t xml:space="preserve"> </w:t>
      </w:r>
      <w:r w:rsidR="00BC78B9">
        <w:t>EDT</w:t>
      </w:r>
      <w:r>
        <w:t xml:space="preserve"> is estimated at five</w:t>
      </w:r>
      <w:r w:rsidR="00B70899">
        <w:t xml:space="preserve"> (5)</w:t>
      </w:r>
      <w:r>
        <w:t xml:space="preserve"> hours per year, based upon currently participating States’ experiences.  This time is generally used to troubleshoot any connection issues or refine mapping protocols for any data elements that have changed.</w:t>
      </w:r>
    </w:p>
    <w:p w:rsidR="00207992" w:rsidP="0093233F" w14:paraId="10AC75DB" w14:textId="67726E86">
      <w:pPr>
        <w:tabs>
          <w:tab w:val="left" w:pos="-720"/>
          <w:tab w:val="left" w:pos="540"/>
        </w:tabs>
        <w:ind w:left="720"/>
      </w:pPr>
      <w:r>
        <w:t xml:space="preserve">NHTSA estimates the cost for IT personnel burden hours using the Bureau of Labor Statistics’ mean wage estimate for </w:t>
      </w:r>
      <w:r w:rsidR="00BC78B9">
        <w:t>Software and Web Developers, Programmers, and Testers</w:t>
      </w:r>
      <w:r>
        <w:t xml:space="preserve"> (Standard Occupational Classification #15-</w:t>
      </w:r>
      <w:r w:rsidR="00BC78B9">
        <w:t>1250</w:t>
      </w:r>
      <w:r>
        <w:t xml:space="preserve">, May </w:t>
      </w:r>
      <w:r w:rsidR="00486A15">
        <w:t>2021</w:t>
      </w:r>
      <w:r>
        <w:t>) of $</w:t>
      </w:r>
      <w:r w:rsidR="00FE0170">
        <w:t>54.68</w:t>
      </w:r>
      <w:r>
        <w:t>.</w:t>
      </w:r>
      <w:r>
        <w:rPr>
          <w:rStyle w:val="FootnoteReference"/>
        </w:rPr>
        <w:footnoteReference w:id="11"/>
      </w:r>
      <w:r>
        <w:rPr>
          <w:vertAlign w:val="superscript"/>
        </w:rPr>
        <w:t xml:space="preserve"> </w:t>
      </w:r>
      <w:r>
        <w:t xml:space="preserve">  The Bureau of Labor Statistics estimates that for State and local government workers, wages represent 6</w:t>
      </w:r>
      <w:r w:rsidR="00BC78B9">
        <w:t>1.</w:t>
      </w:r>
      <w:r w:rsidR="00E54B0B">
        <w:t>9</w:t>
      </w:r>
      <w:r>
        <w:t>% of total compensation.</w:t>
      </w:r>
      <w:r>
        <w:rPr>
          <w:rStyle w:val="FootnoteReference"/>
        </w:rPr>
        <w:footnoteReference w:id="12"/>
      </w:r>
      <w:r>
        <w:t xml:space="preserve">  Therefore, the total hourly cost associated with the IT burden hours is estimated to be $</w:t>
      </w:r>
      <w:r w:rsidR="00D57A56">
        <w:t>88.34</w:t>
      </w:r>
      <w:r w:rsidR="00BC78B9">
        <w:t xml:space="preserve"> ($</w:t>
      </w:r>
      <w:r w:rsidR="0000443D">
        <w:t xml:space="preserve">54.68 </w:t>
      </w:r>
      <w:r w:rsidR="001C2056">
        <w:rPr>
          <w:rFonts w:cs="Times New Roman"/>
        </w:rPr>
        <w:t xml:space="preserve">÷ </w:t>
      </w:r>
      <w:r w:rsidR="00BC78B9">
        <w:t>61.</w:t>
      </w:r>
      <w:r w:rsidR="003515E9">
        <w:t>9</w:t>
      </w:r>
      <w:r w:rsidR="00BC78B9">
        <w:t>%)</w:t>
      </w:r>
      <w:r>
        <w:t xml:space="preserve"> per hour. </w:t>
      </w:r>
    </w:p>
    <w:p w:rsidR="00207992" w:rsidP="00E56D49" w14:paraId="43320476" w14:textId="48D06168">
      <w:pPr>
        <w:tabs>
          <w:tab w:val="left" w:pos="-720"/>
          <w:tab w:val="left" w:pos="540"/>
        </w:tabs>
        <w:ind w:left="720"/>
      </w:pPr>
      <w:r>
        <w:t xml:space="preserve">Per the loaded labor rates for State IT staff outlined above, </w:t>
      </w:r>
      <w:r w:rsidR="00997408">
        <w:t>five (</w:t>
      </w:r>
      <w:r>
        <w:t>5</w:t>
      </w:r>
      <w:r w:rsidR="00997408">
        <w:t>)</w:t>
      </w:r>
      <w:r>
        <w:t xml:space="preserve"> hours of work translates to an estimated total annual maintenance burden of $</w:t>
      </w:r>
      <w:r w:rsidR="00932193">
        <w:t>441.70</w:t>
      </w:r>
      <w:r w:rsidR="001E04E8">
        <w:t xml:space="preserve"> </w:t>
      </w:r>
      <w:r w:rsidR="009333D8">
        <w:t>($</w:t>
      </w:r>
      <w:r w:rsidR="00D57A56">
        <w:t xml:space="preserve">88.34 </w:t>
      </w:r>
      <w:r w:rsidR="00160760">
        <w:rPr>
          <w:rFonts w:cs="Times New Roman"/>
        </w:rPr>
        <w:t>×</w:t>
      </w:r>
      <w:r w:rsidR="001E04E8">
        <w:rPr>
          <w:rFonts w:cs="Times New Roman"/>
        </w:rPr>
        <w:t xml:space="preserve"> </w:t>
      </w:r>
      <w:r w:rsidR="009333D8">
        <w:t xml:space="preserve">5 hours) </w:t>
      </w:r>
      <w:r>
        <w:t xml:space="preserve">per State respondent maintaining participation in the </w:t>
      </w:r>
      <w:r w:rsidR="001A6070">
        <w:t>E</w:t>
      </w:r>
      <w:r>
        <w:t xml:space="preserve">DT program.  </w:t>
      </w:r>
      <w:bookmarkStart w:id="33" w:name="_Hlk71283497"/>
      <w:r w:rsidR="00EB7388">
        <w:t xml:space="preserve">NHTSA estimates that there will be, on average, </w:t>
      </w:r>
      <w:r w:rsidR="00B16288">
        <w:t>1</w:t>
      </w:r>
      <w:r w:rsidR="00713831">
        <w:t>5</w:t>
      </w:r>
      <w:r w:rsidR="00B16288">
        <w:t xml:space="preserve"> </w:t>
      </w:r>
      <w:r>
        <w:t>States</w:t>
      </w:r>
      <w:r w:rsidR="00A03331">
        <w:t xml:space="preserve"> participat</w:t>
      </w:r>
      <w:r w:rsidR="0019692E">
        <w:t>ing</w:t>
      </w:r>
      <w:r w:rsidR="00A03331">
        <w:t xml:space="preserve"> in </w:t>
      </w:r>
      <w:r w:rsidR="00B16288">
        <w:t>non-</w:t>
      </w:r>
      <w:r w:rsidR="003431DD">
        <w:t>SEDC</w:t>
      </w:r>
      <w:r w:rsidR="00B16288">
        <w:t xml:space="preserve"> </w:t>
      </w:r>
      <w:r w:rsidR="00A03331">
        <w:t>EDT program</w:t>
      </w:r>
      <w:r w:rsidR="00EB7388">
        <w:t xml:space="preserve"> in each of the next three years</w:t>
      </w:r>
      <w:r w:rsidR="000A728D">
        <w:t>.</w:t>
      </w:r>
      <w:r w:rsidR="00970234">
        <w:t xml:space="preserve"> </w:t>
      </w:r>
      <w:r w:rsidR="000A728D">
        <w:t xml:space="preserve"> </w:t>
      </w:r>
      <w:r w:rsidR="006E417C">
        <w:t xml:space="preserve">The total annual responses are </w:t>
      </w:r>
      <w:r w:rsidR="002A59E2">
        <w:t>5,475</w:t>
      </w:r>
      <w:r w:rsidR="006E417C">
        <w:t xml:space="preserve"> (15 EDT States </w:t>
      </w:r>
      <w:r w:rsidR="006E417C">
        <w:rPr>
          <w:rFonts w:cs="Times New Roman"/>
        </w:rPr>
        <w:t>×</w:t>
      </w:r>
      <w:r w:rsidR="006E417C">
        <w:t xml:space="preserve"> 365 nightly responses). </w:t>
      </w:r>
      <w:r w:rsidR="000A728D">
        <w:t xml:space="preserve">Therefore, the annual maintenance cost for the States is </w:t>
      </w:r>
      <w:r>
        <w:t>a total of $</w:t>
      </w:r>
      <w:r w:rsidR="0003720D">
        <w:t>6,626</w:t>
      </w:r>
      <w:r w:rsidR="00A02B16">
        <w:t xml:space="preserve"> </w:t>
      </w:r>
      <w:r w:rsidR="009333D8">
        <w:t>($</w:t>
      </w:r>
      <w:r w:rsidR="00713831">
        <w:t>441.70</w:t>
      </w:r>
      <w:r w:rsidR="006E6A39">
        <w:t xml:space="preserve"> </w:t>
      </w:r>
      <w:r w:rsidR="00160760">
        <w:rPr>
          <w:rFonts w:cs="Times New Roman"/>
        </w:rPr>
        <w:t>×</w:t>
      </w:r>
      <w:r w:rsidR="009333D8">
        <w:t xml:space="preserve"> </w:t>
      </w:r>
      <w:r w:rsidR="0043085A">
        <w:t>1</w:t>
      </w:r>
      <w:r w:rsidR="00713831">
        <w:t>5</w:t>
      </w:r>
      <w:r w:rsidR="0043085A">
        <w:t xml:space="preserve"> </w:t>
      </w:r>
      <w:r w:rsidR="009333D8">
        <w:t xml:space="preserve">States) </w:t>
      </w:r>
      <w:r>
        <w:t>per year</w:t>
      </w:r>
      <w:bookmarkEnd w:id="33"/>
      <w:r>
        <w:t>.</w:t>
      </w:r>
      <w:r w:rsidR="0043085A">
        <w:t xml:space="preserve"> The number of total burden hours for the 1</w:t>
      </w:r>
      <w:r w:rsidR="0003720D">
        <w:t>5</w:t>
      </w:r>
      <w:r w:rsidR="0043085A">
        <w:t xml:space="preserve"> States is </w:t>
      </w:r>
      <w:r w:rsidR="0003720D">
        <w:t>75</w:t>
      </w:r>
      <w:r w:rsidR="00B14320">
        <w:t xml:space="preserve"> hour</w:t>
      </w:r>
      <w:r w:rsidR="00B52FC5">
        <w:t>s</w:t>
      </w:r>
      <w:r w:rsidR="00B14320">
        <w:t xml:space="preserve"> (5 </w:t>
      </w:r>
      <w:r w:rsidR="00B14320">
        <w:rPr>
          <w:rFonts w:cs="Times New Roman"/>
        </w:rPr>
        <w:t>×</w:t>
      </w:r>
      <w:r w:rsidR="00B14320">
        <w:t xml:space="preserve"> 1</w:t>
      </w:r>
      <w:r w:rsidR="0003720D">
        <w:t>5</w:t>
      </w:r>
      <w:r w:rsidR="00B14320">
        <w:t xml:space="preserve"> States).</w:t>
      </w:r>
    </w:p>
    <w:p w:rsidR="00BC0101" w:rsidP="0092639E" w14:paraId="1353D9AE" w14:textId="551C36CB">
      <w:pPr>
        <w:pStyle w:val="Heading4"/>
      </w:pPr>
      <w:r>
        <w:t>SEDC</w:t>
      </w:r>
      <w:r w:rsidRPr="005E60DA">
        <w:t xml:space="preserve"> States</w:t>
      </w:r>
      <w:r w:rsidR="00A23407">
        <w:t xml:space="preserve"> using EDT Protocol</w:t>
      </w:r>
    </w:p>
    <w:p w:rsidR="00CE43D5" w:rsidRPr="0092639E" w:rsidP="1709447A" w14:paraId="27058C4D" w14:textId="05D69A97">
      <w:pPr>
        <w:tabs>
          <w:tab w:val="left" w:pos="540"/>
        </w:tabs>
        <w:ind w:left="720"/>
      </w:pPr>
      <w:r>
        <w:t>NHTSA published a Request for Information (RFI)</w:t>
      </w:r>
      <w:r>
        <w:rPr>
          <w:vertAlign w:val="superscript"/>
        </w:rPr>
        <w:footnoteReference w:id="13"/>
      </w:r>
      <w:r>
        <w:t xml:space="preserve"> from May 2, 2022, to July 15, 2022, to </w:t>
      </w:r>
      <w:r w:rsidR="004166A1">
        <w:t>assist the agency with the development and implementation of a new discretionary grant program to increase the number of States, U.S. territories, and Indian tribes electronically transferring their motor vehicle crash data to the N</w:t>
      </w:r>
      <w:r w:rsidR="00123ACA">
        <w:t>HTSA</w:t>
      </w:r>
      <w:r>
        <w:t xml:space="preserve">. </w:t>
      </w:r>
      <w:r w:rsidR="00A254AE">
        <w:t>Sixteen</w:t>
      </w:r>
      <w:r>
        <w:t xml:space="preserve"> </w:t>
      </w:r>
      <w:r w:rsidR="007E5BE2">
        <w:t>(</w:t>
      </w:r>
      <w:r>
        <w:t>16</w:t>
      </w:r>
      <w:r w:rsidR="007E5BE2">
        <w:t>)</w:t>
      </w:r>
      <w:r>
        <w:t xml:space="preserve"> </w:t>
      </w:r>
      <w:r>
        <w:t xml:space="preserve">States and Territories responded to the RFI with cost information for updating </w:t>
      </w:r>
      <w:r w:rsidR="47252D2A">
        <w:t xml:space="preserve">their </w:t>
      </w:r>
      <w:r w:rsidR="00E32B40">
        <w:t>centralized statewide crash data repositories</w:t>
      </w:r>
      <w:r>
        <w:t xml:space="preserve"> and aligning to previous versions of MMUCC. NHTSA used that information</w:t>
      </w:r>
      <w:r w:rsidR="00FF31D8">
        <w:t xml:space="preserve"> to inform NHTSA’s </w:t>
      </w:r>
      <w:r>
        <w:t>burden</w:t>
      </w:r>
      <w:r w:rsidR="00FF31D8">
        <w:t xml:space="preserve"> estimates</w:t>
      </w:r>
      <w:r>
        <w:t xml:space="preserve"> and estimate</w:t>
      </w:r>
      <w:r w:rsidR="00FF31D8">
        <w:t>s</w:t>
      </w:r>
      <w:r>
        <w:t xml:space="preserve"> the burden as follows. </w:t>
      </w:r>
    </w:p>
    <w:p w:rsidR="00CE43D5" w:rsidRPr="0092639E" w:rsidP="338B39A0" w14:paraId="1AE42870" w14:textId="14F557B8">
      <w:pPr>
        <w:tabs>
          <w:tab w:val="left" w:pos="540"/>
        </w:tabs>
        <w:ind w:left="720"/>
      </w:pPr>
      <w:r>
        <w:t>The c</w:t>
      </w:r>
      <w:r w:rsidR="48449A2D">
        <w:t>ost</w:t>
      </w:r>
      <w:r w:rsidRPr="0092639E">
        <w:t xml:space="preserve"> and burden estimates for the EDT protocol are divided in</w:t>
      </w:r>
      <w:r w:rsidR="009309C9">
        <w:t>to</w:t>
      </w:r>
      <w:r w:rsidRPr="0092639E">
        <w:t xml:space="preserve"> two</w:t>
      </w:r>
      <w:r w:rsidR="13CCA8E8">
        <w:t xml:space="preserve"> efforts</w:t>
      </w:r>
      <w:r w:rsidRPr="0092639E">
        <w:t xml:space="preserve">: a one-time implementation effort, and an annual maintenance effort.  To </w:t>
      </w:r>
      <w:r w:rsidR="000647CC">
        <w:t xml:space="preserve">increase their </w:t>
      </w:r>
      <w:r w:rsidRPr="0092639E">
        <w:t>align</w:t>
      </w:r>
      <w:r w:rsidR="000647CC">
        <w:t>ment</w:t>
      </w:r>
      <w:r w:rsidRPr="0092639E">
        <w:t xml:space="preserve"> with the new MMUCC, the States will need to either </w:t>
      </w:r>
      <w:r w:rsidR="524D9058">
        <w:t xml:space="preserve">develop </w:t>
      </w:r>
      <w:r w:rsidR="09CA318C">
        <w:t>a</w:t>
      </w:r>
      <w:r w:rsidRPr="0092639E">
        <w:t xml:space="preserve"> new electronic Police Accident Report (PAR) and </w:t>
      </w:r>
      <w:r w:rsidR="72BE058D">
        <w:t xml:space="preserve">build </w:t>
      </w:r>
      <w:r w:rsidRPr="0092639E">
        <w:t xml:space="preserve">a centralized </w:t>
      </w:r>
      <w:r w:rsidR="004277DB">
        <w:t>statewide</w:t>
      </w:r>
      <w:r w:rsidRPr="0092639E">
        <w:t xml:space="preserve"> crash data</w:t>
      </w:r>
      <w:r w:rsidR="004277DB">
        <w:t xml:space="preserve"> re</w:t>
      </w:r>
      <w:r w:rsidR="00FF2E1C">
        <w:t>pository</w:t>
      </w:r>
      <w:r w:rsidRPr="0092639E">
        <w:t xml:space="preserve"> if they don’t already have one or update the existing PAR and centralized </w:t>
      </w:r>
      <w:r w:rsidR="00FF2E1C">
        <w:t xml:space="preserve">statewide </w:t>
      </w:r>
      <w:r w:rsidR="00D27CC8">
        <w:t xml:space="preserve">crash data </w:t>
      </w:r>
      <w:r w:rsidR="09CA318C">
        <w:t>repositor</w:t>
      </w:r>
      <w:r w:rsidR="44517504">
        <w:t>y</w:t>
      </w:r>
      <w:r w:rsidRPr="0092639E">
        <w:t xml:space="preserve"> to </w:t>
      </w:r>
      <w:r w:rsidR="00655530">
        <w:t xml:space="preserve">increase their </w:t>
      </w:r>
      <w:r w:rsidRPr="0092639E">
        <w:t>align</w:t>
      </w:r>
      <w:r w:rsidR="00655530">
        <w:t>ment</w:t>
      </w:r>
      <w:r w:rsidRPr="0092639E">
        <w:t xml:space="preserve"> to the new MMUCC. In addition, States </w:t>
      </w:r>
      <w:r w:rsidR="00FF31D8">
        <w:t xml:space="preserve">will </w:t>
      </w:r>
      <w:r w:rsidRPr="0092639E">
        <w:t xml:space="preserve">need to </w:t>
      </w:r>
      <w:r w:rsidR="00A474AF">
        <w:t>electronically</w:t>
      </w:r>
      <w:r w:rsidR="00D27CC8">
        <w:t xml:space="preserve"> transfer</w:t>
      </w:r>
      <w:r w:rsidRPr="0092639E">
        <w:t xml:space="preserve"> </w:t>
      </w:r>
      <w:r w:rsidR="00E074E8">
        <w:t>their</w:t>
      </w:r>
      <w:r w:rsidRPr="0092639E">
        <w:t xml:space="preserve"> data in </w:t>
      </w:r>
      <w:r w:rsidR="238E090A">
        <w:t xml:space="preserve">a </w:t>
      </w:r>
      <w:r w:rsidR="09CA318C">
        <w:t>standardized</w:t>
      </w:r>
      <w:r w:rsidRPr="0092639E">
        <w:t xml:space="preserve"> format to NHTSA. NHTSA predicts the </w:t>
      </w:r>
      <w:r w:rsidR="0078331C">
        <w:t xml:space="preserve">States will need to take the following </w:t>
      </w:r>
      <w:r w:rsidRPr="0092639E">
        <w:t>specific actions</w:t>
      </w:r>
      <w:r w:rsidR="0078331C">
        <w:t>:</w:t>
      </w:r>
    </w:p>
    <w:p w:rsidR="00CE43D5" w:rsidRPr="0092639E" w:rsidP="67FD533E" w14:paraId="3DF00896" w14:textId="370DF349">
      <w:pPr>
        <w:pStyle w:val="ListParagraph"/>
        <w:numPr>
          <w:ilvl w:val="0"/>
          <w:numId w:val="22"/>
        </w:numPr>
        <w:tabs>
          <w:tab w:val="left" w:pos="540"/>
        </w:tabs>
      </w:pPr>
      <w:r w:rsidRPr="0092639E">
        <w:t>Manual</w:t>
      </w:r>
      <w:r w:rsidR="00413998">
        <w:t>ly enter</w:t>
      </w:r>
      <w:r w:rsidR="003B1950">
        <w:t>ing</w:t>
      </w:r>
      <w:r w:rsidR="00413998">
        <w:t xml:space="preserve"> PAR</w:t>
      </w:r>
      <w:r w:rsidRPr="0092639E">
        <w:t xml:space="preserve"> data if there are legacy paper PARs to be input into the new and/or updated </w:t>
      </w:r>
      <w:r w:rsidR="00E074E8">
        <w:t>centralized statewide</w:t>
      </w:r>
      <w:r w:rsidR="00174EED">
        <w:t xml:space="preserve"> crash data repository</w:t>
      </w:r>
      <w:r w:rsidRPr="0092639E">
        <w:t>.</w:t>
      </w:r>
    </w:p>
    <w:p w:rsidR="00174EED" w:rsidRPr="0092639E" w:rsidP="45C6A0D7" w14:paraId="730FB38A" w14:textId="2332DE8D">
      <w:pPr>
        <w:pStyle w:val="ListParagraph"/>
        <w:numPr>
          <w:ilvl w:val="0"/>
          <w:numId w:val="22"/>
        </w:numPr>
        <w:tabs>
          <w:tab w:val="left" w:pos="540"/>
        </w:tabs>
      </w:pPr>
      <w:r w:rsidRPr="0092639E">
        <w:t>Develop</w:t>
      </w:r>
      <w:r w:rsidR="003B1950">
        <w:t>ing</w:t>
      </w:r>
      <w:r w:rsidRPr="0092639E">
        <w:t xml:space="preserve"> </w:t>
      </w:r>
      <w:r>
        <w:t xml:space="preserve">a new </w:t>
      </w:r>
      <w:r w:rsidRPr="0092639E">
        <w:t xml:space="preserve">PAR to </w:t>
      </w:r>
      <w:r w:rsidR="00655530">
        <w:t xml:space="preserve">increase </w:t>
      </w:r>
      <w:r w:rsidRPr="0092639E">
        <w:t>align</w:t>
      </w:r>
      <w:r w:rsidR="00655530">
        <w:t>ment</w:t>
      </w:r>
      <w:r w:rsidRPr="0092639E">
        <w:t xml:space="preserve"> with the updated MMUCC.</w:t>
      </w:r>
    </w:p>
    <w:p w:rsidR="00CE43D5" w:rsidRPr="0092639E" w:rsidP="2521A63C" w14:paraId="3C86294D" w14:textId="4BA283D4">
      <w:pPr>
        <w:pStyle w:val="ListParagraph"/>
        <w:numPr>
          <w:ilvl w:val="0"/>
          <w:numId w:val="22"/>
        </w:numPr>
        <w:tabs>
          <w:tab w:val="left" w:pos="540"/>
        </w:tabs>
      </w:pPr>
      <w:r>
        <w:t>A</w:t>
      </w:r>
      <w:r w:rsidRPr="0092639E">
        <w:t>dopt</w:t>
      </w:r>
      <w:r w:rsidR="0036023F">
        <w:t>ing</w:t>
      </w:r>
      <w:r w:rsidRPr="0092639E">
        <w:t xml:space="preserve"> the new </w:t>
      </w:r>
      <w:r w:rsidR="651A0A91">
        <w:t xml:space="preserve">State </w:t>
      </w:r>
      <w:r>
        <w:t>PAR</w:t>
      </w:r>
      <w:r w:rsidR="006866AD">
        <w:t xml:space="preserve"> by law enforcement agencies</w:t>
      </w:r>
      <w:r w:rsidRPr="0092639E">
        <w:t>.</w:t>
      </w:r>
    </w:p>
    <w:p w:rsidR="00CE43D5" w:rsidRPr="0092639E" w:rsidP="47C929B7" w14:paraId="01EB3B67" w14:textId="7233633B">
      <w:pPr>
        <w:pStyle w:val="ListParagraph"/>
        <w:numPr>
          <w:ilvl w:val="0"/>
          <w:numId w:val="22"/>
        </w:numPr>
        <w:tabs>
          <w:tab w:val="left" w:pos="540"/>
        </w:tabs>
      </w:pPr>
      <w:r w:rsidRPr="0092639E">
        <w:t xml:space="preserve">Setting up </w:t>
      </w:r>
      <w:r w:rsidR="00346F93">
        <w:t>i</w:t>
      </w:r>
      <w:r w:rsidRPr="0092639E">
        <w:t xml:space="preserve">nformation technology infrastructure for the </w:t>
      </w:r>
      <w:r>
        <w:t>electro</w:t>
      </w:r>
      <w:r w:rsidR="7F3896C1">
        <w:t>nic</w:t>
      </w:r>
      <w:r w:rsidR="004567E5">
        <w:t xml:space="preserve"> </w:t>
      </w:r>
      <w:r w:rsidR="3DAF6042">
        <w:t xml:space="preserve">centralized statewide crash </w:t>
      </w:r>
      <w:r w:rsidR="004567E5">
        <w:t xml:space="preserve">data </w:t>
      </w:r>
      <w:r w:rsidR="3DAF6042">
        <w:t>repository</w:t>
      </w:r>
      <w:r w:rsidRPr="0092639E">
        <w:t>.</w:t>
      </w:r>
    </w:p>
    <w:p w:rsidR="00CE43D5" w:rsidRPr="0092639E" w:rsidP="0092639E" w14:paraId="38529C62" w14:textId="25EFACB9">
      <w:pPr>
        <w:pStyle w:val="ListParagraph"/>
        <w:numPr>
          <w:ilvl w:val="0"/>
          <w:numId w:val="22"/>
        </w:numPr>
        <w:tabs>
          <w:tab w:val="left" w:pos="-720"/>
          <w:tab w:val="left" w:pos="540"/>
        </w:tabs>
      </w:pPr>
      <w:r>
        <w:t>Identifying and implementing the</w:t>
      </w:r>
      <w:r w:rsidRPr="0092639E">
        <w:t xml:space="preserve"> system change</w:t>
      </w:r>
      <w:r>
        <w:t>s</w:t>
      </w:r>
      <w:r w:rsidRPr="0092639E">
        <w:t xml:space="preserve"> to align with the updated MMUCC.</w:t>
      </w:r>
    </w:p>
    <w:p w:rsidR="00CE43D5" w:rsidRPr="0092639E" w:rsidP="0092639E" w14:paraId="25BC2A5F" w14:textId="6D0A4203">
      <w:pPr>
        <w:pStyle w:val="ListParagraph"/>
        <w:numPr>
          <w:ilvl w:val="0"/>
          <w:numId w:val="22"/>
        </w:numPr>
        <w:tabs>
          <w:tab w:val="left" w:pos="-720"/>
          <w:tab w:val="left" w:pos="540"/>
        </w:tabs>
      </w:pPr>
      <w:r w:rsidRPr="0092639E">
        <w:t>Develop</w:t>
      </w:r>
      <w:r w:rsidR="0077660E">
        <w:t>ing</w:t>
      </w:r>
      <w:r w:rsidRPr="0092639E">
        <w:t xml:space="preserve"> </w:t>
      </w:r>
      <w:r w:rsidR="00FF31D8">
        <w:t>a</w:t>
      </w:r>
      <w:r w:rsidRPr="0092639E">
        <w:t xml:space="preserve"> user guide, data dictionary and training material</w:t>
      </w:r>
      <w:r w:rsidR="00DF756A">
        <w:t>s</w:t>
      </w:r>
      <w:r w:rsidRPr="0092639E">
        <w:t xml:space="preserve"> for the new and/or updated data collection system.</w:t>
      </w:r>
    </w:p>
    <w:p w:rsidR="00CE43D5" w:rsidRPr="0092639E" w:rsidP="0092639E" w14:paraId="3EB251C2" w14:textId="7585BC2E">
      <w:pPr>
        <w:pStyle w:val="ListParagraph"/>
        <w:numPr>
          <w:ilvl w:val="0"/>
          <w:numId w:val="22"/>
        </w:numPr>
        <w:tabs>
          <w:tab w:val="left" w:pos="-720"/>
          <w:tab w:val="left" w:pos="540"/>
        </w:tabs>
      </w:pPr>
      <w:r w:rsidRPr="0092639E">
        <w:t>Develop</w:t>
      </w:r>
      <w:r w:rsidR="000B7C81">
        <w:t>ing</w:t>
      </w:r>
      <w:r w:rsidRPr="0092639E">
        <w:t xml:space="preserve"> and implement</w:t>
      </w:r>
      <w:r w:rsidR="000B7C81">
        <w:t>ing</w:t>
      </w:r>
      <w:r w:rsidRPr="0092639E">
        <w:t xml:space="preserve"> database and data warehouse for the data collection.</w:t>
      </w:r>
    </w:p>
    <w:p w:rsidR="00CE43D5" w:rsidRPr="0092639E" w:rsidP="0092639E" w14:paraId="59F751BF" w14:textId="66EFD41A">
      <w:pPr>
        <w:pStyle w:val="ListParagraph"/>
        <w:numPr>
          <w:ilvl w:val="0"/>
          <w:numId w:val="22"/>
        </w:numPr>
        <w:tabs>
          <w:tab w:val="left" w:pos="-720"/>
          <w:tab w:val="left" w:pos="540"/>
        </w:tabs>
      </w:pPr>
      <w:r w:rsidRPr="0092639E">
        <w:t>Develop</w:t>
      </w:r>
      <w:r w:rsidR="009E627C">
        <w:t>ing</w:t>
      </w:r>
      <w:r w:rsidRPr="0092639E">
        <w:t xml:space="preserve"> and implement</w:t>
      </w:r>
      <w:r w:rsidR="009E627C">
        <w:t xml:space="preserve">ing </w:t>
      </w:r>
      <w:r w:rsidRPr="0092639E">
        <w:t xml:space="preserve">data transfer protocols for collecting data from law enforcement agencies to centralized </w:t>
      </w:r>
      <w:r w:rsidR="009E627C">
        <w:t>statewide crash data repository</w:t>
      </w:r>
      <w:r w:rsidRPr="0092639E">
        <w:t>.</w:t>
      </w:r>
    </w:p>
    <w:p w:rsidR="00CE43D5" w:rsidRPr="0092639E" w:rsidP="0092639E" w14:paraId="0007F72A" w14:textId="7965813D">
      <w:pPr>
        <w:pStyle w:val="ListParagraph"/>
        <w:numPr>
          <w:ilvl w:val="0"/>
          <w:numId w:val="22"/>
        </w:numPr>
        <w:tabs>
          <w:tab w:val="left" w:pos="-720"/>
          <w:tab w:val="left" w:pos="540"/>
        </w:tabs>
      </w:pPr>
      <w:r w:rsidRPr="0092639E">
        <w:t>Develop</w:t>
      </w:r>
      <w:r w:rsidR="009E627C">
        <w:t>ing</w:t>
      </w:r>
      <w:r w:rsidRPr="0092639E">
        <w:t xml:space="preserve"> and implement</w:t>
      </w:r>
      <w:r w:rsidR="009E627C">
        <w:t>ing</w:t>
      </w:r>
      <w:r w:rsidRPr="0092639E">
        <w:t xml:space="preserve"> edit and validation rules for quality assurance for the data collection.</w:t>
      </w:r>
    </w:p>
    <w:p w:rsidR="00CE43D5" w:rsidRPr="0092639E" w:rsidP="0092639E" w14:paraId="4CA1B384" w14:textId="1E483749">
      <w:pPr>
        <w:pStyle w:val="ListParagraph"/>
        <w:numPr>
          <w:ilvl w:val="0"/>
          <w:numId w:val="22"/>
        </w:numPr>
        <w:tabs>
          <w:tab w:val="left" w:pos="-720"/>
          <w:tab w:val="left" w:pos="540"/>
        </w:tabs>
      </w:pPr>
      <w:r w:rsidRPr="0092639E">
        <w:t>Develop</w:t>
      </w:r>
      <w:r w:rsidR="006E2030">
        <w:t>ing</w:t>
      </w:r>
      <w:r w:rsidRPr="0092639E">
        <w:t xml:space="preserve"> and implement</w:t>
      </w:r>
      <w:r w:rsidR="006E2030">
        <w:t>ing</w:t>
      </w:r>
      <w:r w:rsidRPr="0092639E">
        <w:t xml:space="preserve"> data transfer protocols for sharing data among States and sending data to NHTSA.</w:t>
      </w:r>
    </w:p>
    <w:p w:rsidR="00CE43D5" w:rsidRPr="00E937ED" w:rsidP="0092639E" w14:paraId="72709DB4" w14:textId="19A8CD2D">
      <w:pPr>
        <w:pStyle w:val="ListParagraph"/>
        <w:numPr>
          <w:ilvl w:val="0"/>
          <w:numId w:val="22"/>
        </w:numPr>
        <w:tabs>
          <w:tab w:val="left" w:pos="-720"/>
          <w:tab w:val="left" w:pos="540"/>
        </w:tabs>
      </w:pPr>
      <w:r w:rsidRPr="0092639E">
        <w:t>Integrat</w:t>
      </w:r>
      <w:r w:rsidR="006E2030">
        <w:t>ing</w:t>
      </w:r>
      <w:r w:rsidRPr="0092639E">
        <w:t xml:space="preserve"> </w:t>
      </w:r>
      <w:r w:rsidR="00E12DA1">
        <w:t>the</w:t>
      </w:r>
      <w:r w:rsidRPr="0092639E">
        <w:t xml:space="preserve"> </w:t>
      </w:r>
      <w:r w:rsidRPr="00CE43D5">
        <w:t>reporting</w:t>
      </w:r>
      <w:r w:rsidRPr="00E937ED">
        <w:t xml:space="preserve"> from other vendors if some law enforcement agencies within a state use other vendor’s software.</w:t>
      </w:r>
    </w:p>
    <w:p w:rsidR="00CE43D5" w:rsidRPr="00E937ED" w:rsidP="0092639E" w14:paraId="04B1E3E9" w14:textId="7BD4081E">
      <w:pPr>
        <w:pStyle w:val="ListParagraph"/>
        <w:numPr>
          <w:ilvl w:val="0"/>
          <w:numId w:val="22"/>
        </w:numPr>
        <w:tabs>
          <w:tab w:val="left" w:pos="-720"/>
          <w:tab w:val="left" w:pos="540"/>
        </w:tabs>
      </w:pPr>
      <w:r w:rsidRPr="00E937ED">
        <w:t>Creat</w:t>
      </w:r>
      <w:r w:rsidR="00E12DA1">
        <w:t>ing</w:t>
      </w:r>
      <w:r w:rsidRPr="00E937ED">
        <w:t xml:space="preserve"> data analytics and dashboard for data monitoring and reporting.</w:t>
      </w:r>
    </w:p>
    <w:p w:rsidR="00102ABA" w:rsidRPr="00F04FC6" w:rsidP="0092639E" w14:paraId="4DFB8970" w14:textId="5071FDB3">
      <w:pPr>
        <w:tabs>
          <w:tab w:val="left" w:pos="-720"/>
          <w:tab w:val="left" w:pos="540"/>
        </w:tabs>
        <w:ind w:left="720"/>
        <w:rPr>
          <w:szCs w:val="24"/>
        </w:rPr>
      </w:pPr>
      <w:r w:rsidRPr="00E937ED">
        <w:t xml:space="preserve">NHTSA estimates the labor categories in the rows of </w:t>
      </w:r>
      <w:r w:rsidRPr="00E937ED">
        <w:fldChar w:fldCharType="begin"/>
      </w:r>
      <w:r w:rsidRPr="00E937ED">
        <w:instrText xml:space="preserve"> REF _Ref128119756 \h </w:instrText>
      </w:r>
      <w:r>
        <w:instrText xml:space="preserve"> \* MERGEFORMAT </w:instrText>
      </w:r>
      <w:r w:rsidRPr="00E937ED">
        <w:fldChar w:fldCharType="separate"/>
      </w:r>
      <w:r w:rsidRPr="00170FA4">
        <w:t xml:space="preserve">Table </w:t>
      </w:r>
      <w:r w:rsidRPr="00AF1040">
        <w:t>1</w:t>
      </w:r>
      <w:r w:rsidRPr="00E937ED">
        <w:fldChar w:fldCharType="end"/>
      </w:r>
      <w:r w:rsidRPr="00E937ED">
        <w:t xml:space="preserve"> are required for the implementation of tasks above. Based on the information </w:t>
      </w:r>
      <w:r w:rsidR="00412CA3">
        <w:t xml:space="preserve">received </w:t>
      </w:r>
      <w:r w:rsidRPr="00E937ED">
        <w:t xml:space="preserve">from </w:t>
      </w:r>
      <w:r w:rsidR="00412CA3">
        <w:t>the</w:t>
      </w:r>
      <w:r w:rsidRPr="00E937ED">
        <w:t xml:space="preserve"> RFI, NHTSA estimates the labor hours for implementation and maintenance for each labor category as in the column “Implementation Total Hours” and “Maintenance Total Hours” in </w:t>
      </w:r>
      <w:r w:rsidRPr="00E937ED">
        <w:fldChar w:fldCharType="begin"/>
      </w:r>
      <w:r w:rsidRPr="00E937ED">
        <w:instrText xml:space="preserve"> REF _Ref128119756 \h </w:instrText>
      </w:r>
      <w:r>
        <w:instrText xml:space="preserve"> \* MERGEFORMAT </w:instrText>
      </w:r>
      <w:r w:rsidRPr="00E937ED">
        <w:fldChar w:fldCharType="separate"/>
      </w:r>
      <w:r w:rsidRPr="00170FA4">
        <w:t xml:space="preserve">Table </w:t>
      </w:r>
      <w:r w:rsidRPr="00CE0B06">
        <w:t>1</w:t>
      </w:r>
      <w:r w:rsidRPr="00E937ED">
        <w:fldChar w:fldCharType="end"/>
      </w:r>
      <w:r w:rsidRPr="00E937ED">
        <w:t xml:space="preserve">. </w:t>
      </w:r>
      <w:r w:rsidRPr="00003ED6">
        <w:rPr>
          <w:rStyle w:val="ui-provider"/>
          <w:szCs w:val="24"/>
        </w:rPr>
        <w:t>Labor category "Data Entry and Information Processin</w:t>
      </w:r>
      <w:r w:rsidRPr="00655530">
        <w:rPr>
          <w:rStyle w:val="ui-provider"/>
          <w:szCs w:val="24"/>
        </w:rPr>
        <w:t xml:space="preserve">g Workers" is needed when the </w:t>
      </w:r>
      <w:r w:rsidRPr="00655530">
        <w:rPr>
          <w:rStyle w:val="ui-provider"/>
          <w:szCs w:val="24"/>
        </w:rPr>
        <w:t>States trans</w:t>
      </w:r>
      <w:r w:rsidR="00F04FC6">
        <w:rPr>
          <w:rStyle w:val="ui-provider"/>
          <w:szCs w:val="24"/>
        </w:rPr>
        <w:t>ition</w:t>
      </w:r>
      <w:r w:rsidRPr="00003ED6">
        <w:rPr>
          <w:rStyle w:val="ui-provider"/>
          <w:szCs w:val="24"/>
        </w:rPr>
        <w:t xml:space="preserve"> from </w:t>
      </w:r>
      <w:r w:rsidR="00F04FC6">
        <w:rPr>
          <w:rStyle w:val="ui-provider"/>
          <w:szCs w:val="24"/>
        </w:rPr>
        <w:t xml:space="preserve">a </w:t>
      </w:r>
      <w:r w:rsidR="00C5259A">
        <w:rPr>
          <w:rStyle w:val="ui-provider"/>
          <w:szCs w:val="24"/>
        </w:rPr>
        <w:t>manual/</w:t>
      </w:r>
      <w:r w:rsidRPr="00003ED6">
        <w:rPr>
          <w:rStyle w:val="ui-provider"/>
          <w:szCs w:val="24"/>
        </w:rPr>
        <w:t xml:space="preserve">paper system to </w:t>
      </w:r>
      <w:r w:rsidR="00C5259A">
        <w:rPr>
          <w:rStyle w:val="ui-provider"/>
          <w:szCs w:val="24"/>
        </w:rPr>
        <w:t xml:space="preserve">an </w:t>
      </w:r>
      <w:r w:rsidRPr="00003ED6">
        <w:rPr>
          <w:rStyle w:val="ui-provider"/>
          <w:szCs w:val="24"/>
        </w:rPr>
        <w:t>electronic</w:t>
      </w:r>
      <w:r w:rsidRPr="00655530">
        <w:rPr>
          <w:rStyle w:val="ui-provider"/>
          <w:szCs w:val="24"/>
        </w:rPr>
        <w:t xml:space="preserve"> system. Once the </w:t>
      </w:r>
      <w:r w:rsidR="00935184">
        <w:rPr>
          <w:rStyle w:val="ui-provider"/>
          <w:szCs w:val="24"/>
        </w:rPr>
        <w:t>transition</w:t>
      </w:r>
      <w:r w:rsidRPr="00003ED6">
        <w:rPr>
          <w:rStyle w:val="ui-provider"/>
          <w:szCs w:val="24"/>
        </w:rPr>
        <w:t xml:space="preserve"> is </w:t>
      </w:r>
      <w:r w:rsidR="00935184">
        <w:rPr>
          <w:rStyle w:val="ui-provider"/>
          <w:szCs w:val="24"/>
        </w:rPr>
        <w:t>complete</w:t>
      </w:r>
      <w:r w:rsidRPr="00003ED6">
        <w:rPr>
          <w:rStyle w:val="ui-provider"/>
          <w:szCs w:val="24"/>
        </w:rPr>
        <w:t xml:space="preserve">, this labor category </w:t>
      </w:r>
      <w:r w:rsidR="00484D9E">
        <w:rPr>
          <w:rStyle w:val="ui-provider"/>
          <w:szCs w:val="24"/>
        </w:rPr>
        <w:t>i</w:t>
      </w:r>
      <w:r w:rsidRPr="00003ED6">
        <w:rPr>
          <w:rStyle w:val="ui-provider"/>
          <w:szCs w:val="24"/>
        </w:rPr>
        <w:t>s no</w:t>
      </w:r>
      <w:r w:rsidR="00484D9E">
        <w:rPr>
          <w:rStyle w:val="ui-provider"/>
          <w:szCs w:val="24"/>
        </w:rPr>
        <w:t xml:space="preserve"> longer necessary</w:t>
      </w:r>
      <w:r w:rsidRPr="00003ED6">
        <w:rPr>
          <w:rStyle w:val="ui-provider"/>
          <w:szCs w:val="24"/>
        </w:rPr>
        <w:t xml:space="preserve"> and therefore</w:t>
      </w:r>
      <w:r w:rsidR="00BF24D1">
        <w:rPr>
          <w:rStyle w:val="ui-provider"/>
          <w:szCs w:val="24"/>
        </w:rPr>
        <w:t xml:space="preserve"> is</w:t>
      </w:r>
      <w:r w:rsidRPr="00003ED6">
        <w:rPr>
          <w:rStyle w:val="ui-provider"/>
          <w:szCs w:val="24"/>
        </w:rPr>
        <w:t xml:space="preserve"> not included in the </w:t>
      </w:r>
      <w:r w:rsidRPr="00655530">
        <w:rPr>
          <w:rStyle w:val="ui-provider"/>
          <w:szCs w:val="24"/>
        </w:rPr>
        <w:t>maintenance burden estimates.</w:t>
      </w:r>
      <w:r w:rsidRPr="00102ABA">
        <w:rPr>
          <w:szCs w:val="24"/>
        </w:rPr>
        <w:t xml:space="preserve"> </w:t>
      </w:r>
    </w:p>
    <w:p w:rsidR="00CE43D5" w:rsidP="0092639E" w14:paraId="378109A8" w14:textId="245AE478">
      <w:pPr>
        <w:tabs>
          <w:tab w:val="left" w:pos="-720"/>
          <w:tab w:val="left" w:pos="540"/>
        </w:tabs>
        <w:ind w:left="720"/>
        <w:rPr>
          <w:rFonts w:eastAsia="Times New Roman" w:cs="Times New Roman"/>
          <w:szCs w:val="24"/>
        </w:rPr>
      </w:pPr>
      <w:r w:rsidRPr="00E937ED">
        <w:t>NHTSA uses the Bureau of Labor Statistics’ mean hourly wage estimate for each Labor Category in the column labeled “'Labor Rate w/o Fringe and Benefit”</w:t>
      </w:r>
      <w:r>
        <w:rPr>
          <w:vertAlign w:val="superscript"/>
        </w:rPr>
        <w:footnoteReference w:id="14"/>
      </w:r>
      <w:r w:rsidRPr="00E937ED">
        <w:t xml:space="preserve"> in </w:t>
      </w:r>
      <w:r w:rsidRPr="00E937ED">
        <w:fldChar w:fldCharType="begin"/>
      </w:r>
      <w:r w:rsidRPr="00E937ED">
        <w:instrText xml:space="preserve"> REF _Ref128119756 \h </w:instrText>
      </w:r>
      <w:r>
        <w:instrText xml:space="preserve"> \* MERGEFORMAT </w:instrText>
      </w:r>
      <w:r w:rsidRPr="00E937ED">
        <w:fldChar w:fldCharType="separate"/>
      </w:r>
      <w:r w:rsidRPr="00170FA4">
        <w:t xml:space="preserve">Table </w:t>
      </w:r>
      <w:r w:rsidRPr="00CE0B06">
        <w:t>1</w:t>
      </w:r>
      <w:r w:rsidRPr="00E937ED">
        <w:fldChar w:fldCharType="end"/>
      </w:r>
      <w:r w:rsidRPr="00E937ED">
        <w:t>.  The Bureau of Labor Statistics estimates that for State and local government workers, wages represent 61.9% of total compensation.</w:t>
      </w:r>
      <w:r>
        <w:rPr>
          <w:vertAlign w:val="superscript"/>
        </w:rPr>
        <w:footnoteReference w:id="15"/>
      </w:r>
      <w:r w:rsidRPr="0097743A">
        <w:rPr>
          <w:vertAlign w:val="superscript"/>
        </w:rPr>
        <w:t xml:space="preserve"> </w:t>
      </w:r>
      <w:r w:rsidRPr="00E937ED">
        <w:t>Therefore, the total hourly rate with fringe and benefit associated with the burden hours is calculated as below as shown in column “Labor Rate with Fringe Benefit” in</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REF _Ref128119756 \h </w:instrText>
      </w:r>
      <w:r>
        <w:rPr>
          <w:rFonts w:eastAsia="Times New Roman" w:cs="Times New Roman"/>
          <w:szCs w:val="24"/>
        </w:rPr>
        <w:fldChar w:fldCharType="separate"/>
      </w:r>
      <w:r w:rsidRPr="00170FA4">
        <w:t xml:space="preserve">Table </w:t>
      </w:r>
      <w:r w:rsidRPr="00CE0B06">
        <w:t>1</w:t>
      </w:r>
      <w:r>
        <w:rPr>
          <w:rFonts w:eastAsia="Times New Roman" w:cs="Times New Roman"/>
          <w:szCs w:val="24"/>
        </w:rPr>
        <w:fldChar w:fldCharType="end"/>
      </w:r>
      <w:r w:rsidRPr="00AF1040">
        <w:rPr>
          <w:rFonts w:eastAsia="Times New Roman" w:cs="Times New Roman"/>
          <w:szCs w:val="24"/>
        </w:rPr>
        <w:t>.</w:t>
      </w:r>
    </w:p>
    <w:p w:rsidR="00CE43D5" w:rsidRPr="00AF1040" w:rsidP="0097743A" w14:paraId="6C5C4BB8" w14:textId="6306D902">
      <w:pPr>
        <w:autoSpaceDE w:val="0"/>
        <w:autoSpaceDN w:val="0"/>
        <w:adjustRightInd w:val="0"/>
        <w:spacing w:after="0" w:line="480" w:lineRule="auto"/>
        <w:ind w:firstLine="540"/>
        <w:jc w:val="center"/>
        <w:rPr>
          <w:rFonts w:eastAsia="Times New Roman" w:cs="Times New Roman"/>
          <w:i/>
          <w:iCs/>
          <w:sz w:val="22"/>
        </w:rPr>
      </w:pPr>
      <w:r w:rsidRPr="00AF1040">
        <w:rPr>
          <w:rFonts w:eastAsia="Times New Roman" w:cs="Times New Roman"/>
          <w:i/>
          <w:iCs/>
          <w:sz w:val="22"/>
        </w:rPr>
        <w:t>Labor Rate with Fringe Benefit = Labor Rate w/o Fringe Benefit ÷ Fringe Benefit Rate</w:t>
      </w:r>
    </w:p>
    <w:p w:rsidR="00CE43D5" w:rsidRPr="00E937ED" w:rsidP="00E937ED" w14:paraId="2BD1BBF2" w14:textId="792672E6">
      <w:pPr>
        <w:tabs>
          <w:tab w:val="left" w:pos="-720"/>
          <w:tab w:val="left" w:pos="540"/>
        </w:tabs>
        <w:ind w:left="720"/>
      </w:pPr>
      <w:r w:rsidRPr="00E937ED">
        <w:t xml:space="preserve">The total cost for implementation and maintenance in </w:t>
      </w:r>
      <w:r w:rsidRPr="00E937ED">
        <w:fldChar w:fldCharType="begin"/>
      </w:r>
      <w:r w:rsidRPr="00E937ED">
        <w:instrText xml:space="preserve"> REF _Ref128119756 \h </w:instrText>
      </w:r>
      <w:r>
        <w:instrText xml:space="preserve"> \* MERGEFORMAT </w:instrText>
      </w:r>
      <w:r w:rsidRPr="00E937ED">
        <w:fldChar w:fldCharType="separate"/>
      </w:r>
      <w:r w:rsidRPr="00170FA4">
        <w:t xml:space="preserve">Table </w:t>
      </w:r>
      <w:r w:rsidRPr="00CE0B06">
        <w:t>1</w:t>
      </w:r>
      <w:r w:rsidRPr="00E937ED">
        <w:fldChar w:fldCharType="end"/>
      </w:r>
      <w:r w:rsidRPr="00E937ED">
        <w:t xml:space="preserve"> are calculated as follows:</w:t>
      </w:r>
    </w:p>
    <w:p w:rsidR="00CE43D5" w:rsidRPr="00AF1040" w:rsidP="0097743A" w14:paraId="2823EE2F" w14:textId="77777777">
      <w:pPr>
        <w:autoSpaceDE w:val="0"/>
        <w:autoSpaceDN w:val="0"/>
        <w:adjustRightInd w:val="0"/>
        <w:spacing w:after="0" w:line="480" w:lineRule="auto"/>
        <w:ind w:firstLine="540"/>
        <w:jc w:val="center"/>
        <w:rPr>
          <w:rFonts w:eastAsia="Times New Roman" w:cs="Times New Roman"/>
          <w:i/>
          <w:iCs/>
          <w:sz w:val="22"/>
        </w:rPr>
      </w:pPr>
      <w:r w:rsidRPr="00AF1040">
        <w:rPr>
          <w:rFonts w:eastAsia="Times New Roman" w:cs="Times New Roman"/>
          <w:i/>
          <w:iCs/>
          <w:sz w:val="22"/>
        </w:rPr>
        <w:t xml:space="preserve">Implementation Total Cost = Implementation Total Hours </w:t>
      </w:r>
      <w:r>
        <w:rPr>
          <w:rFonts w:eastAsia="Times New Roman" w:cs="Times New Roman"/>
          <w:i/>
          <w:iCs/>
          <w:sz w:val="22"/>
        </w:rPr>
        <w:t>×</w:t>
      </w:r>
      <w:r w:rsidRPr="00AF1040">
        <w:rPr>
          <w:rFonts w:eastAsia="Times New Roman" w:cs="Times New Roman"/>
          <w:i/>
          <w:iCs/>
          <w:sz w:val="22"/>
        </w:rPr>
        <w:t xml:space="preserve"> Labor Rate with Fringe Benefit</w:t>
      </w:r>
    </w:p>
    <w:p w:rsidR="00CE43D5" w:rsidRPr="00AF1040" w:rsidP="0097743A" w14:paraId="05754E8E" w14:textId="77777777">
      <w:pPr>
        <w:autoSpaceDE w:val="0"/>
        <w:autoSpaceDN w:val="0"/>
        <w:adjustRightInd w:val="0"/>
        <w:spacing w:after="0" w:line="480" w:lineRule="auto"/>
        <w:ind w:firstLine="540"/>
        <w:jc w:val="center"/>
        <w:rPr>
          <w:rFonts w:eastAsia="Times New Roman" w:cs="Times New Roman"/>
          <w:i/>
          <w:iCs/>
          <w:sz w:val="22"/>
        </w:rPr>
      </w:pPr>
      <w:r w:rsidRPr="00AF1040">
        <w:rPr>
          <w:rFonts w:eastAsia="Times New Roman" w:cs="Times New Roman"/>
          <w:i/>
          <w:iCs/>
          <w:sz w:val="22"/>
        </w:rPr>
        <w:t xml:space="preserve">Maintenance Total Cost = Maintenance Total Hours </w:t>
      </w:r>
      <w:r>
        <w:rPr>
          <w:rFonts w:eastAsia="Times New Roman" w:cs="Times New Roman"/>
          <w:i/>
          <w:iCs/>
          <w:sz w:val="22"/>
        </w:rPr>
        <w:t>×</w:t>
      </w:r>
      <w:r w:rsidRPr="00AF1040">
        <w:rPr>
          <w:rFonts w:eastAsia="Times New Roman" w:cs="Times New Roman"/>
          <w:i/>
          <w:iCs/>
          <w:sz w:val="22"/>
        </w:rPr>
        <w:t xml:space="preserve"> Labor Rate with Fringe Benefit</w:t>
      </w:r>
    </w:p>
    <w:p w:rsidR="00CE43D5" w:rsidRPr="00D40A9F" w:rsidP="00CE43D5" w14:paraId="164B70A5" w14:textId="7BFFEDC2">
      <w:pPr>
        <w:pStyle w:val="Caption"/>
        <w:spacing w:after="0"/>
      </w:pPr>
      <w:r w:rsidRPr="00170FA4">
        <w:t xml:space="preserve">Table </w:t>
      </w:r>
      <w:r w:rsidR="00547E70">
        <w:fldChar w:fldCharType="begin"/>
      </w:r>
      <w:r w:rsidR="00547E70">
        <w:instrText xml:space="preserve"> SEQ Table \* ARABIC </w:instrText>
      </w:r>
      <w:r w:rsidR="00547E70">
        <w:fldChar w:fldCharType="separate"/>
      </w:r>
      <w:r>
        <w:rPr>
          <w:noProof/>
        </w:rPr>
        <w:t>1</w:t>
      </w:r>
      <w:r w:rsidR="00547E70">
        <w:rPr>
          <w:noProof/>
        </w:rPr>
        <w:fldChar w:fldCharType="end"/>
      </w:r>
      <w:r w:rsidRPr="00D40A9F">
        <w:t xml:space="preserve">. Burden Estimates for </w:t>
      </w:r>
      <w:r w:rsidR="003431DD">
        <w:t>SEDC</w:t>
      </w:r>
      <w:r w:rsidRPr="00D40A9F">
        <w:t xml:space="preserve"> States</w:t>
      </w:r>
      <w:r w:rsidR="005D21CA">
        <w:t xml:space="preserve"> using EDT protocol</w:t>
      </w:r>
    </w:p>
    <w:p w:rsidR="00CE43D5" w:rsidP="00CE43D5" w14:paraId="792F55B6" w14:textId="77777777">
      <w:pPr>
        <w:autoSpaceDE w:val="0"/>
        <w:autoSpaceDN w:val="0"/>
        <w:adjustRightInd w:val="0"/>
        <w:spacing w:after="0" w:line="480" w:lineRule="auto"/>
        <w:ind w:firstLine="540"/>
        <w:rPr>
          <w:rFonts w:eastAsia="Times New Roman" w:cs="Times New Roman"/>
          <w:szCs w:val="24"/>
        </w:rPr>
      </w:pPr>
    </w:p>
    <w:tbl>
      <w:tblPr>
        <w:tblW w:w="11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0"/>
        <w:gridCol w:w="870"/>
        <w:gridCol w:w="1740"/>
        <w:gridCol w:w="1470"/>
        <w:gridCol w:w="975"/>
        <w:gridCol w:w="1155"/>
        <w:gridCol w:w="960"/>
        <w:gridCol w:w="1770"/>
        <w:gridCol w:w="1440"/>
      </w:tblGrid>
      <w:tr w14:paraId="705B13AE" w14:textId="77777777" w:rsidTr="00D869BB">
        <w:tblPrEx>
          <w:tblW w:w="11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65"/>
        </w:trPr>
        <w:tc>
          <w:tcPr>
            <w:tcW w:w="1110" w:type="dxa"/>
            <w:shd w:val="clear" w:color="auto" w:fill="BFBFBF" w:themeFill="background1" w:themeFillShade="BF"/>
            <w:vAlign w:val="center"/>
          </w:tcPr>
          <w:p w:rsidR="00CF7567" w:rsidRPr="009D63F3" w:rsidP="00463426" w14:paraId="4BFF3789" w14:textId="2F3E3AAE">
            <w:pPr>
              <w:spacing w:after="0" w:line="240" w:lineRule="auto"/>
              <w:rPr>
                <w:rFonts w:eastAsia="Times New Roman" w:cs="Times New Roman"/>
                <w:b/>
                <w:sz w:val="22"/>
              </w:rPr>
            </w:pPr>
            <w:r w:rsidRPr="009D63F3">
              <w:rPr>
                <w:rFonts w:cs="Times New Roman"/>
                <w:b/>
                <w:sz w:val="22"/>
              </w:rPr>
              <w:t>Labor Category</w:t>
            </w:r>
          </w:p>
        </w:tc>
        <w:tc>
          <w:tcPr>
            <w:tcW w:w="870" w:type="dxa"/>
            <w:shd w:val="clear" w:color="auto" w:fill="BFBFBF" w:themeFill="background1" w:themeFillShade="BF"/>
            <w:vAlign w:val="center"/>
          </w:tcPr>
          <w:p w:rsidR="00CF7567" w:rsidRPr="00324A15" w:rsidP="00324A15" w14:paraId="7A19F7D8" w14:textId="68300E16">
            <w:pPr>
              <w:jc w:val="center"/>
              <w:rPr>
                <w:rFonts w:cs="Times New Roman"/>
                <w:b/>
                <w:sz w:val="22"/>
              </w:rPr>
            </w:pPr>
            <w:r w:rsidRPr="009D63F3">
              <w:rPr>
                <w:rFonts w:cs="Times New Roman"/>
                <w:b/>
                <w:sz w:val="22"/>
              </w:rPr>
              <w:t>Labor Serie</w:t>
            </w:r>
            <w:r w:rsidR="00324A15">
              <w:rPr>
                <w:rFonts w:cs="Times New Roman"/>
                <w:b/>
                <w:sz w:val="22"/>
              </w:rPr>
              <w:t>s</w:t>
            </w:r>
          </w:p>
        </w:tc>
        <w:tc>
          <w:tcPr>
            <w:tcW w:w="1740" w:type="dxa"/>
            <w:shd w:val="clear" w:color="auto" w:fill="BFBFBF" w:themeFill="background1" w:themeFillShade="BF"/>
            <w:vAlign w:val="center"/>
            <w:hideMark/>
          </w:tcPr>
          <w:p w:rsidR="00CF7567" w:rsidRPr="009D63F3" w:rsidP="00506AD2" w14:paraId="6B2580C6" w14:textId="65188E5A">
            <w:pPr>
              <w:spacing w:after="0" w:line="240" w:lineRule="auto"/>
              <w:jc w:val="center"/>
              <w:rPr>
                <w:rFonts w:eastAsia="Times New Roman" w:cs="Times New Roman"/>
                <w:b/>
                <w:sz w:val="22"/>
              </w:rPr>
            </w:pPr>
            <w:r w:rsidRPr="009D63F3">
              <w:rPr>
                <w:rFonts w:eastAsia="Times New Roman" w:cs="Times New Roman"/>
                <w:b/>
                <w:sz w:val="22"/>
              </w:rPr>
              <w:t>Implementation Total Hours</w:t>
            </w:r>
          </w:p>
          <w:p w:rsidR="00CF7567" w:rsidRPr="009D63F3" w:rsidP="00506AD2" w14:paraId="753D18BF" w14:textId="72BC125C">
            <w:pPr>
              <w:spacing w:after="0" w:line="240" w:lineRule="auto"/>
              <w:jc w:val="center"/>
              <w:rPr>
                <w:rFonts w:eastAsia="Times New Roman" w:cs="Times New Roman"/>
                <w:b/>
                <w:sz w:val="22"/>
              </w:rPr>
            </w:pPr>
            <w:r w:rsidRPr="009D63F3">
              <w:rPr>
                <w:rFonts w:eastAsia="Times New Roman" w:cs="Times New Roman"/>
                <w:b/>
                <w:sz w:val="22"/>
              </w:rPr>
              <w:t>(</w:t>
            </w:r>
            <w:r w:rsidRPr="009D63F3" w:rsidR="00DB2642">
              <w:rPr>
                <w:rFonts w:eastAsia="Times New Roman" w:cs="Times New Roman"/>
                <w:b/>
                <w:sz w:val="22"/>
              </w:rPr>
              <w:t>hrs.</w:t>
            </w:r>
            <w:r w:rsidRPr="009D63F3">
              <w:rPr>
                <w:rFonts w:eastAsia="Times New Roman" w:cs="Times New Roman"/>
                <w:b/>
                <w:sz w:val="22"/>
              </w:rPr>
              <w:t>)</w:t>
            </w:r>
          </w:p>
        </w:tc>
        <w:tc>
          <w:tcPr>
            <w:tcW w:w="1470" w:type="dxa"/>
            <w:shd w:val="clear" w:color="auto" w:fill="BFBFBF" w:themeFill="background1" w:themeFillShade="BF"/>
            <w:vAlign w:val="center"/>
            <w:hideMark/>
          </w:tcPr>
          <w:p w:rsidR="00CF7567" w:rsidRPr="009D63F3" w:rsidP="00506AD2" w14:paraId="7E1B2C8A" w14:textId="77777777">
            <w:pPr>
              <w:spacing w:after="0" w:line="240" w:lineRule="auto"/>
              <w:jc w:val="center"/>
              <w:rPr>
                <w:rFonts w:eastAsia="Times New Roman" w:cs="Times New Roman"/>
                <w:b/>
                <w:sz w:val="22"/>
              </w:rPr>
            </w:pPr>
            <w:r w:rsidRPr="009D63F3">
              <w:rPr>
                <w:rFonts w:eastAsia="Times New Roman" w:cs="Times New Roman"/>
                <w:b/>
                <w:sz w:val="22"/>
              </w:rPr>
              <w:t>Maintenance Total Hours</w:t>
            </w:r>
          </w:p>
          <w:p w:rsidR="00CF7567" w:rsidRPr="009D63F3" w:rsidP="00506AD2" w14:paraId="43EB5B69" w14:textId="34193E92">
            <w:pPr>
              <w:spacing w:after="0" w:line="240" w:lineRule="auto"/>
              <w:jc w:val="center"/>
              <w:rPr>
                <w:rFonts w:eastAsia="Times New Roman" w:cs="Times New Roman"/>
                <w:b/>
                <w:sz w:val="22"/>
              </w:rPr>
            </w:pPr>
            <w:r w:rsidRPr="009D63F3">
              <w:rPr>
                <w:rFonts w:eastAsia="Times New Roman" w:cs="Times New Roman"/>
                <w:b/>
                <w:sz w:val="22"/>
              </w:rPr>
              <w:t>(</w:t>
            </w:r>
            <w:r w:rsidRPr="009D63F3" w:rsidR="00DB2642">
              <w:rPr>
                <w:rFonts w:eastAsia="Times New Roman" w:cs="Times New Roman"/>
                <w:b/>
                <w:sz w:val="22"/>
              </w:rPr>
              <w:t>hrs.</w:t>
            </w:r>
            <w:r w:rsidRPr="009D63F3">
              <w:rPr>
                <w:rFonts w:eastAsia="Times New Roman" w:cs="Times New Roman"/>
                <w:b/>
                <w:sz w:val="22"/>
              </w:rPr>
              <w:t>)</w:t>
            </w:r>
          </w:p>
        </w:tc>
        <w:tc>
          <w:tcPr>
            <w:tcW w:w="975" w:type="dxa"/>
            <w:shd w:val="clear" w:color="auto" w:fill="BFBFBF" w:themeFill="background1" w:themeFillShade="BF"/>
            <w:vAlign w:val="center"/>
            <w:hideMark/>
          </w:tcPr>
          <w:p w:rsidR="00CF7567" w:rsidRPr="009D63F3" w:rsidP="00506AD2" w14:paraId="371EA715" w14:textId="27189727">
            <w:pPr>
              <w:spacing w:after="0" w:line="240" w:lineRule="auto"/>
              <w:jc w:val="center"/>
              <w:rPr>
                <w:rFonts w:eastAsia="Times New Roman" w:cs="Times New Roman"/>
                <w:b/>
                <w:sz w:val="22"/>
              </w:rPr>
            </w:pPr>
            <w:r w:rsidRPr="009D63F3">
              <w:rPr>
                <w:rFonts w:eastAsia="Times New Roman" w:cs="Times New Roman"/>
                <w:b/>
                <w:sz w:val="22"/>
              </w:rPr>
              <w:t>Labor Rate w/o Fringe Benefit</w:t>
            </w:r>
            <w:r w:rsidRPr="00B527C7">
              <w:br/>
            </w:r>
            <w:r w:rsidRPr="009D63F3">
              <w:rPr>
                <w:rFonts w:eastAsia="Times New Roman" w:cs="Times New Roman"/>
                <w:b/>
                <w:sz w:val="22"/>
              </w:rPr>
              <w:t>($/</w:t>
            </w:r>
            <w:r w:rsidRPr="009D63F3" w:rsidR="00DB2642">
              <w:rPr>
                <w:rFonts w:eastAsia="Times New Roman" w:cs="Times New Roman"/>
                <w:b/>
                <w:sz w:val="22"/>
              </w:rPr>
              <w:t>hr.</w:t>
            </w:r>
            <w:r w:rsidRPr="009D63F3">
              <w:rPr>
                <w:rFonts w:eastAsia="Times New Roman" w:cs="Times New Roman"/>
                <w:b/>
                <w:sz w:val="22"/>
              </w:rPr>
              <w:t>)</w:t>
            </w:r>
          </w:p>
        </w:tc>
        <w:tc>
          <w:tcPr>
            <w:tcW w:w="1155" w:type="dxa"/>
            <w:shd w:val="clear" w:color="auto" w:fill="BFBFBF" w:themeFill="background1" w:themeFillShade="BF"/>
            <w:vAlign w:val="center"/>
            <w:hideMark/>
          </w:tcPr>
          <w:p w:rsidR="00CF7567" w:rsidRPr="009D63F3" w:rsidP="00506AD2" w14:paraId="2DFCA599" w14:textId="6876E277">
            <w:pPr>
              <w:spacing w:after="0" w:line="240" w:lineRule="auto"/>
              <w:jc w:val="center"/>
              <w:rPr>
                <w:rFonts w:eastAsia="Times New Roman" w:cs="Times New Roman"/>
                <w:b/>
                <w:sz w:val="22"/>
              </w:rPr>
            </w:pPr>
            <w:r>
              <w:rPr>
                <w:rFonts w:eastAsia="Times New Roman" w:cs="Times New Roman"/>
                <w:b/>
                <w:sz w:val="22"/>
              </w:rPr>
              <w:t>Fringe Benefit</w:t>
            </w:r>
            <w:r w:rsidRPr="009D63F3" w:rsidR="00E05170">
              <w:rPr>
                <w:rFonts w:eastAsia="Times New Roman" w:cs="Times New Roman"/>
                <w:b/>
                <w:sz w:val="22"/>
              </w:rPr>
              <w:t xml:space="preserve"> Rate</w:t>
            </w:r>
            <w:r w:rsidRPr="009D63F3" w:rsidR="00E05170">
              <w:rPr>
                <w:rFonts w:eastAsia="Times New Roman" w:cs="Times New Roman"/>
                <w:b/>
                <w:sz w:val="22"/>
              </w:rPr>
              <w:br/>
              <w:t>(%)</w:t>
            </w:r>
          </w:p>
        </w:tc>
        <w:tc>
          <w:tcPr>
            <w:tcW w:w="960" w:type="dxa"/>
            <w:shd w:val="clear" w:color="auto" w:fill="BFBFBF" w:themeFill="background1" w:themeFillShade="BF"/>
            <w:vAlign w:val="center"/>
            <w:hideMark/>
          </w:tcPr>
          <w:p w:rsidR="00CF7567" w:rsidRPr="009D63F3" w:rsidP="00506AD2" w14:paraId="5069B7AC" w14:textId="756B6DFC">
            <w:pPr>
              <w:spacing w:after="0" w:line="240" w:lineRule="auto"/>
              <w:jc w:val="center"/>
              <w:rPr>
                <w:rFonts w:eastAsia="Times New Roman" w:cs="Times New Roman"/>
                <w:b/>
                <w:sz w:val="22"/>
              </w:rPr>
            </w:pPr>
            <w:r w:rsidRPr="009D63F3">
              <w:rPr>
                <w:rFonts w:eastAsia="Times New Roman" w:cs="Times New Roman"/>
                <w:b/>
                <w:sz w:val="22"/>
              </w:rPr>
              <w:t>Labor Rate with Fringe Benefit</w:t>
            </w:r>
            <w:r w:rsidRPr="009D63F3">
              <w:rPr>
                <w:rFonts w:eastAsia="Times New Roman" w:cs="Times New Roman"/>
                <w:b/>
                <w:sz w:val="22"/>
              </w:rPr>
              <w:br/>
              <w:t>($/</w:t>
            </w:r>
            <w:r w:rsidRPr="009D63F3" w:rsidR="00DB2642">
              <w:rPr>
                <w:rFonts w:eastAsia="Times New Roman" w:cs="Times New Roman"/>
                <w:b/>
                <w:sz w:val="22"/>
              </w:rPr>
              <w:t>hr.</w:t>
            </w:r>
            <w:r w:rsidRPr="009D63F3">
              <w:rPr>
                <w:rFonts w:eastAsia="Times New Roman" w:cs="Times New Roman"/>
                <w:b/>
                <w:sz w:val="22"/>
              </w:rPr>
              <w:t>)</w:t>
            </w:r>
          </w:p>
        </w:tc>
        <w:tc>
          <w:tcPr>
            <w:tcW w:w="1770" w:type="dxa"/>
            <w:shd w:val="clear" w:color="auto" w:fill="BFBFBF" w:themeFill="background1" w:themeFillShade="BF"/>
            <w:vAlign w:val="center"/>
            <w:hideMark/>
          </w:tcPr>
          <w:p w:rsidR="00CF7567" w:rsidRPr="00C431A1" w:rsidP="00506AD2" w14:paraId="6C116928" w14:textId="54B1D239">
            <w:pPr>
              <w:spacing w:after="0" w:line="240" w:lineRule="auto"/>
              <w:jc w:val="center"/>
              <w:rPr>
                <w:rFonts w:eastAsia="Times New Roman" w:cs="Times New Roman"/>
                <w:b/>
                <w:sz w:val="22"/>
              </w:rPr>
            </w:pPr>
            <w:r w:rsidRPr="00C431A1">
              <w:rPr>
                <w:rFonts w:eastAsia="Times New Roman" w:cs="Times New Roman"/>
                <w:b/>
                <w:sz w:val="22"/>
              </w:rPr>
              <w:t xml:space="preserve">Implementation Total </w:t>
            </w:r>
            <w:r w:rsidR="00CE498C">
              <w:rPr>
                <w:rFonts w:eastAsia="Times New Roman" w:cs="Times New Roman"/>
                <w:b/>
                <w:sz w:val="22"/>
              </w:rPr>
              <w:t xml:space="preserve">Labor </w:t>
            </w:r>
            <w:r w:rsidRPr="00C431A1">
              <w:rPr>
                <w:rFonts w:eastAsia="Times New Roman" w:cs="Times New Roman"/>
                <w:b/>
                <w:sz w:val="22"/>
              </w:rPr>
              <w:t xml:space="preserve">Cost </w:t>
            </w:r>
            <w:r w:rsidRPr="00C431A1">
              <w:rPr>
                <w:rFonts w:eastAsia="Times New Roman" w:cs="Times New Roman"/>
                <w:b/>
                <w:sz w:val="22"/>
              </w:rPr>
              <w:br/>
              <w:t>(Per State)</w:t>
            </w:r>
          </w:p>
          <w:p w:rsidR="00CF7567" w:rsidRPr="009D63F3" w:rsidP="00506AD2" w14:paraId="02B81A34" w14:textId="298353D2">
            <w:pPr>
              <w:spacing w:after="0" w:line="240" w:lineRule="auto"/>
              <w:jc w:val="center"/>
              <w:rPr>
                <w:rFonts w:eastAsia="Times New Roman" w:cs="Times New Roman"/>
                <w:b/>
                <w:sz w:val="22"/>
              </w:rPr>
            </w:pPr>
            <w:r w:rsidRPr="008D0796">
              <w:rPr>
                <w:rFonts w:eastAsia="Times New Roman" w:cs="Times New Roman"/>
                <w:b/>
                <w:sz w:val="22"/>
              </w:rPr>
              <w:t>($)</w:t>
            </w:r>
          </w:p>
        </w:tc>
        <w:tc>
          <w:tcPr>
            <w:tcW w:w="1440" w:type="dxa"/>
            <w:shd w:val="clear" w:color="auto" w:fill="BFBFBF" w:themeFill="background1" w:themeFillShade="BF"/>
            <w:vAlign w:val="center"/>
            <w:hideMark/>
          </w:tcPr>
          <w:p w:rsidR="00CF7567" w:rsidRPr="009D63F3" w:rsidP="00506AD2" w14:paraId="03680A74" w14:textId="3DD0EA81">
            <w:pPr>
              <w:spacing w:after="0" w:line="240" w:lineRule="auto"/>
              <w:jc w:val="center"/>
              <w:rPr>
                <w:rFonts w:eastAsia="Times New Roman" w:cs="Times New Roman"/>
                <w:b/>
                <w:sz w:val="22"/>
              </w:rPr>
            </w:pPr>
            <w:r w:rsidRPr="009D63F3">
              <w:rPr>
                <w:rFonts w:eastAsia="Times New Roman" w:cs="Times New Roman"/>
                <w:b/>
                <w:sz w:val="22"/>
              </w:rPr>
              <w:t xml:space="preserve">Maintenance Total </w:t>
            </w:r>
            <w:r w:rsidR="00CE498C">
              <w:rPr>
                <w:rFonts w:eastAsia="Times New Roman" w:cs="Times New Roman"/>
                <w:b/>
                <w:sz w:val="22"/>
              </w:rPr>
              <w:t xml:space="preserve">Labor </w:t>
            </w:r>
            <w:r w:rsidRPr="009D63F3">
              <w:rPr>
                <w:rFonts w:eastAsia="Times New Roman" w:cs="Times New Roman"/>
                <w:b/>
                <w:sz w:val="22"/>
              </w:rPr>
              <w:t xml:space="preserve">Cost </w:t>
            </w:r>
            <w:r w:rsidRPr="009D63F3">
              <w:rPr>
                <w:rFonts w:eastAsia="Times New Roman" w:cs="Times New Roman"/>
                <w:b/>
                <w:sz w:val="22"/>
              </w:rPr>
              <w:br/>
              <w:t>(Per State)</w:t>
            </w:r>
          </w:p>
          <w:p w:rsidR="00CF7567" w:rsidRPr="009D63F3" w:rsidP="00506AD2" w14:paraId="6BD1F2C3" w14:textId="62D29493">
            <w:pPr>
              <w:spacing w:after="0" w:line="240" w:lineRule="auto"/>
              <w:jc w:val="center"/>
              <w:rPr>
                <w:rFonts w:eastAsia="Times New Roman" w:cs="Times New Roman"/>
                <w:b/>
                <w:sz w:val="22"/>
              </w:rPr>
            </w:pPr>
            <w:r w:rsidRPr="009D63F3">
              <w:rPr>
                <w:rFonts w:eastAsia="Times New Roman" w:cs="Times New Roman"/>
                <w:b/>
                <w:sz w:val="22"/>
              </w:rPr>
              <w:t>($)</w:t>
            </w:r>
          </w:p>
        </w:tc>
      </w:tr>
      <w:tr w14:paraId="10B3212B" w14:textId="77777777" w:rsidTr="00324A15">
        <w:tblPrEx>
          <w:tblW w:w="11490" w:type="dxa"/>
          <w:tblInd w:w="-905" w:type="dxa"/>
          <w:tblLayout w:type="fixed"/>
          <w:tblLook w:val="04A0"/>
        </w:tblPrEx>
        <w:trPr>
          <w:trHeight w:val="1365"/>
        </w:trPr>
        <w:tc>
          <w:tcPr>
            <w:tcW w:w="1110" w:type="dxa"/>
            <w:shd w:val="clear" w:color="auto" w:fill="auto"/>
            <w:vAlign w:val="center"/>
          </w:tcPr>
          <w:p w:rsidR="00C9253A" w:rsidRPr="00B86A41" w:rsidP="00C9253A" w14:paraId="174A26A2" w14:textId="015DDF36">
            <w:pPr>
              <w:spacing w:after="0" w:line="240" w:lineRule="auto"/>
              <w:rPr>
                <w:rFonts w:eastAsia="Times New Roman" w:cs="Times New Roman"/>
                <w:b/>
                <w:bCs/>
                <w:color w:val="000000" w:themeColor="text1"/>
                <w:sz w:val="22"/>
              </w:rPr>
            </w:pPr>
            <w:r w:rsidRPr="00B86A41">
              <w:rPr>
                <w:rFonts w:cs="Times New Roman"/>
                <w:color w:val="000000" w:themeColor="text1"/>
                <w:sz w:val="22"/>
              </w:rPr>
              <w:t>Program Manager</w:t>
            </w:r>
          </w:p>
        </w:tc>
        <w:tc>
          <w:tcPr>
            <w:tcW w:w="870" w:type="dxa"/>
            <w:shd w:val="clear" w:color="auto" w:fill="auto"/>
            <w:vAlign w:val="center"/>
          </w:tcPr>
          <w:p w:rsidR="00C9253A" w:rsidRPr="00B86A41" w:rsidP="00C9253A" w14:paraId="426EFC28" w14:textId="5F186108">
            <w:pPr>
              <w:spacing w:after="0" w:line="240" w:lineRule="auto"/>
              <w:jc w:val="center"/>
              <w:rPr>
                <w:rFonts w:eastAsia="Times New Roman" w:cs="Times New Roman"/>
                <w:b/>
                <w:bCs/>
                <w:color w:val="000000" w:themeColor="text1"/>
                <w:sz w:val="22"/>
              </w:rPr>
            </w:pPr>
            <w:r w:rsidRPr="00B86A41">
              <w:rPr>
                <w:rFonts w:cs="Times New Roman"/>
                <w:color w:val="000000" w:themeColor="text1"/>
                <w:sz w:val="22"/>
              </w:rPr>
              <w:t>11-3021</w:t>
            </w:r>
          </w:p>
        </w:tc>
        <w:tc>
          <w:tcPr>
            <w:tcW w:w="1740" w:type="dxa"/>
            <w:shd w:val="clear" w:color="auto" w:fill="auto"/>
            <w:noWrap/>
            <w:vAlign w:val="center"/>
            <w:hideMark/>
          </w:tcPr>
          <w:p w:rsidR="00C9253A" w:rsidRPr="009D58E9" w:rsidP="00324A15" w14:paraId="710F0041" w14:textId="0F899808">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1,888</w:t>
            </w:r>
          </w:p>
        </w:tc>
        <w:tc>
          <w:tcPr>
            <w:tcW w:w="1470" w:type="dxa"/>
            <w:shd w:val="clear" w:color="auto" w:fill="auto"/>
            <w:noWrap/>
            <w:vAlign w:val="center"/>
            <w:hideMark/>
          </w:tcPr>
          <w:p w:rsidR="00C9253A" w:rsidRPr="00324A15" w:rsidP="00324A15" w14:paraId="6789BC2A" w14:textId="32375376">
            <w:pPr>
              <w:jc w:val="center"/>
              <w:rPr>
                <w:b/>
                <w:bCs/>
              </w:rPr>
            </w:pPr>
            <w:r w:rsidRPr="00324A15">
              <w:rPr>
                <w:b/>
                <w:bCs/>
              </w:rPr>
              <w:t>832</w:t>
            </w:r>
          </w:p>
        </w:tc>
        <w:tc>
          <w:tcPr>
            <w:tcW w:w="975" w:type="dxa"/>
            <w:shd w:val="clear" w:color="auto" w:fill="auto"/>
            <w:vAlign w:val="center"/>
            <w:hideMark/>
          </w:tcPr>
          <w:p w:rsidR="00C9253A" w:rsidRPr="009D58E9" w:rsidP="00C9253A" w14:paraId="2A048F85"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$78.33 </w:t>
            </w:r>
          </w:p>
        </w:tc>
        <w:tc>
          <w:tcPr>
            <w:tcW w:w="1155" w:type="dxa"/>
            <w:shd w:val="clear" w:color="auto" w:fill="auto"/>
            <w:vAlign w:val="center"/>
            <w:hideMark/>
          </w:tcPr>
          <w:p w:rsidR="00C9253A" w:rsidRPr="009D58E9" w:rsidP="00C9253A" w14:paraId="0C02A940"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61.90%</w:t>
            </w:r>
          </w:p>
        </w:tc>
        <w:tc>
          <w:tcPr>
            <w:tcW w:w="960" w:type="dxa"/>
            <w:shd w:val="clear" w:color="auto" w:fill="auto"/>
            <w:vAlign w:val="center"/>
            <w:hideMark/>
          </w:tcPr>
          <w:p w:rsidR="00C9253A" w:rsidRPr="009D58E9" w:rsidP="00C9253A" w14:paraId="5D23BE1C"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$126.54 </w:t>
            </w:r>
          </w:p>
        </w:tc>
        <w:tc>
          <w:tcPr>
            <w:tcW w:w="1770" w:type="dxa"/>
            <w:shd w:val="clear" w:color="auto" w:fill="auto"/>
            <w:vAlign w:val="center"/>
            <w:hideMark/>
          </w:tcPr>
          <w:p w:rsidR="00C9253A" w:rsidRPr="009D58E9" w:rsidP="00C9253A" w14:paraId="3F412B69" w14:textId="1E798362">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$ 238,908 </w:t>
            </w:r>
          </w:p>
        </w:tc>
        <w:tc>
          <w:tcPr>
            <w:tcW w:w="1440" w:type="dxa"/>
            <w:shd w:val="clear" w:color="auto" w:fill="auto"/>
            <w:vAlign w:val="center"/>
            <w:hideMark/>
          </w:tcPr>
          <w:p w:rsidR="00C9253A" w:rsidRPr="009D58E9" w:rsidP="00C9253A" w14:paraId="422B42EC" w14:textId="24A796F5">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$ 105,281 </w:t>
            </w:r>
          </w:p>
        </w:tc>
      </w:tr>
      <w:tr w14:paraId="4079D98A" w14:textId="77777777" w:rsidTr="00324A15">
        <w:tblPrEx>
          <w:tblW w:w="11490" w:type="dxa"/>
          <w:tblInd w:w="-905" w:type="dxa"/>
          <w:tblLayout w:type="fixed"/>
          <w:tblLook w:val="04A0"/>
        </w:tblPrEx>
        <w:trPr>
          <w:trHeight w:val="1365"/>
        </w:trPr>
        <w:tc>
          <w:tcPr>
            <w:tcW w:w="1110" w:type="dxa"/>
            <w:shd w:val="clear" w:color="auto" w:fill="auto"/>
            <w:vAlign w:val="center"/>
          </w:tcPr>
          <w:p w:rsidR="00C9253A" w:rsidRPr="00B86A41" w:rsidP="00C9253A" w14:paraId="62292197" w14:textId="0948BE5D">
            <w:pPr>
              <w:spacing w:after="0" w:line="240" w:lineRule="auto"/>
              <w:rPr>
                <w:rFonts w:eastAsia="Times New Roman" w:cs="Times New Roman"/>
                <w:b/>
                <w:bCs/>
                <w:color w:val="000000" w:themeColor="text1"/>
                <w:sz w:val="22"/>
              </w:rPr>
            </w:pPr>
            <w:r w:rsidRPr="00B86A41">
              <w:rPr>
                <w:rFonts w:cs="Times New Roman"/>
                <w:color w:val="000000" w:themeColor="text1"/>
                <w:sz w:val="22"/>
              </w:rPr>
              <w:t>Computer System Analyst</w:t>
            </w:r>
          </w:p>
        </w:tc>
        <w:tc>
          <w:tcPr>
            <w:tcW w:w="870" w:type="dxa"/>
            <w:shd w:val="clear" w:color="auto" w:fill="auto"/>
            <w:vAlign w:val="center"/>
          </w:tcPr>
          <w:p w:rsidR="00C9253A" w:rsidRPr="00B86A41" w:rsidP="00C9253A" w14:paraId="446D6A36" w14:textId="454F574F">
            <w:pPr>
              <w:spacing w:after="0" w:line="240" w:lineRule="auto"/>
              <w:jc w:val="center"/>
              <w:rPr>
                <w:rFonts w:eastAsia="Times New Roman" w:cs="Times New Roman"/>
                <w:b/>
                <w:bCs/>
                <w:color w:val="000000" w:themeColor="text1"/>
                <w:sz w:val="22"/>
              </w:rPr>
            </w:pPr>
            <w:r w:rsidRPr="00B86A41">
              <w:rPr>
                <w:rFonts w:cs="Times New Roman"/>
                <w:color w:val="000000" w:themeColor="text1"/>
                <w:sz w:val="22"/>
              </w:rPr>
              <w:t>15-1211</w:t>
            </w:r>
          </w:p>
        </w:tc>
        <w:tc>
          <w:tcPr>
            <w:tcW w:w="1740" w:type="dxa"/>
            <w:shd w:val="clear" w:color="auto" w:fill="auto"/>
            <w:noWrap/>
            <w:vAlign w:val="center"/>
            <w:hideMark/>
          </w:tcPr>
          <w:p w:rsidR="00C9253A" w:rsidRPr="009D58E9" w:rsidP="00324A15" w14:paraId="430C2266" w14:textId="2C9A2D4B">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5,080</w:t>
            </w:r>
          </w:p>
        </w:tc>
        <w:tc>
          <w:tcPr>
            <w:tcW w:w="1470" w:type="dxa"/>
            <w:shd w:val="clear" w:color="auto" w:fill="auto"/>
            <w:noWrap/>
            <w:vAlign w:val="center"/>
            <w:hideMark/>
          </w:tcPr>
          <w:p w:rsidR="00C9253A" w:rsidRPr="009D58E9" w:rsidP="00324A15" w14:paraId="43906A3D" w14:textId="31C86D8A">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160</w:t>
            </w:r>
          </w:p>
        </w:tc>
        <w:tc>
          <w:tcPr>
            <w:tcW w:w="975" w:type="dxa"/>
            <w:shd w:val="clear" w:color="auto" w:fill="auto"/>
            <w:vAlign w:val="center"/>
            <w:hideMark/>
          </w:tcPr>
          <w:p w:rsidR="00C9253A" w:rsidRPr="009D58E9" w:rsidP="00C9253A" w14:paraId="16486F11"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$49.14 </w:t>
            </w:r>
          </w:p>
        </w:tc>
        <w:tc>
          <w:tcPr>
            <w:tcW w:w="1155" w:type="dxa"/>
            <w:shd w:val="clear" w:color="auto" w:fill="auto"/>
            <w:vAlign w:val="center"/>
            <w:hideMark/>
          </w:tcPr>
          <w:p w:rsidR="00C9253A" w:rsidRPr="009D58E9" w:rsidP="00C9253A" w14:paraId="73D9AEE6"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61.90%</w:t>
            </w:r>
          </w:p>
        </w:tc>
        <w:tc>
          <w:tcPr>
            <w:tcW w:w="960" w:type="dxa"/>
            <w:shd w:val="clear" w:color="auto" w:fill="auto"/>
            <w:vAlign w:val="center"/>
            <w:hideMark/>
          </w:tcPr>
          <w:p w:rsidR="00C9253A" w:rsidRPr="009D58E9" w:rsidP="00C9253A" w14:paraId="01179197"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$79.39 </w:t>
            </w:r>
          </w:p>
        </w:tc>
        <w:tc>
          <w:tcPr>
            <w:tcW w:w="1770" w:type="dxa"/>
            <w:shd w:val="clear" w:color="auto" w:fill="auto"/>
            <w:vAlign w:val="center"/>
            <w:hideMark/>
          </w:tcPr>
          <w:p w:rsidR="00C9253A" w:rsidRPr="009D58E9" w:rsidP="00C9253A" w14:paraId="0038EDDB" w14:textId="69A1EB95">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w:t>
            </w:r>
            <w:r w:rsidRPr="00463426">
              <w:rPr>
                <w:rFonts w:eastAsia="Times New Roman" w:cs="Times New Roman"/>
                <w:color w:val="000000"/>
                <w:sz w:val="22"/>
              </w:rPr>
              <w:t xml:space="preserve"> </w:t>
            </w:r>
            <w:r w:rsidRPr="009D58E9">
              <w:rPr>
                <w:rFonts w:eastAsia="Times New Roman" w:cs="Times New Roman"/>
                <w:color w:val="000000"/>
                <w:sz w:val="22"/>
              </w:rPr>
              <w:t xml:space="preserve">403,301 </w:t>
            </w:r>
          </w:p>
        </w:tc>
        <w:tc>
          <w:tcPr>
            <w:tcW w:w="1440" w:type="dxa"/>
            <w:shd w:val="clear" w:color="auto" w:fill="auto"/>
            <w:vAlign w:val="center"/>
            <w:hideMark/>
          </w:tcPr>
          <w:p w:rsidR="00C9253A" w:rsidRPr="009D58E9" w:rsidP="00C9253A" w14:paraId="23098D2E" w14:textId="4C57057A">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$ 12,702 </w:t>
            </w:r>
          </w:p>
        </w:tc>
      </w:tr>
      <w:tr w14:paraId="794A33DC" w14:textId="77777777" w:rsidTr="008A69E7">
        <w:tblPrEx>
          <w:tblW w:w="11490" w:type="dxa"/>
          <w:tblInd w:w="-905" w:type="dxa"/>
          <w:tblLayout w:type="fixed"/>
          <w:tblLook w:val="04A0"/>
        </w:tblPrEx>
        <w:trPr>
          <w:trHeight w:val="1365"/>
        </w:trPr>
        <w:tc>
          <w:tcPr>
            <w:tcW w:w="1110" w:type="dxa"/>
            <w:shd w:val="clear" w:color="auto" w:fill="auto"/>
            <w:vAlign w:val="center"/>
          </w:tcPr>
          <w:p w:rsidR="00C9253A" w:rsidRPr="00B86A41" w:rsidP="00C9253A" w14:paraId="3FD05FAE" w14:textId="2EE127FB">
            <w:pPr>
              <w:spacing w:after="0" w:line="240" w:lineRule="auto"/>
              <w:rPr>
                <w:rFonts w:eastAsia="Times New Roman" w:cs="Times New Roman"/>
                <w:b/>
                <w:bCs/>
                <w:color w:val="000000" w:themeColor="text1"/>
                <w:sz w:val="22"/>
              </w:rPr>
            </w:pPr>
            <w:r w:rsidRPr="00B86A41">
              <w:rPr>
                <w:rFonts w:cs="Times New Roman"/>
                <w:color w:val="000000" w:themeColor="text1"/>
                <w:sz w:val="22"/>
              </w:rPr>
              <w:t>Web and Digital Interface Designer</w:t>
            </w:r>
          </w:p>
        </w:tc>
        <w:tc>
          <w:tcPr>
            <w:tcW w:w="870" w:type="dxa"/>
            <w:shd w:val="clear" w:color="auto" w:fill="auto"/>
            <w:vAlign w:val="center"/>
          </w:tcPr>
          <w:p w:rsidR="00C9253A" w:rsidRPr="00B86A41" w:rsidP="00C9253A" w14:paraId="00E9571F" w14:textId="0FD53EA7">
            <w:pPr>
              <w:spacing w:after="0" w:line="240" w:lineRule="auto"/>
              <w:jc w:val="center"/>
              <w:rPr>
                <w:rFonts w:eastAsia="Times New Roman" w:cs="Times New Roman"/>
                <w:b/>
                <w:bCs/>
                <w:color w:val="000000" w:themeColor="text1"/>
                <w:sz w:val="22"/>
              </w:rPr>
            </w:pPr>
            <w:r w:rsidRPr="00B86A41">
              <w:rPr>
                <w:rFonts w:cs="Times New Roman"/>
                <w:color w:val="000000" w:themeColor="text1"/>
                <w:sz w:val="22"/>
              </w:rPr>
              <w:t>15-1255</w:t>
            </w:r>
          </w:p>
        </w:tc>
        <w:tc>
          <w:tcPr>
            <w:tcW w:w="1740" w:type="dxa"/>
            <w:shd w:val="clear" w:color="auto" w:fill="auto"/>
            <w:noWrap/>
            <w:vAlign w:val="center"/>
            <w:hideMark/>
          </w:tcPr>
          <w:p w:rsidR="00C9253A" w:rsidRPr="009D58E9" w:rsidP="00C9253A" w14:paraId="1D9B5D93" w14:textId="6ACE2188">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1,760 </w:t>
            </w:r>
          </w:p>
        </w:tc>
        <w:tc>
          <w:tcPr>
            <w:tcW w:w="1470" w:type="dxa"/>
            <w:shd w:val="clear" w:color="auto" w:fill="auto"/>
            <w:noWrap/>
            <w:vAlign w:val="center"/>
            <w:hideMark/>
          </w:tcPr>
          <w:p w:rsidR="00C9253A" w:rsidRPr="009D58E9" w:rsidP="00C9253A" w14:paraId="6C618D18" w14:textId="73F73FAB">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416 </w:t>
            </w:r>
          </w:p>
        </w:tc>
        <w:tc>
          <w:tcPr>
            <w:tcW w:w="975" w:type="dxa"/>
            <w:shd w:val="clear" w:color="auto" w:fill="auto"/>
            <w:vAlign w:val="center"/>
            <w:hideMark/>
          </w:tcPr>
          <w:p w:rsidR="00C9253A" w:rsidRPr="009D58E9" w:rsidP="00C9253A" w14:paraId="756EB080"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$49.50 </w:t>
            </w:r>
          </w:p>
        </w:tc>
        <w:tc>
          <w:tcPr>
            <w:tcW w:w="1155" w:type="dxa"/>
            <w:shd w:val="clear" w:color="auto" w:fill="auto"/>
            <w:vAlign w:val="center"/>
            <w:hideMark/>
          </w:tcPr>
          <w:p w:rsidR="00C9253A" w:rsidRPr="009D58E9" w:rsidP="00C9253A" w14:paraId="32761629"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61.90%</w:t>
            </w:r>
          </w:p>
        </w:tc>
        <w:tc>
          <w:tcPr>
            <w:tcW w:w="960" w:type="dxa"/>
            <w:shd w:val="clear" w:color="auto" w:fill="auto"/>
            <w:vAlign w:val="center"/>
            <w:hideMark/>
          </w:tcPr>
          <w:p w:rsidR="00C9253A" w:rsidRPr="009D58E9" w:rsidP="00C9253A" w14:paraId="773CFFE1"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$79.97 </w:t>
            </w:r>
          </w:p>
        </w:tc>
        <w:tc>
          <w:tcPr>
            <w:tcW w:w="1770" w:type="dxa"/>
            <w:shd w:val="clear" w:color="auto" w:fill="auto"/>
            <w:vAlign w:val="center"/>
            <w:hideMark/>
          </w:tcPr>
          <w:p w:rsidR="00C9253A" w:rsidRPr="009D58E9" w:rsidP="00C9253A" w14:paraId="7A314489" w14:textId="0993CF76">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$ 140,747 </w:t>
            </w:r>
          </w:p>
        </w:tc>
        <w:tc>
          <w:tcPr>
            <w:tcW w:w="1440" w:type="dxa"/>
            <w:shd w:val="clear" w:color="auto" w:fill="auto"/>
            <w:vAlign w:val="center"/>
            <w:hideMark/>
          </w:tcPr>
          <w:p w:rsidR="00C9253A" w:rsidRPr="009D58E9" w:rsidP="00C9253A" w14:paraId="4F1F27E4" w14:textId="7EEAF822">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$ 33,268 </w:t>
            </w:r>
          </w:p>
        </w:tc>
      </w:tr>
      <w:tr w14:paraId="5FD9CBF4" w14:textId="77777777" w:rsidTr="008A69E7">
        <w:tblPrEx>
          <w:tblW w:w="11490" w:type="dxa"/>
          <w:tblInd w:w="-905" w:type="dxa"/>
          <w:tblLayout w:type="fixed"/>
          <w:tblLook w:val="04A0"/>
        </w:tblPrEx>
        <w:trPr>
          <w:trHeight w:val="1365"/>
        </w:trPr>
        <w:tc>
          <w:tcPr>
            <w:tcW w:w="1110" w:type="dxa"/>
            <w:shd w:val="clear" w:color="auto" w:fill="auto"/>
            <w:vAlign w:val="center"/>
          </w:tcPr>
          <w:p w:rsidR="00C9253A" w:rsidRPr="00B86A41" w:rsidP="00C9253A" w14:paraId="1FF52C30" w14:textId="264B442F">
            <w:pPr>
              <w:spacing w:after="0" w:line="240" w:lineRule="auto"/>
              <w:rPr>
                <w:rFonts w:eastAsia="Times New Roman" w:cs="Times New Roman"/>
                <w:b/>
                <w:bCs/>
                <w:color w:val="000000" w:themeColor="text1"/>
                <w:sz w:val="22"/>
              </w:rPr>
            </w:pPr>
            <w:r w:rsidRPr="00B86A41">
              <w:rPr>
                <w:rFonts w:cs="Times New Roman"/>
                <w:color w:val="000000" w:themeColor="text1"/>
                <w:sz w:val="22"/>
              </w:rPr>
              <w:t>Software Developer</w:t>
            </w:r>
          </w:p>
        </w:tc>
        <w:tc>
          <w:tcPr>
            <w:tcW w:w="870" w:type="dxa"/>
            <w:shd w:val="clear" w:color="auto" w:fill="auto"/>
            <w:vAlign w:val="center"/>
          </w:tcPr>
          <w:p w:rsidR="00C9253A" w:rsidRPr="00B86A41" w:rsidP="00C9253A" w14:paraId="739CBB8B" w14:textId="02D1550E">
            <w:pPr>
              <w:spacing w:after="0" w:line="240" w:lineRule="auto"/>
              <w:jc w:val="center"/>
              <w:rPr>
                <w:rFonts w:eastAsia="Times New Roman" w:cs="Times New Roman"/>
                <w:b/>
                <w:bCs/>
                <w:color w:val="000000" w:themeColor="text1"/>
                <w:sz w:val="22"/>
              </w:rPr>
            </w:pPr>
            <w:r w:rsidRPr="00B86A41">
              <w:rPr>
                <w:rFonts w:cs="Times New Roman"/>
                <w:color w:val="000000" w:themeColor="text1"/>
                <w:sz w:val="22"/>
              </w:rPr>
              <w:t>15-1252</w:t>
            </w:r>
          </w:p>
        </w:tc>
        <w:tc>
          <w:tcPr>
            <w:tcW w:w="1740" w:type="dxa"/>
            <w:shd w:val="clear" w:color="auto" w:fill="auto"/>
            <w:noWrap/>
            <w:vAlign w:val="center"/>
            <w:hideMark/>
          </w:tcPr>
          <w:p w:rsidR="00C9253A" w:rsidRPr="009D58E9" w:rsidP="00C9253A" w14:paraId="2EB47D8D" w14:textId="1BB115C4">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10,240 </w:t>
            </w:r>
          </w:p>
        </w:tc>
        <w:tc>
          <w:tcPr>
            <w:tcW w:w="1470" w:type="dxa"/>
            <w:shd w:val="clear" w:color="auto" w:fill="auto"/>
            <w:noWrap/>
            <w:vAlign w:val="center"/>
            <w:hideMark/>
          </w:tcPr>
          <w:p w:rsidR="00C9253A" w:rsidRPr="009D58E9" w:rsidP="00C9253A" w14:paraId="5D416329" w14:textId="6F527981">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1,280 </w:t>
            </w:r>
          </w:p>
        </w:tc>
        <w:tc>
          <w:tcPr>
            <w:tcW w:w="975" w:type="dxa"/>
            <w:shd w:val="clear" w:color="auto" w:fill="auto"/>
            <w:vAlign w:val="center"/>
            <w:hideMark/>
          </w:tcPr>
          <w:p w:rsidR="00C9253A" w:rsidRPr="009D58E9" w:rsidP="00C9253A" w14:paraId="30860D0A"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$58.17 </w:t>
            </w:r>
          </w:p>
        </w:tc>
        <w:tc>
          <w:tcPr>
            <w:tcW w:w="1155" w:type="dxa"/>
            <w:shd w:val="clear" w:color="auto" w:fill="auto"/>
            <w:vAlign w:val="center"/>
            <w:hideMark/>
          </w:tcPr>
          <w:p w:rsidR="00C9253A" w:rsidRPr="009D58E9" w:rsidP="00C9253A" w14:paraId="21AEF6C0"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61.90%</w:t>
            </w:r>
          </w:p>
        </w:tc>
        <w:tc>
          <w:tcPr>
            <w:tcW w:w="960" w:type="dxa"/>
            <w:shd w:val="clear" w:color="auto" w:fill="auto"/>
            <w:vAlign w:val="center"/>
            <w:hideMark/>
          </w:tcPr>
          <w:p w:rsidR="00C9253A" w:rsidRPr="009D58E9" w:rsidP="00C9253A" w14:paraId="503CED7B"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$93.97 </w:t>
            </w:r>
          </w:p>
        </w:tc>
        <w:tc>
          <w:tcPr>
            <w:tcW w:w="1770" w:type="dxa"/>
            <w:shd w:val="clear" w:color="auto" w:fill="auto"/>
            <w:vAlign w:val="center"/>
            <w:hideMark/>
          </w:tcPr>
          <w:p w:rsidR="00C9253A" w:rsidRPr="009D58E9" w:rsidP="00C9253A" w14:paraId="4C6F5755" w14:textId="21E25B06">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$962,253 </w:t>
            </w:r>
          </w:p>
        </w:tc>
        <w:tc>
          <w:tcPr>
            <w:tcW w:w="1440" w:type="dxa"/>
            <w:shd w:val="clear" w:color="auto" w:fill="auto"/>
            <w:vAlign w:val="center"/>
            <w:hideMark/>
          </w:tcPr>
          <w:p w:rsidR="00C9253A" w:rsidRPr="009D58E9" w:rsidP="00C9253A" w14:paraId="667634F0" w14:textId="44D72BFE">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$ 120,282 </w:t>
            </w:r>
          </w:p>
        </w:tc>
      </w:tr>
      <w:tr w14:paraId="4E2D33F6" w14:textId="77777777" w:rsidTr="008A69E7">
        <w:tblPrEx>
          <w:tblW w:w="11490" w:type="dxa"/>
          <w:tblInd w:w="-905" w:type="dxa"/>
          <w:tblLayout w:type="fixed"/>
          <w:tblLook w:val="04A0"/>
        </w:tblPrEx>
        <w:trPr>
          <w:trHeight w:val="1365"/>
        </w:trPr>
        <w:tc>
          <w:tcPr>
            <w:tcW w:w="1110" w:type="dxa"/>
            <w:shd w:val="clear" w:color="auto" w:fill="auto"/>
            <w:vAlign w:val="center"/>
          </w:tcPr>
          <w:p w:rsidR="00C9253A" w:rsidRPr="00B86A41" w:rsidP="00C9253A" w14:paraId="5B55703E" w14:textId="308373AD">
            <w:pPr>
              <w:spacing w:after="0" w:line="240" w:lineRule="auto"/>
              <w:rPr>
                <w:rFonts w:eastAsia="Times New Roman" w:cs="Times New Roman"/>
                <w:b/>
                <w:bCs/>
                <w:color w:val="000000" w:themeColor="text1"/>
                <w:sz w:val="22"/>
              </w:rPr>
            </w:pPr>
            <w:r w:rsidRPr="00B86A41">
              <w:rPr>
                <w:rFonts w:cs="Times New Roman"/>
                <w:color w:val="000000" w:themeColor="text1"/>
                <w:sz w:val="22"/>
              </w:rPr>
              <w:t>Web Developers</w:t>
            </w:r>
          </w:p>
        </w:tc>
        <w:tc>
          <w:tcPr>
            <w:tcW w:w="870" w:type="dxa"/>
            <w:shd w:val="clear" w:color="auto" w:fill="auto"/>
            <w:vAlign w:val="center"/>
          </w:tcPr>
          <w:p w:rsidR="00C9253A" w:rsidRPr="00B86A41" w:rsidP="00C9253A" w14:paraId="528CC189" w14:textId="33B89908">
            <w:pPr>
              <w:spacing w:after="0" w:line="240" w:lineRule="auto"/>
              <w:jc w:val="center"/>
              <w:rPr>
                <w:rFonts w:eastAsia="Times New Roman" w:cs="Times New Roman"/>
                <w:b/>
                <w:bCs/>
                <w:color w:val="000000" w:themeColor="text1"/>
                <w:sz w:val="22"/>
              </w:rPr>
            </w:pPr>
            <w:r w:rsidRPr="00B86A41">
              <w:rPr>
                <w:rFonts w:cs="Times New Roman"/>
                <w:color w:val="000000" w:themeColor="text1"/>
                <w:sz w:val="22"/>
              </w:rPr>
              <w:t>15-1254</w:t>
            </w:r>
          </w:p>
        </w:tc>
        <w:tc>
          <w:tcPr>
            <w:tcW w:w="1740" w:type="dxa"/>
            <w:shd w:val="clear" w:color="auto" w:fill="auto"/>
            <w:noWrap/>
            <w:vAlign w:val="center"/>
            <w:hideMark/>
          </w:tcPr>
          <w:p w:rsidR="00C9253A" w:rsidRPr="009D58E9" w:rsidP="00C9253A" w14:paraId="417237A4" w14:textId="1F567329">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5,920 </w:t>
            </w:r>
          </w:p>
        </w:tc>
        <w:tc>
          <w:tcPr>
            <w:tcW w:w="1470" w:type="dxa"/>
            <w:shd w:val="clear" w:color="auto" w:fill="auto"/>
            <w:noWrap/>
            <w:vAlign w:val="center"/>
            <w:hideMark/>
          </w:tcPr>
          <w:p w:rsidR="00C9253A" w:rsidRPr="009D58E9" w:rsidP="00C9253A" w14:paraId="55CD6CE9" w14:textId="4A0C49C4">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1,280 </w:t>
            </w:r>
          </w:p>
        </w:tc>
        <w:tc>
          <w:tcPr>
            <w:tcW w:w="975" w:type="dxa"/>
            <w:shd w:val="clear" w:color="auto" w:fill="auto"/>
            <w:vAlign w:val="center"/>
            <w:hideMark/>
          </w:tcPr>
          <w:p w:rsidR="00C9253A" w:rsidRPr="009D58E9" w:rsidP="00C9253A" w14:paraId="44D81AC9"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$39.09 </w:t>
            </w:r>
          </w:p>
        </w:tc>
        <w:tc>
          <w:tcPr>
            <w:tcW w:w="1155" w:type="dxa"/>
            <w:shd w:val="clear" w:color="auto" w:fill="auto"/>
            <w:vAlign w:val="center"/>
            <w:hideMark/>
          </w:tcPr>
          <w:p w:rsidR="00C9253A" w:rsidRPr="009D58E9" w:rsidP="00C9253A" w14:paraId="31885954"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61.90%</w:t>
            </w:r>
          </w:p>
        </w:tc>
        <w:tc>
          <w:tcPr>
            <w:tcW w:w="960" w:type="dxa"/>
            <w:shd w:val="clear" w:color="auto" w:fill="auto"/>
            <w:vAlign w:val="center"/>
            <w:hideMark/>
          </w:tcPr>
          <w:p w:rsidR="00C9253A" w:rsidRPr="009D58E9" w:rsidP="00C9253A" w14:paraId="56D7A9DB"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$63.15 </w:t>
            </w:r>
          </w:p>
        </w:tc>
        <w:tc>
          <w:tcPr>
            <w:tcW w:w="1770" w:type="dxa"/>
            <w:shd w:val="clear" w:color="auto" w:fill="auto"/>
            <w:vAlign w:val="center"/>
            <w:hideMark/>
          </w:tcPr>
          <w:p w:rsidR="00C9253A" w:rsidRPr="009D58E9" w:rsidP="00C9253A" w14:paraId="2A9C1532" w14:textId="36B21A26">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$ 373,848 </w:t>
            </w:r>
          </w:p>
        </w:tc>
        <w:tc>
          <w:tcPr>
            <w:tcW w:w="1440" w:type="dxa"/>
            <w:shd w:val="clear" w:color="auto" w:fill="auto"/>
            <w:vAlign w:val="center"/>
            <w:hideMark/>
          </w:tcPr>
          <w:p w:rsidR="00C9253A" w:rsidRPr="009D58E9" w:rsidP="00C9253A" w14:paraId="40E5E273" w14:textId="07BF91ED">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$ 80,832 </w:t>
            </w:r>
          </w:p>
        </w:tc>
      </w:tr>
      <w:tr w14:paraId="6D9D1710" w14:textId="77777777" w:rsidTr="008A69E7">
        <w:tblPrEx>
          <w:tblW w:w="11490" w:type="dxa"/>
          <w:tblInd w:w="-905" w:type="dxa"/>
          <w:tblLayout w:type="fixed"/>
          <w:tblLook w:val="04A0"/>
        </w:tblPrEx>
        <w:trPr>
          <w:trHeight w:val="1365"/>
        </w:trPr>
        <w:tc>
          <w:tcPr>
            <w:tcW w:w="1110" w:type="dxa"/>
            <w:shd w:val="clear" w:color="auto" w:fill="auto"/>
            <w:vAlign w:val="center"/>
          </w:tcPr>
          <w:p w:rsidR="00C9253A" w:rsidRPr="00B86A41" w:rsidP="00C9253A" w14:paraId="0EE60A0C" w14:textId="3DF97AF4">
            <w:pPr>
              <w:spacing w:after="0" w:line="240" w:lineRule="auto"/>
              <w:rPr>
                <w:rFonts w:eastAsia="Times New Roman" w:cs="Times New Roman"/>
                <w:b/>
                <w:bCs/>
                <w:color w:val="000000" w:themeColor="text1"/>
                <w:sz w:val="22"/>
              </w:rPr>
            </w:pPr>
            <w:r w:rsidRPr="00B86A41">
              <w:rPr>
                <w:rFonts w:cs="Times New Roman"/>
                <w:color w:val="000000" w:themeColor="text1"/>
                <w:sz w:val="22"/>
              </w:rPr>
              <w:t>Software Quality Assurance Analysts and Testers</w:t>
            </w:r>
          </w:p>
        </w:tc>
        <w:tc>
          <w:tcPr>
            <w:tcW w:w="870" w:type="dxa"/>
            <w:shd w:val="clear" w:color="auto" w:fill="auto"/>
            <w:vAlign w:val="center"/>
          </w:tcPr>
          <w:p w:rsidR="00C9253A" w:rsidRPr="00B86A41" w:rsidP="00C9253A" w14:paraId="6B242463" w14:textId="4BD3A26C">
            <w:pPr>
              <w:spacing w:after="0" w:line="240" w:lineRule="auto"/>
              <w:jc w:val="center"/>
              <w:rPr>
                <w:rFonts w:eastAsia="Times New Roman" w:cs="Times New Roman"/>
                <w:b/>
                <w:bCs/>
                <w:color w:val="000000" w:themeColor="text1"/>
                <w:sz w:val="22"/>
              </w:rPr>
            </w:pPr>
            <w:r w:rsidRPr="00B86A41">
              <w:rPr>
                <w:rFonts w:cs="Times New Roman"/>
                <w:color w:val="000000" w:themeColor="text1"/>
                <w:sz w:val="22"/>
              </w:rPr>
              <w:t>15-1252</w:t>
            </w:r>
          </w:p>
        </w:tc>
        <w:tc>
          <w:tcPr>
            <w:tcW w:w="1740" w:type="dxa"/>
            <w:shd w:val="clear" w:color="auto" w:fill="auto"/>
            <w:noWrap/>
            <w:vAlign w:val="center"/>
            <w:hideMark/>
          </w:tcPr>
          <w:p w:rsidR="00C9253A" w:rsidRPr="009D58E9" w:rsidP="00C9253A" w14:paraId="372F4A92" w14:textId="7EAA6CFD">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7,040 </w:t>
            </w:r>
          </w:p>
        </w:tc>
        <w:tc>
          <w:tcPr>
            <w:tcW w:w="1470" w:type="dxa"/>
            <w:shd w:val="clear" w:color="auto" w:fill="auto"/>
            <w:noWrap/>
            <w:vAlign w:val="center"/>
            <w:hideMark/>
          </w:tcPr>
          <w:p w:rsidR="00C9253A" w:rsidRPr="009D58E9" w:rsidP="00C9253A" w14:paraId="2C4C9397" w14:textId="6AC17987">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1,280 </w:t>
            </w:r>
          </w:p>
        </w:tc>
        <w:tc>
          <w:tcPr>
            <w:tcW w:w="975" w:type="dxa"/>
            <w:shd w:val="clear" w:color="auto" w:fill="auto"/>
            <w:vAlign w:val="center"/>
            <w:hideMark/>
          </w:tcPr>
          <w:p w:rsidR="00C9253A" w:rsidRPr="009D58E9" w:rsidP="00C9253A" w14:paraId="10C6C573"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$46.97 </w:t>
            </w:r>
          </w:p>
        </w:tc>
        <w:tc>
          <w:tcPr>
            <w:tcW w:w="1155" w:type="dxa"/>
            <w:shd w:val="clear" w:color="auto" w:fill="auto"/>
            <w:vAlign w:val="center"/>
            <w:hideMark/>
          </w:tcPr>
          <w:p w:rsidR="00C9253A" w:rsidRPr="009D58E9" w:rsidP="00C9253A" w14:paraId="34918C18"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61.90%</w:t>
            </w:r>
          </w:p>
        </w:tc>
        <w:tc>
          <w:tcPr>
            <w:tcW w:w="960" w:type="dxa"/>
            <w:shd w:val="clear" w:color="auto" w:fill="auto"/>
            <w:vAlign w:val="center"/>
            <w:hideMark/>
          </w:tcPr>
          <w:p w:rsidR="00C9253A" w:rsidRPr="009D58E9" w:rsidP="00C9253A" w14:paraId="4EB83ADA"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$75.88 </w:t>
            </w:r>
          </w:p>
        </w:tc>
        <w:tc>
          <w:tcPr>
            <w:tcW w:w="1770" w:type="dxa"/>
            <w:shd w:val="clear" w:color="auto" w:fill="auto"/>
            <w:vAlign w:val="center"/>
            <w:hideMark/>
          </w:tcPr>
          <w:p w:rsidR="00C9253A" w:rsidRPr="009D58E9" w:rsidP="00C9253A" w14:paraId="0CB697A3" w14:textId="51526A92">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$ 534,195 </w:t>
            </w:r>
          </w:p>
        </w:tc>
        <w:tc>
          <w:tcPr>
            <w:tcW w:w="1440" w:type="dxa"/>
            <w:shd w:val="clear" w:color="auto" w:fill="auto"/>
            <w:vAlign w:val="center"/>
            <w:hideMark/>
          </w:tcPr>
          <w:p w:rsidR="00C9253A" w:rsidRPr="009D58E9" w:rsidP="00C9253A" w14:paraId="53E404E8" w14:textId="48CC3FA0">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$ 97,126 </w:t>
            </w:r>
          </w:p>
        </w:tc>
      </w:tr>
      <w:tr w14:paraId="4B658F84" w14:textId="77777777" w:rsidTr="008A69E7">
        <w:tblPrEx>
          <w:tblW w:w="11490" w:type="dxa"/>
          <w:tblInd w:w="-905" w:type="dxa"/>
          <w:tblLayout w:type="fixed"/>
          <w:tblLook w:val="04A0"/>
        </w:tblPrEx>
        <w:trPr>
          <w:trHeight w:val="1365"/>
        </w:trPr>
        <w:tc>
          <w:tcPr>
            <w:tcW w:w="1110" w:type="dxa"/>
            <w:shd w:val="clear" w:color="auto" w:fill="auto"/>
            <w:vAlign w:val="center"/>
          </w:tcPr>
          <w:p w:rsidR="00C9253A" w:rsidRPr="00B86A41" w:rsidP="00C9253A" w14:paraId="5719F93D" w14:textId="26EECAF1">
            <w:pPr>
              <w:spacing w:after="0" w:line="240" w:lineRule="auto"/>
              <w:rPr>
                <w:rFonts w:eastAsia="Times New Roman" w:cs="Times New Roman"/>
                <w:b/>
                <w:bCs/>
                <w:color w:val="000000" w:themeColor="text1"/>
                <w:sz w:val="22"/>
              </w:rPr>
            </w:pPr>
            <w:r w:rsidRPr="00B86A41">
              <w:rPr>
                <w:rFonts w:cs="Times New Roman"/>
                <w:color w:val="000000" w:themeColor="text1"/>
                <w:sz w:val="22"/>
              </w:rPr>
              <w:t>Database Architects</w:t>
            </w:r>
          </w:p>
        </w:tc>
        <w:tc>
          <w:tcPr>
            <w:tcW w:w="870" w:type="dxa"/>
            <w:shd w:val="clear" w:color="auto" w:fill="auto"/>
            <w:vAlign w:val="center"/>
          </w:tcPr>
          <w:p w:rsidR="00C9253A" w:rsidRPr="00B86A41" w:rsidP="00C9253A" w14:paraId="042027C8" w14:textId="110AE3E7">
            <w:pPr>
              <w:spacing w:after="0" w:line="240" w:lineRule="auto"/>
              <w:jc w:val="center"/>
              <w:rPr>
                <w:rFonts w:eastAsia="Times New Roman" w:cs="Times New Roman"/>
                <w:b/>
                <w:bCs/>
                <w:color w:val="000000" w:themeColor="text1"/>
                <w:sz w:val="22"/>
              </w:rPr>
            </w:pPr>
            <w:r w:rsidRPr="00B86A41">
              <w:rPr>
                <w:rFonts w:cs="Times New Roman"/>
                <w:color w:val="000000" w:themeColor="text1"/>
                <w:sz w:val="22"/>
              </w:rPr>
              <w:t>15-1243</w:t>
            </w:r>
          </w:p>
        </w:tc>
        <w:tc>
          <w:tcPr>
            <w:tcW w:w="1740" w:type="dxa"/>
            <w:shd w:val="clear" w:color="auto" w:fill="auto"/>
            <w:noWrap/>
            <w:vAlign w:val="center"/>
            <w:hideMark/>
          </w:tcPr>
          <w:p w:rsidR="00C9253A" w:rsidRPr="009D58E9" w:rsidP="00C9253A" w14:paraId="3E8AB866" w14:textId="25B74D60">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3,520 </w:t>
            </w:r>
          </w:p>
        </w:tc>
        <w:tc>
          <w:tcPr>
            <w:tcW w:w="1470" w:type="dxa"/>
            <w:shd w:val="clear" w:color="auto" w:fill="auto"/>
            <w:noWrap/>
            <w:vAlign w:val="center"/>
            <w:hideMark/>
          </w:tcPr>
          <w:p w:rsidR="00C9253A" w:rsidRPr="009D58E9" w:rsidP="00C9253A" w14:paraId="6AD0F6FF" w14:textId="1B601F04">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960 </w:t>
            </w:r>
          </w:p>
        </w:tc>
        <w:tc>
          <w:tcPr>
            <w:tcW w:w="975" w:type="dxa"/>
            <w:shd w:val="clear" w:color="auto" w:fill="auto"/>
            <w:vAlign w:val="center"/>
            <w:hideMark/>
          </w:tcPr>
          <w:p w:rsidR="00C9253A" w:rsidRPr="009D58E9" w:rsidP="00C9253A" w14:paraId="6DA07B96"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$58.58 </w:t>
            </w:r>
          </w:p>
        </w:tc>
        <w:tc>
          <w:tcPr>
            <w:tcW w:w="1155" w:type="dxa"/>
            <w:shd w:val="clear" w:color="auto" w:fill="auto"/>
            <w:vAlign w:val="center"/>
            <w:hideMark/>
          </w:tcPr>
          <w:p w:rsidR="00C9253A" w:rsidRPr="009D58E9" w:rsidP="00C9253A" w14:paraId="40B21983"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61.90%</w:t>
            </w:r>
          </w:p>
        </w:tc>
        <w:tc>
          <w:tcPr>
            <w:tcW w:w="960" w:type="dxa"/>
            <w:shd w:val="clear" w:color="auto" w:fill="auto"/>
            <w:vAlign w:val="center"/>
            <w:hideMark/>
          </w:tcPr>
          <w:p w:rsidR="00C9253A" w:rsidRPr="009D58E9" w:rsidP="00C9253A" w14:paraId="0B897F59"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$94.64 </w:t>
            </w:r>
          </w:p>
        </w:tc>
        <w:tc>
          <w:tcPr>
            <w:tcW w:w="1770" w:type="dxa"/>
            <w:shd w:val="clear" w:color="auto" w:fill="auto"/>
            <w:vAlign w:val="center"/>
            <w:hideMark/>
          </w:tcPr>
          <w:p w:rsidR="00C9253A" w:rsidRPr="009D58E9" w:rsidP="00C9253A" w14:paraId="34E73B1F" w14:textId="4B031BE8">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$ 333,133 </w:t>
            </w:r>
          </w:p>
        </w:tc>
        <w:tc>
          <w:tcPr>
            <w:tcW w:w="1440" w:type="dxa"/>
            <w:shd w:val="clear" w:color="auto" w:fill="auto"/>
            <w:vAlign w:val="center"/>
            <w:hideMark/>
          </w:tcPr>
          <w:p w:rsidR="00C9253A" w:rsidRPr="009D58E9" w:rsidP="00C9253A" w14:paraId="25D3DA2C" w14:textId="5EB1B3D1">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$ 90,854 </w:t>
            </w:r>
          </w:p>
        </w:tc>
      </w:tr>
      <w:tr w14:paraId="523490E9" w14:textId="77777777" w:rsidTr="008A69E7">
        <w:tblPrEx>
          <w:tblW w:w="11490" w:type="dxa"/>
          <w:tblInd w:w="-905" w:type="dxa"/>
          <w:tblLayout w:type="fixed"/>
          <w:tblLook w:val="04A0"/>
        </w:tblPrEx>
        <w:trPr>
          <w:trHeight w:val="1365"/>
        </w:trPr>
        <w:tc>
          <w:tcPr>
            <w:tcW w:w="1110" w:type="dxa"/>
            <w:shd w:val="clear" w:color="auto" w:fill="auto"/>
            <w:vAlign w:val="center"/>
          </w:tcPr>
          <w:p w:rsidR="00C9253A" w:rsidRPr="00B86A41" w:rsidP="00C9253A" w14:paraId="2108DA45" w14:textId="31EC5366">
            <w:pPr>
              <w:spacing w:after="0" w:line="240" w:lineRule="auto"/>
              <w:rPr>
                <w:rFonts w:eastAsia="Times New Roman" w:cs="Times New Roman"/>
                <w:b/>
                <w:bCs/>
                <w:color w:val="000000" w:themeColor="text1"/>
                <w:sz w:val="22"/>
              </w:rPr>
            </w:pPr>
            <w:r w:rsidRPr="00B86A41">
              <w:rPr>
                <w:rFonts w:cs="Times New Roman"/>
                <w:color w:val="000000" w:themeColor="text1"/>
                <w:sz w:val="22"/>
              </w:rPr>
              <w:t>Information Security Analysts</w:t>
            </w:r>
          </w:p>
        </w:tc>
        <w:tc>
          <w:tcPr>
            <w:tcW w:w="870" w:type="dxa"/>
            <w:shd w:val="clear" w:color="auto" w:fill="auto"/>
            <w:vAlign w:val="center"/>
          </w:tcPr>
          <w:p w:rsidR="00C9253A" w:rsidRPr="00B86A41" w:rsidP="00C9253A" w14:paraId="5DC04F77" w14:textId="69D5C026">
            <w:pPr>
              <w:spacing w:after="0" w:line="240" w:lineRule="auto"/>
              <w:jc w:val="center"/>
              <w:rPr>
                <w:rFonts w:eastAsia="Times New Roman" w:cs="Times New Roman"/>
                <w:b/>
                <w:bCs/>
                <w:color w:val="000000" w:themeColor="text1"/>
                <w:sz w:val="22"/>
              </w:rPr>
            </w:pPr>
            <w:r w:rsidRPr="00B86A41">
              <w:rPr>
                <w:rFonts w:cs="Times New Roman"/>
                <w:color w:val="000000" w:themeColor="text1"/>
                <w:sz w:val="22"/>
              </w:rPr>
              <w:t>15-1212</w:t>
            </w:r>
          </w:p>
        </w:tc>
        <w:tc>
          <w:tcPr>
            <w:tcW w:w="1740" w:type="dxa"/>
            <w:shd w:val="clear" w:color="auto" w:fill="auto"/>
            <w:noWrap/>
            <w:vAlign w:val="center"/>
            <w:hideMark/>
          </w:tcPr>
          <w:p w:rsidR="00C9253A" w:rsidRPr="009D58E9" w:rsidP="00C9253A" w14:paraId="123FAA60" w14:textId="0927FA77">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1,384 </w:t>
            </w:r>
          </w:p>
        </w:tc>
        <w:tc>
          <w:tcPr>
            <w:tcW w:w="1470" w:type="dxa"/>
            <w:shd w:val="clear" w:color="auto" w:fill="auto"/>
            <w:noWrap/>
            <w:vAlign w:val="center"/>
            <w:hideMark/>
          </w:tcPr>
          <w:p w:rsidR="00C9253A" w:rsidRPr="009D58E9" w:rsidP="00C9253A" w14:paraId="2F77DC2C" w14:textId="5192904E">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80 </w:t>
            </w:r>
          </w:p>
        </w:tc>
        <w:tc>
          <w:tcPr>
            <w:tcW w:w="975" w:type="dxa"/>
            <w:shd w:val="clear" w:color="auto" w:fill="auto"/>
            <w:vAlign w:val="center"/>
            <w:hideMark/>
          </w:tcPr>
          <w:p w:rsidR="00C9253A" w:rsidRPr="009D58E9" w:rsidP="00C9253A" w14:paraId="24465FC6"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$54.46 </w:t>
            </w:r>
          </w:p>
        </w:tc>
        <w:tc>
          <w:tcPr>
            <w:tcW w:w="1155" w:type="dxa"/>
            <w:shd w:val="clear" w:color="auto" w:fill="auto"/>
            <w:vAlign w:val="center"/>
            <w:hideMark/>
          </w:tcPr>
          <w:p w:rsidR="00C9253A" w:rsidRPr="009D58E9" w:rsidP="00C9253A" w14:paraId="3AD4F5F6"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61.90%</w:t>
            </w:r>
          </w:p>
        </w:tc>
        <w:tc>
          <w:tcPr>
            <w:tcW w:w="960" w:type="dxa"/>
            <w:shd w:val="clear" w:color="auto" w:fill="auto"/>
            <w:vAlign w:val="center"/>
            <w:hideMark/>
          </w:tcPr>
          <w:p w:rsidR="00C9253A" w:rsidRPr="009D58E9" w:rsidP="00C9253A" w14:paraId="16ECBFB4"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$87.98 </w:t>
            </w:r>
          </w:p>
        </w:tc>
        <w:tc>
          <w:tcPr>
            <w:tcW w:w="1770" w:type="dxa"/>
            <w:shd w:val="clear" w:color="auto" w:fill="auto"/>
            <w:vAlign w:val="center"/>
            <w:hideMark/>
          </w:tcPr>
          <w:p w:rsidR="00C9253A" w:rsidRPr="009D58E9" w:rsidP="00C9253A" w14:paraId="13830DFF" w14:textId="14BAD7AB">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$ 121,764 </w:t>
            </w:r>
          </w:p>
        </w:tc>
        <w:tc>
          <w:tcPr>
            <w:tcW w:w="1440" w:type="dxa"/>
            <w:shd w:val="clear" w:color="auto" w:fill="auto"/>
            <w:vAlign w:val="center"/>
            <w:hideMark/>
          </w:tcPr>
          <w:p w:rsidR="00C9253A" w:rsidRPr="009D58E9" w:rsidP="00C9253A" w14:paraId="25BCAC8E" w14:textId="212D306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$ 7,038 </w:t>
            </w:r>
          </w:p>
        </w:tc>
      </w:tr>
      <w:tr w14:paraId="0F40D5BE" w14:textId="77777777" w:rsidTr="008A69E7">
        <w:tblPrEx>
          <w:tblW w:w="11490" w:type="dxa"/>
          <w:tblInd w:w="-905" w:type="dxa"/>
          <w:tblLayout w:type="fixed"/>
          <w:tblLook w:val="04A0"/>
        </w:tblPrEx>
        <w:trPr>
          <w:trHeight w:val="1365"/>
        </w:trPr>
        <w:tc>
          <w:tcPr>
            <w:tcW w:w="1110" w:type="dxa"/>
            <w:shd w:val="clear" w:color="auto" w:fill="auto"/>
            <w:vAlign w:val="center"/>
          </w:tcPr>
          <w:p w:rsidR="00C9253A" w:rsidRPr="00B86A41" w:rsidP="00C9253A" w14:paraId="2FC7B643" w14:textId="52482D58">
            <w:pPr>
              <w:spacing w:after="0" w:line="240" w:lineRule="auto"/>
              <w:rPr>
                <w:rFonts w:eastAsia="Times New Roman" w:cs="Times New Roman"/>
                <w:b/>
                <w:bCs/>
                <w:color w:val="000000" w:themeColor="text1"/>
                <w:sz w:val="22"/>
              </w:rPr>
            </w:pPr>
            <w:r w:rsidRPr="00B86A41">
              <w:rPr>
                <w:rFonts w:cs="Times New Roman"/>
                <w:color w:val="000000" w:themeColor="text1"/>
                <w:sz w:val="22"/>
              </w:rPr>
              <w:t>Data Entry and Information Processing Workers</w:t>
            </w:r>
          </w:p>
        </w:tc>
        <w:tc>
          <w:tcPr>
            <w:tcW w:w="870" w:type="dxa"/>
            <w:shd w:val="clear" w:color="auto" w:fill="auto"/>
            <w:vAlign w:val="center"/>
          </w:tcPr>
          <w:p w:rsidR="00C9253A" w:rsidRPr="00B86A41" w:rsidP="00C9253A" w14:paraId="55BEFE1E" w14:textId="48396A97">
            <w:pPr>
              <w:spacing w:after="0" w:line="240" w:lineRule="auto"/>
              <w:jc w:val="center"/>
              <w:rPr>
                <w:rFonts w:eastAsia="Times New Roman" w:cs="Times New Roman"/>
                <w:b/>
                <w:bCs/>
                <w:color w:val="000000" w:themeColor="text1"/>
                <w:sz w:val="22"/>
              </w:rPr>
            </w:pPr>
            <w:r w:rsidRPr="00B86A41">
              <w:rPr>
                <w:rFonts w:cs="Times New Roman"/>
                <w:color w:val="000000" w:themeColor="text1"/>
                <w:sz w:val="22"/>
              </w:rPr>
              <w:t>43-9020</w:t>
            </w:r>
          </w:p>
        </w:tc>
        <w:tc>
          <w:tcPr>
            <w:tcW w:w="1740" w:type="dxa"/>
            <w:shd w:val="clear" w:color="auto" w:fill="auto"/>
            <w:noWrap/>
            <w:vAlign w:val="center"/>
            <w:hideMark/>
          </w:tcPr>
          <w:p w:rsidR="00C9253A" w:rsidRPr="009D58E9" w:rsidP="00C9253A" w14:paraId="45A825DE" w14:textId="42446AB8">
            <w:pPr>
              <w:spacing w:after="0" w:line="240" w:lineRule="auto"/>
              <w:jc w:val="center"/>
              <w:rPr>
                <w:rFonts w:eastAsia="Times New Roman" w:cs="Times New Roman"/>
                <w:b/>
                <w:bCs/>
                <w:color w:val="000000"/>
                <w:sz w:val="22"/>
              </w:rPr>
            </w:pPr>
            <w:r w:rsidRPr="009D58E9">
              <w:rPr>
                <w:rFonts w:eastAsia="Times New Roman" w:cs="Times New Roman"/>
                <w:b/>
                <w:bCs/>
                <w:color w:val="000000"/>
                <w:sz w:val="22"/>
              </w:rPr>
              <w:t xml:space="preserve">4,192 </w:t>
            </w:r>
          </w:p>
        </w:tc>
        <w:tc>
          <w:tcPr>
            <w:tcW w:w="1470" w:type="dxa"/>
            <w:shd w:val="clear" w:color="auto" w:fill="auto"/>
            <w:noWrap/>
            <w:vAlign w:val="center"/>
            <w:hideMark/>
          </w:tcPr>
          <w:p w:rsidR="00C9253A" w:rsidRPr="009D58E9" w:rsidP="00C9253A" w14:paraId="5EC18CB7" w14:textId="4E80F4A0">
            <w:pPr>
              <w:spacing w:after="0" w:line="240" w:lineRule="auto"/>
              <w:jc w:val="center"/>
              <w:rPr>
                <w:rFonts w:eastAsia="Times New Roman" w:cs="Times New Roman"/>
                <w:b/>
                <w:bCs/>
                <w:color w:val="000000"/>
                <w:sz w:val="22"/>
              </w:rPr>
            </w:pPr>
            <w:r>
              <w:rPr>
                <w:rFonts w:eastAsia="Times New Roman" w:cs="Times New Roman"/>
                <w:b/>
                <w:bCs/>
                <w:color w:val="000000"/>
                <w:sz w:val="22"/>
              </w:rPr>
              <w:t>0</w:t>
            </w:r>
          </w:p>
        </w:tc>
        <w:tc>
          <w:tcPr>
            <w:tcW w:w="975" w:type="dxa"/>
            <w:shd w:val="clear" w:color="auto" w:fill="auto"/>
            <w:vAlign w:val="center"/>
            <w:hideMark/>
          </w:tcPr>
          <w:p w:rsidR="00C9253A" w:rsidRPr="009D58E9" w:rsidP="00C9253A" w14:paraId="424024DE"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$18.70 </w:t>
            </w:r>
          </w:p>
        </w:tc>
        <w:tc>
          <w:tcPr>
            <w:tcW w:w="1155" w:type="dxa"/>
            <w:shd w:val="clear" w:color="auto" w:fill="auto"/>
            <w:vAlign w:val="center"/>
            <w:hideMark/>
          </w:tcPr>
          <w:p w:rsidR="00C9253A" w:rsidRPr="009D58E9" w:rsidP="00C9253A" w14:paraId="31D33111"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61.90%</w:t>
            </w:r>
          </w:p>
        </w:tc>
        <w:tc>
          <w:tcPr>
            <w:tcW w:w="960" w:type="dxa"/>
            <w:shd w:val="clear" w:color="auto" w:fill="auto"/>
            <w:vAlign w:val="center"/>
            <w:hideMark/>
          </w:tcPr>
          <w:p w:rsidR="00C9253A" w:rsidRPr="009D58E9" w:rsidP="00C9253A" w14:paraId="0E0E198B" w14:textId="77777777">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$30.21 </w:t>
            </w:r>
          </w:p>
        </w:tc>
        <w:tc>
          <w:tcPr>
            <w:tcW w:w="1770" w:type="dxa"/>
            <w:shd w:val="clear" w:color="auto" w:fill="auto"/>
            <w:vAlign w:val="center"/>
            <w:hideMark/>
          </w:tcPr>
          <w:p w:rsidR="00C9253A" w:rsidRPr="009D58E9" w:rsidP="00C9253A" w14:paraId="4DF69E18" w14:textId="0C0E1EA8">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$ 126,640 </w:t>
            </w:r>
          </w:p>
        </w:tc>
        <w:tc>
          <w:tcPr>
            <w:tcW w:w="1440" w:type="dxa"/>
            <w:shd w:val="clear" w:color="auto" w:fill="auto"/>
            <w:vAlign w:val="center"/>
            <w:hideMark/>
          </w:tcPr>
          <w:p w:rsidR="00C9253A" w:rsidRPr="009D58E9" w:rsidP="00C9253A" w14:paraId="091BEC31" w14:textId="0E4975C4">
            <w:pPr>
              <w:spacing w:after="0" w:line="240" w:lineRule="auto"/>
              <w:jc w:val="center"/>
              <w:rPr>
                <w:rFonts w:eastAsia="Times New Roman" w:cs="Times New Roman"/>
                <w:color w:val="000000"/>
                <w:sz w:val="22"/>
              </w:rPr>
            </w:pPr>
            <w:r w:rsidRPr="009D58E9">
              <w:rPr>
                <w:rFonts w:eastAsia="Times New Roman" w:cs="Times New Roman"/>
                <w:color w:val="000000"/>
                <w:sz w:val="22"/>
              </w:rPr>
              <w:t xml:space="preserve"> </w:t>
            </w:r>
            <w:r w:rsidR="00BF00EC">
              <w:rPr>
                <w:rFonts w:eastAsia="Times New Roman" w:cs="Times New Roman"/>
                <w:color w:val="000000"/>
                <w:sz w:val="22"/>
              </w:rPr>
              <w:t>$0</w:t>
            </w:r>
            <w:r w:rsidRPr="009D58E9">
              <w:rPr>
                <w:rFonts w:eastAsia="Times New Roman" w:cs="Times New Roman"/>
                <w:color w:val="000000"/>
                <w:sz w:val="22"/>
              </w:rPr>
              <w:t xml:space="preserve"> </w:t>
            </w:r>
          </w:p>
        </w:tc>
      </w:tr>
      <w:tr w14:paraId="6CA43F0E" w14:textId="77777777" w:rsidTr="00324A15">
        <w:tblPrEx>
          <w:tblW w:w="11490" w:type="dxa"/>
          <w:tblInd w:w="-905" w:type="dxa"/>
          <w:tblLayout w:type="fixed"/>
          <w:tblLook w:val="04A0"/>
        </w:tblPrEx>
        <w:trPr>
          <w:trHeight w:val="1365"/>
        </w:trPr>
        <w:tc>
          <w:tcPr>
            <w:tcW w:w="1110" w:type="dxa"/>
            <w:shd w:val="clear" w:color="auto" w:fill="BFBFBF" w:themeFill="background1" w:themeFillShade="BF"/>
            <w:vAlign w:val="center"/>
          </w:tcPr>
          <w:p w:rsidR="00CF7567" w:rsidRPr="00B86A41" w:rsidP="00463426" w14:paraId="1C0B9F00" w14:textId="36007923">
            <w:pPr>
              <w:spacing w:after="0" w:line="240" w:lineRule="auto"/>
              <w:rPr>
                <w:rFonts w:eastAsia="Times New Roman" w:cs="Times New Roman"/>
                <w:b/>
                <w:bCs/>
                <w:color w:val="000000" w:themeColor="text1"/>
                <w:sz w:val="22"/>
              </w:rPr>
            </w:pPr>
            <w:r w:rsidRPr="00B86A41">
              <w:rPr>
                <w:rFonts w:cs="Times New Roman"/>
                <w:b/>
                <w:bCs/>
                <w:color w:val="000000" w:themeColor="text1"/>
                <w:sz w:val="22"/>
              </w:rPr>
              <w:t>Total</w:t>
            </w:r>
          </w:p>
        </w:tc>
        <w:tc>
          <w:tcPr>
            <w:tcW w:w="870" w:type="dxa"/>
            <w:shd w:val="clear" w:color="auto" w:fill="BFBFBF" w:themeFill="background1" w:themeFillShade="BF"/>
          </w:tcPr>
          <w:p w:rsidR="00CF7567" w:rsidRPr="00B86A41" w:rsidP="00506AD2" w14:paraId="5E0AE295" w14:textId="77777777">
            <w:pPr>
              <w:spacing w:after="0" w:line="240" w:lineRule="auto"/>
              <w:jc w:val="center"/>
              <w:rPr>
                <w:rFonts w:eastAsia="Times New Roman" w:cs="Times New Roman"/>
                <w:b/>
                <w:bCs/>
                <w:color w:val="000000" w:themeColor="text1"/>
                <w:sz w:val="22"/>
              </w:rPr>
            </w:pPr>
          </w:p>
        </w:tc>
        <w:tc>
          <w:tcPr>
            <w:tcW w:w="1740" w:type="dxa"/>
            <w:shd w:val="clear" w:color="auto" w:fill="BFBFBF" w:themeFill="background1" w:themeFillShade="BF"/>
            <w:noWrap/>
            <w:vAlign w:val="center"/>
            <w:hideMark/>
          </w:tcPr>
          <w:p w:rsidR="00CF7567" w:rsidRPr="009D58E9" w:rsidP="00324A15" w14:paraId="45548781" w14:textId="2186CAD9">
            <w:pPr>
              <w:spacing w:after="0" w:line="240" w:lineRule="auto"/>
              <w:jc w:val="center"/>
              <w:rPr>
                <w:rFonts w:eastAsia="Times New Roman" w:cs="Times New Roman"/>
                <w:b/>
                <w:bCs/>
                <w:color w:val="FF0000"/>
                <w:sz w:val="22"/>
              </w:rPr>
            </w:pPr>
            <w:r w:rsidRPr="009C3046">
              <w:rPr>
                <w:rFonts w:eastAsia="Times New Roman" w:cs="Times New Roman"/>
                <w:b/>
                <w:color w:val="000000" w:themeColor="text1"/>
                <w:sz w:val="22"/>
              </w:rPr>
              <w:t>41,024</w:t>
            </w:r>
          </w:p>
        </w:tc>
        <w:tc>
          <w:tcPr>
            <w:tcW w:w="1470" w:type="dxa"/>
            <w:shd w:val="clear" w:color="auto" w:fill="BFBFBF" w:themeFill="background1" w:themeFillShade="BF"/>
            <w:noWrap/>
            <w:vAlign w:val="center"/>
            <w:hideMark/>
          </w:tcPr>
          <w:p w:rsidR="00CF7567" w:rsidRPr="009D58E9" w:rsidP="00324A15" w14:paraId="56DF4384" w14:textId="4B209C1B">
            <w:pPr>
              <w:spacing w:after="0" w:line="240" w:lineRule="auto"/>
              <w:jc w:val="center"/>
              <w:rPr>
                <w:rFonts w:eastAsia="Times New Roman" w:cs="Times New Roman"/>
                <w:b/>
                <w:bCs/>
                <w:color w:val="FF0000"/>
                <w:sz w:val="22"/>
              </w:rPr>
            </w:pPr>
            <w:r w:rsidRPr="009C3046">
              <w:rPr>
                <w:rFonts w:eastAsia="Times New Roman" w:cs="Times New Roman"/>
                <w:b/>
                <w:color w:val="000000" w:themeColor="text1"/>
                <w:sz w:val="22"/>
              </w:rPr>
              <w:t>6,288</w:t>
            </w:r>
          </w:p>
        </w:tc>
        <w:tc>
          <w:tcPr>
            <w:tcW w:w="975" w:type="dxa"/>
            <w:shd w:val="clear" w:color="auto" w:fill="BFBFBF" w:themeFill="background1" w:themeFillShade="BF"/>
            <w:vAlign w:val="center"/>
            <w:hideMark/>
          </w:tcPr>
          <w:p w:rsidR="00CF7567" w:rsidRPr="009D58E9" w:rsidP="00324A15" w14:paraId="4E2E0F1F" w14:textId="3D119745">
            <w:pPr>
              <w:spacing w:after="0" w:line="240" w:lineRule="auto"/>
              <w:jc w:val="center"/>
              <w:rPr>
                <w:rFonts w:eastAsia="Times New Roman" w:cs="Times New Roman"/>
                <w:b/>
                <w:bCs/>
                <w:color w:val="000000"/>
                <w:sz w:val="22"/>
              </w:rPr>
            </w:pPr>
          </w:p>
        </w:tc>
        <w:tc>
          <w:tcPr>
            <w:tcW w:w="1155" w:type="dxa"/>
            <w:shd w:val="clear" w:color="auto" w:fill="BFBFBF" w:themeFill="background1" w:themeFillShade="BF"/>
            <w:vAlign w:val="center"/>
            <w:hideMark/>
          </w:tcPr>
          <w:p w:rsidR="00CF7567" w:rsidRPr="009D58E9" w:rsidP="00324A15" w14:paraId="5806EEE1" w14:textId="66E4F546">
            <w:pPr>
              <w:spacing w:after="0" w:line="240" w:lineRule="auto"/>
              <w:jc w:val="center"/>
              <w:rPr>
                <w:rFonts w:eastAsia="Times New Roman" w:cs="Times New Roman"/>
                <w:b/>
                <w:bCs/>
                <w:color w:val="000000"/>
                <w:sz w:val="22"/>
              </w:rPr>
            </w:pPr>
          </w:p>
        </w:tc>
        <w:tc>
          <w:tcPr>
            <w:tcW w:w="960" w:type="dxa"/>
            <w:shd w:val="clear" w:color="auto" w:fill="BFBFBF" w:themeFill="background1" w:themeFillShade="BF"/>
            <w:vAlign w:val="center"/>
            <w:hideMark/>
          </w:tcPr>
          <w:p w:rsidR="00CF7567" w:rsidRPr="009D58E9" w:rsidP="00324A15" w14:paraId="1D0706AE" w14:textId="78A27C02">
            <w:pPr>
              <w:spacing w:after="0" w:line="240" w:lineRule="auto"/>
              <w:jc w:val="center"/>
              <w:rPr>
                <w:rFonts w:eastAsia="Times New Roman" w:cs="Times New Roman"/>
                <w:b/>
                <w:bCs/>
                <w:color w:val="000000"/>
                <w:sz w:val="22"/>
              </w:rPr>
            </w:pPr>
          </w:p>
        </w:tc>
        <w:tc>
          <w:tcPr>
            <w:tcW w:w="1770" w:type="dxa"/>
            <w:shd w:val="clear" w:color="auto" w:fill="BFBFBF" w:themeFill="background1" w:themeFillShade="BF"/>
            <w:noWrap/>
            <w:vAlign w:val="center"/>
            <w:hideMark/>
          </w:tcPr>
          <w:p w:rsidR="00CF7567" w:rsidRPr="009D58E9" w:rsidP="00324A15" w14:paraId="31980BFE" w14:textId="162519F9">
            <w:pPr>
              <w:spacing w:after="0" w:line="240" w:lineRule="auto"/>
              <w:jc w:val="center"/>
              <w:rPr>
                <w:rFonts w:eastAsia="Times New Roman" w:cs="Times New Roman"/>
                <w:b/>
                <w:bCs/>
                <w:color w:val="C00000"/>
                <w:sz w:val="22"/>
              </w:rPr>
            </w:pPr>
            <w:r w:rsidRPr="009C3046">
              <w:rPr>
                <w:rFonts w:eastAsia="Times New Roman" w:cs="Times New Roman"/>
                <w:b/>
                <w:color w:val="000000" w:themeColor="text1"/>
                <w:sz w:val="22"/>
              </w:rPr>
              <w:t>$ 3,234,789</w:t>
            </w:r>
          </w:p>
        </w:tc>
        <w:tc>
          <w:tcPr>
            <w:tcW w:w="1440" w:type="dxa"/>
            <w:shd w:val="clear" w:color="auto" w:fill="BFBFBF" w:themeFill="background1" w:themeFillShade="BF"/>
            <w:noWrap/>
            <w:vAlign w:val="center"/>
            <w:hideMark/>
          </w:tcPr>
          <w:p w:rsidR="00CF7567" w:rsidRPr="009D58E9" w:rsidP="00324A15" w14:paraId="3110CD64" w14:textId="5979D6EE">
            <w:pPr>
              <w:spacing w:after="0" w:line="240" w:lineRule="auto"/>
              <w:jc w:val="center"/>
              <w:rPr>
                <w:rFonts w:eastAsia="Times New Roman" w:cs="Times New Roman"/>
                <w:b/>
                <w:bCs/>
                <w:color w:val="C00000"/>
                <w:sz w:val="22"/>
              </w:rPr>
            </w:pPr>
            <w:r w:rsidRPr="009C3046">
              <w:rPr>
                <w:rFonts w:eastAsia="Times New Roman" w:cs="Times New Roman"/>
                <w:b/>
                <w:color w:val="000000" w:themeColor="text1"/>
                <w:sz w:val="22"/>
              </w:rPr>
              <w:t>$ 547,384</w:t>
            </w:r>
          </w:p>
        </w:tc>
      </w:tr>
    </w:tbl>
    <w:p w:rsidR="009D58E9" w:rsidRPr="00AF1040" w:rsidP="00CE43D5" w14:paraId="0C9CAC1A" w14:textId="77777777">
      <w:pPr>
        <w:autoSpaceDE w:val="0"/>
        <w:autoSpaceDN w:val="0"/>
        <w:adjustRightInd w:val="0"/>
        <w:spacing w:after="0" w:line="480" w:lineRule="auto"/>
        <w:ind w:firstLine="540"/>
        <w:rPr>
          <w:rFonts w:eastAsia="Times New Roman" w:cs="Times New Roman"/>
          <w:szCs w:val="24"/>
        </w:rPr>
      </w:pPr>
    </w:p>
    <w:p w:rsidR="00C06E2A" w:rsidRPr="00E937ED" w:rsidP="00C06E2A" w14:paraId="4426246C" w14:textId="4E454ECF">
      <w:pPr>
        <w:tabs>
          <w:tab w:val="left" w:pos="-720"/>
          <w:tab w:val="left" w:pos="540"/>
        </w:tabs>
        <w:ind w:left="720"/>
      </w:pPr>
      <w:r w:rsidRPr="00E937ED">
        <w:t xml:space="preserve">Thus, total labor cost for </w:t>
      </w:r>
      <w:r>
        <w:t>SEDC</w:t>
      </w:r>
      <w:r w:rsidRPr="00E937ED">
        <w:t xml:space="preserve"> EDT implementation cost per State </w:t>
      </w:r>
      <w:r w:rsidR="00CB2ADE">
        <w:t>is</w:t>
      </w:r>
      <w:r w:rsidRPr="00E937ED">
        <w:t xml:space="preserve"> estimated to be $3,234,</w:t>
      </w:r>
      <w:r>
        <w:t>789</w:t>
      </w:r>
      <w:r w:rsidRPr="00E937ED">
        <w:t xml:space="preserve"> with burden hours </w:t>
      </w:r>
      <w:r>
        <w:t>as</w:t>
      </w:r>
      <w:r w:rsidRPr="00E937ED">
        <w:t xml:space="preserve"> 41,024.  The total annual maintenance burden cost per year per State is estimated to be $547,38</w:t>
      </w:r>
      <w:r>
        <w:t>4</w:t>
      </w:r>
      <w:r w:rsidRPr="00E937ED">
        <w:t xml:space="preserve"> with burden hour</w:t>
      </w:r>
      <w:r>
        <w:t>s</w:t>
      </w:r>
      <w:r w:rsidRPr="00E937ED">
        <w:t xml:space="preserve"> as 6,288. </w:t>
      </w:r>
    </w:p>
    <w:p w:rsidR="00CE43D5" w:rsidRPr="00902BAC" w:rsidP="00902BAC" w14:paraId="27F81171" w14:textId="28473FCC">
      <w:pPr>
        <w:tabs>
          <w:tab w:val="left" w:pos="540"/>
        </w:tabs>
        <w:ind w:left="720"/>
      </w:pPr>
      <w:r w:rsidRPr="0092639E">
        <w:t xml:space="preserve">NHTSA </w:t>
      </w:r>
      <w:r>
        <w:t xml:space="preserve">anticipates that </w:t>
      </w:r>
      <w:r w:rsidR="001B0B80">
        <w:t>d</w:t>
      </w:r>
      <w:r>
        <w:t xml:space="preserve">uring the first year of the grant, States will be in the development and implementation phase, where data transmission is not </w:t>
      </w:r>
      <w:r w:rsidR="2F47E549">
        <w:t>expected</w:t>
      </w:r>
      <w:r>
        <w:t xml:space="preserve">. </w:t>
      </w:r>
      <w:r>
        <w:t>Beginning with year two (2), and into year three (3), it is estimated that approximately ten (10) States per year will</w:t>
      </w:r>
      <w:r w:rsidRPr="0092639E">
        <w:t xml:space="preserve"> start </w:t>
      </w:r>
      <w:r>
        <w:t>transmitting data</w:t>
      </w:r>
      <w:r w:rsidRPr="0092639E">
        <w:t xml:space="preserve"> to NHTSA using the EDT protocol. </w:t>
      </w:r>
      <w:r>
        <w:t>Therefore, the average of number of State to transmit data to NHTSA for the three (3) years is 7 ((10</w:t>
      </w:r>
      <w:r w:rsidR="001F0502">
        <w:t xml:space="preserve"> </w:t>
      </w:r>
      <w:r>
        <w:t>+10)</w:t>
      </w:r>
      <w:r w:rsidRPr="00F40F86">
        <w:rPr>
          <w:rFonts w:cs="Times New Roman"/>
        </w:rPr>
        <w:t xml:space="preserve"> </w:t>
      </w:r>
      <w:r>
        <w:rPr>
          <w:rFonts w:cs="Times New Roman"/>
        </w:rPr>
        <w:t>÷</w:t>
      </w:r>
      <w:r w:rsidR="0004090B">
        <w:rPr>
          <w:rFonts w:cs="Times New Roman"/>
        </w:rPr>
        <w:t xml:space="preserve"> </w:t>
      </w:r>
      <w:r>
        <w:rPr>
          <w:rFonts w:cs="Times New Roman"/>
        </w:rPr>
        <w:t>3</w:t>
      </w:r>
      <w:r w:rsidR="001E1F14">
        <w:rPr>
          <w:rFonts w:cs="Times New Roman"/>
        </w:rPr>
        <w:t xml:space="preserve"> </w:t>
      </w:r>
      <w:r>
        <w:rPr>
          <w:rFonts w:cs="Times New Roman"/>
        </w:rPr>
        <w:t>=</w:t>
      </w:r>
      <w:r w:rsidR="00547F1C">
        <w:rPr>
          <w:rFonts w:cs="Times New Roman"/>
        </w:rPr>
        <w:t xml:space="preserve"> </w:t>
      </w:r>
      <w:r>
        <w:rPr>
          <w:rFonts w:cs="Times New Roman"/>
        </w:rPr>
        <w:t>6.77, then round 6.77 up to the nearest integer which is 7).</w:t>
      </w:r>
      <w:r w:rsidRPr="0092639E">
        <w:t xml:space="preserve"> </w:t>
      </w:r>
      <w:r w:rsidR="0087247C">
        <w:t xml:space="preserve">In this case </w:t>
      </w:r>
      <w:r w:rsidR="008359E1">
        <w:t xml:space="preserve">during year three (3), there will be </w:t>
      </w:r>
      <w:r w:rsidR="00B00CD0">
        <w:t>ten (</w:t>
      </w:r>
      <w:r w:rsidR="008359E1">
        <w:t>10</w:t>
      </w:r>
      <w:r w:rsidR="00B00CD0">
        <w:t>)</w:t>
      </w:r>
      <w:r w:rsidR="008359E1">
        <w:t xml:space="preserve"> states </w:t>
      </w:r>
      <w:r w:rsidR="00B00CD0">
        <w:t xml:space="preserve">in maintenance phase. These are the ten (10) state which </w:t>
      </w:r>
      <w:r w:rsidR="008359E1">
        <w:t>start transmission data to NHTSA during year two (2)</w:t>
      </w:r>
      <w:r w:rsidR="00B00CD0">
        <w:t xml:space="preserve">. </w:t>
      </w:r>
      <w:r w:rsidR="00495672">
        <w:t>T</w:t>
      </w:r>
      <w:r w:rsidR="00B00CD0">
        <w:t>he average number of states in maintenance phase is 4 (10</w:t>
      </w:r>
      <w:r w:rsidR="00AA6465">
        <w:t xml:space="preserve"> </w:t>
      </w:r>
      <w:r w:rsidR="00B00CD0">
        <w:rPr>
          <w:rFonts w:cs="Times New Roman"/>
        </w:rPr>
        <w:t>÷</w:t>
      </w:r>
      <w:r w:rsidR="00AA6465">
        <w:rPr>
          <w:rFonts w:cs="Times New Roman"/>
        </w:rPr>
        <w:t xml:space="preserve"> </w:t>
      </w:r>
      <w:r w:rsidR="00B00CD0">
        <w:rPr>
          <w:rFonts w:cs="Times New Roman"/>
        </w:rPr>
        <w:t>3</w:t>
      </w:r>
      <w:r w:rsidR="00AA6465">
        <w:rPr>
          <w:rFonts w:cs="Times New Roman"/>
        </w:rPr>
        <w:t xml:space="preserve"> </w:t>
      </w:r>
      <w:r w:rsidR="00B00CD0">
        <w:rPr>
          <w:rFonts w:cs="Times New Roman"/>
        </w:rPr>
        <w:t>=</w:t>
      </w:r>
      <w:r w:rsidR="00AA6465">
        <w:rPr>
          <w:rFonts w:cs="Times New Roman"/>
        </w:rPr>
        <w:t xml:space="preserve"> </w:t>
      </w:r>
      <w:r w:rsidR="00B00CD0">
        <w:rPr>
          <w:rFonts w:cs="Times New Roman"/>
        </w:rPr>
        <w:t>3.33, then round 3.33 up to the nearest integer which is 4).</w:t>
      </w:r>
    </w:p>
    <w:p w:rsidR="00941AA1" w:rsidP="73E0EB06" w14:paraId="10908A8A" w14:textId="55D33AD1">
      <w:pPr>
        <w:tabs>
          <w:tab w:val="left" w:pos="540"/>
        </w:tabs>
        <w:ind w:left="720"/>
      </w:pPr>
      <w:r w:rsidRPr="00E937ED">
        <w:t xml:space="preserve">As NHTSA estimated that there will be </w:t>
      </w:r>
      <w:r w:rsidR="006C1E58">
        <w:t>average 7</w:t>
      </w:r>
      <w:r w:rsidRPr="00E937ED" w:rsidR="006C1E58">
        <w:t xml:space="preserve"> </w:t>
      </w:r>
      <w:r w:rsidRPr="00E937ED">
        <w:t>new SEDC EDT States each year, the total implementation cost per year will be $</w:t>
      </w:r>
      <w:r w:rsidR="00545F60">
        <w:t>22,643,</w:t>
      </w:r>
      <w:r w:rsidR="00C637E2">
        <w:t>526</w:t>
      </w:r>
      <w:r w:rsidRPr="00E937ED">
        <w:t xml:space="preserve"> (</w:t>
      </w:r>
      <w:r w:rsidR="00177F59">
        <w:t>7</w:t>
      </w:r>
      <w:r w:rsidRPr="00E937ED" w:rsidR="00177F59">
        <w:t xml:space="preserve"> </w:t>
      </w:r>
      <w:r w:rsidRPr="00E937ED">
        <w:t>x $ 3,234,</w:t>
      </w:r>
      <w:r w:rsidR="009D3C93">
        <w:t>789</w:t>
      </w:r>
      <w:r w:rsidRPr="00E937ED">
        <w:t xml:space="preserve">) with burden hours as </w:t>
      </w:r>
      <w:r w:rsidR="007D4315">
        <w:t>287,168</w:t>
      </w:r>
      <w:r w:rsidRPr="00E937ED">
        <w:t xml:space="preserve"> hours (</w:t>
      </w:r>
      <w:r w:rsidR="007D4315">
        <w:t>7</w:t>
      </w:r>
      <w:r w:rsidRPr="00E937ED" w:rsidR="007D4315">
        <w:t xml:space="preserve"> </w:t>
      </w:r>
      <w:r w:rsidRPr="00E937ED">
        <w:t>x 41,024 hours); the average annual maintenance cost will be $</w:t>
      </w:r>
      <w:r w:rsidR="00EF16C3">
        <w:t>2,189,536</w:t>
      </w:r>
      <w:r w:rsidRPr="00E937ED">
        <w:t xml:space="preserve"> (</w:t>
      </w:r>
      <w:r w:rsidR="00EF16C3">
        <w:t>4</w:t>
      </w:r>
      <w:r w:rsidRPr="00E937ED" w:rsidR="00EF16C3">
        <w:t xml:space="preserve"> </w:t>
      </w:r>
      <w:r w:rsidRPr="00E937ED">
        <w:t>x $547,</w:t>
      </w:r>
      <w:r w:rsidRPr="00E937ED" w:rsidR="00EF16C3">
        <w:t>38</w:t>
      </w:r>
      <w:r w:rsidR="00EF16C3">
        <w:t>4</w:t>
      </w:r>
      <w:r w:rsidRPr="00E937ED">
        <w:t xml:space="preserve">) with burden hours as </w:t>
      </w:r>
      <w:r w:rsidR="008E481D">
        <w:t>25,152</w:t>
      </w:r>
      <w:r w:rsidRPr="00E937ED">
        <w:t xml:space="preserve"> hours (</w:t>
      </w:r>
      <w:r w:rsidR="00EF16C3">
        <w:t>4</w:t>
      </w:r>
      <w:r w:rsidRPr="00E937ED" w:rsidR="00EF16C3">
        <w:t xml:space="preserve"> </w:t>
      </w:r>
      <w:r w:rsidRPr="00E937ED">
        <w:t>x 6,288 hours).</w:t>
      </w:r>
      <w:r w:rsidR="008E481D">
        <w:t xml:space="preserve"> </w:t>
      </w:r>
      <w:r w:rsidR="00A52328">
        <w:t xml:space="preserve">The total SEDC EDT </w:t>
      </w:r>
      <w:r w:rsidR="004366A9">
        <w:t xml:space="preserve">labor </w:t>
      </w:r>
      <w:r w:rsidR="00A52328">
        <w:t>cost</w:t>
      </w:r>
      <w:r w:rsidR="005D3C8D">
        <w:t>s</w:t>
      </w:r>
      <w:r w:rsidR="00A52328">
        <w:t xml:space="preserve"> are </w:t>
      </w:r>
      <w:r w:rsidR="00677EDD">
        <w:t>$</w:t>
      </w:r>
      <w:r w:rsidR="00295F3E">
        <w:t>24</w:t>
      </w:r>
      <w:r w:rsidR="00677EDD">
        <w:t>,833,062</w:t>
      </w:r>
      <w:r w:rsidR="00CD0BC9">
        <w:t xml:space="preserve"> ($22,643,526 for implementation and </w:t>
      </w:r>
      <w:r w:rsidR="00F35868">
        <w:t>$2,189</w:t>
      </w:r>
      <w:r w:rsidR="001113D0">
        <w:t>,</w:t>
      </w:r>
      <w:r w:rsidR="00F35868">
        <w:t xml:space="preserve">536 for annual maintenance).  </w:t>
      </w:r>
      <w:r w:rsidR="00D57A5A">
        <w:t xml:space="preserve">This estimate includes total labor costs </w:t>
      </w:r>
      <w:r w:rsidR="007337E7">
        <w:t>to</w:t>
      </w:r>
      <w:r w:rsidR="00C60FCA">
        <w:t xml:space="preserve"> the </w:t>
      </w:r>
      <w:r w:rsidR="006255DD">
        <w:t>State</w:t>
      </w:r>
      <w:r w:rsidR="00DA3DA6">
        <w:t xml:space="preserve"> respondent</w:t>
      </w:r>
      <w:r w:rsidR="006255DD">
        <w:t>s</w:t>
      </w:r>
      <w:r w:rsidR="009940E8">
        <w:t>,</w:t>
      </w:r>
      <w:r w:rsidR="00C60FCA">
        <w:t xml:space="preserve"> but </w:t>
      </w:r>
      <w:r w:rsidR="000164FB">
        <w:t>State</w:t>
      </w:r>
      <w:r w:rsidR="006255DD">
        <w:t>s</w:t>
      </w:r>
      <w:r w:rsidR="000164FB">
        <w:t xml:space="preserve"> may cho</w:t>
      </w:r>
      <w:r w:rsidR="00126045">
        <w:t>ose</w:t>
      </w:r>
      <w:r w:rsidR="000164FB">
        <w:t xml:space="preserve"> to </w:t>
      </w:r>
      <w:r w:rsidR="006255DD">
        <w:t>have contractor</w:t>
      </w:r>
      <w:r w:rsidR="007337E7">
        <w:t>s</w:t>
      </w:r>
      <w:r w:rsidR="006255DD">
        <w:t xml:space="preserve"> </w:t>
      </w:r>
      <w:r w:rsidR="00BE0151">
        <w:t>incur some or</w:t>
      </w:r>
      <w:r w:rsidR="000164FB">
        <w:t xml:space="preserve"> all </w:t>
      </w:r>
      <w:r w:rsidR="00704473">
        <w:t xml:space="preserve">of these </w:t>
      </w:r>
      <w:r w:rsidR="007337E7">
        <w:t xml:space="preserve">labor </w:t>
      </w:r>
      <w:r w:rsidR="00704473">
        <w:t xml:space="preserve">cost.  </w:t>
      </w:r>
      <w:r w:rsidR="00BE0151">
        <w:t>T</w:t>
      </w:r>
      <w:r w:rsidR="00422870">
        <w:t>he total annual responses for SEDC EDT State</w:t>
      </w:r>
      <w:r w:rsidR="00B155D9">
        <w:t>s</w:t>
      </w:r>
      <w:r w:rsidR="009A7A9A">
        <w:t xml:space="preserve"> </w:t>
      </w:r>
      <w:r w:rsidR="00422870">
        <w:t xml:space="preserve">are </w:t>
      </w:r>
      <w:r w:rsidR="009A7A9A">
        <w:t>4,015</w:t>
      </w:r>
      <w:r w:rsidR="00422870">
        <w:t xml:space="preserve"> (</w:t>
      </w:r>
      <w:r w:rsidR="009A7A9A">
        <w:t>11</w:t>
      </w:r>
      <w:r w:rsidR="00422870">
        <w:t xml:space="preserve"> EDT States </w:t>
      </w:r>
      <w:r w:rsidR="00422870">
        <w:rPr>
          <w:rFonts w:cs="Times New Roman"/>
        </w:rPr>
        <w:t>×</w:t>
      </w:r>
      <w:r w:rsidR="00422870">
        <w:t xml:space="preserve"> 365 nightly responses).</w:t>
      </w:r>
    </w:p>
    <w:p w:rsidR="00E34B96" w:rsidRPr="0097743A" w:rsidP="0097743A" w14:paraId="78FDC6CA" w14:textId="158F4A4D">
      <w:pPr>
        <w:pStyle w:val="Heading3"/>
      </w:pPr>
      <w:r w:rsidRPr="00897842">
        <w:t>Summary</w:t>
      </w:r>
      <w:r w:rsidRPr="00544751">
        <w:t xml:space="preserve"> for SDT Burden Estimates</w:t>
      </w:r>
    </w:p>
    <w:p w:rsidR="00735C51" w:rsidRPr="0097743A" w:rsidP="0097743A" w14:paraId="48B39949" w14:textId="6FAB2BBD">
      <w:pPr>
        <w:tabs>
          <w:tab w:val="left" w:pos="-720"/>
          <w:tab w:val="left" w:pos="540"/>
        </w:tabs>
        <w:ind w:left="720"/>
      </w:pPr>
      <w:bookmarkStart w:id="34" w:name="_Hlk71283749"/>
      <w:r w:rsidRPr="0097743A">
        <w:t xml:space="preserve">The total estimated burden for SDT is </w:t>
      </w:r>
      <w:r w:rsidR="008118F1">
        <w:t>312,663</w:t>
      </w:r>
      <w:r w:rsidR="00D410D6">
        <w:t xml:space="preserve"> hours</w:t>
      </w:r>
      <w:r w:rsidRPr="0097743A">
        <w:t xml:space="preserve"> (268 </w:t>
      </w:r>
      <w:r w:rsidR="0068209F">
        <w:t xml:space="preserve">hours </w:t>
      </w:r>
      <w:r w:rsidR="007260B1">
        <w:t xml:space="preserve">for </w:t>
      </w:r>
      <w:r w:rsidRPr="0097743A">
        <w:t xml:space="preserve">SDS + </w:t>
      </w:r>
      <w:r w:rsidR="006B30AD">
        <w:t>7</w:t>
      </w:r>
      <w:r w:rsidR="006D09E0">
        <w:t>5</w:t>
      </w:r>
      <w:r w:rsidR="0068209F">
        <w:t xml:space="preserve"> hours</w:t>
      </w:r>
      <w:r w:rsidRPr="0097743A">
        <w:t xml:space="preserve"> </w:t>
      </w:r>
      <w:r w:rsidR="002C5859">
        <w:t xml:space="preserve">for </w:t>
      </w:r>
      <w:r w:rsidRPr="0097743A">
        <w:t>non-</w:t>
      </w:r>
      <w:r w:rsidR="003431DD">
        <w:t>SEDC</w:t>
      </w:r>
      <w:r w:rsidRPr="0097743A">
        <w:t xml:space="preserve"> EDT + (</w:t>
      </w:r>
      <w:r w:rsidR="00D25C6F">
        <w:t>287,168</w:t>
      </w:r>
      <w:r w:rsidR="0068209F">
        <w:t xml:space="preserve"> hours</w:t>
      </w:r>
      <w:r w:rsidRPr="0097743A">
        <w:t xml:space="preserve"> + </w:t>
      </w:r>
      <w:r w:rsidR="009E2532">
        <w:t>25,</w:t>
      </w:r>
      <w:r w:rsidR="00F9072A">
        <w:t>152</w:t>
      </w:r>
      <w:r w:rsidR="002A5D0C">
        <w:t xml:space="preserve"> </w:t>
      </w:r>
      <w:r w:rsidR="0068209F">
        <w:t>hours</w:t>
      </w:r>
      <w:r w:rsidRPr="0097743A">
        <w:t xml:space="preserve">) </w:t>
      </w:r>
      <w:r w:rsidR="00750744">
        <w:t xml:space="preserve">for </w:t>
      </w:r>
      <w:r w:rsidR="003431DD">
        <w:t>SEDC</w:t>
      </w:r>
      <w:r w:rsidRPr="0097743A">
        <w:t xml:space="preserve"> EDT) and total estimated labor cost is $</w:t>
      </w:r>
      <w:r w:rsidR="00573D46">
        <w:t>24,860,121</w:t>
      </w:r>
      <w:r w:rsidRPr="0097743A">
        <w:t xml:space="preserve"> ($</w:t>
      </w:r>
      <w:r w:rsidR="00573D46">
        <w:t>20,434</w:t>
      </w:r>
      <w:r w:rsidR="005F3A4A">
        <w:t xml:space="preserve"> for</w:t>
      </w:r>
      <w:r w:rsidRPr="0097743A">
        <w:t xml:space="preserve"> SDS + $6,</w:t>
      </w:r>
      <w:r w:rsidR="002A7946">
        <w:t>626 for</w:t>
      </w:r>
      <w:r w:rsidRPr="0097743A">
        <w:t xml:space="preserve"> non-</w:t>
      </w:r>
      <w:r w:rsidR="003431DD">
        <w:t>SEDC</w:t>
      </w:r>
      <w:r w:rsidRPr="0097743A">
        <w:t xml:space="preserve"> EDT + ($</w:t>
      </w:r>
      <w:r w:rsidR="00A72339">
        <w:t>22,</w:t>
      </w:r>
      <w:r w:rsidR="007B4C21">
        <w:t>643,526</w:t>
      </w:r>
      <w:r w:rsidRPr="0097743A">
        <w:t xml:space="preserve"> +</w:t>
      </w:r>
      <w:r w:rsidR="00BC5265">
        <w:t xml:space="preserve"> </w:t>
      </w:r>
      <w:r w:rsidRPr="0097743A">
        <w:t>$</w:t>
      </w:r>
      <w:r w:rsidR="007B4C21">
        <w:t>2,189,536</w:t>
      </w:r>
      <w:r w:rsidRPr="0097743A">
        <w:t xml:space="preserve">) </w:t>
      </w:r>
      <w:r w:rsidR="007B4C21">
        <w:t xml:space="preserve">for </w:t>
      </w:r>
      <w:r w:rsidR="003431DD">
        <w:t>SEDC</w:t>
      </w:r>
      <w:r w:rsidRPr="0097743A">
        <w:t xml:space="preserve"> EDT). </w:t>
      </w:r>
    </w:p>
    <w:p w:rsidR="00735C51" w:rsidP="00735C51" w14:paraId="2D0C57F1" w14:textId="2DAD2F3C">
      <w:pPr>
        <w:autoSpaceDE w:val="0"/>
        <w:autoSpaceDN w:val="0"/>
        <w:adjustRightInd w:val="0"/>
        <w:spacing w:after="0" w:line="480" w:lineRule="auto"/>
        <w:ind w:firstLine="720"/>
        <w:rPr>
          <w:rFonts w:eastAsia="Times New Roman" w:cs="Times New Roman"/>
          <w:szCs w:val="24"/>
        </w:rPr>
      </w:pPr>
      <w:r w:rsidRPr="00595205">
        <w:rPr>
          <w:rFonts w:eastAsia="Times New Roman" w:cs="Times New Roman"/>
          <w:szCs w:val="24"/>
        </w:rPr>
        <w:t xml:space="preserve">A summary of the burden estimates </w:t>
      </w:r>
      <w:r>
        <w:rPr>
          <w:rFonts w:eastAsia="Times New Roman" w:cs="Times New Roman"/>
          <w:szCs w:val="24"/>
        </w:rPr>
        <w:t xml:space="preserve">for SDT </w:t>
      </w:r>
      <w:r w:rsidRPr="00595205">
        <w:rPr>
          <w:rFonts w:eastAsia="Times New Roman" w:cs="Times New Roman"/>
          <w:szCs w:val="24"/>
        </w:rPr>
        <w:t xml:space="preserve">is provided in </w:t>
      </w:r>
      <w:r>
        <w:rPr>
          <w:rFonts w:eastAsia="Times New Roman" w:cs="Times New Roman"/>
          <w:szCs w:val="24"/>
        </w:rPr>
        <w:fldChar w:fldCharType="begin"/>
      </w:r>
      <w:r>
        <w:rPr>
          <w:rFonts w:eastAsia="Times New Roman" w:cs="Times New Roman"/>
          <w:szCs w:val="24"/>
        </w:rPr>
        <w:instrText xml:space="preserve"> REF _Ref128123473 \h </w:instrText>
      </w:r>
      <w:r>
        <w:rPr>
          <w:rFonts w:eastAsia="Times New Roman" w:cs="Times New Roman"/>
          <w:szCs w:val="24"/>
        </w:rPr>
        <w:fldChar w:fldCharType="separate"/>
      </w:r>
      <w:r>
        <w:t xml:space="preserve">Table </w:t>
      </w:r>
      <w:r>
        <w:rPr>
          <w:noProof/>
        </w:rPr>
        <w:t>2</w:t>
      </w:r>
      <w:r>
        <w:rPr>
          <w:rFonts w:eastAsia="Times New Roman" w:cs="Times New Roman"/>
          <w:szCs w:val="24"/>
        </w:rPr>
        <w:fldChar w:fldCharType="end"/>
      </w:r>
      <w:r w:rsidRPr="00595205">
        <w:rPr>
          <w:rFonts w:eastAsia="Times New Roman" w:cs="Times New Roman"/>
          <w:szCs w:val="24"/>
        </w:rPr>
        <w:t>.</w:t>
      </w:r>
    </w:p>
    <w:p w:rsidR="00735C51" w:rsidP="00735C51" w14:paraId="4D968AE5" w14:textId="77777777">
      <w:pPr>
        <w:pStyle w:val="Caption"/>
        <w:rPr>
          <w:rFonts w:eastAsia="Times New Roman" w:cs="Times New Roman"/>
          <w:szCs w:val="24"/>
        </w:rPr>
      </w:pPr>
      <w:bookmarkStart w:id="35" w:name="_Ref128123473"/>
      <w:r>
        <w:t xml:space="preserve">Table </w:t>
      </w:r>
      <w:r w:rsidR="00547E70">
        <w:fldChar w:fldCharType="begin"/>
      </w:r>
      <w:r w:rsidR="00547E70">
        <w:instrText xml:space="preserve"> SEQ Table \* ARABIC </w:instrText>
      </w:r>
      <w:r w:rsidR="00547E70">
        <w:fldChar w:fldCharType="separate"/>
      </w:r>
      <w:r>
        <w:rPr>
          <w:noProof/>
        </w:rPr>
        <w:t>2</w:t>
      </w:r>
      <w:r w:rsidR="00547E70">
        <w:rPr>
          <w:noProof/>
        </w:rPr>
        <w:fldChar w:fldCharType="end"/>
      </w:r>
      <w:bookmarkEnd w:id="35"/>
      <w:r>
        <w:t>. Summary for Estimated SDT Burden</w:t>
      </w:r>
    </w:p>
    <w:tbl>
      <w:tblPr>
        <w:tblStyle w:val="TableGrid"/>
        <w:tblW w:w="9805" w:type="dxa"/>
        <w:jc w:val="center"/>
        <w:tblLayout w:type="fixed"/>
        <w:tblLook w:val="04A0"/>
      </w:tblPr>
      <w:tblGrid>
        <w:gridCol w:w="1885"/>
        <w:gridCol w:w="1080"/>
        <w:gridCol w:w="1350"/>
        <w:gridCol w:w="1530"/>
        <w:gridCol w:w="1080"/>
        <w:gridCol w:w="1440"/>
        <w:gridCol w:w="1440"/>
      </w:tblGrid>
      <w:tr w14:paraId="6148C8F0" w14:textId="77777777" w:rsidTr="00A46C91">
        <w:tblPrEx>
          <w:tblW w:w="9805" w:type="dxa"/>
          <w:jc w:val="center"/>
          <w:tblLayout w:type="fixed"/>
          <w:tblLook w:val="04A0"/>
        </w:tblPrEx>
        <w:trPr>
          <w:trHeight w:val="290"/>
          <w:jc w:val="center"/>
        </w:trPr>
        <w:tc>
          <w:tcPr>
            <w:tcW w:w="1885" w:type="dxa"/>
            <w:shd w:val="clear" w:color="auto" w:fill="BFBFBF" w:themeFill="background1" w:themeFillShade="BF"/>
            <w:noWrap/>
            <w:hideMark/>
          </w:tcPr>
          <w:p w:rsidR="00786F50" w:rsidRPr="004D03E8" w:rsidP="00B624EF" w14:paraId="235B64EF" w14:textId="77777777">
            <w:pPr>
              <w:rPr>
                <w:rFonts w:eastAsia="Times New Roman" w:cs="Times New Roman"/>
                <w:szCs w:val="20"/>
              </w:rPr>
            </w:pPr>
          </w:p>
        </w:tc>
        <w:tc>
          <w:tcPr>
            <w:tcW w:w="1080" w:type="dxa"/>
            <w:shd w:val="clear" w:color="auto" w:fill="BFBFBF" w:themeFill="background1" w:themeFillShade="BF"/>
            <w:noWrap/>
            <w:vAlign w:val="center"/>
            <w:hideMark/>
          </w:tcPr>
          <w:p w:rsidR="00786F50" w:rsidRPr="001608E1" w:rsidP="00B624EF" w14:paraId="043BF454" w14:textId="7E7F0F2D">
            <w:pPr>
              <w:jc w:val="center"/>
              <w:rPr>
                <w:rFonts w:eastAsia="Times New Roman" w:cs="Times New Roman"/>
                <w:b/>
                <w:bCs/>
                <w:color w:val="000000"/>
              </w:rPr>
            </w:pPr>
            <w:r w:rsidRPr="001608E1">
              <w:rPr>
                <w:rFonts w:eastAsia="Times New Roman" w:cs="Times New Roman"/>
                <w:b/>
                <w:bCs/>
                <w:color w:val="000000"/>
              </w:rPr>
              <w:t>Number of States</w:t>
            </w:r>
          </w:p>
        </w:tc>
        <w:tc>
          <w:tcPr>
            <w:tcW w:w="1350" w:type="dxa"/>
            <w:tcBorders>
              <w:bottom w:val="single" w:sz="4" w:space="0" w:color="auto"/>
            </w:tcBorders>
            <w:shd w:val="clear" w:color="auto" w:fill="BFBFBF" w:themeFill="background1" w:themeFillShade="BF"/>
          </w:tcPr>
          <w:p w:rsidR="00786F50" w:rsidP="00B624EF" w14:paraId="4A073CBD" w14:textId="40299138">
            <w:pPr>
              <w:jc w:val="center"/>
              <w:rPr>
                <w:rFonts w:eastAsia="Times New Roman" w:cs="Times New Roman"/>
                <w:b/>
                <w:bCs/>
                <w:color w:val="000000"/>
              </w:rPr>
            </w:pPr>
            <w:r>
              <w:rPr>
                <w:rFonts w:eastAsia="Times New Roman" w:cs="Times New Roman"/>
                <w:b/>
                <w:bCs/>
                <w:color w:val="000000"/>
              </w:rPr>
              <w:t>Total Annual Responses</w:t>
            </w:r>
          </w:p>
        </w:tc>
        <w:tc>
          <w:tcPr>
            <w:tcW w:w="1530" w:type="dxa"/>
            <w:tcBorders>
              <w:bottom w:val="single" w:sz="4" w:space="0" w:color="auto"/>
            </w:tcBorders>
            <w:shd w:val="clear" w:color="auto" w:fill="BFBFBF" w:themeFill="background1" w:themeFillShade="BF"/>
            <w:noWrap/>
            <w:vAlign w:val="center"/>
            <w:hideMark/>
          </w:tcPr>
          <w:p w:rsidR="00786F50" w:rsidRPr="001608E1" w:rsidP="00B624EF" w14:paraId="0B18E348" w14:textId="341C8DA1">
            <w:pPr>
              <w:jc w:val="center"/>
              <w:rPr>
                <w:rFonts w:eastAsia="Times New Roman" w:cs="Times New Roman"/>
                <w:b/>
                <w:bCs/>
                <w:color w:val="000000"/>
              </w:rPr>
            </w:pPr>
            <w:r w:rsidRPr="001608E1">
              <w:rPr>
                <w:rFonts w:eastAsia="Times New Roman" w:cs="Times New Roman"/>
                <w:b/>
                <w:bCs/>
                <w:color w:val="000000"/>
              </w:rPr>
              <w:t>Burden Hours</w:t>
            </w:r>
            <w:r>
              <w:rPr>
                <w:rFonts w:eastAsia="Times New Roman" w:cs="Times New Roman"/>
                <w:b/>
                <w:bCs/>
                <w:color w:val="000000"/>
              </w:rPr>
              <w:t xml:space="preserve"> per Res</w:t>
            </w:r>
            <w:r w:rsidR="00B340A3">
              <w:rPr>
                <w:rFonts w:eastAsia="Times New Roman" w:cs="Times New Roman"/>
                <w:b/>
                <w:bCs/>
                <w:color w:val="000000"/>
              </w:rPr>
              <w:t>pondent</w:t>
            </w:r>
          </w:p>
        </w:tc>
        <w:tc>
          <w:tcPr>
            <w:tcW w:w="1080" w:type="dxa"/>
            <w:shd w:val="clear" w:color="auto" w:fill="BFBFBF" w:themeFill="background1" w:themeFillShade="BF"/>
          </w:tcPr>
          <w:p w:rsidR="00786F50" w:rsidP="00B624EF" w14:paraId="6ADBFB73" w14:textId="0425D5B2">
            <w:pPr>
              <w:jc w:val="center"/>
              <w:rPr>
                <w:rFonts w:eastAsia="Times New Roman" w:cs="Times New Roman"/>
                <w:b/>
                <w:bCs/>
                <w:color w:val="000000"/>
              </w:rPr>
            </w:pPr>
            <w:r>
              <w:rPr>
                <w:rFonts w:eastAsia="Times New Roman" w:cs="Times New Roman"/>
                <w:b/>
                <w:bCs/>
                <w:color w:val="000000"/>
              </w:rPr>
              <w:t>Total Burden</w:t>
            </w:r>
            <w:r w:rsidR="0084416C">
              <w:rPr>
                <w:rFonts w:eastAsia="Times New Roman" w:cs="Times New Roman"/>
                <w:b/>
                <w:bCs/>
                <w:color w:val="000000"/>
              </w:rPr>
              <w:t xml:space="preserve"> Hours</w:t>
            </w:r>
          </w:p>
        </w:tc>
        <w:tc>
          <w:tcPr>
            <w:tcW w:w="1440" w:type="dxa"/>
            <w:shd w:val="clear" w:color="auto" w:fill="BFBFBF" w:themeFill="background1" w:themeFillShade="BF"/>
          </w:tcPr>
          <w:p w:rsidR="00786F50" w:rsidP="00B624EF" w14:paraId="7B449194" w14:textId="3C7ABD4B">
            <w:pPr>
              <w:jc w:val="center"/>
              <w:rPr>
                <w:rFonts w:eastAsia="Times New Roman" w:cs="Times New Roman"/>
                <w:b/>
                <w:bCs/>
                <w:color w:val="000000"/>
              </w:rPr>
            </w:pPr>
            <w:r>
              <w:rPr>
                <w:rFonts w:eastAsia="Times New Roman" w:cs="Times New Roman"/>
                <w:b/>
                <w:bCs/>
                <w:color w:val="000000"/>
              </w:rPr>
              <w:t>Labor Cost per Respondent</w:t>
            </w:r>
          </w:p>
        </w:tc>
        <w:tc>
          <w:tcPr>
            <w:tcW w:w="1440" w:type="dxa"/>
            <w:shd w:val="clear" w:color="auto" w:fill="BFBFBF" w:themeFill="background1" w:themeFillShade="BF"/>
            <w:noWrap/>
            <w:vAlign w:val="center"/>
            <w:hideMark/>
          </w:tcPr>
          <w:p w:rsidR="00786F50" w:rsidRPr="001608E1" w:rsidP="00B624EF" w14:paraId="54D3ED70" w14:textId="0E700A37">
            <w:pPr>
              <w:jc w:val="center"/>
              <w:rPr>
                <w:rFonts w:eastAsia="Times New Roman" w:cs="Times New Roman"/>
                <w:b/>
                <w:bCs/>
                <w:color w:val="000000"/>
              </w:rPr>
            </w:pPr>
            <w:r>
              <w:rPr>
                <w:rFonts w:eastAsia="Times New Roman" w:cs="Times New Roman"/>
                <w:b/>
                <w:bCs/>
                <w:color w:val="000000"/>
              </w:rPr>
              <w:t>Labor Cost</w:t>
            </w:r>
            <w:r w:rsidRPr="001608E1">
              <w:rPr>
                <w:rFonts w:eastAsia="Times New Roman" w:cs="Times New Roman"/>
                <w:b/>
                <w:bCs/>
                <w:color w:val="000000"/>
              </w:rPr>
              <w:t xml:space="preserve"> ($)</w:t>
            </w:r>
          </w:p>
        </w:tc>
      </w:tr>
      <w:tr w14:paraId="33AB7D3D" w14:textId="77777777" w:rsidTr="00A46C91">
        <w:tblPrEx>
          <w:tblW w:w="9805" w:type="dxa"/>
          <w:jc w:val="center"/>
          <w:tblLayout w:type="fixed"/>
          <w:tblLook w:val="04A0"/>
        </w:tblPrEx>
        <w:trPr>
          <w:trHeight w:val="359"/>
          <w:jc w:val="center"/>
        </w:trPr>
        <w:tc>
          <w:tcPr>
            <w:tcW w:w="1885" w:type="dxa"/>
            <w:noWrap/>
            <w:hideMark/>
          </w:tcPr>
          <w:p w:rsidR="00786F50" w:rsidRPr="001608E1" w:rsidP="00B624EF" w14:paraId="40518491" w14:textId="47A9E6F3">
            <w:pPr>
              <w:rPr>
                <w:rFonts w:eastAsia="Times New Roman" w:cs="Times New Roman"/>
                <w:color w:val="000000"/>
              </w:rPr>
            </w:pPr>
            <w:r>
              <w:rPr>
                <w:rFonts w:eastAsia="Times New Roman" w:cs="Times New Roman"/>
                <w:color w:val="000000"/>
              </w:rPr>
              <w:t>SDS Copying</w:t>
            </w:r>
          </w:p>
        </w:tc>
        <w:tc>
          <w:tcPr>
            <w:tcW w:w="1080" w:type="dxa"/>
            <w:noWrap/>
            <w:vAlign w:val="center"/>
            <w:hideMark/>
          </w:tcPr>
          <w:p w:rsidR="00786F50" w:rsidRPr="001608E1" w:rsidP="00B624EF" w14:paraId="12577F4D" w14:textId="55A42DB5">
            <w:pPr>
              <w:jc w:val="center"/>
              <w:rPr>
                <w:rFonts w:eastAsia="Times New Roman" w:cs="Times New Roman"/>
                <w:color w:val="000000"/>
              </w:rPr>
            </w:pPr>
            <w:r>
              <w:rPr>
                <w:rFonts w:eastAsia="Times New Roman" w:cs="Times New Roman"/>
                <w:color w:val="000000"/>
              </w:rPr>
              <w:t>31</w:t>
            </w:r>
          </w:p>
        </w:tc>
        <w:tc>
          <w:tcPr>
            <w:tcW w:w="1350" w:type="dxa"/>
            <w:tcBorders>
              <w:bottom w:val="single" w:sz="4" w:space="0" w:color="auto"/>
            </w:tcBorders>
            <w:vAlign w:val="center"/>
          </w:tcPr>
          <w:p w:rsidR="00786F50" w:rsidP="00B624EF" w14:paraId="29D8D063" w14:textId="526A46CD">
            <w:pPr>
              <w:jc w:val="center"/>
              <w:rPr>
                <w:rFonts w:eastAsia="Times New Roman" w:cs="Times New Roman"/>
                <w:color w:val="000000"/>
              </w:rPr>
            </w:pPr>
            <w:r>
              <w:rPr>
                <w:rFonts w:eastAsia="Times New Roman" w:cs="Times New Roman"/>
                <w:color w:val="000000"/>
              </w:rPr>
              <w:t>31</w:t>
            </w:r>
          </w:p>
        </w:tc>
        <w:tc>
          <w:tcPr>
            <w:tcW w:w="1530" w:type="dxa"/>
            <w:tcBorders>
              <w:bottom w:val="single" w:sz="4" w:space="0" w:color="auto"/>
            </w:tcBorders>
            <w:noWrap/>
            <w:vAlign w:val="center"/>
            <w:hideMark/>
          </w:tcPr>
          <w:p w:rsidR="00786F50" w:rsidRPr="001608E1" w:rsidP="00B624EF" w14:paraId="41BB7188" w14:textId="4BBCA87B">
            <w:pPr>
              <w:jc w:val="center"/>
              <w:rPr>
                <w:rFonts w:eastAsia="Times New Roman" w:cs="Times New Roman"/>
                <w:color w:val="000000"/>
              </w:rPr>
            </w:pPr>
            <w:r>
              <w:rPr>
                <w:rFonts w:eastAsia="Times New Roman" w:cs="Times New Roman"/>
                <w:color w:val="000000"/>
              </w:rPr>
              <w:t>8</w:t>
            </w:r>
          </w:p>
        </w:tc>
        <w:tc>
          <w:tcPr>
            <w:tcW w:w="1080" w:type="dxa"/>
            <w:vAlign w:val="center"/>
          </w:tcPr>
          <w:p w:rsidR="00786F50" w:rsidP="00B624EF" w14:paraId="1AF0C996" w14:textId="60C8F158">
            <w:pPr>
              <w:jc w:val="center"/>
              <w:rPr>
                <w:rFonts w:eastAsia="Times New Roman" w:cs="Times New Roman"/>
                <w:color w:val="000000"/>
              </w:rPr>
            </w:pPr>
            <w:r>
              <w:rPr>
                <w:rFonts w:eastAsia="Times New Roman" w:cs="Times New Roman"/>
                <w:color w:val="000000"/>
              </w:rPr>
              <w:t>248</w:t>
            </w:r>
          </w:p>
        </w:tc>
        <w:tc>
          <w:tcPr>
            <w:tcW w:w="1440" w:type="dxa"/>
            <w:vAlign w:val="center"/>
          </w:tcPr>
          <w:p w:rsidR="00786F50" w:rsidP="00B624EF" w14:paraId="445625E2" w14:textId="1F986667">
            <w:pPr>
              <w:jc w:val="center"/>
              <w:rPr>
                <w:rFonts w:eastAsia="Times New Roman" w:cs="Times New Roman"/>
                <w:color w:val="000000"/>
              </w:rPr>
            </w:pPr>
            <w:r>
              <w:rPr>
                <w:rFonts w:eastAsia="Times New Roman" w:cs="Times New Roman"/>
                <w:color w:val="000000"/>
              </w:rPr>
              <w:t>$617.76</w:t>
            </w:r>
          </w:p>
        </w:tc>
        <w:tc>
          <w:tcPr>
            <w:tcW w:w="1440" w:type="dxa"/>
            <w:noWrap/>
            <w:vAlign w:val="center"/>
            <w:hideMark/>
          </w:tcPr>
          <w:p w:rsidR="00786F50" w:rsidRPr="001608E1" w:rsidP="00B624EF" w14:paraId="4EFF4FF6" w14:textId="349D5097">
            <w:pPr>
              <w:jc w:val="center"/>
              <w:rPr>
                <w:rFonts w:eastAsia="Times New Roman" w:cs="Times New Roman"/>
                <w:color w:val="000000"/>
              </w:rPr>
            </w:pPr>
            <w:r w:rsidRPr="001608E1">
              <w:rPr>
                <w:rFonts w:eastAsia="Times New Roman" w:cs="Times New Roman"/>
                <w:color w:val="000000"/>
              </w:rPr>
              <w:t>$</w:t>
            </w:r>
            <w:r w:rsidR="00DB5887">
              <w:rPr>
                <w:rFonts w:eastAsia="Times New Roman" w:cs="Times New Roman"/>
                <w:color w:val="000000"/>
              </w:rPr>
              <w:t>19,151</w:t>
            </w:r>
          </w:p>
        </w:tc>
      </w:tr>
      <w:tr w14:paraId="32749C1C" w14:textId="77777777" w:rsidTr="00A46C91">
        <w:tblPrEx>
          <w:tblW w:w="9805" w:type="dxa"/>
          <w:jc w:val="center"/>
          <w:tblLayout w:type="fixed"/>
          <w:tblLook w:val="04A0"/>
        </w:tblPrEx>
        <w:trPr>
          <w:trHeight w:val="290"/>
          <w:jc w:val="center"/>
        </w:trPr>
        <w:tc>
          <w:tcPr>
            <w:tcW w:w="1885" w:type="dxa"/>
            <w:noWrap/>
          </w:tcPr>
          <w:p w:rsidR="00786F50" w:rsidRPr="001608E1" w:rsidP="00B624EF" w14:paraId="6A5366AE" w14:textId="2662BD15">
            <w:pPr>
              <w:rPr>
                <w:rFonts w:eastAsia="Times New Roman" w:cs="Times New Roman"/>
                <w:color w:val="000000"/>
              </w:rPr>
            </w:pPr>
            <w:r>
              <w:rPr>
                <w:rFonts w:eastAsia="Times New Roman" w:cs="Times New Roman"/>
                <w:color w:val="000000"/>
              </w:rPr>
              <w:t xml:space="preserve">SDS Packing and Sending </w:t>
            </w:r>
          </w:p>
        </w:tc>
        <w:tc>
          <w:tcPr>
            <w:tcW w:w="1080" w:type="dxa"/>
            <w:noWrap/>
            <w:vAlign w:val="center"/>
          </w:tcPr>
          <w:p w:rsidR="00786F50" w:rsidP="00B624EF" w14:paraId="1C970146" w14:textId="12104A16">
            <w:pPr>
              <w:jc w:val="center"/>
              <w:rPr>
                <w:rFonts w:eastAsia="Times New Roman" w:cs="Times New Roman"/>
                <w:color w:val="000000"/>
              </w:rPr>
            </w:pPr>
            <w:r>
              <w:rPr>
                <w:rFonts w:eastAsia="Times New Roman" w:cs="Times New Roman"/>
                <w:color w:val="000000"/>
              </w:rPr>
              <w:t>5</w:t>
            </w:r>
          </w:p>
        </w:tc>
        <w:tc>
          <w:tcPr>
            <w:tcW w:w="1350" w:type="dxa"/>
            <w:tcBorders>
              <w:top w:val="single" w:sz="4" w:space="0" w:color="auto"/>
            </w:tcBorders>
          </w:tcPr>
          <w:p w:rsidR="00786F50" w:rsidP="00B624EF" w14:paraId="681888A9" w14:textId="77777777">
            <w:pPr>
              <w:jc w:val="center"/>
              <w:rPr>
                <w:rFonts w:eastAsia="Times New Roman" w:cs="Times New Roman"/>
                <w:color w:val="000000"/>
              </w:rPr>
            </w:pPr>
          </w:p>
        </w:tc>
        <w:tc>
          <w:tcPr>
            <w:tcW w:w="1530" w:type="dxa"/>
            <w:tcBorders>
              <w:top w:val="single" w:sz="4" w:space="0" w:color="auto"/>
            </w:tcBorders>
            <w:noWrap/>
            <w:vAlign w:val="center"/>
          </w:tcPr>
          <w:p w:rsidR="00786F50" w:rsidP="00B624EF" w14:paraId="103F9802" w14:textId="45393E66">
            <w:pPr>
              <w:jc w:val="center"/>
              <w:rPr>
                <w:rFonts w:eastAsia="Times New Roman" w:cs="Times New Roman"/>
                <w:color w:val="000000"/>
              </w:rPr>
            </w:pPr>
            <w:r>
              <w:rPr>
                <w:rFonts w:eastAsia="Times New Roman" w:cs="Times New Roman"/>
                <w:color w:val="000000"/>
              </w:rPr>
              <w:t>4</w:t>
            </w:r>
          </w:p>
        </w:tc>
        <w:tc>
          <w:tcPr>
            <w:tcW w:w="1080" w:type="dxa"/>
            <w:vAlign w:val="center"/>
          </w:tcPr>
          <w:p w:rsidR="00786F50" w:rsidP="00B624EF" w14:paraId="5BAB5135" w14:textId="19564C6F">
            <w:pPr>
              <w:jc w:val="center"/>
              <w:rPr>
                <w:rFonts w:eastAsia="Times New Roman" w:cs="Times New Roman"/>
                <w:color w:val="000000"/>
              </w:rPr>
            </w:pPr>
            <w:r>
              <w:rPr>
                <w:rFonts w:eastAsia="Times New Roman" w:cs="Times New Roman"/>
                <w:color w:val="000000"/>
              </w:rPr>
              <w:t>20</w:t>
            </w:r>
          </w:p>
        </w:tc>
        <w:tc>
          <w:tcPr>
            <w:tcW w:w="1440" w:type="dxa"/>
            <w:vAlign w:val="center"/>
          </w:tcPr>
          <w:p w:rsidR="00786F50" w:rsidP="00B624EF" w14:paraId="72B74BAE" w14:textId="781170B1">
            <w:pPr>
              <w:jc w:val="center"/>
              <w:rPr>
                <w:rFonts w:eastAsia="Times New Roman" w:cs="Times New Roman"/>
                <w:color w:val="000000"/>
              </w:rPr>
            </w:pPr>
            <w:r>
              <w:rPr>
                <w:rFonts w:eastAsia="Times New Roman" w:cs="Times New Roman"/>
                <w:color w:val="000000"/>
              </w:rPr>
              <w:t>$125.56</w:t>
            </w:r>
          </w:p>
        </w:tc>
        <w:tc>
          <w:tcPr>
            <w:tcW w:w="1440" w:type="dxa"/>
            <w:noWrap/>
            <w:vAlign w:val="center"/>
          </w:tcPr>
          <w:p w:rsidR="00786F50" w:rsidRPr="001608E1" w:rsidP="00B624EF" w14:paraId="7CDF52EF" w14:textId="32ACC3CD">
            <w:pPr>
              <w:jc w:val="center"/>
              <w:rPr>
                <w:rFonts w:eastAsia="Times New Roman" w:cs="Times New Roman"/>
                <w:color w:val="000000"/>
              </w:rPr>
            </w:pPr>
            <w:r>
              <w:rPr>
                <w:rFonts w:eastAsia="Times New Roman" w:cs="Times New Roman"/>
                <w:color w:val="000000"/>
              </w:rPr>
              <w:t>$628</w:t>
            </w:r>
          </w:p>
        </w:tc>
      </w:tr>
      <w:tr w14:paraId="1F83B7C6" w14:textId="77777777" w:rsidTr="00A46C91">
        <w:tblPrEx>
          <w:tblW w:w="9805" w:type="dxa"/>
          <w:jc w:val="center"/>
          <w:tblLayout w:type="fixed"/>
          <w:tblLook w:val="04A0"/>
        </w:tblPrEx>
        <w:trPr>
          <w:trHeight w:val="290"/>
          <w:jc w:val="center"/>
        </w:trPr>
        <w:tc>
          <w:tcPr>
            <w:tcW w:w="1885" w:type="dxa"/>
            <w:noWrap/>
          </w:tcPr>
          <w:p w:rsidR="00786F50" w:rsidRPr="001608E1" w:rsidP="00B624EF" w14:paraId="540D2927" w14:textId="48172F54">
            <w:pPr>
              <w:rPr>
                <w:rFonts w:eastAsia="Times New Roman" w:cs="Times New Roman"/>
                <w:color w:val="000000"/>
              </w:rPr>
            </w:pPr>
            <w:r>
              <w:rPr>
                <w:rFonts w:eastAsia="Times New Roman" w:cs="Times New Roman"/>
                <w:color w:val="000000"/>
              </w:rPr>
              <w:t>EDT Implementation</w:t>
            </w:r>
            <w:r w:rsidR="00134BD1">
              <w:rPr>
                <w:rFonts w:eastAsia="Times New Roman" w:cs="Times New Roman"/>
                <w:color w:val="000000"/>
              </w:rPr>
              <w:t>: SEDC EDT</w:t>
            </w:r>
          </w:p>
        </w:tc>
        <w:tc>
          <w:tcPr>
            <w:tcW w:w="1080" w:type="dxa"/>
            <w:noWrap/>
            <w:vAlign w:val="center"/>
          </w:tcPr>
          <w:p w:rsidR="00786F50" w:rsidP="00B624EF" w14:paraId="17F08CBF" w14:textId="6A83B365">
            <w:pPr>
              <w:jc w:val="center"/>
              <w:rPr>
                <w:rFonts w:eastAsia="Times New Roman" w:cs="Times New Roman"/>
                <w:color w:val="000000"/>
              </w:rPr>
            </w:pPr>
            <w:r>
              <w:rPr>
                <w:rFonts w:eastAsia="Times New Roman" w:cs="Times New Roman"/>
                <w:color w:val="000000"/>
              </w:rPr>
              <w:t>7</w:t>
            </w:r>
          </w:p>
        </w:tc>
        <w:tc>
          <w:tcPr>
            <w:tcW w:w="1350" w:type="dxa"/>
          </w:tcPr>
          <w:p w:rsidR="00786F50" w:rsidP="00B624EF" w14:paraId="02542B1F" w14:textId="77777777">
            <w:pPr>
              <w:jc w:val="center"/>
              <w:rPr>
                <w:rFonts w:eastAsia="Times New Roman" w:cs="Times New Roman"/>
                <w:color w:val="000000"/>
              </w:rPr>
            </w:pPr>
          </w:p>
        </w:tc>
        <w:tc>
          <w:tcPr>
            <w:tcW w:w="1530" w:type="dxa"/>
            <w:noWrap/>
            <w:vAlign w:val="center"/>
          </w:tcPr>
          <w:p w:rsidR="00786F50" w:rsidP="00B624EF" w14:paraId="7206EC6C" w14:textId="088542B4">
            <w:pPr>
              <w:jc w:val="center"/>
              <w:rPr>
                <w:rFonts w:eastAsia="Times New Roman" w:cs="Times New Roman"/>
                <w:color w:val="000000"/>
              </w:rPr>
            </w:pPr>
            <w:r>
              <w:rPr>
                <w:rFonts w:eastAsia="Times New Roman" w:cs="Times New Roman"/>
                <w:color w:val="000000"/>
              </w:rPr>
              <w:t>4</w:t>
            </w:r>
            <w:r w:rsidR="00A72675">
              <w:rPr>
                <w:rFonts w:eastAsia="Times New Roman" w:cs="Times New Roman"/>
                <w:color w:val="000000"/>
              </w:rPr>
              <w:t>1,024</w:t>
            </w:r>
          </w:p>
        </w:tc>
        <w:tc>
          <w:tcPr>
            <w:tcW w:w="1080" w:type="dxa"/>
            <w:vAlign w:val="center"/>
          </w:tcPr>
          <w:p w:rsidR="00786F50" w:rsidP="00B624EF" w14:paraId="7367A20F" w14:textId="7B562EC7">
            <w:pPr>
              <w:jc w:val="center"/>
              <w:rPr>
                <w:rFonts w:eastAsia="Times New Roman" w:cs="Times New Roman"/>
                <w:color w:val="000000"/>
              </w:rPr>
            </w:pPr>
            <w:r>
              <w:rPr>
                <w:rFonts w:eastAsia="Times New Roman" w:cs="Times New Roman"/>
                <w:color w:val="000000"/>
              </w:rPr>
              <w:t>287,168</w:t>
            </w:r>
          </w:p>
        </w:tc>
        <w:tc>
          <w:tcPr>
            <w:tcW w:w="1440" w:type="dxa"/>
            <w:vAlign w:val="center"/>
          </w:tcPr>
          <w:p w:rsidR="00786F50" w:rsidP="00B624EF" w14:paraId="0EA8D2DE" w14:textId="341E79F8">
            <w:pPr>
              <w:jc w:val="center"/>
              <w:rPr>
                <w:rFonts w:eastAsia="Times New Roman" w:cs="Times New Roman"/>
                <w:color w:val="000000"/>
              </w:rPr>
            </w:pPr>
            <w:r>
              <w:rPr>
                <w:rFonts w:eastAsia="Times New Roman" w:cs="Times New Roman"/>
                <w:color w:val="000000"/>
              </w:rPr>
              <w:t>$3,234,789</w:t>
            </w:r>
          </w:p>
        </w:tc>
        <w:tc>
          <w:tcPr>
            <w:tcW w:w="1440" w:type="dxa"/>
            <w:noWrap/>
            <w:vAlign w:val="center"/>
          </w:tcPr>
          <w:p w:rsidR="00786F50" w:rsidRPr="001608E1" w:rsidP="00B624EF" w14:paraId="7DAE3AC7" w14:textId="58D8857C">
            <w:pPr>
              <w:jc w:val="center"/>
              <w:rPr>
                <w:rFonts w:eastAsia="Times New Roman" w:cs="Times New Roman"/>
                <w:color w:val="000000"/>
              </w:rPr>
            </w:pPr>
            <w:r>
              <w:rPr>
                <w:rFonts w:eastAsia="Times New Roman" w:cs="Times New Roman"/>
                <w:color w:val="000000"/>
              </w:rPr>
              <w:t>$22,643,526</w:t>
            </w:r>
          </w:p>
        </w:tc>
      </w:tr>
      <w:tr w14:paraId="29431C8E" w14:textId="77777777" w:rsidTr="00A46C91">
        <w:tblPrEx>
          <w:tblW w:w="9805" w:type="dxa"/>
          <w:jc w:val="center"/>
          <w:tblLayout w:type="fixed"/>
          <w:tblLook w:val="04A0"/>
        </w:tblPrEx>
        <w:trPr>
          <w:trHeight w:val="290"/>
          <w:jc w:val="center"/>
        </w:trPr>
        <w:tc>
          <w:tcPr>
            <w:tcW w:w="1885" w:type="dxa"/>
            <w:noWrap/>
          </w:tcPr>
          <w:p w:rsidR="00786F50" w:rsidRPr="001608E1" w:rsidP="00B624EF" w14:paraId="1AA688D6" w14:textId="106C3FA3">
            <w:pPr>
              <w:rPr>
                <w:rFonts w:eastAsia="Times New Roman" w:cs="Times New Roman"/>
                <w:color w:val="000000"/>
              </w:rPr>
            </w:pPr>
            <w:r>
              <w:rPr>
                <w:rFonts w:eastAsia="Times New Roman" w:cs="Times New Roman"/>
                <w:color w:val="000000"/>
              </w:rPr>
              <w:t>EDT Maintenance: Non-SEDC EDT</w:t>
            </w:r>
          </w:p>
        </w:tc>
        <w:tc>
          <w:tcPr>
            <w:tcW w:w="1080" w:type="dxa"/>
            <w:noWrap/>
            <w:vAlign w:val="center"/>
          </w:tcPr>
          <w:p w:rsidR="00786F50" w:rsidP="00B624EF" w14:paraId="01DC38C3" w14:textId="76228EA3">
            <w:pPr>
              <w:jc w:val="center"/>
              <w:rPr>
                <w:rFonts w:eastAsia="Times New Roman" w:cs="Times New Roman"/>
                <w:color w:val="000000"/>
              </w:rPr>
            </w:pPr>
            <w:r>
              <w:rPr>
                <w:rFonts w:eastAsia="Times New Roman" w:cs="Times New Roman"/>
                <w:color w:val="000000"/>
              </w:rPr>
              <w:t>15</w:t>
            </w:r>
          </w:p>
        </w:tc>
        <w:tc>
          <w:tcPr>
            <w:tcW w:w="1350" w:type="dxa"/>
            <w:vAlign w:val="center"/>
          </w:tcPr>
          <w:p w:rsidR="00786F50" w:rsidP="00B624EF" w14:paraId="787A3B19" w14:textId="1D7C828B">
            <w:pPr>
              <w:jc w:val="center"/>
              <w:rPr>
                <w:rFonts w:eastAsia="Times New Roman" w:cs="Times New Roman"/>
                <w:color w:val="000000"/>
              </w:rPr>
            </w:pPr>
            <w:r>
              <w:rPr>
                <w:rFonts w:eastAsia="Times New Roman" w:cs="Times New Roman"/>
                <w:color w:val="000000"/>
              </w:rPr>
              <w:t>5475</w:t>
            </w:r>
          </w:p>
        </w:tc>
        <w:tc>
          <w:tcPr>
            <w:tcW w:w="1530" w:type="dxa"/>
            <w:noWrap/>
            <w:vAlign w:val="center"/>
          </w:tcPr>
          <w:p w:rsidR="00786F50" w:rsidP="00B624EF" w14:paraId="043A1903" w14:textId="666515C2">
            <w:pPr>
              <w:jc w:val="center"/>
              <w:rPr>
                <w:rFonts w:eastAsia="Times New Roman" w:cs="Times New Roman"/>
                <w:color w:val="000000"/>
              </w:rPr>
            </w:pPr>
          </w:p>
        </w:tc>
        <w:tc>
          <w:tcPr>
            <w:tcW w:w="1080" w:type="dxa"/>
            <w:vAlign w:val="center"/>
          </w:tcPr>
          <w:p w:rsidR="00786F50" w:rsidP="00B624EF" w14:paraId="14E2B772" w14:textId="40EACB3A">
            <w:pPr>
              <w:jc w:val="center"/>
              <w:rPr>
                <w:rFonts w:eastAsia="Times New Roman" w:cs="Times New Roman"/>
                <w:color w:val="000000"/>
              </w:rPr>
            </w:pPr>
            <w:r>
              <w:rPr>
                <w:rFonts w:eastAsia="Times New Roman" w:cs="Times New Roman"/>
                <w:color w:val="000000"/>
              </w:rPr>
              <w:t>75</w:t>
            </w:r>
          </w:p>
        </w:tc>
        <w:tc>
          <w:tcPr>
            <w:tcW w:w="1440" w:type="dxa"/>
            <w:vAlign w:val="center"/>
          </w:tcPr>
          <w:p w:rsidR="00786F50" w:rsidP="00B624EF" w14:paraId="43DE33EC" w14:textId="3D8FDBFB">
            <w:pPr>
              <w:jc w:val="center"/>
              <w:rPr>
                <w:rFonts w:eastAsia="Times New Roman" w:cs="Times New Roman"/>
                <w:color w:val="000000"/>
              </w:rPr>
            </w:pPr>
            <w:r>
              <w:rPr>
                <w:rFonts w:eastAsia="Times New Roman" w:cs="Times New Roman"/>
                <w:color w:val="000000"/>
              </w:rPr>
              <w:t>$441.70</w:t>
            </w:r>
          </w:p>
        </w:tc>
        <w:tc>
          <w:tcPr>
            <w:tcW w:w="1440" w:type="dxa"/>
            <w:noWrap/>
            <w:vAlign w:val="center"/>
          </w:tcPr>
          <w:p w:rsidR="00786F50" w:rsidRPr="001608E1" w:rsidP="00B624EF" w14:paraId="3E7AC88A" w14:textId="1490C0E6">
            <w:pPr>
              <w:jc w:val="center"/>
              <w:rPr>
                <w:rFonts w:eastAsia="Times New Roman" w:cs="Times New Roman"/>
                <w:color w:val="000000"/>
              </w:rPr>
            </w:pPr>
            <w:r>
              <w:rPr>
                <w:rFonts w:eastAsia="Times New Roman" w:cs="Times New Roman"/>
                <w:color w:val="000000"/>
              </w:rPr>
              <w:t>$</w:t>
            </w:r>
            <w:r w:rsidR="00145F84">
              <w:rPr>
                <w:rFonts w:eastAsia="Times New Roman" w:cs="Times New Roman"/>
                <w:color w:val="000000"/>
              </w:rPr>
              <w:t>6,</w:t>
            </w:r>
            <w:r>
              <w:rPr>
                <w:rFonts w:eastAsia="Times New Roman" w:cs="Times New Roman"/>
                <w:color w:val="000000"/>
              </w:rPr>
              <w:t>626</w:t>
            </w:r>
          </w:p>
        </w:tc>
      </w:tr>
      <w:tr w14:paraId="39921DFA" w14:textId="77777777" w:rsidTr="00A46C91">
        <w:tblPrEx>
          <w:tblW w:w="9805" w:type="dxa"/>
          <w:jc w:val="center"/>
          <w:tblLayout w:type="fixed"/>
          <w:tblLook w:val="04A0"/>
        </w:tblPrEx>
        <w:trPr>
          <w:trHeight w:val="290"/>
          <w:jc w:val="center"/>
        </w:trPr>
        <w:tc>
          <w:tcPr>
            <w:tcW w:w="1885" w:type="dxa"/>
            <w:noWrap/>
          </w:tcPr>
          <w:p w:rsidR="00786F50" w:rsidP="00B624EF" w14:paraId="5C8039F0" w14:textId="77777777">
            <w:pPr>
              <w:rPr>
                <w:rFonts w:eastAsia="Times New Roman" w:cs="Times New Roman"/>
                <w:color w:val="000000"/>
              </w:rPr>
            </w:pPr>
            <w:r>
              <w:rPr>
                <w:rFonts w:eastAsia="Times New Roman" w:cs="Times New Roman"/>
                <w:color w:val="000000"/>
              </w:rPr>
              <w:t>EDT Maintenance:</w:t>
            </w:r>
            <w:r w:rsidR="00F520E0">
              <w:rPr>
                <w:rFonts w:eastAsia="Times New Roman" w:cs="Times New Roman"/>
                <w:color w:val="000000"/>
              </w:rPr>
              <w:t xml:space="preserve"> SEDC EDT</w:t>
            </w:r>
          </w:p>
          <w:p w:rsidR="00F520E0" w:rsidRPr="001608E1" w:rsidP="00B624EF" w14:paraId="5C28B8C0" w14:textId="02539B7A">
            <w:pPr>
              <w:rPr>
                <w:rFonts w:eastAsia="Times New Roman" w:cs="Times New Roman"/>
                <w:color w:val="000000"/>
              </w:rPr>
            </w:pPr>
          </w:p>
        </w:tc>
        <w:tc>
          <w:tcPr>
            <w:tcW w:w="1080" w:type="dxa"/>
            <w:noWrap/>
            <w:vAlign w:val="center"/>
          </w:tcPr>
          <w:p w:rsidR="00786F50" w:rsidP="00B624EF" w14:paraId="21447771" w14:textId="54FCB5BE">
            <w:pPr>
              <w:jc w:val="center"/>
              <w:rPr>
                <w:rFonts w:eastAsia="Times New Roman" w:cs="Times New Roman"/>
                <w:color w:val="000000"/>
              </w:rPr>
            </w:pPr>
            <w:r>
              <w:rPr>
                <w:rFonts w:eastAsia="Times New Roman" w:cs="Times New Roman"/>
                <w:color w:val="000000"/>
              </w:rPr>
              <w:t>4</w:t>
            </w:r>
          </w:p>
        </w:tc>
        <w:tc>
          <w:tcPr>
            <w:tcW w:w="1350" w:type="dxa"/>
            <w:vAlign w:val="center"/>
          </w:tcPr>
          <w:p w:rsidR="00786F50" w:rsidP="00B624EF" w14:paraId="5AA6EDC9" w14:textId="017AA93C">
            <w:pPr>
              <w:jc w:val="center"/>
              <w:rPr>
                <w:rFonts w:eastAsia="Times New Roman" w:cs="Times New Roman"/>
                <w:color w:val="000000"/>
              </w:rPr>
            </w:pPr>
            <w:r>
              <w:rPr>
                <w:rFonts w:eastAsia="Times New Roman" w:cs="Times New Roman"/>
                <w:color w:val="000000"/>
              </w:rPr>
              <w:t>1460</w:t>
            </w:r>
          </w:p>
        </w:tc>
        <w:tc>
          <w:tcPr>
            <w:tcW w:w="1530" w:type="dxa"/>
            <w:noWrap/>
            <w:vAlign w:val="center"/>
          </w:tcPr>
          <w:p w:rsidR="00786F50" w:rsidP="00B624EF" w14:paraId="50FD19A6" w14:textId="3D7F765F">
            <w:pPr>
              <w:jc w:val="center"/>
              <w:rPr>
                <w:rFonts w:eastAsia="Times New Roman" w:cs="Times New Roman"/>
                <w:color w:val="000000"/>
              </w:rPr>
            </w:pPr>
          </w:p>
        </w:tc>
        <w:tc>
          <w:tcPr>
            <w:tcW w:w="1080" w:type="dxa"/>
            <w:vAlign w:val="center"/>
          </w:tcPr>
          <w:p w:rsidR="00786F50" w:rsidP="00B624EF" w14:paraId="5B4BA47D" w14:textId="49AA46E1">
            <w:pPr>
              <w:jc w:val="center"/>
              <w:rPr>
                <w:rFonts w:eastAsia="Times New Roman" w:cs="Times New Roman"/>
                <w:color w:val="000000"/>
              </w:rPr>
            </w:pPr>
            <w:r>
              <w:rPr>
                <w:rFonts w:eastAsia="Times New Roman" w:cs="Times New Roman"/>
                <w:color w:val="000000"/>
              </w:rPr>
              <w:t>251</w:t>
            </w:r>
            <w:r w:rsidR="006E3C15">
              <w:rPr>
                <w:rFonts w:eastAsia="Times New Roman" w:cs="Times New Roman"/>
                <w:color w:val="000000"/>
              </w:rPr>
              <w:t>52</w:t>
            </w:r>
          </w:p>
        </w:tc>
        <w:tc>
          <w:tcPr>
            <w:tcW w:w="1440" w:type="dxa"/>
            <w:vAlign w:val="center"/>
          </w:tcPr>
          <w:p w:rsidR="00786F50" w:rsidP="00B624EF" w14:paraId="18CDE926" w14:textId="4C89EB54">
            <w:pPr>
              <w:jc w:val="center"/>
              <w:rPr>
                <w:rFonts w:eastAsia="Times New Roman" w:cs="Times New Roman"/>
                <w:color w:val="000000"/>
              </w:rPr>
            </w:pPr>
            <w:r>
              <w:rPr>
                <w:rFonts w:eastAsia="Times New Roman" w:cs="Times New Roman"/>
                <w:color w:val="000000"/>
              </w:rPr>
              <w:t>$547</w:t>
            </w:r>
            <w:r w:rsidR="00C0726D">
              <w:rPr>
                <w:rFonts w:eastAsia="Times New Roman" w:cs="Times New Roman"/>
                <w:color w:val="000000"/>
              </w:rPr>
              <w:t>,384</w:t>
            </w:r>
          </w:p>
        </w:tc>
        <w:tc>
          <w:tcPr>
            <w:tcW w:w="1440" w:type="dxa"/>
            <w:noWrap/>
            <w:vAlign w:val="center"/>
          </w:tcPr>
          <w:p w:rsidR="00786F50" w:rsidRPr="001608E1" w:rsidP="00B624EF" w14:paraId="2E76033D" w14:textId="299ED213">
            <w:pPr>
              <w:jc w:val="center"/>
              <w:rPr>
                <w:rFonts w:eastAsia="Times New Roman" w:cs="Times New Roman"/>
                <w:color w:val="000000"/>
              </w:rPr>
            </w:pPr>
            <w:r>
              <w:rPr>
                <w:rFonts w:eastAsia="Times New Roman" w:cs="Times New Roman"/>
                <w:color w:val="000000"/>
              </w:rPr>
              <w:t>$2,189,536</w:t>
            </w:r>
          </w:p>
        </w:tc>
      </w:tr>
      <w:tr w14:paraId="6364760A" w14:textId="77777777" w:rsidTr="00A46C91">
        <w:tblPrEx>
          <w:tblW w:w="9805" w:type="dxa"/>
          <w:jc w:val="center"/>
          <w:tblLayout w:type="fixed"/>
          <w:tblLook w:val="04A0"/>
        </w:tblPrEx>
        <w:trPr>
          <w:trHeight w:val="290"/>
          <w:jc w:val="center"/>
        </w:trPr>
        <w:tc>
          <w:tcPr>
            <w:tcW w:w="1885" w:type="dxa"/>
            <w:shd w:val="clear" w:color="auto" w:fill="BFBFBF" w:themeFill="background1" w:themeFillShade="BF"/>
            <w:noWrap/>
          </w:tcPr>
          <w:p w:rsidR="00786F50" w:rsidRPr="00994E39" w:rsidP="00B624EF" w14:paraId="7394B99F" w14:textId="1BF2B3F2">
            <w:pPr>
              <w:rPr>
                <w:rFonts w:eastAsia="Times New Roman" w:cs="Times New Roman"/>
                <w:b/>
                <w:color w:val="000000"/>
              </w:rPr>
            </w:pPr>
            <w:r w:rsidRPr="00994E39">
              <w:rPr>
                <w:rFonts w:eastAsia="Times New Roman" w:cs="Times New Roman"/>
                <w:b/>
                <w:color w:val="000000"/>
              </w:rPr>
              <w:t>Total</w:t>
            </w:r>
          </w:p>
        </w:tc>
        <w:tc>
          <w:tcPr>
            <w:tcW w:w="1080" w:type="dxa"/>
            <w:shd w:val="clear" w:color="auto" w:fill="BFBFBF" w:themeFill="background1" w:themeFillShade="BF"/>
            <w:noWrap/>
            <w:vAlign w:val="center"/>
          </w:tcPr>
          <w:p w:rsidR="00786F50" w:rsidRPr="00994E39" w:rsidP="00B624EF" w14:paraId="2BA20179" w14:textId="77777777">
            <w:pPr>
              <w:jc w:val="center"/>
              <w:rPr>
                <w:rFonts w:eastAsia="Times New Roman" w:cs="Times New Roman"/>
                <w:b/>
                <w:color w:val="000000"/>
              </w:rPr>
            </w:pPr>
          </w:p>
        </w:tc>
        <w:tc>
          <w:tcPr>
            <w:tcW w:w="1350" w:type="dxa"/>
            <w:shd w:val="clear" w:color="auto" w:fill="BFBFBF" w:themeFill="background1" w:themeFillShade="BF"/>
          </w:tcPr>
          <w:p w:rsidR="00786F50" w:rsidRPr="00481BAD" w:rsidP="00B624EF" w14:paraId="1921A8EB" w14:textId="77777777">
            <w:pPr>
              <w:jc w:val="center"/>
              <w:rPr>
                <w:rFonts w:eastAsia="Times New Roman" w:cs="Times New Roman"/>
                <w:b/>
                <w:bCs/>
                <w:color w:val="000000"/>
              </w:rPr>
            </w:pPr>
          </w:p>
        </w:tc>
        <w:tc>
          <w:tcPr>
            <w:tcW w:w="1530" w:type="dxa"/>
            <w:shd w:val="clear" w:color="auto" w:fill="BFBFBF" w:themeFill="background1" w:themeFillShade="BF"/>
            <w:noWrap/>
            <w:vAlign w:val="center"/>
          </w:tcPr>
          <w:p w:rsidR="00786F50" w:rsidRPr="00994E39" w:rsidP="00B624EF" w14:paraId="011F4A6A" w14:textId="6E580AD0">
            <w:pPr>
              <w:jc w:val="center"/>
              <w:rPr>
                <w:rFonts w:eastAsia="Times New Roman" w:cs="Times New Roman"/>
                <w:b/>
                <w:color w:val="000000"/>
              </w:rPr>
            </w:pPr>
          </w:p>
        </w:tc>
        <w:tc>
          <w:tcPr>
            <w:tcW w:w="1080" w:type="dxa"/>
            <w:shd w:val="clear" w:color="auto" w:fill="BFBFBF" w:themeFill="background1" w:themeFillShade="BF"/>
          </w:tcPr>
          <w:p w:rsidR="00786F50" w:rsidRPr="00667DB8" w:rsidP="00B624EF" w14:paraId="0B9135A7" w14:textId="47537D85">
            <w:pPr>
              <w:jc w:val="center"/>
              <w:rPr>
                <w:rFonts w:eastAsia="Times New Roman" w:cs="Times New Roman"/>
                <w:b/>
                <w:bCs/>
                <w:color w:val="000000"/>
              </w:rPr>
            </w:pPr>
            <w:r>
              <w:rPr>
                <w:rFonts w:eastAsia="Times New Roman" w:cs="Times New Roman"/>
                <w:b/>
                <w:bCs/>
                <w:color w:val="000000"/>
              </w:rPr>
              <w:t>312,663</w:t>
            </w:r>
          </w:p>
        </w:tc>
        <w:tc>
          <w:tcPr>
            <w:tcW w:w="1440" w:type="dxa"/>
            <w:shd w:val="clear" w:color="auto" w:fill="BFBFBF" w:themeFill="background1" w:themeFillShade="BF"/>
          </w:tcPr>
          <w:p w:rsidR="00786F50" w:rsidRPr="00667DB8" w:rsidP="00B624EF" w14:paraId="06D1402E" w14:textId="672EDAEA">
            <w:pPr>
              <w:jc w:val="center"/>
              <w:rPr>
                <w:rFonts w:eastAsia="Times New Roman" w:cs="Times New Roman"/>
                <w:b/>
                <w:bCs/>
                <w:color w:val="000000"/>
              </w:rPr>
            </w:pPr>
          </w:p>
        </w:tc>
        <w:tc>
          <w:tcPr>
            <w:tcW w:w="1440" w:type="dxa"/>
            <w:shd w:val="clear" w:color="auto" w:fill="BFBFBF" w:themeFill="background1" w:themeFillShade="BF"/>
            <w:noWrap/>
            <w:vAlign w:val="center"/>
          </w:tcPr>
          <w:p w:rsidR="00786F50" w:rsidRPr="00994E39" w:rsidP="00B624EF" w14:paraId="2876749D" w14:textId="55B11DCE">
            <w:pPr>
              <w:jc w:val="center"/>
              <w:rPr>
                <w:rFonts w:eastAsia="Times New Roman" w:cs="Times New Roman"/>
                <w:b/>
                <w:color w:val="000000"/>
              </w:rPr>
            </w:pPr>
            <w:r w:rsidRPr="00667DB8">
              <w:rPr>
                <w:rFonts w:eastAsia="Times New Roman" w:cs="Times New Roman"/>
                <w:b/>
                <w:bCs/>
                <w:color w:val="000000"/>
              </w:rPr>
              <w:t>$24,860,</w:t>
            </w:r>
            <w:r>
              <w:rPr>
                <w:rFonts w:eastAsia="Times New Roman" w:cs="Times New Roman"/>
                <w:b/>
                <w:bCs/>
                <w:color w:val="000000"/>
              </w:rPr>
              <w:t>122</w:t>
            </w:r>
          </w:p>
        </w:tc>
      </w:tr>
    </w:tbl>
    <w:p w:rsidR="00DF3DC9" w:rsidRPr="00E9530E" w:rsidP="00D109CC" w14:paraId="09C0D62E" w14:textId="2B04EB9C">
      <w:pPr>
        <w:pStyle w:val="Heading2"/>
      </w:pPr>
      <w:bookmarkStart w:id="36" w:name="_Hlk51332101"/>
      <w:bookmarkEnd w:id="34"/>
      <w:r w:rsidRPr="00E9530E">
        <w:t xml:space="preserve">Provide an estimate of the total annual cost burden to respondents or record keepers resulting from the collection of information. Do not include the cost of any hour burden already reflected in the response provided in question 12.  </w:t>
      </w:r>
    </w:p>
    <w:bookmarkEnd w:id="36"/>
    <w:p w:rsidR="00DF3DC9" w:rsidRPr="00DF3DC9" w:rsidP="00DF3DC9" w14:paraId="45E55F2E" w14:textId="77777777">
      <w:pPr>
        <w:pStyle w:val="ListParagraph"/>
        <w:autoSpaceDE w:val="0"/>
        <w:autoSpaceDN w:val="0"/>
        <w:adjustRightInd w:val="0"/>
        <w:spacing w:after="0" w:line="240" w:lineRule="auto"/>
        <w:rPr>
          <w:rFonts w:cs="Times New Roman"/>
          <w:szCs w:val="24"/>
        </w:rPr>
      </w:pPr>
    </w:p>
    <w:p w:rsidR="00E85072" w:rsidP="00CA2E87" w14:paraId="1E90FE8C" w14:textId="6200D97B">
      <w:pPr>
        <w:pStyle w:val="BodyText"/>
        <w:ind w:left="720"/>
      </w:pPr>
      <w:r>
        <w:t xml:space="preserve">The </w:t>
      </w:r>
      <w:r w:rsidR="52A18786">
        <w:t>SEDC</w:t>
      </w:r>
      <w:r w:rsidR="005F24D3">
        <w:t xml:space="preserve"> grant</w:t>
      </w:r>
      <w:r w:rsidR="52A18786">
        <w:t xml:space="preserve">, in compliance with </w:t>
      </w:r>
      <w:r>
        <w:t>BIL</w:t>
      </w:r>
      <w:r w:rsidR="005F24D3">
        <w:t>,</w:t>
      </w:r>
      <w:r>
        <w:t xml:space="preserve"> requires a </w:t>
      </w:r>
      <w:r w:rsidR="005F24D3">
        <w:t>twenty</w:t>
      </w:r>
      <w:r w:rsidR="00DE5E05">
        <w:t xml:space="preserve"> </w:t>
      </w:r>
      <w:r w:rsidR="005F24D3">
        <w:t>(</w:t>
      </w:r>
      <w:r>
        <w:t>20</w:t>
      </w:r>
      <w:r w:rsidR="005F24D3">
        <w:t>)</w:t>
      </w:r>
      <w:r>
        <w:t xml:space="preserve"> percent match from </w:t>
      </w:r>
      <w:r w:rsidR="7A1BDE19">
        <w:t>participating</w:t>
      </w:r>
      <w:r>
        <w:t xml:space="preserve"> State respondents</w:t>
      </w:r>
      <w:r w:rsidR="00F8232D">
        <w:t>.</w:t>
      </w:r>
      <w:r w:rsidR="6ADD6661">
        <w:t xml:space="preserve"> </w:t>
      </w:r>
      <w:r w:rsidR="005825A9">
        <w:t>NHTSA estimates about half of the prog</w:t>
      </w:r>
      <w:r w:rsidR="006E226C">
        <w:t xml:space="preserve">ram cost for the SEDC grants </w:t>
      </w:r>
      <w:r w:rsidR="00A71C83">
        <w:t>will be labor cost</w:t>
      </w:r>
      <w:r w:rsidR="00D212C7">
        <w:t>s</w:t>
      </w:r>
      <w:r w:rsidR="006532BF">
        <w:t xml:space="preserve">.  </w:t>
      </w:r>
      <w:r w:rsidR="00B11033">
        <w:t xml:space="preserve">NHTSA estimates </w:t>
      </w:r>
      <w:r w:rsidR="008C53C6">
        <w:t xml:space="preserve">the </w:t>
      </w:r>
      <w:r w:rsidR="00E90917">
        <w:t>total annual burden cost</w:t>
      </w:r>
      <w:r w:rsidR="004D3725">
        <w:t xml:space="preserve"> </w:t>
      </w:r>
      <w:r w:rsidR="00E90917">
        <w:t xml:space="preserve">for the </w:t>
      </w:r>
      <w:r w:rsidR="008C53C6">
        <w:t xml:space="preserve">SEDC program </w:t>
      </w:r>
      <w:r>
        <w:t xml:space="preserve">(beyond the labor costs discussed in question 12) </w:t>
      </w:r>
      <w:r w:rsidR="008C53C6">
        <w:t xml:space="preserve">will </w:t>
      </w:r>
      <w:r w:rsidR="00E90917">
        <w:t xml:space="preserve">be </w:t>
      </w:r>
      <w:r w:rsidR="008C53C6">
        <w:t>abo</w:t>
      </w:r>
      <w:r w:rsidR="005E2B80">
        <w:t>ut $25,000,000</w:t>
      </w:r>
      <w:r w:rsidR="007B3987">
        <w:t xml:space="preserve"> to</w:t>
      </w:r>
      <w:r w:rsidR="005E2B80">
        <w:t xml:space="preserve"> respondent</w:t>
      </w:r>
      <w:r w:rsidR="0030390E">
        <w:t>s</w:t>
      </w:r>
      <w:r w:rsidR="007B3987">
        <w:t xml:space="preserve">.  </w:t>
      </w:r>
      <w:r w:rsidR="00D948D5">
        <w:t xml:space="preserve">Since the </w:t>
      </w:r>
      <w:r w:rsidR="000016ED">
        <w:t xml:space="preserve">Grant </w:t>
      </w:r>
      <w:r w:rsidR="00D948D5">
        <w:t>respond</w:t>
      </w:r>
      <w:r w:rsidR="008670BE">
        <w:t>ent</w:t>
      </w:r>
      <w:r w:rsidR="0030390E">
        <w:t>s</w:t>
      </w:r>
      <w:r w:rsidR="008670BE">
        <w:t xml:space="preserve"> on</w:t>
      </w:r>
      <w:r w:rsidR="000016ED">
        <w:t>l</w:t>
      </w:r>
      <w:r w:rsidR="008670BE">
        <w:t xml:space="preserve">y have to </w:t>
      </w:r>
      <w:r>
        <w:t>provide</w:t>
      </w:r>
      <w:r w:rsidR="008670BE">
        <w:t xml:space="preserve"> </w:t>
      </w:r>
      <w:r w:rsidR="00460AC3">
        <w:t xml:space="preserve">at least </w:t>
      </w:r>
      <w:r w:rsidR="008670BE">
        <w:t>20 percent of the total cost</w:t>
      </w:r>
      <w:r w:rsidR="000016ED">
        <w:t>, the respon</w:t>
      </w:r>
      <w:r w:rsidR="00E95FD1">
        <w:t>dent</w:t>
      </w:r>
      <w:r w:rsidR="0030390E">
        <w:t>s</w:t>
      </w:r>
      <w:r w:rsidR="00E95FD1">
        <w:t xml:space="preserve"> </w:t>
      </w:r>
      <w:r w:rsidR="009A322A">
        <w:t xml:space="preserve">will have to fund about $5,000,000 annually.  </w:t>
      </w:r>
      <w:r w:rsidRPr="008E0167" w:rsidR="008E0167">
        <w:t xml:space="preserve"> </w:t>
      </w:r>
    </w:p>
    <w:p w:rsidR="008F5CC6" w:rsidRPr="008F5CC6" w:rsidP="00AD2C33" w14:paraId="36563031" w14:textId="68495371">
      <w:pPr>
        <w:pStyle w:val="BodyText"/>
        <w:ind w:left="720"/>
      </w:pPr>
      <w:r>
        <w:t>NHTSA does not expect respondents to incur any additional costs</w:t>
      </w:r>
      <w:r w:rsidR="00E85072">
        <w:t xml:space="preserve"> for the </w:t>
      </w:r>
      <w:r w:rsidR="003746EC">
        <w:t xml:space="preserve">SDS or </w:t>
      </w:r>
      <w:r w:rsidR="009667B8">
        <w:t>n</w:t>
      </w:r>
      <w:r w:rsidRPr="00897842" w:rsidR="009667B8">
        <w:t>on-</w:t>
      </w:r>
      <w:r w:rsidR="009667B8">
        <w:t>SEDC</w:t>
      </w:r>
      <w:r w:rsidRPr="00897842" w:rsidR="009667B8">
        <w:t xml:space="preserve"> States using EDT Protoco</w:t>
      </w:r>
      <w:r w:rsidR="009667B8">
        <w:t>l</w:t>
      </w:r>
      <w:r>
        <w:t xml:space="preserve"> (beyond labor costs as discussed in question 12) as a result of this information collection.</w:t>
      </w:r>
    </w:p>
    <w:p w:rsidR="00DF3DC9" w:rsidRPr="00505840" w:rsidP="00D109CC" w14:paraId="76584B70" w14:textId="77777777">
      <w:pPr>
        <w:pStyle w:val="Heading2"/>
      </w:pPr>
      <w:bookmarkStart w:id="37" w:name="_Hlk51332118"/>
      <w:r w:rsidRPr="00505840">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37"/>
    <w:p w:rsidR="00F56104" w:rsidP="00DF3DC9" w14:paraId="36BFF976" w14:textId="380346E7">
      <w:pPr>
        <w:ind w:left="720"/>
        <w:contextualSpacing/>
        <w:rPr>
          <w:rFonts w:cs="Times New Roman"/>
          <w:szCs w:val="24"/>
        </w:rPr>
      </w:pPr>
      <w:r w:rsidRPr="6A09C5A8">
        <w:rPr>
          <w:rFonts w:cs="Times New Roman"/>
        </w:rPr>
        <w:t>The total annualized cost to the Federal government associated with this I</w:t>
      </w:r>
      <w:r w:rsidR="00474C95">
        <w:rPr>
          <w:rFonts w:cs="Times New Roman"/>
        </w:rPr>
        <w:t xml:space="preserve">nformation </w:t>
      </w:r>
      <w:r w:rsidRPr="6A09C5A8">
        <w:rPr>
          <w:rFonts w:cs="Times New Roman"/>
        </w:rPr>
        <w:t>C</w:t>
      </w:r>
      <w:r w:rsidR="00474C95">
        <w:rPr>
          <w:rFonts w:cs="Times New Roman"/>
        </w:rPr>
        <w:t xml:space="preserve">ollection </w:t>
      </w:r>
      <w:r w:rsidRPr="6A09C5A8" w:rsidR="00F11963">
        <w:rPr>
          <w:rFonts w:cs="Times New Roman"/>
        </w:rPr>
        <w:t>R</w:t>
      </w:r>
      <w:r w:rsidR="00F11963">
        <w:rPr>
          <w:rFonts w:cs="Times New Roman"/>
        </w:rPr>
        <w:t>equest (ICR)</w:t>
      </w:r>
      <w:r w:rsidRPr="6A09C5A8">
        <w:rPr>
          <w:rFonts w:cs="Times New Roman"/>
        </w:rPr>
        <w:t xml:space="preserve"> is </w:t>
      </w:r>
      <w:r w:rsidR="001B0C17">
        <w:rPr>
          <w:rFonts w:cs="Times New Roman"/>
        </w:rPr>
        <w:t>$</w:t>
      </w:r>
      <w:r w:rsidR="00AA417E">
        <w:rPr>
          <w:rFonts w:cs="Times New Roman"/>
        </w:rPr>
        <w:t>4,473,125</w:t>
      </w:r>
      <w:r w:rsidRPr="6A09C5A8" w:rsidR="001840E9">
        <w:rPr>
          <w:rFonts w:cs="Times New Roman"/>
        </w:rPr>
        <w:t xml:space="preserve">. </w:t>
      </w:r>
    </w:p>
    <w:p w:rsidR="00A23407" w:rsidP="00CC0168" w14:paraId="6D020772" w14:textId="390BD349">
      <w:pPr>
        <w:pStyle w:val="Heading3"/>
      </w:pPr>
      <w:r w:rsidRPr="005E60DA">
        <w:t>States</w:t>
      </w:r>
      <w:r>
        <w:t xml:space="preserve"> using SDS Protocol</w:t>
      </w:r>
    </w:p>
    <w:p w:rsidR="00E1550A" w:rsidRPr="002C5743" w:rsidP="00DF3DC9" w14:paraId="75954E75" w14:textId="55EC81DF">
      <w:pPr>
        <w:ind w:left="720"/>
        <w:contextualSpacing/>
        <w:rPr>
          <w:rFonts w:cs="Times New Roman"/>
          <w:szCs w:val="24"/>
        </w:rPr>
      </w:pPr>
      <w:r w:rsidRPr="71795E2E">
        <w:rPr>
          <w:rFonts w:cs="Times New Roman"/>
        </w:rPr>
        <w:t>The total annual costs for SDS to the Federal government are estimated to be $</w:t>
      </w:r>
      <w:r w:rsidRPr="71795E2E" w:rsidR="00916902">
        <w:rPr>
          <w:rFonts w:cs="Times New Roman"/>
        </w:rPr>
        <w:t>1,5</w:t>
      </w:r>
      <w:r w:rsidR="00916902">
        <w:rPr>
          <w:rFonts w:cs="Times New Roman"/>
        </w:rPr>
        <w:t>1</w:t>
      </w:r>
      <w:r w:rsidR="006A1AC6">
        <w:rPr>
          <w:rFonts w:cs="Times New Roman"/>
        </w:rPr>
        <w:t>9</w:t>
      </w:r>
      <w:r w:rsidR="00916902">
        <w:rPr>
          <w:rFonts w:cs="Times New Roman"/>
        </w:rPr>
        <w:t>,9</w:t>
      </w:r>
      <w:r w:rsidR="006A1AC6">
        <w:rPr>
          <w:rFonts w:cs="Times New Roman"/>
        </w:rPr>
        <w:t>20</w:t>
      </w:r>
      <w:r w:rsidRPr="71795E2E" w:rsidR="003F5A20">
        <w:rPr>
          <w:rFonts w:cs="Times New Roman"/>
        </w:rPr>
        <w:t xml:space="preserve"> per year.  Approximately, 80 percent of</w:t>
      </w:r>
      <w:r w:rsidRPr="71795E2E" w:rsidR="00DE314B">
        <w:rPr>
          <w:rFonts w:cs="Times New Roman"/>
        </w:rPr>
        <w:t xml:space="preserve"> the time of one employee</w:t>
      </w:r>
      <w:r w:rsidRPr="71795E2E" w:rsidR="003F5A20">
        <w:rPr>
          <w:rFonts w:cs="Times New Roman"/>
        </w:rPr>
        <w:t xml:space="preserve"> is devoted to managing </w:t>
      </w:r>
      <w:r w:rsidRPr="71795E2E" w:rsidR="00300A5F">
        <w:rPr>
          <w:rFonts w:cs="Times New Roman"/>
        </w:rPr>
        <w:t xml:space="preserve">the SDS part of SDT.  Eighty percent of 2,087 work hours a year is about 1,670 hours.  </w:t>
      </w:r>
      <w:r w:rsidRPr="71795E2E" w:rsidR="00DE314B">
        <w:rPr>
          <w:rFonts w:cs="Times New Roman"/>
        </w:rPr>
        <w:t>NHTSA estimates the cost of this time using the salary of a</w:t>
      </w:r>
      <w:r w:rsidRPr="71795E2E" w:rsidR="00300A5F">
        <w:rPr>
          <w:rFonts w:cs="Times New Roman"/>
        </w:rPr>
        <w:t xml:space="preserve"> GS 14 step 5 </w:t>
      </w:r>
      <w:r w:rsidRPr="71795E2E" w:rsidR="00DE314B">
        <w:rPr>
          <w:rFonts w:cs="Times New Roman"/>
        </w:rPr>
        <w:t xml:space="preserve">employee </w:t>
      </w:r>
      <w:r w:rsidRPr="71795E2E" w:rsidR="00300A5F">
        <w:rPr>
          <w:rFonts w:cs="Times New Roman"/>
        </w:rPr>
        <w:t>in the Washington, DC</w:t>
      </w:r>
      <w:r w:rsidRPr="71795E2E" w:rsidR="00385AD8">
        <w:rPr>
          <w:rFonts w:cs="Times New Roman"/>
        </w:rPr>
        <w:t>,</w:t>
      </w:r>
      <w:r w:rsidRPr="71795E2E" w:rsidR="00300A5F">
        <w:rPr>
          <w:rFonts w:cs="Times New Roman"/>
        </w:rPr>
        <w:t xml:space="preserve"> area</w:t>
      </w:r>
      <w:r w:rsidRPr="71795E2E" w:rsidR="00584E94">
        <w:rPr>
          <w:rFonts w:cs="Times New Roman"/>
        </w:rPr>
        <w:t>, which is</w:t>
      </w:r>
      <w:r w:rsidRPr="71795E2E" w:rsidR="00300A5F">
        <w:rPr>
          <w:rFonts w:cs="Times New Roman"/>
        </w:rPr>
        <w:t xml:space="preserve"> $</w:t>
      </w:r>
      <w:r w:rsidR="00B5213E">
        <w:rPr>
          <w:rFonts w:cs="Times New Roman"/>
        </w:rPr>
        <w:t>71.88</w:t>
      </w:r>
      <w:r w:rsidRPr="71795E2E" w:rsidR="00861E46">
        <w:rPr>
          <w:rFonts w:cs="Times New Roman"/>
        </w:rPr>
        <w:t xml:space="preserve"> per</w:t>
      </w:r>
      <w:r w:rsidRPr="71795E2E" w:rsidR="00584E94">
        <w:rPr>
          <w:rFonts w:cs="Times New Roman"/>
        </w:rPr>
        <w:t xml:space="preserve"> hour</w:t>
      </w:r>
      <w:r w:rsidRPr="71795E2E" w:rsidR="00300A5F">
        <w:rPr>
          <w:rFonts w:cs="Times New Roman"/>
        </w:rPr>
        <w:t>.</w:t>
      </w:r>
      <w:r>
        <w:rPr>
          <w:rStyle w:val="FootnoteReference"/>
          <w:rFonts w:cs="Times New Roman"/>
        </w:rPr>
        <w:footnoteReference w:id="16"/>
      </w:r>
      <w:r w:rsidRPr="71795E2E" w:rsidR="00300A5F">
        <w:rPr>
          <w:rFonts w:cs="Times New Roman"/>
        </w:rPr>
        <w:t xml:space="preserve"> </w:t>
      </w:r>
      <w:bookmarkStart w:id="38" w:name="_Hlk94858890"/>
      <w:r w:rsidRPr="71795E2E" w:rsidR="005D7DC8">
        <w:rPr>
          <w:rFonts w:eastAsia="Times New Roman" w:cs="Times New Roman"/>
        </w:rPr>
        <w:t>The Bureau of Labor Statistics estimates that wages represent 6</w:t>
      </w:r>
      <w:r w:rsidR="00031C85">
        <w:rPr>
          <w:rFonts w:eastAsia="Times New Roman" w:cs="Times New Roman"/>
        </w:rPr>
        <w:t>1</w:t>
      </w:r>
      <w:r w:rsidRPr="71795E2E" w:rsidR="005D7DC8">
        <w:rPr>
          <w:rFonts w:eastAsia="Times New Roman" w:cs="Times New Roman"/>
        </w:rPr>
        <w:t>.</w:t>
      </w:r>
      <w:r w:rsidR="002F2571">
        <w:rPr>
          <w:rFonts w:eastAsia="Times New Roman" w:cs="Times New Roman"/>
        </w:rPr>
        <w:t>9</w:t>
      </w:r>
      <w:r w:rsidRPr="71795E2E" w:rsidR="005D7DC8">
        <w:rPr>
          <w:rFonts w:eastAsia="Times New Roman" w:cs="Times New Roman"/>
        </w:rPr>
        <w:t xml:space="preserve"> percent of total compensation for State and local government workers, on average.</w:t>
      </w:r>
      <w:r>
        <w:rPr>
          <w:rFonts w:eastAsia="Times New Roman" w:cs="Times New Roman"/>
          <w:vertAlign w:val="superscript"/>
        </w:rPr>
        <w:footnoteReference w:id="17"/>
      </w:r>
      <w:r w:rsidRPr="71795E2E" w:rsidR="005D7DC8">
        <w:rPr>
          <w:rFonts w:eastAsia="Times New Roman" w:cs="Times New Roman"/>
        </w:rPr>
        <w:t xml:space="preserve"> </w:t>
      </w:r>
      <w:r w:rsidRPr="71795E2E" w:rsidR="009D0472">
        <w:rPr>
          <w:rFonts w:eastAsia="Times New Roman" w:cs="Times New Roman"/>
        </w:rPr>
        <w:t>Using this estimate to calculate a loaded wage</w:t>
      </w:r>
      <w:r w:rsidRPr="71795E2E" w:rsidR="00534D45">
        <w:rPr>
          <w:rFonts w:eastAsia="Times New Roman" w:cs="Times New Roman"/>
        </w:rPr>
        <w:t>,</w:t>
      </w:r>
      <w:r w:rsidRPr="71795E2E" w:rsidR="005D7DC8">
        <w:rPr>
          <w:rFonts w:eastAsia="Times New Roman" w:cs="Times New Roman"/>
        </w:rPr>
        <w:t xml:space="preserve"> NHTSA estimates the total hourly compensation cost to be</w:t>
      </w:r>
      <w:r w:rsidRPr="71795E2E" w:rsidR="00534D45">
        <w:rPr>
          <w:rFonts w:eastAsia="Times New Roman" w:cs="Times New Roman"/>
        </w:rPr>
        <w:t xml:space="preserve"> $</w:t>
      </w:r>
      <w:r w:rsidR="0034265F">
        <w:rPr>
          <w:rFonts w:eastAsia="Times New Roman" w:cs="Times New Roman"/>
        </w:rPr>
        <w:t>11</w:t>
      </w:r>
      <w:r w:rsidR="002F2571">
        <w:rPr>
          <w:rFonts w:eastAsia="Times New Roman" w:cs="Times New Roman"/>
        </w:rPr>
        <w:t>6</w:t>
      </w:r>
      <w:r w:rsidR="0034265F">
        <w:rPr>
          <w:rFonts w:eastAsia="Times New Roman" w:cs="Times New Roman"/>
        </w:rPr>
        <w:t>.</w:t>
      </w:r>
      <w:r w:rsidR="002F2571">
        <w:rPr>
          <w:rFonts w:eastAsia="Times New Roman" w:cs="Times New Roman"/>
        </w:rPr>
        <w:t>12</w:t>
      </w:r>
      <w:r w:rsidR="007848D9">
        <w:rPr>
          <w:rFonts w:eastAsia="Times New Roman" w:cs="Times New Roman"/>
        </w:rPr>
        <w:t xml:space="preserve"> </w:t>
      </w:r>
      <w:r w:rsidR="00A64E05">
        <w:rPr>
          <w:rFonts w:eastAsia="Times New Roman" w:cs="Times New Roman"/>
        </w:rPr>
        <w:t>(</w:t>
      </w:r>
      <w:r w:rsidR="00237E9F">
        <w:rPr>
          <w:rFonts w:eastAsia="Times New Roman" w:cs="Times New Roman"/>
        </w:rPr>
        <w:t>$71.</w:t>
      </w:r>
      <w:r w:rsidR="003B1CD6">
        <w:rPr>
          <w:rFonts w:eastAsia="Times New Roman" w:cs="Times New Roman"/>
        </w:rPr>
        <w:t>88</w:t>
      </w:r>
      <w:r w:rsidR="00DB03DA">
        <w:rPr>
          <w:rFonts w:eastAsia="Times New Roman" w:cs="Times New Roman"/>
        </w:rPr>
        <w:t xml:space="preserve"> </w:t>
      </w:r>
      <w:r w:rsidR="00DB03DA">
        <w:rPr>
          <w:rFonts w:cs="Times New Roman"/>
        </w:rPr>
        <w:t>÷</w:t>
      </w:r>
      <w:r w:rsidR="00CB6E8F">
        <w:rPr>
          <w:rFonts w:cs="Times New Roman"/>
        </w:rPr>
        <w:t xml:space="preserve"> 61.9%)</w:t>
      </w:r>
      <w:r w:rsidRPr="71795E2E" w:rsidR="00DB0CC6">
        <w:rPr>
          <w:rFonts w:eastAsia="Times New Roman" w:cs="Times New Roman"/>
        </w:rPr>
        <w:t xml:space="preserve">. </w:t>
      </w:r>
      <w:r w:rsidRPr="71795E2E" w:rsidR="00DB0CC6">
        <w:rPr>
          <w:rFonts w:eastAsia="Times New Roman" w:cs="Times New Roman"/>
        </w:rPr>
        <w:t>Therefore, NHTSA estim</w:t>
      </w:r>
      <w:r w:rsidRPr="71795E2E" w:rsidR="00223460">
        <w:rPr>
          <w:rFonts w:eastAsia="Times New Roman" w:cs="Times New Roman"/>
        </w:rPr>
        <w:t>a</w:t>
      </w:r>
      <w:r w:rsidRPr="71795E2E" w:rsidR="00DB0CC6">
        <w:rPr>
          <w:rFonts w:eastAsia="Times New Roman" w:cs="Times New Roman"/>
        </w:rPr>
        <w:t>te</w:t>
      </w:r>
      <w:bookmarkEnd w:id="38"/>
      <w:r w:rsidRPr="71795E2E" w:rsidR="00DB0CC6">
        <w:rPr>
          <w:rFonts w:eastAsia="Times New Roman" w:cs="Times New Roman"/>
        </w:rPr>
        <w:t>s</w:t>
      </w:r>
      <w:r w:rsidRPr="71795E2E" w:rsidR="00DB0CC6">
        <w:rPr>
          <w:rFonts w:cs="Times New Roman"/>
        </w:rPr>
        <w:t xml:space="preserve"> the total annual</w:t>
      </w:r>
      <w:r w:rsidRPr="71795E2E" w:rsidR="00300A5F">
        <w:rPr>
          <w:rFonts w:cs="Times New Roman"/>
        </w:rPr>
        <w:t xml:space="preserve"> </w:t>
      </w:r>
      <w:r w:rsidRPr="71795E2E" w:rsidR="00571D92">
        <w:rPr>
          <w:rFonts w:cs="Times New Roman"/>
        </w:rPr>
        <w:t xml:space="preserve">cost for </w:t>
      </w:r>
      <w:r w:rsidRPr="71795E2E" w:rsidR="00300A5F">
        <w:rPr>
          <w:rFonts w:cs="Times New Roman"/>
        </w:rPr>
        <w:t xml:space="preserve">federal staff needed to manage the SDS </w:t>
      </w:r>
      <w:r w:rsidRPr="71795E2E" w:rsidR="00534D45">
        <w:rPr>
          <w:rFonts w:cs="Times New Roman"/>
        </w:rPr>
        <w:t xml:space="preserve">to </w:t>
      </w:r>
      <w:r w:rsidRPr="71795E2E" w:rsidR="00223460">
        <w:rPr>
          <w:rFonts w:cs="Times New Roman"/>
        </w:rPr>
        <w:t>be</w:t>
      </w:r>
      <w:r w:rsidRPr="71795E2E" w:rsidR="00300A5F">
        <w:rPr>
          <w:rFonts w:cs="Times New Roman"/>
        </w:rPr>
        <w:t xml:space="preserve"> $</w:t>
      </w:r>
      <w:r w:rsidR="00D1230B">
        <w:rPr>
          <w:rFonts w:cs="Times New Roman"/>
        </w:rPr>
        <w:t>19</w:t>
      </w:r>
      <w:r w:rsidR="00991103">
        <w:rPr>
          <w:rFonts w:cs="Times New Roman"/>
        </w:rPr>
        <w:t>3</w:t>
      </w:r>
      <w:r w:rsidR="00D1230B">
        <w:rPr>
          <w:rFonts w:cs="Times New Roman"/>
        </w:rPr>
        <w:t>,</w:t>
      </w:r>
      <w:r w:rsidR="00694B41">
        <w:rPr>
          <w:rFonts w:cs="Times New Roman"/>
        </w:rPr>
        <w:t>9</w:t>
      </w:r>
      <w:r w:rsidR="00991103">
        <w:rPr>
          <w:rFonts w:cs="Times New Roman"/>
        </w:rPr>
        <w:t>20</w:t>
      </w:r>
      <w:r w:rsidRPr="71795E2E" w:rsidR="00300A5F">
        <w:rPr>
          <w:rFonts w:cs="Times New Roman"/>
        </w:rPr>
        <w:t xml:space="preserve"> ($</w:t>
      </w:r>
      <w:r w:rsidRPr="71795E2E" w:rsidR="009D0472">
        <w:rPr>
          <w:rFonts w:cs="Times New Roman"/>
        </w:rPr>
        <w:t>1</w:t>
      </w:r>
      <w:r w:rsidR="00987F63">
        <w:rPr>
          <w:rFonts w:cs="Times New Roman"/>
        </w:rPr>
        <w:t>1</w:t>
      </w:r>
      <w:r w:rsidR="00991103">
        <w:rPr>
          <w:rFonts w:cs="Times New Roman"/>
        </w:rPr>
        <w:t>6.12</w:t>
      </w:r>
      <w:r w:rsidRPr="71795E2E" w:rsidR="009F19D5">
        <w:rPr>
          <w:rFonts w:cs="Times New Roman"/>
        </w:rPr>
        <w:t xml:space="preserve"> </w:t>
      </w:r>
      <w:r w:rsidRPr="71795E2E" w:rsidR="00584E94">
        <w:rPr>
          <w:rFonts w:cs="Times New Roman"/>
        </w:rPr>
        <w:t>×</w:t>
      </w:r>
      <w:r w:rsidRPr="71795E2E" w:rsidR="00300A5F">
        <w:rPr>
          <w:rFonts w:cs="Times New Roman"/>
        </w:rPr>
        <w:t xml:space="preserve"> 1,670 hours).  Since the State</w:t>
      </w:r>
      <w:r w:rsidRPr="71795E2E" w:rsidR="007810C4">
        <w:rPr>
          <w:rFonts w:cs="Times New Roman"/>
        </w:rPr>
        <w:t>s</w:t>
      </w:r>
      <w:r w:rsidRPr="71795E2E" w:rsidR="00300A5F">
        <w:rPr>
          <w:rFonts w:cs="Times New Roman"/>
        </w:rPr>
        <w:t xml:space="preserve"> supply the data in </w:t>
      </w:r>
      <w:r w:rsidRPr="71795E2E" w:rsidR="00F708AC">
        <w:rPr>
          <w:rFonts w:cs="Times New Roman"/>
        </w:rPr>
        <w:t>various</w:t>
      </w:r>
      <w:r w:rsidRPr="71795E2E" w:rsidR="00300A5F">
        <w:rPr>
          <w:rFonts w:cs="Times New Roman"/>
        </w:rPr>
        <w:t xml:space="preserve"> layout</w:t>
      </w:r>
      <w:r w:rsidRPr="71795E2E" w:rsidR="00DA5430">
        <w:rPr>
          <w:rFonts w:cs="Times New Roman"/>
        </w:rPr>
        <w:t>s</w:t>
      </w:r>
      <w:r w:rsidRPr="71795E2E" w:rsidR="00300A5F">
        <w:rPr>
          <w:rFonts w:cs="Times New Roman"/>
        </w:rPr>
        <w:t xml:space="preserve"> and formats, </w:t>
      </w:r>
      <w:r w:rsidRPr="71795E2E" w:rsidR="007810C4">
        <w:rPr>
          <w:rFonts w:cs="Times New Roman"/>
        </w:rPr>
        <w:t xml:space="preserve">the </w:t>
      </w:r>
      <w:r w:rsidRPr="71795E2E" w:rsidR="0027526D">
        <w:rPr>
          <w:rFonts w:cs="Times New Roman"/>
        </w:rPr>
        <w:t xml:space="preserve">federal </w:t>
      </w:r>
      <w:r w:rsidRPr="71795E2E" w:rsidR="007810C4">
        <w:rPr>
          <w:rFonts w:cs="Times New Roman"/>
        </w:rPr>
        <w:t>contracting support needed to process this data into a useable common form is $1,326,000 per year for</w:t>
      </w:r>
      <w:r w:rsidRPr="71795E2E" w:rsidR="009F19D5">
        <w:rPr>
          <w:rFonts w:cs="Times New Roman"/>
        </w:rPr>
        <w:t xml:space="preserve"> the estimated</w:t>
      </w:r>
      <w:r w:rsidRPr="71795E2E" w:rsidR="007810C4">
        <w:rPr>
          <w:rFonts w:cs="Times New Roman"/>
        </w:rPr>
        <w:t xml:space="preserve"> 3</w:t>
      </w:r>
      <w:r w:rsidRPr="71795E2E" w:rsidR="00D57821">
        <w:rPr>
          <w:rFonts w:cs="Times New Roman"/>
        </w:rPr>
        <w:t>1</w:t>
      </w:r>
      <w:r w:rsidRPr="71795E2E" w:rsidR="009F19D5">
        <w:rPr>
          <w:rFonts w:cs="Times New Roman"/>
        </w:rPr>
        <w:t xml:space="preserve"> participating</w:t>
      </w:r>
      <w:r w:rsidRPr="71795E2E" w:rsidR="007810C4">
        <w:rPr>
          <w:rFonts w:cs="Times New Roman"/>
        </w:rPr>
        <w:t xml:space="preserve"> </w:t>
      </w:r>
      <w:r w:rsidRPr="71795E2E" w:rsidR="00385AD8">
        <w:rPr>
          <w:rFonts w:cs="Times New Roman"/>
        </w:rPr>
        <w:t>S</w:t>
      </w:r>
      <w:r w:rsidRPr="71795E2E" w:rsidR="007810C4">
        <w:rPr>
          <w:rFonts w:cs="Times New Roman"/>
        </w:rPr>
        <w:t>tates.</w:t>
      </w:r>
      <w:r w:rsidRPr="71795E2E" w:rsidR="00223460">
        <w:rPr>
          <w:rFonts w:cs="Times New Roman"/>
        </w:rPr>
        <w:t xml:space="preserve"> Accordingly, NHTSA estimates the total annual cost to the Federal government for SDS to be </w:t>
      </w:r>
      <w:r w:rsidRPr="71795E2E" w:rsidR="00701923">
        <w:rPr>
          <w:rFonts w:cs="Times New Roman"/>
        </w:rPr>
        <w:t>$1,5</w:t>
      </w:r>
      <w:r w:rsidR="00C27B7C">
        <w:rPr>
          <w:rFonts w:cs="Times New Roman"/>
        </w:rPr>
        <w:t>1</w:t>
      </w:r>
      <w:r w:rsidR="0062751A">
        <w:rPr>
          <w:rFonts w:cs="Times New Roman"/>
        </w:rPr>
        <w:t>9</w:t>
      </w:r>
      <w:r w:rsidR="00285B97">
        <w:rPr>
          <w:rFonts w:cs="Times New Roman"/>
        </w:rPr>
        <w:t>,9</w:t>
      </w:r>
      <w:r w:rsidR="00312368">
        <w:rPr>
          <w:rFonts w:cs="Times New Roman"/>
        </w:rPr>
        <w:t>20</w:t>
      </w:r>
      <w:r w:rsidRPr="71795E2E" w:rsidR="00701923">
        <w:rPr>
          <w:rFonts w:cs="Times New Roman"/>
        </w:rPr>
        <w:t xml:space="preserve"> ($1</w:t>
      </w:r>
      <w:r w:rsidR="006767C4">
        <w:rPr>
          <w:rFonts w:cs="Times New Roman"/>
        </w:rPr>
        <w:t>9</w:t>
      </w:r>
      <w:r w:rsidR="0082315B">
        <w:rPr>
          <w:rFonts w:cs="Times New Roman"/>
        </w:rPr>
        <w:t>3</w:t>
      </w:r>
      <w:r w:rsidR="00B37C9B">
        <w:rPr>
          <w:rFonts w:cs="Times New Roman"/>
        </w:rPr>
        <w:t>,920</w:t>
      </w:r>
      <w:r w:rsidRPr="71795E2E" w:rsidR="00701923">
        <w:rPr>
          <w:rFonts w:cs="Times New Roman"/>
        </w:rPr>
        <w:t xml:space="preserve"> + $1,3</w:t>
      </w:r>
      <w:r w:rsidRPr="71795E2E" w:rsidR="00FF4782">
        <w:rPr>
          <w:rFonts w:cs="Times New Roman"/>
        </w:rPr>
        <w:t>2</w:t>
      </w:r>
      <w:r w:rsidRPr="71795E2E" w:rsidR="00701923">
        <w:rPr>
          <w:rFonts w:cs="Times New Roman"/>
        </w:rPr>
        <w:t xml:space="preserve">6,000). </w:t>
      </w:r>
    </w:p>
    <w:p w:rsidR="00D208F6" w:rsidRPr="002C5743" w:rsidP="002C5743" w14:paraId="411626FA" w14:textId="43510146">
      <w:pPr>
        <w:pStyle w:val="Heading3"/>
      </w:pPr>
      <w:r>
        <w:t>Non-</w:t>
      </w:r>
      <w:r w:rsidR="003431DD">
        <w:t>SEDC</w:t>
      </w:r>
      <w:r>
        <w:t xml:space="preserve"> States using EDT Protocol</w:t>
      </w:r>
    </w:p>
    <w:p w:rsidR="00591A73" w:rsidP="008306C2" w14:paraId="32875C37" w14:textId="58871127">
      <w:pPr>
        <w:ind w:left="720"/>
        <w:contextualSpacing/>
      </w:pPr>
      <w:r w:rsidRPr="71795E2E">
        <w:rPr>
          <w:rFonts w:cs="Times New Roman"/>
        </w:rPr>
        <w:t xml:space="preserve">The total annual costs for </w:t>
      </w:r>
      <w:r w:rsidR="00F65E7A">
        <w:rPr>
          <w:rFonts w:cs="Times New Roman"/>
        </w:rPr>
        <w:t>non-SEDC State</w:t>
      </w:r>
      <w:r w:rsidR="00071960">
        <w:rPr>
          <w:rFonts w:cs="Times New Roman"/>
        </w:rPr>
        <w:t xml:space="preserve">s using </w:t>
      </w:r>
      <w:r w:rsidRPr="71795E2E">
        <w:rPr>
          <w:rFonts w:cs="Times New Roman"/>
        </w:rPr>
        <w:t>EDT to the Federal government are estimated to be $</w:t>
      </w:r>
      <w:r w:rsidR="00D3541E">
        <w:rPr>
          <w:rFonts w:cs="Times New Roman"/>
        </w:rPr>
        <w:t>210,</w:t>
      </w:r>
      <w:r w:rsidR="00AB11BB">
        <w:rPr>
          <w:rFonts w:cs="Times New Roman"/>
        </w:rPr>
        <w:t>971</w:t>
      </w:r>
      <w:r w:rsidRPr="71795E2E">
        <w:rPr>
          <w:rFonts w:cs="Times New Roman"/>
        </w:rPr>
        <w:t xml:space="preserve"> per year.  Approximately, 10 percent of </w:t>
      </w:r>
      <w:r w:rsidRPr="71795E2E" w:rsidR="00861E46">
        <w:rPr>
          <w:rFonts w:cs="Times New Roman"/>
        </w:rPr>
        <w:t>one employee</w:t>
      </w:r>
      <w:r w:rsidRPr="71795E2E" w:rsidR="003A7B30">
        <w:rPr>
          <w:rFonts w:cs="Times New Roman"/>
        </w:rPr>
        <w:t>’s time</w:t>
      </w:r>
      <w:r w:rsidRPr="71795E2E" w:rsidR="00861E46">
        <w:rPr>
          <w:rFonts w:cs="Times New Roman"/>
        </w:rPr>
        <w:t xml:space="preserve"> </w:t>
      </w:r>
      <w:r w:rsidRPr="71795E2E">
        <w:rPr>
          <w:rFonts w:cs="Times New Roman"/>
        </w:rPr>
        <w:t xml:space="preserve">is devoted to managing the </w:t>
      </w:r>
      <w:r w:rsidRPr="71795E2E" w:rsidR="005E2C26">
        <w:rPr>
          <w:rFonts w:cs="Times New Roman"/>
        </w:rPr>
        <w:t>EDT</w:t>
      </w:r>
      <w:r w:rsidRPr="71795E2E">
        <w:rPr>
          <w:rFonts w:cs="Times New Roman"/>
        </w:rPr>
        <w:t xml:space="preserve"> </w:t>
      </w:r>
      <w:r w:rsidR="00741CEB">
        <w:rPr>
          <w:rFonts w:cs="Times New Roman"/>
        </w:rPr>
        <w:t>non</w:t>
      </w:r>
      <w:r w:rsidR="00FB38CB">
        <w:rPr>
          <w:rFonts w:cs="Times New Roman"/>
        </w:rPr>
        <w:t xml:space="preserve">-SEDC States as </w:t>
      </w:r>
      <w:r w:rsidRPr="71795E2E">
        <w:rPr>
          <w:rFonts w:cs="Times New Roman"/>
        </w:rPr>
        <w:t xml:space="preserve">part of SDT.  </w:t>
      </w:r>
      <w:r w:rsidRPr="71795E2E" w:rsidR="005E2C26">
        <w:rPr>
          <w:rFonts w:cs="Times New Roman"/>
        </w:rPr>
        <w:t>Ten</w:t>
      </w:r>
      <w:r w:rsidRPr="71795E2E">
        <w:rPr>
          <w:rFonts w:cs="Times New Roman"/>
        </w:rPr>
        <w:t xml:space="preserve"> percent of 2,</w:t>
      </w:r>
      <w:r w:rsidRPr="71795E2E" w:rsidR="005E2C26">
        <w:rPr>
          <w:rFonts w:cs="Times New Roman"/>
        </w:rPr>
        <w:t>087 work hours a year is about 20</w:t>
      </w:r>
      <w:r w:rsidRPr="71795E2E" w:rsidR="00861E46">
        <w:rPr>
          <w:rFonts w:cs="Times New Roman"/>
        </w:rPr>
        <w:t>9</w:t>
      </w:r>
      <w:r w:rsidRPr="71795E2E">
        <w:rPr>
          <w:rFonts w:cs="Times New Roman"/>
        </w:rPr>
        <w:t xml:space="preserve"> hours.  </w:t>
      </w:r>
      <w:r w:rsidRPr="71795E2E" w:rsidR="00861E46">
        <w:rPr>
          <w:rFonts w:cs="Times New Roman"/>
        </w:rPr>
        <w:t>NHTSA estimates the cost of this time using the salary of a</w:t>
      </w:r>
      <w:r w:rsidRPr="71795E2E">
        <w:rPr>
          <w:rFonts w:cs="Times New Roman"/>
        </w:rPr>
        <w:t xml:space="preserve"> GS 14 step </w:t>
      </w:r>
      <w:r w:rsidRPr="71795E2E" w:rsidR="005E2C26">
        <w:rPr>
          <w:rFonts w:cs="Times New Roman"/>
        </w:rPr>
        <w:t>8</w:t>
      </w:r>
      <w:r w:rsidRPr="71795E2E">
        <w:rPr>
          <w:rFonts w:cs="Times New Roman"/>
        </w:rPr>
        <w:t xml:space="preserve"> </w:t>
      </w:r>
      <w:r w:rsidRPr="71795E2E" w:rsidR="00861E46">
        <w:rPr>
          <w:rFonts w:cs="Times New Roman"/>
        </w:rPr>
        <w:t xml:space="preserve">employee </w:t>
      </w:r>
      <w:r w:rsidRPr="71795E2E">
        <w:rPr>
          <w:rFonts w:cs="Times New Roman"/>
        </w:rPr>
        <w:t>in the Washington, DC, area</w:t>
      </w:r>
      <w:r w:rsidRPr="71795E2E" w:rsidR="00861E46">
        <w:rPr>
          <w:rFonts w:cs="Times New Roman"/>
        </w:rPr>
        <w:t>, which is</w:t>
      </w:r>
      <w:r w:rsidRPr="71795E2E">
        <w:rPr>
          <w:rFonts w:cs="Times New Roman"/>
        </w:rPr>
        <w:t xml:space="preserve"> $</w:t>
      </w:r>
      <w:r w:rsidR="00767113">
        <w:rPr>
          <w:rFonts w:cs="Times New Roman"/>
        </w:rPr>
        <w:t>7</w:t>
      </w:r>
      <w:r w:rsidR="009744E3">
        <w:rPr>
          <w:rFonts w:cs="Times New Roman"/>
        </w:rPr>
        <w:t>8</w:t>
      </w:r>
      <w:r w:rsidR="00767113">
        <w:rPr>
          <w:rFonts w:cs="Times New Roman"/>
        </w:rPr>
        <w:t>.22</w:t>
      </w:r>
      <w:r w:rsidRPr="71795E2E" w:rsidR="00861E46">
        <w:rPr>
          <w:rFonts w:cs="Times New Roman"/>
        </w:rPr>
        <w:t xml:space="preserve"> per hour</w:t>
      </w:r>
      <w:r w:rsidRPr="71795E2E">
        <w:rPr>
          <w:rFonts w:cs="Times New Roman"/>
        </w:rPr>
        <w:t>.</w:t>
      </w:r>
      <w:r>
        <w:rPr>
          <w:vertAlign w:val="superscript"/>
        </w:rPr>
        <w:footnoteReference w:id="18"/>
      </w:r>
      <w:r w:rsidRPr="71795E2E">
        <w:rPr>
          <w:rFonts w:cs="Times New Roman"/>
          <w:vertAlign w:val="superscript"/>
        </w:rPr>
        <w:t xml:space="preserve">  </w:t>
      </w:r>
      <w:r w:rsidRPr="71795E2E" w:rsidR="0090714A">
        <w:rPr>
          <w:rFonts w:cs="Times New Roman"/>
        </w:rPr>
        <w:t>The Bureau of Labor Statistics estimates that wages represent 6</w:t>
      </w:r>
      <w:r w:rsidR="00EF2CFE">
        <w:rPr>
          <w:rFonts w:cs="Times New Roman"/>
        </w:rPr>
        <w:t>1.9</w:t>
      </w:r>
      <w:r w:rsidRPr="71795E2E" w:rsidR="0090714A">
        <w:rPr>
          <w:rFonts w:cs="Times New Roman"/>
        </w:rPr>
        <w:t xml:space="preserve"> percent of total compensation for State and local government workers, on average.</w:t>
      </w:r>
      <w:r>
        <w:rPr>
          <w:rFonts w:cs="Times New Roman"/>
          <w:vertAlign w:val="superscript"/>
        </w:rPr>
        <w:footnoteReference w:id="19"/>
      </w:r>
      <w:r w:rsidRPr="71795E2E" w:rsidR="0090714A">
        <w:rPr>
          <w:rFonts w:cs="Times New Roman"/>
          <w:vertAlign w:val="superscript"/>
        </w:rPr>
        <w:t xml:space="preserve"> </w:t>
      </w:r>
      <w:r w:rsidRPr="71795E2E" w:rsidR="0090714A">
        <w:rPr>
          <w:rFonts w:cs="Times New Roman"/>
        </w:rPr>
        <w:t>Using this estimate to calculate a loaded wage, NHTSA estimates the total hourly compensation cost to be $</w:t>
      </w:r>
      <w:r w:rsidR="0058596A">
        <w:rPr>
          <w:rFonts w:cs="Times New Roman"/>
        </w:rPr>
        <w:t>1</w:t>
      </w:r>
      <w:r w:rsidR="004126DF">
        <w:rPr>
          <w:rFonts w:cs="Times New Roman"/>
        </w:rPr>
        <w:t>26.37</w:t>
      </w:r>
      <w:r w:rsidR="008F7FC3">
        <w:rPr>
          <w:rFonts w:cs="Times New Roman"/>
        </w:rPr>
        <w:t xml:space="preserve"> ($</w:t>
      </w:r>
      <w:r w:rsidR="003B4C4E">
        <w:rPr>
          <w:rFonts w:cs="Times New Roman"/>
        </w:rPr>
        <w:t>78.22</w:t>
      </w:r>
      <w:r w:rsidR="00EC01C9">
        <w:rPr>
          <w:rFonts w:cs="Times New Roman"/>
        </w:rPr>
        <w:t xml:space="preserve"> ÷ </w:t>
      </w:r>
      <w:r w:rsidR="00C1628B">
        <w:rPr>
          <w:rFonts w:cs="Times New Roman"/>
        </w:rPr>
        <w:t>61.9%)</w:t>
      </w:r>
      <w:r w:rsidRPr="71795E2E" w:rsidR="0090714A">
        <w:rPr>
          <w:rFonts w:cs="Times New Roman"/>
        </w:rPr>
        <w:t>. Therefore, NHTSA estimates the total cost for</w:t>
      </w:r>
      <w:r w:rsidRPr="71795E2E">
        <w:rPr>
          <w:rFonts w:cs="Times New Roman"/>
        </w:rPr>
        <w:t xml:space="preserve"> federal staff ne</w:t>
      </w:r>
      <w:r w:rsidRPr="71795E2E" w:rsidR="005E2C26">
        <w:rPr>
          <w:rFonts w:cs="Times New Roman"/>
        </w:rPr>
        <w:t xml:space="preserve">eded to manage the </w:t>
      </w:r>
      <w:r w:rsidRPr="71795E2E" w:rsidR="00D931D3">
        <w:rPr>
          <w:rFonts w:cs="Times New Roman"/>
        </w:rPr>
        <w:t xml:space="preserve">EDT </w:t>
      </w:r>
      <w:r w:rsidRPr="71795E2E" w:rsidR="005E2C26">
        <w:rPr>
          <w:rFonts w:cs="Times New Roman"/>
        </w:rPr>
        <w:t xml:space="preserve">will be </w:t>
      </w:r>
      <w:r w:rsidRPr="71795E2E">
        <w:rPr>
          <w:rFonts w:cs="Times New Roman"/>
        </w:rPr>
        <w:t>$</w:t>
      </w:r>
      <w:r w:rsidRPr="0085540A" w:rsidR="0085540A">
        <w:rPr>
          <w:rFonts w:cs="Times New Roman"/>
        </w:rPr>
        <w:t>26,</w:t>
      </w:r>
      <w:r w:rsidR="00F76FA4">
        <w:rPr>
          <w:rFonts w:cs="Times New Roman"/>
        </w:rPr>
        <w:t>411</w:t>
      </w:r>
      <w:r w:rsidRPr="0085540A" w:rsidR="0085540A">
        <w:rPr>
          <w:rFonts w:cs="Times New Roman"/>
        </w:rPr>
        <w:t xml:space="preserve"> </w:t>
      </w:r>
      <w:r w:rsidRPr="71795E2E">
        <w:rPr>
          <w:rFonts w:cs="Times New Roman"/>
        </w:rPr>
        <w:t>($</w:t>
      </w:r>
      <w:r w:rsidR="009212D9">
        <w:rPr>
          <w:rFonts w:cs="Times New Roman"/>
        </w:rPr>
        <w:t>1</w:t>
      </w:r>
      <w:r w:rsidR="004126DF">
        <w:rPr>
          <w:rFonts w:cs="Times New Roman"/>
        </w:rPr>
        <w:t>26.37</w:t>
      </w:r>
      <w:r w:rsidRPr="71795E2E">
        <w:rPr>
          <w:rFonts w:cs="Times New Roman"/>
        </w:rPr>
        <w:t xml:space="preserve"> </w:t>
      </w:r>
      <w:r w:rsidRPr="71795E2E" w:rsidR="00861E46">
        <w:rPr>
          <w:rFonts w:cs="Times New Roman"/>
        </w:rPr>
        <w:t>×</w:t>
      </w:r>
      <w:r w:rsidRPr="71795E2E">
        <w:rPr>
          <w:rFonts w:cs="Times New Roman"/>
        </w:rPr>
        <w:t xml:space="preserve"> </w:t>
      </w:r>
      <w:r w:rsidRPr="71795E2E" w:rsidR="005E2C26">
        <w:rPr>
          <w:rFonts w:cs="Times New Roman"/>
        </w:rPr>
        <w:t>20</w:t>
      </w:r>
      <w:r w:rsidRPr="71795E2E" w:rsidR="00861E46">
        <w:rPr>
          <w:rFonts w:cs="Times New Roman"/>
        </w:rPr>
        <w:t>9</w:t>
      </w:r>
      <w:r w:rsidRPr="71795E2E">
        <w:rPr>
          <w:rFonts w:cs="Times New Roman"/>
        </w:rPr>
        <w:t xml:space="preserve"> hours). </w:t>
      </w:r>
      <w:r w:rsidRPr="71795E2E" w:rsidR="00444922">
        <w:rPr>
          <w:rFonts w:cs="Times New Roman"/>
        </w:rPr>
        <w:t xml:space="preserve"> Additionally,</w:t>
      </w:r>
      <w:r w:rsidRPr="71795E2E">
        <w:rPr>
          <w:rFonts w:cs="Times New Roman"/>
        </w:rPr>
        <w:t xml:space="preserve"> federal contracting support</w:t>
      </w:r>
      <w:r w:rsidRPr="71795E2E" w:rsidR="005E2C26">
        <w:rPr>
          <w:rFonts w:cs="Times New Roman"/>
        </w:rPr>
        <w:t xml:space="preserve"> is</w:t>
      </w:r>
      <w:r w:rsidRPr="71795E2E">
        <w:rPr>
          <w:rFonts w:cs="Times New Roman"/>
        </w:rPr>
        <w:t xml:space="preserve"> needed to </w:t>
      </w:r>
      <w:r w:rsidRPr="71795E2E" w:rsidR="005E2C26">
        <w:rPr>
          <w:rFonts w:cs="Times New Roman"/>
        </w:rPr>
        <w:t xml:space="preserve">implement and maintain the electronic data transfer </w:t>
      </w:r>
      <w:r w:rsidRPr="71795E2E">
        <w:rPr>
          <w:rFonts w:cs="Times New Roman"/>
        </w:rPr>
        <w:t xml:space="preserve">process </w:t>
      </w:r>
      <w:r w:rsidRPr="71795E2E" w:rsidR="005E2C26">
        <w:rPr>
          <w:rFonts w:cs="Times New Roman"/>
        </w:rPr>
        <w:t xml:space="preserve">for EDT to ensure NHTSA receives the data securely and accurately. The implementation cost per State is </w:t>
      </w:r>
      <w:r w:rsidRPr="71795E2E" w:rsidR="00444922">
        <w:rPr>
          <w:rFonts w:cs="Times New Roman"/>
        </w:rPr>
        <w:t xml:space="preserve">estimated to be </w:t>
      </w:r>
      <w:r w:rsidRPr="71795E2E" w:rsidR="00445835">
        <w:rPr>
          <w:rFonts w:cs="Times New Roman"/>
        </w:rPr>
        <w:t>$52,99</w:t>
      </w:r>
      <w:r w:rsidRPr="71795E2E" w:rsidR="00A551A9">
        <w:rPr>
          <w:rFonts w:cs="Times New Roman"/>
        </w:rPr>
        <w:t>6</w:t>
      </w:r>
      <w:r w:rsidRPr="71795E2E" w:rsidR="005E2C26">
        <w:rPr>
          <w:rFonts w:cs="Times New Roman"/>
        </w:rPr>
        <w:t xml:space="preserve"> and the annual maintenance cost per State is</w:t>
      </w:r>
      <w:r w:rsidRPr="71795E2E" w:rsidR="00444922">
        <w:rPr>
          <w:rFonts w:cs="Times New Roman"/>
        </w:rPr>
        <w:t xml:space="preserve"> estimated to be</w:t>
      </w:r>
      <w:r w:rsidRPr="71795E2E" w:rsidR="005E2C26">
        <w:rPr>
          <w:rFonts w:cs="Times New Roman"/>
        </w:rPr>
        <w:t xml:space="preserve"> </w:t>
      </w:r>
      <w:r w:rsidRPr="71795E2E" w:rsidR="00445835">
        <w:rPr>
          <w:rFonts w:cs="Times New Roman"/>
        </w:rPr>
        <w:t>$12,30</w:t>
      </w:r>
      <w:r w:rsidRPr="71795E2E" w:rsidR="00A425BD">
        <w:rPr>
          <w:rFonts w:cs="Times New Roman"/>
        </w:rPr>
        <w:t>4</w:t>
      </w:r>
      <w:r w:rsidRPr="71795E2E" w:rsidR="000927FF">
        <w:rPr>
          <w:rFonts w:cs="Times New Roman"/>
        </w:rPr>
        <w:t xml:space="preserve"> based on</w:t>
      </w:r>
      <w:r w:rsidR="000927FF">
        <w:t xml:space="preserve"> NHTSA’s IT contract</w:t>
      </w:r>
      <w:r w:rsidR="005E2C26">
        <w:t xml:space="preserve">. </w:t>
      </w:r>
      <w:r w:rsidR="00243857">
        <w:t>Currently there are twenty (20) non-</w:t>
      </w:r>
      <w:r w:rsidR="003431DD">
        <w:t>SEDC</w:t>
      </w:r>
      <w:r w:rsidR="00243857">
        <w:t xml:space="preserve"> EDT States. As discussed under Item 12, NHTSA estimates that in the next few years, there won’t be any new States through non-</w:t>
      </w:r>
      <w:r w:rsidR="003431DD">
        <w:t>SEDC</w:t>
      </w:r>
      <w:r w:rsidR="00243857">
        <w:t xml:space="preserve"> EDT protocol and there will be five (5) non-</w:t>
      </w:r>
      <w:r w:rsidR="003431DD">
        <w:t>SEDC</w:t>
      </w:r>
      <w:r w:rsidR="00243857">
        <w:t xml:space="preserve"> States trans</w:t>
      </w:r>
      <w:r w:rsidR="0057786E">
        <w:t>itioning</w:t>
      </w:r>
      <w:r w:rsidR="00243857">
        <w:t xml:space="preserve"> to </w:t>
      </w:r>
      <w:r w:rsidR="003431DD">
        <w:t>SEDC</w:t>
      </w:r>
      <w:r w:rsidR="00243857">
        <w:t xml:space="preserve"> E</w:t>
      </w:r>
      <w:r w:rsidR="0057786E">
        <w:t>D</w:t>
      </w:r>
      <w:r w:rsidR="00243857">
        <w:t xml:space="preserve">T protocol each year. Therefore, there will be an average of 15 States </w:t>
      </w:r>
      <w:r w:rsidR="00506300">
        <w:t xml:space="preserve">to continue using the </w:t>
      </w:r>
      <w:r w:rsidR="00243857">
        <w:t>non-</w:t>
      </w:r>
      <w:r w:rsidR="003431DD">
        <w:t>SEDC</w:t>
      </w:r>
      <w:r w:rsidR="00243857">
        <w:t xml:space="preserve"> EDT protocol. </w:t>
      </w:r>
      <w:r w:rsidR="005E2C26">
        <w:t>Therefore</w:t>
      </w:r>
      <w:r w:rsidR="00445835">
        <w:t>,</w:t>
      </w:r>
      <w:r w:rsidR="005E2C26">
        <w:t xml:space="preserve"> the total </w:t>
      </w:r>
      <w:r w:rsidR="007D5F92">
        <w:t xml:space="preserve">contract </w:t>
      </w:r>
      <w:r w:rsidR="005E2C26">
        <w:t xml:space="preserve">cost for the federal government is </w:t>
      </w:r>
      <w:r>
        <w:t>estimated to be about $</w:t>
      </w:r>
      <w:r w:rsidR="00243857">
        <w:t>184</w:t>
      </w:r>
      <w:r w:rsidR="00445835">
        <w:t>,</w:t>
      </w:r>
      <w:r w:rsidR="00243857">
        <w:t>5</w:t>
      </w:r>
      <w:r w:rsidR="00D10AFA">
        <w:t>60</w:t>
      </w:r>
      <w:r w:rsidR="00243857">
        <w:t xml:space="preserve"> </w:t>
      </w:r>
      <w:r w:rsidR="00C850D0">
        <w:t>(</w:t>
      </w:r>
      <w:r w:rsidR="000A5058">
        <w:t xml:space="preserve">$12,304 x 15) </w:t>
      </w:r>
      <w:r>
        <w:t>per year for</w:t>
      </w:r>
      <w:r w:rsidR="00243857">
        <w:t xml:space="preserve"> the</w:t>
      </w:r>
      <w:r>
        <w:t xml:space="preserve"> </w:t>
      </w:r>
      <w:r w:rsidR="00C7577E">
        <w:t xml:space="preserve">15 </w:t>
      </w:r>
      <w:r>
        <w:t>States.</w:t>
      </w:r>
      <w:r>
        <w:rPr>
          <w:rStyle w:val="CommentReference"/>
          <w:rFonts w:asciiTheme="minorHAnsi" w:hAnsiTheme="minorHAnsi"/>
        </w:rPr>
        <w:t xml:space="preserve"> </w:t>
      </w:r>
      <w:r w:rsidR="00CB055C">
        <w:t>Accordingly, NHTSA estimates the total annual cost to the Federal government for EDT to be $</w:t>
      </w:r>
      <w:r w:rsidR="00586B52">
        <w:t>210,</w:t>
      </w:r>
      <w:r w:rsidR="000F49D3">
        <w:t>971</w:t>
      </w:r>
      <w:r w:rsidR="00CB055C">
        <w:t xml:space="preserve"> ($2</w:t>
      </w:r>
      <w:r w:rsidR="004338EB">
        <w:t>6,</w:t>
      </w:r>
      <w:r w:rsidR="0051418E">
        <w:t>411</w:t>
      </w:r>
      <w:r w:rsidR="00CB055C">
        <w:t xml:space="preserve"> + $</w:t>
      </w:r>
      <w:r w:rsidR="00243857">
        <w:t>184,5</w:t>
      </w:r>
      <w:r w:rsidR="003A53FE">
        <w:t>60</w:t>
      </w:r>
      <w:r w:rsidR="00CB055C">
        <w:t xml:space="preserve">). </w:t>
      </w:r>
    </w:p>
    <w:p w:rsidR="00282D50" w:rsidRPr="005E60DA" w:rsidP="00B74A28" w14:paraId="35E5AD19" w14:textId="0B140603">
      <w:pPr>
        <w:pStyle w:val="Heading3"/>
      </w:pPr>
      <w:r>
        <w:t>SEDC</w:t>
      </w:r>
      <w:r w:rsidRPr="005E60DA">
        <w:t xml:space="preserve"> States</w:t>
      </w:r>
      <w:r w:rsidRPr="00A23407" w:rsidR="00A23407">
        <w:t xml:space="preserve"> </w:t>
      </w:r>
      <w:r w:rsidR="00A23407">
        <w:t>using EDT Protocol</w:t>
      </w:r>
      <w:r w:rsidRPr="005E60DA">
        <w:t>:</w:t>
      </w:r>
    </w:p>
    <w:p w:rsidR="000C27B8" w:rsidP="00CC0168" w14:paraId="5468237C" w14:textId="18156553">
      <w:pPr>
        <w:tabs>
          <w:tab w:val="left" w:pos="-720"/>
          <w:tab w:val="left" w:pos="540"/>
          <w:tab w:val="left" w:pos="2880"/>
        </w:tabs>
        <w:ind w:left="720"/>
        <w:rPr>
          <w:rFonts w:cs="Times New Roman"/>
          <w:szCs w:val="24"/>
        </w:rPr>
      </w:pPr>
      <w:r>
        <w:rPr>
          <w:rFonts w:cs="Times New Roman"/>
          <w:szCs w:val="24"/>
        </w:rPr>
        <w:t xml:space="preserve">The total annual costs </w:t>
      </w:r>
      <w:r w:rsidR="00506300">
        <w:rPr>
          <w:rFonts w:cs="Times New Roman"/>
          <w:szCs w:val="24"/>
        </w:rPr>
        <w:t xml:space="preserve">to the Federal government </w:t>
      </w:r>
      <w:r>
        <w:rPr>
          <w:rFonts w:cs="Times New Roman"/>
          <w:szCs w:val="24"/>
        </w:rPr>
        <w:t xml:space="preserve">for </w:t>
      </w:r>
      <w:r w:rsidR="003431DD">
        <w:rPr>
          <w:rFonts w:cs="Times New Roman"/>
          <w:szCs w:val="24"/>
        </w:rPr>
        <w:t>SEDC</w:t>
      </w:r>
      <w:r>
        <w:rPr>
          <w:rFonts w:cs="Times New Roman"/>
          <w:szCs w:val="24"/>
        </w:rPr>
        <w:t xml:space="preserve"> </w:t>
      </w:r>
      <w:r w:rsidR="00506300">
        <w:rPr>
          <w:rFonts w:cs="Times New Roman"/>
          <w:szCs w:val="24"/>
        </w:rPr>
        <w:t>States using the</w:t>
      </w:r>
      <w:r>
        <w:rPr>
          <w:rFonts w:cs="Times New Roman"/>
          <w:szCs w:val="24"/>
        </w:rPr>
        <w:t xml:space="preserve"> EDT protocol are estimated to be </w:t>
      </w:r>
      <w:r w:rsidRPr="003E27B0" w:rsidR="003E27B0">
        <w:rPr>
          <w:rFonts w:cs="Times New Roman"/>
          <w:szCs w:val="24"/>
        </w:rPr>
        <w:t>$</w:t>
      </w:r>
      <w:r w:rsidR="00583752">
        <w:rPr>
          <w:rFonts w:cs="Times New Roman"/>
          <w:szCs w:val="24"/>
        </w:rPr>
        <w:t>2,742,234</w:t>
      </w:r>
      <w:r>
        <w:rPr>
          <w:rFonts w:cs="Times New Roman"/>
          <w:szCs w:val="24"/>
        </w:rPr>
        <w:t xml:space="preserve"> per year.  </w:t>
      </w:r>
      <w:r w:rsidR="00D61F2B">
        <w:rPr>
          <w:rFonts w:cs="Times New Roman"/>
          <w:szCs w:val="24"/>
        </w:rPr>
        <w:t xml:space="preserve">To manage the </w:t>
      </w:r>
      <w:r w:rsidR="003431DD">
        <w:rPr>
          <w:rFonts w:cs="Times New Roman"/>
          <w:szCs w:val="24"/>
        </w:rPr>
        <w:t>SEDC</w:t>
      </w:r>
      <w:r w:rsidR="00D61F2B">
        <w:rPr>
          <w:rFonts w:cs="Times New Roman"/>
          <w:szCs w:val="24"/>
        </w:rPr>
        <w:t xml:space="preserve"> grant, there will be a </w:t>
      </w:r>
      <w:r w:rsidR="00086394">
        <w:rPr>
          <w:rFonts w:cs="Times New Roman"/>
          <w:szCs w:val="24"/>
        </w:rPr>
        <w:t xml:space="preserve">COR and an ACOR who will dedicate one hundred </w:t>
      </w:r>
      <w:r w:rsidR="00BF045F">
        <w:rPr>
          <w:rFonts w:cs="Times New Roman"/>
          <w:szCs w:val="24"/>
        </w:rPr>
        <w:t xml:space="preserve">(100) </w:t>
      </w:r>
      <w:r w:rsidR="00086394">
        <w:rPr>
          <w:rFonts w:cs="Times New Roman"/>
          <w:szCs w:val="24"/>
        </w:rPr>
        <w:t xml:space="preserve">percent of their time to the </w:t>
      </w:r>
      <w:r w:rsidR="003431DD">
        <w:rPr>
          <w:rFonts w:cs="Times New Roman"/>
          <w:szCs w:val="24"/>
        </w:rPr>
        <w:t>SEDC</w:t>
      </w:r>
      <w:r w:rsidR="00086394">
        <w:rPr>
          <w:rFonts w:cs="Times New Roman"/>
          <w:szCs w:val="24"/>
        </w:rPr>
        <w:t xml:space="preserve"> program. </w:t>
      </w:r>
      <w:r w:rsidR="00506300">
        <w:rPr>
          <w:rFonts w:cs="Times New Roman"/>
          <w:szCs w:val="24"/>
        </w:rPr>
        <w:t>Additionally</w:t>
      </w:r>
      <w:r w:rsidR="00086394">
        <w:rPr>
          <w:rFonts w:cs="Times New Roman"/>
          <w:szCs w:val="24"/>
        </w:rPr>
        <w:t>, there will be two IT program managers</w:t>
      </w:r>
      <w:r w:rsidR="006F6C33">
        <w:rPr>
          <w:rFonts w:cs="Times New Roman"/>
          <w:szCs w:val="24"/>
        </w:rPr>
        <w:t xml:space="preserve">, one will spend one hundred percent (100) and one will </w:t>
      </w:r>
      <w:r w:rsidR="00947D6D">
        <w:rPr>
          <w:rFonts w:cs="Times New Roman"/>
          <w:szCs w:val="24"/>
        </w:rPr>
        <w:t>spend</w:t>
      </w:r>
      <w:r w:rsidR="000A2950">
        <w:rPr>
          <w:rFonts w:cs="Times New Roman"/>
          <w:szCs w:val="24"/>
        </w:rPr>
        <w:t xml:space="preserve"> </w:t>
      </w:r>
      <w:r w:rsidR="006F6C33">
        <w:rPr>
          <w:rFonts w:cs="Times New Roman"/>
          <w:szCs w:val="24"/>
        </w:rPr>
        <w:t>seventy-five</w:t>
      </w:r>
      <w:r w:rsidR="000A2950">
        <w:rPr>
          <w:rFonts w:cs="Times New Roman"/>
          <w:szCs w:val="24"/>
        </w:rPr>
        <w:t xml:space="preserve"> </w:t>
      </w:r>
      <w:r w:rsidR="00BF045F">
        <w:rPr>
          <w:rFonts w:cs="Times New Roman"/>
          <w:szCs w:val="24"/>
        </w:rPr>
        <w:t>(</w:t>
      </w:r>
      <w:r w:rsidR="006F6C33">
        <w:rPr>
          <w:rFonts w:cs="Times New Roman"/>
          <w:szCs w:val="24"/>
        </w:rPr>
        <w:t>75</w:t>
      </w:r>
      <w:r w:rsidR="00BF045F">
        <w:rPr>
          <w:rFonts w:cs="Times New Roman"/>
          <w:szCs w:val="24"/>
        </w:rPr>
        <w:t xml:space="preserve">) </w:t>
      </w:r>
      <w:r w:rsidR="000A2950">
        <w:rPr>
          <w:rFonts w:cs="Times New Roman"/>
          <w:szCs w:val="24"/>
        </w:rPr>
        <w:t>percent of their time</w:t>
      </w:r>
      <w:r w:rsidR="00086394">
        <w:rPr>
          <w:rFonts w:cs="Times New Roman"/>
          <w:szCs w:val="24"/>
        </w:rPr>
        <w:t xml:space="preserve"> to </w:t>
      </w:r>
      <w:r w:rsidR="00086394">
        <w:rPr>
          <w:rFonts w:cs="Times New Roman"/>
          <w:szCs w:val="24"/>
        </w:rPr>
        <w:t xml:space="preserve">manage the </w:t>
      </w:r>
      <w:r w:rsidR="00947D6D">
        <w:rPr>
          <w:rFonts w:cs="Times New Roman"/>
          <w:szCs w:val="24"/>
        </w:rPr>
        <w:t xml:space="preserve">EDT process for data received through </w:t>
      </w:r>
      <w:r w:rsidR="00506300">
        <w:rPr>
          <w:rFonts w:cs="Times New Roman"/>
          <w:szCs w:val="24"/>
        </w:rPr>
        <w:t xml:space="preserve">the </w:t>
      </w:r>
      <w:r w:rsidR="003431DD">
        <w:rPr>
          <w:rFonts w:cs="Times New Roman"/>
          <w:szCs w:val="24"/>
        </w:rPr>
        <w:t>SEDC</w:t>
      </w:r>
      <w:r w:rsidR="00506300">
        <w:rPr>
          <w:rFonts w:cs="Times New Roman"/>
          <w:szCs w:val="24"/>
        </w:rPr>
        <w:t xml:space="preserve"> grant program</w:t>
      </w:r>
      <w:r w:rsidR="00947D6D">
        <w:rPr>
          <w:rFonts w:cs="Times New Roman"/>
          <w:szCs w:val="24"/>
        </w:rPr>
        <w:t xml:space="preserve">. </w:t>
      </w:r>
      <w:r>
        <w:rPr>
          <w:rFonts w:cs="Times New Roman"/>
          <w:szCs w:val="24"/>
        </w:rPr>
        <w:t xml:space="preserve">The cost for </w:t>
      </w:r>
      <w:r w:rsidR="00506300">
        <w:rPr>
          <w:rFonts w:cs="Times New Roman"/>
          <w:szCs w:val="24"/>
        </w:rPr>
        <w:t>F</w:t>
      </w:r>
      <w:r>
        <w:rPr>
          <w:rFonts w:cs="Times New Roman"/>
          <w:szCs w:val="24"/>
        </w:rPr>
        <w:t>ederal employ</w:t>
      </w:r>
      <w:r w:rsidR="00B7226E">
        <w:rPr>
          <w:rFonts w:cs="Times New Roman"/>
          <w:szCs w:val="24"/>
        </w:rPr>
        <w:t>ees</w:t>
      </w:r>
      <w:r>
        <w:rPr>
          <w:rFonts w:cs="Times New Roman"/>
          <w:szCs w:val="24"/>
        </w:rPr>
        <w:t xml:space="preserve"> </w:t>
      </w:r>
      <w:r w:rsidR="00506300">
        <w:rPr>
          <w:rFonts w:cs="Times New Roman"/>
          <w:szCs w:val="24"/>
        </w:rPr>
        <w:t xml:space="preserve">working on the </w:t>
      </w:r>
      <w:r w:rsidR="003431DD">
        <w:rPr>
          <w:rFonts w:cs="Times New Roman"/>
          <w:szCs w:val="24"/>
        </w:rPr>
        <w:t>SEDC</w:t>
      </w:r>
      <w:r>
        <w:rPr>
          <w:rFonts w:cs="Times New Roman"/>
          <w:szCs w:val="24"/>
        </w:rPr>
        <w:t xml:space="preserve"> is as follows:</w:t>
      </w:r>
    </w:p>
    <w:tbl>
      <w:tblPr>
        <w:tblW w:w="9805" w:type="dxa"/>
        <w:tblLook w:val="04A0"/>
      </w:tblPr>
      <w:tblGrid>
        <w:gridCol w:w="1351"/>
        <w:gridCol w:w="1044"/>
        <w:gridCol w:w="1390"/>
        <w:gridCol w:w="1266"/>
        <w:gridCol w:w="946"/>
        <w:gridCol w:w="1054"/>
        <w:gridCol w:w="1201"/>
        <w:gridCol w:w="1553"/>
      </w:tblGrid>
      <w:tr w14:paraId="48F3F0EE" w14:textId="77777777" w:rsidTr="00AC76DF">
        <w:tblPrEx>
          <w:tblW w:w="9805" w:type="dxa"/>
          <w:tblLook w:val="04A0"/>
        </w:tblPrEx>
        <w:trPr>
          <w:trHeight w:val="1160"/>
        </w:trPr>
        <w:tc>
          <w:tcPr>
            <w:tcW w:w="1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80696" w:rsidRPr="00DB0E7A" w:rsidP="00180696" w14:paraId="09807ABA" w14:textId="77777777">
            <w:pPr>
              <w:spacing w:after="0" w:line="240" w:lineRule="auto"/>
              <w:jc w:val="center"/>
              <w:rPr>
                <w:rFonts w:eastAsia="Times New Roman" w:cs="Times New Roman"/>
                <w:b/>
                <w:bCs/>
                <w:color w:val="000000"/>
                <w:sz w:val="22"/>
              </w:rPr>
            </w:pPr>
            <w:r w:rsidRPr="00DB0E7A">
              <w:rPr>
                <w:rFonts w:eastAsia="Times New Roman" w:cs="Times New Roman"/>
                <w:b/>
                <w:bCs/>
                <w:color w:val="000000"/>
                <w:sz w:val="22"/>
              </w:rPr>
              <w:t xml:space="preserve">Federal Employee </w:t>
            </w:r>
          </w:p>
        </w:tc>
        <w:tc>
          <w:tcPr>
            <w:tcW w:w="104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80696" w:rsidRPr="00DB0E7A" w:rsidP="00180696" w14:paraId="20F0E486" w14:textId="4EA9A887">
            <w:pPr>
              <w:spacing w:after="0" w:line="240" w:lineRule="auto"/>
              <w:jc w:val="center"/>
              <w:rPr>
                <w:rFonts w:eastAsia="Times New Roman" w:cs="Times New Roman"/>
                <w:b/>
                <w:bCs/>
                <w:color w:val="000000"/>
                <w:sz w:val="22"/>
              </w:rPr>
            </w:pPr>
            <w:r w:rsidRPr="00DB0E7A">
              <w:rPr>
                <w:rFonts w:eastAsia="Times New Roman" w:cs="Times New Roman"/>
                <w:b/>
                <w:bCs/>
                <w:color w:val="000000"/>
                <w:sz w:val="22"/>
              </w:rPr>
              <w:t>Hourly Rate</w:t>
            </w:r>
            <w:r w:rsidRPr="00DB0E7A">
              <w:rPr>
                <w:rFonts w:eastAsia="Times New Roman" w:cs="Times New Roman"/>
                <w:b/>
                <w:bCs/>
                <w:color w:val="000000"/>
                <w:sz w:val="22"/>
              </w:rPr>
              <w:br/>
              <w:t>($/</w:t>
            </w:r>
            <w:r w:rsidRPr="00DB0E7A" w:rsidR="007B65A7">
              <w:rPr>
                <w:rFonts w:eastAsia="Times New Roman" w:cs="Times New Roman"/>
                <w:b/>
                <w:bCs/>
                <w:color w:val="000000"/>
                <w:sz w:val="22"/>
              </w:rPr>
              <w:t>hr.</w:t>
            </w:r>
            <w:r w:rsidRPr="00DB0E7A">
              <w:rPr>
                <w:rFonts w:eastAsia="Times New Roman" w:cs="Times New Roman"/>
                <w:b/>
                <w:bCs/>
                <w:color w:val="000000"/>
                <w:sz w:val="22"/>
              </w:rPr>
              <w:t>)</w:t>
            </w:r>
          </w:p>
        </w:tc>
        <w:tc>
          <w:tcPr>
            <w:tcW w:w="13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80696" w:rsidRPr="00DB0E7A" w:rsidP="00180696" w14:paraId="547BAFF0" w14:textId="77777777">
            <w:pPr>
              <w:spacing w:after="0" w:line="240" w:lineRule="auto"/>
              <w:jc w:val="center"/>
              <w:rPr>
                <w:rFonts w:eastAsia="Times New Roman" w:cs="Times New Roman"/>
                <w:b/>
                <w:bCs/>
                <w:color w:val="000000"/>
                <w:sz w:val="22"/>
              </w:rPr>
            </w:pPr>
            <w:r w:rsidRPr="00DB0E7A">
              <w:rPr>
                <w:rFonts w:eastAsia="Times New Roman" w:cs="Times New Roman"/>
                <w:b/>
                <w:bCs/>
                <w:color w:val="000000"/>
                <w:sz w:val="22"/>
              </w:rPr>
              <w:t>Fringe Benefit Rate</w:t>
            </w:r>
            <w:r w:rsidRPr="00DB0E7A">
              <w:rPr>
                <w:rFonts w:eastAsia="Times New Roman" w:cs="Times New Roman"/>
                <w:b/>
                <w:bCs/>
                <w:color w:val="000000"/>
                <w:sz w:val="22"/>
              </w:rPr>
              <w:br/>
              <w:t>(%)</w:t>
            </w:r>
          </w:p>
        </w:tc>
        <w:tc>
          <w:tcPr>
            <w:tcW w:w="126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80696" w:rsidRPr="00DB0E7A" w:rsidP="00180696" w14:paraId="28195A10" w14:textId="5DB32E0A">
            <w:pPr>
              <w:spacing w:after="0" w:line="240" w:lineRule="auto"/>
              <w:jc w:val="center"/>
              <w:rPr>
                <w:rFonts w:eastAsia="Times New Roman" w:cs="Times New Roman"/>
                <w:b/>
                <w:bCs/>
                <w:color w:val="000000"/>
                <w:sz w:val="22"/>
              </w:rPr>
            </w:pPr>
            <w:r w:rsidRPr="00DB0E7A">
              <w:rPr>
                <w:rFonts w:eastAsia="Times New Roman" w:cs="Times New Roman"/>
                <w:b/>
                <w:bCs/>
                <w:color w:val="000000"/>
                <w:sz w:val="22"/>
              </w:rPr>
              <w:t>Hourly Rate with Fringe Benefit</w:t>
            </w:r>
            <w:r w:rsidRPr="00DB0E7A">
              <w:rPr>
                <w:rFonts w:eastAsia="Times New Roman" w:cs="Times New Roman"/>
                <w:b/>
                <w:bCs/>
                <w:color w:val="000000"/>
                <w:sz w:val="22"/>
              </w:rPr>
              <w:br/>
              <w:t>($/</w:t>
            </w:r>
            <w:r w:rsidRPr="00DB0E7A" w:rsidR="00DB2642">
              <w:rPr>
                <w:rFonts w:eastAsia="Times New Roman" w:cs="Times New Roman"/>
                <w:b/>
                <w:bCs/>
                <w:color w:val="000000"/>
                <w:sz w:val="22"/>
              </w:rPr>
              <w:t>hr.</w:t>
            </w:r>
            <w:r w:rsidRPr="00DB0E7A">
              <w:rPr>
                <w:rFonts w:eastAsia="Times New Roman" w:cs="Times New Roman"/>
                <w:b/>
                <w:bCs/>
                <w:color w:val="000000"/>
                <w:sz w:val="22"/>
              </w:rPr>
              <w:t>)</w:t>
            </w:r>
          </w:p>
        </w:tc>
        <w:tc>
          <w:tcPr>
            <w:tcW w:w="94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80696" w:rsidRPr="00DB0E7A" w:rsidP="00180696" w14:paraId="6FA0E36A" w14:textId="3F63CD48">
            <w:pPr>
              <w:spacing w:after="0" w:line="240" w:lineRule="auto"/>
              <w:jc w:val="center"/>
              <w:rPr>
                <w:rFonts w:eastAsia="Times New Roman" w:cs="Times New Roman"/>
                <w:b/>
                <w:bCs/>
                <w:color w:val="000000"/>
                <w:sz w:val="22"/>
              </w:rPr>
            </w:pPr>
            <w:r w:rsidRPr="00DB0E7A">
              <w:rPr>
                <w:rFonts w:eastAsia="Times New Roman" w:cs="Times New Roman"/>
                <w:b/>
                <w:bCs/>
                <w:color w:val="000000"/>
                <w:sz w:val="22"/>
              </w:rPr>
              <w:t>Yearly Hours</w:t>
            </w:r>
            <w:r w:rsidRPr="00DB0E7A">
              <w:rPr>
                <w:rFonts w:eastAsia="Times New Roman" w:cs="Times New Roman"/>
                <w:b/>
                <w:bCs/>
                <w:color w:val="000000"/>
                <w:sz w:val="22"/>
              </w:rPr>
              <w:br/>
              <w:t>(hrs.)</w:t>
            </w:r>
          </w:p>
        </w:tc>
        <w:tc>
          <w:tcPr>
            <w:tcW w:w="10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80696" w:rsidRPr="00DB0E7A" w:rsidP="00180696" w14:paraId="0A413DEA" w14:textId="77777777">
            <w:pPr>
              <w:spacing w:after="0" w:line="240" w:lineRule="auto"/>
              <w:jc w:val="center"/>
              <w:rPr>
                <w:rFonts w:eastAsia="Times New Roman" w:cs="Times New Roman"/>
                <w:b/>
                <w:bCs/>
                <w:color w:val="000000"/>
                <w:sz w:val="22"/>
              </w:rPr>
            </w:pPr>
            <w:r w:rsidRPr="00DB0E7A">
              <w:rPr>
                <w:rFonts w:eastAsia="Times New Roman" w:cs="Times New Roman"/>
                <w:b/>
                <w:bCs/>
                <w:color w:val="000000"/>
                <w:sz w:val="22"/>
              </w:rPr>
              <w:t>Percent Time</w:t>
            </w:r>
          </w:p>
        </w:tc>
        <w:tc>
          <w:tcPr>
            <w:tcW w:w="12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80696" w:rsidRPr="00DB0E7A" w:rsidP="00180696" w14:paraId="03F0FCC6" w14:textId="77777777">
            <w:pPr>
              <w:spacing w:after="0" w:line="240" w:lineRule="auto"/>
              <w:jc w:val="center"/>
              <w:rPr>
                <w:rFonts w:eastAsia="Times New Roman" w:cs="Times New Roman"/>
                <w:b/>
                <w:bCs/>
                <w:color w:val="000000"/>
                <w:sz w:val="22"/>
              </w:rPr>
            </w:pPr>
            <w:r w:rsidRPr="00DB0E7A">
              <w:rPr>
                <w:rFonts w:eastAsia="Times New Roman" w:cs="Times New Roman"/>
                <w:b/>
                <w:bCs/>
                <w:color w:val="000000"/>
                <w:sz w:val="22"/>
              </w:rPr>
              <w:t>Number of Person</w:t>
            </w:r>
          </w:p>
        </w:tc>
        <w:tc>
          <w:tcPr>
            <w:tcW w:w="15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80696" w:rsidRPr="00DB0E7A" w:rsidP="00180696" w14:paraId="4F1DE556" w14:textId="77777777">
            <w:pPr>
              <w:spacing w:after="0" w:line="240" w:lineRule="auto"/>
              <w:jc w:val="center"/>
              <w:rPr>
                <w:rFonts w:eastAsia="Times New Roman" w:cs="Times New Roman"/>
                <w:b/>
                <w:bCs/>
                <w:color w:val="000000"/>
                <w:sz w:val="22"/>
              </w:rPr>
            </w:pPr>
            <w:r w:rsidRPr="00DB0E7A">
              <w:rPr>
                <w:rFonts w:eastAsia="Times New Roman" w:cs="Times New Roman"/>
                <w:b/>
                <w:bCs/>
                <w:color w:val="000000"/>
                <w:sz w:val="22"/>
              </w:rPr>
              <w:t>Total Cost</w:t>
            </w:r>
            <w:r w:rsidRPr="00DB0E7A">
              <w:rPr>
                <w:rFonts w:eastAsia="Times New Roman" w:cs="Times New Roman"/>
                <w:b/>
                <w:bCs/>
                <w:color w:val="000000"/>
                <w:sz w:val="22"/>
              </w:rPr>
              <w:br/>
              <w:t>($)</w:t>
            </w:r>
          </w:p>
        </w:tc>
      </w:tr>
      <w:tr w14:paraId="5B23D0E2" w14:textId="77777777" w:rsidTr="00AC76DF">
        <w:tblPrEx>
          <w:tblW w:w="9805" w:type="dxa"/>
          <w:tblLook w:val="04A0"/>
        </w:tblPrEx>
        <w:trPr>
          <w:trHeight w:val="290"/>
        </w:trPr>
        <w:tc>
          <w:tcPr>
            <w:tcW w:w="1351" w:type="dxa"/>
            <w:tcBorders>
              <w:top w:val="nil"/>
              <w:left w:val="single" w:sz="4" w:space="0" w:color="auto"/>
              <w:bottom w:val="single" w:sz="4" w:space="0" w:color="auto"/>
              <w:right w:val="single" w:sz="4" w:space="0" w:color="auto"/>
            </w:tcBorders>
            <w:shd w:val="clear" w:color="auto" w:fill="auto"/>
            <w:vAlign w:val="bottom"/>
            <w:hideMark/>
          </w:tcPr>
          <w:p w:rsidR="00180696" w:rsidRPr="00DB0E7A" w:rsidP="00180696" w14:paraId="516EA863" w14:textId="77777777">
            <w:pPr>
              <w:spacing w:after="0" w:line="240" w:lineRule="auto"/>
              <w:rPr>
                <w:rFonts w:eastAsia="Times New Roman" w:cs="Times New Roman"/>
                <w:b/>
                <w:bCs/>
                <w:color w:val="000000"/>
                <w:sz w:val="22"/>
              </w:rPr>
            </w:pPr>
            <w:r w:rsidRPr="00DB0E7A">
              <w:rPr>
                <w:rFonts w:eastAsia="Times New Roman" w:cs="Times New Roman"/>
                <w:b/>
                <w:bCs/>
                <w:color w:val="000000"/>
                <w:sz w:val="22"/>
              </w:rPr>
              <w:t>COR</w:t>
            </w:r>
          </w:p>
        </w:tc>
        <w:tc>
          <w:tcPr>
            <w:tcW w:w="1044" w:type="dxa"/>
            <w:tcBorders>
              <w:top w:val="nil"/>
              <w:left w:val="nil"/>
              <w:bottom w:val="single" w:sz="4" w:space="0" w:color="auto"/>
              <w:right w:val="single" w:sz="4" w:space="0" w:color="auto"/>
            </w:tcBorders>
            <w:shd w:val="clear" w:color="auto" w:fill="auto"/>
            <w:vAlign w:val="bottom"/>
            <w:hideMark/>
          </w:tcPr>
          <w:p w:rsidR="00180696" w:rsidRPr="00DB0E7A" w:rsidP="00180696" w14:paraId="1D3EB436" w14:textId="59EBED09">
            <w:pPr>
              <w:spacing w:after="0" w:line="240" w:lineRule="auto"/>
              <w:rPr>
                <w:rFonts w:eastAsia="Times New Roman" w:cs="Times New Roman"/>
                <w:color w:val="000000"/>
                <w:sz w:val="22"/>
              </w:rPr>
            </w:pPr>
            <w:r w:rsidRPr="00DB0E7A">
              <w:rPr>
                <w:rFonts w:eastAsia="Times New Roman" w:cs="Times New Roman"/>
                <w:color w:val="000000"/>
                <w:sz w:val="22"/>
              </w:rPr>
              <w:t xml:space="preserve"> $ 82.45 </w:t>
            </w:r>
          </w:p>
        </w:tc>
        <w:tc>
          <w:tcPr>
            <w:tcW w:w="1390" w:type="dxa"/>
            <w:tcBorders>
              <w:top w:val="nil"/>
              <w:left w:val="nil"/>
              <w:bottom w:val="single" w:sz="4" w:space="0" w:color="auto"/>
              <w:right w:val="single" w:sz="4" w:space="0" w:color="auto"/>
            </w:tcBorders>
            <w:shd w:val="clear" w:color="auto" w:fill="auto"/>
            <w:vAlign w:val="bottom"/>
            <w:hideMark/>
          </w:tcPr>
          <w:p w:rsidR="00180696" w:rsidRPr="00DB0E7A" w:rsidP="00180696" w14:paraId="099431B8" w14:textId="131CB35C">
            <w:pPr>
              <w:spacing w:after="0" w:line="240" w:lineRule="auto"/>
              <w:jc w:val="right"/>
              <w:rPr>
                <w:rFonts w:eastAsia="Times New Roman" w:cs="Times New Roman"/>
                <w:color w:val="000000"/>
                <w:sz w:val="22"/>
              </w:rPr>
            </w:pPr>
            <w:r w:rsidRPr="00DB0E7A">
              <w:rPr>
                <w:rFonts w:eastAsia="Times New Roman" w:cs="Times New Roman"/>
                <w:color w:val="000000"/>
                <w:sz w:val="22"/>
              </w:rPr>
              <w:t>6</w:t>
            </w:r>
            <w:r w:rsidR="00AC76DF">
              <w:rPr>
                <w:rFonts w:eastAsia="Times New Roman" w:cs="Times New Roman"/>
                <w:color w:val="000000"/>
                <w:sz w:val="22"/>
              </w:rPr>
              <w:t>1.90</w:t>
            </w:r>
            <w:r w:rsidRPr="00DB0E7A">
              <w:rPr>
                <w:rFonts w:eastAsia="Times New Roman" w:cs="Times New Roman"/>
                <w:color w:val="000000"/>
                <w:sz w:val="22"/>
              </w:rPr>
              <w:t>%</w:t>
            </w:r>
          </w:p>
        </w:tc>
        <w:tc>
          <w:tcPr>
            <w:tcW w:w="1266" w:type="dxa"/>
            <w:tcBorders>
              <w:top w:val="nil"/>
              <w:left w:val="nil"/>
              <w:bottom w:val="single" w:sz="4" w:space="0" w:color="auto"/>
              <w:right w:val="single" w:sz="4" w:space="0" w:color="auto"/>
            </w:tcBorders>
            <w:shd w:val="clear" w:color="auto" w:fill="auto"/>
            <w:vAlign w:val="bottom"/>
            <w:hideMark/>
          </w:tcPr>
          <w:p w:rsidR="00180696" w:rsidRPr="00DB0E7A" w:rsidP="00180696" w14:paraId="154418DE" w14:textId="22169285">
            <w:pPr>
              <w:spacing w:after="0" w:line="240" w:lineRule="auto"/>
              <w:rPr>
                <w:rFonts w:eastAsia="Times New Roman" w:cs="Times New Roman"/>
                <w:color w:val="000000"/>
                <w:sz w:val="22"/>
              </w:rPr>
            </w:pPr>
            <w:r w:rsidRPr="00DB0E7A">
              <w:rPr>
                <w:rFonts w:eastAsia="Times New Roman" w:cs="Times New Roman"/>
                <w:color w:val="000000"/>
                <w:sz w:val="22"/>
              </w:rPr>
              <w:t xml:space="preserve"> $ 13</w:t>
            </w:r>
            <w:r w:rsidR="00AC76DF">
              <w:rPr>
                <w:rFonts w:eastAsia="Times New Roman" w:cs="Times New Roman"/>
                <w:color w:val="000000"/>
                <w:sz w:val="22"/>
              </w:rPr>
              <w:t>3.20</w:t>
            </w:r>
            <w:r w:rsidRPr="00DB0E7A">
              <w:rPr>
                <w:rFonts w:eastAsia="Times New Roman" w:cs="Times New Roman"/>
                <w:color w:val="000000"/>
                <w:sz w:val="22"/>
              </w:rPr>
              <w:t xml:space="preserve"> </w:t>
            </w:r>
          </w:p>
        </w:tc>
        <w:tc>
          <w:tcPr>
            <w:tcW w:w="946" w:type="dxa"/>
            <w:tcBorders>
              <w:top w:val="nil"/>
              <w:left w:val="nil"/>
              <w:bottom w:val="single" w:sz="4" w:space="0" w:color="auto"/>
              <w:right w:val="single" w:sz="4" w:space="0" w:color="auto"/>
            </w:tcBorders>
            <w:shd w:val="clear" w:color="auto" w:fill="auto"/>
            <w:vAlign w:val="bottom"/>
            <w:hideMark/>
          </w:tcPr>
          <w:p w:rsidR="00180696" w:rsidRPr="00DB0E7A" w:rsidP="00180696" w14:paraId="707AB8E3" w14:textId="77777777">
            <w:pPr>
              <w:spacing w:after="0" w:line="240" w:lineRule="auto"/>
              <w:jc w:val="right"/>
              <w:rPr>
                <w:rFonts w:eastAsia="Times New Roman" w:cs="Times New Roman"/>
                <w:color w:val="000000"/>
                <w:sz w:val="22"/>
              </w:rPr>
            </w:pPr>
            <w:r w:rsidRPr="00DB0E7A">
              <w:rPr>
                <w:rFonts w:eastAsia="Times New Roman" w:cs="Times New Roman"/>
                <w:color w:val="000000"/>
                <w:sz w:val="22"/>
              </w:rPr>
              <w:t>2087</w:t>
            </w:r>
          </w:p>
        </w:tc>
        <w:tc>
          <w:tcPr>
            <w:tcW w:w="1054" w:type="dxa"/>
            <w:tcBorders>
              <w:top w:val="nil"/>
              <w:left w:val="nil"/>
              <w:bottom w:val="single" w:sz="4" w:space="0" w:color="auto"/>
              <w:right w:val="single" w:sz="4" w:space="0" w:color="auto"/>
            </w:tcBorders>
            <w:shd w:val="clear" w:color="auto" w:fill="auto"/>
            <w:noWrap/>
            <w:vAlign w:val="bottom"/>
            <w:hideMark/>
          </w:tcPr>
          <w:p w:rsidR="00180696" w:rsidRPr="00DB0E7A" w:rsidP="00180696" w14:paraId="2F13DE2B" w14:textId="77777777">
            <w:pPr>
              <w:spacing w:after="0" w:line="240" w:lineRule="auto"/>
              <w:jc w:val="right"/>
              <w:rPr>
                <w:rFonts w:eastAsia="Times New Roman" w:cs="Times New Roman"/>
                <w:color w:val="000000"/>
                <w:sz w:val="22"/>
              </w:rPr>
            </w:pPr>
            <w:r w:rsidRPr="00DB0E7A">
              <w:rPr>
                <w:rFonts w:eastAsia="Times New Roman" w:cs="Times New Roman"/>
                <w:color w:val="000000"/>
                <w:sz w:val="22"/>
              </w:rPr>
              <w:t>100%</w:t>
            </w:r>
          </w:p>
        </w:tc>
        <w:tc>
          <w:tcPr>
            <w:tcW w:w="1201" w:type="dxa"/>
            <w:tcBorders>
              <w:top w:val="nil"/>
              <w:left w:val="nil"/>
              <w:bottom w:val="single" w:sz="4" w:space="0" w:color="auto"/>
              <w:right w:val="single" w:sz="4" w:space="0" w:color="auto"/>
            </w:tcBorders>
            <w:shd w:val="clear" w:color="auto" w:fill="auto"/>
            <w:noWrap/>
            <w:vAlign w:val="center"/>
            <w:hideMark/>
          </w:tcPr>
          <w:p w:rsidR="00180696" w:rsidRPr="00DB0E7A" w:rsidP="00180696" w14:paraId="283EDB48" w14:textId="77777777">
            <w:pPr>
              <w:spacing w:after="0" w:line="240" w:lineRule="auto"/>
              <w:jc w:val="center"/>
              <w:rPr>
                <w:rFonts w:eastAsia="Times New Roman" w:cs="Times New Roman"/>
                <w:color w:val="000000"/>
                <w:sz w:val="22"/>
              </w:rPr>
            </w:pPr>
            <w:r w:rsidRPr="00DB0E7A">
              <w:rPr>
                <w:rFonts w:eastAsia="Times New Roman" w:cs="Times New Roman"/>
                <w:color w:val="000000"/>
                <w:sz w:val="22"/>
              </w:rPr>
              <w:t>1</w:t>
            </w:r>
          </w:p>
        </w:tc>
        <w:tc>
          <w:tcPr>
            <w:tcW w:w="1553" w:type="dxa"/>
            <w:tcBorders>
              <w:top w:val="nil"/>
              <w:left w:val="nil"/>
              <w:bottom w:val="single" w:sz="4" w:space="0" w:color="auto"/>
              <w:right w:val="single" w:sz="4" w:space="0" w:color="auto"/>
            </w:tcBorders>
            <w:shd w:val="clear" w:color="auto" w:fill="auto"/>
            <w:noWrap/>
            <w:vAlign w:val="bottom"/>
            <w:hideMark/>
          </w:tcPr>
          <w:p w:rsidR="00180696" w:rsidRPr="00DB0E7A" w:rsidP="00180696" w14:paraId="0E6F33D3" w14:textId="56FFC2DE">
            <w:pPr>
              <w:spacing w:after="0" w:line="240" w:lineRule="auto"/>
              <w:rPr>
                <w:rFonts w:eastAsia="Times New Roman" w:cs="Times New Roman"/>
                <w:color w:val="000000"/>
                <w:sz w:val="22"/>
              </w:rPr>
            </w:pPr>
            <w:r w:rsidRPr="00DB0E7A">
              <w:rPr>
                <w:rFonts w:eastAsia="Times New Roman" w:cs="Times New Roman"/>
                <w:color w:val="000000"/>
                <w:sz w:val="22"/>
              </w:rPr>
              <w:t xml:space="preserve"> $ </w:t>
            </w:r>
            <w:r w:rsidR="00AC76DF">
              <w:rPr>
                <w:rFonts w:eastAsia="Times New Roman" w:cs="Times New Roman"/>
                <w:color w:val="000000"/>
                <w:sz w:val="22"/>
              </w:rPr>
              <w:t>277,988</w:t>
            </w:r>
            <w:r w:rsidRPr="00DB0E7A">
              <w:rPr>
                <w:rFonts w:eastAsia="Times New Roman" w:cs="Times New Roman"/>
                <w:color w:val="000000"/>
                <w:sz w:val="22"/>
              </w:rPr>
              <w:t xml:space="preserve"> </w:t>
            </w:r>
          </w:p>
        </w:tc>
      </w:tr>
      <w:tr w14:paraId="15441592" w14:textId="77777777" w:rsidTr="002C7404">
        <w:tblPrEx>
          <w:tblW w:w="9805" w:type="dxa"/>
          <w:tblLook w:val="04A0"/>
        </w:tblPrEx>
        <w:trPr>
          <w:trHeight w:val="290"/>
        </w:trPr>
        <w:tc>
          <w:tcPr>
            <w:tcW w:w="1351" w:type="dxa"/>
            <w:tcBorders>
              <w:top w:val="nil"/>
              <w:left w:val="single" w:sz="4" w:space="0" w:color="auto"/>
              <w:bottom w:val="single" w:sz="4" w:space="0" w:color="auto"/>
              <w:right w:val="single" w:sz="4" w:space="0" w:color="auto"/>
            </w:tcBorders>
            <w:shd w:val="clear" w:color="auto" w:fill="auto"/>
            <w:vAlign w:val="bottom"/>
            <w:hideMark/>
          </w:tcPr>
          <w:p w:rsidR="00AC76DF" w:rsidRPr="00DB0E7A" w:rsidP="00AC76DF" w14:paraId="081166E4" w14:textId="77777777">
            <w:pPr>
              <w:spacing w:after="0" w:line="240" w:lineRule="auto"/>
              <w:rPr>
                <w:rFonts w:eastAsia="Times New Roman" w:cs="Times New Roman"/>
                <w:b/>
                <w:bCs/>
                <w:color w:val="000000"/>
                <w:sz w:val="22"/>
              </w:rPr>
            </w:pPr>
            <w:r w:rsidRPr="00DB0E7A">
              <w:rPr>
                <w:rFonts w:eastAsia="Times New Roman" w:cs="Times New Roman"/>
                <w:b/>
                <w:bCs/>
                <w:color w:val="000000"/>
                <w:sz w:val="22"/>
              </w:rPr>
              <w:t>ACOR</w:t>
            </w:r>
          </w:p>
        </w:tc>
        <w:tc>
          <w:tcPr>
            <w:tcW w:w="1044" w:type="dxa"/>
            <w:tcBorders>
              <w:top w:val="nil"/>
              <w:left w:val="nil"/>
              <w:bottom w:val="single" w:sz="4" w:space="0" w:color="auto"/>
              <w:right w:val="single" w:sz="4" w:space="0" w:color="auto"/>
            </w:tcBorders>
            <w:shd w:val="clear" w:color="auto" w:fill="auto"/>
            <w:vAlign w:val="bottom"/>
            <w:hideMark/>
          </w:tcPr>
          <w:p w:rsidR="00AC76DF" w:rsidRPr="00DB0E7A" w:rsidP="00AC76DF" w14:paraId="1EA4E4D0" w14:textId="14CAC72B">
            <w:pPr>
              <w:spacing w:after="0" w:line="240" w:lineRule="auto"/>
              <w:rPr>
                <w:rFonts w:eastAsia="Times New Roman" w:cs="Times New Roman"/>
                <w:color w:val="000000"/>
                <w:sz w:val="22"/>
              </w:rPr>
            </w:pPr>
            <w:r w:rsidRPr="00DB0E7A">
              <w:rPr>
                <w:rFonts w:eastAsia="Times New Roman" w:cs="Times New Roman"/>
                <w:color w:val="000000"/>
                <w:sz w:val="22"/>
              </w:rPr>
              <w:t xml:space="preserve"> $ 82.45 </w:t>
            </w:r>
          </w:p>
        </w:tc>
        <w:tc>
          <w:tcPr>
            <w:tcW w:w="1390" w:type="dxa"/>
            <w:tcBorders>
              <w:top w:val="nil"/>
              <w:left w:val="nil"/>
              <w:bottom w:val="single" w:sz="4" w:space="0" w:color="auto"/>
              <w:right w:val="single" w:sz="4" w:space="0" w:color="auto"/>
            </w:tcBorders>
            <w:shd w:val="clear" w:color="auto" w:fill="auto"/>
            <w:hideMark/>
          </w:tcPr>
          <w:p w:rsidR="00AC76DF" w:rsidRPr="00DB0E7A" w:rsidP="00AC76DF" w14:paraId="36EACAF1" w14:textId="6719F3A3">
            <w:pPr>
              <w:spacing w:after="0" w:line="240" w:lineRule="auto"/>
              <w:jc w:val="right"/>
              <w:rPr>
                <w:rFonts w:eastAsia="Times New Roman" w:cs="Times New Roman"/>
                <w:color w:val="000000"/>
                <w:sz w:val="22"/>
              </w:rPr>
            </w:pPr>
            <w:r w:rsidRPr="00E77C72">
              <w:rPr>
                <w:rFonts w:eastAsia="Times New Roman" w:cs="Times New Roman"/>
                <w:color w:val="000000"/>
                <w:sz w:val="22"/>
              </w:rPr>
              <w:t>61.90</w:t>
            </w:r>
            <w:r w:rsidR="004706A7">
              <w:rPr>
                <w:rFonts w:eastAsia="Times New Roman" w:cs="Times New Roman"/>
                <w:color w:val="000000"/>
                <w:sz w:val="22"/>
              </w:rPr>
              <w:t>%</w:t>
            </w:r>
          </w:p>
        </w:tc>
        <w:tc>
          <w:tcPr>
            <w:tcW w:w="1266" w:type="dxa"/>
            <w:tcBorders>
              <w:top w:val="nil"/>
              <w:left w:val="nil"/>
              <w:bottom w:val="single" w:sz="4" w:space="0" w:color="auto"/>
              <w:right w:val="single" w:sz="4" w:space="0" w:color="auto"/>
            </w:tcBorders>
            <w:shd w:val="clear" w:color="auto" w:fill="auto"/>
            <w:hideMark/>
          </w:tcPr>
          <w:p w:rsidR="00AC76DF" w:rsidRPr="00DB0E7A" w:rsidP="00AC76DF" w14:paraId="68784F0C" w14:textId="3693B496">
            <w:pPr>
              <w:spacing w:after="0" w:line="240" w:lineRule="auto"/>
              <w:rPr>
                <w:rFonts w:eastAsia="Times New Roman" w:cs="Times New Roman"/>
                <w:color w:val="000000"/>
                <w:sz w:val="22"/>
              </w:rPr>
            </w:pPr>
            <w:r w:rsidRPr="00F6200A">
              <w:rPr>
                <w:rFonts w:eastAsia="Times New Roman" w:cs="Times New Roman"/>
                <w:color w:val="000000"/>
                <w:sz w:val="22"/>
              </w:rPr>
              <w:t xml:space="preserve"> $ 133.20 </w:t>
            </w:r>
          </w:p>
        </w:tc>
        <w:tc>
          <w:tcPr>
            <w:tcW w:w="946" w:type="dxa"/>
            <w:tcBorders>
              <w:top w:val="nil"/>
              <w:left w:val="nil"/>
              <w:bottom w:val="single" w:sz="4" w:space="0" w:color="auto"/>
              <w:right w:val="single" w:sz="4" w:space="0" w:color="auto"/>
            </w:tcBorders>
            <w:shd w:val="clear" w:color="auto" w:fill="auto"/>
            <w:vAlign w:val="bottom"/>
            <w:hideMark/>
          </w:tcPr>
          <w:p w:rsidR="00AC76DF" w:rsidRPr="00DB0E7A" w:rsidP="00AC76DF" w14:paraId="6A7D74D8" w14:textId="77777777">
            <w:pPr>
              <w:spacing w:after="0" w:line="240" w:lineRule="auto"/>
              <w:jc w:val="right"/>
              <w:rPr>
                <w:rFonts w:eastAsia="Times New Roman" w:cs="Times New Roman"/>
                <w:color w:val="000000"/>
                <w:sz w:val="22"/>
              </w:rPr>
            </w:pPr>
            <w:r w:rsidRPr="00DB0E7A">
              <w:rPr>
                <w:rFonts w:eastAsia="Times New Roman" w:cs="Times New Roman"/>
                <w:color w:val="000000"/>
                <w:sz w:val="22"/>
              </w:rPr>
              <w:t>2087</w:t>
            </w:r>
          </w:p>
        </w:tc>
        <w:tc>
          <w:tcPr>
            <w:tcW w:w="1054" w:type="dxa"/>
            <w:tcBorders>
              <w:top w:val="nil"/>
              <w:left w:val="nil"/>
              <w:bottom w:val="single" w:sz="4" w:space="0" w:color="auto"/>
              <w:right w:val="single" w:sz="4" w:space="0" w:color="auto"/>
            </w:tcBorders>
            <w:shd w:val="clear" w:color="auto" w:fill="auto"/>
            <w:noWrap/>
            <w:vAlign w:val="bottom"/>
            <w:hideMark/>
          </w:tcPr>
          <w:p w:rsidR="00AC76DF" w:rsidRPr="00DB0E7A" w:rsidP="00AC76DF" w14:paraId="69F87B7A" w14:textId="77777777">
            <w:pPr>
              <w:spacing w:after="0" w:line="240" w:lineRule="auto"/>
              <w:jc w:val="right"/>
              <w:rPr>
                <w:rFonts w:eastAsia="Times New Roman" w:cs="Times New Roman"/>
                <w:color w:val="000000"/>
                <w:sz w:val="22"/>
              </w:rPr>
            </w:pPr>
            <w:r w:rsidRPr="00DB0E7A">
              <w:rPr>
                <w:rFonts w:eastAsia="Times New Roman" w:cs="Times New Roman"/>
                <w:color w:val="000000"/>
                <w:sz w:val="22"/>
              </w:rPr>
              <w:t>100%</w:t>
            </w:r>
          </w:p>
        </w:tc>
        <w:tc>
          <w:tcPr>
            <w:tcW w:w="1201" w:type="dxa"/>
            <w:tcBorders>
              <w:top w:val="nil"/>
              <w:left w:val="nil"/>
              <w:bottom w:val="single" w:sz="4" w:space="0" w:color="auto"/>
              <w:right w:val="single" w:sz="4" w:space="0" w:color="auto"/>
            </w:tcBorders>
            <w:shd w:val="clear" w:color="auto" w:fill="auto"/>
            <w:noWrap/>
            <w:vAlign w:val="center"/>
            <w:hideMark/>
          </w:tcPr>
          <w:p w:rsidR="00AC76DF" w:rsidRPr="00DB0E7A" w:rsidP="00AC76DF" w14:paraId="7CA5DE91" w14:textId="77777777">
            <w:pPr>
              <w:spacing w:after="0" w:line="240" w:lineRule="auto"/>
              <w:jc w:val="center"/>
              <w:rPr>
                <w:rFonts w:eastAsia="Times New Roman" w:cs="Times New Roman"/>
                <w:color w:val="000000"/>
                <w:sz w:val="22"/>
              </w:rPr>
            </w:pPr>
            <w:r w:rsidRPr="00DB0E7A">
              <w:rPr>
                <w:rFonts w:eastAsia="Times New Roman" w:cs="Times New Roman"/>
                <w:color w:val="000000"/>
                <w:sz w:val="22"/>
              </w:rPr>
              <w:t>1</w:t>
            </w:r>
          </w:p>
        </w:tc>
        <w:tc>
          <w:tcPr>
            <w:tcW w:w="1553" w:type="dxa"/>
            <w:tcBorders>
              <w:top w:val="nil"/>
              <w:left w:val="nil"/>
              <w:bottom w:val="single" w:sz="4" w:space="0" w:color="auto"/>
              <w:right w:val="single" w:sz="4" w:space="0" w:color="auto"/>
            </w:tcBorders>
            <w:shd w:val="clear" w:color="auto" w:fill="auto"/>
            <w:noWrap/>
            <w:vAlign w:val="bottom"/>
            <w:hideMark/>
          </w:tcPr>
          <w:p w:rsidR="00AC76DF" w:rsidRPr="00DB0E7A" w:rsidP="00AC76DF" w14:paraId="02586C6C" w14:textId="5B83AD04">
            <w:pPr>
              <w:spacing w:after="0" w:line="240" w:lineRule="auto"/>
              <w:rPr>
                <w:rFonts w:eastAsia="Times New Roman" w:cs="Times New Roman"/>
                <w:color w:val="000000"/>
                <w:sz w:val="22"/>
              </w:rPr>
            </w:pPr>
            <w:r w:rsidRPr="00DB0E7A">
              <w:rPr>
                <w:rFonts w:eastAsia="Times New Roman" w:cs="Times New Roman"/>
                <w:color w:val="000000"/>
                <w:sz w:val="22"/>
              </w:rPr>
              <w:t xml:space="preserve"> $ 2</w:t>
            </w:r>
            <w:r>
              <w:rPr>
                <w:rFonts w:eastAsia="Times New Roman" w:cs="Times New Roman"/>
                <w:color w:val="000000"/>
                <w:sz w:val="22"/>
              </w:rPr>
              <w:t>77,988</w:t>
            </w:r>
            <w:r w:rsidRPr="00DB0E7A">
              <w:rPr>
                <w:rFonts w:eastAsia="Times New Roman" w:cs="Times New Roman"/>
                <w:color w:val="000000"/>
                <w:sz w:val="22"/>
              </w:rPr>
              <w:t xml:space="preserve"> </w:t>
            </w:r>
          </w:p>
        </w:tc>
      </w:tr>
      <w:tr w14:paraId="4625D13F" w14:textId="77777777" w:rsidTr="002C7404">
        <w:tblPrEx>
          <w:tblW w:w="9805" w:type="dxa"/>
          <w:tblLook w:val="04A0"/>
        </w:tblPrEx>
        <w:trPr>
          <w:trHeight w:val="290"/>
        </w:trPr>
        <w:tc>
          <w:tcPr>
            <w:tcW w:w="1351" w:type="dxa"/>
            <w:tcBorders>
              <w:top w:val="nil"/>
              <w:left w:val="single" w:sz="4" w:space="0" w:color="auto"/>
              <w:bottom w:val="single" w:sz="4" w:space="0" w:color="auto"/>
              <w:right w:val="single" w:sz="4" w:space="0" w:color="auto"/>
            </w:tcBorders>
            <w:shd w:val="clear" w:color="auto" w:fill="auto"/>
            <w:vAlign w:val="bottom"/>
            <w:hideMark/>
          </w:tcPr>
          <w:p w:rsidR="00AC76DF" w:rsidRPr="00DB0E7A" w:rsidP="00AC76DF" w14:paraId="6FFC4D91" w14:textId="77777777">
            <w:pPr>
              <w:spacing w:after="0" w:line="240" w:lineRule="auto"/>
              <w:rPr>
                <w:rFonts w:eastAsia="Times New Roman" w:cs="Times New Roman"/>
                <w:b/>
                <w:bCs/>
                <w:color w:val="000000"/>
                <w:sz w:val="22"/>
              </w:rPr>
            </w:pPr>
            <w:r w:rsidRPr="00DB0E7A">
              <w:rPr>
                <w:rFonts w:eastAsia="Times New Roman" w:cs="Times New Roman"/>
                <w:b/>
                <w:bCs/>
                <w:color w:val="000000"/>
                <w:sz w:val="22"/>
              </w:rPr>
              <w:t>IT PM 1</w:t>
            </w:r>
          </w:p>
        </w:tc>
        <w:tc>
          <w:tcPr>
            <w:tcW w:w="1044" w:type="dxa"/>
            <w:tcBorders>
              <w:top w:val="nil"/>
              <w:left w:val="nil"/>
              <w:bottom w:val="single" w:sz="4" w:space="0" w:color="auto"/>
              <w:right w:val="single" w:sz="4" w:space="0" w:color="auto"/>
            </w:tcBorders>
            <w:shd w:val="clear" w:color="auto" w:fill="auto"/>
            <w:vAlign w:val="bottom"/>
            <w:hideMark/>
          </w:tcPr>
          <w:p w:rsidR="00AC76DF" w:rsidRPr="00DB0E7A" w:rsidP="00AC76DF" w14:paraId="3D38A81D" w14:textId="1FA43B86">
            <w:pPr>
              <w:spacing w:after="0" w:line="240" w:lineRule="auto"/>
              <w:rPr>
                <w:rFonts w:eastAsia="Times New Roman" w:cs="Times New Roman"/>
                <w:color w:val="000000"/>
                <w:sz w:val="22"/>
              </w:rPr>
            </w:pPr>
            <w:r w:rsidRPr="00DB0E7A">
              <w:rPr>
                <w:rFonts w:eastAsia="Times New Roman" w:cs="Times New Roman"/>
                <w:color w:val="000000"/>
                <w:sz w:val="22"/>
              </w:rPr>
              <w:t xml:space="preserve"> $ 82.45 </w:t>
            </w:r>
          </w:p>
        </w:tc>
        <w:tc>
          <w:tcPr>
            <w:tcW w:w="1390" w:type="dxa"/>
            <w:tcBorders>
              <w:top w:val="nil"/>
              <w:left w:val="nil"/>
              <w:bottom w:val="single" w:sz="4" w:space="0" w:color="auto"/>
              <w:right w:val="single" w:sz="4" w:space="0" w:color="auto"/>
            </w:tcBorders>
            <w:shd w:val="clear" w:color="auto" w:fill="auto"/>
            <w:hideMark/>
          </w:tcPr>
          <w:p w:rsidR="00AC76DF" w:rsidRPr="00DB0E7A" w:rsidP="00AC76DF" w14:paraId="419644DD" w14:textId="69A4A368">
            <w:pPr>
              <w:spacing w:after="0" w:line="240" w:lineRule="auto"/>
              <w:jc w:val="right"/>
              <w:rPr>
                <w:rFonts w:eastAsia="Times New Roman" w:cs="Times New Roman"/>
                <w:color w:val="000000"/>
                <w:sz w:val="22"/>
              </w:rPr>
            </w:pPr>
            <w:r w:rsidRPr="00E77C72">
              <w:rPr>
                <w:rFonts w:eastAsia="Times New Roman" w:cs="Times New Roman"/>
                <w:color w:val="000000"/>
                <w:sz w:val="22"/>
              </w:rPr>
              <w:t>61.90</w:t>
            </w:r>
            <w:r w:rsidR="004706A7">
              <w:rPr>
                <w:rFonts w:eastAsia="Times New Roman" w:cs="Times New Roman"/>
                <w:color w:val="000000"/>
                <w:sz w:val="22"/>
              </w:rPr>
              <w:t>%</w:t>
            </w:r>
          </w:p>
        </w:tc>
        <w:tc>
          <w:tcPr>
            <w:tcW w:w="1266" w:type="dxa"/>
            <w:tcBorders>
              <w:top w:val="nil"/>
              <w:left w:val="nil"/>
              <w:bottom w:val="single" w:sz="4" w:space="0" w:color="auto"/>
              <w:right w:val="single" w:sz="4" w:space="0" w:color="auto"/>
            </w:tcBorders>
            <w:shd w:val="clear" w:color="auto" w:fill="auto"/>
            <w:hideMark/>
          </w:tcPr>
          <w:p w:rsidR="00AC76DF" w:rsidRPr="00DB0E7A" w:rsidP="00AC76DF" w14:paraId="3CDCB471" w14:textId="14399320">
            <w:pPr>
              <w:spacing w:after="0" w:line="240" w:lineRule="auto"/>
              <w:rPr>
                <w:rFonts w:eastAsia="Times New Roman" w:cs="Times New Roman"/>
                <w:color w:val="000000"/>
                <w:sz w:val="22"/>
              </w:rPr>
            </w:pPr>
            <w:r w:rsidRPr="00F6200A">
              <w:rPr>
                <w:rFonts w:eastAsia="Times New Roman" w:cs="Times New Roman"/>
                <w:color w:val="000000"/>
                <w:sz w:val="22"/>
              </w:rPr>
              <w:t xml:space="preserve"> $ 133.20 </w:t>
            </w:r>
          </w:p>
        </w:tc>
        <w:tc>
          <w:tcPr>
            <w:tcW w:w="946" w:type="dxa"/>
            <w:tcBorders>
              <w:top w:val="nil"/>
              <w:left w:val="nil"/>
              <w:bottom w:val="single" w:sz="4" w:space="0" w:color="auto"/>
              <w:right w:val="single" w:sz="4" w:space="0" w:color="auto"/>
            </w:tcBorders>
            <w:shd w:val="clear" w:color="auto" w:fill="auto"/>
            <w:vAlign w:val="bottom"/>
            <w:hideMark/>
          </w:tcPr>
          <w:p w:rsidR="00AC76DF" w:rsidRPr="00DB0E7A" w:rsidP="00AC76DF" w14:paraId="7A032AF0" w14:textId="77777777">
            <w:pPr>
              <w:spacing w:after="0" w:line="240" w:lineRule="auto"/>
              <w:jc w:val="right"/>
              <w:rPr>
                <w:rFonts w:eastAsia="Times New Roman" w:cs="Times New Roman"/>
                <w:color w:val="000000"/>
                <w:sz w:val="22"/>
              </w:rPr>
            </w:pPr>
            <w:r w:rsidRPr="00DB0E7A">
              <w:rPr>
                <w:rFonts w:eastAsia="Times New Roman" w:cs="Times New Roman"/>
                <w:color w:val="000000"/>
                <w:sz w:val="22"/>
              </w:rPr>
              <w:t>2087</w:t>
            </w:r>
          </w:p>
        </w:tc>
        <w:tc>
          <w:tcPr>
            <w:tcW w:w="1054" w:type="dxa"/>
            <w:tcBorders>
              <w:top w:val="nil"/>
              <w:left w:val="nil"/>
              <w:bottom w:val="single" w:sz="4" w:space="0" w:color="auto"/>
              <w:right w:val="single" w:sz="4" w:space="0" w:color="auto"/>
            </w:tcBorders>
            <w:shd w:val="clear" w:color="auto" w:fill="auto"/>
            <w:noWrap/>
            <w:vAlign w:val="bottom"/>
            <w:hideMark/>
          </w:tcPr>
          <w:p w:rsidR="00AC76DF" w:rsidRPr="00DB0E7A" w:rsidP="00AC76DF" w14:paraId="66933BDC" w14:textId="77777777">
            <w:pPr>
              <w:spacing w:after="0" w:line="240" w:lineRule="auto"/>
              <w:jc w:val="right"/>
              <w:rPr>
                <w:rFonts w:eastAsia="Times New Roman" w:cs="Times New Roman"/>
                <w:color w:val="000000"/>
                <w:sz w:val="22"/>
              </w:rPr>
            </w:pPr>
            <w:r w:rsidRPr="00DB0E7A">
              <w:rPr>
                <w:rFonts w:eastAsia="Times New Roman" w:cs="Times New Roman"/>
                <w:color w:val="000000"/>
                <w:sz w:val="22"/>
              </w:rPr>
              <w:t>100%</w:t>
            </w:r>
          </w:p>
        </w:tc>
        <w:tc>
          <w:tcPr>
            <w:tcW w:w="1201" w:type="dxa"/>
            <w:tcBorders>
              <w:top w:val="nil"/>
              <w:left w:val="nil"/>
              <w:bottom w:val="single" w:sz="4" w:space="0" w:color="auto"/>
              <w:right w:val="single" w:sz="4" w:space="0" w:color="auto"/>
            </w:tcBorders>
            <w:shd w:val="clear" w:color="auto" w:fill="auto"/>
            <w:noWrap/>
            <w:vAlign w:val="center"/>
            <w:hideMark/>
          </w:tcPr>
          <w:p w:rsidR="00AC76DF" w:rsidRPr="00DB0E7A" w:rsidP="00AC76DF" w14:paraId="396C5EBC" w14:textId="77777777">
            <w:pPr>
              <w:spacing w:after="0" w:line="240" w:lineRule="auto"/>
              <w:jc w:val="center"/>
              <w:rPr>
                <w:rFonts w:eastAsia="Times New Roman" w:cs="Times New Roman"/>
                <w:color w:val="000000"/>
                <w:sz w:val="22"/>
              </w:rPr>
            </w:pPr>
            <w:r w:rsidRPr="00DB0E7A">
              <w:rPr>
                <w:rFonts w:eastAsia="Times New Roman" w:cs="Times New Roman"/>
                <w:color w:val="000000"/>
                <w:sz w:val="22"/>
              </w:rPr>
              <w:t>1</w:t>
            </w:r>
          </w:p>
        </w:tc>
        <w:tc>
          <w:tcPr>
            <w:tcW w:w="1553" w:type="dxa"/>
            <w:tcBorders>
              <w:top w:val="nil"/>
              <w:left w:val="nil"/>
              <w:bottom w:val="single" w:sz="4" w:space="0" w:color="auto"/>
              <w:right w:val="single" w:sz="4" w:space="0" w:color="auto"/>
            </w:tcBorders>
            <w:shd w:val="clear" w:color="auto" w:fill="auto"/>
            <w:noWrap/>
            <w:vAlign w:val="bottom"/>
            <w:hideMark/>
          </w:tcPr>
          <w:p w:rsidR="00AC76DF" w:rsidRPr="00DB0E7A" w:rsidP="00AC76DF" w14:paraId="0D7B16C9" w14:textId="1A48F660">
            <w:pPr>
              <w:spacing w:after="0" w:line="240" w:lineRule="auto"/>
              <w:rPr>
                <w:rFonts w:eastAsia="Times New Roman" w:cs="Times New Roman"/>
                <w:color w:val="000000"/>
                <w:sz w:val="22"/>
              </w:rPr>
            </w:pPr>
            <w:r w:rsidRPr="00DB0E7A">
              <w:rPr>
                <w:rFonts w:eastAsia="Times New Roman" w:cs="Times New Roman"/>
                <w:color w:val="000000"/>
                <w:sz w:val="22"/>
              </w:rPr>
              <w:t xml:space="preserve"> $ 27</w:t>
            </w:r>
            <w:r>
              <w:rPr>
                <w:rFonts w:eastAsia="Times New Roman" w:cs="Times New Roman"/>
                <w:color w:val="000000"/>
                <w:sz w:val="22"/>
              </w:rPr>
              <w:t>7,988</w:t>
            </w:r>
            <w:r w:rsidRPr="00DB0E7A">
              <w:rPr>
                <w:rFonts w:eastAsia="Times New Roman" w:cs="Times New Roman"/>
                <w:color w:val="000000"/>
                <w:sz w:val="22"/>
              </w:rPr>
              <w:t xml:space="preserve"> </w:t>
            </w:r>
          </w:p>
        </w:tc>
      </w:tr>
      <w:tr w14:paraId="64AB8771" w14:textId="77777777" w:rsidTr="002C7404">
        <w:tblPrEx>
          <w:tblW w:w="9805" w:type="dxa"/>
          <w:tblLook w:val="04A0"/>
        </w:tblPrEx>
        <w:trPr>
          <w:trHeight w:val="290"/>
        </w:trPr>
        <w:tc>
          <w:tcPr>
            <w:tcW w:w="1351" w:type="dxa"/>
            <w:tcBorders>
              <w:top w:val="nil"/>
              <w:left w:val="single" w:sz="4" w:space="0" w:color="auto"/>
              <w:bottom w:val="single" w:sz="4" w:space="0" w:color="auto"/>
              <w:right w:val="single" w:sz="4" w:space="0" w:color="auto"/>
            </w:tcBorders>
            <w:shd w:val="clear" w:color="auto" w:fill="auto"/>
            <w:vAlign w:val="bottom"/>
            <w:hideMark/>
          </w:tcPr>
          <w:p w:rsidR="00AC76DF" w:rsidRPr="00DB0E7A" w:rsidP="00AC76DF" w14:paraId="33D92884" w14:textId="77777777">
            <w:pPr>
              <w:spacing w:after="0" w:line="240" w:lineRule="auto"/>
              <w:rPr>
                <w:rFonts w:eastAsia="Times New Roman" w:cs="Times New Roman"/>
                <w:b/>
                <w:bCs/>
                <w:color w:val="000000"/>
                <w:sz w:val="22"/>
              </w:rPr>
            </w:pPr>
            <w:r w:rsidRPr="00DB0E7A">
              <w:rPr>
                <w:rFonts w:eastAsia="Times New Roman" w:cs="Times New Roman"/>
                <w:b/>
                <w:bCs/>
                <w:color w:val="000000"/>
                <w:sz w:val="22"/>
              </w:rPr>
              <w:t>IT PM 2</w:t>
            </w:r>
          </w:p>
        </w:tc>
        <w:tc>
          <w:tcPr>
            <w:tcW w:w="1044" w:type="dxa"/>
            <w:tcBorders>
              <w:top w:val="nil"/>
              <w:left w:val="nil"/>
              <w:bottom w:val="single" w:sz="4" w:space="0" w:color="auto"/>
              <w:right w:val="single" w:sz="4" w:space="0" w:color="auto"/>
            </w:tcBorders>
            <w:shd w:val="clear" w:color="auto" w:fill="auto"/>
            <w:vAlign w:val="bottom"/>
            <w:hideMark/>
          </w:tcPr>
          <w:p w:rsidR="00AC76DF" w:rsidRPr="00DB0E7A" w:rsidP="00AC76DF" w14:paraId="2CF4267F" w14:textId="1C0B191D">
            <w:pPr>
              <w:spacing w:after="0" w:line="240" w:lineRule="auto"/>
              <w:rPr>
                <w:rFonts w:eastAsia="Times New Roman" w:cs="Times New Roman"/>
                <w:color w:val="000000"/>
                <w:sz w:val="22"/>
              </w:rPr>
            </w:pPr>
            <w:r w:rsidRPr="00DB0E7A">
              <w:rPr>
                <w:rFonts w:eastAsia="Times New Roman" w:cs="Times New Roman"/>
                <w:color w:val="000000"/>
                <w:sz w:val="22"/>
              </w:rPr>
              <w:t xml:space="preserve"> $ 82.45 </w:t>
            </w:r>
          </w:p>
        </w:tc>
        <w:tc>
          <w:tcPr>
            <w:tcW w:w="1390" w:type="dxa"/>
            <w:tcBorders>
              <w:top w:val="nil"/>
              <w:left w:val="nil"/>
              <w:bottom w:val="single" w:sz="4" w:space="0" w:color="auto"/>
              <w:right w:val="single" w:sz="4" w:space="0" w:color="auto"/>
            </w:tcBorders>
            <w:shd w:val="clear" w:color="auto" w:fill="auto"/>
            <w:hideMark/>
          </w:tcPr>
          <w:p w:rsidR="00AC76DF" w:rsidRPr="00DB0E7A" w:rsidP="00AC76DF" w14:paraId="2D75A81C" w14:textId="6C1DBBE6">
            <w:pPr>
              <w:spacing w:after="0" w:line="240" w:lineRule="auto"/>
              <w:jc w:val="right"/>
              <w:rPr>
                <w:rFonts w:eastAsia="Times New Roman" w:cs="Times New Roman"/>
                <w:color w:val="000000"/>
                <w:sz w:val="22"/>
              </w:rPr>
            </w:pPr>
            <w:r w:rsidRPr="00E77C72">
              <w:rPr>
                <w:rFonts w:eastAsia="Times New Roman" w:cs="Times New Roman"/>
                <w:color w:val="000000"/>
                <w:sz w:val="22"/>
              </w:rPr>
              <w:t>61.90</w:t>
            </w:r>
            <w:r w:rsidR="004706A7">
              <w:rPr>
                <w:rFonts w:eastAsia="Times New Roman" w:cs="Times New Roman"/>
                <w:color w:val="000000"/>
                <w:sz w:val="22"/>
              </w:rPr>
              <w:t>%</w:t>
            </w:r>
          </w:p>
        </w:tc>
        <w:tc>
          <w:tcPr>
            <w:tcW w:w="1266" w:type="dxa"/>
            <w:tcBorders>
              <w:top w:val="nil"/>
              <w:left w:val="nil"/>
              <w:bottom w:val="single" w:sz="4" w:space="0" w:color="auto"/>
              <w:right w:val="single" w:sz="4" w:space="0" w:color="auto"/>
            </w:tcBorders>
            <w:shd w:val="clear" w:color="auto" w:fill="auto"/>
            <w:hideMark/>
          </w:tcPr>
          <w:p w:rsidR="00AC76DF" w:rsidRPr="00DB0E7A" w:rsidP="00AC76DF" w14:paraId="15BF0913" w14:textId="0860C13A">
            <w:pPr>
              <w:spacing w:after="0" w:line="240" w:lineRule="auto"/>
              <w:rPr>
                <w:rFonts w:eastAsia="Times New Roman" w:cs="Times New Roman"/>
                <w:color w:val="000000"/>
                <w:sz w:val="22"/>
              </w:rPr>
            </w:pPr>
            <w:r w:rsidRPr="00F6200A">
              <w:rPr>
                <w:rFonts w:eastAsia="Times New Roman" w:cs="Times New Roman"/>
                <w:color w:val="000000"/>
                <w:sz w:val="22"/>
              </w:rPr>
              <w:t xml:space="preserve"> $ 133.20 </w:t>
            </w:r>
          </w:p>
        </w:tc>
        <w:tc>
          <w:tcPr>
            <w:tcW w:w="946" w:type="dxa"/>
            <w:tcBorders>
              <w:top w:val="nil"/>
              <w:left w:val="nil"/>
              <w:bottom w:val="single" w:sz="4" w:space="0" w:color="auto"/>
              <w:right w:val="single" w:sz="4" w:space="0" w:color="auto"/>
            </w:tcBorders>
            <w:shd w:val="clear" w:color="auto" w:fill="auto"/>
            <w:vAlign w:val="bottom"/>
            <w:hideMark/>
          </w:tcPr>
          <w:p w:rsidR="00AC76DF" w:rsidRPr="00DB0E7A" w:rsidP="00AC76DF" w14:paraId="5CCBDBA4" w14:textId="77777777">
            <w:pPr>
              <w:spacing w:after="0" w:line="240" w:lineRule="auto"/>
              <w:jc w:val="right"/>
              <w:rPr>
                <w:rFonts w:eastAsia="Times New Roman" w:cs="Times New Roman"/>
                <w:color w:val="000000"/>
                <w:sz w:val="22"/>
              </w:rPr>
            </w:pPr>
            <w:r w:rsidRPr="00DB0E7A">
              <w:rPr>
                <w:rFonts w:eastAsia="Times New Roman" w:cs="Times New Roman"/>
                <w:color w:val="000000"/>
                <w:sz w:val="22"/>
              </w:rPr>
              <w:t>2087</w:t>
            </w:r>
          </w:p>
        </w:tc>
        <w:tc>
          <w:tcPr>
            <w:tcW w:w="1054" w:type="dxa"/>
            <w:tcBorders>
              <w:top w:val="nil"/>
              <w:left w:val="nil"/>
              <w:bottom w:val="single" w:sz="4" w:space="0" w:color="auto"/>
              <w:right w:val="single" w:sz="4" w:space="0" w:color="auto"/>
            </w:tcBorders>
            <w:shd w:val="clear" w:color="auto" w:fill="auto"/>
            <w:noWrap/>
            <w:vAlign w:val="bottom"/>
            <w:hideMark/>
          </w:tcPr>
          <w:p w:rsidR="00AC76DF" w:rsidRPr="00DB0E7A" w:rsidP="00AC76DF" w14:paraId="13B61632" w14:textId="77777777">
            <w:pPr>
              <w:spacing w:after="0" w:line="240" w:lineRule="auto"/>
              <w:jc w:val="right"/>
              <w:rPr>
                <w:rFonts w:eastAsia="Times New Roman" w:cs="Times New Roman"/>
                <w:color w:val="000000"/>
                <w:sz w:val="22"/>
              </w:rPr>
            </w:pPr>
            <w:r w:rsidRPr="00DB0E7A">
              <w:rPr>
                <w:rFonts w:eastAsia="Times New Roman" w:cs="Times New Roman"/>
                <w:color w:val="000000"/>
                <w:sz w:val="22"/>
              </w:rPr>
              <w:t>75%</w:t>
            </w:r>
          </w:p>
        </w:tc>
        <w:tc>
          <w:tcPr>
            <w:tcW w:w="1201" w:type="dxa"/>
            <w:tcBorders>
              <w:top w:val="nil"/>
              <w:left w:val="nil"/>
              <w:bottom w:val="single" w:sz="4" w:space="0" w:color="auto"/>
              <w:right w:val="single" w:sz="4" w:space="0" w:color="auto"/>
            </w:tcBorders>
            <w:shd w:val="clear" w:color="auto" w:fill="auto"/>
            <w:noWrap/>
            <w:vAlign w:val="center"/>
            <w:hideMark/>
          </w:tcPr>
          <w:p w:rsidR="00AC76DF" w:rsidRPr="00DB0E7A" w:rsidP="00AC76DF" w14:paraId="4B7E3A0E" w14:textId="77777777">
            <w:pPr>
              <w:spacing w:after="0" w:line="240" w:lineRule="auto"/>
              <w:jc w:val="center"/>
              <w:rPr>
                <w:rFonts w:eastAsia="Times New Roman" w:cs="Times New Roman"/>
                <w:color w:val="000000"/>
                <w:sz w:val="22"/>
              </w:rPr>
            </w:pPr>
            <w:r w:rsidRPr="00DB0E7A">
              <w:rPr>
                <w:rFonts w:eastAsia="Times New Roman" w:cs="Times New Roman"/>
                <w:color w:val="000000"/>
                <w:sz w:val="22"/>
              </w:rPr>
              <w:t>1</w:t>
            </w:r>
          </w:p>
        </w:tc>
        <w:tc>
          <w:tcPr>
            <w:tcW w:w="1553" w:type="dxa"/>
            <w:tcBorders>
              <w:top w:val="nil"/>
              <w:left w:val="nil"/>
              <w:bottom w:val="single" w:sz="4" w:space="0" w:color="auto"/>
              <w:right w:val="single" w:sz="4" w:space="0" w:color="auto"/>
            </w:tcBorders>
            <w:shd w:val="clear" w:color="auto" w:fill="auto"/>
            <w:noWrap/>
            <w:vAlign w:val="bottom"/>
            <w:hideMark/>
          </w:tcPr>
          <w:p w:rsidR="00AC76DF" w:rsidRPr="00DB0E7A" w:rsidP="00AC76DF" w14:paraId="44860646" w14:textId="02E18825">
            <w:pPr>
              <w:spacing w:after="0" w:line="240" w:lineRule="auto"/>
              <w:rPr>
                <w:rFonts w:eastAsia="Times New Roman" w:cs="Times New Roman"/>
                <w:color w:val="000000"/>
                <w:sz w:val="22"/>
              </w:rPr>
            </w:pPr>
            <w:r w:rsidRPr="00DB0E7A">
              <w:rPr>
                <w:rFonts w:eastAsia="Times New Roman" w:cs="Times New Roman"/>
                <w:color w:val="000000"/>
                <w:sz w:val="22"/>
              </w:rPr>
              <w:t xml:space="preserve"> $ 20</w:t>
            </w:r>
            <w:r>
              <w:rPr>
                <w:rFonts w:eastAsia="Times New Roman" w:cs="Times New Roman"/>
                <w:color w:val="000000"/>
                <w:sz w:val="22"/>
              </w:rPr>
              <w:t>8,491</w:t>
            </w:r>
          </w:p>
        </w:tc>
      </w:tr>
      <w:tr w14:paraId="479C8927" w14:textId="77777777" w:rsidTr="00AC76DF">
        <w:tblPrEx>
          <w:tblW w:w="9805" w:type="dxa"/>
          <w:tblLook w:val="04A0"/>
        </w:tblPrEx>
        <w:trPr>
          <w:trHeight w:val="290"/>
        </w:trPr>
        <w:tc>
          <w:tcPr>
            <w:tcW w:w="1351"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180696" w:rsidRPr="00DB0E7A" w:rsidP="00180696" w14:paraId="2377D5FD" w14:textId="77777777">
            <w:pPr>
              <w:spacing w:after="0" w:line="240" w:lineRule="auto"/>
              <w:rPr>
                <w:rFonts w:eastAsia="Times New Roman" w:cs="Times New Roman"/>
                <w:b/>
                <w:bCs/>
                <w:color w:val="000000"/>
                <w:sz w:val="22"/>
              </w:rPr>
            </w:pPr>
            <w:r w:rsidRPr="00DB0E7A">
              <w:rPr>
                <w:rFonts w:eastAsia="Times New Roman" w:cs="Times New Roman"/>
                <w:b/>
                <w:bCs/>
                <w:color w:val="000000"/>
                <w:sz w:val="22"/>
              </w:rPr>
              <w:t>Total</w:t>
            </w:r>
          </w:p>
        </w:tc>
        <w:tc>
          <w:tcPr>
            <w:tcW w:w="1044" w:type="dxa"/>
            <w:tcBorders>
              <w:top w:val="nil"/>
              <w:left w:val="nil"/>
              <w:bottom w:val="single" w:sz="4" w:space="0" w:color="auto"/>
              <w:right w:val="single" w:sz="4" w:space="0" w:color="auto"/>
            </w:tcBorders>
            <w:shd w:val="clear" w:color="auto" w:fill="D9D9D9" w:themeFill="background1" w:themeFillShade="D9"/>
            <w:vAlign w:val="bottom"/>
            <w:hideMark/>
          </w:tcPr>
          <w:p w:rsidR="00180696" w:rsidRPr="00DB0E7A" w:rsidP="00180696" w14:paraId="47591FE1" w14:textId="77777777">
            <w:pPr>
              <w:spacing w:after="0" w:line="240" w:lineRule="auto"/>
              <w:rPr>
                <w:rFonts w:eastAsia="Times New Roman" w:cs="Times New Roman"/>
                <w:b/>
                <w:bCs/>
                <w:color w:val="000000"/>
                <w:sz w:val="22"/>
              </w:rPr>
            </w:pPr>
            <w:r w:rsidRPr="00DB0E7A">
              <w:rPr>
                <w:rFonts w:eastAsia="Times New Roman" w:cs="Times New Roman"/>
                <w:b/>
                <w:bCs/>
                <w:color w:val="000000"/>
                <w:sz w:val="22"/>
              </w:rPr>
              <w:t> </w:t>
            </w:r>
          </w:p>
        </w:tc>
        <w:tc>
          <w:tcPr>
            <w:tcW w:w="1390" w:type="dxa"/>
            <w:tcBorders>
              <w:top w:val="nil"/>
              <w:left w:val="nil"/>
              <w:bottom w:val="single" w:sz="4" w:space="0" w:color="auto"/>
              <w:right w:val="single" w:sz="4" w:space="0" w:color="auto"/>
            </w:tcBorders>
            <w:shd w:val="clear" w:color="auto" w:fill="D9D9D9" w:themeFill="background1" w:themeFillShade="D9"/>
            <w:vAlign w:val="bottom"/>
            <w:hideMark/>
          </w:tcPr>
          <w:p w:rsidR="00180696" w:rsidRPr="00DB0E7A" w:rsidP="00180696" w14:paraId="4128D3D4" w14:textId="77777777">
            <w:pPr>
              <w:spacing w:after="0" w:line="240" w:lineRule="auto"/>
              <w:rPr>
                <w:rFonts w:eastAsia="Times New Roman" w:cs="Times New Roman"/>
                <w:b/>
                <w:bCs/>
                <w:color w:val="000000"/>
                <w:sz w:val="22"/>
              </w:rPr>
            </w:pPr>
            <w:r w:rsidRPr="00DB0E7A">
              <w:rPr>
                <w:rFonts w:eastAsia="Times New Roman" w:cs="Times New Roman"/>
                <w:b/>
                <w:bCs/>
                <w:color w:val="000000"/>
                <w:sz w:val="22"/>
              </w:rPr>
              <w:t> </w:t>
            </w:r>
          </w:p>
        </w:tc>
        <w:tc>
          <w:tcPr>
            <w:tcW w:w="1266" w:type="dxa"/>
            <w:tcBorders>
              <w:top w:val="nil"/>
              <w:left w:val="nil"/>
              <w:bottom w:val="single" w:sz="4" w:space="0" w:color="auto"/>
              <w:right w:val="single" w:sz="4" w:space="0" w:color="auto"/>
            </w:tcBorders>
            <w:shd w:val="clear" w:color="auto" w:fill="D9D9D9" w:themeFill="background1" w:themeFillShade="D9"/>
            <w:vAlign w:val="bottom"/>
            <w:hideMark/>
          </w:tcPr>
          <w:p w:rsidR="00180696" w:rsidRPr="00DB0E7A" w:rsidP="00180696" w14:paraId="565344BB" w14:textId="77777777">
            <w:pPr>
              <w:spacing w:after="0" w:line="240" w:lineRule="auto"/>
              <w:rPr>
                <w:rFonts w:eastAsia="Times New Roman" w:cs="Times New Roman"/>
                <w:b/>
                <w:bCs/>
                <w:color w:val="000000"/>
                <w:sz w:val="22"/>
              </w:rPr>
            </w:pPr>
            <w:r w:rsidRPr="00DB0E7A">
              <w:rPr>
                <w:rFonts w:eastAsia="Times New Roman" w:cs="Times New Roman"/>
                <w:b/>
                <w:bCs/>
                <w:color w:val="000000"/>
                <w:sz w:val="22"/>
              </w:rPr>
              <w:t> </w:t>
            </w:r>
          </w:p>
        </w:tc>
        <w:tc>
          <w:tcPr>
            <w:tcW w:w="946" w:type="dxa"/>
            <w:tcBorders>
              <w:top w:val="nil"/>
              <w:left w:val="nil"/>
              <w:bottom w:val="single" w:sz="4" w:space="0" w:color="auto"/>
              <w:right w:val="single" w:sz="4" w:space="0" w:color="auto"/>
            </w:tcBorders>
            <w:shd w:val="clear" w:color="auto" w:fill="D9D9D9" w:themeFill="background1" w:themeFillShade="D9"/>
            <w:vAlign w:val="bottom"/>
            <w:hideMark/>
          </w:tcPr>
          <w:p w:rsidR="00180696" w:rsidRPr="00DB0E7A" w:rsidP="00180696" w14:paraId="5380962B" w14:textId="77777777">
            <w:pPr>
              <w:spacing w:after="0" w:line="240" w:lineRule="auto"/>
              <w:rPr>
                <w:rFonts w:eastAsia="Times New Roman" w:cs="Times New Roman"/>
                <w:b/>
                <w:bCs/>
                <w:color w:val="000000"/>
                <w:sz w:val="22"/>
              </w:rPr>
            </w:pPr>
            <w:r w:rsidRPr="00DB0E7A">
              <w:rPr>
                <w:rFonts w:eastAsia="Times New Roman" w:cs="Times New Roman"/>
                <w:b/>
                <w:bCs/>
                <w:color w:val="000000"/>
                <w:sz w:val="22"/>
              </w:rPr>
              <w:t> </w:t>
            </w:r>
          </w:p>
        </w:tc>
        <w:tc>
          <w:tcPr>
            <w:tcW w:w="1054" w:type="dxa"/>
            <w:tcBorders>
              <w:top w:val="nil"/>
              <w:left w:val="nil"/>
              <w:bottom w:val="single" w:sz="4" w:space="0" w:color="auto"/>
              <w:right w:val="single" w:sz="4" w:space="0" w:color="auto"/>
            </w:tcBorders>
            <w:shd w:val="clear" w:color="auto" w:fill="D9D9D9" w:themeFill="background1" w:themeFillShade="D9"/>
            <w:noWrap/>
            <w:vAlign w:val="bottom"/>
            <w:hideMark/>
          </w:tcPr>
          <w:p w:rsidR="00180696" w:rsidRPr="00DB0E7A" w:rsidP="00180696" w14:paraId="070DE078" w14:textId="77777777">
            <w:pPr>
              <w:spacing w:after="0" w:line="240" w:lineRule="auto"/>
              <w:rPr>
                <w:rFonts w:eastAsia="Times New Roman" w:cs="Times New Roman"/>
                <w:color w:val="000000"/>
                <w:sz w:val="22"/>
              </w:rPr>
            </w:pPr>
            <w:r w:rsidRPr="00DB0E7A">
              <w:rPr>
                <w:rFonts w:eastAsia="Times New Roman" w:cs="Times New Roman"/>
                <w:color w:val="000000"/>
                <w:sz w:val="22"/>
              </w:rPr>
              <w:t> </w:t>
            </w:r>
          </w:p>
        </w:tc>
        <w:tc>
          <w:tcPr>
            <w:tcW w:w="1201" w:type="dxa"/>
            <w:tcBorders>
              <w:top w:val="nil"/>
              <w:left w:val="nil"/>
              <w:bottom w:val="single" w:sz="4" w:space="0" w:color="auto"/>
              <w:right w:val="single" w:sz="4" w:space="0" w:color="auto"/>
            </w:tcBorders>
            <w:shd w:val="clear" w:color="auto" w:fill="D9D9D9" w:themeFill="background1" w:themeFillShade="D9"/>
            <w:noWrap/>
            <w:vAlign w:val="center"/>
            <w:hideMark/>
          </w:tcPr>
          <w:p w:rsidR="00180696" w:rsidRPr="00DB0E7A" w:rsidP="00180696" w14:paraId="3A68FDD6" w14:textId="77777777">
            <w:pPr>
              <w:spacing w:after="0" w:line="240" w:lineRule="auto"/>
              <w:jc w:val="center"/>
              <w:rPr>
                <w:rFonts w:eastAsia="Times New Roman" w:cs="Times New Roman"/>
                <w:color w:val="000000"/>
                <w:sz w:val="22"/>
              </w:rPr>
            </w:pPr>
            <w:r w:rsidRPr="00DB0E7A">
              <w:rPr>
                <w:rFonts w:eastAsia="Times New Roman" w:cs="Times New Roman"/>
                <w:color w:val="000000"/>
                <w:sz w:val="22"/>
              </w:rPr>
              <w:t> </w:t>
            </w:r>
          </w:p>
        </w:tc>
        <w:tc>
          <w:tcPr>
            <w:tcW w:w="1553" w:type="dxa"/>
            <w:tcBorders>
              <w:top w:val="nil"/>
              <w:left w:val="nil"/>
              <w:bottom w:val="single" w:sz="4" w:space="0" w:color="auto"/>
              <w:right w:val="single" w:sz="4" w:space="0" w:color="auto"/>
            </w:tcBorders>
            <w:shd w:val="clear" w:color="auto" w:fill="D9D9D9" w:themeFill="background1" w:themeFillShade="D9"/>
            <w:noWrap/>
            <w:vAlign w:val="bottom"/>
            <w:hideMark/>
          </w:tcPr>
          <w:p w:rsidR="00180696" w:rsidRPr="00DB0E7A" w:rsidP="00180696" w14:paraId="68DED4F4" w14:textId="21309E27">
            <w:pPr>
              <w:spacing w:after="0" w:line="240" w:lineRule="auto"/>
              <w:rPr>
                <w:rFonts w:eastAsia="Times New Roman" w:cs="Times New Roman"/>
                <w:b/>
                <w:bCs/>
                <w:color w:val="000000"/>
                <w:sz w:val="22"/>
              </w:rPr>
            </w:pPr>
            <w:r w:rsidRPr="00DB0E7A">
              <w:rPr>
                <w:rFonts w:eastAsia="Times New Roman" w:cs="Times New Roman"/>
                <w:b/>
                <w:bCs/>
                <w:color w:val="000000"/>
                <w:sz w:val="22"/>
              </w:rPr>
              <w:t xml:space="preserve"> $ 1,</w:t>
            </w:r>
            <w:r w:rsidR="00AC76DF">
              <w:rPr>
                <w:rFonts w:eastAsia="Times New Roman" w:cs="Times New Roman"/>
                <w:b/>
                <w:bCs/>
                <w:color w:val="000000"/>
                <w:sz w:val="22"/>
              </w:rPr>
              <w:t>042</w:t>
            </w:r>
            <w:r w:rsidRPr="00DB0E7A">
              <w:rPr>
                <w:rFonts w:eastAsia="Times New Roman" w:cs="Times New Roman"/>
                <w:b/>
                <w:bCs/>
                <w:color w:val="000000"/>
                <w:sz w:val="22"/>
              </w:rPr>
              <w:t>,</w:t>
            </w:r>
            <w:r w:rsidR="00AC76DF">
              <w:rPr>
                <w:rFonts w:eastAsia="Times New Roman" w:cs="Times New Roman"/>
                <w:b/>
                <w:bCs/>
                <w:color w:val="000000"/>
                <w:sz w:val="22"/>
              </w:rPr>
              <w:t>457</w:t>
            </w:r>
            <w:r w:rsidRPr="00DB0E7A">
              <w:rPr>
                <w:rFonts w:eastAsia="Times New Roman" w:cs="Times New Roman"/>
                <w:b/>
                <w:bCs/>
                <w:color w:val="000000"/>
                <w:sz w:val="22"/>
              </w:rPr>
              <w:t xml:space="preserve"> </w:t>
            </w:r>
          </w:p>
        </w:tc>
      </w:tr>
    </w:tbl>
    <w:p w:rsidR="005C5F06" w:rsidP="00EC380C" w14:paraId="361906AD" w14:textId="77777777">
      <w:pPr>
        <w:tabs>
          <w:tab w:val="left" w:pos="-720"/>
          <w:tab w:val="left" w:pos="540"/>
          <w:tab w:val="left" w:pos="2880"/>
        </w:tabs>
        <w:ind w:left="720"/>
        <w:jc w:val="right"/>
        <w:rPr>
          <w:rFonts w:cs="Times New Roman"/>
          <w:szCs w:val="24"/>
        </w:rPr>
      </w:pPr>
    </w:p>
    <w:p w:rsidR="005C5F06" w:rsidP="00CC0168" w14:paraId="01449355" w14:textId="7C756C16">
      <w:pPr>
        <w:tabs>
          <w:tab w:val="left" w:pos="-720"/>
          <w:tab w:val="left" w:pos="540"/>
          <w:tab w:val="left" w:pos="2880"/>
        </w:tabs>
        <w:ind w:left="720"/>
        <w:rPr>
          <w:rFonts w:cs="Times New Roman"/>
          <w:szCs w:val="24"/>
        </w:rPr>
      </w:pPr>
      <w:r>
        <w:rPr>
          <w:rFonts w:eastAsia="Times New Roman" w:cs="Times New Roman"/>
          <w:szCs w:val="24"/>
        </w:rPr>
        <w:t xml:space="preserve">Therefore, NHTSA </w:t>
      </w:r>
      <w:r w:rsidRPr="00897842">
        <w:rPr>
          <w:rFonts w:cs="Times New Roman"/>
          <w:szCs w:val="24"/>
        </w:rPr>
        <w:t>estimate</w:t>
      </w:r>
      <w:r>
        <w:rPr>
          <w:rFonts w:cs="Times New Roman"/>
          <w:szCs w:val="24"/>
        </w:rPr>
        <w:t xml:space="preserve">s the total cost for federal staff needed to manage the </w:t>
      </w:r>
      <w:r w:rsidR="003431DD">
        <w:rPr>
          <w:rFonts w:cs="Times New Roman"/>
          <w:szCs w:val="24"/>
        </w:rPr>
        <w:t>SEDC</w:t>
      </w:r>
      <w:r w:rsidR="00AD7120">
        <w:rPr>
          <w:rFonts w:cs="Times New Roman"/>
          <w:szCs w:val="24"/>
        </w:rPr>
        <w:t xml:space="preserve"> portion of </w:t>
      </w:r>
      <w:r>
        <w:rPr>
          <w:rFonts w:cs="Times New Roman"/>
          <w:szCs w:val="24"/>
        </w:rPr>
        <w:t xml:space="preserve">EDT will be </w:t>
      </w:r>
      <w:r w:rsidRPr="00180696" w:rsidR="00180696">
        <w:rPr>
          <w:rFonts w:cs="Times New Roman"/>
          <w:szCs w:val="24"/>
        </w:rPr>
        <w:t>$1,</w:t>
      </w:r>
      <w:r w:rsidR="00A87AE7">
        <w:rPr>
          <w:rFonts w:cs="Times New Roman"/>
          <w:szCs w:val="24"/>
        </w:rPr>
        <w:t>042,457</w:t>
      </w:r>
      <w:r>
        <w:rPr>
          <w:rFonts w:cs="Times New Roman"/>
          <w:szCs w:val="24"/>
        </w:rPr>
        <w:t xml:space="preserve">.  </w:t>
      </w:r>
    </w:p>
    <w:p w:rsidR="00CC0168" w:rsidP="71795E2E" w14:paraId="31ADAA66" w14:textId="07DCE3D8">
      <w:pPr>
        <w:tabs>
          <w:tab w:val="left" w:pos="540"/>
          <w:tab w:val="left" w:pos="2880"/>
        </w:tabs>
        <w:ind w:left="720"/>
        <w:rPr>
          <w:rFonts w:cs="Times New Roman"/>
        </w:rPr>
      </w:pPr>
      <w:r w:rsidRPr="71795E2E">
        <w:rPr>
          <w:rFonts w:cs="Times New Roman"/>
        </w:rPr>
        <w:t>Furthermore</w:t>
      </w:r>
      <w:r w:rsidRPr="71795E2E" w:rsidR="005A6C27">
        <w:rPr>
          <w:rFonts w:cs="Times New Roman"/>
        </w:rPr>
        <w:t xml:space="preserve">, </w:t>
      </w:r>
      <w:r w:rsidRPr="71795E2E">
        <w:rPr>
          <w:rFonts w:cs="Times New Roman"/>
        </w:rPr>
        <w:t>F</w:t>
      </w:r>
      <w:r w:rsidRPr="71795E2E" w:rsidR="005A6C27">
        <w:rPr>
          <w:rFonts w:cs="Times New Roman"/>
        </w:rPr>
        <w:t xml:space="preserve">ederal contracting support </w:t>
      </w:r>
      <w:r w:rsidRPr="71795E2E">
        <w:rPr>
          <w:rFonts w:cs="Times New Roman"/>
        </w:rPr>
        <w:t>will be</w:t>
      </w:r>
      <w:r w:rsidRPr="71795E2E" w:rsidR="005A6C27">
        <w:rPr>
          <w:rFonts w:cs="Times New Roman"/>
        </w:rPr>
        <w:t xml:space="preserve"> needed to implement and maintain the electronic data transfer process for EDT to ensure NHTSA receives the data securely and accurately. </w:t>
      </w:r>
      <w:r w:rsidRPr="71795E2E" w:rsidR="00490A87">
        <w:rPr>
          <w:rFonts w:cs="Times New Roman"/>
        </w:rPr>
        <w:t xml:space="preserve">The initial setup cost for the overall system is estimated as $1,082,160.  </w:t>
      </w:r>
      <w:r w:rsidRPr="71795E2E" w:rsidR="005A6C27">
        <w:rPr>
          <w:rFonts w:cs="Times New Roman"/>
        </w:rPr>
        <w:t xml:space="preserve">The </w:t>
      </w:r>
      <w:r w:rsidRPr="71795E2E" w:rsidR="00BF1F21">
        <w:rPr>
          <w:rFonts w:cs="Times New Roman"/>
        </w:rPr>
        <w:t>cost o</w:t>
      </w:r>
      <w:r w:rsidRPr="71795E2E" w:rsidR="38552B5B">
        <w:rPr>
          <w:rFonts w:cs="Times New Roman"/>
        </w:rPr>
        <w:t>f</w:t>
      </w:r>
      <w:r w:rsidRPr="71795E2E" w:rsidR="00BF1F21">
        <w:rPr>
          <w:rFonts w:cs="Times New Roman"/>
        </w:rPr>
        <w:t xml:space="preserve"> </w:t>
      </w:r>
      <w:r w:rsidRPr="71795E2E" w:rsidR="005A6C27">
        <w:rPr>
          <w:rFonts w:cs="Times New Roman"/>
        </w:rPr>
        <w:t xml:space="preserve">implementation </w:t>
      </w:r>
      <w:r w:rsidRPr="71795E2E" w:rsidR="1209FA08">
        <w:rPr>
          <w:rFonts w:cs="Times New Roman"/>
        </w:rPr>
        <w:t>for</w:t>
      </w:r>
      <w:r w:rsidRPr="71795E2E" w:rsidR="005A6C27">
        <w:rPr>
          <w:rFonts w:cs="Times New Roman"/>
        </w:rPr>
        <w:t xml:space="preserve"> </w:t>
      </w:r>
      <w:r w:rsidRPr="71795E2E" w:rsidR="00BF1F21">
        <w:rPr>
          <w:rFonts w:cs="Times New Roman"/>
        </w:rPr>
        <w:t>each</w:t>
      </w:r>
      <w:r w:rsidRPr="71795E2E" w:rsidR="005A6C27">
        <w:rPr>
          <w:rFonts w:cs="Times New Roman"/>
        </w:rPr>
        <w:t xml:space="preserve"> State is estimated to be </w:t>
      </w:r>
      <w:r w:rsidRPr="71795E2E" w:rsidR="00490A87">
        <w:rPr>
          <w:rFonts w:cs="Times New Roman"/>
        </w:rPr>
        <w:t>$</w:t>
      </w:r>
      <w:r w:rsidRPr="71795E2E" w:rsidR="00DD299F">
        <w:rPr>
          <w:rFonts w:cs="Times New Roman"/>
        </w:rPr>
        <w:t xml:space="preserve">74,815 </w:t>
      </w:r>
      <w:r w:rsidRPr="71795E2E" w:rsidR="005A6C27">
        <w:rPr>
          <w:rFonts w:cs="Times New Roman"/>
        </w:rPr>
        <w:t xml:space="preserve">and the annual maintenance cost </w:t>
      </w:r>
      <w:r w:rsidRPr="71795E2E" w:rsidR="003920D5">
        <w:rPr>
          <w:rFonts w:cs="Times New Roman"/>
        </w:rPr>
        <w:t>for each</w:t>
      </w:r>
      <w:r w:rsidRPr="71795E2E" w:rsidR="005A6C27">
        <w:rPr>
          <w:rFonts w:cs="Times New Roman"/>
        </w:rPr>
        <w:t xml:space="preserve"> State is estimated to be $</w:t>
      </w:r>
      <w:r w:rsidRPr="71795E2E" w:rsidR="00DD299F">
        <w:rPr>
          <w:rFonts w:cs="Times New Roman"/>
        </w:rPr>
        <w:t>23,477</w:t>
      </w:r>
      <w:r w:rsidRPr="71795E2E" w:rsidR="005A6C27">
        <w:rPr>
          <w:rFonts w:cs="Times New Roman"/>
        </w:rPr>
        <w:t xml:space="preserve"> based on NHTSA’s IT contract</w:t>
      </w:r>
      <w:r w:rsidRPr="71795E2E" w:rsidR="00DD299F">
        <w:rPr>
          <w:rFonts w:cs="Times New Roman"/>
        </w:rPr>
        <w:t xml:space="preserve"> cost estimates</w:t>
      </w:r>
      <w:r w:rsidRPr="71795E2E" w:rsidR="005A6C27">
        <w:rPr>
          <w:rFonts w:cs="Times New Roman"/>
        </w:rPr>
        <w:t xml:space="preserve">. </w:t>
      </w:r>
      <w:r w:rsidRPr="71795E2E" w:rsidR="00B27356">
        <w:rPr>
          <w:rFonts w:cs="Times New Roman"/>
        </w:rPr>
        <w:t xml:space="preserve">NHTSA estimates that </w:t>
      </w:r>
      <w:r w:rsidRPr="71795E2E" w:rsidR="00590581">
        <w:rPr>
          <w:rFonts w:cs="Times New Roman"/>
        </w:rPr>
        <w:t xml:space="preserve">each year </w:t>
      </w:r>
      <w:r w:rsidRPr="71795E2E" w:rsidR="00B27356">
        <w:rPr>
          <w:rFonts w:cs="Times New Roman"/>
        </w:rPr>
        <w:t xml:space="preserve">there will be </w:t>
      </w:r>
      <w:r w:rsidR="00A149F5">
        <w:rPr>
          <w:rFonts w:cs="Times New Roman"/>
        </w:rPr>
        <w:t>seven</w:t>
      </w:r>
      <w:r w:rsidRPr="71795E2E" w:rsidR="00843C44">
        <w:rPr>
          <w:rFonts w:cs="Times New Roman"/>
        </w:rPr>
        <w:t xml:space="preserve"> (</w:t>
      </w:r>
      <w:r w:rsidR="00A149F5">
        <w:rPr>
          <w:rFonts w:cs="Times New Roman"/>
        </w:rPr>
        <w:t>7</w:t>
      </w:r>
      <w:r w:rsidRPr="71795E2E" w:rsidR="00843C44">
        <w:rPr>
          <w:rFonts w:cs="Times New Roman"/>
        </w:rPr>
        <w:t>)</w:t>
      </w:r>
      <w:r w:rsidRPr="71795E2E" w:rsidR="00B27356">
        <w:rPr>
          <w:rFonts w:cs="Times New Roman"/>
        </w:rPr>
        <w:t xml:space="preserve"> States to implement EDT under </w:t>
      </w:r>
      <w:r w:rsidRPr="71795E2E" w:rsidR="003431DD">
        <w:rPr>
          <w:rFonts w:cs="Times New Roman"/>
        </w:rPr>
        <w:t>SEDC</w:t>
      </w:r>
      <w:r w:rsidRPr="71795E2E" w:rsidR="009908FF">
        <w:rPr>
          <w:rFonts w:cs="Times New Roman"/>
        </w:rPr>
        <w:t xml:space="preserve"> and an average of </w:t>
      </w:r>
      <w:r w:rsidR="004169D4">
        <w:rPr>
          <w:rFonts w:cs="Times New Roman"/>
        </w:rPr>
        <w:t>four</w:t>
      </w:r>
      <w:r w:rsidR="00F575EB">
        <w:rPr>
          <w:rFonts w:cs="Times New Roman"/>
        </w:rPr>
        <w:t xml:space="preserve"> </w:t>
      </w:r>
      <w:r w:rsidR="004169D4">
        <w:rPr>
          <w:rFonts w:cs="Times New Roman"/>
        </w:rPr>
        <w:t>(</w:t>
      </w:r>
      <w:r w:rsidR="00DB59AE">
        <w:rPr>
          <w:rFonts w:cs="Times New Roman"/>
        </w:rPr>
        <w:t>4</w:t>
      </w:r>
      <w:r w:rsidR="004169D4">
        <w:rPr>
          <w:rFonts w:cs="Times New Roman"/>
        </w:rPr>
        <w:t>)</w:t>
      </w:r>
      <w:r w:rsidRPr="71795E2E" w:rsidR="009908FF">
        <w:rPr>
          <w:rFonts w:cs="Times New Roman"/>
        </w:rPr>
        <w:t xml:space="preserve"> States each year </w:t>
      </w:r>
      <w:r w:rsidRPr="71795E2E" w:rsidR="00590581">
        <w:rPr>
          <w:rFonts w:cs="Times New Roman"/>
        </w:rPr>
        <w:t xml:space="preserve">for the next three (3) years </w:t>
      </w:r>
      <w:r w:rsidRPr="71795E2E" w:rsidR="009908FF">
        <w:rPr>
          <w:rFonts w:cs="Times New Roman"/>
        </w:rPr>
        <w:t>under maint</w:t>
      </w:r>
      <w:r w:rsidRPr="71795E2E" w:rsidR="00363A50">
        <w:rPr>
          <w:rFonts w:cs="Times New Roman"/>
        </w:rPr>
        <w:t xml:space="preserve">enance. </w:t>
      </w:r>
      <w:r w:rsidRPr="71795E2E" w:rsidR="005A6C27">
        <w:rPr>
          <w:rFonts w:cs="Times New Roman"/>
        </w:rPr>
        <w:t xml:space="preserve">Therefore, </w:t>
      </w:r>
      <w:r w:rsidRPr="71795E2E" w:rsidR="00096D6A">
        <w:rPr>
          <w:rFonts w:cs="Times New Roman"/>
        </w:rPr>
        <w:t>in addition to</w:t>
      </w:r>
      <w:r w:rsidRPr="71795E2E" w:rsidR="00877B99">
        <w:rPr>
          <w:rFonts w:cs="Times New Roman"/>
        </w:rPr>
        <w:t xml:space="preserve"> initial setup cost</w:t>
      </w:r>
      <w:r w:rsidRPr="71795E2E" w:rsidR="00096D6A">
        <w:rPr>
          <w:rFonts w:cs="Times New Roman"/>
        </w:rPr>
        <w:t>s</w:t>
      </w:r>
      <w:r w:rsidRPr="71795E2E" w:rsidR="00877B99">
        <w:rPr>
          <w:rFonts w:cs="Times New Roman"/>
        </w:rPr>
        <w:t xml:space="preserve"> of $1,082,160, </w:t>
      </w:r>
      <w:r w:rsidRPr="71795E2E" w:rsidR="005A6C27">
        <w:rPr>
          <w:rFonts w:cs="Times New Roman"/>
        </w:rPr>
        <w:t xml:space="preserve">the </w:t>
      </w:r>
      <w:r w:rsidRPr="71795E2E" w:rsidR="00877B99">
        <w:rPr>
          <w:rFonts w:cs="Times New Roman"/>
        </w:rPr>
        <w:t xml:space="preserve">annual </w:t>
      </w:r>
      <w:r w:rsidRPr="71795E2E" w:rsidR="005A6C27">
        <w:rPr>
          <w:rFonts w:cs="Times New Roman"/>
        </w:rPr>
        <w:t xml:space="preserve">total contract cost for the </w:t>
      </w:r>
      <w:r w:rsidRPr="71795E2E" w:rsidR="00096D6A">
        <w:rPr>
          <w:rFonts w:cs="Times New Roman"/>
        </w:rPr>
        <w:t>F</w:t>
      </w:r>
      <w:r w:rsidRPr="71795E2E" w:rsidR="005A6C27">
        <w:rPr>
          <w:rFonts w:cs="Times New Roman"/>
        </w:rPr>
        <w:t xml:space="preserve">ederal government </w:t>
      </w:r>
      <w:r w:rsidRPr="71795E2E" w:rsidR="00F52E47">
        <w:rPr>
          <w:rFonts w:cs="Times New Roman"/>
        </w:rPr>
        <w:t xml:space="preserve">to implement and maintain </w:t>
      </w:r>
      <w:r w:rsidRPr="71795E2E" w:rsidR="003431DD">
        <w:rPr>
          <w:rFonts w:cs="Times New Roman"/>
        </w:rPr>
        <w:t>SEDC</w:t>
      </w:r>
      <w:r w:rsidRPr="71795E2E" w:rsidR="00F52E47">
        <w:rPr>
          <w:rFonts w:cs="Times New Roman"/>
        </w:rPr>
        <w:t xml:space="preserve"> EDT </w:t>
      </w:r>
      <w:r w:rsidRPr="71795E2E" w:rsidR="005A6C27">
        <w:rPr>
          <w:rFonts w:cs="Times New Roman"/>
        </w:rPr>
        <w:t xml:space="preserve">is estimated to be </w:t>
      </w:r>
      <w:r w:rsidRPr="71795E2E" w:rsidR="00F52E47">
        <w:rPr>
          <w:rFonts w:cs="Times New Roman"/>
        </w:rPr>
        <w:t>$</w:t>
      </w:r>
      <w:r w:rsidR="00761526">
        <w:rPr>
          <w:rFonts w:cs="Times New Roman"/>
        </w:rPr>
        <w:t>617,617</w:t>
      </w:r>
      <w:r w:rsidRPr="71795E2E" w:rsidR="00F52E47">
        <w:rPr>
          <w:rFonts w:cs="Times New Roman"/>
        </w:rPr>
        <w:t xml:space="preserve"> </w:t>
      </w:r>
      <w:r w:rsidR="00F0292F">
        <w:rPr>
          <w:rFonts w:cs="Times New Roman"/>
        </w:rPr>
        <w:t>(</w:t>
      </w:r>
      <w:r w:rsidRPr="71795E2E" w:rsidR="00F52E47">
        <w:rPr>
          <w:rFonts w:cs="Times New Roman"/>
        </w:rPr>
        <w:t>(</w:t>
      </w:r>
      <w:r w:rsidR="009E0066">
        <w:rPr>
          <w:rFonts w:cs="Times New Roman"/>
        </w:rPr>
        <w:t>7</w:t>
      </w:r>
      <w:r w:rsidRPr="71795E2E" w:rsidR="00F52E47">
        <w:rPr>
          <w:rFonts w:cs="Times New Roman"/>
        </w:rPr>
        <w:t xml:space="preserve"> ×</w:t>
      </w:r>
      <w:r w:rsidRPr="71795E2E" w:rsidR="00843C44">
        <w:rPr>
          <w:rFonts w:cs="Times New Roman"/>
        </w:rPr>
        <w:t xml:space="preserve"> $74,815</w:t>
      </w:r>
      <w:r w:rsidR="00F0292F">
        <w:rPr>
          <w:rFonts w:cs="Times New Roman"/>
        </w:rPr>
        <w:t>)</w:t>
      </w:r>
      <w:r w:rsidRPr="71795E2E" w:rsidR="00843C44">
        <w:rPr>
          <w:rFonts w:cs="Times New Roman"/>
        </w:rPr>
        <w:t xml:space="preserve"> + </w:t>
      </w:r>
      <w:r w:rsidR="00F0292F">
        <w:rPr>
          <w:rFonts w:cs="Times New Roman"/>
        </w:rPr>
        <w:t>(</w:t>
      </w:r>
      <w:r w:rsidR="009E0066">
        <w:rPr>
          <w:rFonts w:cs="Times New Roman"/>
        </w:rPr>
        <w:t>4</w:t>
      </w:r>
      <w:r w:rsidRPr="71795E2E" w:rsidR="00843C44">
        <w:rPr>
          <w:rFonts w:cs="Times New Roman"/>
        </w:rPr>
        <w:t xml:space="preserve"> × $23,477)</w:t>
      </w:r>
      <w:r w:rsidR="00F0292F">
        <w:rPr>
          <w:rFonts w:cs="Times New Roman"/>
        </w:rPr>
        <w:t>)</w:t>
      </w:r>
      <w:r w:rsidRPr="71795E2E" w:rsidR="005A6C27">
        <w:rPr>
          <w:rFonts w:cs="Times New Roman"/>
        </w:rPr>
        <w:t>.</w:t>
      </w:r>
      <w:r w:rsidR="005A6C27">
        <w:rPr>
          <w:rStyle w:val="CommentReference"/>
          <w:rFonts w:asciiTheme="minorHAnsi" w:hAnsiTheme="minorHAnsi"/>
        </w:rPr>
        <w:t xml:space="preserve">  </w:t>
      </w:r>
      <w:r w:rsidRPr="71795E2E" w:rsidR="005A6C27">
        <w:rPr>
          <w:rFonts w:cs="Times New Roman"/>
        </w:rPr>
        <w:t xml:space="preserve">Accordingly, NHTSA estimates the total annual </w:t>
      </w:r>
      <w:r w:rsidRPr="71795E2E" w:rsidR="0099391C">
        <w:rPr>
          <w:rFonts w:cs="Times New Roman"/>
        </w:rPr>
        <w:t xml:space="preserve">contracting </w:t>
      </w:r>
      <w:r w:rsidRPr="71795E2E" w:rsidR="005A6C27">
        <w:rPr>
          <w:rFonts w:cs="Times New Roman"/>
        </w:rPr>
        <w:t xml:space="preserve">cost to the Federal government for </w:t>
      </w:r>
      <w:r w:rsidRPr="71795E2E" w:rsidR="003431DD">
        <w:rPr>
          <w:rFonts w:cs="Times New Roman"/>
        </w:rPr>
        <w:t>SEDC</w:t>
      </w:r>
      <w:r w:rsidRPr="71795E2E" w:rsidR="0099391C">
        <w:rPr>
          <w:rFonts w:cs="Times New Roman"/>
        </w:rPr>
        <w:t xml:space="preserve"> </w:t>
      </w:r>
      <w:r w:rsidRPr="71795E2E" w:rsidR="005A6C27">
        <w:rPr>
          <w:rFonts w:cs="Times New Roman"/>
        </w:rPr>
        <w:t xml:space="preserve">EDT to be </w:t>
      </w:r>
      <w:r w:rsidRPr="71795E2E" w:rsidR="00D71A51">
        <w:rPr>
          <w:rFonts w:cs="Times New Roman"/>
        </w:rPr>
        <w:t>$</w:t>
      </w:r>
      <w:r w:rsidR="00842F67">
        <w:rPr>
          <w:rFonts w:cs="Times New Roman"/>
        </w:rPr>
        <w:t>1,699,</w:t>
      </w:r>
      <w:r w:rsidR="0092388B">
        <w:rPr>
          <w:rFonts w:cs="Times New Roman"/>
        </w:rPr>
        <w:t>777</w:t>
      </w:r>
      <w:r w:rsidRPr="71795E2E" w:rsidR="005A6C27">
        <w:rPr>
          <w:rFonts w:cs="Times New Roman"/>
        </w:rPr>
        <w:t xml:space="preserve"> </w:t>
      </w:r>
      <w:r w:rsidRPr="71795E2E" w:rsidR="0035054C">
        <w:rPr>
          <w:rFonts w:cs="Times New Roman"/>
        </w:rPr>
        <w:t>(</w:t>
      </w:r>
      <w:r w:rsidRPr="71795E2E" w:rsidR="00D71A51">
        <w:rPr>
          <w:rFonts w:cs="Times New Roman"/>
        </w:rPr>
        <w:t xml:space="preserve">$1,082,160 </w:t>
      </w:r>
      <w:r w:rsidRPr="71795E2E" w:rsidR="005A6C27">
        <w:rPr>
          <w:rFonts w:cs="Times New Roman"/>
        </w:rPr>
        <w:t xml:space="preserve">+ </w:t>
      </w:r>
      <w:r w:rsidRPr="71795E2E" w:rsidR="00D71A51">
        <w:rPr>
          <w:rFonts w:cs="Times New Roman"/>
        </w:rPr>
        <w:t>$</w:t>
      </w:r>
      <w:r w:rsidR="00842F67">
        <w:rPr>
          <w:rFonts w:cs="Times New Roman"/>
        </w:rPr>
        <w:t>617,617</w:t>
      </w:r>
      <w:r w:rsidRPr="71795E2E" w:rsidR="005A6C27">
        <w:rPr>
          <w:rFonts w:cs="Times New Roman"/>
        </w:rPr>
        <w:t>).</w:t>
      </w:r>
      <w:r w:rsidRPr="71795E2E" w:rsidR="00F75F0F">
        <w:rPr>
          <w:rFonts w:cs="Times New Roman"/>
        </w:rPr>
        <w:t xml:space="preserve"> The total cost for </w:t>
      </w:r>
      <w:r w:rsidRPr="71795E2E" w:rsidR="00096D6A">
        <w:rPr>
          <w:rFonts w:cs="Times New Roman"/>
        </w:rPr>
        <w:t>F</w:t>
      </w:r>
      <w:r w:rsidRPr="71795E2E" w:rsidR="00F75F0F">
        <w:rPr>
          <w:rFonts w:cs="Times New Roman"/>
        </w:rPr>
        <w:t xml:space="preserve">ederal government including federal employee and IT contract is </w:t>
      </w:r>
      <w:r w:rsidRPr="71795E2E" w:rsidR="006A26FE">
        <w:rPr>
          <w:rFonts w:cs="Times New Roman"/>
        </w:rPr>
        <w:t>$2,</w:t>
      </w:r>
      <w:r w:rsidR="00271045">
        <w:rPr>
          <w:rFonts w:cs="Times New Roman"/>
        </w:rPr>
        <w:t>742,23</w:t>
      </w:r>
      <w:r w:rsidR="00583752">
        <w:rPr>
          <w:rFonts w:cs="Times New Roman"/>
        </w:rPr>
        <w:t>4</w:t>
      </w:r>
      <w:r w:rsidRPr="71795E2E" w:rsidR="006A26FE">
        <w:rPr>
          <w:rFonts w:cs="Times New Roman"/>
        </w:rPr>
        <w:t xml:space="preserve"> ($</w:t>
      </w:r>
      <w:r w:rsidR="009A69B1">
        <w:rPr>
          <w:rFonts w:cs="Times New Roman"/>
        </w:rPr>
        <w:t>1,042,457</w:t>
      </w:r>
      <w:r w:rsidRPr="71795E2E" w:rsidR="006A26FE">
        <w:rPr>
          <w:rFonts w:cs="Times New Roman"/>
        </w:rPr>
        <w:t xml:space="preserve"> + </w:t>
      </w:r>
      <w:r w:rsidRPr="71795E2E" w:rsidR="0035054C">
        <w:rPr>
          <w:rFonts w:cs="Times New Roman"/>
        </w:rPr>
        <w:t>$</w:t>
      </w:r>
      <w:r w:rsidR="00F6107D">
        <w:rPr>
          <w:rFonts w:cs="Times New Roman"/>
        </w:rPr>
        <w:t>1</w:t>
      </w:r>
      <w:r w:rsidR="003C0D61">
        <w:rPr>
          <w:rFonts w:cs="Times New Roman"/>
        </w:rPr>
        <w:t>,699,777</w:t>
      </w:r>
      <w:r w:rsidRPr="71795E2E" w:rsidR="006A26FE">
        <w:rPr>
          <w:rFonts w:cs="Times New Roman"/>
        </w:rPr>
        <w:t xml:space="preserve">). </w:t>
      </w:r>
    </w:p>
    <w:p w:rsidR="00CB055C" w:rsidRPr="00FF4782" w:rsidP="00CC0168" w14:paraId="12FA9204" w14:textId="401D7BE8">
      <w:pPr>
        <w:tabs>
          <w:tab w:val="left" w:pos="-720"/>
          <w:tab w:val="left" w:pos="540"/>
          <w:tab w:val="left" w:pos="2880"/>
        </w:tabs>
        <w:ind w:left="720"/>
        <w:rPr>
          <w:rFonts w:cs="Times New Roman"/>
          <w:szCs w:val="24"/>
          <w:vertAlign w:val="subscript"/>
        </w:rPr>
      </w:pPr>
      <w:r>
        <w:rPr>
          <w:rFonts w:cs="Times New Roman"/>
          <w:szCs w:val="24"/>
        </w:rPr>
        <w:t xml:space="preserve">The total annual Federal cost for both SDS and EDT is estimated to be </w:t>
      </w:r>
      <w:r w:rsidRPr="001A2CD2" w:rsidR="001A2CD2">
        <w:rPr>
          <w:rFonts w:cs="Times New Roman"/>
          <w:szCs w:val="24"/>
        </w:rPr>
        <w:t>$4,</w:t>
      </w:r>
      <w:r w:rsidR="00284517">
        <w:rPr>
          <w:rFonts w:cs="Times New Roman"/>
          <w:szCs w:val="24"/>
        </w:rPr>
        <w:t>473,125</w:t>
      </w:r>
      <w:r w:rsidRPr="001840E9" w:rsidR="001840E9">
        <w:rPr>
          <w:rFonts w:cs="Times New Roman"/>
          <w:szCs w:val="24"/>
        </w:rPr>
        <w:t>.</w:t>
      </w:r>
      <w:r w:rsidR="001840E9">
        <w:rPr>
          <w:rFonts w:cs="Times New Roman"/>
          <w:szCs w:val="24"/>
        </w:rPr>
        <w:t xml:space="preserve"> (</w:t>
      </w:r>
      <w:r w:rsidRPr="001840E9" w:rsidR="001840E9">
        <w:rPr>
          <w:rFonts w:cs="Times New Roman"/>
          <w:szCs w:val="24"/>
        </w:rPr>
        <w:t>$1,</w:t>
      </w:r>
      <w:r w:rsidR="00E42949">
        <w:rPr>
          <w:rFonts w:cs="Times New Roman"/>
          <w:szCs w:val="24"/>
        </w:rPr>
        <w:t>519,</w:t>
      </w:r>
      <w:r w:rsidR="000577AD">
        <w:rPr>
          <w:rFonts w:cs="Times New Roman"/>
          <w:szCs w:val="24"/>
        </w:rPr>
        <w:t>920</w:t>
      </w:r>
      <w:r w:rsidR="001840E9">
        <w:rPr>
          <w:rFonts w:cs="Times New Roman"/>
          <w:szCs w:val="24"/>
        </w:rPr>
        <w:t xml:space="preserve"> </w:t>
      </w:r>
      <w:r w:rsidR="002F11C5">
        <w:rPr>
          <w:rFonts w:cs="Times New Roman"/>
          <w:szCs w:val="24"/>
        </w:rPr>
        <w:t xml:space="preserve">for SDS </w:t>
      </w:r>
      <w:r w:rsidR="001840E9">
        <w:rPr>
          <w:rFonts w:cs="Times New Roman"/>
          <w:szCs w:val="24"/>
        </w:rPr>
        <w:t xml:space="preserve">+ </w:t>
      </w:r>
      <w:r w:rsidRPr="002F11C5" w:rsidR="002F11C5">
        <w:rPr>
          <w:rFonts w:cs="Times New Roman"/>
          <w:szCs w:val="24"/>
        </w:rPr>
        <w:t>$</w:t>
      </w:r>
      <w:r w:rsidR="0020690E">
        <w:rPr>
          <w:rFonts w:cs="Times New Roman"/>
          <w:szCs w:val="24"/>
        </w:rPr>
        <w:t>210,971</w:t>
      </w:r>
      <w:r w:rsidR="002F11C5">
        <w:rPr>
          <w:rFonts w:cs="Times New Roman"/>
          <w:szCs w:val="24"/>
        </w:rPr>
        <w:t xml:space="preserve"> for non-</w:t>
      </w:r>
      <w:r w:rsidR="003431DD">
        <w:rPr>
          <w:rFonts w:cs="Times New Roman"/>
          <w:szCs w:val="24"/>
        </w:rPr>
        <w:t>SEDC</w:t>
      </w:r>
      <w:r w:rsidR="002F11C5">
        <w:rPr>
          <w:rFonts w:cs="Times New Roman"/>
          <w:szCs w:val="24"/>
        </w:rPr>
        <w:t xml:space="preserve"> </w:t>
      </w:r>
      <w:r w:rsidR="007519CA">
        <w:rPr>
          <w:rFonts w:cs="Times New Roman"/>
          <w:szCs w:val="24"/>
        </w:rPr>
        <w:t>+</w:t>
      </w:r>
      <w:r w:rsidR="002F11C5">
        <w:rPr>
          <w:rFonts w:cs="Times New Roman"/>
          <w:szCs w:val="24"/>
        </w:rPr>
        <w:t xml:space="preserve"> </w:t>
      </w:r>
      <w:r w:rsidRPr="002F11C5" w:rsidR="002F11C5">
        <w:rPr>
          <w:rFonts w:cs="Times New Roman"/>
          <w:szCs w:val="24"/>
        </w:rPr>
        <w:t>$</w:t>
      </w:r>
      <w:r w:rsidRPr="002F11C5" w:rsidR="002C46C5">
        <w:rPr>
          <w:rFonts w:cs="Times New Roman"/>
          <w:szCs w:val="24"/>
        </w:rPr>
        <w:t>2,</w:t>
      </w:r>
      <w:r w:rsidR="0020690E">
        <w:rPr>
          <w:rFonts w:cs="Times New Roman"/>
          <w:szCs w:val="24"/>
        </w:rPr>
        <w:t>742,23</w:t>
      </w:r>
      <w:r w:rsidR="00583752">
        <w:rPr>
          <w:rFonts w:cs="Times New Roman"/>
          <w:szCs w:val="24"/>
        </w:rPr>
        <w:t>4</w:t>
      </w:r>
      <w:r w:rsidRPr="002F11C5" w:rsidR="002C46C5">
        <w:rPr>
          <w:rFonts w:cs="Times New Roman"/>
          <w:szCs w:val="24"/>
        </w:rPr>
        <w:t xml:space="preserve"> </w:t>
      </w:r>
      <w:r w:rsidR="002C46C5">
        <w:rPr>
          <w:rFonts w:cs="Times New Roman"/>
          <w:szCs w:val="24"/>
        </w:rPr>
        <w:t>for</w:t>
      </w:r>
      <w:r w:rsidR="007519CA">
        <w:rPr>
          <w:rFonts w:cs="Times New Roman"/>
          <w:szCs w:val="24"/>
        </w:rPr>
        <w:t xml:space="preserve"> </w:t>
      </w:r>
      <w:r w:rsidR="003431DD">
        <w:rPr>
          <w:rFonts w:cs="Times New Roman"/>
          <w:szCs w:val="24"/>
        </w:rPr>
        <w:t>SEDC</w:t>
      </w:r>
      <w:r w:rsidR="001840E9">
        <w:rPr>
          <w:rFonts w:cs="Times New Roman"/>
          <w:szCs w:val="24"/>
        </w:rPr>
        <w:t xml:space="preserve">). </w:t>
      </w:r>
    </w:p>
    <w:p w:rsidR="00DF3DC9" w:rsidRPr="00E9530E" w:rsidP="00D109CC" w14:paraId="0DE9859F" w14:textId="77777777">
      <w:pPr>
        <w:pStyle w:val="Heading2"/>
      </w:pPr>
      <w:bookmarkStart w:id="39" w:name="_Hlk63087643"/>
      <w:bookmarkStart w:id="40" w:name="_Hlk51332149"/>
      <w:r w:rsidRPr="00E9530E">
        <w:t xml:space="preserve">Explain the reasons for any program changes or adjustments reported on the burden worksheet. </w:t>
      </w:r>
      <w:r w:rsidRPr="006A440E">
        <w:t>If this is a new collection, the program change will be entire burden cost and number of burden hours reported in response to questions 12 and 13.</w:t>
      </w:r>
      <w:r w:rsidRPr="00E9530E">
        <w:t xml:space="preserve"> If this is a renewal or reinstatement, the change is the difference between the new burden estimates and the burden estimates from the last OMB approval</w:t>
      </w:r>
      <w:r w:rsidR="00F7768F">
        <w:t xml:space="preserve">. </w:t>
      </w:r>
      <w:bookmarkEnd w:id="39"/>
      <w:r w:rsidRPr="00E9530E">
        <w:t xml:space="preserve"> </w:t>
      </w:r>
    </w:p>
    <w:bookmarkEnd w:id="40"/>
    <w:p w:rsidR="00103129" w:rsidRPr="00DF3DC9" w:rsidP="005E5E46" w14:paraId="22AED4D7" w14:textId="6DD1C3E7">
      <w:pPr>
        <w:pStyle w:val="CommentText"/>
        <w:ind w:left="720"/>
        <w:rPr>
          <w:rFonts w:cs="Times New Roman"/>
        </w:rPr>
      </w:pPr>
      <w:r w:rsidRPr="004A6D9D">
        <w:rPr>
          <w:rFonts w:ascii="Times New Roman" w:hAnsi="Times New Roman"/>
          <w:sz w:val="24"/>
          <w:szCs w:val="22"/>
        </w:rPr>
        <w:t xml:space="preserve">The annual burden </w:t>
      </w:r>
      <w:r>
        <w:rPr>
          <w:rFonts w:ascii="Times New Roman" w:hAnsi="Times New Roman"/>
          <w:sz w:val="24"/>
          <w:szCs w:val="22"/>
        </w:rPr>
        <w:t>for this collection is 312,663 hours and $</w:t>
      </w:r>
      <w:r w:rsidRPr="5FA3B962" w:rsidR="00377E3E">
        <w:rPr>
          <w:rFonts w:ascii="Times New Roman" w:hAnsi="Times New Roman"/>
          <w:sz w:val="24"/>
          <w:szCs w:val="24"/>
        </w:rPr>
        <w:t>24,860,121</w:t>
      </w:r>
      <w:r>
        <w:rPr>
          <w:rFonts w:ascii="Times New Roman" w:hAnsi="Times New Roman"/>
          <w:sz w:val="24"/>
          <w:szCs w:val="22"/>
        </w:rPr>
        <w:t>. This is an increase of 311,980 hours and $</w:t>
      </w:r>
      <w:r w:rsidR="00377E3E">
        <w:rPr>
          <w:rFonts w:ascii="Times New Roman" w:hAnsi="Times New Roman"/>
          <w:sz w:val="24"/>
          <w:szCs w:val="22"/>
        </w:rPr>
        <w:t>24,80</w:t>
      </w:r>
      <w:r w:rsidR="00A4112E">
        <w:rPr>
          <w:rFonts w:ascii="Times New Roman" w:hAnsi="Times New Roman"/>
          <w:sz w:val="24"/>
          <w:szCs w:val="22"/>
        </w:rPr>
        <w:t>4</w:t>
      </w:r>
      <w:r w:rsidR="00377E3E">
        <w:rPr>
          <w:rFonts w:ascii="Times New Roman" w:hAnsi="Times New Roman"/>
          <w:sz w:val="24"/>
          <w:szCs w:val="22"/>
        </w:rPr>
        <w:t>,</w:t>
      </w:r>
      <w:r w:rsidR="00A4112E">
        <w:rPr>
          <w:rFonts w:ascii="Times New Roman" w:hAnsi="Times New Roman"/>
          <w:sz w:val="24"/>
          <w:szCs w:val="22"/>
        </w:rPr>
        <w:t>901</w:t>
      </w:r>
      <w:r>
        <w:rPr>
          <w:rFonts w:ascii="Times New Roman" w:hAnsi="Times New Roman"/>
          <w:sz w:val="24"/>
          <w:szCs w:val="22"/>
        </w:rPr>
        <w:t xml:space="preserve"> from when the information collection was last approved (from 683 hours and $</w:t>
      </w:r>
      <w:r w:rsidR="000D6FC0">
        <w:rPr>
          <w:rFonts w:ascii="Times New Roman" w:hAnsi="Times New Roman"/>
          <w:sz w:val="24"/>
          <w:szCs w:val="22"/>
        </w:rPr>
        <w:t>0</w:t>
      </w:r>
      <w:r>
        <w:rPr>
          <w:rFonts w:ascii="Times New Roman" w:hAnsi="Times New Roman"/>
          <w:sz w:val="24"/>
          <w:szCs w:val="22"/>
        </w:rPr>
        <w:t>).</w:t>
      </w:r>
      <w:r w:rsidRPr="004A6D9D" w:rsidR="005E5E46">
        <w:rPr>
          <w:rFonts w:ascii="Times New Roman" w:hAnsi="Times New Roman"/>
          <w:sz w:val="24"/>
          <w:szCs w:val="22"/>
        </w:rPr>
        <w:t xml:space="preserve"> The adjustment in burden hours is due to the </w:t>
      </w:r>
      <w:r w:rsidR="005E5E46">
        <w:rPr>
          <w:rFonts w:ascii="Times New Roman" w:hAnsi="Times New Roman"/>
          <w:sz w:val="24"/>
          <w:szCs w:val="22"/>
        </w:rPr>
        <w:t xml:space="preserve">new </w:t>
      </w:r>
      <w:r w:rsidR="005E5E46">
        <w:rPr>
          <w:rFonts w:ascii="Times New Roman" w:hAnsi="Times New Roman"/>
          <w:sz w:val="24"/>
          <w:szCs w:val="22"/>
        </w:rPr>
        <w:t>SEDC grant program.  SEDC grants increase the number of states participating and will increase the burden on the states</w:t>
      </w:r>
      <w:r w:rsidR="00416228">
        <w:rPr>
          <w:rFonts w:ascii="Times New Roman" w:hAnsi="Times New Roman"/>
          <w:sz w:val="24"/>
          <w:szCs w:val="22"/>
        </w:rPr>
        <w:t xml:space="preserve"> for the implementation and maintenance of the EDT protocol</w:t>
      </w:r>
      <w:r w:rsidR="005E5E46">
        <w:rPr>
          <w:rFonts w:ascii="Times New Roman" w:hAnsi="Times New Roman"/>
          <w:sz w:val="24"/>
          <w:szCs w:val="22"/>
        </w:rPr>
        <w:t xml:space="preserve"> because the SEDC States will be required to </w:t>
      </w:r>
      <w:r w:rsidRPr="004A6D9D" w:rsidR="005E5E46">
        <w:rPr>
          <w:rFonts w:ascii="Times New Roman" w:hAnsi="Times New Roman"/>
          <w:sz w:val="24"/>
          <w:szCs w:val="22"/>
        </w:rPr>
        <w:t xml:space="preserve">increase </w:t>
      </w:r>
      <w:r w:rsidR="005E5E46">
        <w:rPr>
          <w:rFonts w:ascii="Times New Roman" w:hAnsi="Times New Roman"/>
          <w:sz w:val="24"/>
          <w:szCs w:val="22"/>
        </w:rPr>
        <w:t xml:space="preserve">their alignment to MMUCC and transmit standardized data.  </w:t>
      </w:r>
    </w:p>
    <w:p w:rsidR="001642BC" w:rsidRPr="00E9530E" w:rsidP="00D109CC" w14:paraId="57F66391" w14:textId="77777777">
      <w:pPr>
        <w:pStyle w:val="Heading2"/>
      </w:pPr>
      <w:bookmarkStart w:id="41" w:name="_Hlk51332176"/>
      <w:r w:rsidRPr="00E9530E">
        <w:t xml:space="preserve">For </w:t>
      </w:r>
      <w:bookmarkStart w:id="42" w:name="_Hlk63087690"/>
      <w:r w:rsidRPr="00E9530E">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41"/>
    <w:bookmarkEnd w:id="42"/>
    <w:p w:rsidR="002103A5" w:rsidP="00F15550" w14:paraId="22569C00" w14:textId="77777777">
      <w:pPr>
        <w:autoSpaceDE w:val="0"/>
        <w:autoSpaceDN w:val="0"/>
        <w:adjustRightInd w:val="0"/>
        <w:spacing w:after="0" w:line="240" w:lineRule="auto"/>
        <w:ind w:left="720"/>
        <w:contextualSpacing/>
        <w:rPr>
          <w:rFonts w:cs="Times New Roman"/>
          <w:szCs w:val="24"/>
        </w:rPr>
      </w:pPr>
    </w:p>
    <w:p w:rsidR="00266355" w:rsidP="00D92AB5" w14:paraId="6FAB7C2C" w14:textId="5D5C9E79">
      <w:pPr>
        <w:autoSpaceDE w:val="0"/>
        <w:autoSpaceDN w:val="0"/>
        <w:adjustRightInd w:val="0"/>
        <w:spacing w:after="0" w:line="240" w:lineRule="auto"/>
        <w:ind w:left="720"/>
        <w:contextualSpacing/>
        <w:rPr>
          <w:rFonts w:cs="Times New Roman"/>
        </w:rPr>
      </w:pPr>
      <w:r w:rsidRPr="54F59D01">
        <w:rPr>
          <w:rFonts w:cs="Times New Roman"/>
        </w:rPr>
        <w:t xml:space="preserve">SDT data </w:t>
      </w:r>
      <w:r w:rsidRPr="54F59D01" w:rsidR="00D8016F">
        <w:rPr>
          <w:rFonts w:cs="Times New Roman"/>
        </w:rPr>
        <w:t>received through SDS and non-</w:t>
      </w:r>
      <w:r w:rsidRPr="54F59D01" w:rsidR="003431DD">
        <w:rPr>
          <w:rFonts w:cs="Times New Roman"/>
        </w:rPr>
        <w:t>SEDC</w:t>
      </w:r>
      <w:r w:rsidRPr="54F59D01" w:rsidR="00D8016F">
        <w:rPr>
          <w:rFonts w:cs="Times New Roman"/>
        </w:rPr>
        <w:t xml:space="preserve"> </w:t>
      </w:r>
      <w:r w:rsidRPr="54F59D01" w:rsidR="0096541B">
        <w:rPr>
          <w:rFonts w:cs="Times New Roman"/>
        </w:rPr>
        <w:t xml:space="preserve">States </w:t>
      </w:r>
      <w:r w:rsidRPr="54F59D01" w:rsidR="00D8016F">
        <w:rPr>
          <w:rFonts w:cs="Times New Roman"/>
        </w:rPr>
        <w:t xml:space="preserve">using EDT protocol </w:t>
      </w:r>
      <w:r w:rsidRPr="54F59D01">
        <w:rPr>
          <w:rFonts w:cs="Times New Roman"/>
        </w:rPr>
        <w:t>is not directly published or made available to analyst</w:t>
      </w:r>
      <w:r w:rsidRPr="54F59D01" w:rsidR="00DE4BFA">
        <w:rPr>
          <w:rFonts w:cs="Times New Roman"/>
        </w:rPr>
        <w:t>s</w:t>
      </w:r>
      <w:r w:rsidRPr="54F59D01">
        <w:rPr>
          <w:rFonts w:cs="Times New Roman"/>
        </w:rPr>
        <w:t xml:space="preserve"> outside of DOT because </w:t>
      </w:r>
      <w:r w:rsidRPr="54F59D01" w:rsidR="00DE4BFA">
        <w:rPr>
          <w:rFonts w:cs="Times New Roman"/>
        </w:rPr>
        <w:t xml:space="preserve">of </w:t>
      </w:r>
      <w:r w:rsidRPr="54F59D01" w:rsidR="00CE5EAD">
        <w:rPr>
          <w:rFonts w:cs="Times New Roman"/>
        </w:rPr>
        <w:t xml:space="preserve">current </w:t>
      </w:r>
      <w:r w:rsidRPr="54F59D01" w:rsidR="008B7EDA">
        <w:rPr>
          <w:rFonts w:cs="Times New Roman"/>
        </w:rPr>
        <w:t xml:space="preserve">Memorandum of Understanding.  </w:t>
      </w:r>
      <w:r w:rsidRPr="54F59D01" w:rsidR="00DE4BFA">
        <w:rPr>
          <w:rFonts w:cs="Times New Roman"/>
        </w:rPr>
        <w:t>However,</w:t>
      </w:r>
      <w:r w:rsidRPr="54F59D01">
        <w:rPr>
          <w:rFonts w:cs="Times New Roman"/>
        </w:rPr>
        <w:t xml:space="preserve"> the data collected via the SDT </w:t>
      </w:r>
      <w:r w:rsidRPr="54F59D01" w:rsidR="00F34804">
        <w:rPr>
          <w:rFonts w:cs="Times New Roman"/>
        </w:rPr>
        <w:t xml:space="preserve">EDT protocol </w:t>
      </w:r>
      <w:r w:rsidR="00613476">
        <w:rPr>
          <w:rFonts w:cs="Times New Roman"/>
        </w:rPr>
        <w:t xml:space="preserve">for non-SEDC States </w:t>
      </w:r>
      <w:r w:rsidRPr="54F59D01" w:rsidR="00F34804">
        <w:rPr>
          <w:rFonts w:cs="Times New Roman"/>
        </w:rPr>
        <w:t>is</w:t>
      </w:r>
      <w:r w:rsidRPr="54F59D01">
        <w:rPr>
          <w:rFonts w:cs="Times New Roman"/>
        </w:rPr>
        <w:t xml:space="preserve"> used to pre-populate NHTSA’s FARS, CRSS, and CISS programs</w:t>
      </w:r>
      <w:r w:rsidRPr="54F59D01" w:rsidR="753FA079">
        <w:rPr>
          <w:rFonts w:cs="Times New Roman"/>
        </w:rPr>
        <w:t>,</w:t>
      </w:r>
      <w:r w:rsidRPr="54F59D01">
        <w:rPr>
          <w:rFonts w:cs="Times New Roman"/>
        </w:rPr>
        <w:t xml:space="preserve"> in addition, a sanitized</w:t>
      </w:r>
      <w:r w:rsidRPr="54F59D01" w:rsidR="00096D6A">
        <w:rPr>
          <w:rFonts w:cs="Times New Roman"/>
        </w:rPr>
        <w:t xml:space="preserve"> (</w:t>
      </w:r>
      <w:r w:rsidRPr="54F59D01" w:rsidR="009261DC">
        <w:rPr>
          <w:rFonts w:cs="Times New Roman"/>
        </w:rPr>
        <w:t>i.e.</w:t>
      </w:r>
      <w:r w:rsidRPr="54F59D01" w:rsidR="00EA404F">
        <w:rPr>
          <w:rFonts w:cs="Times New Roman"/>
        </w:rPr>
        <w:t>,</w:t>
      </w:r>
      <w:r w:rsidRPr="54F59D01" w:rsidR="009261DC">
        <w:rPr>
          <w:rFonts w:cs="Times New Roman"/>
        </w:rPr>
        <w:t xml:space="preserve"> PII removed</w:t>
      </w:r>
      <w:r w:rsidRPr="54F59D01" w:rsidR="00096D6A">
        <w:rPr>
          <w:rFonts w:cs="Times New Roman"/>
        </w:rPr>
        <w:t>)</w:t>
      </w:r>
      <w:r w:rsidRPr="54F59D01" w:rsidR="009261DC">
        <w:rPr>
          <w:rFonts w:cs="Times New Roman"/>
        </w:rPr>
        <w:t>,</w:t>
      </w:r>
      <w:r w:rsidRPr="54F59D01">
        <w:rPr>
          <w:rFonts w:cs="Times New Roman"/>
        </w:rPr>
        <w:t xml:space="preserve"> SDT dataset </w:t>
      </w:r>
      <w:r w:rsidRPr="54F59D01" w:rsidR="000339D5">
        <w:rPr>
          <w:rFonts w:cs="Times New Roman"/>
        </w:rPr>
        <w:t>is</w:t>
      </w:r>
      <w:r w:rsidRPr="54F59D01">
        <w:rPr>
          <w:rFonts w:cs="Times New Roman"/>
        </w:rPr>
        <w:t xml:space="preserve"> used by NHTSA and DOT modal partners for analytical </w:t>
      </w:r>
      <w:r w:rsidRPr="54F59D01" w:rsidR="00096D6A">
        <w:rPr>
          <w:rFonts w:cs="Times New Roman"/>
        </w:rPr>
        <w:t>purposes</w:t>
      </w:r>
      <w:r w:rsidRPr="54F59D01">
        <w:rPr>
          <w:rFonts w:cs="Times New Roman"/>
        </w:rPr>
        <w:t>.  The quality-controlled datasets produced by the FARS, CRSS, and CISS programs are publicly released for analytical use to the broader highway safety community</w:t>
      </w:r>
      <w:r w:rsidR="007E49FD">
        <w:rPr>
          <w:rFonts w:cs="Times New Roman"/>
        </w:rPr>
        <w:t xml:space="preserve"> annual</w:t>
      </w:r>
      <w:r w:rsidR="002E5E6A">
        <w:rPr>
          <w:rFonts w:cs="Times New Roman"/>
        </w:rPr>
        <w:t>ly for the previous calendar year</w:t>
      </w:r>
      <w:r w:rsidRPr="54F59D01">
        <w:rPr>
          <w:rFonts w:cs="Times New Roman"/>
        </w:rPr>
        <w:t>.  The FARS, CRSS, and CISS datasets provide the basis for numerous NHTSA and other DOT operating administrations’ publications; behavioral and vehicle safety research; rulemaking; focused analyses; defects investigations; annual departmental and modal target setting; lives saved; regulatory analysis and research; and various data tools like the Fatality and Injury Reporting System Tool (FIRST), the FARS Encyclopedia, the Annual Report portal, the State Traffic Safety Information (STSI) website, the Crash Viewer tool, and others.  The sanitized SDT dataset will be used for ad hoc analyses and to support novel programs at the agency and Departmental levels.  The SDT aggregate</w:t>
      </w:r>
      <w:r w:rsidRPr="54F59D01" w:rsidR="00DE4BFA">
        <w:rPr>
          <w:rFonts w:cs="Times New Roman"/>
        </w:rPr>
        <w:t>d</w:t>
      </w:r>
      <w:r w:rsidRPr="54F59D01">
        <w:rPr>
          <w:rFonts w:cs="Times New Roman"/>
        </w:rPr>
        <w:t xml:space="preserve"> data may also be published in reports where the SDT </w:t>
      </w:r>
      <w:r w:rsidRPr="54F59D01" w:rsidR="00DE4BFA">
        <w:rPr>
          <w:rFonts w:cs="Times New Roman"/>
        </w:rPr>
        <w:t xml:space="preserve">data </w:t>
      </w:r>
      <w:r w:rsidRPr="54F59D01">
        <w:rPr>
          <w:rFonts w:cs="Times New Roman"/>
        </w:rPr>
        <w:t xml:space="preserve">was analyzed.  </w:t>
      </w:r>
    </w:p>
    <w:p w:rsidR="00755716" w:rsidP="00D92AB5" w14:paraId="20C78B76" w14:textId="3F56A751">
      <w:pPr>
        <w:autoSpaceDE w:val="0"/>
        <w:autoSpaceDN w:val="0"/>
        <w:adjustRightInd w:val="0"/>
        <w:spacing w:after="0" w:line="240" w:lineRule="auto"/>
        <w:ind w:left="720"/>
        <w:contextualSpacing/>
        <w:rPr>
          <w:rFonts w:cs="Times New Roman"/>
          <w:szCs w:val="24"/>
        </w:rPr>
      </w:pPr>
    </w:p>
    <w:p w:rsidR="00C2290F" w:rsidRPr="00DF3DC9" w:rsidP="00D92AB5" w14:paraId="7A5DA544" w14:textId="0739A6BD">
      <w:pPr>
        <w:autoSpaceDE w:val="0"/>
        <w:autoSpaceDN w:val="0"/>
        <w:adjustRightInd w:val="0"/>
        <w:spacing w:after="0" w:line="240" w:lineRule="auto"/>
        <w:ind w:left="720"/>
        <w:contextualSpacing/>
        <w:rPr>
          <w:rFonts w:cs="Times New Roman"/>
          <w:szCs w:val="24"/>
        </w:rPr>
      </w:pPr>
      <w:r>
        <w:rPr>
          <w:rFonts w:cs="Times New Roman"/>
          <w:szCs w:val="24"/>
        </w:rPr>
        <w:t xml:space="preserve">As required by BIL, SDT data received from </w:t>
      </w:r>
      <w:r w:rsidR="003431DD">
        <w:rPr>
          <w:rFonts w:cs="Times New Roman"/>
          <w:szCs w:val="24"/>
        </w:rPr>
        <w:t>SEDC</w:t>
      </w:r>
      <w:r>
        <w:rPr>
          <w:rFonts w:cs="Times New Roman"/>
          <w:szCs w:val="24"/>
        </w:rPr>
        <w:t xml:space="preserve"> States using EDT protocol will be published</w:t>
      </w:r>
      <w:r w:rsidR="00243CFE">
        <w:rPr>
          <w:rFonts w:cs="Times New Roman"/>
          <w:szCs w:val="24"/>
        </w:rPr>
        <w:t xml:space="preserve"> after the PII information </w:t>
      </w:r>
      <w:r w:rsidR="00475627">
        <w:rPr>
          <w:rFonts w:cs="Times New Roman"/>
          <w:szCs w:val="24"/>
        </w:rPr>
        <w:t>is removed</w:t>
      </w:r>
      <w:r w:rsidR="00BB4537">
        <w:rPr>
          <w:rFonts w:cs="Times New Roman"/>
          <w:szCs w:val="24"/>
        </w:rPr>
        <w:t>.</w:t>
      </w:r>
    </w:p>
    <w:p w:rsidR="00DF3DC9" w:rsidRPr="000650F6" w:rsidP="00D109CC" w14:paraId="223E01DD" w14:textId="77777777">
      <w:pPr>
        <w:pStyle w:val="Heading2"/>
      </w:pPr>
      <w:bookmarkStart w:id="43" w:name="_Hlk51332202"/>
      <w:r w:rsidRPr="000650F6">
        <w:t>If seeking approval to not display the expiration date for OMB approval of the information collection, explain the reasons that display would be inappropriate.</w:t>
      </w:r>
    </w:p>
    <w:bookmarkEnd w:id="43"/>
    <w:p w:rsidR="00DF3DC9" w:rsidRPr="00DF3DC9" w:rsidP="00DF3DC9" w14:paraId="3FDA4683" w14:textId="77777777">
      <w:pPr>
        <w:autoSpaceDE w:val="0"/>
        <w:autoSpaceDN w:val="0"/>
        <w:adjustRightInd w:val="0"/>
        <w:spacing w:after="0" w:line="240" w:lineRule="auto"/>
        <w:ind w:left="720"/>
        <w:contextualSpacing/>
        <w:rPr>
          <w:rFonts w:cs="Times New Roman"/>
          <w:szCs w:val="24"/>
        </w:rPr>
      </w:pPr>
    </w:p>
    <w:p w:rsidR="00DF3DC9" w:rsidRPr="00DF3DC9" w:rsidP="0093233F" w14:paraId="33CFF784" w14:textId="77777777">
      <w:pPr>
        <w:ind w:left="720"/>
        <w:rPr>
          <w:rFonts w:cs="Times New Roman"/>
          <w:szCs w:val="24"/>
          <w:highlight w:val="yellow"/>
        </w:rPr>
      </w:pPr>
      <w:r>
        <w:t>NHTSA will display the expiration date for OMB approval.</w:t>
      </w:r>
    </w:p>
    <w:p w:rsidR="00DF3DC9" w:rsidRPr="00587D94" w:rsidP="00D109CC" w14:paraId="4C575A52" w14:textId="77777777">
      <w:pPr>
        <w:pStyle w:val="Heading2"/>
      </w:pPr>
      <w:bookmarkStart w:id="44" w:name="_Hlk63087720"/>
      <w:bookmarkStart w:id="45" w:name="_Hlk51332218"/>
      <w:r w:rsidRPr="00D109CC">
        <w:rPr>
          <w:rStyle w:val="Heading2Char"/>
          <w:b/>
        </w:rPr>
        <w:t>Explain each exception to the topics of the certification statement identified in "Certification for Paperwork Reduction Act Submissions." The required certifications can be found at 5 CFR 1320.9.</w:t>
      </w:r>
      <w:bookmarkStart w:id="46" w:name="_Hlk45889134"/>
      <w:r>
        <w:rPr>
          <w:vertAlign w:val="superscript"/>
        </w:rPr>
        <w:footnoteReference w:id="20"/>
      </w:r>
      <w:bookmarkEnd w:id="44"/>
      <w:r w:rsidRPr="00D109CC">
        <w:rPr>
          <w:vertAlign w:val="superscript"/>
        </w:rPr>
        <w:t xml:space="preserve"> </w:t>
      </w:r>
      <w:bookmarkEnd w:id="46"/>
    </w:p>
    <w:bookmarkEnd w:id="45"/>
    <w:p w:rsidR="00934994" w:rsidP="00934994" w14:paraId="4E30CDAF" w14:textId="77777777">
      <w:pPr>
        <w:ind w:left="720"/>
        <w:contextualSpacing/>
        <w:rPr>
          <w:rFonts w:cs="Times New Roman"/>
          <w:szCs w:val="24"/>
        </w:rPr>
      </w:pPr>
    </w:p>
    <w:p w:rsidR="007D1469" w:rsidP="007D1469" w14:paraId="5E2D38AB" w14:textId="127F1D07">
      <w:pPr>
        <w:tabs>
          <w:tab w:val="left" w:pos="-720"/>
          <w:tab w:val="left" w:pos="540"/>
          <w:tab w:val="left" w:pos="2880"/>
        </w:tabs>
        <w:ind w:left="720"/>
      </w:pPr>
      <w:r>
        <w:t xml:space="preserve">There are no exceptions. </w:t>
      </w:r>
      <w:r w:rsidR="00DE4BFA">
        <w:t>The expiration</w:t>
      </w:r>
      <w:r w:rsidR="000E784C">
        <w:t xml:space="preserve"> date </w:t>
      </w:r>
      <w:r w:rsidR="00DE4BFA">
        <w:t xml:space="preserve">for the OMB approval for the SDT information collection will be displayed on the Memoranda of Understanding </w:t>
      </w:r>
      <w:r w:rsidR="00B731AE">
        <w:t>(agreement with participating States)</w:t>
      </w:r>
      <w:r w:rsidR="00D673D9">
        <w:t xml:space="preserve">, </w:t>
      </w:r>
      <w:r w:rsidR="003431DD">
        <w:t>SEDC</w:t>
      </w:r>
      <w:r w:rsidR="00D673D9">
        <w:t xml:space="preserve"> grant award </w:t>
      </w:r>
      <w:r w:rsidR="00EE4075">
        <w:t>document</w:t>
      </w:r>
      <w:r w:rsidR="00B731AE">
        <w:t xml:space="preserve"> or emails sent to the State</w:t>
      </w:r>
      <w:r w:rsidR="00240DDD">
        <w:t>’</w:t>
      </w:r>
      <w:r w:rsidR="00B731AE">
        <w:t xml:space="preserve">s point of contact for the SDT data.  </w:t>
      </w:r>
      <w:r>
        <w:t>As an example, the following statement will be provided on the Memoranda of Understanding for non-SEDC EDT States and SDS States:</w:t>
      </w:r>
    </w:p>
    <w:p w:rsidR="00187E6C" w:rsidP="007D1469" w14:paraId="414FA0DE" w14:textId="1D62E29D">
      <w:pPr>
        <w:tabs>
          <w:tab w:val="left" w:pos="-720"/>
          <w:tab w:val="left" w:pos="540"/>
          <w:tab w:val="left" w:pos="2880"/>
        </w:tabs>
        <w:ind w:left="720"/>
      </w:pPr>
    </w:p>
    <w:p w:rsidR="007D1469" w:rsidRPr="0093587F" w:rsidP="0093587F" w14:paraId="07E3DF9A" w14:textId="4459C1D2">
      <w:pPr>
        <w:pStyle w:val="psection-3"/>
        <w:shd w:val="clear" w:color="auto" w:fill="FFFFFF"/>
        <w:spacing w:before="0" w:beforeAutospacing="0" w:after="150" w:afterAutospacing="0"/>
        <w:ind w:left="720"/>
      </w:pPr>
      <w:r w:rsidRPr="0093587F">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2127-0753.  This information is being collected to identify existing and emerging highway safety trends and assess the effectiveness of motor vehicle safety standards and new and emerging technologies.  We estimate that participation in the State Data Transfer (SDT) will involve approximately 9-</w:t>
      </w:r>
      <w:r w:rsidR="001A0BF6">
        <w:t>33</w:t>
      </w:r>
      <w:r w:rsidRPr="0093587F">
        <w:t xml:space="preserve"> hours per year.  However, your burden is dependent on your level of voluntary participation and how frequently you choose to submit information.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7D1469" w:rsidP="0093233F" w14:paraId="5AB9FB3B" w14:textId="77777777">
      <w:pPr>
        <w:tabs>
          <w:tab w:val="left" w:pos="-720"/>
          <w:tab w:val="left" w:pos="540"/>
          <w:tab w:val="left" w:pos="2880"/>
        </w:tabs>
        <w:ind w:left="720"/>
      </w:pPr>
    </w:p>
    <w:p w:rsidR="00187E6C" w:rsidRPr="00187E6C" w:rsidP="00DF3DC9" w14:paraId="26DB4CE0" w14:textId="77777777">
      <w:pPr>
        <w:autoSpaceDE w:val="0"/>
        <w:autoSpaceDN w:val="0"/>
        <w:adjustRightInd w:val="0"/>
        <w:spacing w:after="0" w:line="240" w:lineRule="auto"/>
        <w:ind w:left="720" w:right="720"/>
        <w:jc w:val="both"/>
        <w:rPr>
          <w:rFonts w:cs="Times New Roman"/>
          <w:b/>
          <w:szCs w:val="24"/>
        </w:rPr>
      </w:pPr>
    </w:p>
    <w:p w:rsidR="00DF3DC9" w:rsidRPr="00DF3DC9" w:rsidP="00DF3DC9" w14:paraId="4620FA40" w14:textId="77777777">
      <w:pPr>
        <w:autoSpaceDE w:val="0"/>
        <w:autoSpaceDN w:val="0"/>
        <w:adjustRightInd w:val="0"/>
        <w:spacing w:after="0" w:line="240" w:lineRule="auto"/>
        <w:rPr>
          <w:rFonts w:cs="Times New Roman"/>
          <w:szCs w:val="24"/>
        </w:rPr>
      </w:pPr>
    </w:p>
    <w:p w:rsidR="00E040CC" w:rsidP="0036332A" w14:paraId="377B5D24" w14:textId="77777777">
      <w:pPr>
        <w:rPr>
          <w:rFonts w:ascii="Verdana" w:hAnsi="Verdana"/>
          <w:color w:val="333333"/>
          <w:shd w:val="clear" w:color="auto" w:fill="FFFFFF"/>
        </w:rPr>
      </w:pPr>
    </w:p>
    <w:p w:rsidR="005955DA" w:rsidRPr="002043DA" w:rsidP="004813F6" w14:paraId="2989467B" w14:textId="48F0C2EA">
      <w:pPr>
        <w:rPr>
          <w:rFonts w:cs="Times New Roman"/>
          <w:szCs w:val="24"/>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Con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2579343"/>
      <w:docPartObj>
        <w:docPartGallery w:val="Page Numbers (Bottom of Page)"/>
        <w:docPartUnique/>
      </w:docPartObj>
    </w:sdtPr>
    <w:sdtEndPr>
      <w:rPr>
        <w:noProof/>
      </w:rPr>
    </w:sdtEndPr>
    <w:sdtContent>
      <w:p w:rsidR="003A46B3" w14:paraId="3512DD0B" w14:textId="129CB5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46B3" w14:paraId="7A0D31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29C9" w:rsidP="00F27C2C" w14:paraId="2FFACA7D" w14:textId="77777777">
      <w:pPr>
        <w:spacing w:after="0" w:line="240" w:lineRule="auto"/>
      </w:pPr>
      <w:r>
        <w:separator/>
      </w:r>
    </w:p>
  </w:footnote>
  <w:footnote w:type="continuationSeparator" w:id="1">
    <w:p w:rsidR="005F29C9" w:rsidP="00F27C2C" w14:paraId="2BCFA56B" w14:textId="77777777">
      <w:pPr>
        <w:spacing w:after="0" w:line="240" w:lineRule="auto"/>
      </w:pPr>
      <w:r>
        <w:continuationSeparator/>
      </w:r>
    </w:p>
  </w:footnote>
  <w:footnote w:type="continuationNotice" w:id="2">
    <w:p w:rsidR="005F29C9" w14:paraId="0AF4EB56" w14:textId="77777777">
      <w:pPr>
        <w:spacing w:after="0" w:line="240" w:lineRule="auto"/>
      </w:pPr>
    </w:p>
  </w:footnote>
  <w:footnote w:id="3">
    <w:p w:rsidR="00CC64C1" w:rsidRPr="0039208F" w:rsidP="00F27C2C" w14:paraId="300E50BC" w14:textId="66EE7D3D">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4">
    <w:p w:rsidR="00CC64C1" w14:paraId="303BFD30" w14:textId="77777777">
      <w:pPr>
        <w:pStyle w:val="FootnoteText"/>
      </w:pPr>
      <w:r>
        <w:rPr>
          <w:rStyle w:val="FootnoteReference"/>
        </w:rPr>
        <w:footnoteRef/>
      </w:r>
      <w:r>
        <w:t xml:space="preserve"> Police Accident Reports are also known as Police Crash Reports (PCRs) in some jurisdictions.</w:t>
      </w:r>
    </w:p>
  </w:footnote>
  <w:footnote w:id="5">
    <w:p w:rsidR="00CC64C1" w:rsidP="00832266" w14:paraId="086CD975" w14:textId="77777777">
      <w:pPr>
        <w:pStyle w:val="FootnoteText"/>
        <w:rPr>
          <w:rFonts w:cs="Times New Roman"/>
        </w:rPr>
      </w:pPr>
      <w:r>
        <w:rPr>
          <w:rStyle w:val="FootnoteReference"/>
        </w:rPr>
        <w:footnoteRef/>
      </w:r>
      <w:r>
        <w:t xml:space="preserve"> Additional details about FARS and how the agency collects this information are available in the supporting statements for the ICR with OMB Control No. 2127-0006.</w:t>
      </w:r>
    </w:p>
  </w:footnote>
  <w:footnote w:id="6">
    <w:p w:rsidR="00CC64C1" w:rsidP="00832266" w14:paraId="52DF07C3" w14:textId="77777777">
      <w:pPr>
        <w:pStyle w:val="FootnoteText"/>
        <w:rPr>
          <w:rFonts w:ascii="Courier" w:hAnsi="Courier"/>
        </w:rPr>
      </w:pPr>
      <w:r>
        <w:rPr>
          <w:rStyle w:val="FootnoteReference"/>
        </w:rPr>
        <w:footnoteRef/>
      </w:r>
      <w:r>
        <w:t xml:space="preserve"> Additional details about CRSS and how the agency collects this information are available in the supporting statements for the ICR with OMB Control No. 2127-0714.</w:t>
      </w:r>
    </w:p>
  </w:footnote>
  <w:footnote w:id="7">
    <w:p w:rsidR="00CC64C1" w:rsidP="00832266" w14:paraId="5139AEC3" w14:textId="77777777">
      <w:pPr>
        <w:pStyle w:val="FootnoteText"/>
      </w:pPr>
      <w:r>
        <w:rPr>
          <w:rStyle w:val="FootnoteReference"/>
        </w:rPr>
        <w:footnoteRef/>
      </w:r>
      <w:r>
        <w:rPr>
          <w:vertAlign w:val="superscript"/>
        </w:rPr>
        <w:t xml:space="preserve"> </w:t>
      </w:r>
      <w:r>
        <w:t>Additional details about CISS and how the agency collects this information are available in the supporting statements for the ICR with OMB Control No. 2127-0706.</w:t>
      </w:r>
    </w:p>
  </w:footnote>
  <w:footnote w:id="8">
    <w:p w:rsidR="00CC64C1" w:rsidP="00793A60" w14:paraId="2CF25066" w14:textId="7A15FD92">
      <w:pPr>
        <w:pStyle w:val="FootnoteText"/>
      </w:pPr>
      <w:r>
        <w:rPr>
          <w:rStyle w:val="FootnoteReference"/>
        </w:rPr>
        <w:footnoteRef/>
      </w:r>
      <w:r>
        <w:t xml:space="preserve"> </w:t>
      </w:r>
      <w:r w:rsidRPr="00673CC9">
        <w:rPr>
          <w:i/>
        </w:rPr>
        <w:t>See</w:t>
      </w:r>
      <w:r>
        <w:t xml:space="preserve"> May </w:t>
      </w:r>
      <w:r w:rsidR="00FC20BD">
        <w:t xml:space="preserve">2021 </w:t>
      </w:r>
      <w:r>
        <w:t>National Occupational Employment and Wage Estimates</w:t>
      </w:r>
    </w:p>
    <w:p w:rsidR="00CC64C1" w:rsidP="00241FFC" w14:paraId="67031F8F" w14:textId="7CAD8FDB">
      <w:pPr>
        <w:pStyle w:val="FootnoteText"/>
      </w:pPr>
      <w:r>
        <w:t xml:space="preserve">United States, available at </w:t>
      </w:r>
      <w:bookmarkStart w:id="30" w:name="_Hlk71276829"/>
      <w:r w:rsidRPr="00241FFC">
        <w:t>https://www.bls.gov/oes/current/oes_nat.htm</w:t>
      </w:r>
      <w:bookmarkEnd w:id="30"/>
      <w:r>
        <w:t xml:space="preserve"> (accessed </w:t>
      </w:r>
      <w:r w:rsidR="00E85D1F">
        <w:t>March 13</w:t>
      </w:r>
      <w:r>
        <w:t xml:space="preserve">, </w:t>
      </w:r>
      <w:r w:rsidR="000F6B23">
        <w:t>2023</w:t>
      </w:r>
      <w:r>
        <w:t>).</w:t>
      </w:r>
    </w:p>
  </w:footnote>
  <w:footnote w:id="9">
    <w:p w:rsidR="00CC64C1" w:rsidP="00D63324" w14:paraId="7DDEAE3A" w14:textId="07350314">
      <w:pPr>
        <w:pStyle w:val="FootnoteText"/>
      </w:pPr>
      <w:r>
        <w:rPr>
          <w:rStyle w:val="FootnoteReference"/>
        </w:rPr>
        <w:footnoteRef/>
      </w:r>
      <w:r>
        <w:t xml:space="preserve"> </w:t>
      </w:r>
      <w:r w:rsidRPr="00673CC9">
        <w:rPr>
          <w:i/>
        </w:rPr>
        <w:t>See</w:t>
      </w:r>
      <w:r w:rsidRPr="00F1134B">
        <w:t xml:space="preserve"> Table 1. Employer Costs for Employee Compensation by ownership (</w:t>
      </w:r>
      <w:r w:rsidR="00562DF7">
        <w:t>Sept. 2022</w:t>
      </w:r>
      <w:r w:rsidRPr="00F1134B">
        <w:t xml:space="preserve">), available at https://www.bls.gov/news.release/ecec.t01.htm (accessed </w:t>
      </w:r>
      <w:r w:rsidR="00640179">
        <w:t>March 13, 2023</w:t>
      </w:r>
      <w:r w:rsidRPr="00F1134B">
        <w:t>).</w:t>
      </w:r>
    </w:p>
  </w:footnote>
  <w:footnote w:id="10">
    <w:p w:rsidR="00CC64C1" w:rsidP="00793A60" w14:paraId="62CEDBE2" w14:textId="17C3D86E">
      <w:pPr>
        <w:pStyle w:val="FootnoteText"/>
      </w:pPr>
      <w:r>
        <w:rPr>
          <w:rStyle w:val="FootnoteReference"/>
        </w:rPr>
        <w:footnoteRef/>
      </w:r>
      <w:r>
        <w:t xml:space="preserve"> </w:t>
      </w:r>
      <w:r w:rsidRPr="00673CC9">
        <w:rPr>
          <w:i/>
        </w:rPr>
        <w:t>See</w:t>
      </w:r>
      <w:r>
        <w:t xml:space="preserve"> May </w:t>
      </w:r>
      <w:r w:rsidR="00DB55F0">
        <w:t xml:space="preserve">2021 </w:t>
      </w:r>
      <w:r>
        <w:t>National Occupational Employment and Wage Estimates</w:t>
      </w:r>
    </w:p>
    <w:p w:rsidR="00CC64C1" w:rsidP="00496062" w14:paraId="34D64DD6" w14:textId="332A4BA0">
      <w:pPr>
        <w:pStyle w:val="FootnoteText"/>
      </w:pPr>
      <w:r>
        <w:t xml:space="preserve">United States available at </w:t>
      </w:r>
      <w:r w:rsidRPr="00496062">
        <w:t>https://www.bls.gov/oes/current/oes_nat.htm</w:t>
      </w:r>
      <w:r>
        <w:t xml:space="preserve"> (accessed </w:t>
      </w:r>
      <w:r w:rsidR="00DB55F0">
        <w:t>March 13</w:t>
      </w:r>
      <w:r>
        <w:t xml:space="preserve">, </w:t>
      </w:r>
      <w:r w:rsidR="00DB55F0">
        <w:t>2023</w:t>
      </w:r>
      <w:r>
        <w:t>).</w:t>
      </w:r>
    </w:p>
  </w:footnote>
  <w:footnote w:id="11">
    <w:p w:rsidR="00CC64C1" w:rsidP="00207992" w14:paraId="1C74D154" w14:textId="77C3075A">
      <w:pPr>
        <w:pStyle w:val="FootnoteText"/>
      </w:pPr>
      <w:r>
        <w:rPr>
          <w:rStyle w:val="FootnoteReference"/>
        </w:rPr>
        <w:footnoteRef/>
      </w:r>
      <w:r>
        <w:rPr>
          <w:vertAlign w:val="superscript"/>
        </w:rPr>
        <w:t xml:space="preserve"> </w:t>
      </w:r>
      <w:r>
        <w:t xml:space="preserve">May </w:t>
      </w:r>
      <w:r w:rsidR="00FE0170">
        <w:t xml:space="preserve">2021 </w:t>
      </w:r>
      <w:r>
        <w:t xml:space="preserve">National Occupational Employment and Wage Estimates United States, Occupational Employment Statistics, Bureau of Labor Statistics, U.S. Department of Labor, https://www.bls.gov/oes/current/oes_nat.htm#15-0000, last accessed </w:t>
      </w:r>
      <w:r w:rsidR="00FE0170">
        <w:t>March 13, 2023)</w:t>
      </w:r>
      <w:r>
        <w:t>.</w:t>
      </w:r>
    </w:p>
  </w:footnote>
  <w:footnote w:id="12">
    <w:p w:rsidR="00CC64C1" w:rsidP="00207992" w14:paraId="488F3B0A" w14:textId="6147F15C">
      <w:pPr>
        <w:pStyle w:val="FootnoteText"/>
      </w:pPr>
      <w:r>
        <w:rPr>
          <w:rStyle w:val="FootnoteReference"/>
        </w:rPr>
        <w:footnoteRef/>
      </w:r>
      <w:r>
        <w:t xml:space="preserve"> </w:t>
      </w:r>
      <w:bookmarkStart w:id="32" w:name="_Hlk71283095"/>
      <w:r>
        <w:t>E</w:t>
      </w:r>
      <w:r w:rsidRPr="00F1134B">
        <w:t>mployer Costs for Employee Compensation by ownership (</w:t>
      </w:r>
      <w:r w:rsidR="003805C0">
        <w:t>Sept</w:t>
      </w:r>
      <w:r w:rsidRPr="00F1134B">
        <w:t xml:space="preserve">. </w:t>
      </w:r>
      <w:r w:rsidRPr="00F1134B" w:rsidR="003805C0">
        <w:t>20</w:t>
      </w:r>
      <w:r w:rsidR="003805C0">
        <w:t>22</w:t>
      </w:r>
      <w:r w:rsidRPr="00F1134B">
        <w:t xml:space="preserve">), available at https://www.bls.gov/news.release/ecec.t01.htm (accessed </w:t>
      </w:r>
      <w:r w:rsidR="003805C0">
        <w:t>March 13, 2023</w:t>
      </w:r>
      <w:r w:rsidR="00FE0170">
        <w:t>)</w:t>
      </w:r>
      <w:r>
        <w:t>.</w:t>
      </w:r>
      <w:bookmarkEnd w:id="32"/>
    </w:p>
  </w:footnote>
  <w:footnote w:id="13">
    <w:p w:rsidR="00CE43D5" w:rsidP="00CE43D5" w14:paraId="14930E0F" w14:textId="6185AD27">
      <w:pPr>
        <w:pStyle w:val="FootnoteText"/>
      </w:pPr>
      <w:r>
        <w:rPr>
          <w:rStyle w:val="FootnoteReference"/>
        </w:rPr>
        <w:footnoteRef/>
      </w:r>
      <w:r>
        <w:t xml:space="preserve"> </w:t>
      </w:r>
      <w:r w:rsidR="00603810">
        <w:t xml:space="preserve">Please see detailed information at this website: </w:t>
      </w:r>
      <w:r w:rsidRPr="00F918F6">
        <w:t>https://www.regulations.gov/docket/NHTSA-2022-0030</w:t>
      </w:r>
    </w:p>
    <w:p w:rsidR="00CE43D5" w:rsidP="00CE43D5" w14:paraId="688EFF08" w14:textId="77777777"/>
  </w:footnote>
  <w:footnote w:id="14">
    <w:p w:rsidR="00CE43D5" w:rsidP="00CE43D5" w14:paraId="50DACED7" w14:textId="1E2326E8">
      <w:pPr>
        <w:pStyle w:val="FootnoteText"/>
      </w:pPr>
      <w:r>
        <w:rPr>
          <w:rStyle w:val="FootnoteReference"/>
        </w:rPr>
        <w:footnoteRef/>
      </w:r>
      <w:r>
        <w:t xml:space="preserve"> </w:t>
      </w:r>
      <w:r w:rsidRPr="00673CC9">
        <w:rPr>
          <w:i/>
        </w:rPr>
        <w:t>See</w:t>
      </w:r>
      <w:r w:rsidRPr="00F1134B">
        <w:t xml:space="preserve"> </w:t>
      </w:r>
      <w:r>
        <w:t>May 2021 National Occupational Employment and Wage Estimates United States</w:t>
      </w:r>
      <w:r w:rsidRPr="00F1134B">
        <w:t>, available at</w:t>
      </w:r>
      <w:r w:rsidRPr="00D6772C">
        <w:t xml:space="preserve"> </w:t>
      </w:r>
      <w:hyperlink r:id="rId1" w:anchor="00-0000" w:history="1">
        <w:r w:rsidRPr="008B2335">
          <w:rPr>
            <w:rStyle w:val="Hyperlink"/>
          </w:rPr>
          <w:t>https://www.bls.gov/oes/current/oes_nat.htm#00-0000</w:t>
        </w:r>
      </w:hyperlink>
      <w:r>
        <w:t xml:space="preserve"> </w:t>
      </w:r>
      <w:r w:rsidRPr="00F1134B" w:rsidR="00CF7567">
        <w:t xml:space="preserve">(accessed </w:t>
      </w:r>
      <w:r w:rsidR="00CF7567">
        <w:t>March. 13, 2023</w:t>
      </w:r>
      <w:r w:rsidRPr="00F1134B" w:rsidR="00CF7567">
        <w:t>).</w:t>
      </w:r>
    </w:p>
  </w:footnote>
  <w:footnote w:id="15">
    <w:p w:rsidR="00CE43D5" w:rsidP="00CE43D5" w14:paraId="753DEE63" w14:textId="1C282F5C">
      <w:pPr>
        <w:pStyle w:val="FootnoteText"/>
      </w:pPr>
      <w:r>
        <w:rPr>
          <w:rStyle w:val="FootnoteReference"/>
        </w:rPr>
        <w:footnoteRef/>
      </w:r>
      <w:r>
        <w:t xml:space="preserve"> </w:t>
      </w:r>
      <w:r w:rsidRPr="00673CC9">
        <w:rPr>
          <w:i/>
        </w:rPr>
        <w:t>See</w:t>
      </w:r>
      <w:r w:rsidRPr="00F1134B">
        <w:t xml:space="preserve"> Table 1. Employer Costs for Employee Compensation by ownership (</w:t>
      </w:r>
      <w:r>
        <w:t>Sept</w:t>
      </w:r>
      <w:r w:rsidRPr="00F1134B">
        <w:t>. 20</w:t>
      </w:r>
      <w:r>
        <w:t>22</w:t>
      </w:r>
      <w:r w:rsidRPr="00F1134B">
        <w:t xml:space="preserve">), available at </w:t>
      </w:r>
      <w:hyperlink r:id="rId2" w:history="1">
        <w:r w:rsidRPr="008B2335">
          <w:rPr>
            <w:rStyle w:val="Hyperlink"/>
          </w:rPr>
          <w:t>https://www.bls.gov/news.release/ecec.t01.htm</w:t>
        </w:r>
      </w:hyperlink>
      <w:r>
        <w:t xml:space="preserve"> </w:t>
      </w:r>
      <w:r w:rsidRPr="00F1134B">
        <w:t xml:space="preserve"> (accessed </w:t>
      </w:r>
      <w:r w:rsidR="00CF7567">
        <w:t>March</w:t>
      </w:r>
      <w:r>
        <w:t xml:space="preserve"> </w:t>
      </w:r>
      <w:r w:rsidR="00CF7567">
        <w:t>13</w:t>
      </w:r>
      <w:r>
        <w:t>, 2023</w:t>
      </w:r>
      <w:r w:rsidRPr="00F1134B">
        <w:t>).</w:t>
      </w:r>
    </w:p>
  </w:footnote>
  <w:footnote w:id="16">
    <w:p w:rsidR="00571D92" w14:paraId="3B884C70" w14:textId="5777D3C8">
      <w:pPr>
        <w:pStyle w:val="FootnoteText"/>
      </w:pPr>
      <w:r>
        <w:rPr>
          <w:rStyle w:val="FootnoteReference"/>
        </w:rPr>
        <w:footnoteRef/>
      </w:r>
      <w:r>
        <w:t xml:space="preserve"> </w:t>
      </w:r>
      <w:hyperlink r:id="rId3" w:history="1">
        <w:r w:rsidRPr="00035513" w:rsidR="00035513">
          <w:rPr>
            <w:rStyle w:val="Hyperlink"/>
          </w:rPr>
          <w:t>https://www.opm.gov/policy-data-oversight/pay-leave/salaries-wages/salary-tables/pdf/202</w:t>
        </w:r>
        <w:r w:rsidRPr="00E333BF" w:rsidR="00035513">
          <w:rPr>
            <w:rStyle w:val="Hyperlink"/>
          </w:rPr>
          <w:t>3/DCB_h.pdf</w:t>
        </w:r>
      </w:hyperlink>
      <w:r>
        <w:t xml:space="preserve">. </w:t>
      </w:r>
    </w:p>
  </w:footnote>
  <w:footnote w:id="17">
    <w:p w:rsidR="005D7DC8" w:rsidP="005D7DC8" w14:paraId="3D543379" w14:textId="0CE98EA8">
      <w:pPr>
        <w:pStyle w:val="FootnoteText"/>
      </w:pPr>
      <w:r>
        <w:rPr>
          <w:rStyle w:val="FootnoteReference"/>
        </w:rPr>
        <w:footnoteRef/>
      </w:r>
      <w:r w:rsidRPr="00494683">
        <w:t>Employer Costs for Employee Compensation-</w:t>
      </w:r>
      <w:r w:rsidR="00FD09D0">
        <w:t>September 2022</w:t>
      </w:r>
      <w:r w:rsidRPr="00494683">
        <w:t xml:space="preserve">, </w:t>
      </w:r>
      <w:r w:rsidR="005A066C">
        <w:t>Accessed 3/15/2023</w:t>
      </w:r>
      <w:r w:rsidR="00420134">
        <w:t xml:space="preserve">. </w:t>
      </w:r>
      <w:hyperlink r:id="rId4" w:history="1">
        <w:r w:rsidR="008E4982">
          <w:rPr>
            <w:rStyle w:val="Hyperlink"/>
          </w:rPr>
          <w:t>https://www.bls.gov/news.release/archives/ecec_12152022.pdf</w:t>
        </w:r>
      </w:hyperlink>
      <w:r>
        <w:t xml:space="preserve"> Accessed </w:t>
      </w:r>
      <w:r w:rsidR="00C16BC0">
        <w:t>3</w:t>
      </w:r>
      <w:r>
        <w:t>/</w:t>
      </w:r>
      <w:r w:rsidR="00250C2D">
        <w:t>15</w:t>
      </w:r>
      <w:r>
        <w:t>/202</w:t>
      </w:r>
      <w:r w:rsidR="005A066C">
        <w:t>3</w:t>
      </w:r>
      <w:r>
        <w:t xml:space="preserve">. </w:t>
      </w:r>
    </w:p>
  </w:footnote>
  <w:footnote w:id="18">
    <w:p w:rsidR="00701923" w14:paraId="0CF51176" w14:textId="467B2723">
      <w:pPr>
        <w:pStyle w:val="FootnoteText"/>
      </w:pPr>
      <w:r>
        <w:rPr>
          <w:rStyle w:val="FootnoteReference"/>
        </w:rPr>
        <w:footnoteRef/>
      </w:r>
      <w:r>
        <w:t xml:space="preserve"> </w:t>
      </w:r>
      <w:hyperlink r:id="rId3" w:history="1">
        <w:r w:rsidRPr="00C16BC0" w:rsidR="00C16BC0">
          <w:rPr>
            <w:rStyle w:val="Hyperlink"/>
          </w:rPr>
          <w:t>https://www.opm.gov/policy-data-oversight/pay-leave/salaries-wages/salary-tables/pdf/202</w:t>
        </w:r>
        <w:r w:rsidRPr="00E333BF" w:rsidR="00C16BC0">
          <w:rPr>
            <w:rStyle w:val="Hyperlink"/>
          </w:rPr>
          <w:t>3/DCB_h.pdf</w:t>
        </w:r>
      </w:hyperlink>
      <w:r w:rsidRPr="00701923">
        <w:t>.</w:t>
      </w:r>
      <w:r>
        <w:t xml:space="preserve"> </w:t>
      </w:r>
    </w:p>
  </w:footnote>
  <w:footnote w:id="19">
    <w:p w:rsidR="0090714A" w:rsidP="0090714A" w14:paraId="60F8248B" w14:textId="0B28E04A">
      <w:pPr>
        <w:pStyle w:val="FootnoteText"/>
      </w:pPr>
      <w:r>
        <w:rPr>
          <w:rStyle w:val="FootnoteReference"/>
        </w:rPr>
        <w:footnoteRef/>
      </w:r>
      <w:r w:rsidRPr="00494683">
        <w:t>Employer Costs for Employee Compensation-</w:t>
      </w:r>
      <w:r w:rsidR="00FD09D0">
        <w:t>September 2022</w:t>
      </w:r>
      <w:r w:rsidRPr="00494683">
        <w:t xml:space="preserve">, </w:t>
      </w:r>
      <w:r w:rsidR="00420134">
        <w:t xml:space="preserve">Accessed 3/15/2023. </w:t>
      </w:r>
      <w:hyperlink r:id="rId5" w:history="1">
        <w:r w:rsidRPr="00420134" w:rsidR="00420134">
          <w:rPr>
            <w:rStyle w:val="Hyperlink"/>
          </w:rPr>
          <w:t>https://www.bls.gov/news.release/archives/ecec_06182020.pdf</w:t>
        </w:r>
      </w:hyperlink>
      <w:r w:rsidRPr="00494683">
        <w:t>.</w:t>
      </w:r>
      <w:r>
        <w:t xml:space="preserve"> Accessed </w:t>
      </w:r>
      <w:r w:rsidR="00250C2D">
        <w:t>3</w:t>
      </w:r>
      <w:r>
        <w:t>/</w:t>
      </w:r>
      <w:r w:rsidR="00250C2D">
        <w:t>15</w:t>
      </w:r>
      <w:r>
        <w:t>/202</w:t>
      </w:r>
      <w:r w:rsidR="005A066C">
        <w:t>3</w:t>
      </w:r>
      <w:r>
        <w:t xml:space="preserve">. </w:t>
      </w:r>
    </w:p>
  </w:footnote>
  <w:footnote w:id="20">
    <w:p w:rsidR="00816822" w:rsidRPr="00970234" w:rsidP="00970234" w14:paraId="3A83BDE0" w14:textId="0B90D0F7">
      <w:pPr>
        <w:pStyle w:val="psection-3"/>
        <w:shd w:val="clear" w:color="auto" w:fill="FFFFFF"/>
        <w:spacing w:before="0" w:beforeAutospacing="0" w:after="150" w:afterAutospacing="0"/>
        <w:ind w:left="480"/>
        <w:rPr>
          <w:sz w:val="20"/>
          <w:szCs w:val="20"/>
        </w:rPr>
      </w:pPr>
      <w:r>
        <w:rPr>
          <w:rStyle w:val="FootnoteReference"/>
        </w:rPr>
        <w:footnoteRef/>
      </w:r>
      <w:r w:rsidRPr="0093587F" w:rsidR="007D1469">
        <w:rPr>
          <w:sz w:val="20"/>
          <w:szCs w:val="20"/>
        </w:rPr>
        <w:t>Specifically explain how the agency display the OMB control number and expiration date and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p w:rsidR="00CC64C1" w:rsidP="00816822" w14:paraId="39D8B8F6" w14:textId="0B00C18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EB025118"/>
    <w:lvl w:ilvl="0">
      <w:start w:val="1"/>
      <w:numFmt w:val="decimal"/>
      <w:pStyle w:val="Level1"/>
      <w:lvlText w:val="%1."/>
      <w:lvlJc w:val="left"/>
      <w:pPr>
        <w:tabs>
          <w:tab w:val="num" w:pos="540"/>
        </w:tabs>
        <w:ind w:left="540" w:hanging="54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1">
    <w:nsid w:val="027F71FF"/>
    <w:multiLevelType w:val="hybridMultilevel"/>
    <w:tmpl w:val="919EE692"/>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DF328E"/>
    <w:multiLevelType w:val="hybridMultilevel"/>
    <w:tmpl w:val="6C4870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741C84"/>
    <w:multiLevelType w:val="hybridMultilevel"/>
    <w:tmpl w:val="48CC2744"/>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FB066B"/>
    <w:multiLevelType w:val="hybridMultilevel"/>
    <w:tmpl w:val="BA7A7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542B7F"/>
    <w:multiLevelType w:val="hybridMultilevel"/>
    <w:tmpl w:val="6136C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6934A21"/>
    <w:multiLevelType w:val="hybridMultilevel"/>
    <w:tmpl w:val="2FBED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B234E74"/>
    <w:multiLevelType w:val="hybridMultilevel"/>
    <w:tmpl w:val="B1D8554E"/>
    <w:lvl w:ilvl="0">
      <w:start w:val="1"/>
      <w:numFmt w:val="bullet"/>
      <w:lvlText w:val=""/>
      <w:lvlJc w:val="left"/>
      <w:pPr>
        <w:ind w:left="99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B596634"/>
    <w:multiLevelType w:val="hybridMultilevel"/>
    <w:tmpl w:val="27F8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627E4E"/>
    <w:multiLevelType w:val="hybridMultilevel"/>
    <w:tmpl w:val="E9FAA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4F7BC6"/>
    <w:multiLevelType w:val="hybridMultilevel"/>
    <w:tmpl w:val="74F5C3F1"/>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50115AE7"/>
    <w:multiLevelType w:val="hybridMultilevel"/>
    <w:tmpl w:val="2D628700"/>
    <w:lvl w:ilvl="0">
      <w:start w:val="1"/>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6084157"/>
    <w:multiLevelType w:val="hybridMultilevel"/>
    <w:tmpl w:val="E4A4E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E362B8"/>
    <w:multiLevelType w:val="hybridMultilevel"/>
    <w:tmpl w:val="D548BF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C75411B"/>
    <w:multiLevelType w:val="hybridMultilevel"/>
    <w:tmpl w:val="27F8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763F60"/>
    <w:multiLevelType w:val="hybridMultilevel"/>
    <w:tmpl w:val="23E67FDA"/>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5FB15345"/>
    <w:multiLevelType w:val="hybridMultilevel"/>
    <w:tmpl w:val="CDD03B32"/>
    <w:lvl w:ilvl="0">
      <w:start w:val="1"/>
      <w:numFmt w:val="decimal"/>
      <w:pStyle w:val="Heading2"/>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894791"/>
    <w:multiLevelType w:val="hybridMultilevel"/>
    <w:tmpl w:val="911092A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2CF3F19"/>
    <w:multiLevelType w:val="hybridMultilevel"/>
    <w:tmpl w:val="CCD22B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49515924">
    <w:abstractNumId w:val="21"/>
  </w:num>
  <w:num w:numId="2" w16cid:durableId="1534460760">
    <w:abstractNumId w:val="5"/>
  </w:num>
  <w:num w:numId="3" w16cid:durableId="1168713794">
    <w:abstractNumId w:val="9"/>
  </w:num>
  <w:num w:numId="4" w16cid:durableId="1136949402">
    <w:abstractNumId w:val="11"/>
  </w:num>
  <w:num w:numId="5" w16cid:durableId="1427112210">
    <w:abstractNumId w:val="8"/>
  </w:num>
  <w:num w:numId="6" w16cid:durableId="1686519108">
    <w:abstractNumId w:val="24"/>
  </w:num>
  <w:num w:numId="7" w16cid:durableId="1831092489">
    <w:abstractNumId w:val="4"/>
  </w:num>
  <w:num w:numId="8" w16cid:durableId="1081678091">
    <w:abstractNumId w:val="15"/>
  </w:num>
  <w:num w:numId="9" w16cid:durableId="1396591496">
    <w:abstractNumId w:val="20"/>
  </w:num>
  <w:num w:numId="10" w16cid:durableId="1254777233">
    <w:abstractNumId w:val="23"/>
  </w:num>
  <w:num w:numId="11" w16cid:durableId="86392838">
    <w:abstractNumId w:val="13"/>
  </w:num>
  <w:num w:numId="12" w16cid:durableId="1575621982">
    <w:abstractNumId w:val="12"/>
  </w:num>
  <w:num w:numId="13" w16cid:durableId="81083045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14" w16cid:durableId="41246968">
    <w:abstractNumId w:val="19"/>
  </w:num>
  <w:num w:numId="15" w16cid:durableId="670109031">
    <w:abstractNumId w:val="2"/>
  </w:num>
  <w:num w:numId="16" w16cid:durableId="76680447">
    <w:abstractNumId w:val="17"/>
  </w:num>
  <w:num w:numId="17" w16cid:durableId="257833918">
    <w:abstractNumId w:val="6"/>
  </w:num>
  <w:num w:numId="18" w16cid:durableId="157424594">
    <w:abstractNumId w:val="14"/>
  </w:num>
  <w:num w:numId="19" w16cid:durableId="1426611283">
    <w:abstractNumId w:val="10"/>
  </w:num>
  <w:num w:numId="20" w16cid:durableId="1993481747">
    <w:abstractNumId w:val="16"/>
  </w:num>
  <w:num w:numId="21" w16cid:durableId="943538016">
    <w:abstractNumId w:val="3"/>
  </w:num>
  <w:num w:numId="22" w16cid:durableId="752362109">
    <w:abstractNumId w:val="18"/>
  </w:num>
  <w:num w:numId="23" w16cid:durableId="1034766155">
    <w:abstractNumId w:val="1"/>
  </w:num>
  <w:num w:numId="24" w16cid:durableId="1971662978">
    <w:abstractNumId w:val="7"/>
  </w:num>
  <w:num w:numId="25" w16cid:durableId="11974255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0427"/>
    <w:rsid w:val="000012C4"/>
    <w:rsid w:val="000016ED"/>
    <w:rsid w:val="0000220B"/>
    <w:rsid w:val="00002702"/>
    <w:rsid w:val="00002F42"/>
    <w:rsid w:val="00003ED6"/>
    <w:rsid w:val="0000443D"/>
    <w:rsid w:val="0000494E"/>
    <w:rsid w:val="00006944"/>
    <w:rsid w:val="000074EF"/>
    <w:rsid w:val="00007ADA"/>
    <w:rsid w:val="0001126B"/>
    <w:rsid w:val="0001146F"/>
    <w:rsid w:val="0001328F"/>
    <w:rsid w:val="00013C42"/>
    <w:rsid w:val="000154D7"/>
    <w:rsid w:val="000164FB"/>
    <w:rsid w:val="00016B04"/>
    <w:rsid w:val="00020137"/>
    <w:rsid w:val="00020166"/>
    <w:rsid w:val="00020984"/>
    <w:rsid w:val="00021E8C"/>
    <w:rsid w:val="00022481"/>
    <w:rsid w:val="000228B9"/>
    <w:rsid w:val="00022FE2"/>
    <w:rsid w:val="0002316C"/>
    <w:rsid w:val="000239E2"/>
    <w:rsid w:val="00025C27"/>
    <w:rsid w:val="00025DAF"/>
    <w:rsid w:val="00026037"/>
    <w:rsid w:val="00027332"/>
    <w:rsid w:val="00027952"/>
    <w:rsid w:val="000305F5"/>
    <w:rsid w:val="00030606"/>
    <w:rsid w:val="000315B1"/>
    <w:rsid w:val="00031C85"/>
    <w:rsid w:val="00031F4C"/>
    <w:rsid w:val="00033233"/>
    <w:rsid w:val="0003358F"/>
    <w:rsid w:val="000339D5"/>
    <w:rsid w:val="0003463B"/>
    <w:rsid w:val="00035513"/>
    <w:rsid w:val="00036DE2"/>
    <w:rsid w:val="00037060"/>
    <w:rsid w:val="0003720D"/>
    <w:rsid w:val="000373A8"/>
    <w:rsid w:val="00037D5A"/>
    <w:rsid w:val="00037FA6"/>
    <w:rsid w:val="0004058D"/>
    <w:rsid w:val="0004090B"/>
    <w:rsid w:val="00040FA6"/>
    <w:rsid w:val="000426D3"/>
    <w:rsid w:val="00043FA8"/>
    <w:rsid w:val="000453A0"/>
    <w:rsid w:val="000455E4"/>
    <w:rsid w:val="000474FC"/>
    <w:rsid w:val="00047CE0"/>
    <w:rsid w:val="0005099C"/>
    <w:rsid w:val="00050C54"/>
    <w:rsid w:val="000514A3"/>
    <w:rsid w:val="000519C3"/>
    <w:rsid w:val="00052217"/>
    <w:rsid w:val="000522F4"/>
    <w:rsid w:val="00052406"/>
    <w:rsid w:val="0005242E"/>
    <w:rsid w:val="00053A3D"/>
    <w:rsid w:val="00053FC9"/>
    <w:rsid w:val="000550B2"/>
    <w:rsid w:val="00055626"/>
    <w:rsid w:val="00056E38"/>
    <w:rsid w:val="0005728E"/>
    <w:rsid w:val="000577AD"/>
    <w:rsid w:val="000610E3"/>
    <w:rsid w:val="000614BD"/>
    <w:rsid w:val="000620A7"/>
    <w:rsid w:val="000645B3"/>
    <w:rsid w:val="000647CC"/>
    <w:rsid w:val="000650F6"/>
    <w:rsid w:val="00070B46"/>
    <w:rsid w:val="00071960"/>
    <w:rsid w:val="00071B40"/>
    <w:rsid w:val="00071CD2"/>
    <w:rsid w:val="00073FD3"/>
    <w:rsid w:val="00081A57"/>
    <w:rsid w:val="00082D02"/>
    <w:rsid w:val="000845FA"/>
    <w:rsid w:val="00084ADF"/>
    <w:rsid w:val="00085BF1"/>
    <w:rsid w:val="00086394"/>
    <w:rsid w:val="0008645A"/>
    <w:rsid w:val="00086B9F"/>
    <w:rsid w:val="00087127"/>
    <w:rsid w:val="000875FE"/>
    <w:rsid w:val="00090A4E"/>
    <w:rsid w:val="00090D59"/>
    <w:rsid w:val="00091A0C"/>
    <w:rsid w:val="000927FF"/>
    <w:rsid w:val="00093216"/>
    <w:rsid w:val="000932EB"/>
    <w:rsid w:val="00094583"/>
    <w:rsid w:val="0009462D"/>
    <w:rsid w:val="00094791"/>
    <w:rsid w:val="000955DE"/>
    <w:rsid w:val="00096D6A"/>
    <w:rsid w:val="00097A5A"/>
    <w:rsid w:val="000A0616"/>
    <w:rsid w:val="000A094C"/>
    <w:rsid w:val="000A27B7"/>
    <w:rsid w:val="000A2950"/>
    <w:rsid w:val="000A3513"/>
    <w:rsid w:val="000A4A57"/>
    <w:rsid w:val="000A5058"/>
    <w:rsid w:val="000A650D"/>
    <w:rsid w:val="000A6C21"/>
    <w:rsid w:val="000A728D"/>
    <w:rsid w:val="000A754C"/>
    <w:rsid w:val="000B0C98"/>
    <w:rsid w:val="000B20E3"/>
    <w:rsid w:val="000B29E5"/>
    <w:rsid w:val="000B2FD8"/>
    <w:rsid w:val="000B44AB"/>
    <w:rsid w:val="000B4780"/>
    <w:rsid w:val="000B4A67"/>
    <w:rsid w:val="000B54A1"/>
    <w:rsid w:val="000B780F"/>
    <w:rsid w:val="000B7C81"/>
    <w:rsid w:val="000C27B8"/>
    <w:rsid w:val="000C287E"/>
    <w:rsid w:val="000C3695"/>
    <w:rsid w:val="000C36C1"/>
    <w:rsid w:val="000C370B"/>
    <w:rsid w:val="000C4DDF"/>
    <w:rsid w:val="000C520A"/>
    <w:rsid w:val="000C5F71"/>
    <w:rsid w:val="000C6A81"/>
    <w:rsid w:val="000C7D85"/>
    <w:rsid w:val="000D1BC7"/>
    <w:rsid w:val="000D2073"/>
    <w:rsid w:val="000D4A19"/>
    <w:rsid w:val="000D4CB8"/>
    <w:rsid w:val="000D57DD"/>
    <w:rsid w:val="000D582F"/>
    <w:rsid w:val="000D5A8E"/>
    <w:rsid w:val="000D6E71"/>
    <w:rsid w:val="000D6FC0"/>
    <w:rsid w:val="000E0333"/>
    <w:rsid w:val="000E0A89"/>
    <w:rsid w:val="000E22B5"/>
    <w:rsid w:val="000E262A"/>
    <w:rsid w:val="000E3231"/>
    <w:rsid w:val="000E334F"/>
    <w:rsid w:val="000E58F5"/>
    <w:rsid w:val="000E6131"/>
    <w:rsid w:val="000E784C"/>
    <w:rsid w:val="000E79C2"/>
    <w:rsid w:val="000E7B5A"/>
    <w:rsid w:val="000E7C03"/>
    <w:rsid w:val="000E7D18"/>
    <w:rsid w:val="000F0266"/>
    <w:rsid w:val="000F1DA7"/>
    <w:rsid w:val="000F3188"/>
    <w:rsid w:val="000F3F18"/>
    <w:rsid w:val="000F49D3"/>
    <w:rsid w:val="000F4AE3"/>
    <w:rsid w:val="000F5024"/>
    <w:rsid w:val="000F5255"/>
    <w:rsid w:val="000F6B23"/>
    <w:rsid w:val="000FDA1D"/>
    <w:rsid w:val="00100DAD"/>
    <w:rsid w:val="00101333"/>
    <w:rsid w:val="00102ABA"/>
    <w:rsid w:val="00103129"/>
    <w:rsid w:val="00103B28"/>
    <w:rsid w:val="00103C26"/>
    <w:rsid w:val="00103FEA"/>
    <w:rsid w:val="001046DB"/>
    <w:rsid w:val="0010471B"/>
    <w:rsid w:val="00105285"/>
    <w:rsid w:val="00105C37"/>
    <w:rsid w:val="00105C5D"/>
    <w:rsid w:val="00106CBE"/>
    <w:rsid w:val="0010712D"/>
    <w:rsid w:val="00107296"/>
    <w:rsid w:val="001075C6"/>
    <w:rsid w:val="0010766C"/>
    <w:rsid w:val="00110000"/>
    <w:rsid w:val="00110AF8"/>
    <w:rsid w:val="001113D0"/>
    <w:rsid w:val="001115D4"/>
    <w:rsid w:val="00113727"/>
    <w:rsid w:val="001143DF"/>
    <w:rsid w:val="00114822"/>
    <w:rsid w:val="00117619"/>
    <w:rsid w:val="0011797C"/>
    <w:rsid w:val="00117CAB"/>
    <w:rsid w:val="00120626"/>
    <w:rsid w:val="00120ADC"/>
    <w:rsid w:val="00121D38"/>
    <w:rsid w:val="001229DE"/>
    <w:rsid w:val="00122BD8"/>
    <w:rsid w:val="00123723"/>
    <w:rsid w:val="00123ACA"/>
    <w:rsid w:val="001247D5"/>
    <w:rsid w:val="00125097"/>
    <w:rsid w:val="0012542F"/>
    <w:rsid w:val="00126045"/>
    <w:rsid w:val="00126F27"/>
    <w:rsid w:val="00127DFE"/>
    <w:rsid w:val="0013256C"/>
    <w:rsid w:val="00132C5C"/>
    <w:rsid w:val="00134AE9"/>
    <w:rsid w:val="00134BD1"/>
    <w:rsid w:val="001433CF"/>
    <w:rsid w:val="00143871"/>
    <w:rsid w:val="00144007"/>
    <w:rsid w:val="00144070"/>
    <w:rsid w:val="0014492C"/>
    <w:rsid w:val="001449D1"/>
    <w:rsid w:val="00145070"/>
    <w:rsid w:val="0014555E"/>
    <w:rsid w:val="001455F3"/>
    <w:rsid w:val="00145F84"/>
    <w:rsid w:val="00146FFF"/>
    <w:rsid w:val="00147B34"/>
    <w:rsid w:val="00150F00"/>
    <w:rsid w:val="001517B5"/>
    <w:rsid w:val="00152C26"/>
    <w:rsid w:val="00153DE3"/>
    <w:rsid w:val="00155C92"/>
    <w:rsid w:val="001566E5"/>
    <w:rsid w:val="001570C5"/>
    <w:rsid w:val="00157368"/>
    <w:rsid w:val="0015748B"/>
    <w:rsid w:val="00157D31"/>
    <w:rsid w:val="00160760"/>
    <w:rsid w:val="0016087C"/>
    <w:rsid w:val="001608E1"/>
    <w:rsid w:val="00160C63"/>
    <w:rsid w:val="00161456"/>
    <w:rsid w:val="00162360"/>
    <w:rsid w:val="00162725"/>
    <w:rsid w:val="00162851"/>
    <w:rsid w:val="00162FE0"/>
    <w:rsid w:val="001637B2"/>
    <w:rsid w:val="001642BC"/>
    <w:rsid w:val="00165908"/>
    <w:rsid w:val="001663F8"/>
    <w:rsid w:val="00166F97"/>
    <w:rsid w:val="001673B6"/>
    <w:rsid w:val="00170950"/>
    <w:rsid w:val="00170FA4"/>
    <w:rsid w:val="00171D95"/>
    <w:rsid w:val="00172770"/>
    <w:rsid w:val="00172C1F"/>
    <w:rsid w:val="00172ED4"/>
    <w:rsid w:val="00173B65"/>
    <w:rsid w:val="00174EED"/>
    <w:rsid w:val="00177033"/>
    <w:rsid w:val="00177C70"/>
    <w:rsid w:val="00177F59"/>
    <w:rsid w:val="00180696"/>
    <w:rsid w:val="00180D64"/>
    <w:rsid w:val="00181CAF"/>
    <w:rsid w:val="001839C6"/>
    <w:rsid w:val="001840E9"/>
    <w:rsid w:val="0018465D"/>
    <w:rsid w:val="00184BC6"/>
    <w:rsid w:val="00185380"/>
    <w:rsid w:val="00185714"/>
    <w:rsid w:val="00185899"/>
    <w:rsid w:val="00186FBC"/>
    <w:rsid w:val="001874EE"/>
    <w:rsid w:val="0018773F"/>
    <w:rsid w:val="00187E6C"/>
    <w:rsid w:val="0019002A"/>
    <w:rsid w:val="001910F3"/>
    <w:rsid w:val="00191E5B"/>
    <w:rsid w:val="001938C7"/>
    <w:rsid w:val="0019692E"/>
    <w:rsid w:val="001A03B5"/>
    <w:rsid w:val="001A06EE"/>
    <w:rsid w:val="001A0BF6"/>
    <w:rsid w:val="001A1264"/>
    <w:rsid w:val="001A2CD2"/>
    <w:rsid w:val="001A30B4"/>
    <w:rsid w:val="001A372F"/>
    <w:rsid w:val="001A4FEB"/>
    <w:rsid w:val="001A5AD2"/>
    <w:rsid w:val="001A5B2A"/>
    <w:rsid w:val="001A6070"/>
    <w:rsid w:val="001A77C3"/>
    <w:rsid w:val="001B004C"/>
    <w:rsid w:val="001B00F0"/>
    <w:rsid w:val="001B0B80"/>
    <w:rsid w:val="001B0C17"/>
    <w:rsid w:val="001B1E4E"/>
    <w:rsid w:val="001B2747"/>
    <w:rsid w:val="001B35DD"/>
    <w:rsid w:val="001B39FE"/>
    <w:rsid w:val="001B42ED"/>
    <w:rsid w:val="001B45D0"/>
    <w:rsid w:val="001B4976"/>
    <w:rsid w:val="001B5A12"/>
    <w:rsid w:val="001B6F64"/>
    <w:rsid w:val="001B74C8"/>
    <w:rsid w:val="001C0DDF"/>
    <w:rsid w:val="001C0DFD"/>
    <w:rsid w:val="001C2056"/>
    <w:rsid w:val="001C35ED"/>
    <w:rsid w:val="001C3F5B"/>
    <w:rsid w:val="001C4120"/>
    <w:rsid w:val="001C43C6"/>
    <w:rsid w:val="001C5BAD"/>
    <w:rsid w:val="001C60A2"/>
    <w:rsid w:val="001C60D3"/>
    <w:rsid w:val="001C6609"/>
    <w:rsid w:val="001C7523"/>
    <w:rsid w:val="001D00CA"/>
    <w:rsid w:val="001D1077"/>
    <w:rsid w:val="001D1847"/>
    <w:rsid w:val="001D1FDD"/>
    <w:rsid w:val="001D23C5"/>
    <w:rsid w:val="001D3841"/>
    <w:rsid w:val="001D671B"/>
    <w:rsid w:val="001D69D7"/>
    <w:rsid w:val="001E04E8"/>
    <w:rsid w:val="001E0526"/>
    <w:rsid w:val="001E138F"/>
    <w:rsid w:val="001E1E77"/>
    <w:rsid w:val="001E1F14"/>
    <w:rsid w:val="001E2E07"/>
    <w:rsid w:val="001E422C"/>
    <w:rsid w:val="001E4441"/>
    <w:rsid w:val="001E467C"/>
    <w:rsid w:val="001E4E2D"/>
    <w:rsid w:val="001E5F64"/>
    <w:rsid w:val="001E672A"/>
    <w:rsid w:val="001E7DBB"/>
    <w:rsid w:val="001F0502"/>
    <w:rsid w:val="001F1837"/>
    <w:rsid w:val="001F20EB"/>
    <w:rsid w:val="001F26C5"/>
    <w:rsid w:val="001F3322"/>
    <w:rsid w:val="001F3DA1"/>
    <w:rsid w:val="001F3E72"/>
    <w:rsid w:val="001F50BD"/>
    <w:rsid w:val="001F5195"/>
    <w:rsid w:val="001F5ACE"/>
    <w:rsid w:val="001F5C30"/>
    <w:rsid w:val="001F62B0"/>
    <w:rsid w:val="001F6B15"/>
    <w:rsid w:val="00200744"/>
    <w:rsid w:val="00200ED3"/>
    <w:rsid w:val="002014FD"/>
    <w:rsid w:val="0020258C"/>
    <w:rsid w:val="00204058"/>
    <w:rsid w:val="002043DA"/>
    <w:rsid w:val="00205922"/>
    <w:rsid w:val="00206737"/>
    <w:rsid w:val="0020690E"/>
    <w:rsid w:val="00207438"/>
    <w:rsid w:val="002077D7"/>
    <w:rsid w:val="00207992"/>
    <w:rsid w:val="002103A5"/>
    <w:rsid w:val="00211E33"/>
    <w:rsid w:val="00213547"/>
    <w:rsid w:val="00216096"/>
    <w:rsid w:val="0021796E"/>
    <w:rsid w:val="00217BD5"/>
    <w:rsid w:val="00223460"/>
    <w:rsid w:val="002255EF"/>
    <w:rsid w:val="002261C7"/>
    <w:rsid w:val="0022646D"/>
    <w:rsid w:val="00227AAF"/>
    <w:rsid w:val="002302AB"/>
    <w:rsid w:val="00230546"/>
    <w:rsid w:val="002310E4"/>
    <w:rsid w:val="002316FF"/>
    <w:rsid w:val="00231845"/>
    <w:rsid w:val="00232336"/>
    <w:rsid w:val="00234874"/>
    <w:rsid w:val="00235E6A"/>
    <w:rsid w:val="00235F3B"/>
    <w:rsid w:val="002374BE"/>
    <w:rsid w:val="00237C6E"/>
    <w:rsid w:val="00237E9F"/>
    <w:rsid w:val="00240CBD"/>
    <w:rsid w:val="00240DDD"/>
    <w:rsid w:val="00241A62"/>
    <w:rsid w:val="00241FFC"/>
    <w:rsid w:val="002422DA"/>
    <w:rsid w:val="00243857"/>
    <w:rsid w:val="00243CFE"/>
    <w:rsid w:val="0024484C"/>
    <w:rsid w:val="00244B52"/>
    <w:rsid w:val="00245170"/>
    <w:rsid w:val="0024530C"/>
    <w:rsid w:val="00245F72"/>
    <w:rsid w:val="00247180"/>
    <w:rsid w:val="00247871"/>
    <w:rsid w:val="002478FB"/>
    <w:rsid w:val="00247B10"/>
    <w:rsid w:val="00250C2D"/>
    <w:rsid w:val="00251FB1"/>
    <w:rsid w:val="0025235D"/>
    <w:rsid w:val="002542D8"/>
    <w:rsid w:val="00254303"/>
    <w:rsid w:val="00254A5E"/>
    <w:rsid w:val="00254C28"/>
    <w:rsid w:val="00254ED0"/>
    <w:rsid w:val="00254EFB"/>
    <w:rsid w:val="00255009"/>
    <w:rsid w:val="00255818"/>
    <w:rsid w:val="00256F73"/>
    <w:rsid w:val="00257926"/>
    <w:rsid w:val="00260FD5"/>
    <w:rsid w:val="00261A6E"/>
    <w:rsid w:val="002625AF"/>
    <w:rsid w:val="002634B8"/>
    <w:rsid w:val="00264294"/>
    <w:rsid w:val="00264350"/>
    <w:rsid w:val="00264500"/>
    <w:rsid w:val="0026492D"/>
    <w:rsid w:val="00265443"/>
    <w:rsid w:val="00266303"/>
    <w:rsid w:val="00266355"/>
    <w:rsid w:val="00266B76"/>
    <w:rsid w:val="002677E2"/>
    <w:rsid w:val="00267A74"/>
    <w:rsid w:val="00267D20"/>
    <w:rsid w:val="0027097A"/>
    <w:rsid w:val="00271045"/>
    <w:rsid w:val="002728F3"/>
    <w:rsid w:val="00272E6E"/>
    <w:rsid w:val="00273309"/>
    <w:rsid w:val="00273B2C"/>
    <w:rsid w:val="002744E4"/>
    <w:rsid w:val="0027490C"/>
    <w:rsid w:val="002750C9"/>
    <w:rsid w:val="0027515C"/>
    <w:rsid w:val="0027526D"/>
    <w:rsid w:val="002758AA"/>
    <w:rsid w:val="0027607F"/>
    <w:rsid w:val="00276536"/>
    <w:rsid w:val="0027701E"/>
    <w:rsid w:val="00277742"/>
    <w:rsid w:val="00281D70"/>
    <w:rsid w:val="002820F8"/>
    <w:rsid w:val="00282121"/>
    <w:rsid w:val="00282D50"/>
    <w:rsid w:val="0028399D"/>
    <w:rsid w:val="0028402D"/>
    <w:rsid w:val="00284517"/>
    <w:rsid w:val="0028460F"/>
    <w:rsid w:val="0028497E"/>
    <w:rsid w:val="002851DE"/>
    <w:rsid w:val="00285B97"/>
    <w:rsid w:val="002869B2"/>
    <w:rsid w:val="002875CE"/>
    <w:rsid w:val="0029039C"/>
    <w:rsid w:val="00290B44"/>
    <w:rsid w:val="00290B8E"/>
    <w:rsid w:val="00291155"/>
    <w:rsid w:val="00291BBE"/>
    <w:rsid w:val="00292D0D"/>
    <w:rsid w:val="00293B13"/>
    <w:rsid w:val="0029451C"/>
    <w:rsid w:val="00295F3E"/>
    <w:rsid w:val="00296742"/>
    <w:rsid w:val="00296794"/>
    <w:rsid w:val="002A06C8"/>
    <w:rsid w:val="002A0896"/>
    <w:rsid w:val="002A1AAB"/>
    <w:rsid w:val="002A2F23"/>
    <w:rsid w:val="002A3320"/>
    <w:rsid w:val="002A59E2"/>
    <w:rsid w:val="002A5D0C"/>
    <w:rsid w:val="002A7946"/>
    <w:rsid w:val="002A7D1B"/>
    <w:rsid w:val="002B0F5A"/>
    <w:rsid w:val="002B1D6A"/>
    <w:rsid w:val="002B1F1E"/>
    <w:rsid w:val="002B2B28"/>
    <w:rsid w:val="002B364E"/>
    <w:rsid w:val="002B4518"/>
    <w:rsid w:val="002B4E9C"/>
    <w:rsid w:val="002B79FA"/>
    <w:rsid w:val="002C0E58"/>
    <w:rsid w:val="002C1C10"/>
    <w:rsid w:val="002C1C68"/>
    <w:rsid w:val="002C265F"/>
    <w:rsid w:val="002C34F2"/>
    <w:rsid w:val="002C3962"/>
    <w:rsid w:val="002C3AD3"/>
    <w:rsid w:val="002C46C5"/>
    <w:rsid w:val="002C4D80"/>
    <w:rsid w:val="002C5442"/>
    <w:rsid w:val="002C5743"/>
    <w:rsid w:val="002C5859"/>
    <w:rsid w:val="002C6071"/>
    <w:rsid w:val="002C6433"/>
    <w:rsid w:val="002C7299"/>
    <w:rsid w:val="002C7404"/>
    <w:rsid w:val="002C7824"/>
    <w:rsid w:val="002D0528"/>
    <w:rsid w:val="002D1C70"/>
    <w:rsid w:val="002D3314"/>
    <w:rsid w:val="002D353F"/>
    <w:rsid w:val="002D3DB8"/>
    <w:rsid w:val="002D6403"/>
    <w:rsid w:val="002D659D"/>
    <w:rsid w:val="002D7FB0"/>
    <w:rsid w:val="002E16F9"/>
    <w:rsid w:val="002E44EF"/>
    <w:rsid w:val="002E5E6A"/>
    <w:rsid w:val="002E5F70"/>
    <w:rsid w:val="002E73D3"/>
    <w:rsid w:val="002F002B"/>
    <w:rsid w:val="002F0DE4"/>
    <w:rsid w:val="002F11C5"/>
    <w:rsid w:val="002F1564"/>
    <w:rsid w:val="002F1763"/>
    <w:rsid w:val="002F24B7"/>
    <w:rsid w:val="002F2571"/>
    <w:rsid w:val="002F393C"/>
    <w:rsid w:val="002F3E05"/>
    <w:rsid w:val="002F4F0C"/>
    <w:rsid w:val="002F5FD9"/>
    <w:rsid w:val="002F5FE9"/>
    <w:rsid w:val="002F70EE"/>
    <w:rsid w:val="002F7586"/>
    <w:rsid w:val="002F7D4C"/>
    <w:rsid w:val="00300092"/>
    <w:rsid w:val="00300683"/>
    <w:rsid w:val="00300857"/>
    <w:rsid w:val="00300A5F"/>
    <w:rsid w:val="0030390E"/>
    <w:rsid w:val="00303AE1"/>
    <w:rsid w:val="00303C8C"/>
    <w:rsid w:val="003048E6"/>
    <w:rsid w:val="003061F8"/>
    <w:rsid w:val="0030632B"/>
    <w:rsid w:val="0030643D"/>
    <w:rsid w:val="00306949"/>
    <w:rsid w:val="00306BC8"/>
    <w:rsid w:val="0031051B"/>
    <w:rsid w:val="003116A9"/>
    <w:rsid w:val="003121B3"/>
    <w:rsid w:val="00312368"/>
    <w:rsid w:val="00312859"/>
    <w:rsid w:val="0031544D"/>
    <w:rsid w:val="0031712C"/>
    <w:rsid w:val="003178FD"/>
    <w:rsid w:val="00317AA7"/>
    <w:rsid w:val="00320724"/>
    <w:rsid w:val="003212E5"/>
    <w:rsid w:val="00321782"/>
    <w:rsid w:val="00321F6F"/>
    <w:rsid w:val="00323C74"/>
    <w:rsid w:val="00324A15"/>
    <w:rsid w:val="00325ED9"/>
    <w:rsid w:val="00330B79"/>
    <w:rsid w:val="00330DC8"/>
    <w:rsid w:val="00330FB2"/>
    <w:rsid w:val="003319C4"/>
    <w:rsid w:val="00331D5B"/>
    <w:rsid w:val="00332ACE"/>
    <w:rsid w:val="0033523B"/>
    <w:rsid w:val="003354E1"/>
    <w:rsid w:val="00336ED2"/>
    <w:rsid w:val="00337053"/>
    <w:rsid w:val="00337F7E"/>
    <w:rsid w:val="003406C4"/>
    <w:rsid w:val="00341063"/>
    <w:rsid w:val="003412F2"/>
    <w:rsid w:val="00341B3D"/>
    <w:rsid w:val="0034265F"/>
    <w:rsid w:val="00342693"/>
    <w:rsid w:val="00342D7E"/>
    <w:rsid w:val="00342EF1"/>
    <w:rsid w:val="003431DD"/>
    <w:rsid w:val="003446D7"/>
    <w:rsid w:val="00344BF1"/>
    <w:rsid w:val="00344CEA"/>
    <w:rsid w:val="003457BD"/>
    <w:rsid w:val="00345BF5"/>
    <w:rsid w:val="00346F93"/>
    <w:rsid w:val="0034749B"/>
    <w:rsid w:val="003478F8"/>
    <w:rsid w:val="0035054C"/>
    <w:rsid w:val="003515E9"/>
    <w:rsid w:val="00351A9B"/>
    <w:rsid w:val="00354132"/>
    <w:rsid w:val="00356816"/>
    <w:rsid w:val="00357568"/>
    <w:rsid w:val="00357F20"/>
    <w:rsid w:val="0036023F"/>
    <w:rsid w:val="003614C7"/>
    <w:rsid w:val="003619A3"/>
    <w:rsid w:val="00362511"/>
    <w:rsid w:val="0036332A"/>
    <w:rsid w:val="00363A50"/>
    <w:rsid w:val="00364169"/>
    <w:rsid w:val="00364468"/>
    <w:rsid w:val="0036502F"/>
    <w:rsid w:val="0036605D"/>
    <w:rsid w:val="003663F5"/>
    <w:rsid w:val="003671E6"/>
    <w:rsid w:val="00370B20"/>
    <w:rsid w:val="00371C14"/>
    <w:rsid w:val="003720E4"/>
    <w:rsid w:val="003746EC"/>
    <w:rsid w:val="0037493F"/>
    <w:rsid w:val="00375432"/>
    <w:rsid w:val="00376895"/>
    <w:rsid w:val="00377279"/>
    <w:rsid w:val="00377CBF"/>
    <w:rsid w:val="00377E3E"/>
    <w:rsid w:val="00380208"/>
    <w:rsid w:val="003803CB"/>
    <w:rsid w:val="0038050B"/>
    <w:rsid w:val="003805C0"/>
    <w:rsid w:val="00380DDF"/>
    <w:rsid w:val="0038174D"/>
    <w:rsid w:val="00382A57"/>
    <w:rsid w:val="00384860"/>
    <w:rsid w:val="00385768"/>
    <w:rsid w:val="00385AD8"/>
    <w:rsid w:val="003862C2"/>
    <w:rsid w:val="003869E5"/>
    <w:rsid w:val="00386A60"/>
    <w:rsid w:val="00386E40"/>
    <w:rsid w:val="003875B1"/>
    <w:rsid w:val="00390464"/>
    <w:rsid w:val="00390779"/>
    <w:rsid w:val="003911CC"/>
    <w:rsid w:val="003916EF"/>
    <w:rsid w:val="00391A1F"/>
    <w:rsid w:val="0039208F"/>
    <w:rsid w:val="003920D5"/>
    <w:rsid w:val="00392CD8"/>
    <w:rsid w:val="0039303E"/>
    <w:rsid w:val="0039352F"/>
    <w:rsid w:val="00393618"/>
    <w:rsid w:val="00394935"/>
    <w:rsid w:val="00396342"/>
    <w:rsid w:val="003966D4"/>
    <w:rsid w:val="003A11FD"/>
    <w:rsid w:val="003A1B4F"/>
    <w:rsid w:val="003A1FD7"/>
    <w:rsid w:val="003A25CA"/>
    <w:rsid w:val="003A3347"/>
    <w:rsid w:val="003A3D34"/>
    <w:rsid w:val="003A3E1B"/>
    <w:rsid w:val="003A46B3"/>
    <w:rsid w:val="003A4EDD"/>
    <w:rsid w:val="003A53FE"/>
    <w:rsid w:val="003A5A31"/>
    <w:rsid w:val="003A6BC6"/>
    <w:rsid w:val="003A7527"/>
    <w:rsid w:val="003A7B30"/>
    <w:rsid w:val="003B0422"/>
    <w:rsid w:val="003B12B2"/>
    <w:rsid w:val="003B1950"/>
    <w:rsid w:val="003B1CD6"/>
    <w:rsid w:val="003B22AC"/>
    <w:rsid w:val="003B2774"/>
    <w:rsid w:val="003B3BE0"/>
    <w:rsid w:val="003B3EF2"/>
    <w:rsid w:val="003B4443"/>
    <w:rsid w:val="003B46CE"/>
    <w:rsid w:val="003B4C4E"/>
    <w:rsid w:val="003B582E"/>
    <w:rsid w:val="003B64E2"/>
    <w:rsid w:val="003B6B57"/>
    <w:rsid w:val="003B7F07"/>
    <w:rsid w:val="003C0D61"/>
    <w:rsid w:val="003C1BB7"/>
    <w:rsid w:val="003C2ABF"/>
    <w:rsid w:val="003C485F"/>
    <w:rsid w:val="003C4E65"/>
    <w:rsid w:val="003C50F6"/>
    <w:rsid w:val="003C5A81"/>
    <w:rsid w:val="003C5E06"/>
    <w:rsid w:val="003C69DA"/>
    <w:rsid w:val="003C7091"/>
    <w:rsid w:val="003C7C90"/>
    <w:rsid w:val="003C7E1D"/>
    <w:rsid w:val="003D10C9"/>
    <w:rsid w:val="003D1E4D"/>
    <w:rsid w:val="003D242F"/>
    <w:rsid w:val="003D2D20"/>
    <w:rsid w:val="003D3EDD"/>
    <w:rsid w:val="003D46D0"/>
    <w:rsid w:val="003D4DA3"/>
    <w:rsid w:val="003D5E35"/>
    <w:rsid w:val="003D659F"/>
    <w:rsid w:val="003E0A5C"/>
    <w:rsid w:val="003E128C"/>
    <w:rsid w:val="003E1B0C"/>
    <w:rsid w:val="003E27B0"/>
    <w:rsid w:val="003E698A"/>
    <w:rsid w:val="003F1892"/>
    <w:rsid w:val="003F37D1"/>
    <w:rsid w:val="003F51C7"/>
    <w:rsid w:val="003F5305"/>
    <w:rsid w:val="003F5A20"/>
    <w:rsid w:val="003F5F62"/>
    <w:rsid w:val="003F66E5"/>
    <w:rsid w:val="003F6E0A"/>
    <w:rsid w:val="003F7585"/>
    <w:rsid w:val="003F767A"/>
    <w:rsid w:val="003F7781"/>
    <w:rsid w:val="00400284"/>
    <w:rsid w:val="004004C2"/>
    <w:rsid w:val="00400CC8"/>
    <w:rsid w:val="00400D18"/>
    <w:rsid w:val="00401750"/>
    <w:rsid w:val="00401F81"/>
    <w:rsid w:val="00402405"/>
    <w:rsid w:val="00402C03"/>
    <w:rsid w:val="004037B1"/>
    <w:rsid w:val="00403A25"/>
    <w:rsid w:val="0040435C"/>
    <w:rsid w:val="00404AF8"/>
    <w:rsid w:val="004059CC"/>
    <w:rsid w:val="0040732B"/>
    <w:rsid w:val="00407D27"/>
    <w:rsid w:val="00410A43"/>
    <w:rsid w:val="004111CD"/>
    <w:rsid w:val="00411C9C"/>
    <w:rsid w:val="004120AC"/>
    <w:rsid w:val="004126DF"/>
    <w:rsid w:val="00412CA3"/>
    <w:rsid w:val="00412CB4"/>
    <w:rsid w:val="0041370B"/>
    <w:rsid w:val="00413925"/>
    <w:rsid w:val="00413998"/>
    <w:rsid w:val="00413B54"/>
    <w:rsid w:val="00414686"/>
    <w:rsid w:val="0041561E"/>
    <w:rsid w:val="00416228"/>
    <w:rsid w:val="004166A1"/>
    <w:rsid w:val="004169D4"/>
    <w:rsid w:val="00416EB5"/>
    <w:rsid w:val="00417665"/>
    <w:rsid w:val="00420134"/>
    <w:rsid w:val="00420DB4"/>
    <w:rsid w:val="004226CB"/>
    <w:rsid w:val="00422870"/>
    <w:rsid w:val="0042309F"/>
    <w:rsid w:val="00425484"/>
    <w:rsid w:val="004277DB"/>
    <w:rsid w:val="0043085A"/>
    <w:rsid w:val="00431953"/>
    <w:rsid w:val="00432A45"/>
    <w:rsid w:val="0043308E"/>
    <w:rsid w:val="004338EB"/>
    <w:rsid w:val="004346AB"/>
    <w:rsid w:val="00434953"/>
    <w:rsid w:val="004366A9"/>
    <w:rsid w:val="00436ABA"/>
    <w:rsid w:val="0043719F"/>
    <w:rsid w:val="00440F18"/>
    <w:rsid w:val="00440FB6"/>
    <w:rsid w:val="0044117C"/>
    <w:rsid w:val="00443CC7"/>
    <w:rsid w:val="00444922"/>
    <w:rsid w:val="00444AAD"/>
    <w:rsid w:val="00444B5F"/>
    <w:rsid w:val="0044527E"/>
    <w:rsid w:val="00445835"/>
    <w:rsid w:val="00446DF0"/>
    <w:rsid w:val="00450601"/>
    <w:rsid w:val="004511A5"/>
    <w:rsid w:val="00452A3C"/>
    <w:rsid w:val="00452B44"/>
    <w:rsid w:val="00452B97"/>
    <w:rsid w:val="00453405"/>
    <w:rsid w:val="00453788"/>
    <w:rsid w:val="004567E5"/>
    <w:rsid w:val="00460AC3"/>
    <w:rsid w:val="00461B77"/>
    <w:rsid w:val="00463426"/>
    <w:rsid w:val="004634A0"/>
    <w:rsid w:val="00465EFD"/>
    <w:rsid w:val="004668D3"/>
    <w:rsid w:val="00466F72"/>
    <w:rsid w:val="0047003C"/>
    <w:rsid w:val="00470414"/>
    <w:rsid w:val="004706A7"/>
    <w:rsid w:val="00471253"/>
    <w:rsid w:val="00471E12"/>
    <w:rsid w:val="00473E0D"/>
    <w:rsid w:val="00474C95"/>
    <w:rsid w:val="00475030"/>
    <w:rsid w:val="00475627"/>
    <w:rsid w:val="00476AA5"/>
    <w:rsid w:val="00477256"/>
    <w:rsid w:val="0048090A"/>
    <w:rsid w:val="00480AC6"/>
    <w:rsid w:val="004813F6"/>
    <w:rsid w:val="004816EE"/>
    <w:rsid w:val="00481BAD"/>
    <w:rsid w:val="00481DC0"/>
    <w:rsid w:val="00481F2F"/>
    <w:rsid w:val="004823BB"/>
    <w:rsid w:val="00482497"/>
    <w:rsid w:val="00482D24"/>
    <w:rsid w:val="00482EFA"/>
    <w:rsid w:val="004845B3"/>
    <w:rsid w:val="00484767"/>
    <w:rsid w:val="00484D9E"/>
    <w:rsid w:val="00484DF3"/>
    <w:rsid w:val="00486237"/>
    <w:rsid w:val="00486A15"/>
    <w:rsid w:val="00486D33"/>
    <w:rsid w:val="00490437"/>
    <w:rsid w:val="0049090E"/>
    <w:rsid w:val="00490A87"/>
    <w:rsid w:val="00490EA9"/>
    <w:rsid w:val="004915C8"/>
    <w:rsid w:val="00491685"/>
    <w:rsid w:val="00493283"/>
    <w:rsid w:val="004939D9"/>
    <w:rsid w:val="0049441B"/>
    <w:rsid w:val="00494683"/>
    <w:rsid w:val="00494C0B"/>
    <w:rsid w:val="00495672"/>
    <w:rsid w:val="004958AE"/>
    <w:rsid w:val="00496062"/>
    <w:rsid w:val="00497A05"/>
    <w:rsid w:val="004A08CC"/>
    <w:rsid w:val="004A1535"/>
    <w:rsid w:val="004A1BEB"/>
    <w:rsid w:val="004A1DC9"/>
    <w:rsid w:val="004A2288"/>
    <w:rsid w:val="004A4B16"/>
    <w:rsid w:val="004A4DD7"/>
    <w:rsid w:val="004A697A"/>
    <w:rsid w:val="004A6D9D"/>
    <w:rsid w:val="004A789C"/>
    <w:rsid w:val="004B0713"/>
    <w:rsid w:val="004B0D8F"/>
    <w:rsid w:val="004B0EC7"/>
    <w:rsid w:val="004B1EDA"/>
    <w:rsid w:val="004B288C"/>
    <w:rsid w:val="004B323F"/>
    <w:rsid w:val="004B3A11"/>
    <w:rsid w:val="004B42F3"/>
    <w:rsid w:val="004B50FF"/>
    <w:rsid w:val="004B5D94"/>
    <w:rsid w:val="004B6511"/>
    <w:rsid w:val="004B6737"/>
    <w:rsid w:val="004B6D02"/>
    <w:rsid w:val="004B6D83"/>
    <w:rsid w:val="004B6DA1"/>
    <w:rsid w:val="004B6E50"/>
    <w:rsid w:val="004C0050"/>
    <w:rsid w:val="004C043E"/>
    <w:rsid w:val="004C062C"/>
    <w:rsid w:val="004C0F9A"/>
    <w:rsid w:val="004C1BF7"/>
    <w:rsid w:val="004C20FC"/>
    <w:rsid w:val="004C2E49"/>
    <w:rsid w:val="004C407F"/>
    <w:rsid w:val="004C4523"/>
    <w:rsid w:val="004C4EA9"/>
    <w:rsid w:val="004D00F8"/>
    <w:rsid w:val="004D03E8"/>
    <w:rsid w:val="004D0D01"/>
    <w:rsid w:val="004D11AF"/>
    <w:rsid w:val="004D2CEE"/>
    <w:rsid w:val="004D314B"/>
    <w:rsid w:val="004D3725"/>
    <w:rsid w:val="004D4042"/>
    <w:rsid w:val="004D481C"/>
    <w:rsid w:val="004D5921"/>
    <w:rsid w:val="004D7B22"/>
    <w:rsid w:val="004E3455"/>
    <w:rsid w:val="004E38CC"/>
    <w:rsid w:val="004E4F51"/>
    <w:rsid w:val="004F0AA7"/>
    <w:rsid w:val="004F1737"/>
    <w:rsid w:val="004F3B00"/>
    <w:rsid w:val="004F4471"/>
    <w:rsid w:val="004F4F3C"/>
    <w:rsid w:val="004F6353"/>
    <w:rsid w:val="004F651C"/>
    <w:rsid w:val="004F77A8"/>
    <w:rsid w:val="00500833"/>
    <w:rsid w:val="00501E8F"/>
    <w:rsid w:val="005027FA"/>
    <w:rsid w:val="00502E20"/>
    <w:rsid w:val="00502FD6"/>
    <w:rsid w:val="00504277"/>
    <w:rsid w:val="00504D95"/>
    <w:rsid w:val="00505029"/>
    <w:rsid w:val="005054E5"/>
    <w:rsid w:val="00505840"/>
    <w:rsid w:val="00505B48"/>
    <w:rsid w:val="00506300"/>
    <w:rsid w:val="005065F4"/>
    <w:rsid w:val="00506AD2"/>
    <w:rsid w:val="005074AF"/>
    <w:rsid w:val="00507C20"/>
    <w:rsid w:val="00507E05"/>
    <w:rsid w:val="0051073A"/>
    <w:rsid w:val="005117AE"/>
    <w:rsid w:val="00511BA2"/>
    <w:rsid w:val="00512CF0"/>
    <w:rsid w:val="0051377F"/>
    <w:rsid w:val="00513C9E"/>
    <w:rsid w:val="0051418E"/>
    <w:rsid w:val="0051528B"/>
    <w:rsid w:val="00515A81"/>
    <w:rsid w:val="0051612D"/>
    <w:rsid w:val="005175C4"/>
    <w:rsid w:val="00517EE4"/>
    <w:rsid w:val="00520BFD"/>
    <w:rsid w:val="005219BA"/>
    <w:rsid w:val="00521C01"/>
    <w:rsid w:val="00524665"/>
    <w:rsid w:val="00526CAD"/>
    <w:rsid w:val="00526E4A"/>
    <w:rsid w:val="005271A9"/>
    <w:rsid w:val="00527B84"/>
    <w:rsid w:val="00527D51"/>
    <w:rsid w:val="0053322E"/>
    <w:rsid w:val="00533AF6"/>
    <w:rsid w:val="00533E06"/>
    <w:rsid w:val="00534700"/>
    <w:rsid w:val="00534D45"/>
    <w:rsid w:val="00535766"/>
    <w:rsid w:val="005437A2"/>
    <w:rsid w:val="00544751"/>
    <w:rsid w:val="00544845"/>
    <w:rsid w:val="00545030"/>
    <w:rsid w:val="005452C3"/>
    <w:rsid w:val="0054543A"/>
    <w:rsid w:val="00545F60"/>
    <w:rsid w:val="00546BD2"/>
    <w:rsid w:val="00547BBD"/>
    <w:rsid w:val="00547E70"/>
    <w:rsid w:val="00547F1C"/>
    <w:rsid w:val="00550590"/>
    <w:rsid w:val="00550A71"/>
    <w:rsid w:val="00552C5B"/>
    <w:rsid w:val="00553232"/>
    <w:rsid w:val="005538A7"/>
    <w:rsid w:val="0055497F"/>
    <w:rsid w:val="00554D9B"/>
    <w:rsid w:val="00556239"/>
    <w:rsid w:val="00556A91"/>
    <w:rsid w:val="00557063"/>
    <w:rsid w:val="00559F05"/>
    <w:rsid w:val="00560560"/>
    <w:rsid w:val="005608BC"/>
    <w:rsid w:val="00561349"/>
    <w:rsid w:val="005616FC"/>
    <w:rsid w:val="005617E3"/>
    <w:rsid w:val="005618BF"/>
    <w:rsid w:val="0056199B"/>
    <w:rsid w:val="00562459"/>
    <w:rsid w:val="00562D71"/>
    <w:rsid w:val="00562DF7"/>
    <w:rsid w:val="00565D0F"/>
    <w:rsid w:val="00565F12"/>
    <w:rsid w:val="005661FA"/>
    <w:rsid w:val="005663B7"/>
    <w:rsid w:val="00567D52"/>
    <w:rsid w:val="005714E9"/>
    <w:rsid w:val="00571746"/>
    <w:rsid w:val="00571AF6"/>
    <w:rsid w:val="00571D92"/>
    <w:rsid w:val="005727DA"/>
    <w:rsid w:val="0057336A"/>
    <w:rsid w:val="00573D46"/>
    <w:rsid w:val="005765FC"/>
    <w:rsid w:val="00576ADE"/>
    <w:rsid w:val="00576D1C"/>
    <w:rsid w:val="00576FB4"/>
    <w:rsid w:val="0057786E"/>
    <w:rsid w:val="005802AA"/>
    <w:rsid w:val="00582554"/>
    <w:rsid w:val="005825A9"/>
    <w:rsid w:val="0058341C"/>
    <w:rsid w:val="00583752"/>
    <w:rsid w:val="00583EFD"/>
    <w:rsid w:val="00584587"/>
    <w:rsid w:val="0058470F"/>
    <w:rsid w:val="00584783"/>
    <w:rsid w:val="00584E94"/>
    <w:rsid w:val="0058574F"/>
    <w:rsid w:val="0058596A"/>
    <w:rsid w:val="0058631B"/>
    <w:rsid w:val="00586350"/>
    <w:rsid w:val="005869D4"/>
    <w:rsid w:val="00586B52"/>
    <w:rsid w:val="00587D94"/>
    <w:rsid w:val="00590568"/>
    <w:rsid w:val="00590581"/>
    <w:rsid w:val="00591A73"/>
    <w:rsid w:val="005924CC"/>
    <w:rsid w:val="00592995"/>
    <w:rsid w:val="005938C2"/>
    <w:rsid w:val="005945E9"/>
    <w:rsid w:val="00594B18"/>
    <w:rsid w:val="00595205"/>
    <w:rsid w:val="005955DA"/>
    <w:rsid w:val="00595E57"/>
    <w:rsid w:val="00597F95"/>
    <w:rsid w:val="005A066C"/>
    <w:rsid w:val="005A1551"/>
    <w:rsid w:val="005A1BF6"/>
    <w:rsid w:val="005A1E6C"/>
    <w:rsid w:val="005A1EF1"/>
    <w:rsid w:val="005A243D"/>
    <w:rsid w:val="005A2D52"/>
    <w:rsid w:val="005A6C27"/>
    <w:rsid w:val="005B06D8"/>
    <w:rsid w:val="005B100D"/>
    <w:rsid w:val="005B1345"/>
    <w:rsid w:val="005B338F"/>
    <w:rsid w:val="005B4284"/>
    <w:rsid w:val="005B59EA"/>
    <w:rsid w:val="005B7148"/>
    <w:rsid w:val="005B7DBB"/>
    <w:rsid w:val="005C3272"/>
    <w:rsid w:val="005C396A"/>
    <w:rsid w:val="005C3D14"/>
    <w:rsid w:val="005C3EB7"/>
    <w:rsid w:val="005C4A57"/>
    <w:rsid w:val="005C4CC4"/>
    <w:rsid w:val="005C509E"/>
    <w:rsid w:val="005C596F"/>
    <w:rsid w:val="005C5F06"/>
    <w:rsid w:val="005C7EEF"/>
    <w:rsid w:val="005D21B8"/>
    <w:rsid w:val="005D21CA"/>
    <w:rsid w:val="005D2543"/>
    <w:rsid w:val="005D37AD"/>
    <w:rsid w:val="005D3A7D"/>
    <w:rsid w:val="005D3C8D"/>
    <w:rsid w:val="005D5473"/>
    <w:rsid w:val="005D5FFF"/>
    <w:rsid w:val="005D647F"/>
    <w:rsid w:val="005D67DB"/>
    <w:rsid w:val="005D7334"/>
    <w:rsid w:val="005D7DC8"/>
    <w:rsid w:val="005E0EA8"/>
    <w:rsid w:val="005E1995"/>
    <w:rsid w:val="005E213F"/>
    <w:rsid w:val="005E29A5"/>
    <w:rsid w:val="005E2B80"/>
    <w:rsid w:val="005E2C26"/>
    <w:rsid w:val="005E44BC"/>
    <w:rsid w:val="005E5E46"/>
    <w:rsid w:val="005E60DA"/>
    <w:rsid w:val="005E7247"/>
    <w:rsid w:val="005F1389"/>
    <w:rsid w:val="005F1BFD"/>
    <w:rsid w:val="005F1C7E"/>
    <w:rsid w:val="005F24D3"/>
    <w:rsid w:val="005F2953"/>
    <w:rsid w:val="005F2972"/>
    <w:rsid w:val="005F29C9"/>
    <w:rsid w:val="005F2ED5"/>
    <w:rsid w:val="005F3A4A"/>
    <w:rsid w:val="005F5096"/>
    <w:rsid w:val="005F6C92"/>
    <w:rsid w:val="005F7207"/>
    <w:rsid w:val="005F79B9"/>
    <w:rsid w:val="00601B64"/>
    <w:rsid w:val="00601FB5"/>
    <w:rsid w:val="00603810"/>
    <w:rsid w:val="006040F2"/>
    <w:rsid w:val="00604B45"/>
    <w:rsid w:val="00605628"/>
    <w:rsid w:val="00605871"/>
    <w:rsid w:val="00613476"/>
    <w:rsid w:val="00613EF7"/>
    <w:rsid w:val="00614A1F"/>
    <w:rsid w:val="00614AD5"/>
    <w:rsid w:val="0061513D"/>
    <w:rsid w:val="006155AE"/>
    <w:rsid w:val="0061787E"/>
    <w:rsid w:val="00617B76"/>
    <w:rsid w:val="00620E03"/>
    <w:rsid w:val="00621662"/>
    <w:rsid w:val="0062290B"/>
    <w:rsid w:val="00622D70"/>
    <w:rsid w:val="00623AB6"/>
    <w:rsid w:val="0062485B"/>
    <w:rsid w:val="00624BFA"/>
    <w:rsid w:val="006255DD"/>
    <w:rsid w:val="00625646"/>
    <w:rsid w:val="00626D4D"/>
    <w:rsid w:val="0062751A"/>
    <w:rsid w:val="00630055"/>
    <w:rsid w:val="006300B7"/>
    <w:rsid w:val="00630E29"/>
    <w:rsid w:val="00630FC9"/>
    <w:rsid w:val="0063138D"/>
    <w:rsid w:val="00631C4B"/>
    <w:rsid w:val="00632A75"/>
    <w:rsid w:val="00633719"/>
    <w:rsid w:val="00633A1C"/>
    <w:rsid w:val="006344A5"/>
    <w:rsid w:val="006357C4"/>
    <w:rsid w:val="00637D2D"/>
    <w:rsid w:val="00640179"/>
    <w:rsid w:val="00640A81"/>
    <w:rsid w:val="006411DF"/>
    <w:rsid w:val="0064140E"/>
    <w:rsid w:val="00641438"/>
    <w:rsid w:val="00642910"/>
    <w:rsid w:val="006429C6"/>
    <w:rsid w:val="00642CA3"/>
    <w:rsid w:val="006442D8"/>
    <w:rsid w:val="00644615"/>
    <w:rsid w:val="00644912"/>
    <w:rsid w:val="006455E2"/>
    <w:rsid w:val="00645E70"/>
    <w:rsid w:val="0064625E"/>
    <w:rsid w:val="006500C3"/>
    <w:rsid w:val="00650732"/>
    <w:rsid w:val="006532BF"/>
    <w:rsid w:val="00653CC9"/>
    <w:rsid w:val="0065441C"/>
    <w:rsid w:val="00654F15"/>
    <w:rsid w:val="00655530"/>
    <w:rsid w:val="006558D7"/>
    <w:rsid w:val="006558F5"/>
    <w:rsid w:val="00655B1C"/>
    <w:rsid w:val="00655C66"/>
    <w:rsid w:val="0065668E"/>
    <w:rsid w:val="00657134"/>
    <w:rsid w:val="006571D6"/>
    <w:rsid w:val="006576EF"/>
    <w:rsid w:val="00657B23"/>
    <w:rsid w:val="00657EA0"/>
    <w:rsid w:val="00662BB3"/>
    <w:rsid w:val="006637C6"/>
    <w:rsid w:val="006641C1"/>
    <w:rsid w:val="00667DB8"/>
    <w:rsid w:val="006711E8"/>
    <w:rsid w:val="006714F4"/>
    <w:rsid w:val="00672B29"/>
    <w:rsid w:val="006731BB"/>
    <w:rsid w:val="0067396F"/>
    <w:rsid w:val="00673CC9"/>
    <w:rsid w:val="00675787"/>
    <w:rsid w:val="00676547"/>
    <w:rsid w:val="006765F9"/>
    <w:rsid w:val="006767C4"/>
    <w:rsid w:val="0067718A"/>
    <w:rsid w:val="006772BF"/>
    <w:rsid w:val="00677EDD"/>
    <w:rsid w:val="00680693"/>
    <w:rsid w:val="00680D86"/>
    <w:rsid w:val="0068209F"/>
    <w:rsid w:val="006824CA"/>
    <w:rsid w:val="006830F0"/>
    <w:rsid w:val="006866AD"/>
    <w:rsid w:val="006866BD"/>
    <w:rsid w:val="006914E7"/>
    <w:rsid w:val="00691807"/>
    <w:rsid w:val="006919E2"/>
    <w:rsid w:val="00691A74"/>
    <w:rsid w:val="00692C75"/>
    <w:rsid w:val="00694B41"/>
    <w:rsid w:val="006950CB"/>
    <w:rsid w:val="006953A6"/>
    <w:rsid w:val="0069588D"/>
    <w:rsid w:val="00696FAF"/>
    <w:rsid w:val="0069757C"/>
    <w:rsid w:val="006A15F0"/>
    <w:rsid w:val="006A1625"/>
    <w:rsid w:val="006A1951"/>
    <w:rsid w:val="006A1AC6"/>
    <w:rsid w:val="006A26FE"/>
    <w:rsid w:val="006A27C6"/>
    <w:rsid w:val="006A3989"/>
    <w:rsid w:val="006A440E"/>
    <w:rsid w:val="006A6057"/>
    <w:rsid w:val="006B0071"/>
    <w:rsid w:val="006B067E"/>
    <w:rsid w:val="006B122D"/>
    <w:rsid w:val="006B1AF9"/>
    <w:rsid w:val="006B30AD"/>
    <w:rsid w:val="006B340B"/>
    <w:rsid w:val="006B3B29"/>
    <w:rsid w:val="006B4080"/>
    <w:rsid w:val="006B4290"/>
    <w:rsid w:val="006B4621"/>
    <w:rsid w:val="006B4E93"/>
    <w:rsid w:val="006B5E76"/>
    <w:rsid w:val="006B66E7"/>
    <w:rsid w:val="006B7486"/>
    <w:rsid w:val="006C1E58"/>
    <w:rsid w:val="006C2200"/>
    <w:rsid w:val="006C318F"/>
    <w:rsid w:val="006C47F2"/>
    <w:rsid w:val="006C7687"/>
    <w:rsid w:val="006C7D5A"/>
    <w:rsid w:val="006D09E0"/>
    <w:rsid w:val="006D0BDE"/>
    <w:rsid w:val="006D17DA"/>
    <w:rsid w:val="006D198C"/>
    <w:rsid w:val="006D2F7B"/>
    <w:rsid w:val="006D4238"/>
    <w:rsid w:val="006D440C"/>
    <w:rsid w:val="006D4457"/>
    <w:rsid w:val="006D4D21"/>
    <w:rsid w:val="006D5C96"/>
    <w:rsid w:val="006D6989"/>
    <w:rsid w:val="006D7895"/>
    <w:rsid w:val="006E051B"/>
    <w:rsid w:val="006E091E"/>
    <w:rsid w:val="006E1F46"/>
    <w:rsid w:val="006E2030"/>
    <w:rsid w:val="006E226C"/>
    <w:rsid w:val="006E2B77"/>
    <w:rsid w:val="006E38F7"/>
    <w:rsid w:val="006E3C15"/>
    <w:rsid w:val="006E417C"/>
    <w:rsid w:val="006E428F"/>
    <w:rsid w:val="006E4916"/>
    <w:rsid w:val="006E5EDB"/>
    <w:rsid w:val="006E61E6"/>
    <w:rsid w:val="006E6A39"/>
    <w:rsid w:val="006E77AB"/>
    <w:rsid w:val="006F0B26"/>
    <w:rsid w:val="006F0BA7"/>
    <w:rsid w:val="006F1237"/>
    <w:rsid w:val="006F1C07"/>
    <w:rsid w:val="006F2E66"/>
    <w:rsid w:val="006F36AE"/>
    <w:rsid w:val="006F45BB"/>
    <w:rsid w:val="006F6C33"/>
    <w:rsid w:val="00700465"/>
    <w:rsid w:val="00700586"/>
    <w:rsid w:val="00701923"/>
    <w:rsid w:val="00703BDF"/>
    <w:rsid w:val="00704473"/>
    <w:rsid w:val="00704E9C"/>
    <w:rsid w:val="00704F2C"/>
    <w:rsid w:val="007056EC"/>
    <w:rsid w:val="00705DF4"/>
    <w:rsid w:val="00706A25"/>
    <w:rsid w:val="00706EEC"/>
    <w:rsid w:val="00706FA8"/>
    <w:rsid w:val="007119AD"/>
    <w:rsid w:val="00711C94"/>
    <w:rsid w:val="007128FB"/>
    <w:rsid w:val="00712AAE"/>
    <w:rsid w:val="00713831"/>
    <w:rsid w:val="00714F10"/>
    <w:rsid w:val="00715055"/>
    <w:rsid w:val="007162FB"/>
    <w:rsid w:val="00717C72"/>
    <w:rsid w:val="007208C3"/>
    <w:rsid w:val="0072096F"/>
    <w:rsid w:val="00720A22"/>
    <w:rsid w:val="00721761"/>
    <w:rsid w:val="00721D89"/>
    <w:rsid w:val="007247F7"/>
    <w:rsid w:val="00725C94"/>
    <w:rsid w:val="00725EB6"/>
    <w:rsid w:val="007260B1"/>
    <w:rsid w:val="007317C3"/>
    <w:rsid w:val="007337E7"/>
    <w:rsid w:val="007345BB"/>
    <w:rsid w:val="00734C01"/>
    <w:rsid w:val="00735C51"/>
    <w:rsid w:val="0073730E"/>
    <w:rsid w:val="0074070E"/>
    <w:rsid w:val="007412F7"/>
    <w:rsid w:val="00741A87"/>
    <w:rsid w:val="00741CEB"/>
    <w:rsid w:val="007420B5"/>
    <w:rsid w:val="00742613"/>
    <w:rsid w:val="00742E7C"/>
    <w:rsid w:val="0074370D"/>
    <w:rsid w:val="00744E11"/>
    <w:rsid w:val="00744F24"/>
    <w:rsid w:val="00745C9B"/>
    <w:rsid w:val="00745EDE"/>
    <w:rsid w:val="00746056"/>
    <w:rsid w:val="007462F6"/>
    <w:rsid w:val="00746667"/>
    <w:rsid w:val="0075059C"/>
    <w:rsid w:val="00750744"/>
    <w:rsid w:val="00751534"/>
    <w:rsid w:val="007519CA"/>
    <w:rsid w:val="0075212E"/>
    <w:rsid w:val="007534C7"/>
    <w:rsid w:val="00755243"/>
    <w:rsid w:val="00755716"/>
    <w:rsid w:val="00756D6A"/>
    <w:rsid w:val="007571A6"/>
    <w:rsid w:val="00757394"/>
    <w:rsid w:val="0075768B"/>
    <w:rsid w:val="00757DEF"/>
    <w:rsid w:val="00761526"/>
    <w:rsid w:val="00761979"/>
    <w:rsid w:val="00765DAD"/>
    <w:rsid w:val="0076635C"/>
    <w:rsid w:val="00766E19"/>
    <w:rsid w:val="00767113"/>
    <w:rsid w:val="00767C23"/>
    <w:rsid w:val="00771AD4"/>
    <w:rsid w:val="00774A36"/>
    <w:rsid w:val="00774DC8"/>
    <w:rsid w:val="007761D2"/>
    <w:rsid w:val="0077660E"/>
    <w:rsid w:val="00776E58"/>
    <w:rsid w:val="007771D4"/>
    <w:rsid w:val="007805A3"/>
    <w:rsid w:val="007806B6"/>
    <w:rsid w:val="00780DE6"/>
    <w:rsid w:val="007810C4"/>
    <w:rsid w:val="0078331C"/>
    <w:rsid w:val="007834C6"/>
    <w:rsid w:val="00784290"/>
    <w:rsid w:val="00784872"/>
    <w:rsid w:val="007848D9"/>
    <w:rsid w:val="00784F87"/>
    <w:rsid w:val="007864A4"/>
    <w:rsid w:val="00786F50"/>
    <w:rsid w:val="007873D1"/>
    <w:rsid w:val="00790F01"/>
    <w:rsid w:val="007925D6"/>
    <w:rsid w:val="00793121"/>
    <w:rsid w:val="00793A60"/>
    <w:rsid w:val="00793AEB"/>
    <w:rsid w:val="00793B94"/>
    <w:rsid w:val="00794EC7"/>
    <w:rsid w:val="00796FAA"/>
    <w:rsid w:val="007A266A"/>
    <w:rsid w:val="007A27D6"/>
    <w:rsid w:val="007A2BCD"/>
    <w:rsid w:val="007A3426"/>
    <w:rsid w:val="007A3E79"/>
    <w:rsid w:val="007A54E9"/>
    <w:rsid w:val="007A62C8"/>
    <w:rsid w:val="007A7907"/>
    <w:rsid w:val="007A7BB5"/>
    <w:rsid w:val="007B0509"/>
    <w:rsid w:val="007B0EAC"/>
    <w:rsid w:val="007B1391"/>
    <w:rsid w:val="007B2ECE"/>
    <w:rsid w:val="007B3606"/>
    <w:rsid w:val="007B3960"/>
    <w:rsid w:val="007B3987"/>
    <w:rsid w:val="007B4935"/>
    <w:rsid w:val="007B4C21"/>
    <w:rsid w:val="007B65A7"/>
    <w:rsid w:val="007B6678"/>
    <w:rsid w:val="007B7250"/>
    <w:rsid w:val="007C00A8"/>
    <w:rsid w:val="007C0E9A"/>
    <w:rsid w:val="007C1FAF"/>
    <w:rsid w:val="007C2F2B"/>
    <w:rsid w:val="007C3098"/>
    <w:rsid w:val="007C445D"/>
    <w:rsid w:val="007C5573"/>
    <w:rsid w:val="007C5AD8"/>
    <w:rsid w:val="007C6FC5"/>
    <w:rsid w:val="007D0157"/>
    <w:rsid w:val="007D1469"/>
    <w:rsid w:val="007D3C84"/>
    <w:rsid w:val="007D4315"/>
    <w:rsid w:val="007D4C60"/>
    <w:rsid w:val="007D5B20"/>
    <w:rsid w:val="007D5F92"/>
    <w:rsid w:val="007D6D5F"/>
    <w:rsid w:val="007D7602"/>
    <w:rsid w:val="007E0715"/>
    <w:rsid w:val="007E0A6E"/>
    <w:rsid w:val="007E0EC2"/>
    <w:rsid w:val="007E2195"/>
    <w:rsid w:val="007E3721"/>
    <w:rsid w:val="007E49FD"/>
    <w:rsid w:val="007E5BE2"/>
    <w:rsid w:val="007F27B2"/>
    <w:rsid w:val="007F299A"/>
    <w:rsid w:val="007F4893"/>
    <w:rsid w:val="007F4DEE"/>
    <w:rsid w:val="007F5193"/>
    <w:rsid w:val="007F5902"/>
    <w:rsid w:val="007F6351"/>
    <w:rsid w:val="007F7B3E"/>
    <w:rsid w:val="008005E7"/>
    <w:rsid w:val="00801AD7"/>
    <w:rsid w:val="00801D0C"/>
    <w:rsid w:val="00802AB0"/>
    <w:rsid w:val="008041A0"/>
    <w:rsid w:val="00804292"/>
    <w:rsid w:val="0080444A"/>
    <w:rsid w:val="00805314"/>
    <w:rsid w:val="00805EF8"/>
    <w:rsid w:val="00806CD3"/>
    <w:rsid w:val="00810303"/>
    <w:rsid w:val="0081113F"/>
    <w:rsid w:val="0081167F"/>
    <w:rsid w:val="008116E4"/>
    <w:rsid w:val="008118F1"/>
    <w:rsid w:val="00812C6B"/>
    <w:rsid w:val="008131D8"/>
    <w:rsid w:val="008132B9"/>
    <w:rsid w:val="0081351E"/>
    <w:rsid w:val="0081388F"/>
    <w:rsid w:val="00813D04"/>
    <w:rsid w:val="00814701"/>
    <w:rsid w:val="00814A43"/>
    <w:rsid w:val="00816084"/>
    <w:rsid w:val="00816822"/>
    <w:rsid w:val="00816E9D"/>
    <w:rsid w:val="00817AB4"/>
    <w:rsid w:val="008228F9"/>
    <w:rsid w:val="0082315B"/>
    <w:rsid w:val="00824501"/>
    <w:rsid w:val="0082561D"/>
    <w:rsid w:val="00825C20"/>
    <w:rsid w:val="00826AE8"/>
    <w:rsid w:val="008306C2"/>
    <w:rsid w:val="00831E62"/>
    <w:rsid w:val="008320BE"/>
    <w:rsid w:val="00832266"/>
    <w:rsid w:val="008341B3"/>
    <w:rsid w:val="00834624"/>
    <w:rsid w:val="0083570D"/>
    <w:rsid w:val="008359E1"/>
    <w:rsid w:val="00835A05"/>
    <w:rsid w:val="00835EAE"/>
    <w:rsid w:val="00836356"/>
    <w:rsid w:val="00836BCF"/>
    <w:rsid w:val="00837E13"/>
    <w:rsid w:val="00840B2B"/>
    <w:rsid w:val="00840B2F"/>
    <w:rsid w:val="00840CB1"/>
    <w:rsid w:val="00842F67"/>
    <w:rsid w:val="0084322F"/>
    <w:rsid w:val="00843791"/>
    <w:rsid w:val="00843C44"/>
    <w:rsid w:val="00843E77"/>
    <w:rsid w:val="0084416C"/>
    <w:rsid w:val="00845E45"/>
    <w:rsid w:val="0085040C"/>
    <w:rsid w:val="0085058F"/>
    <w:rsid w:val="008518B8"/>
    <w:rsid w:val="00851D03"/>
    <w:rsid w:val="00852164"/>
    <w:rsid w:val="0085330C"/>
    <w:rsid w:val="008537BF"/>
    <w:rsid w:val="00853D47"/>
    <w:rsid w:val="0085540A"/>
    <w:rsid w:val="008557C4"/>
    <w:rsid w:val="008577E9"/>
    <w:rsid w:val="00860E7B"/>
    <w:rsid w:val="00861D9E"/>
    <w:rsid w:val="00861E46"/>
    <w:rsid w:val="0086290E"/>
    <w:rsid w:val="00862DA7"/>
    <w:rsid w:val="00863E84"/>
    <w:rsid w:val="00865D77"/>
    <w:rsid w:val="00866733"/>
    <w:rsid w:val="00866D47"/>
    <w:rsid w:val="008670BE"/>
    <w:rsid w:val="00867613"/>
    <w:rsid w:val="0087247C"/>
    <w:rsid w:val="00872A98"/>
    <w:rsid w:val="008737C3"/>
    <w:rsid w:val="00873FDF"/>
    <w:rsid w:val="00874057"/>
    <w:rsid w:val="008758A6"/>
    <w:rsid w:val="008777FD"/>
    <w:rsid w:val="00877B99"/>
    <w:rsid w:val="00877FE4"/>
    <w:rsid w:val="0088002F"/>
    <w:rsid w:val="00881577"/>
    <w:rsid w:val="008818B5"/>
    <w:rsid w:val="00882A58"/>
    <w:rsid w:val="0088303E"/>
    <w:rsid w:val="00883464"/>
    <w:rsid w:val="00884278"/>
    <w:rsid w:val="00884442"/>
    <w:rsid w:val="008847BB"/>
    <w:rsid w:val="00885176"/>
    <w:rsid w:val="00885C16"/>
    <w:rsid w:val="00885D47"/>
    <w:rsid w:val="00886A97"/>
    <w:rsid w:val="00886BF3"/>
    <w:rsid w:val="0088767C"/>
    <w:rsid w:val="0089064D"/>
    <w:rsid w:val="00891236"/>
    <w:rsid w:val="008917C3"/>
    <w:rsid w:val="008927A8"/>
    <w:rsid w:val="008929D7"/>
    <w:rsid w:val="00893128"/>
    <w:rsid w:val="008955B9"/>
    <w:rsid w:val="008965E5"/>
    <w:rsid w:val="00897842"/>
    <w:rsid w:val="008978CE"/>
    <w:rsid w:val="008A0624"/>
    <w:rsid w:val="008A0F77"/>
    <w:rsid w:val="008A1791"/>
    <w:rsid w:val="008A19B7"/>
    <w:rsid w:val="008A1A47"/>
    <w:rsid w:val="008A1F3E"/>
    <w:rsid w:val="008A2659"/>
    <w:rsid w:val="008A2830"/>
    <w:rsid w:val="008A3763"/>
    <w:rsid w:val="008A4FF0"/>
    <w:rsid w:val="008A624E"/>
    <w:rsid w:val="008A6558"/>
    <w:rsid w:val="008A69E7"/>
    <w:rsid w:val="008A6B31"/>
    <w:rsid w:val="008A747F"/>
    <w:rsid w:val="008B150F"/>
    <w:rsid w:val="008B1BDD"/>
    <w:rsid w:val="008B1CC1"/>
    <w:rsid w:val="008B201A"/>
    <w:rsid w:val="008B2335"/>
    <w:rsid w:val="008B24A3"/>
    <w:rsid w:val="008B2A3D"/>
    <w:rsid w:val="008B2BE1"/>
    <w:rsid w:val="008B311A"/>
    <w:rsid w:val="008B51FF"/>
    <w:rsid w:val="008B5C5B"/>
    <w:rsid w:val="008B5F8A"/>
    <w:rsid w:val="008B65A8"/>
    <w:rsid w:val="008B6EA0"/>
    <w:rsid w:val="008B7A54"/>
    <w:rsid w:val="008B7EDA"/>
    <w:rsid w:val="008C09CF"/>
    <w:rsid w:val="008C0D35"/>
    <w:rsid w:val="008C2F7C"/>
    <w:rsid w:val="008C3818"/>
    <w:rsid w:val="008C4242"/>
    <w:rsid w:val="008C53C6"/>
    <w:rsid w:val="008C62FA"/>
    <w:rsid w:val="008C675C"/>
    <w:rsid w:val="008D06C5"/>
    <w:rsid w:val="008D0796"/>
    <w:rsid w:val="008D0A1B"/>
    <w:rsid w:val="008D0A3A"/>
    <w:rsid w:val="008D0E11"/>
    <w:rsid w:val="008D12D9"/>
    <w:rsid w:val="008D3248"/>
    <w:rsid w:val="008D5883"/>
    <w:rsid w:val="008D623E"/>
    <w:rsid w:val="008D751E"/>
    <w:rsid w:val="008E0167"/>
    <w:rsid w:val="008E03EB"/>
    <w:rsid w:val="008E1C54"/>
    <w:rsid w:val="008E21DB"/>
    <w:rsid w:val="008E3A8C"/>
    <w:rsid w:val="008E481D"/>
    <w:rsid w:val="008E4982"/>
    <w:rsid w:val="008E4CBB"/>
    <w:rsid w:val="008E55F8"/>
    <w:rsid w:val="008E6320"/>
    <w:rsid w:val="008F06D6"/>
    <w:rsid w:val="008F0C48"/>
    <w:rsid w:val="008F2E08"/>
    <w:rsid w:val="008F2F46"/>
    <w:rsid w:val="008F3120"/>
    <w:rsid w:val="008F382B"/>
    <w:rsid w:val="008F4D18"/>
    <w:rsid w:val="008F5863"/>
    <w:rsid w:val="008F5CC6"/>
    <w:rsid w:val="008F76FB"/>
    <w:rsid w:val="008F7FC3"/>
    <w:rsid w:val="00900153"/>
    <w:rsid w:val="00900220"/>
    <w:rsid w:val="00900658"/>
    <w:rsid w:val="00901742"/>
    <w:rsid w:val="00901DCB"/>
    <w:rsid w:val="00902BAC"/>
    <w:rsid w:val="009038B6"/>
    <w:rsid w:val="009041A7"/>
    <w:rsid w:val="00905B15"/>
    <w:rsid w:val="0090714A"/>
    <w:rsid w:val="00907693"/>
    <w:rsid w:val="00912240"/>
    <w:rsid w:val="0091354C"/>
    <w:rsid w:val="009135BF"/>
    <w:rsid w:val="00914E72"/>
    <w:rsid w:val="009157D4"/>
    <w:rsid w:val="00915A3C"/>
    <w:rsid w:val="00916902"/>
    <w:rsid w:val="00916ED4"/>
    <w:rsid w:val="00916F8F"/>
    <w:rsid w:val="009175BF"/>
    <w:rsid w:val="00920A2E"/>
    <w:rsid w:val="00920B3B"/>
    <w:rsid w:val="009212D9"/>
    <w:rsid w:val="0092388B"/>
    <w:rsid w:val="0092452A"/>
    <w:rsid w:val="0092557E"/>
    <w:rsid w:val="009261DC"/>
    <w:rsid w:val="0092639E"/>
    <w:rsid w:val="00926456"/>
    <w:rsid w:val="00926538"/>
    <w:rsid w:val="00926FA5"/>
    <w:rsid w:val="00927700"/>
    <w:rsid w:val="0092796A"/>
    <w:rsid w:val="00927D7A"/>
    <w:rsid w:val="009309C9"/>
    <w:rsid w:val="00931534"/>
    <w:rsid w:val="0093168A"/>
    <w:rsid w:val="009318EC"/>
    <w:rsid w:val="009320D0"/>
    <w:rsid w:val="00932193"/>
    <w:rsid w:val="0093233F"/>
    <w:rsid w:val="0093299F"/>
    <w:rsid w:val="00932FD6"/>
    <w:rsid w:val="009333D8"/>
    <w:rsid w:val="00933B84"/>
    <w:rsid w:val="00934010"/>
    <w:rsid w:val="009340D2"/>
    <w:rsid w:val="00934994"/>
    <w:rsid w:val="00934C27"/>
    <w:rsid w:val="00934D78"/>
    <w:rsid w:val="00935184"/>
    <w:rsid w:val="0093562F"/>
    <w:rsid w:val="009356F4"/>
    <w:rsid w:val="0093587F"/>
    <w:rsid w:val="00937569"/>
    <w:rsid w:val="0093788C"/>
    <w:rsid w:val="00940DE8"/>
    <w:rsid w:val="009415BA"/>
    <w:rsid w:val="00941AA1"/>
    <w:rsid w:val="009424AB"/>
    <w:rsid w:val="009427EE"/>
    <w:rsid w:val="00942FB3"/>
    <w:rsid w:val="00945376"/>
    <w:rsid w:val="00946CC6"/>
    <w:rsid w:val="00947262"/>
    <w:rsid w:val="00947A44"/>
    <w:rsid w:val="00947D6D"/>
    <w:rsid w:val="00951100"/>
    <w:rsid w:val="00954912"/>
    <w:rsid w:val="009577B2"/>
    <w:rsid w:val="00961185"/>
    <w:rsid w:val="00961382"/>
    <w:rsid w:val="00961C68"/>
    <w:rsid w:val="00962041"/>
    <w:rsid w:val="0096409B"/>
    <w:rsid w:val="0096486A"/>
    <w:rsid w:val="009652FA"/>
    <w:rsid w:val="0096541B"/>
    <w:rsid w:val="00965FC9"/>
    <w:rsid w:val="0096619C"/>
    <w:rsid w:val="009667B8"/>
    <w:rsid w:val="00966E29"/>
    <w:rsid w:val="009671CE"/>
    <w:rsid w:val="00970234"/>
    <w:rsid w:val="0097063A"/>
    <w:rsid w:val="00971B0D"/>
    <w:rsid w:val="00971E62"/>
    <w:rsid w:val="00972465"/>
    <w:rsid w:val="00972D54"/>
    <w:rsid w:val="00972EBA"/>
    <w:rsid w:val="0097409C"/>
    <w:rsid w:val="009744E3"/>
    <w:rsid w:val="00975B0E"/>
    <w:rsid w:val="00975D94"/>
    <w:rsid w:val="00976FD1"/>
    <w:rsid w:val="0097743A"/>
    <w:rsid w:val="00980BEA"/>
    <w:rsid w:val="00982738"/>
    <w:rsid w:val="009827E7"/>
    <w:rsid w:val="00982F74"/>
    <w:rsid w:val="00983323"/>
    <w:rsid w:val="009834AA"/>
    <w:rsid w:val="00983A14"/>
    <w:rsid w:val="00984050"/>
    <w:rsid w:val="0098411D"/>
    <w:rsid w:val="00986B2E"/>
    <w:rsid w:val="00987170"/>
    <w:rsid w:val="00987B75"/>
    <w:rsid w:val="00987D1B"/>
    <w:rsid w:val="00987F63"/>
    <w:rsid w:val="009908FF"/>
    <w:rsid w:val="00990AA5"/>
    <w:rsid w:val="00990EE2"/>
    <w:rsid w:val="00991103"/>
    <w:rsid w:val="00993240"/>
    <w:rsid w:val="0099391C"/>
    <w:rsid w:val="009940E8"/>
    <w:rsid w:val="009940F4"/>
    <w:rsid w:val="00994425"/>
    <w:rsid w:val="009948C5"/>
    <w:rsid w:val="00994E39"/>
    <w:rsid w:val="0099554C"/>
    <w:rsid w:val="00997408"/>
    <w:rsid w:val="009A1300"/>
    <w:rsid w:val="009A25E8"/>
    <w:rsid w:val="009A2FD3"/>
    <w:rsid w:val="009A322A"/>
    <w:rsid w:val="009A438C"/>
    <w:rsid w:val="009A4967"/>
    <w:rsid w:val="009A4AFB"/>
    <w:rsid w:val="009A593D"/>
    <w:rsid w:val="009A5FC1"/>
    <w:rsid w:val="009A69B1"/>
    <w:rsid w:val="009A6DBE"/>
    <w:rsid w:val="009A7A9A"/>
    <w:rsid w:val="009B03E9"/>
    <w:rsid w:val="009B09FB"/>
    <w:rsid w:val="009B3803"/>
    <w:rsid w:val="009B3EF5"/>
    <w:rsid w:val="009B410D"/>
    <w:rsid w:val="009B5BC5"/>
    <w:rsid w:val="009B5BE4"/>
    <w:rsid w:val="009B6603"/>
    <w:rsid w:val="009B66A8"/>
    <w:rsid w:val="009B7873"/>
    <w:rsid w:val="009C2FBA"/>
    <w:rsid w:val="009C3046"/>
    <w:rsid w:val="009C3D92"/>
    <w:rsid w:val="009C44D3"/>
    <w:rsid w:val="009C56C9"/>
    <w:rsid w:val="009C6033"/>
    <w:rsid w:val="009C7246"/>
    <w:rsid w:val="009D00BF"/>
    <w:rsid w:val="009D03EC"/>
    <w:rsid w:val="009D0472"/>
    <w:rsid w:val="009D2647"/>
    <w:rsid w:val="009D270E"/>
    <w:rsid w:val="009D2734"/>
    <w:rsid w:val="009D2805"/>
    <w:rsid w:val="009D2C4B"/>
    <w:rsid w:val="009D2CB9"/>
    <w:rsid w:val="009D3C93"/>
    <w:rsid w:val="009D58E9"/>
    <w:rsid w:val="009D5E09"/>
    <w:rsid w:val="009D63F0"/>
    <w:rsid w:val="009D63F3"/>
    <w:rsid w:val="009E0066"/>
    <w:rsid w:val="009E0518"/>
    <w:rsid w:val="009E0D6D"/>
    <w:rsid w:val="009E0F0F"/>
    <w:rsid w:val="009E1CB9"/>
    <w:rsid w:val="009E2532"/>
    <w:rsid w:val="009E2917"/>
    <w:rsid w:val="009E2A09"/>
    <w:rsid w:val="009E317C"/>
    <w:rsid w:val="009E4561"/>
    <w:rsid w:val="009E49CB"/>
    <w:rsid w:val="009E4E06"/>
    <w:rsid w:val="009E541A"/>
    <w:rsid w:val="009E5453"/>
    <w:rsid w:val="009E5A95"/>
    <w:rsid w:val="009E627C"/>
    <w:rsid w:val="009E6AF0"/>
    <w:rsid w:val="009F0380"/>
    <w:rsid w:val="009F0AFB"/>
    <w:rsid w:val="009F129A"/>
    <w:rsid w:val="009F157A"/>
    <w:rsid w:val="009F193F"/>
    <w:rsid w:val="009F19D5"/>
    <w:rsid w:val="009F2C99"/>
    <w:rsid w:val="009F5C5A"/>
    <w:rsid w:val="009F60BE"/>
    <w:rsid w:val="009F65E8"/>
    <w:rsid w:val="009F7DEF"/>
    <w:rsid w:val="00A02B16"/>
    <w:rsid w:val="00A03331"/>
    <w:rsid w:val="00A03338"/>
    <w:rsid w:val="00A03BBD"/>
    <w:rsid w:val="00A076FB"/>
    <w:rsid w:val="00A1356A"/>
    <w:rsid w:val="00A13B6D"/>
    <w:rsid w:val="00A149F5"/>
    <w:rsid w:val="00A15BD0"/>
    <w:rsid w:val="00A15DFF"/>
    <w:rsid w:val="00A1753B"/>
    <w:rsid w:val="00A17F5C"/>
    <w:rsid w:val="00A206CE"/>
    <w:rsid w:val="00A21FA5"/>
    <w:rsid w:val="00A22096"/>
    <w:rsid w:val="00A23407"/>
    <w:rsid w:val="00A23A41"/>
    <w:rsid w:val="00A2439E"/>
    <w:rsid w:val="00A254AE"/>
    <w:rsid w:val="00A25538"/>
    <w:rsid w:val="00A25650"/>
    <w:rsid w:val="00A26D96"/>
    <w:rsid w:val="00A26FDC"/>
    <w:rsid w:val="00A275FE"/>
    <w:rsid w:val="00A30D21"/>
    <w:rsid w:val="00A30D9F"/>
    <w:rsid w:val="00A318EA"/>
    <w:rsid w:val="00A32371"/>
    <w:rsid w:val="00A32479"/>
    <w:rsid w:val="00A338CA"/>
    <w:rsid w:val="00A3529B"/>
    <w:rsid w:val="00A35AF9"/>
    <w:rsid w:val="00A35DBC"/>
    <w:rsid w:val="00A36579"/>
    <w:rsid w:val="00A36A88"/>
    <w:rsid w:val="00A36DCC"/>
    <w:rsid w:val="00A37106"/>
    <w:rsid w:val="00A40D38"/>
    <w:rsid w:val="00A40DF3"/>
    <w:rsid w:val="00A40E1B"/>
    <w:rsid w:val="00A4112E"/>
    <w:rsid w:val="00A4162A"/>
    <w:rsid w:val="00A41FF4"/>
    <w:rsid w:val="00A425BD"/>
    <w:rsid w:val="00A42613"/>
    <w:rsid w:val="00A42C07"/>
    <w:rsid w:val="00A43469"/>
    <w:rsid w:val="00A434D5"/>
    <w:rsid w:val="00A43687"/>
    <w:rsid w:val="00A43EAF"/>
    <w:rsid w:val="00A45D4D"/>
    <w:rsid w:val="00A46C91"/>
    <w:rsid w:val="00A472DF"/>
    <w:rsid w:val="00A474AF"/>
    <w:rsid w:val="00A47511"/>
    <w:rsid w:val="00A50715"/>
    <w:rsid w:val="00A51EFE"/>
    <w:rsid w:val="00A52328"/>
    <w:rsid w:val="00A53ADC"/>
    <w:rsid w:val="00A53D6D"/>
    <w:rsid w:val="00A55170"/>
    <w:rsid w:val="00A551A9"/>
    <w:rsid w:val="00A57BC4"/>
    <w:rsid w:val="00A57C5B"/>
    <w:rsid w:val="00A605A1"/>
    <w:rsid w:val="00A609FC"/>
    <w:rsid w:val="00A61032"/>
    <w:rsid w:val="00A61353"/>
    <w:rsid w:val="00A61B6B"/>
    <w:rsid w:val="00A6268C"/>
    <w:rsid w:val="00A63F39"/>
    <w:rsid w:val="00A63F6E"/>
    <w:rsid w:val="00A64E05"/>
    <w:rsid w:val="00A64F1B"/>
    <w:rsid w:val="00A65255"/>
    <w:rsid w:val="00A65C0D"/>
    <w:rsid w:val="00A660EB"/>
    <w:rsid w:val="00A666AA"/>
    <w:rsid w:val="00A705E1"/>
    <w:rsid w:val="00A709BB"/>
    <w:rsid w:val="00A71512"/>
    <w:rsid w:val="00A71C83"/>
    <w:rsid w:val="00A71D79"/>
    <w:rsid w:val="00A72339"/>
    <w:rsid w:val="00A72675"/>
    <w:rsid w:val="00A730B6"/>
    <w:rsid w:val="00A73500"/>
    <w:rsid w:val="00A74808"/>
    <w:rsid w:val="00A7610F"/>
    <w:rsid w:val="00A76A7E"/>
    <w:rsid w:val="00A81258"/>
    <w:rsid w:val="00A83803"/>
    <w:rsid w:val="00A83C9C"/>
    <w:rsid w:val="00A83E79"/>
    <w:rsid w:val="00A84595"/>
    <w:rsid w:val="00A845E7"/>
    <w:rsid w:val="00A86152"/>
    <w:rsid w:val="00A87A6F"/>
    <w:rsid w:val="00A87AE7"/>
    <w:rsid w:val="00A87C87"/>
    <w:rsid w:val="00A9082E"/>
    <w:rsid w:val="00A91451"/>
    <w:rsid w:val="00A935AB"/>
    <w:rsid w:val="00A953B1"/>
    <w:rsid w:val="00A957F3"/>
    <w:rsid w:val="00A9594D"/>
    <w:rsid w:val="00A95E3C"/>
    <w:rsid w:val="00A9633E"/>
    <w:rsid w:val="00AA0E05"/>
    <w:rsid w:val="00AA2F4D"/>
    <w:rsid w:val="00AA417E"/>
    <w:rsid w:val="00AA4625"/>
    <w:rsid w:val="00AA4806"/>
    <w:rsid w:val="00AA4F24"/>
    <w:rsid w:val="00AA6465"/>
    <w:rsid w:val="00AB038C"/>
    <w:rsid w:val="00AB11BB"/>
    <w:rsid w:val="00AB16EA"/>
    <w:rsid w:val="00AB3A20"/>
    <w:rsid w:val="00AB44F6"/>
    <w:rsid w:val="00AB468D"/>
    <w:rsid w:val="00AB5424"/>
    <w:rsid w:val="00AB550D"/>
    <w:rsid w:val="00AB57CA"/>
    <w:rsid w:val="00AB5D19"/>
    <w:rsid w:val="00AB7568"/>
    <w:rsid w:val="00AB7F8E"/>
    <w:rsid w:val="00AC154F"/>
    <w:rsid w:val="00AC1608"/>
    <w:rsid w:val="00AC168A"/>
    <w:rsid w:val="00AC19C6"/>
    <w:rsid w:val="00AC1D53"/>
    <w:rsid w:val="00AC1F3F"/>
    <w:rsid w:val="00AC25A1"/>
    <w:rsid w:val="00AC28E2"/>
    <w:rsid w:val="00AC3319"/>
    <w:rsid w:val="00AC3F0C"/>
    <w:rsid w:val="00AC446B"/>
    <w:rsid w:val="00AC5F99"/>
    <w:rsid w:val="00AC673B"/>
    <w:rsid w:val="00AC70CE"/>
    <w:rsid w:val="00AC71C7"/>
    <w:rsid w:val="00AC76DF"/>
    <w:rsid w:val="00AD1855"/>
    <w:rsid w:val="00AD196C"/>
    <w:rsid w:val="00AD1AC1"/>
    <w:rsid w:val="00AD2C33"/>
    <w:rsid w:val="00AD2EE1"/>
    <w:rsid w:val="00AD39D5"/>
    <w:rsid w:val="00AD427A"/>
    <w:rsid w:val="00AD4456"/>
    <w:rsid w:val="00AD4C54"/>
    <w:rsid w:val="00AD5E70"/>
    <w:rsid w:val="00AD6774"/>
    <w:rsid w:val="00AD6ED7"/>
    <w:rsid w:val="00AD7120"/>
    <w:rsid w:val="00AD7FCD"/>
    <w:rsid w:val="00AE076E"/>
    <w:rsid w:val="00AE184A"/>
    <w:rsid w:val="00AE2159"/>
    <w:rsid w:val="00AE38AF"/>
    <w:rsid w:val="00AE6392"/>
    <w:rsid w:val="00AE6BD6"/>
    <w:rsid w:val="00AF0D68"/>
    <w:rsid w:val="00AF1040"/>
    <w:rsid w:val="00AF1E59"/>
    <w:rsid w:val="00AF38A4"/>
    <w:rsid w:val="00AF3AC1"/>
    <w:rsid w:val="00AF4096"/>
    <w:rsid w:val="00AF433E"/>
    <w:rsid w:val="00AF4B65"/>
    <w:rsid w:val="00AF515C"/>
    <w:rsid w:val="00AF5166"/>
    <w:rsid w:val="00AF67CD"/>
    <w:rsid w:val="00AF791C"/>
    <w:rsid w:val="00AF7D48"/>
    <w:rsid w:val="00B00CD0"/>
    <w:rsid w:val="00B032F5"/>
    <w:rsid w:val="00B06EB2"/>
    <w:rsid w:val="00B1089B"/>
    <w:rsid w:val="00B11033"/>
    <w:rsid w:val="00B11DB4"/>
    <w:rsid w:val="00B11EC9"/>
    <w:rsid w:val="00B12F39"/>
    <w:rsid w:val="00B13182"/>
    <w:rsid w:val="00B13606"/>
    <w:rsid w:val="00B13B60"/>
    <w:rsid w:val="00B13EB3"/>
    <w:rsid w:val="00B14233"/>
    <w:rsid w:val="00B14320"/>
    <w:rsid w:val="00B14AB5"/>
    <w:rsid w:val="00B155D9"/>
    <w:rsid w:val="00B16288"/>
    <w:rsid w:val="00B16EC7"/>
    <w:rsid w:val="00B17AD1"/>
    <w:rsid w:val="00B17EC7"/>
    <w:rsid w:val="00B205AD"/>
    <w:rsid w:val="00B220B1"/>
    <w:rsid w:val="00B22584"/>
    <w:rsid w:val="00B239ED"/>
    <w:rsid w:val="00B24C93"/>
    <w:rsid w:val="00B25088"/>
    <w:rsid w:val="00B25EEE"/>
    <w:rsid w:val="00B26409"/>
    <w:rsid w:val="00B2704F"/>
    <w:rsid w:val="00B2717F"/>
    <w:rsid w:val="00B27356"/>
    <w:rsid w:val="00B308E1"/>
    <w:rsid w:val="00B30A9A"/>
    <w:rsid w:val="00B30ACC"/>
    <w:rsid w:val="00B310EE"/>
    <w:rsid w:val="00B31CB8"/>
    <w:rsid w:val="00B32EAA"/>
    <w:rsid w:val="00B33135"/>
    <w:rsid w:val="00B336FE"/>
    <w:rsid w:val="00B33797"/>
    <w:rsid w:val="00B3391C"/>
    <w:rsid w:val="00B33F0B"/>
    <w:rsid w:val="00B340A3"/>
    <w:rsid w:val="00B35D59"/>
    <w:rsid w:val="00B363E0"/>
    <w:rsid w:val="00B36CB2"/>
    <w:rsid w:val="00B37082"/>
    <w:rsid w:val="00B374EE"/>
    <w:rsid w:val="00B37C2B"/>
    <w:rsid w:val="00B37C9B"/>
    <w:rsid w:val="00B416F5"/>
    <w:rsid w:val="00B425E1"/>
    <w:rsid w:val="00B43628"/>
    <w:rsid w:val="00B43983"/>
    <w:rsid w:val="00B4438C"/>
    <w:rsid w:val="00B44A04"/>
    <w:rsid w:val="00B45A4C"/>
    <w:rsid w:val="00B463DF"/>
    <w:rsid w:val="00B46B3C"/>
    <w:rsid w:val="00B47DE0"/>
    <w:rsid w:val="00B511AF"/>
    <w:rsid w:val="00B5213E"/>
    <w:rsid w:val="00B527C7"/>
    <w:rsid w:val="00B52FC5"/>
    <w:rsid w:val="00B545BC"/>
    <w:rsid w:val="00B54CEA"/>
    <w:rsid w:val="00B54E5D"/>
    <w:rsid w:val="00B55B11"/>
    <w:rsid w:val="00B567B4"/>
    <w:rsid w:val="00B5689C"/>
    <w:rsid w:val="00B60FEA"/>
    <w:rsid w:val="00B6133D"/>
    <w:rsid w:val="00B624EF"/>
    <w:rsid w:val="00B62554"/>
    <w:rsid w:val="00B6342A"/>
    <w:rsid w:val="00B63614"/>
    <w:rsid w:val="00B63F72"/>
    <w:rsid w:val="00B65C11"/>
    <w:rsid w:val="00B676D5"/>
    <w:rsid w:val="00B70899"/>
    <w:rsid w:val="00B70A4E"/>
    <w:rsid w:val="00B713E4"/>
    <w:rsid w:val="00B71E7D"/>
    <w:rsid w:val="00B7226D"/>
    <w:rsid w:val="00B7226E"/>
    <w:rsid w:val="00B7228D"/>
    <w:rsid w:val="00B72406"/>
    <w:rsid w:val="00B731AE"/>
    <w:rsid w:val="00B73898"/>
    <w:rsid w:val="00B73AF3"/>
    <w:rsid w:val="00B746FF"/>
    <w:rsid w:val="00B74A28"/>
    <w:rsid w:val="00B77F33"/>
    <w:rsid w:val="00B80979"/>
    <w:rsid w:val="00B80B70"/>
    <w:rsid w:val="00B81CEB"/>
    <w:rsid w:val="00B826BE"/>
    <w:rsid w:val="00B84827"/>
    <w:rsid w:val="00B84F63"/>
    <w:rsid w:val="00B85836"/>
    <w:rsid w:val="00B85E98"/>
    <w:rsid w:val="00B863BF"/>
    <w:rsid w:val="00B86A41"/>
    <w:rsid w:val="00B86B93"/>
    <w:rsid w:val="00B86E0F"/>
    <w:rsid w:val="00B87DF1"/>
    <w:rsid w:val="00B87E55"/>
    <w:rsid w:val="00B905C4"/>
    <w:rsid w:val="00B907F9"/>
    <w:rsid w:val="00B90A6D"/>
    <w:rsid w:val="00B90D5B"/>
    <w:rsid w:val="00B91B61"/>
    <w:rsid w:val="00B91BDD"/>
    <w:rsid w:val="00B925C1"/>
    <w:rsid w:val="00B928EF"/>
    <w:rsid w:val="00B93C4C"/>
    <w:rsid w:val="00B93E5B"/>
    <w:rsid w:val="00B93FE4"/>
    <w:rsid w:val="00B96218"/>
    <w:rsid w:val="00B96874"/>
    <w:rsid w:val="00B97067"/>
    <w:rsid w:val="00BA1388"/>
    <w:rsid w:val="00BA413D"/>
    <w:rsid w:val="00BA45E0"/>
    <w:rsid w:val="00BA592B"/>
    <w:rsid w:val="00BA753B"/>
    <w:rsid w:val="00BA7F9F"/>
    <w:rsid w:val="00BB0640"/>
    <w:rsid w:val="00BB07E8"/>
    <w:rsid w:val="00BB1608"/>
    <w:rsid w:val="00BB3249"/>
    <w:rsid w:val="00BB4229"/>
    <w:rsid w:val="00BB4537"/>
    <w:rsid w:val="00BB51EC"/>
    <w:rsid w:val="00BB7815"/>
    <w:rsid w:val="00BC0101"/>
    <w:rsid w:val="00BC2507"/>
    <w:rsid w:val="00BC2A84"/>
    <w:rsid w:val="00BC2F4B"/>
    <w:rsid w:val="00BC4687"/>
    <w:rsid w:val="00BC5156"/>
    <w:rsid w:val="00BC5265"/>
    <w:rsid w:val="00BC555A"/>
    <w:rsid w:val="00BC701F"/>
    <w:rsid w:val="00BC7719"/>
    <w:rsid w:val="00BC78B9"/>
    <w:rsid w:val="00BD07C6"/>
    <w:rsid w:val="00BD2B8A"/>
    <w:rsid w:val="00BD34BF"/>
    <w:rsid w:val="00BD3F48"/>
    <w:rsid w:val="00BD5CE6"/>
    <w:rsid w:val="00BD6523"/>
    <w:rsid w:val="00BE0151"/>
    <w:rsid w:val="00BE2075"/>
    <w:rsid w:val="00BE26F6"/>
    <w:rsid w:val="00BE307D"/>
    <w:rsid w:val="00BE38F8"/>
    <w:rsid w:val="00BE574B"/>
    <w:rsid w:val="00BF00EC"/>
    <w:rsid w:val="00BF045F"/>
    <w:rsid w:val="00BF0779"/>
    <w:rsid w:val="00BF0C17"/>
    <w:rsid w:val="00BF1F21"/>
    <w:rsid w:val="00BF24D1"/>
    <w:rsid w:val="00BF3DF0"/>
    <w:rsid w:val="00BF420D"/>
    <w:rsid w:val="00BF4836"/>
    <w:rsid w:val="00BF4A63"/>
    <w:rsid w:val="00BF4EC8"/>
    <w:rsid w:val="00BF5AC1"/>
    <w:rsid w:val="00C005B2"/>
    <w:rsid w:val="00C008F9"/>
    <w:rsid w:val="00C00964"/>
    <w:rsid w:val="00C01C81"/>
    <w:rsid w:val="00C02566"/>
    <w:rsid w:val="00C027A1"/>
    <w:rsid w:val="00C032AF"/>
    <w:rsid w:val="00C0346F"/>
    <w:rsid w:val="00C048E6"/>
    <w:rsid w:val="00C04ABF"/>
    <w:rsid w:val="00C060D7"/>
    <w:rsid w:val="00C0663E"/>
    <w:rsid w:val="00C06E2A"/>
    <w:rsid w:val="00C06E9E"/>
    <w:rsid w:val="00C0726D"/>
    <w:rsid w:val="00C07959"/>
    <w:rsid w:val="00C07BE1"/>
    <w:rsid w:val="00C12ACC"/>
    <w:rsid w:val="00C12D9C"/>
    <w:rsid w:val="00C1301F"/>
    <w:rsid w:val="00C13B48"/>
    <w:rsid w:val="00C1491F"/>
    <w:rsid w:val="00C1628B"/>
    <w:rsid w:val="00C16BC0"/>
    <w:rsid w:val="00C17BF5"/>
    <w:rsid w:val="00C21490"/>
    <w:rsid w:val="00C2290F"/>
    <w:rsid w:val="00C23DEE"/>
    <w:rsid w:val="00C24B29"/>
    <w:rsid w:val="00C250B4"/>
    <w:rsid w:val="00C27B7C"/>
    <w:rsid w:val="00C30710"/>
    <w:rsid w:val="00C32BFF"/>
    <w:rsid w:val="00C3396C"/>
    <w:rsid w:val="00C3419F"/>
    <w:rsid w:val="00C373C2"/>
    <w:rsid w:val="00C40C67"/>
    <w:rsid w:val="00C4100A"/>
    <w:rsid w:val="00C431A1"/>
    <w:rsid w:val="00C4420D"/>
    <w:rsid w:val="00C4537B"/>
    <w:rsid w:val="00C4589B"/>
    <w:rsid w:val="00C46141"/>
    <w:rsid w:val="00C46336"/>
    <w:rsid w:val="00C474AF"/>
    <w:rsid w:val="00C521F6"/>
    <w:rsid w:val="00C5259A"/>
    <w:rsid w:val="00C52A89"/>
    <w:rsid w:val="00C52D55"/>
    <w:rsid w:val="00C52FEF"/>
    <w:rsid w:val="00C534CF"/>
    <w:rsid w:val="00C53806"/>
    <w:rsid w:val="00C540E8"/>
    <w:rsid w:val="00C54A7A"/>
    <w:rsid w:val="00C54D07"/>
    <w:rsid w:val="00C57964"/>
    <w:rsid w:val="00C6055A"/>
    <w:rsid w:val="00C60EAE"/>
    <w:rsid w:val="00C60FCA"/>
    <w:rsid w:val="00C61557"/>
    <w:rsid w:val="00C62119"/>
    <w:rsid w:val="00C622AC"/>
    <w:rsid w:val="00C623B8"/>
    <w:rsid w:val="00C62593"/>
    <w:rsid w:val="00C63010"/>
    <w:rsid w:val="00C637E2"/>
    <w:rsid w:val="00C652E1"/>
    <w:rsid w:val="00C661DF"/>
    <w:rsid w:val="00C66701"/>
    <w:rsid w:val="00C66BF2"/>
    <w:rsid w:val="00C66DD4"/>
    <w:rsid w:val="00C6775A"/>
    <w:rsid w:val="00C70DA0"/>
    <w:rsid w:val="00C73011"/>
    <w:rsid w:val="00C73DA3"/>
    <w:rsid w:val="00C75761"/>
    <w:rsid w:val="00C7577E"/>
    <w:rsid w:val="00C75ACC"/>
    <w:rsid w:val="00C8030D"/>
    <w:rsid w:val="00C80438"/>
    <w:rsid w:val="00C80D18"/>
    <w:rsid w:val="00C82131"/>
    <w:rsid w:val="00C824A9"/>
    <w:rsid w:val="00C838FA"/>
    <w:rsid w:val="00C850D0"/>
    <w:rsid w:val="00C8532A"/>
    <w:rsid w:val="00C85979"/>
    <w:rsid w:val="00C867E1"/>
    <w:rsid w:val="00C87BF5"/>
    <w:rsid w:val="00C87FCD"/>
    <w:rsid w:val="00C9253A"/>
    <w:rsid w:val="00C92BE2"/>
    <w:rsid w:val="00C93830"/>
    <w:rsid w:val="00C94444"/>
    <w:rsid w:val="00C9501E"/>
    <w:rsid w:val="00C9541B"/>
    <w:rsid w:val="00C9744A"/>
    <w:rsid w:val="00C97518"/>
    <w:rsid w:val="00CA00C0"/>
    <w:rsid w:val="00CA2E87"/>
    <w:rsid w:val="00CA4031"/>
    <w:rsid w:val="00CA492E"/>
    <w:rsid w:val="00CA5010"/>
    <w:rsid w:val="00CB055C"/>
    <w:rsid w:val="00CB05D1"/>
    <w:rsid w:val="00CB10AF"/>
    <w:rsid w:val="00CB233E"/>
    <w:rsid w:val="00CB23F2"/>
    <w:rsid w:val="00CB2ADE"/>
    <w:rsid w:val="00CB2E0F"/>
    <w:rsid w:val="00CB316B"/>
    <w:rsid w:val="00CB411C"/>
    <w:rsid w:val="00CB42D0"/>
    <w:rsid w:val="00CB4D05"/>
    <w:rsid w:val="00CB50A6"/>
    <w:rsid w:val="00CB5A8E"/>
    <w:rsid w:val="00CB65C8"/>
    <w:rsid w:val="00CB6AEF"/>
    <w:rsid w:val="00CB6B4E"/>
    <w:rsid w:val="00CB6E8F"/>
    <w:rsid w:val="00CB7759"/>
    <w:rsid w:val="00CB7846"/>
    <w:rsid w:val="00CB7D51"/>
    <w:rsid w:val="00CB7D82"/>
    <w:rsid w:val="00CC0168"/>
    <w:rsid w:val="00CC0B57"/>
    <w:rsid w:val="00CC391C"/>
    <w:rsid w:val="00CC64C1"/>
    <w:rsid w:val="00CC77A0"/>
    <w:rsid w:val="00CC78C1"/>
    <w:rsid w:val="00CD0262"/>
    <w:rsid w:val="00CD0BC9"/>
    <w:rsid w:val="00CD0F75"/>
    <w:rsid w:val="00CD1171"/>
    <w:rsid w:val="00CD1D5E"/>
    <w:rsid w:val="00CD3B63"/>
    <w:rsid w:val="00CD3D0A"/>
    <w:rsid w:val="00CD3F8E"/>
    <w:rsid w:val="00CD558F"/>
    <w:rsid w:val="00CD6387"/>
    <w:rsid w:val="00CD6F99"/>
    <w:rsid w:val="00CE0B06"/>
    <w:rsid w:val="00CE1D5E"/>
    <w:rsid w:val="00CE24B6"/>
    <w:rsid w:val="00CE2B0F"/>
    <w:rsid w:val="00CE2D28"/>
    <w:rsid w:val="00CE396C"/>
    <w:rsid w:val="00CE43D5"/>
    <w:rsid w:val="00CE440A"/>
    <w:rsid w:val="00CE48FA"/>
    <w:rsid w:val="00CE498C"/>
    <w:rsid w:val="00CE4E24"/>
    <w:rsid w:val="00CE514E"/>
    <w:rsid w:val="00CE5EAD"/>
    <w:rsid w:val="00CE66D7"/>
    <w:rsid w:val="00CF2100"/>
    <w:rsid w:val="00CF2425"/>
    <w:rsid w:val="00CF4C63"/>
    <w:rsid w:val="00CF6133"/>
    <w:rsid w:val="00CF68E7"/>
    <w:rsid w:val="00CF74C6"/>
    <w:rsid w:val="00CF7567"/>
    <w:rsid w:val="00CF77CC"/>
    <w:rsid w:val="00D009DA"/>
    <w:rsid w:val="00D010DA"/>
    <w:rsid w:val="00D01221"/>
    <w:rsid w:val="00D01DB4"/>
    <w:rsid w:val="00D0269D"/>
    <w:rsid w:val="00D041D1"/>
    <w:rsid w:val="00D0579B"/>
    <w:rsid w:val="00D069EB"/>
    <w:rsid w:val="00D07443"/>
    <w:rsid w:val="00D102B9"/>
    <w:rsid w:val="00D10590"/>
    <w:rsid w:val="00D10617"/>
    <w:rsid w:val="00D109CC"/>
    <w:rsid w:val="00D10AFA"/>
    <w:rsid w:val="00D1230B"/>
    <w:rsid w:val="00D128C0"/>
    <w:rsid w:val="00D12B1F"/>
    <w:rsid w:val="00D13E4B"/>
    <w:rsid w:val="00D15592"/>
    <w:rsid w:val="00D1704C"/>
    <w:rsid w:val="00D17156"/>
    <w:rsid w:val="00D205E5"/>
    <w:rsid w:val="00D208F6"/>
    <w:rsid w:val="00D20CB5"/>
    <w:rsid w:val="00D212C7"/>
    <w:rsid w:val="00D23974"/>
    <w:rsid w:val="00D23F44"/>
    <w:rsid w:val="00D24109"/>
    <w:rsid w:val="00D24150"/>
    <w:rsid w:val="00D245A6"/>
    <w:rsid w:val="00D2568E"/>
    <w:rsid w:val="00D25C6F"/>
    <w:rsid w:val="00D27CC8"/>
    <w:rsid w:val="00D326C3"/>
    <w:rsid w:val="00D32F17"/>
    <w:rsid w:val="00D33D55"/>
    <w:rsid w:val="00D350C3"/>
    <w:rsid w:val="00D3541E"/>
    <w:rsid w:val="00D3598B"/>
    <w:rsid w:val="00D36687"/>
    <w:rsid w:val="00D40A9F"/>
    <w:rsid w:val="00D410D6"/>
    <w:rsid w:val="00D42909"/>
    <w:rsid w:val="00D42B48"/>
    <w:rsid w:val="00D44021"/>
    <w:rsid w:val="00D44ECC"/>
    <w:rsid w:val="00D46E41"/>
    <w:rsid w:val="00D46FF6"/>
    <w:rsid w:val="00D47900"/>
    <w:rsid w:val="00D50DD4"/>
    <w:rsid w:val="00D512FF"/>
    <w:rsid w:val="00D51E0D"/>
    <w:rsid w:val="00D524FF"/>
    <w:rsid w:val="00D54FBC"/>
    <w:rsid w:val="00D57821"/>
    <w:rsid w:val="00D578C8"/>
    <w:rsid w:val="00D57A56"/>
    <w:rsid w:val="00D57A5A"/>
    <w:rsid w:val="00D61F2B"/>
    <w:rsid w:val="00D63100"/>
    <w:rsid w:val="00D63324"/>
    <w:rsid w:val="00D64149"/>
    <w:rsid w:val="00D65064"/>
    <w:rsid w:val="00D65621"/>
    <w:rsid w:val="00D66183"/>
    <w:rsid w:val="00D67265"/>
    <w:rsid w:val="00D672C2"/>
    <w:rsid w:val="00D673D9"/>
    <w:rsid w:val="00D675E5"/>
    <w:rsid w:val="00D6772C"/>
    <w:rsid w:val="00D70043"/>
    <w:rsid w:val="00D710F2"/>
    <w:rsid w:val="00D711E2"/>
    <w:rsid w:val="00D718F6"/>
    <w:rsid w:val="00D71A51"/>
    <w:rsid w:val="00D724B2"/>
    <w:rsid w:val="00D72C0D"/>
    <w:rsid w:val="00D73F9B"/>
    <w:rsid w:val="00D74D8F"/>
    <w:rsid w:val="00D75934"/>
    <w:rsid w:val="00D759A7"/>
    <w:rsid w:val="00D76149"/>
    <w:rsid w:val="00D76BF8"/>
    <w:rsid w:val="00D778A8"/>
    <w:rsid w:val="00D8016F"/>
    <w:rsid w:val="00D803B8"/>
    <w:rsid w:val="00D80A94"/>
    <w:rsid w:val="00D82B9B"/>
    <w:rsid w:val="00D82C6F"/>
    <w:rsid w:val="00D8379B"/>
    <w:rsid w:val="00D83C27"/>
    <w:rsid w:val="00D845C6"/>
    <w:rsid w:val="00D85122"/>
    <w:rsid w:val="00D8568A"/>
    <w:rsid w:val="00D85FCE"/>
    <w:rsid w:val="00D869BB"/>
    <w:rsid w:val="00D9009D"/>
    <w:rsid w:val="00D9029B"/>
    <w:rsid w:val="00D92AB5"/>
    <w:rsid w:val="00D931D3"/>
    <w:rsid w:val="00D93C61"/>
    <w:rsid w:val="00D93CE7"/>
    <w:rsid w:val="00D948D5"/>
    <w:rsid w:val="00D94C3C"/>
    <w:rsid w:val="00D961FC"/>
    <w:rsid w:val="00D97B8B"/>
    <w:rsid w:val="00DA0146"/>
    <w:rsid w:val="00DA0A5D"/>
    <w:rsid w:val="00DA127A"/>
    <w:rsid w:val="00DA1CAB"/>
    <w:rsid w:val="00DA22F5"/>
    <w:rsid w:val="00DA3DA6"/>
    <w:rsid w:val="00DA3F5D"/>
    <w:rsid w:val="00DA5430"/>
    <w:rsid w:val="00DA5E72"/>
    <w:rsid w:val="00DA5EE4"/>
    <w:rsid w:val="00DB03DA"/>
    <w:rsid w:val="00DB0CC6"/>
    <w:rsid w:val="00DB0E7A"/>
    <w:rsid w:val="00DB1536"/>
    <w:rsid w:val="00DB19E6"/>
    <w:rsid w:val="00DB2642"/>
    <w:rsid w:val="00DB31E8"/>
    <w:rsid w:val="00DB4622"/>
    <w:rsid w:val="00DB55F0"/>
    <w:rsid w:val="00DB5887"/>
    <w:rsid w:val="00DB59AE"/>
    <w:rsid w:val="00DB6D86"/>
    <w:rsid w:val="00DC09C9"/>
    <w:rsid w:val="00DC16DA"/>
    <w:rsid w:val="00DC4476"/>
    <w:rsid w:val="00DC4B4C"/>
    <w:rsid w:val="00DC5135"/>
    <w:rsid w:val="00DC582C"/>
    <w:rsid w:val="00DC6309"/>
    <w:rsid w:val="00DD0374"/>
    <w:rsid w:val="00DD0DB2"/>
    <w:rsid w:val="00DD2470"/>
    <w:rsid w:val="00DD299F"/>
    <w:rsid w:val="00DD4BD2"/>
    <w:rsid w:val="00DD544D"/>
    <w:rsid w:val="00DD566A"/>
    <w:rsid w:val="00DD6FE4"/>
    <w:rsid w:val="00DD7B63"/>
    <w:rsid w:val="00DD7BCD"/>
    <w:rsid w:val="00DD7C6F"/>
    <w:rsid w:val="00DE063F"/>
    <w:rsid w:val="00DE1314"/>
    <w:rsid w:val="00DE1807"/>
    <w:rsid w:val="00DE231A"/>
    <w:rsid w:val="00DE314B"/>
    <w:rsid w:val="00DE32B8"/>
    <w:rsid w:val="00DE4BFA"/>
    <w:rsid w:val="00DE5A09"/>
    <w:rsid w:val="00DE5E05"/>
    <w:rsid w:val="00DE6A4B"/>
    <w:rsid w:val="00DE6E77"/>
    <w:rsid w:val="00DE70F2"/>
    <w:rsid w:val="00DF022B"/>
    <w:rsid w:val="00DF0B26"/>
    <w:rsid w:val="00DF13B9"/>
    <w:rsid w:val="00DF21E7"/>
    <w:rsid w:val="00DF3DC9"/>
    <w:rsid w:val="00DF4764"/>
    <w:rsid w:val="00DF5BBD"/>
    <w:rsid w:val="00DF5DD2"/>
    <w:rsid w:val="00DF6C94"/>
    <w:rsid w:val="00DF6EF2"/>
    <w:rsid w:val="00DF7246"/>
    <w:rsid w:val="00DF72AC"/>
    <w:rsid w:val="00DF756A"/>
    <w:rsid w:val="00E009E1"/>
    <w:rsid w:val="00E01791"/>
    <w:rsid w:val="00E01FF3"/>
    <w:rsid w:val="00E022AA"/>
    <w:rsid w:val="00E02856"/>
    <w:rsid w:val="00E036E9"/>
    <w:rsid w:val="00E0378D"/>
    <w:rsid w:val="00E03D50"/>
    <w:rsid w:val="00E040CC"/>
    <w:rsid w:val="00E05170"/>
    <w:rsid w:val="00E06487"/>
    <w:rsid w:val="00E07298"/>
    <w:rsid w:val="00E074E8"/>
    <w:rsid w:val="00E07685"/>
    <w:rsid w:val="00E11CB3"/>
    <w:rsid w:val="00E12DA1"/>
    <w:rsid w:val="00E13CD0"/>
    <w:rsid w:val="00E14BA8"/>
    <w:rsid w:val="00E1550A"/>
    <w:rsid w:val="00E177AD"/>
    <w:rsid w:val="00E17AAD"/>
    <w:rsid w:val="00E17C6A"/>
    <w:rsid w:val="00E17F37"/>
    <w:rsid w:val="00E2143A"/>
    <w:rsid w:val="00E21D19"/>
    <w:rsid w:val="00E23389"/>
    <w:rsid w:val="00E246AD"/>
    <w:rsid w:val="00E2481E"/>
    <w:rsid w:val="00E254EB"/>
    <w:rsid w:val="00E2561F"/>
    <w:rsid w:val="00E274AA"/>
    <w:rsid w:val="00E2776B"/>
    <w:rsid w:val="00E3124B"/>
    <w:rsid w:val="00E31A92"/>
    <w:rsid w:val="00E32B40"/>
    <w:rsid w:val="00E32FC8"/>
    <w:rsid w:val="00E333BF"/>
    <w:rsid w:val="00E33564"/>
    <w:rsid w:val="00E3397C"/>
    <w:rsid w:val="00E339BD"/>
    <w:rsid w:val="00E340A5"/>
    <w:rsid w:val="00E34986"/>
    <w:rsid w:val="00E34B96"/>
    <w:rsid w:val="00E35A9B"/>
    <w:rsid w:val="00E369C2"/>
    <w:rsid w:val="00E37422"/>
    <w:rsid w:val="00E374CB"/>
    <w:rsid w:val="00E3777F"/>
    <w:rsid w:val="00E40ED2"/>
    <w:rsid w:val="00E42173"/>
    <w:rsid w:val="00E42949"/>
    <w:rsid w:val="00E42CB0"/>
    <w:rsid w:val="00E4512F"/>
    <w:rsid w:val="00E45450"/>
    <w:rsid w:val="00E46E7A"/>
    <w:rsid w:val="00E46EAC"/>
    <w:rsid w:val="00E47619"/>
    <w:rsid w:val="00E476D8"/>
    <w:rsid w:val="00E5102E"/>
    <w:rsid w:val="00E52888"/>
    <w:rsid w:val="00E53E3B"/>
    <w:rsid w:val="00E54B0B"/>
    <w:rsid w:val="00E54FF4"/>
    <w:rsid w:val="00E551E4"/>
    <w:rsid w:val="00E56382"/>
    <w:rsid w:val="00E56525"/>
    <w:rsid w:val="00E56D49"/>
    <w:rsid w:val="00E611E6"/>
    <w:rsid w:val="00E6218F"/>
    <w:rsid w:val="00E625CE"/>
    <w:rsid w:val="00E639F6"/>
    <w:rsid w:val="00E63F37"/>
    <w:rsid w:val="00E641B0"/>
    <w:rsid w:val="00E6536C"/>
    <w:rsid w:val="00E6569A"/>
    <w:rsid w:val="00E676B8"/>
    <w:rsid w:val="00E70D4D"/>
    <w:rsid w:val="00E71929"/>
    <w:rsid w:val="00E71F6F"/>
    <w:rsid w:val="00E73528"/>
    <w:rsid w:val="00E738EE"/>
    <w:rsid w:val="00E73985"/>
    <w:rsid w:val="00E73CD9"/>
    <w:rsid w:val="00E751EE"/>
    <w:rsid w:val="00E77C72"/>
    <w:rsid w:val="00E81250"/>
    <w:rsid w:val="00E81820"/>
    <w:rsid w:val="00E82171"/>
    <w:rsid w:val="00E8238F"/>
    <w:rsid w:val="00E83B1D"/>
    <w:rsid w:val="00E83BEF"/>
    <w:rsid w:val="00E842B1"/>
    <w:rsid w:val="00E848B1"/>
    <w:rsid w:val="00E85072"/>
    <w:rsid w:val="00E857E9"/>
    <w:rsid w:val="00E85D1F"/>
    <w:rsid w:val="00E860F2"/>
    <w:rsid w:val="00E87A5C"/>
    <w:rsid w:val="00E90917"/>
    <w:rsid w:val="00E91508"/>
    <w:rsid w:val="00E916E7"/>
    <w:rsid w:val="00E91963"/>
    <w:rsid w:val="00E937ED"/>
    <w:rsid w:val="00E938F5"/>
    <w:rsid w:val="00E93FDD"/>
    <w:rsid w:val="00E94E56"/>
    <w:rsid w:val="00E9530E"/>
    <w:rsid w:val="00E95FD1"/>
    <w:rsid w:val="00E95FE3"/>
    <w:rsid w:val="00E96B3D"/>
    <w:rsid w:val="00E97296"/>
    <w:rsid w:val="00EA13F5"/>
    <w:rsid w:val="00EA2DF3"/>
    <w:rsid w:val="00EA404F"/>
    <w:rsid w:val="00EA4DC5"/>
    <w:rsid w:val="00EA5E3A"/>
    <w:rsid w:val="00EA73DD"/>
    <w:rsid w:val="00EA7AB3"/>
    <w:rsid w:val="00EB4434"/>
    <w:rsid w:val="00EB54FB"/>
    <w:rsid w:val="00EB7388"/>
    <w:rsid w:val="00EC01C9"/>
    <w:rsid w:val="00EC034C"/>
    <w:rsid w:val="00EC1430"/>
    <w:rsid w:val="00EC189A"/>
    <w:rsid w:val="00EC380C"/>
    <w:rsid w:val="00EC41DC"/>
    <w:rsid w:val="00EC5691"/>
    <w:rsid w:val="00EC5D04"/>
    <w:rsid w:val="00ED09D3"/>
    <w:rsid w:val="00ED12CB"/>
    <w:rsid w:val="00ED2175"/>
    <w:rsid w:val="00ED27E8"/>
    <w:rsid w:val="00ED309A"/>
    <w:rsid w:val="00ED3DAE"/>
    <w:rsid w:val="00ED48C2"/>
    <w:rsid w:val="00ED4F28"/>
    <w:rsid w:val="00ED5A4C"/>
    <w:rsid w:val="00ED61A4"/>
    <w:rsid w:val="00ED6D8C"/>
    <w:rsid w:val="00ED6DF7"/>
    <w:rsid w:val="00ED717A"/>
    <w:rsid w:val="00ED7790"/>
    <w:rsid w:val="00EE01DC"/>
    <w:rsid w:val="00EE1737"/>
    <w:rsid w:val="00EE26A7"/>
    <w:rsid w:val="00EE3A60"/>
    <w:rsid w:val="00EE3AD4"/>
    <w:rsid w:val="00EE3CD8"/>
    <w:rsid w:val="00EE4075"/>
    <w:rsid w:val="00EE44F4"/>
    <w:rsid w:val="00EE5488"/>
    <w:rsid w:val="00EE5D54"/>
    <w:rsid w:val="00EE641E"/>
    <w:rsid w:val="00EE66A1"/>
    <w:rsid w:val="00EE6D19"/>
    <w:rsid w:val="00EF0123"/>
    <w:rsid w:val="00EF09B4"/>
    <w:rsid w:val="00EF0B8A"/>
    <w:rsid w:val="00EF16C3"/>
    <w:rsid w:val="00EF1DBA"/>
    <w:rsid w:val="00EF2128"/>
    <w:rsid w:val="00EF2886"/>
    <w:rsid w:val="00EF2CFE"/>
    <w:rsid w:val="00EF39D3"/>
    <w:rsid w:val="00EF547A"/>
    <w:rsid w:val="00EF765C"/>
    <w:rsid w:val="00EF7CD6"/>
    <w:rsid w:val="00F003E8"/>
    <w:rsid w:val="00F01172"/>
    <w:rsid w:val="00F011FC"/>
    <w:rsid w:val="00F0292F"/>
    <w:rsid w:val="00F048DF"/>
    <w:rsid w:val="00F0496F"/>
    <w:rsid w:val="00F04AED"/>
    <w:rsid w:val="00F04FC6"/>
    <w:rsid w:val="00F05322"/>
    <w:rsid w:val="00F0770E"/>
    <w:rsid w:val="00F1134B"/>
    <w:rsid w:val="00F11963"/>
    <w:rsid w:val="00F11A8F"/>
    <w:rsid w:val="00F11C16"/>
    <w:rsid w:val="00F11D13"/>
    <w:rsid w:val="00F12608"/>
    <w:rsid w:val="00F131DD"/>
    <w:rsid w:val="00F132F9"/>
    <w:rsid w:val="00F13850"/>
    <w:rsid w:val="00F15550"/>
    <w:rsid w:val="00F15DC7"/>
    <w:rsid w:val="00F160A8"/>
    <w:rsid w:val="00F172C4"/>
    <w:rsid w:val="00F17AFF"/>
    <w:rsid w:val="00F20BE8"/>
    <w:rsid w:val="00F219D9"/>
    <w:rsid w:val="00F21AB7"/>
    <w:rsid w:val="00F2216E"/>
    <w:rsid w:val="00F24259"/>
    <w:rsid w:val="00F25DFB"/>
    <w:rsid w:val="00F26AD2"/>
    <w:rsid w:val="00F27654"/>
    <w:rsid w:val="00F27C2C"/>
    <w:rsid w:val="00F3032D"/>
    <w:rsid w:val="00F306E1"/>
    <w:rsid w:val="00F31A01"/>
    <w:rsid w:val="00F321DF"/>
    <w:rsid w:val="00F32DB8"/>
    <w:rsid w:val="00F332C1"/>
    <w:rsid w:val="00F333DA"/>
    <w:rsid w:val="00F34237"/>
    <w:rsid w:val="00F34804"/>
    <w:rsid w:val="00F34D8D"/>
    <w:rsid w:val="00F35564"/>
    <w:rsid w:val="00F35868"/>
    <w:rsid w:val="00F35BDA"/>
    <w:rsid w:val="00F36047"/>
    <w:rsid w:val="00F36564"/>
    <w:rsid w:val="00F36E64"/>
    <w:rsid w:val="00F374AA"/>
    <w:rsid w:val="00F40F86"/>
    <w:rsid w:val="00F420EE"/>
    <w:rsid w:val="00F42E29"/>
    <w:rsid w:val="00F4356C"/>
    <w:rsid w:val="00F4399E"/>
    <w:rsid w:val="00F43BD0"/>
    <w:rsid w:val="00F43C46"/>
    <w:rsid w:val="00F4461E"/>
    <w:rsid w:val="00F4517C"/>
    <w:rsid w:val="00F4658D"/>
    <w:rsid w:val="00F466B1"/>
    <w:rsid w:val="00F46CF3"/>
    <w:rsid w:val="00F47D1A"/>
    <w:rsid w:val="00F509BB"/>
    <w:rsid w:val="00F51FB5"/>
    <w:rsid w:val="00F520E0"/>
    <w:rsid w:val="00F52D22"/>
    <w:rsid w:val="00F52E47"/>
    <w:rsid w:val="00F5496D"/>
    <w:rsid w:val="00F54D85"/>
    <w:rsid w:val="00F554E9"/>
    <w:rsid w:val="00F56104"/>
    <w:rsid w:val="00F575EB"/>
    <w:rsid w:val="00F5760E"/>
    <w:rsid w:val="00F6107D"/>
    <w:rsid w:val="00F6108E"/>
    <w:rsid w:val="00F613C6"/>
    <w:rsid w:val="00F6200A"/>
    <w:rsid w:val="00F6227F"/>
    <w:rsid w:val="00F63F6C"/>
    <w:rsid w:val="00F6512E"/>
    <w:rsid w:val="00F656FD"/>
    <w:rsid w:val="00F65858"/>
    <w:rsid w:val="00F65E7A"/>
    <w:rsid w:val="00F67559"/>
    <w:rsid w:val="00F707F4"/>
    <w:rsid w:val="00F708AC"/>
    <w:rsid w:val="00F71616"/>
    <w:rsid w:val="00F7329F"/>
    <w:rsid w:val="00F732BD"/>
    <w:rsid w:val="00F74A61"/>
    <w:rsid w:val="00F75B6A"/>
    <w:rsid w:val="00F75F0F"/>
    <w:rsid w:val="00F7621C"/>
    <w:rsid w:val="00F76353"/>
    <w:rsid w:val="00F76C42"/>
    <w:rsid w:val="00F76FA4"/>
    <w:rsid w:val="00F7768F"/>
    <w:rsid w:val="00F77D02"/>
    <w:rsid w:val="00F81467"/>
    <w:rsid w:val="00F8232D"/>
    <w:rsid w:val="00F82CA2"/>
    <w:rsid w:val="00F833C9"/>
    <w:rsid w:val="00F851A3"/>
    <w:rsid w:val="00F8645A"/>
    <w:rsid w:val="00F86BC4"/>
    <w:rsid w:val="00F901AC"/>
    <w:rsid w:val="00F9072A"/>
    <w:rsid w:val="00F90E36"/>
    <w:rsid w:val="00F918F6"/>
    <w:rsid w:val="00F91E08"/>
    <w:rsid w:val="00F92371"/>
    <w:rsid w:val="00F926C3"/>
    <w:rsid w:val="00F937AA"/>
    <w:rsid w:val="00F94512"/>
    <w:rsid w:val="00F94CE6"/>
    <w:rsid w:val="00F95C7C"/>
    <w:rsid w:val="00F96AA3"/>
    <w:rsid w:val="00F96FD5"/>
    <w:rsid w:val="00F97256"/>
    <w:rsid w:val="00FA0285"/>
    <w:rsid w:val="00FA034A"/>
    <w:rsid w:val="00FA0556"/>
    <w:rsid w:val="00FA2C7C"/>
    <w:rsid w:val="00FA33A2"/>
    <w:rsid w:val="00FA33B8"/>
    <w:rsid w:val="00FA41A1"/>
    <w:rsid w:val="00FA6011"/>
    <w:rsid w:val="00FA68D1"/>
    <w:rsid w:val="00FA68F7"/>
    <w:rsid w:val="00FA6BB2"/>
    <w:rsid w:val="00FA6C6D"/>
    <w:rsid w:val="00FA72CF"/>
    <w:rsid w:val="00FB1BBA"/>
    <w:rsid w:val="00FB1D97"/>
    <w:rsid w:val="00FB37ED"/>
    <w:rsid w:val="00FB38CB"/>
    <w:rsid w:val="00FB39BF"/>
    <w:rsid w:val="00FB3CC6"/>
    <w:rsid w:val="00FB3FA2"/>
    <w:rsid w:val="00FB76C8"/>
    <w:rsid w:val="00FC0ED9"/>
    <w:rsid w:val="00FC20BD"/>
    <w:rsid w:val="00FC2E63"/>
    <w:rsid w:val="00FC314E"/>
    <w:rsid w:val="00FC5105"/>
    <w:rsid w:val="00FC5845"/>
    <w:rsid w:val="00FC5F11"/>
    <w:rsid w:val="00FD09D0"/>
    <w:rsid w:val="00FD1001"/>
    <w:rsid w:val="00FD1C31"/>
    <w:rsid w:val="00FD43D5"/>
    <w:rsid w:val="00FD54E0"/>
    <w:rsid w:val="00FD74EA"/>
    <w:rsid w:val="00FE0170"/>
    <w:rsid w:val="00FE0385"/>
    <w:rsid w:val="00FE0A40"/>
    <w:rsid w:val="00FE1DD9"/>
    <w:rsid w:val="00FE22BD"/>
    <w:rsid w:val="00FE48C6"/>
    <w:rsid w:val="00FE4903"/>
    <w:rsid w:val="00FE60FD"/>
    <w:rsid w:val="00FE740C"/>
    <w:rsid w:val="00FE7A4B"/>
    <w:rsid w:val="00FE7CB5"/>
    <w:rsid w:val="00FF13A6"/>
    <w:rsid w:val="00FF2455"/>
    <w:rsid w:val="00FF2E1C"/>
    <w:rsid w:val="00FF31D8"/>
    <w:rsid w:val="00FF4045"/>
    <w:rsid w:val="00FF4259"/>
    <w:rsid w:val="00FF4782"/>
    <w:rsid w:val="00FF4FF3"/>
    <w:rsid w:val="00FF5AA6"/>
    <w:rsid w:val="00FF6A6B"/>
    <w:rsid w:val="00FF6D2F"/>
    <w:rsid w:val="00FF6F34"/>
    <w:rsid w:val="00FFE6D6"/>
    <w:rsid w:val="0216456F"/>
    <w:rsid w:val="02246E85"/>
    <w:rsid w:val="02506439"/>
    <w:rsid w:val="0255BBA7"/>
    <w:rsid w:val="0292A58E"/>
    <w:rsid w:val="02986FD7"/>
    <w:rsid w:val="0299E806"/>
    <w:rsid w:val="02A1748E"/>
    <w:rsid w:val="03072C97"/>
    <w:rsid w:val="0310660F"/>
    <w:rsid w:val="0316ED31"/>
    <w:rsid w:val="0318DC7E"/>
    <w:rsid w:val="032FB7F3"/>
    <w:rsid w:val="033AE5CD"/>
    <w:rsid w:val="033C6AD6"/>
    <w:rsid w:val="039B4E8F"/>
    <w:rsid w:val="043354F7"/>
    <w:rsid w:val="0472606B"/>
    <w:rsid w:val="052FB9E3"/>
    <w:rsid w:val="062C3D9B"/>
    <w:rsid w:val="06A53B08"/>
    <w:rsid w:val="06B64EA1"/>
    <w:rsid w:val="06CC3A15"/>
    <w:rsid w:val="06CF90D4"/>
    <w:rsid w:val="07088049"/>
    <w:rsid w:val="0731E764"/>
    <w:rsid w:val="075374C6"/>
    <w:rsid w:val="0787771A"/>
    <w:rsid w:val="080EA271"/>
    <w:rsid w:val="0845904F"/>
    <w:rsid w:val="0869D6FD"/>
    <w:rsid w:val="089CA942"/>
    <w:rsid w:val="08F7421B"/>
    <w:rsid w:val="0915D809"/>
    <w:rsid w:val="09181E7D"/>
    <w:rsid w:val="095E8B77"/>
    <w:rsid w:val="097664C7"/>
    <w:rsid w:val="09782735"/>
    <w:rsid w:val="09A08D0E"/>
    <w:rsid w:val="09A51A8A"/>
    <w:rsid w:val="09A5B80D"/>
    <w:rsid w:val="09CA318C"/>
    <w:rsid w:val="09ED6F91"/>
    <w:rsid w:val="09F1755F"/>
    <w:rsid w:val="0A0930F6"/>
    <w:rsid w:val="0A3412AA"/>
    <w:rsid w:val="0A343877"/>
    <w:rsid w:val="0A899853"/>
    <w:rsid w:val="0A9E50E8"/>
    <w:rsid w:val="0A9F5814"/>
    <w:rsid w:val="0AA1199A"/>
    <w:rsid w:val="0ABA8403"/>
    <w:rsid w:val="0B22013F"/>
    <w:rsid w:val="0B253D0C"/>
    <w:rsid w:val="0B4A09DE"/>
    <w:rsid w:val="0B992709"/>
    <w:rsid w:val="0C49C296"/>
    <w:rsid w:val="0C4F933F"/>
    <w:rsid w:val="0CAFABE0"/>
    <w:rsid w:val="0CB5A797"/>
    <w:rsid w:val="0CCFC9CF"/>
    <w:rsid w:val="0CE6CB96"/>
    <w:rsid w:val="0D07EE8B"/>
    <w:rsid w:val="0D35C03C"/>
    <w:rsid w:val="0D4BFFC4"/>
    <w:rsid w:val="0D6B9BD0"/>
    <w:rsid w:val="0D8217D1"/>
    <w:rsid w:val="0DE4BE16"/>
    <w:rsid w:val="0E047238"/>
    <w:rsid w:val="0E285ED7"/>
    <w:rsid w:val="0E50CCDB"/>
    <w:rsid w:val="0E568F3F"/>
    <w:rsid w:val="0E667074"/>
    <w:rsid w:val="0E67F406"/>
    <w:rsid w:val="0E689069"/>
    <w:rsid w:val="0E9E392C"/>
    <w:rsid w:val="0EEB2B47"/>
    <w:rsid w:val="0F4ABE64"/>
    <w:rsid w:val="0F717449"/>
    <w:rsid w:val="0F90B87E"/>
    <w:rsid w:val="0FE09A20"/>
    <w:rsid w:val="0FF34D31"/>
    <w:rsid w:val="0FF3FE64"/>
    <w:rsid w:val="10038BE9"/>
    <w:rsid w:val="10173DC6"/>
    <w:rsid w:val="10565918"/>
    <w:rsid w:val="10A114AC"/>
    <w:rsid w:val="10B76305"/>
    <w:rsid w:val="10C5F43C"/>
    <w:rsid w:val="10F68493"/>
    <w:rsid w:val="111C8711"/>
    <w:rsid w:val="1137AE20"/>
    <w:rsid w:val="11416684"/>
    <w:rsid w:val="1191D017"/>
    <w:rsid w:val="11B6A2C0"/>
    <w:rsid w:val="11D15E5F"/>
    <w:rsid w:val="11FE4998"/>
    <w:rsid w:val="1209FA08"/>
    <w:rsid w:val="121FF144"/>
    <w:rsid w:val="129763FF"/>
    <w:rsid w:val="1319E4F2"/>
    <w:rsid w:val="13952562"/>
    <w:rsid w:val="13CCA8E8"/>
    <w:rsid w:val="14354892"/>
    <w:rsid w:val="14A70A32"/>
    <w:rsid w:val="14C372F6"/>
    <w:rsid w:val="14C584CC"/>
    <w:rsid w:val="1514C626"/>
    <w:rsid w:val="15788056"/>
    <w:rsid w:val="1594FC50"/>
    <w:rsid w:val="159A770C"/>
    <w:rsid w:val="15D1D051"/>
    <w:rsid w:val="15E87050"/>
    <w:rsid w:val="160F1F76"/>
    <w:rsid w:val="1644C249"/>
    <w:rsid w:val="166D5A3C"/>
    <w:rsid w:val="16AA2745"/>
    <w:rsid w:val="16BE1745"/>
    <w:rsid w:val="1709447A"/>
    <w:rsid w:val="1715BE7D"/>
    <w:rsid w:val="173DFE0F"/>
    <w:rsid w:val="1766CC69"/>
    <w:rsid w:val="17691C85"/>
    <w:rsid w:val="177A281C"/>
    <w:rsid w:val="17C396A0"/>
    <w:rsid w:val="17DC4377"/>
    <w:rsid w:val="17E5CE31"/>
    <w:rsid w:val="180415FA"/>
    <w:rsid w:val="182AB087"/>
    <w:rsid w:val="1842BE8D"/>
    <w:rsid w:val="1859E7A6"/>
    <w:rsid w:val="18636ECE"/>
    <w:rsid w:val="18737D03"/>
    <w:rsid w:val="18D13EF7"/>
    <w:rsid w:val="1907802D"/>
    <w:rsid w:val="19241CCA"/>
    <w:rsid w:val="1962EFA8"/>
    <w:rsid w:val="1969A64B"/>
    <w:rsid w:val="196B8280"/>
    <w:rsid w:val="196E1EF0"/>
    <w:rsid w:val="19ABAD4F"/>
    <w:rsid w:val="19B00C76"/>
    <w:rsid w:val="19C3D212"/>
    <w:rsid w:val="1A020A59"/>
    <w:rsid w:val="1A049C04"/>
    <w:rsid w:val="1A4ECEB2"/>
    <w:rsid w:val="1A7E1859"/>
    <w:rsid w:val="1B2BC005"/>
    <w:rsid w:val="1B6A78B3"/>
    <w:rsid w:val="1B7EB9B7"/>
    <w:rsid w:val="1B8B3EB5"/>
    <w:rsid w:val="1C637770"/>
    <w:rsid w:val="1C744A30"/>
    <w:rsid w:val="1C761548"/>
    <w:rsid w:val="1CA9FCBB"/>
    <w:rsid w:val="1CE6B7D5"/>
    <w:rsid w:val="1CEBE43D"/>
    <w:rsid w:val="1D1C4814"/>
    <w:rsid w:val="1D5A965E"/>
    <w:rsid w:val="1D7692AF"/>
    <w:rsid w:val="1E563EA5"/>
    <w:rsid w:val="1E7A2F46"/>
    <w:rsid w:val="1EB1825E"/>
    <w:rsid w:val="1ECA5B4D"/>
    <w:rsid w:val="1ECB1C5C"/>
    <w:rsid w:val="1ED6D39F"/>
    <w:rsid w:val="1EDAFBC3"/>
    <w:rsid w:val="1EE51E50"/>
    <w:rsid w:val="1F0BD7CD"/>
    <w:rsid w:val="1F127409"/>
    <w:rsid w:val="1F1BCA8E"/>
    <w:rsid w:val="1F258819"/>
    <w:rsid w:val="1F57E8FB"/>
    <w:rsid w:val="1FB66B88"/>
    <w:rsid w:val="1FC2839F"/>
    <w:rsid w:val="1FDA3DD2"/>
    <w:rsid w:val="2045B116"/>
    <w:rsid w:val="2049F70B"/>
    <w:rsid w:val="2076CE35"/>
    <w:rsid w:val="20993AF7"/>
    <w:rsid w:val="20FB5159"/>
    <w:rsid w:val="2120C704"/>
    <w:rsid w:val="2150D5FE"/>
    <w:rsid w:val="215954F6"/>
    <w:rsid w:val="21DA910B"/>
    <w:rsid w:val="220DAA18"/>
    <w:rsid w:val="22186B38"/>
    <w:rsid w:val="221C1216"/>
    <w:rsid w:val="22670011"/>
    <w:rsid w:val="226AD374"/>
    <w:rsid w:val="2297623E"/>
    <w:rsid w:val="22BF0014"/>
    <w:rsid w:val="22C33ABF"/>
    <w:rsid w:val="22DB4B29"/>
    <w:rsid w:val="22F57A94"/>
    <w:rsid w:val="22FA2596"/>
    <w:rsid w:val="2330A6AF"/>
    <w:rsid w:val="233B01ED"/>
    <w:rsid w:val="2352BEBD"/>
    <w:rsid w:val="238E090A"/>
    <w:rsid w:val="242D5764"/>
    <w:rsid w:val="24321CC1"/>
    <w:rsid w:val="24760166"/>
    <w:rsid w:val="248A374A"/>
    <w:rsid w:val="24AA5146"/>
    <w:rsid w:val="24AA7D6B"/>
    <w:rsid w:val="24B4A9F9"/>
    <w:rsid w:val="24CB27A9"/>
    <w:rsid w:val="24CCD637"/>
    <w:rsid w:val="24F67897"/>
    <w:rsid w:val="25088972"/>
    <w:rsid w:val="2519550A"/>
    <w:rsid w:val="2521A63C"/>
    <w:rsid w:val="252D243F"/>
    <w:rsid w:val="254ED68F"/>
    <w:rsid w:val="2577B32E"/>
    <w:rsid w:val="25D98F1A"/>
    <w:rsid w:val="25F4B619"/>
    <w:rsid w:val="25FCE7BA"/>
    <w:rsid w:val="26737F4F"/>
    <w:rsid w:val="267B9BEA"/>
    <w:rsid w:val="27135CE2"/>
    <w:rsid w:val="274203F6"/>
    <w:rsid w:val="276A8E4A"/>
    <w:rsid w:val="2783B1D3"/>
    <w:rsid w:val="27AF6D3B"/>
    <w:rsid w:val="27F6267D"/>
    <w:rsid w:val="284533C7"/>
    <w:rsid w:val="28647FC4"/>
    <w:rsid w:val="287661F4"/>
    <w:rsid w:val="287A090C"/>
    <w:rsid w:val="28839B67"/>
    <w:rsid w:val="28A593FB"/>
    <w:rsid w:val="28BC760F"/>
    <w:rsid w:val="28CC0C65"/>
    <w:rsid w:val="290AFD6C"/>
    <w:rsid w:val="29826410"/>
    <w:rsid w:val="29A8B611"/>
    <w:rsid w:val="29B02A01"/>
    <w:rsid w:val="29BE6D65"/>
    <w:rsid w:val="2A3CA467"/>
    <w:rsid w:val="2A3F4C8C"/>
    <w:rsid w:val="2A596817"/>
    <w:rsid w:val="2A7355FA"/>
    <w:rsid w:val="2A83EDA7"/>
    <w:rsid w:val="2B6085A7"/>
    <w:rsid w:val="2B945AE5"/>
    <w:rsid w:val="2BBBED04"/>
    <w:rsid w:val="2BF294AA"/>
    <w:rsid w:val="2C00E3F3"/>
    <w:rsid w:val="2C12E7D2"/>
    <w:rsid w:val="2C18DD60"/>
    <w:rsid w:val="2C516FEF"/>
    <w:rsid w:val="2C70CD8F"/>
    <w:rsid w:val="2C997317"/>
    <w:rsid w:val="2CA9C642"/>
    <w:rsid w:val="2CC5700D"/>
    <w:rsid w:val="2CDE17F7"/>
    <w:rsid w:val="2D100ABA"/>
    <w:rsid w:val="2D60ABBA"/>
    <w:rsid w:val="2D782136"/>
    <w:rsid w:val="2D7C5E22"/>
    <w:rsid w:val="2D888E01"/>
    <w:rsid w:val="2DD30022"/>
    <w:rsid w:val="2DE33EDA"/>
    <w:rsid w:val="2DE74747"/>
    <w:rsid w:val="2DF34E2D"/>
    <w:rsid w:val="2E226981"/>
    <w:rsid w:val="2ECF4D93"/>
    <w:rsid w:val="2EE65633"/>
    <w:rsid w:val="2F033506"/>
    <w:rsid w:val="2F213C85"/>
    <w:rsid w:val="2F47E549"/>
    <w:rsid w:val="2F8FB29A"/>
    <w:rsid w:val="2FC842B0"/>
    <w:rsid w:val="2FC962FF"/>
    <w:rsid w:val="3050F51F"/>
    <w:rsid w:val="307681CC"/>
    <w:rsid w:val="3087D643"/>
    <w:rsid w:val="30B6CC39"/>
    <w:rsid w:val="310F7B1F"/>
    <w:rsid w:val="31137020"/>
    <w:rsid w:val="313EFAC2"/>
    <w:rsid w:val="31699710"/>
    <w:rsid w:val="318A51FD"/>
    <w:rsid w:val="31D03765"/>
    <w:rsid w:val="3223F675"/>
    <w:rsid w:val="3255B324"/>
    <w:rsid w:val="3261AD27"/>
    <w:rsid w:val="329590DD"/>
    <w:rsid w:val="32A9697D"/>
    <w:rsid w:val="32E28B6B"/>
    <w:rsid w:val="32EA90BE"/>
    <w:rsid w:val="32FC542A"/>
    <w:rsid w:val="3325C115"/>
    <w:rsid w:val="3335AD20"/>
    <w:rsid w:val="333670FB"/>
    <w:rsid w:val="3357285D"/>
    <w:rsid w:val="338B39A0"/>
    <w:rsid w:val="33935172"/>
    <w:rsid w:val="33BE735F"/>
    <w:rsid w:val="33DB94D7"/>
    <w:rsid w:val="33F46112"/>
    <w:rsid w:val="33F80C80"/>
    <w:rsid w:val="340DF9A9"/>
    <w:rsid w:val="3426A06E"/>
    <w:rsid w:val="342A0CF9"/>
    <w:rsid w:val="3430A12D"/>
    <w:rsid w:val="34B979E0"/>
    <w:rsid w:val="34CA959F"/>
    <w:rsid w:val="34CD6C1A"/>
    <w:rsid w:val="34DD2B63"/>
    <w:rsid w:val="34F17FEF"/>
    <w:rsid w:val="3539C2C8"/>
    <w:rsid w:val="353D53A1"/>
    <w:rsid w:val="3544E80B"/>
    <w:rsid w:val="355EBF47"/>
    <w:rsid w:val="359828F7"/>
    <w:rsid w:val="359F04CD"/>
    <w:rsid w:val="35AD87B5"/>
    <w:rsid w:val="3604EA00"/>
    <w:rsid w:val="36251A5A"/>
    <w:rsid w:val="36480E5A"/>
    <w:rsid w:val="37000C04"/>
    <w:rsid w:val="371A868B"/>
    <w:rsid w:val="3756B00E"/>
    <w:rsid w:val="377FA3E4"/>
    <w:rsid w:val="379ADDA5"/>
    <w:rsid w:val="37B559FA"/>
    <w:rsid w:val="37EF2FDD"/>
    <w:rsid w:val="37F1BA88"/>
    <w:rsid w:val="3828C8D2"/>
    <w:rsid w:val="38552B5B"/>
    <w:rsid w:val="3881D489"/>
    <w:rsid w:val="3885986A"/>
    <w:rsid w:val="38A8A3AF"/>
    <w:rsid w:val="38DEFF3E"/>
    <w:rsid w:val="38E033F3"/>
    <w:rsid w:val="38EFD884"/>
    <w:rsid w:val="390ABB6E"/>
    <w:rsid w:val="391882F6"/>
    <w:rsid w:val="393282BF"/>
    <w:rsid w:val="3941FE11"/>
    <w:rsid w:val="3945520E"/>
    <w:rsid w:val="397C551D"/>
    <w:rsid w:val="39E5F85C"/>
    <w:rsid w:val="39EF6CE8"/>
    <w:rsid w:val="39FB2F42"/>
    <w:rsid w:val="39FDC4CD"/>
    <w:rsid w:val="3A3306D5"/>
    <w:rsid w:val="3A46C9EF"/>
    <w:rsid w:val="3A649FB0"/>
    <w:rsid w:val="3A97B8BD"/>
    <w:rsid w:val="3A981B90"/>
    <w:rsid w:val="3AB529AF"/>
    <w:rsid w:val="3AFC5C19"/>
    <w:rsid w:val="3B04B913"/>
    <w:rsid w:val="3B4DD651"/>
    <w:rsid w:val="3BC74833"/>
    <w:rsid w:val="3C08AF6A"/>
    <w:rsid w:val="3C66FFA2"/>
    <w:rsid w:val="3CA38551"/>
    <w:rsid w:val="3CD618F4"/>
    <w:rsid w:val="3CDA9483"/>
    <w:rsid w:val="3D0A4906"/>
    <w:rsid w:val="3D2A6D79"/>
    <w:rsid w:val="3D34FB13"/>
    <w:rsid w:val="3D573B60"/>
    <w:rsid w:val="3DAB5C5D"/>
    <w:rsid w:val="3DABA69C"/>
    <w:rsid w:val="3DAF6042"/>
    <w:rsid w:val="3DC5D9B8"/>
    <w:rsid w:val="3DFEB4E1"/>
    <w:rsid w:val="3E3E8F91"/>
    <w:rsid w:val="3E7DD60C"/>
    <w:rsid w:val="3E86E6EF"/>
    <w:rsid w:val="3E94A47F"/>
    <w:rsid w:val="3EC71881"/>
    <w:rsid w:val="3ECBDDDE"/>
    <w:rsid w:val="3ED4740E"/>
    <w:rsid w:val="3F4BA88F"/>
    <w:rsid w:val="3F630D8F"/>
    <w:rsid w:val="3F87CFD9"/>
    <w:rsid w:val="3FAE682C"/>
    <w:rsid w:val="3FDD1E51"/>
    <w:rsid w:val="3FF94001"/>
    <w:rsid w:val="4000046F"/>
    <w:rsid w:val="404E27D3"/>
    <w:rsid w:val="409AC497"/>
    <w:rsid w:val="409DFA0D"/>
    <w:rsid w:val="40A5B4C2"/>
    <w:rsid w:val="40D4EB9F"/>
    <w:rsid w:val="41010B39"/>
    <w:rsid w:val="411599E5"/>
    <w:rsid w:val="4178F94A"/>
    <w:rsid w:val="41D5E9A6"/>
    <w:rsid w:val="421AE095"/>
    <w:rsid w:val="42B9F54F"/>
    <w:rsid w:val="431B60EC"/>
    <w:rsid w:val="431B75D0"/>
    <w:rsid w:val="431C04C1"/>
    <w:rsid w:val="431D235A"/>
    <w:rsid w:val="43679F23"/>
    <w:rsid w:val="43900C68"/>
    <w:rsid w:val="43D29ADF"/>
    <w:rsid w:val="43D54CDA"/>
    <w:rsid w:val="44493178"/>
    <w:rsid w:val="44517504"/>
    <w:rsid w:val="446E33CE"/>
    <w:rsid w:val="448593FD"/>
    <w:rsid w:val="4494148E"/>
    <w:rsid w:val="44AA19DA"/>
    <w:rsid w:val="44C7FC01"/>
    <w:rsid w:val="455E3C1A"/>
    <w:rsid w:val="45784DA3"/>
    <w:rsid w:val="45944585"/>
    <w:rsid w:val="45AC71C3"/>
    <w:rsid w:val="45C6A0D7"/>
    <w:rsid w:val="4625A0CB"/>
    <w:rsid w:val="467DC4D4"/>
    <w:rsid w:val="46AD15BF"/>
    <w:rsid w:val="46B4D424"/>
    <w:rsid w:val="46D91FB4"/>
    <w:rsid w:val="46DF514D"/>
    <w:rsid w:val="470355CD"/>
    <w:rsid w:val="47252D2A"/>
    <w:rsid w:val="477155A5"/>
    <w:rsid w:val="478432C8"/>
    <w:rsid w:val="478818AC"/>
    <w:rsid w:val="47902393"/>
    <w:rsid w:val="47ABCECB"/>
    <w:rsid w:val="47C1C911"/>
    <w:rsid w:val="47C929B7"/>
    <w:rsid w:val="48155393"/>
    <w:rsid w:val="4833CB31"/>
    <w:rsid w:val="48449A2D"/>
    <w:rsid w:val="4848E620"/>
    <w:rsid w:val="48C829DB"/>
    <w:rsid w:val="495DE790"/>
    <w:rsid w:val="495E09AC"/>
    <w:rsid w:val="49660564"/>
    <w:rsid w:val="4985D66B"/>
    <w:rsid w:val="49FE790B"/>
    <w:rsid w:val="4A03BEAA"/>
    <w:rsid w:val="4A5A955E"/>
    <w:rsid w:val="4A620414"/>
    <w:rsid w:val="4AF8D25B"/>
    <w:rsid w:val="4B0F0CB0"/>
    <w:rsid w:val="4B331E92"/>
    <w:rsid w:val="4B3936BE"/>
    <w:rsid w:val="4B4E0802"/>
    <w:rsid w:val="4B932BE4"/>
    <w:rsid w:val="4BAA6827"/>
    <w:rsid w:val="4BB30548"/>
    <w:rsid w:val="4BDB8943"/>
    <w:rsid w:val="4C44D695"/>
    <w:rsid w:val="4C59CC97"/>
    <w:rsid w:val="4C914171"/>
    <w:rsid w:val="4C997A09"/>
    <w:rsid w:val="4CB43BED"/>
    <w:rsid w:val="4CEDA79E"/>
    <w:rsid w:val="4D0DAFD2"/>
    <w:rsid w:val="4D557A5B"/>
    <w:rsid w:val="4D911C83"/>
    <w:rsid w:val="4DDD1920"/>
    <w:rsid w:val="4E12527D"/>
    <w:rsid w:val="4E71FBDC"/>
    <w:rsid w:val="4E7B20F0"/>
    <w:rsid w:val="4EC15167"/>
    <w:rsid w:val="4ED4C886"/>
    <w:rsid w:val="4F00BF1F"/>
    <w:rsid w:val="4F6AF367"/>
    <w:rsid w:val="4F84836F"/>
    <w:rsid w:val="4FB411ED"/>
    <w:rsid w:val="4FD2C4AB"/>
    <w:rsid w:val="4FE0B424"/>
    <w:rsid w:val="511FEB2A"/>
    <w:rsid w:val="51271711"/>
    <w:rsid w:val="5148D3BD"/>
    <w:rsid w:val="5154A9C0"/>
    <w:rsid w:val="519E927E"/>
    <w:rsid w:val="51A6686D"/>
    <w:rsid w:val="51AA5DE4"/>
    <w:rsid w:val="52025D3F"/>
    <w:rsid w:val="522F0BCE"/>
    <w:rsid w:val="524672DB"/>
    <w:rsid w:val="524D9058"/>
    <w:rsid w:val="525D05C2"/>
    <w:rsid w:val="52788AFF"/>
    <w:rsid w:val="528995FF"/>
    <w:rsid w:val="52A18786"/>
    <w:rsid w:val="52B7BAB8"/>
    <w:rsid w:val="52D37B09"/>
    <w:rsid w:val="52FC3914"/>
    <w:rsid w:val="5309CDF5"/>
    <w:rsid w:val="531B6EB8"/>
    <w:rsid w:val="533E3E7F"/>
    <w:rsid w:val="53CA76E0"/>
    <w:rsid w:val="53CB14D3"/>
    <w:rsid w:val="53D9EC4A"/>
    <w:rsid w:val="53F9465D"/>
    <w:rsid w:val="540FC7DE"/>
    <w:rsid w:val="54505850"/>
    <w:rsid w:val="546B54AB"/>
    <w:rsid w:val="5490A4D9"/>
    <w:rsid w:val="54F59D01"/>
    <w:rsid w:val="54F7ED46"/>
    <w:rsid w:val="55A4EBB7"/>
    <w:rsid w:val="55D4409E"/>
    <w:rsid w:val="5611A99E"/>
    <w:rsid w:val="562D0EA7"/>
    <w:rsid w:val="567308C6"/>
    <w:rsid w:val="56CBFEA5"/>
    <w:rsid w:val="56E2BE8A"/>
    <w:rsid w:val="56F3DCBB"/>
    <w:rsid w:val="575E7086"/>
    <w:rsid w:val="57AE095F"/>
    <w:rsid w:val="57DAE233"/>
    <w:rsid w:val="57E5BDF3"/>
    <w:rsid w:val="57E76245"/>
    <w:rsid w:val="580B8FE7"/>
    <w:rsid w:val="5824492F"/>
    <w:rsid w:val="5896601F"/>
    <w:rsid w:val="58A1D5CA"/>
    <w:rsid w:val="58FF9DBC"/>
    <w:rsid w:val="59584A61"/>
    <w:rsid w:val="5963BAFF"/>
    <w:rsid w:val="59691182"/>
    <w:rsid w:val="599C727E"/>
    <w:rsid w:val="5A0E8F80"/>
    <w:rsid w:val="5A378F44"/>
    <w:rsid w:val="5A4EAF2C"/>
    <w:rsid w:val="5A82A6D8"/>
    <w:rsid w:val="5AA85E69"/>
    <w:rsid w:val="5ACB87DE"/>
    <w:rsid w:val="5ACCC1BD"/>
    <w:rsid w:val="5B11EB7D"/>
    <w:rsid w:val="5B4145E4"/>
    <w:rsid w:val="5B743F29"/>
    <w:rsid w:val="5B74B621"/>
    <w:rsid w:val="5BE2E1AE"/>
    <w:rsid w:val="5BF0BECE"/>
    <w:rsid w:val="5C305882"/>
    <w:rsid w:val="5CE3535F"/>
    <w:rsid w:val="5CE4A834"/>
    <w:rsid w:val="5CFA75BC"/>
    <w:rsid w:val="5D539832"/>
    <w:rsid w:val="5D56D8AA"/>
    <w:rsid w:val="5D6712C4"/>
    <w:rsid w:val="5D9EBC4A"/>
    <w:rsid w:val="5DBCD142"/>
    <w:rsid w:val="5DC12E5F"/>
    <w:rsid w:val="5E1E30D8"/>
    <w:rsid w:val="5E287757"/>
    <w:rsid w:val="5E3AD592"/>
    <w:rsid w:val="5E6A7AA5"/>
    <w:rsid w:val="5E77A12F"/>
    <w:rsid w:val="5EE5299F"/>
    <w:rsid w:val="5F2426D5"/>
    <w:rsid w:val="5F3E1449"/>
    <w:rsid w:val="5F67C796"/>
    <w:rsid w:val="5F93BF95"/>
    <w:rsid w:val="5F9ED5E2"/>
    <w:rsid w:val="5FA3B962"/>
    <w:rsid w:val="5FB4F5C2"/>
    <w:rsid w:val="5FE29A19"/>
    <w:rsid w:val="5FE6F723"/>
    <w:rsid w:val="5FF3A995"/>
    <w:rsid w:val="60255B61"/>
    <w:rsid w:val="60402868"/>
    <w:rsid w:val="604BD7B6"/>
    <w:rsid w:val="6096EDE9"/>
    <w:rsid w:val="60C1BA9C"/>
    <w:rsid w:val="60CC0809"/>
    <w:rsid w:val="60D40DCD"/>
    <w:rsid w:val="60D6A5A1"/>
    <w:rsid w:val="60EB5B96"/>
    <w:rsid w:val="6112CEFD"/>
    <w:rsid w:val="614A41C4"/>
    <w:rsid w:val="614C878C"/>
    <w:rsid w:val="6178CED7"/>
    <w:rsid w:val="617AB98F"/>
    <w:rsid w:val="61BCD439"/>
    <w:rsid w:val="6220DA50"/>
    <w:rsid w:val="6224957A"/>
    <w:rsid w:val="6235D123"/>
    <w:rsid w:val="62428606"/>
    <w:rsid w:val="625C0D12"/>
    <w:rsid w:val="6270C114"/>
    <w:rsid w:val="62C4340E"/>
    <w:rsid w:val="635E9A52"/>
    <w:rsid w:val="63BC7DED"/>
    <w:rsid w:val="63F01014"/>
    <w:rsid w:val="63FB62B5"/>
    <w:rsid w:val="641341ED"/>
    <w:rsid w:val="641EBF0F"/>
    <w:rsid w:val="64348DDC"/>
    <w:rsid w:val="64705EB9"/>
    <w:rsid w:val="64752FD8"/>
    <w:rsid w:val="649F1C8F"/>
    <w:rsid w:val="64A3AD74"/>
    <w:rsid w:val="64EE87B2"/>
    <w:rsid w:val="64F144A0"/>
    <w:rsid w:val="651A0A91"/>
    <w:rsid w:val="65717FB3"/>
    <w:rsid w:val="6574B151"/>
    <w:rsid w:val="657ACCDC"/>
    <w:rsid w:val="65905A05"/>
    <w:rsid w:val="65A00FA9"/>
    <w:rsid w:val="65BFC3CB"/>
    <w:rsid w:val="6622E36A"/>
    <w:rsid w:val="662512A6"/>
    <w:rsid w:val="6648A70E"/>
    <w:rsid w:val="66F7E635"/>
    <w:rsid w:val="673B7FD4"/>
    <w:rsid w:val="67B26A69"/>
    <w:rsid w:val="67CFD72B"/>
    <w:rsid w:val="67DF7117"/>
    <w:rsid w:val="67FD533E"/>
    <w:rsid w:val="68018FC4"/>
    <w:rsid w:val="685F08F7"/>
    <w:rsid w:val="68695175"/>
    <w:rsid w:val="68899E01"/>
    <w:rsid w:val="689CF4AE"/>
    <w:rsid w:val="68B1D626"/>
    <w:rsid w:val="68B2B59F"/>
    <w:rsid w:val="68F43CED"/>
    <w:rsid w:val="68FE87CA"/>
    <w:rsid w:val="691A01C5"/>
    <w:rsid w:val="69468C8F"/>
    <w:rsid w:val="6955DF49"/>
    <w:rsid w:val="697A7B38"/>
    <w:rsid w:val="69D4D2BD"/>
    <w:rsid w:val="6A09C5A8"/>
    <w:rsid w:val="6AD53685"/>
    <w:rsid w:val="6AD648CF"/>
    <w:rsid w:val="6ADD6661"/>
    <w:rsid w:val="6AED7164"/>
    <w:rsid w:val="6AFB743B"/>
    <w:rsid w:val="6B1F25A2"/>
    <w:rsid w:val="6B3226E1"/>
    <w:rsid w:val="6B38A3DB"/>
    <w:rsid w:val="6B5BAC6A"/>
    <w:rsid w:val="6BBD31A4"/>
    <w:rsid w:val="6BE53CFA"/>
    <w:rsid w:val="6C609098"/>
    <w:rsid w:val="6C9A8EBE"/>
    <w:rsid w:val="6CE5EF86"/>
    <w:rsid w:val="6CF2F879"/>
    <w:rsid w:val="6D119E04"/>
    <w:rsid w:val="6D233781"/>
    <w:rsid w:val="6D3DF375"/>
    <w:rsid w:val="6DDF3F98"/>
    <w:rsid w:val="6DE4A01D"/>
    <w:rsid w:val="6E5136BE"/>
    <w:rsid w:val="6E57F177"/>
    <w:rsid w:val="6E58D1CE"/>
    <w:rsid w:val="6E7F46DC"/>
    <w:rsid w:val="6E8BEAB8"/>
    <w:rsid w:val="6EABD7DB"/>
    <w:rsid w:val="6ECDDB3C"/>
    <w:rsid w:val="6EE13222"/>
    <w:rsid w:val="6EEA1BB4"/>
    <w:rsid w:val="6F095BA6"/>
    <w:rsid w:val="6F0B8573"/>
    <w:rsid w:val="6F4E5295"/>
    <w:rsid w:val="6F5F2F40"/>
    <w:rsid w:val="6FA11FC4"/>
    <w:rsid w:val="700E7335"/>
    <w:rsid w:val="7061FB80"/>
    <w:rsid w:val="710D717F"/>
    <w:rsid w:val="711187FD"/>
    <w:rsid w:val="7118ADF1"/>
    <w:rsid w:val="7151AD38"/>
    <w:rsid w:val="71795E2E"/>
    <w:rsid w:val="717D2C4F"/>
    <w:rsid w:val="719F03DC"/>
    <w:rsid w:val="725D5803"/>
    <w:rsid w:val="72601912"/>
    <w:rsid w:val="7280C953"/>
    <w:rsid w:val="72AC3DD6"/>
    <w:rsid w:val="72BE058D"/>
    <w:rsid w:val="738EE7C1"/>
    <w:rsid w:val="73D544E5"/>
    <w:rsid w:val="73E0EB06"/>
    <w:rsid w:val="73FAFBE2"/>
    <w:rsid w:val="745EB510"/>
    <w:rsid w:val="7462A1F2"/>
    <w:rsid w:val="748292CC"/>
    <w:rsid w:val="7493B829"/>
    <w:rsid w:val="74B6F820"/>
    <w:rsid w:val="74CE901E"/>
    <w:rsid w:val="75084BB1"/>
    <w:rsid w:val="753A6122"/>
    <w:rsid w:val="753FA079"/>
    <w:rsid w:val="754C3FCD"/>
    <w:rsid w:val="755879C9"/>
    <w:rsid w:val="75886CA3"/>
    <w:rsid w:val="758FDAEF"/>
    <w:rsid w:val="75A34EEC"/>
    <w:rsid w:val="75D1C9B0"/>
    <w:rsid w:val="75F28DAF"/>
    <w:rsid w:val="7647924F"/>
    <w:rsid w:val="765CC375"/>
    <w:rsid w:val="76A0A81A"/>
    <w:rsid w:val="76A298FB"/>
    <w:rsid w:val="76DF51A5"/>
    <w:rsid w:val="76E9CC93"/>
    <w:rsid w:val="76EE900B"/>
    <w:rsid w:val="76F1C106"/>
    <w:rsid w:val="771C8CE7"/>
    <w:rsid w:val="77273698"/>
    <w:rsid w:val="775EA03A"/>
    <w:rsid w:val="77E43438"/>
    <w:rsid w:val="77EA1F7C"/>
    <w:rsid w:val="77EEB208"/>
    <w:rsid w:val="781A4551"/>
    <w:rsid w:val="7822EC72"/>
    <w:rsid w:val="78355A85"/>
    <w:rsid w:val="7835880F"/>
    <w:rsid w:val="783CF743"/>
    <w:rsid w:val="7891F841"/>
    <w:rsid w:val="78BB6393"/>
    <w:rsid w:val="78DE9669"/>
    <w:rsid w:val="7900F89D"/>
    <w:rsid w:val="7933B249"/>
    <w:rsid w:val="793D4086"/>
    <w:rsid w:val="7943CD87"/>
    <w:rsid w:val="79538158"/>
    <w:rsid w:val="7969C58E"/>
    <w:rsid w:val="79A49857"/>
    <w:rsid w:val="79A4A753"/>
    <w:rsid w:val="7A1BDE19"/>
    <w:rsid w:val="7AA1730F"/>
    <w:rsid w:val="7AB2D6CB"/>
    <w:rsid w:val="7AF425B2"/>
    <w:rsid w:val="7B179D3C"/>
    <w:rsid w:val="7B1E8D90"/>
    <w:rsid w:val="7B352409"/>
    <w:rsid w:val="7B437BF6"/>
    <w:rsid w:val="7B50B3AC"/>
    <w:rsid w:val="7B59F5BC"/>
    <w:rsid w:val="7B7DDAC8"/>
    <w:rsid w:val="7BCA612E"/>
    <w:rsid w:val="7BD3A4E2"/>
    <w:rsid w:val="7C16119B"/>
    <w:rsid w:val="7C2417D8"/>
    <w:rsid w:val="7C2AA0D8"/>
    <w:rsid w:val="7C323D9A"/>
    <w:rsid w:val="7C4F7C2B"/>
    <w:rsid w:val="7C51B3C3"/>
    <w:rsid w:val="7C5DD649"/>
    <w:rsid w:val="7C774248"/>
    <w:rsid w:val="7CC79442"/>
    <w:rsid w:val="7CEC3A68"/>
    <w:rsid w:val="7CEC7E4C"/>
    <w:rsid w:val="7D1B6D91"/>
    <w:rsid w:val="7D337FCD"/>
    <w:rsid w:val="7D858E5B"/>
    <w:rsid w:val="7E3A2692"/>
    <w:rsid w:val="7E91A95A"/>
    <w:rsid w:val="7E935BEB"/>
    <w:rsid w:val="7E9A2922"/>
    <w:rsid w:val="7EB8E7B4"/>
    <w:rsid w:val="7ED2047E"/>
    <w:rsid w:val="7F1FDF34"/>
    <w:rsid w:val="7F2EF4DA"/>
    <w:rsid w:val="7F3896C1"/>
    <w:rsid w:val="7F44AF33"/>
    <w:rsid w:val="7F595EFE"/>
    <w:rsid w:val="7FBBC0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9DEC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C16DA"/>
    <w:pPr>
      <w:autoSpaceDE w:val="0"/>
      <w:autoSpaceDN w:val="0"/>
      <w:adjustRightInd w:val="0"/>
      <w:spacing w:after="0" w:line="240" w:lineRule="auto"/>
      <w:outlineLvl w:val="0"/>
    </w:pPr>
    <w:rPr>
      <w:rFonts w:cs="Times New Roman"/>
      <w:b/>
      <w:szCs w:val="24"/>
    </w:rPr>
  </w:style>
  <w:style w:type="paragraph" w:styleId="Heading2">
    <w:name w:val="heading 2"/>
    <w:basedOn w:val="ListParagraph"/>
    <w:next w:val="Normal"/>
    <w:link w:val="Heading2Char"/>
    <w:uiPriority w:val="9"/>
    <w:unhideWhenUsed/>
    <w:qFormat/>
    <w:rsid w:val="00587D94"/>
    <w:pPr>
      <w:numPr>
        <w:numId w:val="1"/>
      </w:numPr>
      <w:autoSpaceDE w:val="0"/>
      <w:autoSpaceDN w:val="0"/>
      <w:adjustRightInd w:val="0"/>
      <w:spacing w:before="240" w:after="120" w:line="240" w:lineRule="auto"/>
      <w:contextualSpacing w:val="0"/>
      <w:outlineLvl w:val="1"/>
    </w:pPr>
    <w:rPr>
      <w:rFonts w:cs="Times New Roman"/>
      <w:b/>
      <w:szCs w:val="24"/>
    </w:rPr>
  </w:style>
  <w:style w:type="paragraph" w:styleId="Heading3">
    <w:name w:val="heading 3"/>
    <w:basedOn w:val="Normal"/>
    <w:next w:val="Normal"/>
    <w:link w:val="Heading3Char"/>
    <w:uiPriority w:val="9"/>
    <w:unhideWhenUsed/>
    <w:qFormat/>
    <w:rsid w:val="00A23407"/>
    <w:pPr>
      <w:ind w:left="720"/>
      <w:contextualSpacing/>
      <w:outlineLvl w:val="2"/>
    </w:pPr>
    <w:rPr>
      <w:b/>
      <w:bCs/>
      <w:i/>
      <w:iCs/>
      <w:u w:val="single"/>
    </w:rPr>
  </w:style>
  <w:style w:type="paragraph" w:styleId="Heading4">
    <w:name w:val="heading 4"/>
    <w:basedOn w:val="Heading3"/>
    <w:next w:val="Normal"/>
    <w:link w:val="Heading4Char"/>
    <w:uiPriority w:val="9"/>
    <w:unhideWhenUsed/>
    <w:qFormat/>
    <w:rsid w:val="0024484C"/>
    <w:pPr>
      <w:ind w:left="1440"/>
      <w:outlineLvl w:val="3"/>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154D7"/>
    <w:pPr>
      <w:ind w:left="720"/>
      <w:contextualSpacing/>
    </w:pPr>
  </w:style>
  <w:style w:type="table" w:styleId="TableGrid">
    <w:name w:val="Table Grid"/>
    <w:aliases w:val="Standard Table Format"/>
    <w:basedOn w:val="TableNormal"/>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paragraph" w:customStyle="1" w:styleId="Default">
    <w:name w:val="Default"/>
    <w:rsid w:val="0086290E"/>
    <w:pPr>
      <w:autoSpaceDE w:val="0"/>
      <w:autoSpaceDN w:val="0"/>
      <w:adjustRightInd w:val="0"/>
      <w:spacing w:after="0" w:line="240" w:lineRule="auto"/>
    </w:pPr>
    <w:rPr>
      <w:rFonts w:ascii="Minion Pro Cond" w:hAnsi="Minion Pro Cond" w:cs="Minion Pro Cond"/>
      <w:color w:val="000000"/>
      <w:sz w:val="24"/>
      <w:szCs w:val="24"/>
    </w:rPr>
  </w:style>
  <w:style w:type="paragraph" w:customStyle="1" w:styleId="Pa5">
    <w:name w:val="Pa5"/>
    <w:basedOn w:val="Default"/>
    <w:next w:val="Default"/>
    <w:uiPriority w:val="99"/>
    <w:rsid w:val="0086290E"/>
    <w:pPr>
      <w:spacing w:line="181" w:lineRule="atLeast"/>
    </w:pPr>
    <w:rPr>
      <w:rFonts w:cstheme="minorBidi"/>
      <w:color w:val="auto"/>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locked/>
    <w:rsid w:val="00434953"/>
    <w:rPr>
      <w:rFonts w:ascii="Times New Roman" w:hAnsi="Times New Roman"/>
      <w:sz w:val="24"/>
    </w:rPr>
  </w:style>
  <w:style w:type="character" w:styleId="CommentReference">
    <w:name w:val="annotation reference"/>
    <w:basedOn w:val="DefaultParagraphFont"/>
    <w:unhideWhenUsed/>
    <w:rsid w:val="00CF77CC"/>
    <w:rPr>
      <w:sz w:val="16"/>
      <w:szCs w:val="16"/>
    </w:rPr>
  </w:style>
  <w:style w:type="paragraph" w:styleId="CommentText">
    <w:name w:val="annotation text"/>
    <w:basedOn w:val="Normal"/>
    <w:link w:val="CommentTextChar"/>
    <w:uiPriority w:val="99"/>
    <w:unhideWhenUsed/>
    <w:rsid w:val="00CF77CC"/>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CF77CC"/>
    <w:rPr>
      <w:sz w:val="20"/>
      <w:szCs w:val="20"/>
    </w:rPr>
  </w:style>
  <w:style w:type="paragraph" w:styleId="BalloonText">
    <w:name w:val="Balloon Text"/>
    <w:basedOn w:val="Normal"/>
    <w:link w:val="BalloonTextChar"/>
    <w:uiPriority w:val="99"/>
    <w:semiHidden/>
    <w:unhideWhenUsed/>
    <w:rsid w:val="00CF7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7CC"/>
    <w:rPr>
      <w:rFonts w:ascii="Segoe UI" w:hAnsi="Segoe UI" w:cs="Segoe UI"/>
      <w:sz w:val="18"/>
      <w:szCs w:val="18"/>
    </w:rPr>
  </w:style>
  <w:style w:type="paragraph" w:customStyle="1" w:styleId="Level1">
    <w:name w:val="Level 1"/>
    <w:basedOn w:val="Normal"/>
    <w:rsid w:val="003C50F6"/>
    <w:pPr>
      <w:widowControl w:val="0"/>
      <w:numPr>
        <w:numId w:val="13"/>
      </w:numPr>
      <w:autoSpaceDE w:val="0"/>
      <w:autoSpaceDN w:val="0"/>
      <w:adjustRightInd w:val="0"/>
      <w:spacing w:after="0" w:line="240" w:lineRule="auto"/>
      <w:outlineLvl w:val="0"/>
    </w:pPr>
    <w:rPr>
      <w:rFonts w:ascii="Courier" w:eastAsia="Times New Roman" w:hAnsi="Courier" w:cs="Times New Roman"/>
      <w:szCs w:val="24"/>
    </w:rPr>
  </w:style>
  <w:style w:type="paragraph" w:styleId="CommentSubject">
    <w:name w:val="annotation subject"/>
    <w:basedOn w:val="CommentText"/>
    <w:next w:val="CommentText"/>
    <w:link w:val="CommentSubjectChar"/>
    <w:uiPriority w:val="99"/>
    <w:semiHidden/>
    <w:unhideWhenUsed/>
    <w:rsid w:val="00BA7F9F"/>
    <w:rPr>
      <w:rFonts w:ascii="Times New Roman" w:hAnsi="Times New Roman"/>
      <w:b/>
      <w:bCs/>
    </w:rPr>
  </w:style>
  <w:style w:type="character" w:customStyle="1" w:styleId="CommentSubjectChar">
    <w:name w:val="Comment Subject Char"/>
    <w:basedOn w:val="CommentTextChar"/>
    <w:link w:val="CommentSubject"/>
    <w:uiPriority w:val="99"/>
    <w:semiHidden/>
    <w:rsid w:val="00BA7F9F"/>
    <w:rPr>
      <w:rFonts w:ascii="Times New Roman" w:hAnsi="Times New Roman"/>
      <w:b/>
      <w:bCs/>
      <w:sz w:val="20"/>
      <w:szCs w:val="20"/>
    </w:rPr>
  </w:style>
  <w:style w:type="paragraph" w:styleId="NormalWeb">
    <w:name w:val="Normal (Web)"/>
    <w:basedOn w:val="Normal"/>
    <w:uiPriority w:val="99"/>
    <w:semiHidden/>
    <w:unhideWhenUsed/>
    <w:rsid w:val="00204058"/>
    <w:pPr>
      <w:spacing w:before="100" w:beforeAutospacing="1" w:after="100" w:afterAutospacing="1" w:line="240" w:lineRule="auto"/>
    </w:pPr>
    <w:rPr>
      <w:rFonts w:eastAsia="Times New Roman" w:cs="Times New Roman"/>
      <w:szCs w:val="24"/>
    </w:rPr>
  </w:style>
  <w:style w:type="character" w:customStyle="1" w:styleId="UnresolvedMention2">
    <w:name w:val="Unresolved Mention2"/>
    <w:basedOn w:val="DefaultParagraphFont"/>
    <w:uiPriority w:val="99"/>
    <w:semiHidden/>
    <w:unhideWhenUsed/>
    <w:rsid w:val="00F11A8F"/>
    <w:rPr>
      <w:color w:val="808080"/>
      <w:shd w:val="clear" w:color="auto" w:fill="E6E6E6"/>
    </w:rPr>
  </w:style>
  <w:style w:type="character" w:styleId="FollowedHyperlink">
    <w:name w:val="FollowedHyperlink"/>
    <w:basedOn w:val="DefaultParagraphFont"/>
    <w:uiPriority w:val="99"/>
    <w:semiHidden/>
    <w:unhideWhenUsed/>
    <w:rsid w:val="00030606"/>
    <w:rPr>
      <w:color w:val="800080" w:themeColor="followedHyperlink"/>
      <w:u w:val="single"/>
    </w:rPr>
  </w:style>
  <w:style w:type="paragraph" w:styleId="Revision">
    <w:name w:val="Revision"/>
    <w:hidden/>
    <w:uiPriority w:val="99"/>
    <w:semiHidden/>
    <w:rsid w:val="00E0378D"/>
    <w:pPr>
      <w:spacing w:after="0" w:line="240" w:lineRule="auto"/>
    </w:pPr>
    <w:rPr>
      <w:rFonts w:ascii="Times New Roman" w:hAnsi="Times New Roman"/>
      <w:sz w:val="24"/>
    </w:rPr>
  </w:style>
  <w:style w:type="character" w:customStyle="1" w:styleId="UnresolvedMention3">
    <w:name w:val="Unresolved Mention3"/>
    <w:basedOn w:val="DefaultParagraphFont"/>
    <w:uiPriority w:val="99"/>
    <w:semiHidden/>
    <w:unhideWhenUsed/>
    <w:rsid w:val="00D10590"/>
    <w:rPr>
      <w:color w:val="808080"/>
      <w:shd w:val="clear" w:color="auto" w:fill="E6E6E6"/>
    </w:rPr>
  </w:style>
  <w:style w:type="paragraph" w:customStyle="1" w:styleId="psection-3">
    <w:name w:val="psection-3"/>
    <w:basedOn w:val="Normal"/>
    <w:rsid w:val="00E040CC"/>
    <w:pPr>
      <w:spacing w:before="100" w:beforeAutospacing="1" w:after="100" w:afterAutospacing="1" w:line="240" w:lineRule="auto"/>
    </w:pPr>
    <w:rPr>
      <w:rFonts w:eastAsia="Times New Roman" w:cs="Times New Roman"/>
      <w:szCs w:val="24"/>
    </w:rPr>
  </w:style>
  <w:style w:type="character" w:customStyle="1" w:styleId="enumxml">
    <w:name w:val="enumxml"/>
    <w:basedOn w:val="DefaultParagraphFont"/>
    <w:rsid w:val="00E040CC"/>
  </w:style>
  <w:style w:type="paragraph" w:styleId="Header">
    <w:name w:val="header"/>
    <w:basedOn w:val="Normal"/>
    <w:link w:val="HeaderChar"/>
    <w:uiPriority w:val="99"/>
    <w:unhideWhenUsed/>
    <w:rsid w:val="00AF7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91C"/>
    <w:rPr>
      <w:rFonts w:ascii="Times New Roman" w:hAnsi="Times New Roman"/>
      <w:sz w:val="24"/>
    </w:rPr>
  </w:style>
  <w:style w:type="paragraph" w:styleId="Footer">
    <w:name w:val="footer"/>
    <w:basedOn w:val="Normal"/>
    <w:link w:val="FooterChar"/>
    <w:uiPriority w:val="99"/>
    <w:unhideWhenUsed/>
    <w:rsid w:val="00AF7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91C"/>
    <w:rPr>
      <w:rFonts w:ascii="Times New Roman" w:hAnsi="Times New Roman"/>
      <w:sz w:val="24"/>
    </w:rPr>
  </w:style>
  <w:style w:type="character" w:styleId="UnresolvedMention">
    <w:name w:val="Unresolved Mention"/>
    <w:basedOn w:val="DefaultParagraphFont"/>
    <w:uiPriority w:val="99"/>
    <w:unhideWhenUsed/>
    <w:rsid w:val="00571D92"/>
    <w:rPr>
      <w:color w:val="605E5C"/>
      <w:shd w:val="clear" w:color="auto" w:fill="E1DFDD"/>
    </w:rPr>
  </w:style>
  <w:style w:type="character" w:customStyle="1" w:styleId="Heading1Char">
    <w:name w:val="Heading 1 Char"/>
    <w:basedOn w:val="DefaultParagraphFont"/>
    <w:link w:val="Heading1"/>
    <w:uiPriority w:val="9"/>
    <w:rsid w:val="00DC16DA"/>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587D9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A23407"/>
    <w:rPr>
      <w:rFonts w:ascii="Times New Roman" w:hAnsi="Times New Roman"/>
      <w:b/>
      <w:bCs/>
      <w:i/>
      <w:iCs/>
      <w:sz w:val="24"/>
      <w:u w:val="single"/>
    </w:rPr>
  </w:style>
  <w:style w:type="character" w:customStyle="1" w:styleId="Heading4Char">
    <w:name w:val="Heading 4 Char"/>
    <w:basedOn w:val="DefaultParagraphFont"/>
    <w:link w:val="Heading4"/>
    <w:uiPriority w:val="9"/>
    <w:rsid w:val="0024484C"/>
    <w:rPr>
      <w:rFonts w:ascii="Times New Roman" w:hAnsi="Times New Roman"/>
      <w:b/>
      <w:bCs/>
      <w:i/>
      <w:iCs/>
      <w:sz w:val="24"/>
    </w:rPr>
  </w:style>
  <w:style w:type="table" w:styleId="GridTable1Light">
    <w:name w:val="Grid Table 1 Light"/>
    <w:basedOn w:val="TableNormal"/>
    <w:uiPriority w:val="46"/>
    <w:rsid w:val="00CE43D5"/>
    <w:pPr>
      <w:spacing w:after="0" w:line="240" w:lineRule="auto"/>
    </w:pPr>
    <w:rPr>
      <w:rFonts w:ascii="Garamond" w:hAnsi="Garamond"/>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E43D5"/>
    <w:pPr>
      <w:spacing w:line="240" w:lineRule="auto"/>
      <w:jc w:val="center"/>
    </w:pPr>
    <w:rPr>
      <w:b/>
      <w:bCs/>
      <w:color w:val="1F497D" w:themeColor="text2"/>
      <w:sz w:val="22"/>
    </w:rPr>
  </w:style>
  <w:style w:type="character" w:customStyle="1" w:styleId="ui-provider">
    <w:name w:val="ui-provider"/>
    <w:basedOn w:val="DefaultParagraphFont"/>
    <w:rsid w:val="00037060"/>
  </w:style>
  <w:style w:type="character" w:customStyle="1" w:styleId="normaltextrun">
    <w:name w:val="normaltextrun"/>
    <w:basedOn w:val="DefaultParagraphFont"/>
    <w:rsid w:val="0031544D"/>
  </w:style>
  <w:style w:type="character" w:styleId="Mention">
    <w:name w:val="Mention"/>
    <w:basedOn w:val="DefaultParagraphFont"/>
    <w:uiPriority w:val="99"/>
    <w:unhideWhenUsed/>
    <w:rsid w:val="00F374AA"/>
    <w:rPr>
      <w:color w:val="2B579A"/>
      <w:shd w:val="clear" w:color="auto" w:fill="E1DFDD"/>
    </w:rPr>
  </w:style>
  <w:style w:type="paragraph" w:styleId="NoSpacing">
    <w:name w:val="No Spacing"/>
    <w:uiPriority w:val="1"/>
    <w:qFormat/>
    <w:rsid w:val="00A40E1B"/>
    <w:pPr>
      <w:spacing w:after="0" w:line="240" w:lineRule="auto"/>
    </w:pPr>
    <w:rPr>
      <w:rFonts w:ascii="Times New Roman" w:hAnsi="Times New Roman"/>
      <w:sz w:val="24"/>
    </w:rPr>
  </w:style>
  <w:style w:type="paragraph" w:styleId="BodyText">
    <w:name w:val="Body Text"/>
    <w:basedOn w:val="Normal"/>
    <w:link w:val="BodyTextChar"/>
    <w:uiPriority w:val="1"/>
    <w:qFormat/>
    <w:rsid w:val="00254ED0"/>
    <w:pPr>
      <w:spacing w:before="240" w:after="240"/>
    </w:pPr>
    <w:rPr>
      <w:rFonts w:eastAsia="Times New Roman" w:cs="Times New Roman"/>
      <w:szCs w:val="24"/>
    </w:rPr>
  </w:style>
  <w:style w:type="character" w:customStyle="1" w:styleId="BodyTextChar">
    <w:name w:val="Body Text Char"/>
    <w:basedOn w:val="DefaultParagraphFont"/>
    <w:link w:val="BodyText"/>
    <w:uiPriority w:val="1"/>
    <w:rsid w:val="00254E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ransportation.gov/individuals/privacy/crash-data-acquisition-network-cdan-pi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ecec.t01.htm" TargetMode="External" /><Relationship Id="rId3" Type="http://schemas.openxmlformats.org/officeDocument/2006/relationships/hyperlink" Target="https://www.opm.gov/policy-data-oversight/pay-leave/salaries-wages/salary-tables/pdf/2023/DCB_h.pdf" TargetMode="External" /><Relationship Id="rId4" Type="http://schemas.openxmlformats.org/officeDocument/2006/relationships/hyperlink" Target="https://www.bls.gov/news.release/archives/ecec_12152022.pdf" TargetMode="External" /><Relationship Id="rId5" Type="http://schemas.openxmlformats.org/officeDocument/2006/relationships/hyperlink" Target="https://www.bls.gov/news.release/archives/ecec_061820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183C8A50CA042B4D7920FD5549178" ma:contentTypeVersion="20" ma:contentTypeDescription="Create a new document." ma:contentTypeScope="" ma:versionID="2a6983f92cec202b9340ff4998b97ef3">
  <xsd:schema xmlns:xsd="http://www.w3.org/2001/XMLSchema" xmlns:xs="http://www.w3.org/2001/XMLSchema" xmlns:p="http://schemas.microsoft.com/office/2006/metadata/properties" xmlns:ns2="1ac5ed15-5880-47ea-98aa-1a566e611521" xmlns:ns3="6efcf75a-685b-4aea-b5ec-a82ffbb88524" targetNamespace="http://schemas.microsoft.com/office/2006/metadata/properties" ma:root="true" ma:fieldsID="219c59f9c68eaf68ce351ba7cc94dc85" ns2:_="" ns3:_="">
    <xsd:import namespace="1ac5ed15-5880-47ea-98aa-1a566e611521"/>
    <xsd:import namespace="6efcf75a-685b-4aea-b5ec-a82ffbb88524"/>
    <xsd:element name="properties">
      <xsd:complexType>
        <xsd:sequence>
          <xsd:element name="documentManagement">
            <xsd:complexType>
              <xsd:all>
                <xsd:element ref="ns2:MediaServiceMetadata" minOccurs="0"/>
                <xsd:element ref="ns2:MediaServiceFastMetadata" minOccurs="0"/>
                <xsd:element ref="ns2:Statu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Requ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5ed15-5880-47ea-98aa-1a566e611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Choice">
          <xsd:enumeration value="Assigned"/>
          <xsd:enumeration value="Due Soon"/>
          <xsd:enumeration value="Due Today"/>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Requester" ma:index="21" nillable="true" ma:displayName="Requester" ma:format="Dropdown" ma:internalName="Reques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fcf75a-685b-4aea-b5ec-a82ffbb885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9b155d90-0e9d-4ab6-90e3-fd32a0d4d144}" ma:internalName="TaxCatchAll" ma:showField="CatchAllData" ma:web="6efcf75a-685b-4aea-b5ec-a82ffbb88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er xmlns="1ac5ed15-5880-47ea-98aa-1a566e611521" xsi:nil="true"/>
    <Status xmlns="1ac5ed15-5880-47ea-98aa-1a566e611521" xsi:nil="true"/>
    <TaxCatchAll xmlns="6efcf75a-685b-4aea-b5ec-a82ffbb88524" xsi:nil="true"/>
    <lcf76f155ced4ddcb4097134ff3c332f xmlns="1ac5ed15-5880-47ea-98aa-1a566e6115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C0340-738E-4226-8A13-351C4AE48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5ed15-5880-47ea-98aa-1a566e611521"/>
    <ds:schemaRef ds:uri="6efcf75a-685b-4aea-b5ec-a82ffbb88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B243A-86A7-4331-B045-6F7AF76404ED}">
  <ds:schemaRefs>
    <ds:schemaRef ds:uri="http://schemas.openxmlformats.org/officeDocument/2006/bibliography"/>
  </ds:schemaRefs>
</ds:datastoreItem>
</file>

<file path=customXml/itemProps3.xml><?xml version="1.0" encoding="utf-8"?>
<ds:datastoreItem xmlns:ds="http://schemas.openxmlformats.org/officeDocument/2006/customXml" ds:itemID="{2815E138-9246-4DE8-8FE8-76180EA72895}">
  <ds:schemaRefs>
    <ds:schemaRef ds:uri="http://schemas.microsoft.com/sharepoint/v3/contenttype/forms"/>
  </ds:schemaRefs>
</ds:datastoreItem>
</file>

<file path=customXml/itemProps4.xml><?xml version="1.0" encoding="utf-8"?>
<ds:datastoreItem xmlns:ds="http://schemas.openxmlformats.org/officeDocument/2006/customXml" ds:itemID="{030E645A-3F21-4BE1-BCC8-76F088738851}">
  <ds:schemaRefs>
    <ds:schemaRef ds:uri="http://purl.org/dc/terms/"/>
    <ds:schemaRef ds:uri="http://schemas.microsoft.com/office/2006/documentManagement/types"/>
    <ds:schemaRef ds:uri="http://schemas.openxmlformats.org/package/2006/metadata/core-properties"/>
    <ds:schemaRef ds:uri="http://purl.org/dc/elements/1.1/"/>
    <ds:schemaRef ds:uri="6efcf75a-685b-4aea-b5ec-a82ffbb88524"/>
    <ds:schemaRef ds:uri="http://schemas.microsoft.com/office/infopath/2007/PartnerControls"/>
    <ds:schemaRef ds:uri="http://schemas.microsoft.com/office/2006/metadata/properties"/>
    <ds:schemaRef ds:uri="1ac5ed15-5880-47ea-98aa-1a566e6115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8490</Words>
  <Characters>48395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2023-12-05T21:01:00Z</dcterms:created>
  <dcterms:modified xsi:type="dcterms:W3CDTF">2023-12-05T21:01:00Z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0x010100105183C8A50CA042B4D7920FD5549178</vt:lpwstr>
  </property>
  <property fmtid="{D5CDD505-2E9C-101B-9397-08002B2CF9AE}" pid="3" name="MediaServiceImageTags">
    <vt:lpwstr/>
  </property>
</Properties>
</file>