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15BE" w:rsidRPr="00F5428B" w:rsidP="00BC15BE" w14:paraId="6A3C0555" w14:textId="77777777">
      <w:pPr>
        <w:tabs>
          <w:tab w:val="center" w:pos="4680"/>
        </w:tabs>
        <w:jc w:val="center"/>
        <w:rPr>
          <w:b/>
          <w:bCs/>
          <w:sz w:val="24"/>
        </w:rPr>
      </w:pPr>
    </w:p>
    <w:p w:rsidR="00BC15BE" w:rsidRPr="00F5428B" w:rsidP="00BC15BE" w14:paraId="1BA59068" w14:textId="77777777">
      <w:pPr>
        <w:tabs>
          <w:tab w:val="center" w:pos="4680"/>
        </w:tabs>
        <w:jc w:val="center"/>
        <w:rPr>
          <w:b/>
          <w:bCs/>
          <w:sz w:val="24"/>
        </w:rPr>
      </w:pPr>
      <w:r w:rsidRPr="00F5428B">
        <w:rPr>
          <w:b/>
          <w:bCs/>
          <w:sz w:val="24"/>
        </w:rPr>
        <w:t>SUPPORTING STATEMENT FOR</w:t>
      </w:r>
    </w:p>
    <w:p w:rsidR="002B45F1" w:rsidRPr="00F5428B" w:rsidP="002B45F1" w14:paraId="39A1A94B" w14:textId="4AD1C292">
      <w:pPr>
        <w:tabs>
          <w:tab w:val="center" w:pos="5040"/>
        </w:tabs>
        <w:jc w:val="center"/>
        <w:rPr>
          <w:b/>
          <w:bCs/>
          <w:sz w:val="24"/>
        </w:rPr>
      </w:pPr>
      <w:r w:rsidRPr="00F5428B">
        <w:rPr>
          <w:b/>
          <w:bCs/>
          <w:sz w:val="24"/>
        </w:rPr>
        <w:t>FERC-545</w:t>
      </w:r>
      <w:r w:rsidRPr="00E06116">
        <w:rPr>
          <w:bCs/>
          <w:sz w:val="24"/>
        </w:rPr>
        <w:t xml:space="preserve"> </w:t>
      </w:r>
      <w:r w:rsidR="00C40086">
        <w:rPr>
          <w:bCs/>
          <w:sz w:val="24"/>
        </w:rPr>
        <w:t>[</w:t>
      </w:r>
      <w:r w:rsidRPr="00F5428B">
        <w:rPr>
          <w:b/>
          <w:bCs/>
          <w:sz w:val="24"/>
        </w:rPr>
        <w:t xml:space="preserve">(Gas Pipeline Rates: Rate </w:t>
      </w:r>
      <w:r w:rsidR="00A873E5">
        <w:rPr>
          <w:b/>
          <w:bCs/>
          <w:sz w:val="24"/>
        </w:rPr>
        <w:t xml:space="preserve">Change </w:t>
      </w:r>
      <w:r w:rsidR="00C40086">
        <w:rPr>
          <w:b/>
          <w:bCs/>
          <w:sz w:val="24"/>
        </w:rPr>
        <w:t>(</w:t>
      </w:r>
      <w:r w:rsidR="00A873E5">
        <w:rPr>
          <w:b/>
          <w:bCs/>
          <w:sz w:val="24"/>
        </w:rPr>
        <w:t>Non-Formal</w:t>
      </w:r>
      <w:r w:rsidR="00E06116">
        <w:rPr>
          <w:b/>
          <w:bCs/>
          <w:sz w:val="24"/>
        </w:rPr>
        <w:t>)</w:t>
      </w:r>
      <w:r w:rsidR="00C40086">
        <w:rPr>
          <w:b/>
          <w:bCs/>
          <w:sz w:val="24"/>
        </w:rPr>
        <w:t>]</w:t>
      </w:r>
    </w:p>
    <w:p w:rsidR="00BC15BE" w:rsidRPr="00F5428B" w:rsidP="00BC15BE" w14:paraId="34F6204C" w14:textId="77777777">
      <w:pPr>
        <w:rPr>
          <w:sz w:val="24"/>
        </w:rPr>
      </w:pPr>
    </w:p>
    <w:p w:rsidR="002B45F1" w:rsidRPr="005E5E83" w:rsidP="002B45F1" w14:paraId="35A0048C" w14:textId="1DBDA4ED">
      <w:pPr>
        <w:rPr>
          <w:i/>
          <w:iCs/>
        </w:rPr>
      </w:pPr>
      <w:r w:rsidRPr="005E5E83">
        <w:t>The Federal Energy Regulatory Commission (Commission or FERC) requests that the Office of Managem</w:t>
      </w:r>
      <w:r w:rsidRPr="005E5E83" w:rsidR="00E06116">
        <w:t>ent and Budget (OMB) review/</w:t>
      </w:r>
      <w:r w:rsidRPr="005E5E83">
        <w:t xml:space="preserve">approve </w:t>
      </w:r>
      <w:r w:rsidRPr="005E5E83" w:rsidR="00E06116">
        <w:t>the extension of</w:t>
      </w:r>
      <w:r w:rsidRPr="005E5E83">
        <w:t xml:space="preserve"> </w:t>
      </w:r>
      <w:r w:rsidRPr="005E5E83" w:rsidR="00E06116">
        <w:t xml:space="preserve">the </w:t>
      </w:r>
      <w:r w:rsidRPr="005E5E83">
        <w:t>FERC-545</w:t>
      </w:r>
      <w:r w:rsidRPr="005E5E83" w:rsidR="00E06116">
        <w:t xml:space="preserve"> information collection</w:t>
      </w:r>
      <w:r w:rsidRPr="005E5E83">
        <w:t xml:space="preserve"> </w:t>
      </w:r>
      <w:r w:rsidRPr="005E5E83" w:rsidR="00C40086">
        <w:t>[</w:t>
      </w:r>
      <w:r w:rsidRPr="005E5E83">
        <w:t xml:space="preserve">(Gas Pipeline Rates: Rate Change </w:t>
      </w:r>
      <w:r w:rsidRPr="005E5E83" w:rsidR="00C40086">
        <w:t>(</w:t>
      </w:r>
      <w:r w:rsidRPr="005E5E83">
        <w:t>Non-Formal)</w:t>
      </w:r>
      <w:r w:rsidRPr="005E5E83" w:rsidR="00C40086">
        <w:t>]</w:t>
      </w:r>
      <w:r w:rsidRPr="005E5E83">
        <w:rPr>
          <w:i/>
          <w:iCs/>
        </w:rPr>
        <w:t>.</w:t>
      </w:r>
    </w:p>
    <w:p w:rsidR="00BC15BE" w:rsidP="00BC15BE" w14:paraId="56813438" w14:textId="2462A3CB">
      <w:pPr>
        <w:rPr>
          <w:b/>
        </w:rPr>
      </w:pPr>
    </w:p>
    <w:p w:rsidR="00D77FF7" w:rsidRPr="00D77FF7" w:rsidP="00D77FF7" w14:paraId="5DD6FB73" w14:textId="77777777">
      <w:pPr>
        <w:numPr>
          <w:ilvl w:val="0"/>
          <w:numId w:val="28"/>
        </w:numPr>
        <w:tabs>
          <w:tab w:val="left" w:pos="-1440"/>
          <w:tab w:val="num" w:pos="720"/>
        </w:tabs>
        <w:autoSpaceDE w:val="0"/>
        <w:autoSpaceDN w:val="0"/>
        <w:adjustRightInd w:val="0"/>
        <w:outlineLvl w:val="0"/>
        <w:rPr>
          <w:b/>
          <w:sz w:val="24"/>
        </w:rPr>
      </w:pPr>
      <w:r w:rsidRPr="00D77FF7">
        <w:rPr>
          <w:b/>
          <w:sz w:val="24"/>
        </w:rPr>
        <w:t>CIRCUMSTANCES THAT MAKE THE COLLECTION OF INFORMATION NECESSARY</w:t>
      </w:r>
    </w:p>
    <w:p w:rsidR="00D77FF7" w:rsidRPr="00D77FF7" w:rsidP="00D77FF7" w14:paraId="1B7952DB" w14:textId="77777777">
      <w:pPr>
        <w:rPr>
          <w:sz w:val="24"/>
        </w:rPr>
      </w:pPr>
    </w:p>
    <w:p w:rsidR="00D77FF7" w:rsidRPr="005E5E83" w:rsidP="00BC15BE" w14:paraId="77327131" w14:textId="77777777">
      <w:pPr>
        <w:rPr>
          <w:b/>
        </w:rPr>
      </w:pPr>
    </w:p>
    <w:p w:rsidR="009F2F14" w:rsidRPr="009F2F14" w:rsidP="009F2F14" w14:paraId="21FD47CD" w14:textId="3A82589E">
      <w:pPr>
        <w:rPr>
          <w:szCs w:val="26"/>
        </w:rPr>
      </w:pPr>
      <w:r w:rsidRPr="00F33E3A">
        <w:rPr>
          <w:szCs w:val="26"/>
        </w:rPr>
        <w:t>FERC-545 is required to implement sections 4, 5, and 16 of the Natural Gas Act (NGA), (15 USC 717c</w:t>
      </w:r>
      <w:r w:rsidR="00720C73">
        <w:rPr>
          <w:szCs w:val="26"/>
        </w:rPr>
        <w:t xml:space="preserve">, </w:t>
      </w:r>
      <w:r w:rsidRPr="00E35A33" w:rsidR="00E35A33">
        <w:rPr>
          <w:szCs w:val="26"/>
        </w:rPr>
        <w:t>717d, and 717o</w:t>
      </w:r>
      <w:r w:rsidRPr="00F33E3A">
        <w:rPr>
          <w:szCs w:val="26"/>
        </w:rPr>
        <w:t xml:space="preserve">).  NGA Sections 4, 5, and </w:t>
      </w:r>
      <w:r>
        <w:rPr>
          <w:szCs w:val="26"/>
        </w:rPr>
        <w:t>1</w:t>
      </w:r>
      <w:r w:rsidRPr="00F33E3A">
        <w:rPr>
          <w:szCs w:val="26"/>
        </w:rPr>
        <w:t>6 authorize the Commission to inquire into rate structures and methodologies and to set rat</w:t>
      </w:r>
      <w:r w:rsidRPr="000262CA">
        <w:rPr>
          <w:szCs w:val="26"/>
        </w:rPr>
        <w:t>es at a just and reasonable level.  Specifically, a natural gas company must obtain Commission authorization for all rates and charges made, demanded, or received in connection with the transportation or sale of natural gas in interstate commerce.</w:t>
      </w:r>
      <w:r>
        <w:rPr>
          <w:szCs w:val="26"/>
        </w:rPr>
        <w:t xml:space="preserve">  </w:t>
      </w:r>
    </w:p>
    <w:p w:rsidR="009F2F14" w:rsidRPr="00F33E3A" w:rsidP="00FF1CCD" w14:paraId="32E448D2" w14:textId="77777777">
      <w:pPr>
        <w:rPr>
          <w:szCs w:val="26"/>
        </w:rPr>
      </w:pPr>
    </w:p>
    <w:p w:rsidR="00FF1CCD" w:rsidRPr="00F33E3A" w:rsidP="00FF1CCD" w14:paraId="6DBB2C0D" w14:textId="414BAA4C">
      <w:pPr>
        <w:rPr>
          <w:szCs w:val="26"/>
        </w:rPr>
      </w:pPr>
      <w:r w:rsidRPr="00F33E3A">
        <w:rPr>
          <w:szCs w:val="26"/>
        </w:rPr>
        <w:t xml:space="preserve">Under the NGA, a natural gas company’s rates must be just and reasonable and not unduly discriminatory or preferential.  The Commission may act under different sections of the NGA to effect a change in a natural gas company’s rates.  When the Commission reviews rate increases that a natural gas company has proposed, it is subject to the requirement of section 4(e) of the NGA.  </w:t>
      </w:r>
      <w:r w:rsidRPr="00FA6467" w:rsidR="00FA6467">
        <w:rPr>
          <w:iCs/>
          <w:szCs w:val="26"/>
        </w:rPr>
        <w:t>These types of filings are referred to as general section 4 rate cases.  In the proceedings, the Commission reviews a pipeline’s rates and services.  A pipeline can file a general section 4 rate case anytime it wishes, provided the pipeline did not agree otherwise in a settlement.  A pipeline must demonstrate that the new rates it proposes to charge are just and reasonable.  When a rate increase filing is made pursuant to section 4, the application is typically suspended and set for hearing by a Commission Order. On the other hand, when the Commission seeks to impose its own rate determination, it must do so in compliance with section 5(a) of the NGA.  Under section 5, the Commission must first establish and demonstrate that a pipeline’s existing rate is no longer just and reasonable.</w:t>
      </w:r>
      <w:r w:rsidR="00FA6467">
        <w:rPr>
          <w:szCs w:val="26"/>
        </w:rPr>
        <w:t xml:space="preserve">  </w:t>
      </w:r>
      <w:r w:rsidRPr="00F33E3A">
        <w:rPr>
          <w:szCs w:val="26"/>
        </w:rPr>
        <w:t xml:space="preserve">Under section 4(e), the natural gas company bears the burden of proving that its proposed rates are just and reasonable.  On the other hand, when the Commission seeks to impose its own rate determination, it must do so in compliance with section 5(a) of the NGA.  Under section 5, the Commission must first establish that its alternative rate proposal is both just and reasonable.  </w:t>
      </w:r>
    </w:p>
    <w:p w:rsidR="00FF1CCD" w:rsidRPr="00F33E3A" w:rsidP="00FF1CCD" w14:paraId="4095DB38" w14:textId="77777777">
      <w:pPr>
        <w:rPr>
          <w:szCs w:val="26"/>
        </w:rPr>
      </w:pPr>
    </w:p>
    <w:p w:rsidR="00FF1CCD" w:rsidP="00FF1CCD" w14:paraId="5007CDC8" w14:textId="77777777">
      <w:pPr>
        <w:rPr>
          <w:szCs w:val="26"/>
        </w:rPr>
      </w:pPr>
      <w:r w:rsidRPr="00F33E3A">
        <w:rPr>
          <w:szCs w:val="26"/>
        </w:rPr>
        <w:t xml:space="preserve">Section 16 of the NGA states that the Commission “shall have the power to perform any and all acts, and to prescribe, issue, make, amend, and rescind such orders, rules, and regulations as it may find necessary or appropriate to carry out provisions of [the NGA].”  </w:t>
      </w:r>
      <w:r w:rsidRPr="00F33E3A">
        <w:rPr>
          <w:szCs w:val="26"/>
        </w:rPr>
        <w:t>In other words, section 16 of the NGA grants the Commission the power to define accounting, technical and trade terms, prescribe forms, statements, declarations or reports and to prescribe rules and regulations.</w:t>
      </w:r>
    </w:p>
    <w:p w:rsidR="00DF6943" w:rsidRPr="00F33E3A" w:rsidP="00FF1CCD" w14:paraId="258A0213" w14:textId="77777777">
      <w:pPr>
        <w:rPr>
          <w:szCs w:val="26"/>
        </w:rPr>
      </w:pPr>
    </w:p>
    <w:p w:rsidR="00F53B60" w:rsidRPr="00F33E3A" w:rsidP="00FF1CCD" w14:paraId="4A981A5F" w14:textId="28C117A7">
      <w:pPr>
        <w:rPr>
          <w:szCs w:val="26"/>
        </w:rPr>
      </w:pPr>
      <w:r w:rsidRPr="00F33E3A">
        <w:rPr>
          <w:szCs w:val="26"/>
        </w:rPr>
        <w:t xml:space="preserve">Pipelines adjust their tariffs to meet market and customer needs.  Commission review of these proposed changes is required to ensure rates remain just and reasonable and that services are not provided in an unduly or preferential manner.  The Commission’s regulation in 18 C.F.R. Part 154 specifies what changes are allowed and the procedures for requesting Commission approval.  </w:t>
      </w:r>
    </w:p>
    <w:p w:rsidR="00FF1CCD" w:rsidRPr="00F33E3A" w:rsidP="00FF1CCD" w14:paraId="6AC07723" w14:textId="7A3DD4C2">
      <w:pPr>
        <w:ind w:firstLine="360"/>
        <w:rPr>
          <w:szCs w:val="26"/>
        </w:rPr>
      </w:pPr>
    </w:p>
    <w:p w:rsidR="00EB7781" w:rsidRPr="00F33E3A" w:rsidP="00FF1CCD" w14:paraId="4170C57B" w14:textId="4E2F900E">
      <w:pPr>
        <w:tabs>
          <w:tab w:val="num" w:pos="0"/>
        </w:tabs>
        <w:rPr>
          <w:szCs w:val="26"/>
        </w:rPr>
      </w:pPr>
      <w:r w:rsidRPr="005E5E83">
        <w:t>Since 1996, the Commission has adopted regulations to standardize the business practices and communication methodologies of interstate natural gas pipelines to create a more integrated and efficient pipeline grid.  These regulations have been promulgated in the Order No. 587 series of orders,</w:t>
      </w:r>
      <w:r>
        <w:rPr>
          <w:rStyle w:val="FootnoteReference"/>
          <w:szCs w:val="24"/>
        </w:rPr>
        <w:footnoteReference w:id="3"/>
      </w:r>
      <w:r w:rsidRPr="005E5E83">
        <w:t xml:space="preserve"> wherein the Commission has incorporated by reference standards for interstate natural gas pipeline business practices and electronic communications that were developed and adopted by </w:t>
      </w:r>
      <w:r w:rsidRPr="005E5E83" w:rsidR="00755C82">
        <w:t>the Wholesale Gas Quadrant (WGQ) of the North American Energy Standards Board (</w:t>
      </w:r>
      <w:r w:rsidRPr="005E5E83">
        <w:t>NAESB</w:t>
      </w:r>
      <w:r w:rsidRPr="005E5E83" w:rsidR="00755C82">
        <w:t>)</w:t>
      </w:r>
      <w:r w:rsidRPr="005E5E83">
        <w:t xml:space="preserve">.  Upon incorporation by reference, version </w:t>
      </w:r>
      <w:r w:rsidR="00050616">
        <w:t>4.0</w:t>
      </w:r>
      <w:r w:rsidRPr="005E5E83" w:rsidR="00A55A48">
        <w:t xml:space="preserve"> </w:t>
      </w:r>
      <w:r w:rsidRPr="005E5E83">
        <w:t xml:space="preserve">of the standards </w:t>
      </w:r>
      <w:r w:rsidRPr="005E5E83" w:rsidR="00A55A48">
        <w:t xml:space="preserve">(Version </w:t>
      </w:r>
      <w:r w:rsidR="00050616">
        <w:t>4.0</w:t>
      </w:r>
      <w:r w:rsidRPr="005E5E83" w:rsidR="00A55A48">
        <w:t xml:space="preserve">) </w:t>
      </w:r>
      <w:r w:rsidRPr="005E5E83">
        <w:t>will replace the currently incorporated version (Version 3.</w:t>
      </w:r>
      <w:r w:rsidR="00050616">
        <w:t>2</w:t>
      </w:r>
      <w:r w:rsidRPr="005E5E83">
        <w:t>) of those business practice standards.</w:t>
      </w:r>
      <w:r>
        <w:rPr>
          <w:rStyle w:val="FootnoteReference"/>
        </w:rPr>
        <w:footnoteReference w:id="4"/>
      </w:r>
    </w:p>
    <w:p w:rsidR="00EB1E1A" w:rsidRPr="000262CA" w:rsidP="00EB7781" w14:paraId="1E08715D" w14:textId="09EA80FC">
      <w:pPr>
        <w:pStyle w:val="FERCparanumber"/>
        <w:numPr>
          <w:ilvl w:val="0"/>
          <w:numId w:val="0"/>
        </w:numPr>
      </w:pPr>
    </w:p>
    <w:p w:rsidR="00A55A48" w:rsidRPr="005E5E83" w:rsidP="00EB7781" w14:paraId="0F192D15" w14:textId="3EC08195">
      <w:pPr>
        <w:pStyle w:val="FERCparanumber"/>
        <w:numPr>
          <w:ilvl w:val="0"/>
          <w:numId w:val="0"/>
        </w:numPr>
      </w:pPr>
      <w:r w:rsidRPr="00C6528F">
        <w:t>On October 2, 2023, NAESB reported to the Commission</w:t>
      </w:r>
      <w:r w:rsidR="00B64BC1">
        <w:t xml:space="preserve"> (Infor</w:t>
      </w:r>
      <w:r w:rsidR="00A9198F">
        <w:t>mational</w:t>
      </w:r>
      <w:r w:rsidR="00B64BC1">
        <w:t xml:space="preserve"> Report)</w:t>
      </w:r>
      <w:r w:rsidRPr="00C6528F">
        <w:t xml:space="preserve"> that it had approved WGQ Version 4.0 to replace the currently incorporated version (Version 3.2) of those business practice standards</w:t>
      </w:r>
      <w:r>
        <w:t xml:space="preserve"> </w:t>
      </w:r>
      <w:r w:rsidR="00F4565D">
        <w:t xml:space="preserve">  </w:t>
      </w:r>
      <w:r w:rsidRPr="005E5E83" w:rsidR="00B51119">
        <w:t xml:space="preserve">Version </w:t>
      </w:r>
      <w:r w:rsidR="0047108C">
        <w:t>4.0</w:t>
      </w:r>
      <w:r w:rsidRPr="005E5E83" w:rsidR="00B51119">
        <w:t xml:space="preserve"> of the WGQ includes business practice standards developed and modified in response to industry requests and directives from the NAESB Board of Directors.  This version also includes the standards developed in response to the recommendations of Sandia National Laborator</w:t>
      </w:r>
      <w:r w:rsidR="00D86CCE">
        <w:t>ies</w:t>
      </w:r>
      <w:r w:rsidRPr="005E5E83" w:rsidR="00B51119">
        <w:t xml:space="preserve"> (Sandia),</w:t>
      </w:r>
      <w:r>
        <w:rPr>
          <w:rStyle w:val="FootnoteReference"/>
          <w:szCs w:val="24"/>
        </w:rPr>
        <w:footnoteReference w:id="5"/>
      </w:r>
      <w:r w:rsidRPr="005E5E83" w:rsidR="00B51119">
        <w:t xml:space="preserve"> which in 2019 issued a</w:t>
      </w:r>
      <w:r w:rsidR="00904E70">
        <w:t xml:space="preserve"> </w:t>
      </w:r>
      <w:r w:rsidR="00267740">
        <w:t xml:space="preserve">DOE-sponsored </w:t>
      </w:r>
      <w:r w:rsidRPr="005E5E83" w:rsidR="00B51119">
        <w:t>cybersecurity surety assessment of the NAESB standards</w:t>
      </w:r>
      <w:r w:rsidR="00370898">
        <w:t xml:space="preserve">.  </w:t>
      </w:r>
      <w:r>
        <w:rPr>
          <w:rStyle w:val="FootnoteReference"/>
          <w:szCs w:val="24"/>
        </w:rPr>
        <w:footnoteReference w:id="6"/>
      </w:r>
      <w:r w:rsidRPr="005E5E83" w:rsidR="00B51119">
        <w:t xml:space="preserve"> </w:t>
      </w:r>
      <w:r w:rsidR="002D7469">
        <w:t>=</w:t>
      </w:r>
      <w:r w:rsidRPr="005E5E83" w:rsidR="00B51119">
        <w:t>NAESB</w:t>
      </w:r>
      <w:r w:rsidR="000A7F95">
        <w:t>’s Informational</w:t>
      </w:r>
      <w:r w:rsidRPr="005E5E83" w:rsidR="00B51119">
        <w:t xml:space="preserve"> </w:t>
      </w:r>
      <w:r w:rsidR="000A7F95">
        <w:t>R</w:t>
      </w:r>
      <w:r w:rsidRPr="005E5E83" w:rsidR="00B51119">
        <w:t>eport identifies all the changes made to the WGQ Version 3.</w:t>
      </w:r>
      <w:r w:rsidR="00F42C1B">
        <w:t>2</w:t>
      </w:r>
      <w:r w:rsidRPr="005E5E83" w:rsidR="00B51119">
        <w:t xml:space="preserve"> </w:t>
      </w:r>
      <w:r w:rsidR="00DF591E">
        <w:t>s</w:t>
      </w:r>
      <w:r w:rsidRPr="005E5E83" w:rsidR="00B51119">
        <w:t>tandards and summarizes the deliberations that led to the changes being made.  It also identifies changes to the existing standards that were considered but not adopted due to a lack of consensus or other reasons.</w:t>
      </w:r>
    </w:p>
    <w:p w:rsidR="00A55A48" w:rsidP="00EB7781" w14:paraId="4E2B65CC" w14:textId="5D945F53">
      <w:pPr>
        <w:pStyle w:val="FERCparanumber"/>
        <w:numPr>
          <w:ilvl w:val="0"/>
          <w:numId w:val="0"/>
        </w:numPr>
      </w:pPr>
    </w:p>
    <w:p w:rsidR="00DD3BE1" w:rsidRPr="005E5E83" w:rsidP="00DD3BE1" w14:paraId="7CBB2CBB" w14:textId="1076C816">
      <w:pPr>
        <w:pStyle w:val="FERCparanumber"/>
        <w:numPr>
          <w:ilvl w:val="0"/>
          <w:numId w:val="0"/>
        </w:numPr>
      </w:pPr>
    </w:p>
    <w:p w:rsidR="00DD3BE1" w:rsidRPr="005E5E83" w:rsidP="00EB7781" w14:paraId="18960E79" w14:textId="77777777">
      <w:pPr>
        <w:pStyle w:val="FERCparanumber"/>
        <w:numPr>
          <w:ilvl w:val="0"/>
          <w:numId w:val="0"/>
        </w:numPr>
      </w:pPr>
    </w:p>
    <w:p w:rsidR="00A55A48" w:rsidRPr="005E5E83" w:rsidP="00EB7781" w14:paraId="2088B354" w14:textId="6A5E16F2">
      <w:pPr>
        <w:pStyle w:val="FERCparanumber"/>
        <w:numPr>
          <w:ilvl w:val="0"/>
          <w:numId w:val="0"/>
        </w:numPr>
      </w:pPr>
    </w:p>
    <w:p w:rsidR="004C5E4C" w:rsidRPr="005E5E83" w:rsidP="00EB7781" w14:paraId="66CB0FC7" w14:textId="10AAA495">
      <w:pPr>
        <w:pStyle w:val="FERCparanumber"/>
        <w:numPr>
          <w:ilvl w:val="0"/>
          <w:numId w:val="0"/>
        </w:numPr>
      </w:pPr>
    </w:p>
    <w:p w:rsidR="004C5E4C" w:rsidP="004C5E4C" w14:paraId="18E84694" w14:textId="23326914">
      <w:pPr>
        <w:pStyle w:val="FERCparanumber"/>
        <w:numPr>
          <w:ilvl w:val="0"/>
          <w:numId w:val="0"/>
        </w:numPr>
      </w:pPr>
      <w:r w:rsidRPr="004C5E4C">
        <w:t xml:space="preserve">NAESB’s revisions in </w:t>
      </w:r>
      <w:r w:rsidR="00615C27">
        <w:t xml:space="preserve">WGQ </w:t>
      </w:r>
      <w:r w:rsidR="003D2991">
        <w:t>V</w:t>
      </w:r>
      <w:r w:rsidRPr="004C5E4C">
        <w:t xml:space="preserve">ersion </w:t>
      </w:r>
      <w:r w:rsidR="00615C27">
        <w:t>4.0</w:t>
      </w:r>
      <w:r w:rsidRPr="004C5E4C">
        <w:t xml:space="preserve"> are</w:t>
      </w:r>
      <w:r>
        <w:t xml:space="preserve"> </w:t>
      </w:r>
      <w:r w:rsidRPr="004C5E4C">
        <w:t>designed to promote greater efficiency and reliability of the natural gas industry’s</w:t>
      </w:r>
      <w:r>
        <w:t xml:space="preserve"> </w:t>
      </w:r>
      <w:r w:rsidRPr="004C5E4C">
        <w:t>operations and strengthen the cybersecurity protections provided within the standards.</w:t>
      </w:r>
    </w:p>
    <w:p w:rsidR="00473392" w:rsidP="004C5E4C" w14:paraId="17B15D99" w14:textId="77777777">
      <w:pPr>
        <w:pStyle w:val="FERCparanumber"/>
        <w:numPr>
          <w:ilvl w:val="0"/>
          <w:numId w:val="0"/>
        </w:numPr>
      </w:pPr>
    </w:p>
    <w:p w:rsidR="00473392" w:rsidRPr="00473392" w:rsidP="00423A83" w14:paraId="6AD95674" w14:textId="7ECCB213">
      <w:pPr>
        <w:pStyle w:val="FERCparanumber"/>
        <w:numPr>
          <w:ilvl w:val="0"/>
          <w:numId w:val="0"/>
        </w:numPr>
      </w:pPr>
      <w:r w:rsidRPr="00473392">
        <w:t>The new WGQ Cybersecurity Related Standards Manual consolidates existing</w:t>
      </w:r>
      <w:r>
        <w:t xml:space="preserve"> </w:t>
      </w:r>
      <w:r w:rsidRPr="00473392">
        <w:t>NAESB cybersecurity-related standards from various NAESB standards manuals into a</w:t>
      </w:r>
      <w:r w:rsidR="00190FB7">
        <w:t xml:space="preserve"> </w:t>
      </w:r>
      <w:r w:rsidRPr="00473392">
        <w:t xml:space="preserve">single manual. </w:t>
      </w:r>
      <w:r w:rsidR="005A40A7">
        <w:t xml:space="preserve"> </w:t>
      </w:r>
      <w:r w:rsidRPr="00473392">
        <w:t>This consolidation should make the NAESB and Commission processes</w:t>
      </w:r>
      <w:r w:rsidR="005A40A7">
        <w:t xml:space="preserve"> </w:t>
      </w:r>
      <w:r w:rsidRPr="00473392">
        <w:t>for revising NAESB cybersecurity standards easier and faster to help match the fast pace</w:t>
      </w:r>
      <w:r w:rsidR="005B1CB6">
        <w:t xml:space="preserve"> </w:t>
      </w:r>
      <w:r w:rsidRPr="00473392">
        <w:t xml:space="preserve">of changes in cybersecurity practices. </w:t>
      </w:r>
      <w:r w:rsidR="00CE7F4D">
        <w:t xml:space="preserve"> </w:t>
      </w:r>
      <w:r w:rsidRPr="00473392">
        <w:t>These standards focus on strengthening the</w:t>
      </w:r>
      <w:r w:rsidR="009667DE">
        <w:t xml:space="preserve"> </w:t>
      </w:r>
      <w:r w:rsidRPr="00473392">
        <w:t>cybersecurity practices used by the industry through the mitigation of potential</w:t>
      </w:r>
    </w:p>
    <w:p w:rsidR="00473392" w:rsidP="00473392" w14:paraId="7A5F2E18" w14:textId="2ED69DF2">
      <w:pPr>
        <w:pStyle w:val="FERCparanumber"/>
        <w:numPr>
          <w:ilvl w:val="0"/>
          <w:numId w:val="0"/>
        </w:numPr>
      </w:pPr>
      <w:r w:rsidRPr="00473392">
        <w:t>vulnerabilities and the use of secure communication and encryption methodologies.</w:t>
      </w:r>
    </w:p>
    <w:p w:rsidR="000413EB" w:rsidP="00473392" w14:paraId="751604B6" w14:textId="77777777">
      <w:pPr>
        <w:pStyle w:val="FERCparanumber"/>
        <w:numPr>
          <w:ilvl w:val="0"/>
          <w:numId w:val="0"/>
        </w:numPr>
      </w:pPr>
    </w:p>
    <w:p w:rsidR="00F313FC" w:rsidRPr="00F313FC" w:rsidP="00423A83" w14:paraId="26714208" w14:textId="3D9FB5DB">
      <w:pPr>
        <w:pStyle w:val="FERCparanumber"/>
        <w:numPr>
          <w:ilvl w:val="0"/>
          <w:numId w:val="0"/>
        </w:numPr>
      </w:pPr>
      <w:r w:rsidRPr="00F313FC">
        <w:t>In response to industry request, WGQ Version 4.0 adds new data elements to the</w:t>
      </w:r>
      <w:r w:rsidR="00EC6949">
        <w:t xml:space="preserve"> </w:t>
      </w:r>
      <w:r w:rsidRPr="00F313FC">
        <w:t>WGQ Additional Standards and the WGQ Capacity Release Related Standards and</w:t>
      </w:r>
      <w:r w:rsidR="00EC6949">
        <w:t xml:space="preserve"> </w:t>
      </w:r>
      <w:r w:rsidRPr="00F313FC">
        <w:t>modifies existing data elements in the WGQ Flowing Gas Related Standards and the</w:t>
      </w:r>
      <w:r w:rsidR="006F6327">
        <w:t xml:space="preserve"> </w:t>
      </w:r>
      <w:r w:rsidRPr="00F313FC">
        <w:t>WGQ Invoicing Related Standards to improve efficiencies of business processes for</w:t>
      </w:r>
    </w:p>
    <w:p w:rsidR="000413EB" w:rsidP="00F313FC" w14:paraId="5A3B9CAB" w14:textId="0E666D4E">
      <w:pPr>
        <w:pStyle w:val="FERCparanumber"/>
        <w:numPr>
          <w:ilvl w:val="0"/>
          <w:numId w:val="0"/>
        </w:numPr>
      </w:pPr>
      <w:r w:rsidRPr="00F313FC">
        <w:t>transportation service providers and parties interacting with these entities</w:t>
      </w:r>
      <w:r w:rsidR="006F6327">
        <w:t>.</w:t>
      </w:r>
      <w:r>
        <w:rPr>
          <w:rStyle w:val="FootnoteReference"/>
          <w:szCs w:val="24"/>
        </w:rPr>
        <w:footnoteReference w:id="7"/>
      </w:r>
    </w:p>
    <w:p w:rsidR="00C61E33" w:rsidP="00F313FC" w14:paraId="2FC69375" w14:textId="77777777">
      <w:pPr>
        <w:pStyle w:val="FERCparanumber"/>
        <w:numPr>
          <w:ilvl w:val="0"/>
          <w:numId w:val="0"/>
        </w:numPr>
      </w:pPr>
    </w:p>
    <w:p w:rsidR="00017ECF" w:rsidRPr="00017ECF" w:rsidP="00423A83" w14:paraId="64882BEB" w14:textId="272EF8E0">
      <w:pPr>
        <w:pStyle w:val="FERCparanumber"/>
        <w:numPr>
          <w:ilvl w:val="0"/>
          <w:numId w:val="0"/>
        </w:numPr>
      </w:pPr>
      <w:r>
        <w:t xml:space="preserve">NAESB’s </w:t>
      </w:r>
      <w:r w:rsidR="003D2991">
        <w:t xml:space="preserve">revisions in WGQ Version 4.0 </w:t>
      </w:r>
      <w:r w:rsidRPr="00017ECF">
        <w:t>upgrade current business practices and</w:t>
      </w:r>
      <w:r w:rsidR="00B91E69">
        <w:t xml:space="preserve"> </w:t>
      </w:r>
      <w:r w:rsidRPr="00017ECF">
        <w:t>communication standards by specifically: (1) adding a new data element, “Cycle</w:t>
      </w:r>
      <w:r w:rsidR="00B91E69">
        <w:t xml:space="preserve"> </w:t>
      </w:r>
      <w:r w:rsidRPr="00017ECF">
        <w:t>Indicator,” to the data set for the Storage Information standard to address technical details</w:t>
      </w:r>
      <w:r w:rsidR="00B91E69">
        <w:t xml:space="preserve"> </w:t>
      </w:r>
      <w:r w:rsidRPr="00017ECF">
        <w:t>for the reporting of storage balances and the activities that affect storage balances;</w:t>
      </w:r>
      <w:r w:rsidR="00B91E69">
        <w:t xml:space="preserve"> </w:t>
      </w:r>
      <w:r w:rsidRPr="00017ECF">
        <w:t>(2) revising the data element “Service Requester Contract” contained in the data set for</w:t>
      </w:r>
      <w:r w:rsidR="00B91E69">
        <w:t xml:space="preserve"> </w:t>
      </w:r>
      <w:r w:rsidRPr="00017ECF">
        <w:t>the Flowing Gas Related Allocation standard to identify the applicable contract and to</w:t>
      </w:r>
      <w:r w:rsidR="00B91E69">
        <w:t xml:space="preserve"> </w:t>
      </w:r>
      <w:r w:rsidRPr="00017ECF">
        <w:t>support the communication of the results of processes used to allocate the actual flow of</w:t>
      </w:r>
      <w:r w:rsidR="00B91E69">
        <w:t xml:space="preserve"> </w:t>
      </w:r>
      <w:r w:rsidRPr="00017ECF">
        <w:t>gas quantities to parties involved in a transaction; (3) modifying the “Charge Type Rate”</w:t>
      </w:r>
      <w:r w:rsidR="00B91E69">
        <w:t xml:space="preserve"> </w:t>
      </w:r>
      <w:r w:rsidRPr="00017ECF">
        <w:t>data element contained in the data set for the Transportation/Sales Invoice standard that</w:t>
      </w:r>
      <w:r w:rsidR="00B91E69">
        <w:t xml:space="preserve"> </w:t>
      </w:r>
      <w:r w:rsidRPr="00017ECF">
        <w:t>allows for the identification of multiple rates that may be applicable for a single</w:t>
      </w:r>
      <w:r w:rsidR="00B91E69">
        <w:t xml:space="preserve"> </w:t>
      </w:r>
      <w:r w:rsidRPr="00017ECF">
        <w:t>transaction or service; (4) adding a new sender’s option data element, “Location Indicator</w:t>
      </w:r>
      <w:r w:rsidR="00B91E69">
        <w:t xml:space="preserve"> </w:t>
      </w:r>
      <w:r w:rsidRPr="00017ECF">
        <w:t>Data,” to the Transactional Reporting – Capacity Release standard to improve</w:t>
      </w:r>
      <w:r w:rsidR="00B91E69">
        <w:t xml:space="preserve"> </w:t>
      </w:r>
      <w:r w:rsidRPr="00017ECF">
        <w:t>efficiencies by providing a mechanism for a transportation service provider to</w:t>
      </w:r>
      <w:r w:rsidR="00B91E69">
        <w:t xml:space="preserve"> </w:t>
      </w:r>
      <w:r w:rsidRPr="00017ECF">
        <w:t>communicate the locations at which a discounted rate is offered as well as if the rate is</w:t>
      </w:r>
      <w:r w:rsidR="00763662">
        <w:t xml:space="preserve"> </w:t>
      </w:r>
      <w:r w:rsidRPr="00017ECF">
        <w:t>associated with a single location, multiple locations, or all locations; (5) adding code</w:t>
      </w:r>
      <w:r w:rsidR="00763662">
        <w:t xml:space="preserve"> </w:t>
      </w:r>
      <w:r w:rsidRPr="00017ECF">
        <w:t>values for five data elements to the EDI X12 Mapping Guidelines in the</w:t>
      </w:r>
      <w:r w:rsidR="00763662">
        <w:t xml:space="preserve"> </w:t>
      </w:r>
      <w:r w:rsidRPr="00017ECF">
        <w:t>Transportation/Sales Invoice standard to ensure the hierarchal structure of the dataset</w:t>
      </w:r>
      <w:r w:rsidR="00763662">
        <w:t xml:space="preserve"> </w:t>
      </w:r>
      <w:r w:rsidRPr="00017ECF">
        <w:t>complied with the Accredited Standards Institute X12 Transaction Set 811 Consolidated</w:t>
      </w:r>
      <w:r w:rsidR="00763662">
        <w:t xml:space="preserve"> </w:t>
      </w:r>
      <w:r w:rsidRPr="00017ECF">
        <w:t xml:space="preserve">Invoice/Statement. </w:t>
      </w:r>
      <w:r w:rsidR="006902FF">
        <w:t xml:space="preserve"> </w:t>
      </w:r>
      <w:r w:rsidRPr="00017ECF">
        <w:t>In addition, the Commission’s Office of Enforcement will</w:t>
      </w:r>
    </w:p>
    <w:p w:rsidR="00C61E33" w:rsidP="00017ECF" w14:paraId="03F03E26" w14:textId="5709BE12">
      <w:pPr>
        <w:pStyle w:val="FERCparanumber"/>
        <w:numPr>
          <w:ilvl w:val="0"/>
          <w:numId w:val="0"/>
        </w:numPr>
      </w:pPr>
      <w:r w:rsidRPr="00017ECF">
        <w:t>use the data for general industry oversight.</w:t>
      </w:r>
    </w:p>
    <w:p w:rsidR="00E52407" w:rsidP="00EB7781" w14:paraId="1043F8FF" w14:textId="77777777">
      <w:pPr>
        <w:pStyle w:val="FERCparanumber"/>
        <w:numPr>
          <w:ilvl w:val="0"/>
          <w:numId w:val="0"/>
        </w:numPr>
      </w:pPr>
    </w:p>
    <w:p w:rsidR="00132E7B" w:rsidRPr="005E5E83" w:rsidP="00EB7781" w14:paraId="60EB6A07" w14:textId="1A8C3CD7">
      <w:pPr>
        <w:pStyle w:val="FERCparanumber"/>
        <w:numPr>
          <w:ilvl w:val="0"/>
          <w:numId w:val="0"/>
        </w:numPr>
      </w:pPr>
    </w:p>
    <w:p w:rsidR="00F52DA0" w:rsidRPr="005E5E83" w:rsidP="00FB3975" w14:paraId="7ADFAD7D" w14:textId="30F1477F">
      <w:pPr>
        <w:pStyle w:val="FERCparanumber"/>
        <w:numPr>
          <w:ilvl w:val="0"/>
          <w:numId w:val="0"/>
        </w:numPr>
      </w:pPr>
      <w:r>
        <w:t xml:space="preserve">The Commission has </w:t>
      </w:r>
      <w:r w:rsidRPr="005E5E83" w:rsidR="00B51119">
        <w:t>establish</w:t>
      </w:r>
      <w:r>
        <w:t>ed</w:t>
      </w:r>
      <w:r w:rsidRPr="005E5E83" w:rsidR="00B51119">
        <w:t xml:space="preserve"> a more efficient and integrated pipeline grid.  These requirements conform to our plan for efficient information collection, communication, and management within the natural gas pipeline industries.  We determined through our internal review, that there is specific, objective support for the burden estimates associated with the information requirements.</w:t>
      </w:r>
    </w:p>
    <w:p w:rsidR="00AF37D7" w:rsidRPr="005E5E83" w:rsidP="00BC15BE" w14:paraId="7D50F7CC" w14:textId="62470D42"/>
    <w:p w:rsidR="00D77FF7" w:rsidRPr="00D77FF7" w:rsidP="00D77FF7" w14:paraId="59B1E7C1" w14:textId="77777777">
      <w:pPr>
        <w:numPr>
          <w:ilvl w:val="0"/>
          <w:numId w:val="28"/>
        </w:numPr>
        <w:tabs>
          <w:tab w:val="left" w:pos="-1440"/>
          <w:tab w:val="num" w:pos="720"/>
        </w:tabs>
        <w:autoSpaceDE w:val="0"/>
        <w:autoSpaceDN w:val="0"/>
        <w:adjustRightInd w:val="0"/>
        <w:outlineLvl w:val="0"/>
        <w:rPr>
          <w:b/>
          <w:sz w:val="24"/>
        </w:rPr>
      </w:pPr>
      <w:r w:rsidRPr="00D77FF7">
        <w:rPr>
          <w:b/>
          <w:sz w:val="24"/>
        </w:rPr>
        <w:t>HOW, BY WHOM, AND FOR WHAT PURPOSE THE INFORMATION IS TO BE USED AND THE CONSEQUENCES OF NOT COLLECTING THE INFORMATION</w:t>
      </w:r>
    </w:p>
    <w:p w:rsidR="00ED2A21" w:rsidRPr="005E5E83" w:rsidP="00D77FF7" w14:paraId="2CB06CD0" w14:textId="77777777"/>
    <w:p w:rsidR="00ED2A21" w:rsidP="00ED2A21" w14:paraId="5A7D1CB7" w14:textId="040E0441">
      <w:r>
        <w:t xml:space="preserve">The following information is the subject of the </w:t>
      </w:r>
      <w:r w:rsidRPr="009F2F14">
        <w:rPr>
          <w:szCs w:val="26"/>
        </w:rPr>
        <w:t xml:space="preserve">FERC-545 consists of: 1) Tariff Filings which are filings regarding proposed changes to a pipeline’s tariff and any related compliance filings; 2) Rate Filings which are rate-related filings under NGA sections 4 </w:t>
      </w:r>
      <w:r w:rsidRPr="009F2F14">
        <w:rPr>
          <w:szCs w:val="26"/>
        </w:rPr>
        <w:t xml:space="preserve">and 5 and any related compliance filings and settlements; 3) Informational Reports, for example, annual reconciliation reports.; 4) Negotiated Rates and Non-Conforming Agreement Filings; 5) NAESB </w:t>
      </w:r>
      <w:r w:rsidR="002C3F33">
        <w:rPr>
          <w:szCs w:val="26"/>
        </w:rPr>
        <w:t xml:space="preserve">WGQ </w:t>
      </w:r>
      <w:r w:rsidRPr="009F2F14">
        <w:rPr>
          <w:szCs w:val="26"/>
        </w:rPr>
        <w:t>Filings</w:t>
      </w:r>
      <w:r w:rsidR="00B82A9C">
        <w:rPr>
          <w:szCs w:val="26"/>
        </w:rPr>
        <w:t xml:space="preserve"> and any related compliance filings</w:t>
      </w:r>
      <w:r w:rsidRPr="009F2F14">
        <w:rPr>
          <w:szCs w:val="26"/>
        </w:rPr>
        <w:t>; 6) Market-Based Rates for Storage Filings; and 6) the Labor-Wage Policy which allows jurisdictional entities to include wages consistent with project-area standards in cost-of-service rates filed with the Commission where the record supports that outcome.</w:t>
      </w:r>
      <w:r>
        <w:rPr>
          <w:szCs w:val="26"/>
        </w:rPr>
        <w:t xml:space="preserve">  </w:t>
      </w:r>
      <w:r w:rsidRPr="005E5E83">
        <w:t>In summary, the Commission uses the FERC-545 information to (1) ensure there are adequate customer protections under section 4 of the NGA; (2) review rates and terms and conditions of service changes by natural gas companies for the transportation and storage of natural gas; (3) provide general industry oversight; and (4) supplement documentation during FERC’s audits process.</w:t>
      </w:r>
    </w:p>
    <w:p w:rsidR="00ED2A21" w:rsidRPr="005E5E83" w:rsidP="00ED2A21" w14:paraId="0CC383A2" w14:textId="77777777">
      <w:pPr>
        <w:ind w:firstLine="360"/>
      </w:pPr>
    </w:p>
    <w:p w:rsidR="00ED2A21" w:rsidRPr="005E5E83" w:rsidP="00ED2A21" w14:paraId="7513D2B0" w14:textId="1043624F">
      <w:r w:rsidRPr="005E5E83">
        <w:t xml:space="preserve">The Commission reviews the FERC-545 materials to determine whether proposed transportation and sales rates and terms and conditions of service are just and reasonable.  The Commission uses the information to monitor rates and terms and conditions of service related to jurisdictional transportation, natural gas storage, and unbundled sales activities of jurisdictional companies.  In addition to fulfilling the Commission’s obligations under the NGA, the information enables the Commission to monitor the activities and evaluate transactions of the natural gas industry to ensure competitiveness and improved efficiency of the industry’s operations.   </w:t>
      </w:r>
    </w:p>
    <w:p w:rsidR="00ED2A21" w:rsidRPr="005E5E83" w:rsidP="00ED2A21" w14:paraId="041F35F0" w14:textId="77777777"/>
    <w:p w:rsidR="00E2173D" w:rsidP="00E2173D" w14:paraId="15BE3872" w14:textId="52CB1723">
      <w:r w:rsidRPr="005E5E83">
        <w:t xml:space="preserve">Consistent with </w:t>
      </w:r>
      <w:r w:rsidR="00B371E5">
        <w:t xml:space="preserve">the Commission’s </w:t>
      </w:r>
      <w:r w:rsidRPr="005E5E83">
        <w:t>practice since Order No. 587-V</w:t>
      </w:r>
      <w:r w:rsidRPr="00EB1C46" w:rsidR="00EB1C46">
        <w:rPr>
          <w:b/>
          <w:vertAlign w:val="superscript"/>
        </w:rPr>
        <w:t xml:space="preserve"> </w:t>
      </w:r>
      <w:r>
        <w:rPr>
          <w:b/>
          <w:vertAlign w:val="superscript"/>
        </w:rPr>
        <w:footnoteReference w:id="8"/>
      </w:r>
      <w:r w:rsidRPr="005E5E83" w:rsidR="00EB1C46">
        <w:t xml:space="preserve"> </w:t>
      </w:r>
      <w:r w:rsidRPr="005E5E83">
        <w:t xml:space="preserve">each </w:t>
      </w:r>
      <w:r w:rsidR="00B371E5">
        <w:t xml:space="preserve">interstate natural gas </w:t>
      </w:r>
      <w:r w:rsidRPr="005E5E83">
        <w:t>pipeline must designate a single tariff section under which every NAESB WGQ Standard incorporated by reference by the Commission is listed.</w:t>
      </w:r>
      <w:r>
        <w:rPr>
          <w:b/>
          <w:vertAlign w:val="superscript"/>
        </w:rPr>
        <w:footnoteReference w:id="9"/>
      </w:r>
      <w:r w:rsidRPr="005E5E83">
        <w:t xml:space="preserve">  For each </w:t>
      </w:r>
      <w:r w:rsidR="00E76CD8">
        <w:t xml:space="preserve">NAESB </w:t>
      </w:r>
      <w:r w:rsidRPr="005E5E83">
        <w:t>standard, the pipeline must</w:t>
      </w:r>
      <w:r w:rsidR="00CC2B7F">
        <w:t xml:space="preserve"> specifically</w:t>
      </w:r>
      <w:r w:rsidRPr="005E5E83">
        <w:t xml:space="preserve"> </w:t>
      </w:r>
      <w:r w:rsidR="00184CCB">
        <w:t xml:space="preserve">list </w:t>
      </w:r>
      <w:r w:rsidRPr="005E5E83">
        <w:t>in t</w:t>
      </w:r>
      <w:r w:rsidR="00B107C9">
        <w:t>hat</w:t>
      </w:r>
      <w:r w:rsidRPr="005E5E83">
        <w:t xml:space="preserve"> tariff section:</w:t>
      </w:r>
    </w:p>
    <w:p w:rsidR="00B37A0D" w:rsidRPr="005E5E83" w:rsidP="00E2173D" w14:paraId="1FC8B601" w14:textId="77777777"/>
    <w:p w:rsidR="00E2173D" w:rsidP="00E2173D" w14:paraId="3D883040" w14:textId="11CA4938">
      <w:pPr>
        <w:numPr>
          <w:ilvl w:val="0"/>
          <w:numId w:val="15"/>
        </w:numPr>
      </w:pPr>
      <w:r w:rsidRPr="005E5E83">
        <w:t>whether the standard is incorporated by reference;</w:t>
      </w:r>
    </w:p>
    <w:p w:rsidR="00B37A0D" w:rsidRPr="005E5E83" w:rsidP="00423A83" w14:paraId="337FFF2A" w14:textId="77777777">
      <w:pPr>
        <w:ind w:left="720"/>
      </w:pPr>
    </w:p>
    <w:p w:rsidR="00E2173D" w:rsidRPr="005E5E83" w:rsidP="00E2173D" w14:paraId="2CAFE1FD" w14:textId="1BF50B76">
      <w:pPr>
        <w:numPr>
          <w:ilvl w:val="0"/>
          <w:numId w:val="15"/>
        </w:numPr>
      </w:pPr>
      <w:r w:rsidRPr="005E5E83">
        <w:t>for those standards not incorporated by reference, the tariff provision that complies with the standard; or</w:t>
      </w:r>
    </w:p>
    <w:p w:rsidR="00B37A0D" w:rsidP="00423A83" w14:paraId="5683D12A" w14:textId="77777777">
      <w:pPr>
        <w:ind w:left="720"/>
      </w:pPr>
    </w:p>
    <w:p w:rsidR="00E2173D" w:rsidRPr="005E5E83" w:rsidP="00E2173D" w14:paraId="727D7F79" w14:textId="755F1539">
      <w:pPr>
        <w:numPr>
          <w:ilvl w:val="0"/>
          <w:numId w:val="15"/>
        </w:numPr>
      </w:pPr>
      <w:r w:rsidRPr="005E5E83">
        <w:t xml:space="preserve">for those standards with which the pipeline does not comply, an indication </w:t>
      </w:r>
      <w:r w:rsidR="005B5AD0">
        <w:t xml:space="preserve">in the tariff section </w:t>
      </w:r>
      <w:r w:rsidRPr="005E5E83">
        <w:t>of whether the pipeline has been granted a waiver, extension of time, or other variance with respect to compliance with the standard.</w:t>
      </w:r>
      <w:r>
        <w:rPr>
          <w:b/>
          <w:vertAlign w:val="superscript"/>
        </w:rPr>
        <w:footnoteReference w:id="10"/>
      </w:r>
    </w:p>
    <w:p w:rsidR="00B371E5" w:rsidP="00E2173D" w14:paraId="724E36CF" w14:textId="77777777"/>
    <w:p w:rsidR="00E2173D" w:rsidRPr="005E5E83" w:rsidP="00E2173D" w14:paraId="0D2FC812" w14:textId="741F1975">
      <w:r w:rsidRPr="002922FC">
        <w:t xml:space="preserve">Likewise, consistent with past practice, </w:t>
      </w:r>
      <w:r w:rsidR="00F013D0">
        <w:t>the Commission</w:t>
      </w:r>
      <w:r w:rsidRPr="002922FC">
        <w:t xml:space="preserve"> post</w:t>
      </w:r>
      <w:r w:rsidR="00646645">
        <w:t>ed</w:t>
      </w:r>
      <w:r w:rsidRPr="002922FC">
        <w:t xml:space="preserve"> on </w:t>
      </w:r>
      <w:r w:rsidR="004B60FA">
        <w:t>its</w:t>
      </w:r>
      <w:r w:rsidRPr="002922FC">
        <w:t xml:space="preserve"> eLibrary website (under Docket No. RM96-1-043) a sample tariff format</w:t>
      </w:r>
      <w:r w:rsidR="00671C53">
        <w:t xml:space="preserve"> </w:t>
      </w:r>
      <w:r w:rsidRPr="002922FC">
        <w:t>to provide filers with an illustrative example to aid them in preparing their compliance filings.</w:t>
      </w:r>
      <w:r w:rsidR="008851EE">
        <w:t xml:space="preserve">  </w:t>
      </w:r>
      <w:r w:rsidRPr="005E5E83">
        <w:t xml:space="preserve">Consistent with </w:t>
      </w:r>
      <w:r w:rsidR="00490DA8">
        <w:t>the Commission’s</w:t>
      </w:r>
      <w:r w:rsidRPr="005E5E83">
        <w:t xml:space="preserve"> policy since Order No. 587-V,</w:t>
      </w:r>
      <w:r>
        <w:rPr>
          <w:b/>
          <w:vertAlign w:val="superscript"/>
        </w:rPr>
        <w:footnoteReference w:id="11"/>
      </w:r>
      <w:r w:rsidRPr="005E5E83">
        <w:t xml:space="preserve"> </w:t>
      </w:r>
      <w:r w:rsidRPr="00CC5903" w:rsidR="00CC5903">
        <w:t>entities may request waivers under the requirements set forth in Order No. 587-V and the Commission will then evaluate those requests.</w:t>
      </w:r>
      <w:r>
        <w:rPr>
          <w:rStyle w:val="FootnoteReference"/>
        </w:rPr>
        <w:footnoteReference w:id="12"/>
      </w:r>
      <w:r w:rsidR="00C7624F">
        <w:t xml:space="preserve">  </w:t>
      </w:r>
      <w:r w:rsidRPr="005E5E83">
        <w:t xml:space="preserve">If the pipeline is requesting a continuation of an existing waiver or extension of time, it must include a table in its transmittal letter that identifies the standard for which the Commission granted </w:t>
      </w:r>
      <w:r w:rsidR="00426033">
        <w:t>the</w:t>
      </w:r>
      <w:r w:rsidRPr="005E5E83">
        <w:t xml:space="preserve"> waiver or extension of time, and the docket number or order citation to the proceeding in which the Commission granted the waiver or extension of time.</w:t>
      </w:r>
      <w:r w:rsidR="005B769C">
        <w:t xml:space="preserve">  </w:t>
      </w:r>
      <w:r w:rsidRPr="005B769C" w:rsidR="005B769C">
        <w:t>The pipeline also must present an explanation for why such waiver or extension of time should remain in force with regard to the WGQ Version 4.0 Standards.</w:t>
      </w:r>
      <w:r w:rsidR="005B769C">
        <w:t xml:space="preserve">  </w:t>
      </w:r>
      <w:r w:rsidRPr="005E5E83">
        <w:t xml:space="preserve">This continues </w:t>
      </w:r>
      <w:r w:rsidR="00300419">
        <w:t xml:space="preserve">the Commission’s </w:t>
      </w:r>
      <w:r w:rsidRPr="005E5E83">
        <w:t>practice of having pipelines include in their tariffs a common location that identifies the way in which the pipeline is incorporating all the NAESB WGQ Standards and the standards with which it is required to comply.</w:t>
      </w:r>
    </w:p>
    <w:p w:rsidR="003F0E97" w:rsidRPr="005E5E83" w:rsidP="003F0E97" w14:paraId="52D8ADD2" w14:textId="77777777"/>
    <w:p w:rsidR="00BC15BE" w:rsidRPr="005E5E83" w:rsidP="00BC15BE" w14:paraId="29271503" w14:textId="23448976">
      <w:pPr>
        <w:pStyle w:val="Level1"/>
        <w:widowControl/>
        <w:tabs>
          <w:tab w:val="left" w:pos="-1440"/>
          <w:tab w:val="num" w:pos="720"/>
        </w:tabs>
        <w:rPr>
          <w:b/>
          <w:sz w:val="26"/>
        </w:rPr>
      </w:pPr>
      <w:r w:rsidRPr="005E5E83">
        <w:rPr>
          <w:b/>
          <w:sz w:val="26"/>
        </w:rPr>
        <w:t>DESCRIBE ANY CONSIDERATION FOR THE USE OF IMPROVED INFORMATION TECHNOLOGY TO REDUCE BURDEN AND TECHNICAL OR LEGAL OBSTACLES TO REDUCING BURDEN</w:t>
      </w:r>
    </w:p>
    <w:p w:rsidR="00573C31" w:rsidRPr="005E5E83" w:rsidP="00F8150C" w14:paraId="69014BD5" w14:textId="77777777"/>
    <w:p w:rsidR="007B7E0C" w:rsidRPr="005E5E83" w:rsidP="00F90719" w14:paraId="2179F510" w14:textId="24AEEF35">
      <w:r w:rsidRPr="005E5E83">
        <w:t>T</w:t>
      </w:r>
      <w:r w:rsidRPr="005E5E83">
        <w:t xml:space="preserve">he Commission </w:t>
      </w:r>
      <w:r w:rsidRPr="005E5E83" w:rsidR="00F8150C">
        <w:t xml:space="preserve">improved the security </w:t>
      </w:r>
      <w:r w:rsidRPr="005E5E83">
        <w:t xml:space="preserve">for </w:t>
      </w:r>
      <w:r w:rsidRPr="005E5E83" w:rsidR="00F8150C">
        <w:t xml:space="preserve">submitting electronic </w:t>
      </w:r>
      <w:r w:rsidRPr="005E5E83">
        <w:t xml:space="preserve">tariff </w:t>
      </w:r>
      <w:r w:rsidRPr="005E5E83" w:rsidR="00F8150C">
        <w:t>filings</w:t>
      </w:r>
      <w:r w:rsidRPr="005E5E83">
        <w:t>.</w:t>
      </w:r>
      <w:r>
        <w:rPr>
          <w:rStyle w:val="FootnoteReference"/>
        </w:rPr>
        <w:footnoteReference w:id="13"/>
      </w:r>
      <w:r w:rsidRPr="005E5E83">
        <w:t xml:space="preserve">  In addition, the Commission improved </w:t>
      </w:r>
      <w:r w:rsidRPr="005E5E83" w:rsidR="00F8150C">
        <w:t>the pipelines’ on-line process of appointing and modifying agents with the authority to make a</w:t>
      </w:r>
      <w:r w:rsidRPr="005E5E83">
        <w:t xml:space="preserve">n electronic tariff </w:t>
      </w:r>
      <w:r w:rsidRPr="005E5E83" w:rsidR="00F8150C">
        <w:t>filing on the pipeline’s behalf</w:t>
      </w:r>
      <w:r w:rsidRPr="005E5E83" w:rsidR="006C2E0E">
        <w:t>.</w:t>
      </w:r>
    </w:p>
    <w:p w:rsidR="00C4337B" w:rsidRPr="005E5E83" w:rsidP="00F8150C" w14:paraId="4984098A" w14:textId="77777777"/>
    <w:p w:rsidR="00BC15BE" w:rsidRPr="005E5E83" w:rsidP="00D77FF7" w14:paraId="696ED31D" w14:textId="77777777">
      <w:pPr>
        <w:pStyle w:val="Level1"/>
        <w:widowControl/>
        <w:numPr>
          <w:ilvl w:val="0"/>
          <w:numId w:val="27"/>
        </w:numPr>
        <w:tabs>
          <w:tab w:val="left" w:pos="-1440"/>
          <w:tab w:val="num" w:pos="720"/>
        </w:tabs>
        <w:rPr>
          <w:b/>
          <w:sz w:val="26"/>
        </w:rPr>
      </w:pPr>
      <w:r w:rsidRPr="005E5E83">
        <w:rPr>
          <w:b/>
          <w:sz w:val="26"/>
        </w:rPr>
        <w:t>DESCRIBE EFFORTS TO IDENTIFY DUPLICATION AND SHOW SPECIFICALLY WHY ANY SIMILAR INFORMATION ALREADY AVAILABLE CANNOT BE USED OR MODIFIED FOR USE FOR THE PURPOSE(S) DESCRIBED IN INSTRUCTION NO. 2.</w:t>
      </w:r>
    </w:p>
    <w:p w:rsidR="00BC15BE" w:rsidRPr="005E5E83" w:rsidP="00ED2A21" w14:paraId="21267518" w14:textId="3C64E55F">
      <w:pPr>
        <w:tabs>
          <w:tab w:val="num" w:pos="0"/>
        </w:tabs>
        <w:spacing w:before="100" w:beforeAutospacing="1" w:after="240"/>
      </w:pPr>
      <w:r w:rsidRPr="005E5E83">
        <w:t>Commission filings and data requirements are periodically reviewed in conjunction with OMB clearance expiration dates.  No duplication of the information collection requirements has been found.</w:t>
      </w:r>
    </w:p>
    <w:p w:rsidR="00BC15BE" w:rsidRPr="005E5E83" w:rsidP="00BC15BE" w14:paraId="5B66D13D" w14:textId="77777777">
      <w:pPr>
        <w:pStyle w:val="Level1"/>
        <w:widowControl/>
        <w:tabs>
          <w:tab w:val="left" w:pos="-1440"/>
          <w:tab w:val="num" w:pos="720"/>
        </w:tabs>
        <w:rPr>
          <w:b/>
          <w:sz w:val="26"/>
        </w:rPr>
      </w:pPr>
      <w:r w:rsidRPr="005E5E83">
        <w:rPr>
          <w:b/>
          <w:sz w:val="26"/>
        </w:rPr>
        <w:t>METHODS USED TO MINIMIZE BURDEN IN COLLECTION OF INFORMATION INVOLVING SMALL ENTITIES</w:t>
      </w:r>
    </w:p>
    <w:p w:rsidR="00966D03" w:rsidRPr="005E5E83" w:rsidP="00F8150C" w14:paraId="02FFEA5C" w14:textId="77777777">
      <w:pPr>
        <w:rPr>
          <w:b/>
        </w:rPr>
      </w:pPr>
    </w:p>
    <w:p w:rsidR="00F8150C" w:rsidRPr="005E5E83" w:rsidP="00F8150C" w14:paraId="2ECE79F4" w14:textId="148583C3">
      <w:r w:rsidRPr="005E5E83">
        <w:t xml:space="preserve">The FERC-545 </w:t>
      </w:r>
      <w:r w:rsidRPr="005E5E83" w:rsidR="000B2C2A">
        <w:t>are</w:t>
      </w:r>
      <w:r w:rsidRPr="005E5E83">
        <w:t xml:space="preserve"> filing requirement</w:t>
      </w:r>
      <w:r w:rsidRPr="005E5E83" w:rsidR="000B2C2A">
        <w:t>s</w:t>
      </w:r>
      <w:r w:rsidRPr="005E5E83">
        <w:t xml:space="preserve"> related to pipeline rate filing obligations for the transportation and storage of natural gas.  The filing</w:t>
      </w:r>
      <w:r w:rsidRPr="005E5E83" w:rsidR="000B2C2A">
        <w:t>s</w:t>
      </w:r>
      <w:r w:rsidRPr="005E5E83">
        <w:t xml:space="preserve"> collect data from both large and small respondent companies.  The data required </w:t>
      </w:r>
      <w:r w:rsidRPr="005E5E83" w:rsidR="00353A27">
        <w:t xml:space="preserve">were designed to </w:t>
      </w:r>
      <w:r w:rsidRPr="005E5E83">
        <w:t xml:space="preserve">impose the least possible burden for companies, while collecting the information required for processing the filings.  Use of the Internet to file documents electronically is the primary method the Commission uses to minimize the </w:t>
      </w:r>
      <w:r w:rsidRPr="005E5E83" w:rsidR="00353A27">
        <w:t xml:space="preserve">filing </w:t>
      </w:r>
      <w:r w:rsidRPr="005E5E83">
        <w:t>burden.</w:t>
      </w:r>
    </w:p>
    <w:p w:rsidR="00BC15BE" w:rsidRPr="005E5E83" w:rsidP="00573C31" w14:paraId="1CB13102" w14:textId="77777777">
      <w:pPr>
        <w:pStyle w:val="FERCparanumber"/>
        <w:numPr>
          <w:ilvl w:val="0"/>
          <w:numId w:val="0"/>
        </w:numPr>
        <w:autoSpaceDE w:val="0"/>
        <w:autoSpaceDN w:val="0"/>
        <w:adjustRightInd w:val="0"/>
      </w:pPr>
    </w:p>
    <w:p w:rsidR="00BC15BE" w:rsidRPr="005E5E83" w:rsidP="00BC15BE" w14:paraId="54B1E88D" w14:textId="77777777">
      <w:pPr>
        <w:pStyle w:val="Level1"/>
        <w:widowControl/>
        <w:tabs>
          <w:tab w:val="left" w:pos="-1440"/>
          <w:tab w:val="num" w:pos="720"/>
        </w:tabs>
        <w:rPr>
          <w:b/>
          <w:sz w:val="26"/>
        </w:rPr>
      </w:pPr>
      <w:r w:rsidRPr="005E5E83">
        <w:rPr>
          <w:b/>
          <w:sz w:val="26"/>
        </w:rPr>
        <w:t>CONSEQUENCE TO FEDERAL PROGRAM IF COLLECTION WERE CONDUCTED LESS FREQUENTLY</w:t>
      </w:r>
    </w:p>
    <w:p w:rsidR="001B1135" w:rsidRPr="005E5E83" w:rsidP="00F8150C" w14:paraId="2BA137A1" w14:textId="77777777">
      <w:pPr>
        <w:tabs>
          <w:tab w:val="left" w:pos="0"/>
        </w:tabs>
      </w:pPr>
    </w:p>
    <w:p w:rsidR="00F8150C" w:rsidRPr="005E5E83" w:rsidP="00F8150C" w14:paraId="62DFD3E8" w14:textId="6F2FB6D2">
      <w:pPr>
        <w:tabs>
          <w:tab w:val="left" w:pos="0"/>
        </w:tabs>
      </w:pPr>
      <w:r w:rsidRPr="005E5E83">
        <w:t xml:space="preserve">The </w:t>
      </w:r>
      <w:r w:rsidRPr="005E5E83">
        <w:t>FERC-545</w:t>
      </w:r>
      <w:r w:rsidRPr="005E5E83" w:rsidR="00573C31">
        <w:t xml:space="preserve"> </w:t>
      </w:r>
      <w:r w:rsidRPr="005E5E83" w:rsidR="00BD6B0B">
        <w:t>is a one-time compliance filing</w:t>
      </w:r>
      <w:r w:rsidRPr="005E5E83">
        <w:t xml:space="preserve">.  Failure to collect the information would prohibit </w:t>
      </w:r>
      <w:r w:rsidRPr="005E5E83" w:rsidR="001B1135">
        <w:t xml:space="preserve">the Commission </w:t>
      </w:r>
      <w:r w:rsidRPr="005E5E83">
        <w:t xml:space="preserve">from properly monitoring and evaluating pipeline transactions and meeting statutory obligations under </w:t>
      </w:r>
      <w:r w:rsidRPr="005E5E83" w:rsidR="001B1135">
        <w:t xml:space="preserve">the </w:t>
      </w:r>
      <w:r w:rsidRPr="005E5E83">
        <w:t>Natural Gas Policy Act and Natural Gas Act</w:t>
      </w:r>
      <w:r w:rsidRPr="005E5E83">
        <w:t>.</w:t>
      </w:r>
    </w:p>
    <w:p w:rsidR="00BC15BE" w:rsidRPr="005E5E83" w:rsidP="00BC15BE" w14:paraId="3FD162DE" w14:textId="77777777">
      <w:pPr>
        <w:pStyle w:val="Level1"/>
        <w:widowControl/>
        <w:numPr>
          <w:ilvl w:val="0"/>
          <w:numId w:val="0"/>
        </w:numPr>
        <w:tabs>
          <w:tab w:val="left" w:pos="-1440"/>
        </w:tabs>
        <w:rPr>
          <w:sz w:val="26"/>
        </w:rPr>
      </w:pPr>
    </w:p>
    <w:p w:rsidR="00BC15BE" w:rsidRPr="005E5E83" w:rsidP="00BC15BE" w14:paraId="5ECAB497" w14:textId="77777777">
      <w:pPr>
        <w:pStyle w:val="Level1"/>
        <w:widowControl/>
        <w:tabs>
          <w:tab w:val="left" w:pos="-1440"/>
          <w:tab w:val="num" w:pos="720"/>
        </w:tabs>
        <w:rPr>
          <w:b/>
          <w:sz w:val="26"/>
        </w:rPr>
      </w:pPr>
      <w:r w:rsidRPr="005E5E83">
        <w:rPr>
          <w:b/>
          <w:sz w:val="26"/>
        </w:rPr>
        <w:t>EXPLAIN ANY SPECIAL CIRCUMSTANCES RELATING TO THE INFORMATION COLLECTION</w:t>
      </w:r>
    </w:p>
    <w:p w:rsidR="00BC15BE" w:rsidRPr="005E5E83" w:rsidP="00BC15BE" w14:paraId="217EEBCF" w14:textId="77777777">
      <w:pPr>
        <w:pStyle w:val="Level1"/>
        <w:numPr>
          <w:ilvl w:val="0"/>
          <w:numId w:val="0"/>
        </w:numPr>
        <w:rPr>
          <w:sz w:val="26"/>
        </w:rPr>
      </w:pPr>
    </w:p>
    <w:p w:rsidR="00F8150C" w:rsidRPr="005E5E83" w:rsidP="00BC15BE" w14:paraId="41837890" w14:textId="60426FEE">
      <w:pPr>
        <w:pStyle w:val="Level1"/>
        <w:numPr>
          <w:ilvl w:val="0"/>
          <w:numId w:val="0"/>
        </w:numPr>
        <w:rPr>
          <w:sz w:val="26"/>
        </w:rPr>
      </w:pPr>
      <w:r w:rsidRPr="005E5E83">
        <w:rPr>
          <w:sz w:val="26"/>
        </w:rPr>
        <w:t xml:space="preserve">The FERC-545 </w:t>
      </w:r>
      <w:r w:rsidRPr="005E5E83">
        <w:rPr>
          <w:sz w:val="26"/>
        </w:rPr>
        <w:t>present</w:t>
      </w:r>
      <w:r w:rsidRPr="005E5E83">
        <w:rPr>
          <w:sz w:val="26"/>
        </w:rPr>
        <w:t>s</w:t>
      </w:r>
      <w:r w:rsidRPr="005E5E83">
        <w:rPr>
          <w:sz w:val="26"/>
        </w:rPr>
        <w:t xml:space="preserve"> no special circumstances.</w:t>
      </w:r>
    </w:p>
    <w:p w:rsidR="00F45B52" w:rsidRPr="005E5E83" w:rsidP="00BC15BE" w14:paraId="6BB4F597" w14:textId="77777777">
      <w:pPr>
        <w:pStyle w:val="Level1"/>
        <w:numPr>
          <w:ilvl w:val="0"/>
          <w:numId w:val="0"/>
        </w:numPr>
        <w:rPr>
          <w:sz w:val="26"/>
        </w:rPr>
      </w:pPr>
    </w:p>
    <w:p w:rsidR="00BC15BE" w:rsidRPr="005E5E83" w:rsidP="00BC15BE" w14:paraId="183E946C" w14:textId="77777777">
      <w:pPr>
        <w:pStyle w:val="Level1"/>
        <w:widowControl/>
        <w:tabs>
          <w:tab w:val="left" w:pos="-1440"/>
          <w:tab w:val="num" w:pos="720"/>
        </w:tabs>
        <w:rPr>
          <w:b/>
          <w:sz w:val="26"/>
        </w:rPr>
      </w:pPr>
      <w:r w:rsidRPr="005E5E83">
        <w:rPr>
          <w:b/>
          <w:sz w:val="26"/>
        </w:rPr>
        <w:t>DESCRIBE EFFORTS TO CONSULT OUTSIDE THE AGENCY: SUMMARIZE PUBLIC COMMENTS AND AGENCY'S RESPONSE TO THESE COMMENTS</w:t>
      </w:r>
    </w:p>
    <w:p w:rsidR="00A5298F" w:rsidRPr="005E5E83" w:rsidP="00BC15BE" w14:paraId="517D2728" w14:textId="169B5E3F">
      <w:pPr>
        <w:tabs>
          <w:tab w:val="left" w:pos="-1440"/>
        </w:tabs>
      </w:pPr>
    </w:p>
    <w:p w:rsidR="0000597D" w:rsidRPr="005E5E83" w:rsidP="008E08A2" w14:paraId="7AD2A888" w14:textId="7C40A540">
      <w:pPr>
        <w:tabs>
          <w:tab w:val="left" w:pos="-1440"/>
        </w:tabs>
      </w:pPr>
      <w:r w:rsidRPr="005E5E83">
        <w:t xml:space="preserve">The 60-day notice published on </w:t>
      </w:r>
      <w:r w:rsidR="00954645">
        <w:t>January 8, 2025</w:t>
      </w:r>
      <w:r w:rsidRPr="005E5E83">
        <w:t xml:space="preserve"> </w:t>
      </w:r>
      <w:r w:rsidRPr="00954645" w:rsidR="00954645">
        <w:t>(90 FR 1476</w:t>
      </w:r>
      <w:r w:rsidR="005E5E83">
        <w:t>)</w:t>
      </w:r>
      <w:r w:rsidR="001238D0">
        <w:t xml:space="preserve"> </w:t>
      </w:r>
      <w:r w:rsidRPr="005E5E83">
        <w:t xml:space="preserve">and no comments were received.  The 30-day notice published on </w:t>
      </w:r>
      <w:r w:rsidR="00954645">
        <w:t>March 26, 2025</w:t>
      </w:r>
      <w:r w:rsidR="005E5E83">
        <w:t xml:space="preserve"> (</w:t>
      </w:r>
      <w:r w:rsidRPr="00954645" w:rsidR="00954645">
        <w:t>90 FR 13745</w:t>
      </w:r>
      <w:r w:rsidR="005E5E83">
        <w:t>)</w:t>
      </w:r>
      <w:r w:rsidRPr="005E5E83">
        <w:t>. There is no anticipation of receiving comments at the end of the 30-day comment period.</w:t>
      </w:r>
    </w:p>
    <w:p w:rsidR="00493A45" w:rsidRPr="005E5E83" w:rsidP="008E08A2" w14:paraId="7E1012A5" w14:textId="77777777">
      <w:pPr>
        <w:tabs>
          <w:tab w:val="left" w:pos="-1440"/>
        </w:tabs>
      </w:pPr>
    </w:p>
    <w:p w:rsidR="00BC15BE" w:rsidRPr="005E5E83" w:rsidP="000973F8" w14:paraId="3AD239FD" w14:textId="3EBAB186">
      <w:pPr>
        <w:tabs>
          <w:tab w:val="left" w:pos="-1440"/>
        </w:tabs>
        <w:rPr>
          <w:bCs/>
        </w:rPr>
      </w:pPr>
      <w:r w:rsidRPr="005E5E83">
        <w:rPr>
          <w:b/>
        </w:rPr>
        <w:t xml:space="preserve">9.           </w:t>
      </w:r>
      <w:r w:rsidRPr="005E5E83">
        <w:rPr>
          <w:b/>
        </w:rPr>
        <w:t>EXPLAIN ANY PAYMENT OR GIFTS TO RESPONDENTS</w:t>
      </w:r>
    </w:p>
    <w:p w:rsidR="002F39BD" w:rsidRPr="005E5E83" w:rsidP="00BC15BE" w14:paraId="7051282D" w14:textId="77777777"/>
    <w:p w:rsidR="00BC15BE" w:rsidRPr="005E5E83" w:rsidP="00BC15BE" w14:paraId="747F4580" w14:textId="5C87C94D">
      <w:r w:rsidRPr="005E5E83">
        <w:t>There are no payments or gifts</w:t>
      </w:r>
      <w:r w:rsidRPr="005E5E83" w:rsidR="000326C9">
        <w:t xml:space="preserve"> made or given </w:t>
      </w:r>
      <w:r w:rsidRPr="005E5E83">
        <w:t xml:space="preserve">to respondents associated with </w:t>
      </w:r>
      <w:r w:rsidRPr="005E5E83" w:rsidR="00F8150C">
        <w:t>collections FERC-545</w:t>
      </w:r>
      <w:r w:rsidRPr="005E5E83" w:rsidR="006512E7">
        <w:t>.</w:t>
      </w:r>
    </w:p>
    <w:p w:rsidR="00BC15BE" w:rsidRPr="005E5E83" w:rsidP="00BC15BE" w14:paraId="519A22C7" w14:textId="77777777">
      <w:pPr>
        <w:ind w:left="720" w:hanging="720"/>
        <w:rPr>
          <w:b/>
          <w:bCs/>
        </w:rPr>
      </w:pPr>
    </w:p>
    <w:p w:rsidR="00BC15BE" w:rsidRPr="005E5E83" w:rsidP="000973F8" w14:paraId="2135200F" w14:textId="7B294BF4">
      <w:pPr>
        <w:pStyle w:val="Level1"/>
        <w:numPr>
          <w:ilvl w:val="0"/>
          <w:numId w:val="18"/>
        </w:numPr>
        <w:rPr>
          <w:b/>
          <w:sz w:val="26"/>
        </w:rPr>
      </w:pPr>
      <w:r w:rsidRPr="005E5E83">
        <w:rPr>
          <w:bCs/>
          <w:sz w:val="26"/>
        </w:rPr>
        <w:t xml:space="preserve"> </w:t>
      </w:r>
      <w:r w:rsidRPr="005E5E83">
        <w:rPr>
          <w:b/>
          <w:sz w:val="26"/>
        </w:rPr>
        <w:t>DESCRIBE ANY ASSURANCE OF CONFIDENTIALITY PROVIDED TO RESPONDENTS</w:t>
      </w:r>
    </w:p>
    <w:p w:rsidR="00DF6937" w:rsidRPr="005E5E83" w:rsidP="000973F8" w14:paraId="7CAC0BB8" w14:textId="77777777">
      <w:pPr>
        <w:pStyle w:val="Level1"/>
        <w:numPr>
          <w:ilvl w:val="0"/>
          <w:numId w:val="0"/>
        </w:numPr>
        <w:ind w:left="720"/>
        <w:rPr>
          <w:b/>
          <w:sz w:val="26"/>
        </w:rPr>
      </w:pPr>
    </w:p>
    <w:p w:rsidR="00D123BF" w:rsidP="00BC15BE" w14:paraId="29ECD938" w14:textId="11D3E164"/>
    <w:p w:rsidR="005B23F3" w:rsidP="00BC15BE" w14:paraId="3F2E030F" w14:textId="77777777"/>
    <w:p w:rsidR="005B23F3" w:rsidRPr="005B23F3" w:rsidP="005B23F3" w14:paraId="00D52A88" w14:textId="7BB3A6B6">
      <w:r w:rsidRPr="005B23F3">
        <w:t>The new WGQ Cybersecurity Related Standards focus on strengthening the</w:t>
      </w:r>
    </w:p>
    <w:p w:rsidR="005B23F3" w:rsidRPr="005B23F3" w:rsidP="005B23F3" w14:paraId="0CCD50BE" w14:textId="77777777">
      <w:r w:rsidRPr="005B23F3">
        <w:t>cybersecurity practices used by the industry through the mitigation of potential</w:t>
      </w:r>
    </w:p>
    <w:p w:rsidR="00F8150C" w:rsidRPr="005E5E83" w:rsidP="00BC15BE" w14:paraId="3346081C" w14:textId="087A6CA8">
      <w:r w:rsidRPr="005B23F3">
        <w:t>vulnerabilities and the use of secure communication and encryption methodologies.</w:t>
      </w:r>
      <w:r w:rsidR="00B802A5">
        <w:t xml:space="preserve">  </w:t>
      </w:r>
      <w:r w:rsidRPr="005E5E83" w:rsidR="00DF6937">
        <w:t>In general, for submittals to the Commission, filers may submit specific requests for confidential treatment to the extent permitted by law; details are available in 18 C.F.R. Section 388.112.</w:t>
      </w:r>
    </w:p>
    <w:p w:rsidR="007502D4" w:rsidRPr="005E5E83" w:rsidP="00BC15BE" w14:paraId="43033706" w14:textId="77777777"/>
    <w:p w:rsidR="00BC15BE" w:rsidRPr="005E5E83" w:rsidP="00BC15BE" w14:paraId="20B1F703" w14:textId="77777777">
      <w:pPr>
        <w:pStyle w:val="Level1"/>
        <w:numPr>
          <w:ilvl w:val="0"/>
          <w:numId w:val="3"/>
        </w:numPr>
        <w:rPr>
          <w:b/>
          <w:sz w:val="26"/>
        </w:rPr>
      </w:pPr>
      <w:r w:rsidRPr="005E5E83">
        <w:rPr>
          <w:b/>
          <w:sz w:val="26"/>
        </w:rPr>
        <w:t>PROVIDE ADDITIONAL JUSTIFICATION FOR ANY QUESTIONS OF A SENSITIVE NATURE, SUCH AS SEXUAL BEHAVIOR AND ATTITUDES, RELIGIOUS BELIEFS, AND OTHER MATTERS THAT ARE COMMONLY CONSIDERED PRIVATE.</w:t>
      </w:r>
    </w:p>
    <w:p w:rsidR="00A17430" w:rsidRPr="005E5E83" w:rsidP="00BC15BE" w14:paraId="46AEDFC5" w14:textId="77777777"/>
    <w:p w:rsidR="00BC15BE" w:rsidRPr="005E5E83" w:rsidP="00BC15BE" w14:paraId="3DCB60E8" w14:textId="77777777">
      <w:r w:rsidRPr="005E5E83">
        <w:t>There are no questions of a sensitive nature in the reporting requirements.</w:t>
      </w:r>
    </w:p>
    <w:p w:rsidR="00BC15BE" w:rsidRPr="005E5E83" w:rsidP="00BC15BE" w14:paraId="3E51840A" w14:textId="77777777"/>
    <w:p w:rsidR="00BC15BE" w:rsidRPr="005E5E83" w:rsidP="00BC15BE" w14:paraId="584352B7" w14:textId="77777777">
      <w:pPr>
        <w:pStyle w:val="Level1"/>
        <w:rPr>
          <w:b/>
          <w:sz w:val="26"/>
        </w:rPr>
      </w:pPr>
      <w:r w:rsidRPr="005E5E83">
        <w:rPr>
          <w:b/>
          <w:sz w:val="26"/>
        </w:rPr>
        <w:t>ESTIMATED BURDEN OF COLLECTION OF INFORMATION</w:t>
      </w:r>
    </w:p>
    <w:p w:rsidR="00B67787" w:rsidRPr="005E5E83" w:rsidP="00F8150C" w14:paraId="12E97A37" w14:textId="77777777">
      <w:pPr>
        <w:pStyle w:val="FERCparanumber"/>
        <w:numPr>
          <w:ilvl w:val="0"/>
          <w:numId w:val="0"/>
        </w:numPr>
        <w:rPr>
          <w:b/>
          <w:u w:val="single"/>
        </w:rPr>
      </w:pPr>
    </w:p>
    <w:p w:rsidR="007502D4" w:rsidP="007502D4" w14:paraId="618A31F0" w14:textId="10EF3040">
      <w:r w:rsidRPr="005E5E83">
        <w:t>The Commission estimates the annual public reporting burden and cost</w:t>
      </w:r>
      <w:r>
        <w:rPr>
          <w:rStyle w:val="FootnoteReference"/>
        </w:rPr>
        <w:footnoteReference w:id="14"/>
      </w:r>
      <w:r w:rsidRPr="005E5E83">
        <w:t xml:space="preserve"> for the information collection as follows:</w:t>
      </w:r>
    </w:p>
    <w:p w:rsidR="00F22488" w:rsidP="007502D4" w14:paraId="4E01F276" w14:textId="77777777"/>
    <w:p w:rsidR="00F22488" w:rsidP="007502D4" w14:paraId="657254E6" w14:textId="77777777"/>
    <w:p w:rsidR="00D31ECA" w:rsidP="007502D4" w14:paraId="72615C89" w14:textId="77777777"/>
    <w:tbl>
      <w:tblPr>
        <w:tblW w:w="10259" w:type="dxa"/>
        <w:tblInd w:w="-9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312"/>
        <w:gridCol w:w="1509"/>
        <w:gridCol w:w="1236"/>
        <w:gridCol w:w="1440"/>
        <w:gridCol w:w="1350"/>
        <w:gridCol w:w="2003"/>
        <w:gridCol w:w="1409"/>
      </w:tblGrid>
      <w:tr w14:paraId="3E680A53" w14:textId="77777777" w:rsidTr="00423A83">
        <w:tblPrEx>
          <w:tblW w:w="10259" w:type="dxa"/>
          <w:tblInd w:w="-9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30"/>
        </w:trPr>
        <w:tc>
          <w:tcPr>
            <w:tcW w:w="10259" w:type="dxa"/>
            <w:gridSpan w:val="7"/>
            <w:tcBorders>
              <w:top w:val="single" w:sz="6" w:space="0" w:color="auto"/>
              <w:left w:val="single" w:sz="6" w:space="0" w:color="auto"/>
              <w:bottom w:val="single" w:sz="6" w:space="0" w:color="auto"/>
              <w:right w:val="single" w:sz="6" w:space="0" w:color="auto"/>
            </w:tcBorders>
            <w:shd w:val="clear" w:color="auto" w:fill="BFBFBF"/>
            <w:hideMark/>
          </w:tcPr>
          <w:p w:rsidR="00D31ECA" w:rsidRPr="00D31ECA" w:rsidP="00423A83" w14:paraId="4F34FA02" w14:textId="77777777">
            <w:r w:rsidRPr="00D31ECA">
              <w:rPr>
                <w:b/>
                <w:bCs/>
              </w:rPr>
              <w:t>FERC-545: Gas Pipeline Rates: Rate Change (Non-Formal) (No change)</w:t>
            </w:r>
            <w:r w:rsidRPr="00D31ECA">
              <w:t> </w:t>
            </w:r>
          </w:p>
        </w:tc>
      </w:tr>
      <w:tr w14:paraId="05FC839D" w14:textId="77777777" w:rsidTr="009C689C">
        <w:tblPrEx>
          <w:tblW w:w="10259" w:type="dxa"/>
          <w:tblInd w:w="-915" w:type="dxa"/>
          <w:tblLayout w:type="fixed"/>
          <w:tblCellMar>
            <w:left w:w="0" w:type="dxa"/>
            <w:right w:w="0" w:type="dxa"/>
          </w:tblCellMar>
          <w:tblLook w:val="04A0"/>
        </w:tblPrEx>
        <w:trPr>
          <w:trHeight w:val="2118"/>
        </w:trPr>
        <w:tc>
          <w:tcPr>
            <w:tcW w:w="1312" w:type="dxa"/>
            <w:tcBorders>
              <w:top w:val="single" w:sz="6" w:space="0" w:color="auto"/>
              <w:left w:val="single" w:sz="6" w:space="0" w:color="auto"/>
              <w:bottom w:val="single" w:sz="6" w:space="0" w:color="auto"/>
              <w:right w:val="single" w:sz="6" w:space="0" w:color="auto"/>
            </w:tcBorders>
            <w:shd w:val="clear" w:color="auto" w:fill="BFBFBF"/>
            <w:hideMark/>
          </w:tcPr>
          <w:p w:rsidR="00D31ECA" w:rsidRPr="00D31ECA" w:rsidP="00423A83" w14:paraId="3860E5B3" w14:textId="77777777">
            <w:r w:rsidRPr="00D31ECA">
              <w:t> </w:t>
            </w:r>
          </w:p>
        </w:tc>
        <w:tc>
          <w:tcPr>
            <w:tcW w:w="1509" w:type="dxa"/>
            <w:tcBorders>
              <w:top w:val="single" w:sz="6" w:space="0" w:color="auto"/>
              <w:left w:val="single" w:sz="6" w:space="0" w:color="auto"/>
              <w:bottom w:val="single" w:sz="6" w:space="0" w:color="auto"/>
              <w:right w:val="single" w:sz="6" w:space="0" w:color="auto"/>
            </w:tcBorders>
            <w:shd w:val="clear" w:color="auto" w:fill="BFBFBF"/>
            <w:hideMark/>
          </w:tcPr>
          <w:p w:rsidR="00D31ECA" w:rsidRPr="00D31ECA" w:rsidP="00423A83" w14:paraId="7858CBCE" w14:textId="77777777">
            <w:r w:rsidRPr="00D31ECA">
              <w:rPr>
                <w:b/>
                <w:bCs/>
              </w:rPr>
              <w:t>Number of Respondents</w:t>
            </w:r>
            <w:r w:rsidRPr="00D31ECA">
              <w:t> </w:t>
            </w:r>
            <w:r w:rsidRPr="00D31ECA">
              <w:br/>
            </w:r>
            <w:r w:rsidRPr="00D31ECA">
              <w:rPr>
                <w:b/>
                <w:bCs/>
              </w:rPr>
              <w:t>(1)</w:t>
            </w:r>
            <w:r w:rsidRPr="00D31ECA">
              <w:t> </w:t>
            </w:r>
          </w:p>
        </w:tc>
        <w:tc>
          <w:tcPr>
            <w:tcW w:w="1236" w:type="dxa"/>
            <w:tcBorders>
              <w:top w:val="single" w:sz="6" w:space="0" w:color="auto"/>
              <w:left w:val="single" w:sz="6" w:space="0" w:color="auto"/>
              <w:bottom w:val="single" w:sz="6" w:space="0" w:color="auto"/>
              <w:right w:val="single" w:sz="6" w:space="0" w:color="auto"/>
            </w:tcBorders>
            <w:shd w:val="clear" w:color="auto" w:fill="BFBFBF"/>
            <w:hideMark/>
          </w:tcPr>
          <w:p w:rsidR="00D31ECA" w:rsidRPr="00D31ECA" w:rsidP="00423A83" w14:paraId="018F9E7E" w14:textId="77777777">
            <w:r w:rsidRPr="00D31ECA">
              <w:rPr>
                <w:b/>
                <w:bCs/>
              </w:rPr>
              <w:t>Average Number of Responses per Respondent</w:t>
            </w:r>
            <w:r w:rsidRPr="00D31ECA">
              <w:t> </w:t>
            </w:r>
          </w:p>
          <w:p w:rsidR="00D31ECA" w:rsidRPr="00D31ECA" w:rsidP="00423A83" w14:paraId="7DBFF69A" w14:textId="77777777">
            <w:r w:rsidRPr="00D31ECA">
              <w:rPr>
                <w:b/>
                <w:bCs/>
              </w:rPr>
              <w:t>(2)</w:t>
            </w:r>
            <w:r w:rsidRPr="00D31ECA">
              <w:t> </w:t>
            </w:r>
          </w:p>
        </w:tc>
        <w:tc>
          <w:tcPr>
            <w:tcW w:w="1440" w:type="dxa"/>
            <w:tcBorders>
              <w:top w:val="single" w:sz="6" w:space="0" w:color="auto"/>
              <w:left w:val="single" w:sz="6" w:space="0" w:color="auto"/>
              <w:bottom w:val="single" w:sz="6" w:space="0" w:color="auto"/>
              <w:right w:val="single" w:sz="6" w:space="0" w:color="auto"/>
            </w:tcBorders>
            <w:shd w:val="clear" w:color="auto" w:fill="BFBFBF"/>
            <w:hideMark/>
          </w:tcPr>
          <w:p w:rsidR="00D31ECA" w:rsidRPr="00D31ECA" w:rsidP="00423A83" w14:paraId="48645FF1" w14:textId="77777777">
            <w:r w:rsidRPr="00D31ECA">
              <w:rPr>
                <w:b/>
                <w:bCs/>
              </w:rPr>
              <w:t>Total Number of Responses (1)*(2)=(3)</w:t>
            </w:r>
            <w:r w:rsidRPr="00D31ECA">
              <w:t> </w:t>
            </w:r>
          </w:p>
        </w:tc>
        <w:tc>
          <w:tcPr>
            <w:tcW w:w="1350" w:type="dxa"/>
            <w:tcBorders>
              <w:top w:val="single" w:sz="6" w:space="0" w:color="auto"/>
              <w:left w:val="single" w:sz="6" w:space="0" w:color="auto"/>
              <w:bottom w:val="single" w:sz="6" w:space="0" w:color="auto"/>
              <w:right w:val="single" w:sz="6" w:space="0" w:color="auto"/>
            </w:tcBorders>
            <w:shd w:val="clear" w:color="auto" w:fill="BFBFBF"/>
            <w:hideMark/>
          </w:tcPr>
          <w:p w:rsidR="00D31ECA" w:rsidRPr="00D31ECA" w:rsidP="00423A83" w14:paraId="4DC17871" w14:textId="5BA72CC4">
            <w:r>
              <w:rPr>
                <w:b/>
                <w:bCs/>
              </w:rPr>
              <w:t>A</w:t>
            </w:r>
            <w:r w:rsidRPr="00D31ECA">
              <w:rPr>
                <w:b/>
                <w:bCs/>
              </w:rPr>
              <w:t>verage Burden &amp; Cost Per Response</w:t>
            </w:r>
            <w:r w:rsidRPr="00D31ECA">
              <w:rPr>
                <w:b/>
                <w:bCs/>
                <w:vertAlign w:val="superscript"/>
              </w:rPr>
              <w:t>2</w:t>
            </w:r>
            <w:r w:rsidRPr="00D31ECA">
              <w:t> </w:t>
            </w:r>
          </w:p>
          <w:p w:rsidR="00D31ECA" w:rsidRPr="00D31ECA" w:rsidP="00423A83" w14:paraId="1236635E" w14:textId="376D3CD6">
            <w:r>
              <w:rPr>
                <w:b/>
                <w:bCs/>
              </w:rPr>
              <w:t>(</w:t>
            </w:r>
            <w:r w:rsidRPr="00D31ECA">
              <w:rPr>
                <w:b/>
                <w:bCs/>
              </w:rPr>
              <w:t>4)</w:t>
            </w:r>
            <w:r w:rsidRPr="00D31ECA">
              <w:t> </w:t>
            </w:r>
          </w:p>
        </w:tc>
        <w:tc>
          <w:tcPr>
            <w:tcW w:w="2003" w:type="dxa"/>
            <w:tcBorders>
              <w:top w:val="single" w:sz="6" w:space="0" w:color="auto"/>
              <w:left w:val="single" w:sz="6" w:space="0" w:color="auto"/>
              <w:bottom w:val="single" w:sz="6" w:space="0" w:color="auto"/>
              <w:right w:val="single" w:sz="6" w:space="0" w:color="auto"/>
            </w:tcBorders>
            <w:shd w:val="clear" w:color="auto" w:fill="BFBFBF"/>
            <w:hideMark/>
          </w:tcPr>
          <w:p w:rsidR="00D31ECA" w:rsidRPr="00D31ECA" w:rsidP="00423A83" w14:paraId="4B8EB83B" w14:textId="77777777">
            <w:r w:rsidRPr="00D31ECA">
              <w:rPr>
                <w:b/>
                <w:bCs/>
              </w:rPr>
              <w:t>Total Annual Burden Hours &amp; Total Annual Cost</w:t>
            </w:r>
            <w:r w:rsidRPr="00D31ECA">
              <w:t> </w:t>
            </w:r>
          </w:p>
          <w:p w:rsidR="00D31ECA" w:rsidRPr="00D31ECA" w:rsidP="00423A83" w14:paraId="3D3E9A48" w14:textId="77777777">
            <w:r w:rsidRPr="00D31ECA">
              <w:rPr>
                <w:b/>
                <w:bCs/>
              </w:rPr>
              <w:t>(3)*(4)=(5)</w:t>
            </w:r>
            <w:r w:rsidRPr="00D31ECA">
              <w:t> </w:t>
            </w:r>
          </w:p>
        </w:tc>
        <w:tc>
          <w:tcPr>
            <w:tcW w:w="1409" w:type="dxa"/>
            <w:tcBorders>
              <w:top w:val="single" w:sz="6" w:space="0" w:color="auto"/>
              <w:left w:val="single" w:sz="6" w:space="0" w:color="auto"/>
              <w:bottom w:val="single" w:sz="6" w:space="0" w:color="auto"/>
              <w:right w:val="single" w:sz="6" w:space="0" w:color="auto"/>
            </w:tcBorders>
            <w:shd w:val="clear" w:color="auto" w:fill="BFBFBF"/>
            <w:hideMark/>
          </w:tcPr>
          <w:p w:rsidR="00D31ECA" w:rsidRPr="00D31ECA" w:rsidP="00423A83" w14:paraId="3D01B7FF" w14:textId="66C303AE">
            <w:r w:rsidRPr="00D31ECA">
              <w:rPr>
                <w:b/>
                <w:bCs/>
              </w:rPr>
              <w:t>Cost per Respondent</w:t>
            </w:r>
            <w:r w:rsidRPr="00D31ECA">
              <w:t> </w:t>
            </w:r>
            <w:r w:rsidRPr="00D31ECA">
              <w:rPr>
                <w:b/>
                <w:bCs/>
              </w:rPr>
              <w:t>($)</w:t>
            </w:r>
            <w:r w:rsidRPr="00D31ECA">
              <w:t> </w:t>
            </w:r>
            <w:r w:rsidRPr="00D31ECA">
              <w:rPr>
                <w:b/>
                <w:bCs/>
              </w:rPr>
              <w:t>(5)÷(1)</w:t>
            </w:r>
            <w:r w:rsidRPr="00D31ECA">
              <w:t> </w:t>
            </w:r>
          </w:p>
        </w:tc>
      </w:tr>
      <w:tr w14:paraId="5290CFAB" w14:textId="77777777" w:rsidTr="00423A83">
        <w:tblPrEx>
          <w:tblW w:w="10259" w:type="dxa"/>
          <w:tblInd w:w="-915" w:type="dxa"/>
          <w:tblLayout w:type="fixed"/>
          <w:tblCellMar>
            <w:left w:w="0" w:type="dxa"/>
            <w:right w:w="0" w:type="dxa"/>
          </w:tblCellMar>
          <w:tblLook w:val="04A0"/>
        </w:tblPrEx>
        <w:trPr>
          <w:trHeight w:val="960"/>
        </w:trPr>
        <w:tc>
          <w:tcPr>
            <w:tcW w:w="1312"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4351C692" w14:textId="77777777">
            <w:r w:rsidRPr="00D31ECA">
              <w:t>Tariff Filings </w:t>
            </w:r>
          </w:p>
        </w:tc>
        <w:tc>
          <w:tcPr>
            <w:tcW w:w="1509"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333BB325" w14:textId="77777777">
            <w:r w:rsidRPr="00D31ECA">
              <w:t>141 </w:t>
            </w:r>
          </w:p>
          <w:p w:rsidR="00D31ECA" w:rsidRPr="00D31ECA" w:rsidP="00D31ECA" w14:paraId="14545FB2" w14:textId="77777777">
            <w:r w:rsidRPr="00D31ECA">
              <w:t> </w:t>
            </w:r>
          </w:p>
        </w:tc>
        <w:tc>
          <w:tcPr>
            <w:tcW w:w="1236"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03E7ED8F" w14:textId="77777777">
            <w:r w:rsidRPr="00D31ECA">
              <w:t>3 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73913BC5" w14:textId="77777777">
            <w:r w:rsidRPr="00D31ECA">
              <w:t>423 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25AEF6F2" w14:textId="77777777">
            <w:r w:rsidRPr="00D31ECA">
              <w:t>211 hrs.; </w:t>
            </w:r>
          </w:p>
          <w:p w:rsidR="00D31ECA" w:rsidRPr="00D31ECA" w:rsidP="00D31ECA" w14:paraId="4444577D" w14:textId="77777777">
            <w:r w:rsidRPr="00D31ECA">
              <w:t>$22,999 </w:t>
            </w:r>
          </w:p>
        </w:tc>
        <w:tc>
          <w:tcPr>
            <w:tcW w:w="2003"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0CDD2B62" w14:textId="77777777">
            <w:r w:rsidRPr="00D31ECA">
              <w:t>89,253 hrs.; </w:t>
            </w:r>
          </w:p>
          <w:p w:rsidR="00D31ECA" w:rsidRPr="00D31ECA" w:rsidP="00D31ECA" w14:paraId="1BD60155" w14:textId="77777777">
            <w:r w:rsidRPr="00D31ECA">
              <w:t>$9,728,577 </w:t>
            </w:r>
          </w:p>
        </w:tc>
        <w:tc>
          <w:tcPr>
            <w:tcW w:w="1409"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7BFDCC3A" w14:textId="77777777">
            <w:r w:rsidRPr="00D31ECA">
              <w:t>$68,997 </w:t>
            </w:r>
          </w:p>
        </w:tc>
      </w:tr>
      <w:tr w14:paraId="561018E9" w14:textId="77777777" w:rsidTr="00423A83">
        <w:tblPrEx>
          <w:tblW w:w="10259" w:type="dxa"/>
          <w:tblInd w:w="-915" w:type="dxa"/>
          <w:tblLayout w:type="fixed"/>
          <w:tblCellMar>
            <w:left w:w="0" w:type="dxa"/>
            <w:right w:w="0" w:type="dxa"/>
          </w:tblCellMar>
          <w:tblLook w:val="04A0"/>
        </w:tblPrEx>
        <w:trPr>
          <w:trHeight w:val="300"/>
        </w:trPr>
        <w:tc>
          <w:tcPr>
            <w:tcW w:w="1312"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187BC40A" w14:textId="77777777">
            <w:r w:rsidRPr="00D31ECA">
              <w:t>Rate Filings </w:t>
            </w:r>
          </w:p>
        </w:tc>
        <w:tc>
          <w:tcPr>
            <w:tcW w:w="1509"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5F1C8335" w14:textId="77777777">
            <w:r w:rsidRPr="00D31ECA">
              <w:t>19 </w:t>
            </w:r>
          </w:p>
        </w:tc>
        <w:tc>
          <w:tcPr>
            <w:tcW w:w="1236"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63E25E58" w14:textId="77777777">
            <w:r w:rsidRPr="00D31ECA">
              <w:t>2 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7E4A4ADA" w14:textId="77777777">
            <w:r w:rsidRPr="00D31ECA">
              <w:t>38 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03269B30" w14:textId="77777777">
            <w:r w:rsidRPr="00D31ECA">
              <w:t>354 hrs.; </w:t>
            </w:r>
          </w:p>
          <w:p w:rsidR="00D31ECA" w:rsidRPr="00D31ECA" w:rsidP="00D31ECA" w14:paraId="7B1C3C01" w14:textId="77777777">
            <w:r w:rsidRPr="00D31ECA">
              <w:t>$38,586 </w:t>
            </w:r>
          </w:p>
        </w:tc>
        <w:tc>
          <w:tcPr>
            <w:tcW w:w="2003"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0536DBB8" w14:textId="77777777">
            <w:r w:rsidRPr="00D31ECA">
              <w:t>13,452 hrs.; </w:t>
            </w:r>
          </w:p>
          <w:p w:rsidR="00D31ECA" w:rsidRPr="00D31ECA" w:rsidP="00D31ECA" w14:paraId="2497D4DF" w14:textId="77777777">
            <w:r w:rsidRPr="00D31ECA">
              <w:t>$1,466,268 </w:t>
            </w:r>
          </w:p>
        </w:tc>
        <w:tc>
          <w:tcPr>
            <w:tcW w:w="1409"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6FCE3D3C" w14:textId="77777777">
            <w:r w:rsidRPr="00D31ECA">
              <w:t>$77,172 </w:t>
            </w:r>
          </w:p>
        </w:tc>
      </w:tr>
      <w:tr w14:paraId="7B83794F" w14:textId="77777777" w:rsidTr="00423A83">
        <w:tblPrEx>
          <w:tblW w:w="10259" w:type="dxa"/>
          <w:tblInd w:w="-915" w:type="dxa"/>
          <w:tblLayout w:type="fixed"/>
          <w:tblCellMar>
            <w:left w:w="0" w:type="dxa"/>
            <w:right w:w="0" w:type="dxa"/>
          </w:tblCellMar>
          <w:tblLook w:val="04A0"/>
        </w:tblPrEx>
        <w:trPr>
          <w:trHeight w:val="300"/>
        </w:trPr>
        <w:tc>
          <w:tcPr>
            <w:tcW w:w="1312"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4298950F" w14:textId="77777777">
            <w:r w:rsidRPr="00D31ECA">
              <w:t>Informational Reports </w:t>
            </w:r>
          </w:p>
        </w:tc>
        <w:tc>
          <w:tcPr>
            <w:tcW w:w="1509"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729B484C" w14:textId="77777777">
            <w:r w:rsidRPr="00D31ECA">
              <w:t>80 </w:t>
            </w:r>
          </w:p>
        </w:tc>
        <w:tc>
          <w:tcPr>
            <w:tcW w:w="1236"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4A31825F" w14:textId="77777777">
            <w:r w:rsidRPr="00D31ECA">
              <w:t>2 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68634C9A" w14:textId="77777777">
            <w:r w:rsidRPr="00D31ECA">
              <w:t>160 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447EA4D5" w14:textId="77777777">
            <w:r w:rsidRPr="00D31ECA">
              <w:t>235 hrs.; </w:t>
            </w:r>
          </w:p>
          <w:p w:rsidR="00D31ECA" w:rsidRPr="00D31ECA" w:rsidP="00D31ECA" w14:paraId="49866701" w14:textId="77777777">
            <w:r w:rsidRPr="00D31ECA">
              <w:t>$25,615  </w:t>
            </w:r>
          </w:p>
        </w:tc>
        <w:tc>
          <w:tcPr>
            <w:tcW w:w="2003"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442A7338" w14:textId="77777777">
            <w:r w:rsidRPr="00D31ECA">
              <w:t>37,600 hrs.; </w:t>
            </w:r>
          </w:p>
          <w:p w:rsidR="00D31ECA" w:rsidRPr="00D31ECA" w:rsidP="00D31ECA" w14:paraId="2B930DBA" w14:textId="77777777">
            <w:r w:rsidRPr="00D31ECA">
              <w:t>$4,098,400 </w:t>
            </w:r>
          </w:p>
        </w:tc>
        <w:tc>
          <w:tcPr>
            <w:tcW w:w="1409"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43825F01" w14:textId="77777777">
            <w:r w:rsidRPr="00D31ECA">
              <w:t>$51,230 </w:t>
            </w:r>
          </w:p>
        </w:tc>
      </w:tr>
      <w:tr w14:paraId="2E62CB07" w14:textId="77777777" w:rsidTr="00423A83">
        <w:tblPrEx>
          <w:tblW w:w="10259" w:type="dxa"/>
          <w:tblInd w:w="-915" w:type="dxa"/>
          <w:tblLayout w:type="fixed"/>
          <w:tblCellMar>
            <w:left w:w="0" w:type="dxa"/>
            <w:right w:w="0" w:type="dxa"/>
          </w:tblCellMar>
          <w:tblLook w:val="04A0"/>
        </w:tblPrEx>
        <w:trPr>
          <w:trHeight w:val="480"/>
        </w:trPr>
        <w:tc>
          <w:tcPr>
            <w:tcW w:w="1312"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7DD1C4A1" w14:textId="77777777">
            <w:r w:rsidRPr="00D31ECA">
              <w:t>Negotiated Rates &amp; Non-Conforming Agreement Filings </w:t>
            </w:r>
          </w:p>
        </w:tc>
        <w:tc>
          <w:tcPr>
            <w:tcW w:w="1509"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73715B48" w14:textId="77777777">
            <w:r w:rsidRPr="00D31ECA">
              <w:t>75 </w:t>
            </w:r>
          </w:p>
        </w:tc>
        <w:tc>
          <w:tcPr>
            <w:tcW w:w="1236"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5EC7D0AA" w14:textId="77777777">
            <w:r w:rsidRPr="00D31ECA">
              <w:t>8 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329CFF2C" w14:textId="77777777">
            <w:r w:rsidRPr="00D31ECA">
              <w:t>600 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4BF606A9" w14:textId="77777777">
            <w:r w:rsidRPr="00D31ECA">
              <w:t>233 hrs.; </w:t>
            </w:r>
          </w:p>
          <w:p w:rsidR="00D31ECA" w:rsidRPr="00D31ECA" w:rsidP="00D31ECA" w14:paraId="386A6CC4" w14:textId="77777777">
            <w:r w:rsidRPr="00D31ECA">
              <w:t>$25,397 </w:t>
            </w:r>
          </w:p>
        </w:tc>
        <w:tc>
          <w:tcPr>
            <w:tcW w:w="2003"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65DB8034" w14:textId="77777777">
            <w:r w:rsidRPr="00D31ECA">
              <w:t>139,800 hrs.; </w:t>
            </w:r>
          </w:p>
          <w:p w:rsidR="00D31ECA" w:rsidRPr="00D31ECA" w:rsidP="00D31ECA" w14:paraId="30D24566" w14:textId="77777777">
            <w:r w:rsidRPr="00D31ECA">
              <w:t>$15,238,200 </w:t>
            </w:r>
          </w:p>
        </w:tc>
        <w:tc>
          <w:tcPr>
            <w:tcW w:w="1409"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0DBD3339" w14:textId="77777777">
            <w:r w:rsidRPr="00D31ECA">
              <w:t>$203,176 </w:t>
            </w:r>
          </w:p>
        </w:tc>
      </w:tr>
      <w:tr w14:paraId="42DEE698" w14:textId="77777777" w:rsidTr="00423A83">
        <w:tblPrEx>
          <w:tblW w:w="10259" w:type="dxa"/>
          <w:tblInd w:w="-915" w:type="dxa"/>
          <w:tblLayout w:type="fixed"/>
          <w:tblCellMar>
            <w:left w:w="0" w:type="dxa"/>
            <w:right w:w="0" w:type="dxa"/>
          </w:tblCellMar>
          <w:tblLook w:val="04A0"/>
        </w:tblPrEx>
        <w:trPr>
          <w:trHeight w:val="480"/>
        </w:trPr>
        <w:tc>
          <w:tcPr>
            <w:tcW w:w="1312"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1F13A3A9" w14:textId="77777777">
            <w:r w:rsidRPr="00D31ECA">
              <w:t>Market-Base Rates for Storage Filings </w:t>
            </w:r>
          </w:p>
        </w:tc>
        <w:tc>
          <w:tcPr>
            <w:tcW w:w="1509"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4F7A553F" w14:textId="77777777">
            <w:r w:rsidRPr="00D31ECA">
              <w:t>2 </w:t>
            </w:r>
          </w:p>
        </w:tc>
        <w:tc>
          <w:tcPr>
            <w:tcW w:w="1236"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23253D56" w14:textId="77777777">
            <w:r w:rsidRPr="00D31ECA">
              <w:t>1 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66AED1D9" w14:textId="77777777">
            <w:r w:rsidRPr="00D31ECA">
              <w:t>2 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5BB56838" w14:textId="77777777">
            <w:r w:rsidRPr="00D31ECA">
              <w:t>230 hrs.; </w:t>
            </w:r>
          </w:p>
          <w:p w:rsidR="00D31ECA" w:rsidRPr="00D31ECA" w:rsidP="00D31ECA" w14:paraId="596C05E2" w14:textId="77777777">
            <w:r w:rsidRPr="00D31ECA">
              <w:t>$25,070  </w:t>
            </w:r>
          </w:p>
        </w:tc>
        <w:tc>
          <w:tcPr>
            <w:tcW w:w="2003"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202A8B44" w14:textId="77777777">
            <w:r w:rsidRPr="00D31ECA">
              <w:t>460 hrs.; </w:t>
            </w:r>
          </w:p>
          <w:p w:rsidR="00D31ECA" w:rsidRPr="00D31ECA" w:rsidP="00D31ECA" w14:paraId="1B2D7337" w14:textId="77777777">
            <w:r w:rsidRPr="00D31ECA">
              <w:t>$50,140  </w:t>
            </w:r>
          </w:p>
        </w:tc>
        <w:tc>
          <w:tcPr>
            <w:tcW w:w="1409"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39A9D1B5" w14:textId="77777777">
            <w:r w:rsidRPr="00D31ECA">
              <w:t>$25,070  </w:t>
            </w:r>
          </w:p>
        </w:tc>
      </w:tr>
      <w:tr w14:paraId="359C16BD" w14:textId="77777777" w:rsidTr="00423A83">
        <w:tblPrEx>
          <w:tblW w:w="10259" w:type="dxa"/>
          <w:tblInd w:w="-915" w:type="dxa"/>
          <w:tblLayout w:type="fixed"/>
          <w:tblCellMar>
            <w:left w:w="0" w:type="dxa"/>
            <w:right w:w="0" w:type="dxa"/>
          </w:tblCellMar>
          <w:tblLook w:val="04A0"/>
        </w:tblPrEx>
        <w:trPr>
          <w:trHeight w:val="480"/>
        </w:trPr>
        <w:tc>
          <w:tcPr>
            <w:tcW w:w="1312" w:type="dxa"/>
            <w:tcBorders>
              <w:top w:val="single" w:sz="6" w:space="0" w:color="auto"/>
              <w:left w:val="single" w:sz="6" w:space="0" w:color="auto"/>
              <w:bottom w:val="single" w:sz="6" w:space="0" w:color="auto"/>
              <w:right w:val="single" w:sz="6" w:space="0" w:color="auto"/>
            </w:tcBorders>
            <w:shd w:val="clear" w:color="auto" w:fill="auto"/>
          </w:tcPr>
          <w:p w:rsidR="000E3930" w:rsidRPr="00D31ECA" w:rsidP="00D31ECA" w14:paraId="4835FD50" w14:textId="5D69EC7D">
            <w:r>
              <w:t>Section 4 Rate Cases</w:t>
            </w:r>
          </w:p>
        </w:tc>
        <w:tc>
          <w:tcPr>
            <w:tcW w:w="1509" w:type="dxa"/>
            <w:tcBorders>
              <w:top w:val="single" w:sz="6" w:space="0" w:color="auto"/>
              <w:left w:val="single" w:sz="6" w:space="0" w:color="auto"/>
              <w:bottom w:val="single" w:sz="6" w:space="0" w:color="auto"/>
              <w:right w:val="single" w:sz="6" w:space="0" w:color="auto"/>
            </w:tcBorders>
            <w:shd w:val="clear" w:color="auto" w:fill="auto"/>
          </w:tcPr>
          <w:p w:rsidR="000E3930" w:rsidP="00D31ECA" w14:paraId="5A43C824" w14:textId="1826E3CA">
            <w:r>
              <w:t>8</w:t>
            </w:r>
          </w:p>
        </w:tc>
        <w:tc>
          <w:tcPr>
            <w:tcW w:w="1236" w:type="dxa"/>
            <w:tcBorders>
              <w:top w:val="single" w:sz="6" w:space="0" w:color="auto"/>
              <w:left w:val="single" w:sz="6" w:space="0" w:color="auto"/>
              <w:bottom w:val="single" w:sz="6" w:space="0" w:color="auto"/>
              <w:right w:val="single" w:sz="6" w:space="0" w:color="auto"/>
            </w:tcBorders>
            <w:shd w:val="clear" w:color="auto" w:fill="auto"/>
          </w:tcPr>
          <w:p w:rsidR="000E3930" w:rsidRPr="00D31ECA" w:rsidP="00D31ECA" w14:paraId="7562045C" w14:textId="5B70996B">
            <w:r>
              <w:t>1</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E3930" w:rsidP="00D31ECA" w14:paraId="4C4E4438" w14:textId="061693CC">
            <w:r>
              <w:t>8</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DD55D8" w:rsidP="00D31ECA" w14:paraId="2EBF288D" w14:textId="77777777">
            <w:r>
              <w:t xml:space="preserve">100 hrs. </w:t>
            </w:r>
          </w:p>
          <w:p w:rsidR="000E3930" w:rsidRPr="00D31ECA" w:rsidP="00D31ECA" w14:paraId="719BE97D" w14:textId="65972066">
            <w:r>
              <w:t>$</w:t>
            </w:r>
            <w:r w:rsidRPr="0017490C" w:rsidR="0017490C">
              <w:t>10,900</w:t>
            </w:r>
          </w:p>
        </w:tc>
        <w:tc>
          <w:tcPr>
            <w:tcW w:w="2003" w:type="dxa"/>
            <w:tcBorders>
              <w:top w:val="single" w:sz="6" w:space="0" w:color="auto"/>
              <w:left w:val="single" w:sz="6" w:space="0" w:color="auto"/>
              <w:bottom w:val="single" w:sz="6" w:space="0" w:color="auto"/>
              <w:right w:val="single" w:sz="6" w:space="0" w:color="auto"/>
            </w:tcBorders>
            <w:shd w:val="clear" w:color="auto" w:fill="auto"/>
          </w:tcPr>
          <w:p w:rsidR="00DD55D8" w:rsidP="00D31ECA" w14:paraId="3243CDC1" w14:textId="77777777">
            <w:r>
              <w:t xml:space="preserve">800 hrs. </w:t>
            </w:r>
          </w:p>
          <w:p w:rsidR="000E3930" w:rsidP="00D31ECA" w14:paraId="055955C0" w14:textId="4E6C6647">
            <w:r>
              <w:t>$</w:t>
            </w:r>
            <w:r w:rsidRPr="0017490C">
              <w:t>87,200</w:t>
            </w:r>
          </w:p>
        </w:tc>
        <w:tc>
          <w:tcPr>
            <w:tcW w:w="1409" w:type="dxa"/>
            <w:tcBorders>
              <w:top w:val="single" w:sz="6" w:space="0" w:color="auto"/>
              <w:left w:val="single" w:sz="6" w:space="0" w:color="auto"/>
              <w:bottom w:val="single" w:sz="6" w:space="0" w:color="auto"/>
              <w:right w:val="single" w:sz="6" w:space="0" w:color="auto"/>
            </w:tcBorders>
            <w:shd w:val="clear" w:color="auto" w:fill="auto"/>
          </w:tcPr>
          <w:p w:rsidR="000E3930" w:rsidRPr="00D31ECA" w:rsidP="00D31ECA" w14:paraId="4F3B6B9C" w14:textId="28C4CC95">
            <w:r>
              <w:t>$</w:t>
            </w:r>
            <w:r w:rsidRPr="0017490C">
              <w:t>10,900</w:t>
            </w:r>
          </w:p>
        </w:tc>
      </w:tr>
      <w:tr w14:paraId="5B7BED0C" w14:textId="77777777" w:rsidTr="00423A83">
        <w:tblPrEx>
          <w:tblW w:w="10259" w:type="dxa"/>
          <w:tblInd w:w="-915" w:type="dxa"/>
          <w:tblLayout w:type="fixed"/>
          <w:tblCellMar>
            <w:left w:w="0" w:type="dxa"/>
            <w:right w:w="0" w:type="dxa"/>
          </w:tblCellMar>
          <w:tblLook w:val="04A0"/>
        </w:tblPrEx>
        <w:trPr>
          <w:trHeight w:val="480"/>
        </w:trPr>
        <w:tc>
          <w:tcPr>
            <w:tcW w:w="1312"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7C4126E3" w14:textId="602016BF">
            <w:r w:rsidRPr="00D31ECA">
              <w:t xml:space="preserve">NAESB (version </w:t>
            </w:r>
            <w:r w:rsidR="003A3B31">
              <w:t>4.0</w:t>
            </w:r>
            <w:r w:rsidRPr="00D31ECA">
              <w:t>) carried over from RM96-1-04</w:t>
            </w:r>
            <w:r w:rsidR="0017490C">
              <w:t>2</w:t>
            </w:r>
            <w:r>
              <w:rPr>
                <w:rStyle w:val="FootnoteReference"/>
              </w:rPr>
              <w:footnoteReference w:id="15"/>
            </w:r>
            <w:r w:rsidRPr="00D31ECA">
              <w:t> </w:t>
            </w:r>
          </w:p>
        </w:tc>
        <w:tc>
          <w:tcPr>
            <w:tcW w:w="1509"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6A7DD237" w14:textId="250894A5">
            <w:r>
              <w:t>193</w:t>
            </w:r>
            <w:r w:rsidRPr="00D31ECA">
              <w:t> </w:t>
            </w:r>
          </w:p>
        </w:tc>
        <w:tc>
          <w:tcPr>
            <w:tcW w:w="1236"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77F67CA4" w14:textId="77777777">
            <w:r w:rsidRPr="00D31ECA">
              <w:t>1 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461898AA" w14:textId="553B52E9">
            <w:r>
              <w:t>193</w:t>
            </w:r>
            <w:r w:rsidRPr="00D31ECA">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38A5799D" w14:textId="77777777">
            <w:r w:rsidRPr="00D31ECA">
              <w:t>10 hrs.; </w:t>
            </w:r>
          </w:p>
          <w:p w:rsidR="00D31ECA" w:rsidRPr="00D31ECA" w:rsidP="00D31ECA" w14:paraId="3F375D4B" w14:textId="5FE88DBC">
            <w:r w:rsidRPr="00D31ECA">
              <w:t> $1,</w:t>
            </w:r>
            <w:r w:rsidR="00D16F61">
              <w:t>110</w:t>
            </w:r>
            <w:r w:rsidRPr="00D31ECA">
              <w:t> </w:t>
            </w:r>
          </w:p>
        </w:tc>
        <w:tc>
          <w:tcPr>
            <w:tcW w:w="2003"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4A02D73E" w14:textId="4061D554">
            <w:r>
              <w:t>1,930</w:t>
            </w:r>
            <w:r w:rsidRPr="00D31ECA">
              <w:t xml:space="preserve"> hrs.; $</w:t>
            </w:r>
            <w:r w:rsidR="006E16B2">
              <w:t>214,230</w:t>
            </w:r>
            <w:r w:rsidRPr="00D31ECA">
              <w:t> </w:t>
            </w:r>
          </w:p>
        </w:tc>
        <w:tc>
          <w:tcPr>
            <w:tcW w:w="1409"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6A084CEC" w14:textId="0441C213">
            <w:r w:rsidRPr="00D31ECA">
              <w:t>$1,</w:t>
            </w:r>
            <w:r w:rsidR="003A497C">
              <w:t>110</w:t>
            </w:r>
            <w:r w:rsidRPr="00D31ECA">
              <w:t> </w:t>
            </w:r>
          </w:p>
        </w:tc>
      </w:tr>
      <w:tr w14:paraId="3DFD7FF5" w14:textId="77777777" w:rsidTr="00423A83">
        <w:tblPrEx>
          <w:tblW w:w="10259" w:type="dxa"/>
          <w:tblInd w:w="-915" w:type="dxa"/>
          <w:tblLayout w:type="fixed"/>
          <w:tblCellMar>
            <w:left w:w="0" w:type="dxa"/>
            <w:right w:w="0" w:type="dxa"/>
          </w:tblCellMar>
          <w:tblLook w:val="04A0"/>
        </w:tblPrEx>
        <w:trPr>
          <w:trHeight w:val="480"/>
        </w:trPr>
        <w:tc>
          <w:tcPr>
            <w:tcW w:w="1312"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3C41D41B" w14:textId="3758BFD4">
            <w:r w:rsidRPr="00D31ECA">
              <w:t>Labor-Wage Policy</w:t>
            </w:r>
            <w:r>
              <w:rPr>
                <w:rStyle w:val="FootnoteReference"/>
              </w:rPr>
              <w:footnoteReference w:id="16"/>
            </w:r>
            <w:r w:rsidRPr="0068251A">
              <w:rPr>
                <w:vertAlign w:val="superscript"/>
              </w:rPr>
              <w:t> </w:t>
            </w:r>
          </w:p>
        </w:tc>
        <w:tc>
          <w:tcPr>
            <w:tcW w:w="1509"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4472D51E" w14:textId="77777777">
            <w:r w:rsidRPr="00D31ECA">
              <w:t>11 </w:t>
            </w:r>
          </w:p>
        </w:tc>
        <w:tc>
          <w:tcPr>
            <w:tcW w:w="1236"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0466BA6A" w14:textId="77777777">
            <w:r w:rsidRPr="00D31ECA">
              <w:t>1 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740A382A" w14:textId="77777777">
            <w:r w:rsidRPr="00D31ECA">
              <w:t>11 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4719A449" w14:textId="77777777">
            <w:r w:rsidRPr="00D31ECA">
              <w:t>15 hrs.; </w:t>
            </w:r>
          </w:p>
          <w:p w:rsidR="00D31ECA" w:rsidRPr="00D31ECA" w:rsidP="00D31ECA" w14:paraId="3DC05644" w14:textId="77777777">
            <w:r w:rsidRPr="00D31ECA">
              <w:t>$1,635 </w:t>
            </w:r>
          </w:p>
        </w:tc>
        <w:tc>
          <w:tcPr>
            <w:tcW w:w="2003"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16BA4F10" w14:textId="77777777">
            <w:r w:rsidRPr="00D31ECA">
              <w:t>165 hrs.; </w:t>
            </w:r>
          </w:p>
          <w:p w:rsidR="00D31ECA" w:rsidRPr="00D31ECA" w:rsidP="00D31ECA" w14:paraId="0477E2EC" w14:textId="77777777">
            <w:r w:rsidRPr="00D31ECA">
              <w:t>$17,985 </w:t>
            </w:r>
          </w:p>
        </w:tc>
        <w:tc>
          <w:tcPr>
            <w:tcW w:w="1409"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06491D81" w14:textId="77777777">
            <w:r w:rsidRPr="00D31ECA">
              <w:t>$1,635 </w:t>
            </w:r>
          </w:p>
        </w:tc>
      </w:tr>
      <w:tr w14:paraId="2105A5DD" w14:textId="77777777" w:rsidTr="00423A83">
        <w:tblPrEx>
          <w:tblW w:w="10259" w:type="dxa"/>
          <w:tblInd w:w="-915" w:type="dxa"/>
          <w:tblLayout w:type="fixed"/>
          <w:tblCellMar>
            <w:left w:w="0" w:type="dxa"/>
            <w:right w:w="0" w:type="dxa"/>
          </w:tblCellMar>
          <w:tblLook w:val="04A0"/>
        </w:tblPrEx>
        <w:trPr>
          <w:trHeight w:val="480"/>
        </w:trPr>
        <w:tc>
          <w:tcPr>
            <w:tcW w:w="1312"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4122A648" w14:textId="77777777">
            <w:r w:rsidRPr="00D31ECA">
              <w:rPr>
                <w:b/>
                <w:bCs/>
              </w:rPr>
              <w:t>TOTAL</w:t>
            </w:r>
            <w:r w:rsidRPr="00D31ECA">
              <w:t> </w:t>
            </w:r>
          </w:p>
          <w:p w:rsidR="00D31ECA" w:rsidRPr="00D31ECA" w:rsidP="00D31ECA" w14:paraId="6951EE8C" w14:textId="3231A3BA"/>
        </w:tc>
        <w:tc>
          <w:tcPr>
            <w:tcW w:w="2745" w:type="dxa"/>
            <w:gridSpan w:val="2"/>
            <w:tcBorders>
              <w:top w:val="single" w:sz="6" w:space="0" w:color="auto"/>
              <w:left w:val="single" w:sz="6" w:space="0" w:color="auto"/>
              <w:bottom w:val="single" w:sz="6" w:space="0" w:color="auto"/>
              <w:right w:val="single" w:sz="6" w:space="0" w:color="auto"/>
            </w:tcBorders>
            <w:shd w:val="clear" w:color="auto" w:fill="D9D9D9"/>
            <w:hideMark/>
          </w:tcPr>
          <w:p w:rsidR="00D31ECA" w:rsidRPr="00D31ECA" w:rsidP="00D31ECA" w14:paraId="07395B43" w14:textId="77777777">
            <w:r w:rsidRPr="00D31ECA">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3E6ECA1E" w14:textId="69BEFC1C">
            <w:r w:rsidRPr="00D31ECA">
              <w:rPr>
                <w:b/>
                <w:bCs/>
              </w:rPr>
              <w:t>1,</w:t>
            </w:r>
            <w:r w:rsidR="003E5D80">
              <w:rPr>
                <w:b/>
                <w:bCs/>
              </w:rPr>
              <w:t>427</w:t>
            </w:r>
            <w:r w:rsidRPr="00D31ECA">
              <w:rPr>
                <w:b/>
                <w:bCs/>
              </w:rPr>
              <w:t xml:space="preserve"> (rounded)</w:t>
            </w:r>
            <w:r w:rsidRPr="00D31ECA">
              <w:t> </w:t>
            </w:r>
          </w:p>
        </w:tc>
        <w:tc>
          <w:tcPr>
            <w:tcW w:w="1350" w:type="dxa"/>
            <w:tcBorders>
              <w:top w:val="single" w:sz="6" w:space="0" w:color="auto"/>
              <w:left w:val="single" w:sz="6" w:space="0" w:color="auto"/>
              <w:bottom w:val="single" w:sz="6" w:space="0" w:color="auto"/>
              <w:right w:val="single" w:sz="6" w:space="0" w:color="auto"/>
            </w:tcBorders>
            <w:shd w:val="clear" w:color="auto" w:fill="D9D9D9"/>
            <w:hideMark/>
          </w:tcPr>
          <w:p w:rsidR="00D31ECA" w:rsidRPr="00D31ECA" w:rsidP="00D31ECA" w14:paraId="3B4CC441" w14:textId="77777777">
            <w:r w:rsidRPr="00D31ECA">
              <w:t> </w:t>
            </w:r>
          </w:p>
        </w:tc>
        <w:tc>
          <w:tcPr>
            <w:tcW w:w="2003" w:type="dxa"/>
            <w:tcBorders>
              <w:top w:val="single" w:sz="6" w:space="0" w:color="auto"/>
              <w:left w:val="single" w:sz="6" w:space="0" w:color="auto"/>
              <w:bottom w:val="single" w:sz="6" w:space="0" w:color="auto"/>
              <w:right w:val="single" w:sz="6" w:space="0" w:color="auto"/>
            </w:tcBorders>
            <w:shd w:val="clear" w:color="auto" w:fill="auto"/>
            <w:hideMark/>
          </w:tcPr>
          <w:p w:rsidR="00D31ECA" w:rsidRPr="00D31ECA" w:rsidP="00D31ECA" w14:paraId="0B11C5E9" w14:textId="5EDABAA0">
            <w:r w:rsidRPr="00D31ECA">
              <w:rPr>
                <w:b/>
                <w:bCs/>
              </w:rPr>
              <w:t>28</w:t>
            </w:r>
            <w:r w:rsidR="00480D32">
              <w:rPr>
                <w:b/>
                <w:bCs/>
              </w:rPr>
              <w:t>2,660</w:t>
            </w:r>
            <w:r w:rsidRPr="00D31ECA">
              <w:rPr>
                <w:b/>
                <w:bCs/>
              </w:rPr>
              <w:t xml:space="preserve"> hrs. (rounded);</w:t>
            </w:r>
            <w:r w:rsidRPr="00D31ECA">
              <w:t> </w:t>
            </w:r>
          </w:p>
          <w:p w:rsidR="00D31ECA" w:rsidRPr="00D31ECA" w:rsidP="00D31ECA" w14:paraId="43E23C62" w14:textId="2E0037B8">
            <w:r w:rsidRPr="00D31ECA">
              <w:rPr>
                <w:b/>
                <w:bCs/>
              </w:rPr>
              <w:t>$30,</w:t>
            </w:r>
            <w:r w:rsidR="00D93DEB">
              <w:rPr>
                <w:b/>
                <w:bCs/>
              </w:rPr>
              <w:t>813</w:t>
            </w:r>
            <w:r w:rsidRPr="00D31ECA">
              <w:rPr>
                <w:b/>
                <w:bCs/>
              </w:rPr>
              <w:t>,</w:t>
            </w:r>
            <w:r w:rsidR="00D93DEB">
              <w:rPr>
                <w:b/>
                <w:bCs/>
              </w:rPr>
              <w:t>800</w:t>
            </w:r>
            <w:r w:rsidRPr="00D31ECA">
              <w:t> </w:t>
            </w:r>
          </w:p>
        </w:tc>
        <w:tc>
          <w:tcPr>
            <w:tcW w:w="1409" w:type="dxa"/>
            <w:tcBorders>
              <w:top w:val="single" w:sz="6" w:space="0" w:color="auto"/>
              <w:left w:val="single" w:sz="6" w:space="0" w:color="auto"/>
              <w:bottom w:val="single" w:sz="6" w:space="0" w:color="auto"/>
              <w:right w:val="single" w:sz="6" w:space="0" w:color="auto"/>
            </w:tcBorders>
            <w:shd w:val="clear" w:color="auto" w:fill="D9D9D9"/>
            <w:hideMark/>
          </w:tcPr>
          <w:p w:rsidR="00D31ECA" w:rsidRPr="00D31ECA" w:rsidP="00D31ECA" w14:paraId="5933530B" w14:textId="77777777">
            <w:r w:rsidRPr="00D31ECA">
              <w:t> </w:t>
            </w:r>
          </w:p>
        </w:tc>
      </w:tr>
    </w:tbl>
    <w:p w:rsidR="00D31ECA" w:rsidRPr="005E5E83" w:rsidP="007502D4" w14:paraId="6C9E89CD" w14:textId="77777777"/>
    <w:p w:rsidR="00F90719" w:rsidRPr="00F33E3A" w:rsidP="00F90719" w14:paraId="7D8DABE0" w14:textId="77777777">
      <w:pPr>
        <w:pStyle w:val="FERCparanumber"/>
        <w:numPr>
          <w:ilvl w:val="0"/>
          <w:numId w:val="0"/>
        </w:numPr>
      </w:pPr>
    </w:p>
    <w:p w:rsidR="00BC15BE" w:rsidRPr="005E5E83" w:rsidP="00BC15BE" w14:paraId="2D5A5365" w14:textId="77777777">
      <w:pPr>
        <w:pStyle w:val="Level1"/>
        <w:rPr>
          <w:b/>
          <w:sz w:val="26"/>
        </w:rPr>
      </w:pPr>
      <w:r w:rsidRPr="005E5E83">
        <w:rPr>
          <w:b/>
          <w:sz w:val="26"/>
        </w:rPr>
        <w:t>ESTIMATE OF THE TOTAL ANNUAL COST BURDEN TO RESPONDENTS</w:t>
      </w:r>
    </w:p>
    <w:p w:rsidR="008F65E6" w:rsidRPr="005E5E83" w:rsidP="00BC15BE" w14:paraId="42F2561B" w14:textId="77777777"/>
    <w:p w:rsidR="00BC15BE" w:rsidRPr="005E5E83" w:rsidP="00BC15BE" w14:paraId="65DE3541" w14:textId="7E685D58">
      <w:r w:rsidRPr="005E5E83">
        <w:t xml:space="preserve">There are no capital or start-up costs for </w:t>
      </w:r>
      <w:r w:rsidRPr="005E5E83" w:rsidR="003808AD">
        <w:t xml:space="preserve">FERC-545. </w:t>
      </w:r>
      <w:r w:rsidRPr="005E5E83" w:rsidR="00397DBA">
        <w:t>All</w:t>
      </w:r>
      <w:r w:rsidRPr="005E5E83">
        <w:t xml:space="preserve"> the costs are related to burden hours and are detailed in </w:t>
      </w:r>
      <w:r w:rsidRPr="005E5E83" w:rsidR="00AC5B84">
        <w:t>Questions</w:t>
      </w:r>
      <w:r w:rsidRPr="005E5E83" w:rsidR="008611ED">
        <w:t xml:space="preserve"> </w:t>
      </w:r>
      <w:r w:rsidRPr="005E5E83" w:rsidR="00AC5B84">
        <w:t>#</w:t>
      </w:r>
      <w:r w:rsidRPr="005E5E83">
        <w:t xml:space="preserve">12 and </w:t>
      </w:r>
      <w:r w:rsidRPr="005E5E83" w:rsidR="00AC5B84">
        <w:t>#</w:t>
      </w:r>
      <w:r w:rsidRPr="005E5E83">
        <w:t>15.</w:t>
      </w:r>
    </w:p>
    <w:p w:rsidR="00F8150C" w:rsidRPr="005E5E83" w:rsidP="00BC15BE" w14:paraId="18ADEA96" w14:textId="77777777"/>
    <w:p w:rsidR="00BC15BE" w:rsidRPr="005E5E83" w:rsidP="00BC15BE" w14:paraId="630D4C84" w14:textId="77777777">
      <w:pPr>
        <w:pStyle w:val="Level1"/>
        <w:rPr>
          <w:b/>
          <w:sz w:val="26"/>
        </w:rPr>
      </w:pPr>
      <w:r w:rsidRPr="005E5E83">
        <w:rPr>
          <w:b/>
          <w:sz w:val="26"/>
        </w:rPr>
        <w:t>ESTIMATED ANNUALIZED COST TO FEDERAL GOVERNMENT</w:t>
      </w:r>
    </w:p>
    <w:p w:rsidR="002C118D" w:rsidRPr="005E5E83" w:rsidP="002C118D" w14:paraId="24E448B3" w14:textId="77777777"/>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48"/>
        <w:gridCol w:w="3101"/>
        <w:gridCol w:w="3196"/>
      </w:tblGrid>
      <w:tr w14:paraId="76270073" w14:textId="77777777" w:rsidTr="00573C31">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48" w:type="dxa"/>
            <w:shd w:val="clear" w:color="auto" w:fill="CCCCCC"/>
          </w:tcPr>
          <w:p w:rsidR="002C118D" w:rsidRPr="005E5E83" w:rsidP="008D4689" w14:paraId="64C5C7C1" w14:textId="77777777"/>
        </w:tc>
        <w:tc>
          <w:tcPr>
            <w:tcW w:w="3101" w:type="dxa"/>
            <w:shd w:val="clear" w:color="auto" w:fill="CCCCCC"/>
            <w:vAlign w:val="bottom"/>
          </w:tcPr>
          <w:p w:rsidR="002C118D" w:rsidRPr="005E5E83" w:rsidP="008D4689" w14:paraId="128D10F5" w14:textId="77777777">
            <w:pPr>
              <w:jc w:val="center"/>
              <w:rPr>
                <w:b/>
              </w:rPr>
            </w:pPr>
            <w:r w:rsidRPr="005E5E83">
              <w:rPr>
                <w:b/>
              </w:rPr>
              <w:t>Number of Hours or FTE’s</w:t>
            </w:r>
          </w:p>
        </w:tc>
        <w:tc>
          <w:tcPr>
            <w:tcW w:w="3196" w:type="dxa"/>
            <w:shd w:val="clear" w:color="auto" w:fill="CCCCCC"/>
            <w:vAlign w:val="bottom"/>
          </w:tcPr>
          <w:p w:rsidR="002C118D" w:rsidRPr="005E5E83" w:rsidP="008D4689" w14:paraId="48D03250" w14:textId="77777777">
            <w:pPr>
              <w:jc w:val="center"/>
              <w:rPr>
                <w:b/>
              </w:rPr>
            </w:pPr>
            <w:r w:rsidRPr="005E5E83">
              <w:rPr>
                <w:b/>
              </w:rPr>
              <w:t>Estimated Annual Federal Cost ($)</w:t>
            </w:r>
            <w:r>
              <w:rPr>
                <w:vertAlign w:val="superscript"/>
              </w:rPr>
              <w:footnoteReference w:id="17"/>
            </w:r>
            <w:r w:rsidRPr="005E5E83">
              <w:rPr>
                <w:b/>
              </w:rPr>
              <w:t xml:space="preserve"> </w:t>
            </w:r>
          </w:p>
        </w:tc>
      </w:tr>
      <w:tr w14:paraId="5823F039" w14:textId="77777777" w:rsidTr="00573C31">
        <w:tblPrEx>
          <w:tblW w:w="9445" w:type="dxa"/>
          <w:tblLook w:val="01E0"/>
        </w:tblPrEx>
        <w:tc>
          <w:tcPr>
            <w:tcW w:w="3148" w:type="dxa"/>
          </w:tcPr>
          <w:p w:rsidR="002C118D" w:rsidRPr="005E5E83" w:rsidP="0054752D" w14:paraId="5149305D" w14:textId="659DC968">
            <w:pPr>
              <w:jc w:val="right"/>
            </w:pPr>
            <w:r w:rsidRPr="005E5E83">
              <w:t>PRA</w:t>
            </w:r>
            <w:r>
              <w:rPr>
                <w:rStyle w:val="FootnoteReference"/>
                <w:szCs w:val="24"/>
              </w:rPr>
              <w:footnoteReference w:id="18"/>
            </w:r>
            <w:r w:rsidRPr="005E5E83">
              <w:t xml:space="preserve"> Administration Cost</w:t>
            </w:r>
            <w:r>
              <w:rPr>
                <w:vertAlign w:val="superscript"/>
              </w:rPr>
              <w:footnoteReference w:id="19"/>
            </w:r>
          </w:p>
        </w:tc>
        <w:tc>
          <w:tcPr>
            <w:tcW w:w="3101" w:type="dxa"/>
            <w:shd w:val="clear" w:color="auto" w:fill="FFFFFF"/>
            <w:vAlign w:val="bottom"/>
          </w:tcPr>
          <w:p w:rsidR="002C118D" w:rsidRPr="005E5E83" w:rsidP="008D4689" w14:paraId="7FD151E6" w14:textId="77777777">
            <w:pPr>
              <w:jc w:val="right"/>
            </w:pPr>
            <w:r w:rsidRPr="005E5E83">
              <w:t>-</w:t>
            </w:r>
          </w:p>
        </w:tc>
        <w:tc>
          <w:tcPr>
            <w:tcW w:w="3196" w:type="dxa"/>
            <w:vAlign w:val="bottom"/>
          </w:tcPr>
          <w:p w:rsidR="002C118D" w:rsidRPr="005E5E83" w:rsidP="008D4689" w14:paraId="1C3FD6E6" w14:textId="476AA94D">
            <w:pPr>
              <w:jc w:val="right"/>
            </w:pPr>
            <w:r w:rsidRPr="005E5E83">
              <w:t>$</w:t>
            </w:r>
            <w:r w:rsidRPr="005E5E83" w:rsidR="00FB3579">
              <w:t>8,</w:t>
            </w:r>
            <w:r w:rsidR="00592315">
              <w:t>3</w:t>
            </w:r>
            <w:r w:rsidRPr="005E5E83" w:rsidR="00FB3579">
              <w:t>9</w:t>
            </w:r>
            <w:r w:rsidR="00592315">
              <w:t>6</w:t>
            </w:r>
          </w:p>
        </w:tc>
      </w:tr>
      <w:tr w14:paraId="69BB6999" w14:textId="77777777" w:rsidTr="00573C31">
        <w:tblPrEx>
          <w:tblW w:w="9445" w:type="dxa"/>
          <w:tblLook w:val="01E0"/>
        </w:tblPrEx>
        <w:tc>
          <w:tcPr>
            <w:tcW w:w="3148" w:type="dxa"/>
            <w:vAlign w:val="bottom"/>
          </w:tcPr>
          <w:p w:rsidR="002E510C" w:rsidRPr="005E5E83" w:rsidP="008D4689" w14:paraId="75C39D29" w14:textId="508BB6FA">
            <w:pPr>
              <w:ind w:left="720"/>
              <w:jc w:val="right"/>
              <w:rPr>
                <w:i/>
              </w:rPr>
            </w:pPr>
            <w:r w:rsidRPr="005E5E83">
              <w:t>Data Processing and Analysis, Sub-Total</w:t>
            </w:r>
          </w:p>
        </w:tc>
        <w:tc>
          <w:tcPr>
            <w:tcW w:w="3101" w:type="dxa"/>
            <w:shd w:val="clear" w:color="auto" w:fill="FFFFFF" w:themeFill="background1"/>
            <w:vAlign w:val="bottom"/>
          </w:tcPr>
          <w:p w:rsidR="002E510C" w:rsidRPr="005E5E83" w:rsidP="008D4689" w14:paraId="6C7121A8" w14:textId="1F7EE5E5">
            <w:pPr>
              <w:jc w:val="right"/>
            </w:pPr>
            <w:r w:rsidRPr="005E5E83">
              <w:t>0.75</w:t>
            </w:r>
          </w:p>
        </w:tc>
        <w:tc>
          <w:tcPr>
            <w:tcW w:w="3196" w:type="dxa"/>
            <w:vAlign w:val="bottom"/>
          </w:tcPr>
          <w:p w:rsidR="002E510C" w:rsidRPr="005E5E83" w:rsidP="008D4689" w14:paraId="4B251C4C" w14:textId="29F469A4">
            <w:pPr>
              <w:jc w:val="right"/>
            </w:pPr>
            <w:r w:rsidRPr="005E5E83">
              <w:t>$</w:t>
            </w:r>
            <w:r w:rsidRPr="009147DD" w:rsidR="009147DD">
              <w:t>155,839.5</w:t>
            </w:r>
            <w:r w:rsidR="009147DD">
              <w:t>0</w:t>
            </w:r>
          </w:p>
        </w:tc>
      </w:tr>
      <w:tr w14:paraId="16E4597A" w14:textId="77777777">
        <w:tblPrEx>
          <w:tblW w:w="9445" w:type="dxa"/>
          <w:tblLook w:val="01E0"/>
        </w:tblPrEx>
        <w:tc>
          <w:tcPr>
            <w:tcW w:w="3148" w:type="dxa"/>
          </w:tcPr>
          <w:p w:rsidR="002E510C" w:rsidRPr="005E5E83" w:rsidP="008D4689" w14:paraId="55CEF231" w14:textId="0F969E6E">
            <w:pPr>
              <w:ind w:left="720"/>
              <w:jc w:val="right"/>
              <w:rPr>
                <w:i/>
              </w:rPr>
            </w:pPr>
            <w:r w:rsidRPr="005E5E83">
              <w:rPr>
                <w:b/>
              </w:rPr>
              <w:t>FERC Total for FERC-545</w:t>
            </w:r>
          </w:p>
        </w:tc>
        <w:tc>
          <w:tcPr>
            <w:tcW w:w="3101" w:type="dxa"/>
            <w:vAlign w:val="bottom"/>
          </w:tcPr>
          <w:p w:rsidR="002E510C" w:rsidRPr="005E5E83" w:rsidP="008D4689" w14:paraId="7F2E12F2" w14:textId="6156C8B7">
            <w:pPr>
              <w:jc w:val="right"/>
              <w:rPr>
                <w:i/>
              </w:rPr>
            </w:pPr>
          </w:p>
        </w:tc>
        <w:tc>
          <w:tcPr>
            <w:tcW w:w="3196" w:type="dxa"/>
            <w:vAlign w:val="bottom"/>
          </w:tcPr>
          <w:p w:rsidR="00FB3579" w:rsidRPr="005E5E83" w:rsidP="00FB3579" w14:paraId="2599C341" w14:textId="103EFF13">
            <w:pPr>
              <w:jc w:val="right"/>
            </w:pPr>
            <w:r w:rsidRPr="005E5E83">
              <w:t>$</w:t>
            </w:r>
            <w:r w:rsidRPr="00DB5D10" w:rsidR="00DB5D10">
              <w:t>164,235.5</w:t>
            </w:r>
            <w:r w:rsidR="00DB5D10">
              <w:t>0</w:t>
            </w:r>
          </w:p>
        </w:tc>
      </w:tr>
    </w:tbl>
    <w:p w:rsidR="00BC15BE" w:rsidRPr="005E5E83" w:rsidP="00BC15BE" w14:paraId="2ED17E47" w14:textId="77777777"/>
    <w:p w:rsidR="00AC5B84" w:rsidRPr="005E5E83" w:rsidP="00AC5B84" w14:paraId="116A3679" w14:textId="229E72D9">
      <w:pPr>
        <w:pStyle w:val="Level1"/>
        <w:rPr>
          <w:b/>
          <w:sz w:val="26"/>
        </w:rPr>
      </w:pPr>
      <w:r w:rsidRPr="005E5E83">
        <w:rPr>
          <w:b/>
          <w:sz w:val="26"/>
        </w:rPr>
        <w:t>REASONS FOR CHANGES IN BURDEN INCLUDING THE NEED FOR ANY INCREASE</w:t>
      </w:r>
    </w:p>
    <w:p w:rsidR="00681600" w:rsidP="006B015E" w14:paraId="417125CF" w14:textId="14070B3C">
      <w:pPr>
        <w:rPr>
          <w:b/>
          <w:bCs/>
        </w:rPr>
      </w:pPr>
    </w:p>
    <w:p w:rsidR="00922E11" w:rsidRPr="000F585F" w:rsidP="006B015E" w14:paraId="5D8B77AE" w14:textId="38565D5F">
      <w:r w:rsidRPr="000F585F">
        <w:t>The decrease in burden is due to a change in estimate</w:t>
      </w:r>
      <w:r w:rsidRPr="000F585F" w:rsidR="00C47B91">
        <w:t xml:space="preserve"> because of normal changes in the industry. The Commission has received less filings than what was previously approved under the last renewal and </w:t>
      </w:r>
      <w:r w:rsidRPr="000F585F" w:rsidR="000F585F">
        <w:t xml:space="preserve">is revising its estimates based on more current numbers. </w:t>
      </w:r>
    </w:p>
    <w:p w:rsidR="002C118D" w:rsidRPr="005E5E83" w:rsidP="002C118D" w14:paraId="2A77D060" w14:textId="77777777"/>
    <w:tbl>
      <w:tblPr>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957"/>
      </w:tblGrid>
      <w:tr w14:paraId="5CE990D0" w14:textId="77777777" w:rsidTr="003F1AE2">
        <w:tblPrEx>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tcBorders>
              <w:bottom w:val="single" w:sz="4" w:space="0" w:color="auto"/>
            </w:tcBorders>
            <w:shd w:val="clear" w:color="auto" w:fill="D9D9D9"/>
            <w:vAlign w:val="bottom"/>
          </w:tcPr>
          <w:p w:rsidR="002C118D" w:rsidRPr="005E5E83" w:rsidP="008D4689" w14:paraId="5181CF69" w14:textId="77777777">
            <w:pPr>
              <w:jc w:val="center"/>
              <w:rPr>
                <w:rFonts w:eastAsia="Calibri"/>
                <w:b/>
              </w:rPr>
            </w:pPr>
          </w:p>
        </w:tc>
        <w:tc>
          <w:tcPr>
            <w:tcW w:w="1461" w:type="dxa"/>
            <w:tcBorders>
              <w:bottom w:val="single" w:sz="4" w:space="0" w:color="auto"/>
            </w:tcBorders>
            <w:shd w:val="clear" w:color="auto" w:fill="D9D9D9"/>
            <w:vAlign w:val="bottom"/>
          </w:tcPr>
          <w:p w:rsidR="002C118D" w:rsidRPr="005E5E83" w:rsidP="008D4689" w14:paraId="7BFED57E" w14:textId="77777777">
            <w:pPr>
              <w:jc w:val="center"/>
              <w:rPr>
                <w:rFonts w:eastAsia="Calibri"/>
                <w:b/>
              </w:rPr>
            </w:pPr>
            <w:r w:rsidRPr="005E5E83">
              <w:rPr>
                <w:rFonts w:eastAsia="Calibri"/>
                <w:b/>
              </w:rPr>
              <w:t>Total Request</w:t>
            </w:r>
          </w:p>
        </w:tc>
        <w:tc>
          <w:tcPr>
            <w:tcW w:w="1620" w:type="dxa"/>
            <w:tcBorders>
              <w:bottom w:val="single" w:sz="4" w:space="0" w:color="auto"/>
            </w:tcBorders>
            <w:shd w:val="clear" w:color="auto" w:fill="D9D9D9"/>
            <w:vAlign w:val="bottom"/>
          </w:tcPr>
          <w:p w:rsidR="002C118D" w:rsidRPr="005E5E83" w:rsidP="008D4689" w14:paraId="7A51479E" w14:textId="77777777">
            <w:pPr>
              <w:jc w:val="center"/>
              <w:rPr>
                <w:rFonts w:eastAsia="Calibri"/>
                <w:b/>
              </w:rPr>
            </w:pPr>
            <w:r w:rsidRPr="005E5E83">
              <w:rPr>
                <w:rFonts w:eastAsia="Calibri"/>
                <w:b/>
              </w:rPr>
              <w:t>Previously Approved</w:t>
            </w:r>
          </w:p>
        </w:tc>
        <w:tc>
          <w:tcPr>
            <w:tcW w:w="1800" w:type="dxa"/>
            <w:tcBorders>
              <w:bottom w:val="single" w:sz="4" w:space="0" w:color="auto"/>
            </w:tcBorders>
            <w:shd w:val="clear" w:color="auto" w:fill="D9D9D9"/>
            <w:vAlign w:val="bottom"/>
          </w:tcPr>
          <w:p w:rsidR="002C118D" w:rsidRPr="005E5E83" w:rsidP="008D4689" w14:paraId="1B357A8D" w14:textId="77777777">
            <w:pPr>
              <w:jc w:val="center"/>
              <w:rPr>
                <w:rFonts w:eastAsia="Calibri"/>
                <w:b/>
              </w:rPr>
            </w:pPr>
            <w:r w:rsidRPr="005E5E83">
              <w:rPr>
                <w:rFonts w:eastAsia="Calibri"/>
                <w:b/>
              </w:rPr>
              <w:t>Change due to Adjustment in Estimate</w:t>
            </w:r>
          </w:p>
        </w:tc>
        <w:tc>
          <w:tcPr>
            <w:tcW w:w="1957" w:type="dxa"/>
            <w:tcBorders>
              <w:bottom w:val="single" w:sz="4" w:space="0" w:color="auto"/>
            </w:tcBorders>
            <w:shd w:val="clear" w:color="auto" w:fill="D9D9D9"/>
            <w:vAlign w:val="bottom"/>
          </w:tcPr>
          <w:p w:rsidR="002C118D" w:rsidRPr="005E5E83" w:rsidP="008D4689" w14:paraId="6DAB3A54" w14:textId="77777777">
            <w:pPr>
              <w:jc w:val="center"/>
              <w:rPr>
                <w:rFonts w:eastAsia="Calibri"/>
                <w:b/>
              </w:rPr>
            </w:pPr>
            <w:r w:rsidRPr="005E5E83">
              <w:rPr>
                <w:rFonts w:eastAsia="Calibri"/>
                <w:b/>
              </w:rPr>
              <w:t>Change Due to Agency Discretion</w:t>
            </w:r>
          </w:p>
        </w:tc>
      </w:tr>
      <w:tr w14:paraId="5A63EA38" w14:textId="77777777" w:rsidTr="003F1AE2">
        <w:tblPrEx>
          <w:tblW w:w="9517" w:type="dxa"/>
          <w:tblInd w:w="18" w:type="dxa"/>
          <w:tblLook w:val="01E0"/>
        </w:tblPrEx>
        <w:trPr>
          <w:trHeight w:val="431"/>
        </w:trPr>
        <w:tc>
          <w:tcPr>
            <w:tcW w:w="9517" w:type="dxa"/>
            <w:gridSpan w:val="5"/>
            <w:shd w:val="clear" w:color="auto" w:fill="C6D9F0" w:themeFill="text2" w:themeFillTint="33"/>
            <w:vAlign w:val="bottom"/>
          </w:tcPr>
          <w:p w:rsidR="002C118D" w:rsidRPr="005E5E83" w:rsidP="008D4689" w14:paraId="076575C6" w14:textId="77777777">
            <w:pPr>
              <w:jc w:val="center"/>
              <w:rPr>
                <w:b/>
                <w:bCs/>
              </w:rPr>
            </w:pPr>
            <w:r w:rsidRPr="005E5E83">
              <w:rPr>
                <w:b/>
                <w:bCs/>
              </w:rPr>
              <w:t>FERC-545</w:t>
            </w:r>
          </w:p>
        </w:tc>
      </w:tr>
      <w:tr w14:paraId="05D53088" w14:textId="77777777" w:rsidTr="003F1AE2">
        <w:tblPrEx>
          <w:tblW w:w="9517" w:type="dxa"/>
          <w:tblInd w:w="18" w:type="dxa"/>
          <w:tblLook w:val="01E0"/>
        </w:tblPrEx>
        <w:trPr>
          <w:trHeight w:val="591"/>
        </w:trPr>
        <w:tc>
          <w:tcPr>
            <w:tcW w:w="2679" w:type="dxa"/>
            <w:shd w:val="clear" w:color="auto" w:fill="auto"/>
          </w:tcPr>
          <w:p w:rsidR="002C118D" w:rsidRPr="005E5E83" w:rsidP="008D4689" w14:paraId="461D5683" w14:textId="77777777">
            <w:pPr>
              <w:jc w:val="center"/>
              <w:rPr>
                <w:rFonts w:eastAsia="Calibri"/>
              </w:rPr>
            </w:pPr>
            <w:r w:rsidRPr="005E5E83">
              <w:rPr>
                <w:rFonts w:eastAsia="Calibri"/>
              </w:rPr>
              <w:t>Annual Number of Responses</w:t>
            </w:r>
          </w:p>
        </w:tc>
        <w:tc>
          <w:tcPr>
            <w:tcW w:w="1461" w:type="dxa"/>
            <w:shd w:val="clear" w:color="auto" w:fill="auto"/>
            <w:vAlign w:val="bottom"/>
          </w:tcPr>
          <w:p w:rsidR="002C118D" w:rsidRPr="005E5E83" w:rsidP="00727521" w14:paraId="6E8CB634" w14:textId="13E3AE86">
            <w:pPr>
              <w:jc w:val="right"/>
              <w:rPr>
                <w:rFonts w:eastAsia="Calibri"/>
              </w:rPr>
            </w:pPr>
            <w:r w:rsidRPr="005E5E83">
              <w:rPr>
                <w:rFonts w:eastAsia="Calibri"/>
              </w:rPr>
              <w:t>1,3</w:t>
            </w:r>
            <w:r w:rsidR="00922E11">
              <w:rPr>
                <w:rFonts w:eastAsia="Calibri"/>
              </w:rPr>
              <w:t>06</w:t>
            </w:r>
          </w:p>
        </w:tc>
        <w:tc>
          <w:tcPr>
            <w:tcW w:w="1620" w:type="dxa"/>
            <w:shd w:val="clear" w:color="auto" w:fill="auto"/>
            <w:vAlign w:val="bottom"/>
          </w:tcPr>
          <w:p w:rsidR="002C118D" w:rsidRPr="005E5E83" w:rsidP="00727521" w14:paraId="2736E832" w14:textId="00FA9EDC">
            <w:pPr>
              <w:jc w:val="right"/>
              <w:rPr>
                <w:rFonts w:eastAsia="Calibri"/>
              </w:rPr>
            </w:pPr>
            <w:r>
              <w:rPr>
                <w:rFonts w:eastAsia="Calibri"/>
              </w:rPr>
              <w:t>1,387</w:t>
            </w:r>
          </w:p>
        </w:tc>
        <w:tc>
          <w:tcPr>
            <w:tcW w:w="1800" w:type="dxa"/>
            <w:shd w:val="clear" w:color="auto" w:fill="auto"/>
            <w:vAlign w:val="bottom"/>
          </w:tcPr>
          <w:p w:rsidR="002C118D" w:rsidRPr="005E5E83" w:rsidP="00727521" w14:paraId="00769106" w14:textId="74241B2E">
            <w:pPr>
              <w:jc w:val="right"/>
              <w:rPr>
                <w:rFonts w:eastAsia="Calibri"/>
              </w:rPr>
            </w:pPr>
            <w:r w:rsidRPr="005E5E83">
              <w:rPr>
                <w:rFonts w:eastAsia="Calibri"/>
              </w:rPr>
              <w:t>-</w:t>
            </w:r>
            <w:r w:rsidR="002F09BB">
              <w:rPr>
                <w:rFonts w:eastAsia="Calibri"/>
              </w:rPr>
              <w:t>81</w:t>
            </w:r>
          </w:p>
        </w:tc>
        <w:tc>
          <w:tcPr>
            <w:tcW w:w="1957" w:type="dxa"/>
            <w:shd w:val="clear" w:color="auto" w:fill="auto"/>
            <w:vAlign w:val="bottom"/>
          </w:tcPr>
          <w:p w:rsidR="002C118D" w:rsidRPr="005E5E83" w:rsidP="00727521" w14:paraId="5FA631E6" w14:textId="42EBE2B7">
            <w:pPr>
              <w:jc w:val="right"/>
              <w:rPr>
                <w:rFonts w:eastAsia="Calibri"/>
              </w:rPr>
            </w:pPr>
            <w:r w:rsidRPr="005E5E83">
              <w:rPr>
                <w:rFonts w:eastAsia="Calibri"/>
              </w:rPr>
              <w:t>0</w:t>
            </w:r>
          </w:p>
        </w:tc>
      </w:tr>
      <w:tr w14:paraId="4B89B22C" w14:textId="77777777" w:rsidTr="003F1AE2">
        <w:tblPrEx>
          <w:tblW w:w="9517" w:type="dxa"/>
          <w:tblInd w:w="18" w:type="dxa"/>
          <w:tblLook w:val="01E0"/>
        </w:tblPrEx>
        <w:trPr>
          <w:trHeight w:val="575"/>
        </w:trPr>
        <w:tc>
          <w:tcPr>
            <w:tcW w:w="2679" w:type="dxa"/>
            <w:shd w:val="clear" w:color="auto" w:fill="auto"/>
          </w:tcPr>
          <w:p w:rsidR="002C118D" w:rsidRPr="005E5E83" w:rsidP="008D4689" w14:paraId="5EB38687" w14:textId="77777777">
            <w:pPr>
              <w:jc w:val="center"/>
              <w:rPr>
                <w:rFonts w:eastAsia="Calibri"/>
              </w:rPr>
            </w:pPr>
            <w:r w:rsidRPr="005E5E83">
              <w:rPr>
                <w:rFonts w:eastAsia="Calibri"/>
              </w:rPr>
              <w:t>Annual Time Burden (Hr.)</w:t>
            </w:r>
          </w:p>
        </w:tc>
        <w:tc>
          <w:tcPr>
            <w:tcW w:w="1461" w:type="dxa"/>
            <w:shd w:val="clear" w:color="auto" w:fill="auto"/>
            <w:vAlign w:val="bottom"/>
          </w:tcPr>
          <w:p w:rsidR="002C118D" w:rsidRPr="005E5E83" w:rsidP="00727521" w14:paraId="283CE0EE" w14:textId="21181193">
            <w:pPr>
              <w:jc w:val="right"/>
              <w:rPr>
                <w:rFonts w:eastAsia="Calibri"/>
              </w:rPr>
            </w:pPr>
            <w:r>
              <w:rPr>
                <w:rFonts w:eastAsia="Calibri"/>
              </w:rPr>
              <w:t>2</w:t>
            </w:r>
            <w:r w:rsidR="00922E11">
              <w:rPr>
                <w:rFonts w:eastAsia="Calibri"/>
              </w:rPr>
              <w:t>82</w:t>
            </w:r>
            <w:r w:rsidRPr="005E5E83" w:rsidR="00FB3579">
              <w:rPr>
                <w:rFonts w:eastAsia="Calibri"/>
              </w:rPr>
              <w:t>,</w:t>
            </w:r>
            <w:r w:rsidR="00852FB0">
              <w:rPr>
                <w:rFonts w:eastAsia="Calibri"/>
              </w:rPr>
              <w:t>173</w:t>
            </w:r>
          </w:p>
        </w:tc>
        <w:tc>
          <w:tcPr>
            <w:tcW w:w="1620" w:type="dxa"/>
            <w:shd w:val="clear" w:color="auto" w:fill="auto"/>
            <w:vAlign w:val="bottom"/>
          </w:tcPr>
          <w:p w:rsidR="002C118D" w:rsidRPr="005E5E83" w:rsidP="00727521" w14:paraId="428DD5EA" w14:textId="4CB30F4C">
            <w:pPr>
              <w:jc w:val="right"/>
              <w:rPr>
                <w:rFonts w:eastAsia="Calibri"/>
              </w:rPr>
            </w:pPr>
            <w:r>
              <w:rPr>
                <w:rFonts w:eastAsia="Calibri"/>
              </w:rPr>
              <w:t>306</w:t>
            </w:r>
            <w:r w:rsidRPr="005E5E83" w:rsidR="003F1AE2">
              <w:rPr>
                <w:rFonts w:eastAsia="Calibri"/>
              </w:rPr>
              <w:t>,</w:t>
            </w:r>
            <w:r>
              <w:rPr>
                <w:rFonts w:eastAsia="Calibri"/>
              </w:rPr>
              <w:t>827</w:t>
            </w:r>
          </w:p>
        </w:tc>
        <w:tc>
          <w:tcPr>
            <w:tcW w:w="1800" w:type="dxa"/>
            <w:shd w:val="clear" w:color="auto" w:fill="auto"/>
            <w:vAlign w:val="bottom"/>
          </w:tcPr>
          <w:p w:rsidR="002C118D" w:rsidRPr="005E5E83" w:rsidP="00727521" w14:paraId="56544879" w14:textId="233A1BAB">
            <w:pPr>
              <w:jc w:val="right"/>
              <w:rPr>
                <w:rFonts w:eastAsia="Calibri"/>
              </w:rPr>
            </w:pPr>
            <w:r>
              <w:rPr>
                <w:rFonts w:eastAsia="Calibri"/>
              </w:rPr>
              <w:t>-24,654</w:t>
            </w:r>
          </w:p>
        </w:tc>
        <w:tc>
          <w:tcPr>
            <w:tcW w:w="1957" w:type="dxa"/>
            <w:shd w:val="clear" w:color="auto" w:fill="auto"/>
            <w:vAlign w:val="bottom"/>
          </w:tcPr>
          <w:p w:rsidR="002C118D" w:rsidRPr="005E5E83" w:rsidP="00727521" w14:paraId="7A6D3B52" w14:textId="067818DD">
            <w:pPr>
              <w:jc w:val="right"/>
              <w:rPr>
                <w:rFonts w:eastAsia="Calibri"/>
              </w:rPr>
            </w:pPr>
            <w:r w:rsidRPr="005E5E83">
              <w:rPr>
                <w:rFonts w:eastAsia="Calibri"/>
              </w:rPr>
              <w:t>0</w:t>
            </w:r>
          </w:p>
        </w:tc>
      </w:tr>
      <w:tr w14:paraId="3CC2CB67" w14:textId="77777777" w:rsidTr="003F1AE2">
        <w:tblPrEx>
          <w:tblW w:w="9517" w:type="dxa"/>
          <w:tblInd w:w="18" w:type="dxa"/>
          <w:tblLook w:val="01E0"/>
        </w:tblPrEx>
        <w:trPr>
          <w:trHeight w:val="295"/>
        </w:trPr>
        <w:tc>
          <w:tcPr>
            <w:tcW w:w="2679" w:type="dxa"/>
            <w:tcBorders>
              <w:bottom w:val="single" w:sz="4" w:space="0" w:color="auto"/>
            </w:tcBorders>
            <w:shd w:val="clear" w:color="auto" w:fill="auto"/>
          </w:tcPr>
          <w:p w:rsidR="002C118D" w:rsidRPr="005E5E83" w:rsidP="008D4689" w14:paraId="7C8525B6" w14:textId="77777777">
            <w:pPr>
              <w:jc w:val="center"/>
              <w:rPr>
                <w:rFonts w:eastAsia="Calibri"/>
              </w:rPr>
            </w:pPr>
            <w:r w:rsidRPr="005E5E83">
              <w:rPr>
                <w:rFonts w:eastAsia="Calibri"/>
              </w:rPr>
              <w:t>Annual Cost Burden ($)</w:t>
            </w:r>
          </w:p>
        </w:tc>
        <w:tc>
          <w:tcPr>
            <w:tcW w:w="1461" w:type="dxa"/>
            <w:tcBorders>
              <w:bottom w:val="single" w:sz="4" w:space="0" w:color="auto"/>
            </w:tcBorders>
            <w:shd w:val="clear" w:color="auto" w:fill="auto"/>
            <w:vAlign w:val="bottom"/>
          </w:tcPr>
          <w:p w:rsidR="002C118D" w:rsidRPr="005E5E83" w:rsidP="00727521" w14:paraId="1B04AE41" w14:textId="77777777">
            <w:pPr>
              <w:jc w:val="right"/>
              <w:rPr>
                <w:rFonts w:eastAsia="Calibri"/>
                <w:highlight w:val="yellow"/>
              </w:rPr>
            </w:pPr>
            <w:r w:rsidRPr="005E5E83">
              <w:rPr>
                <w:rFonts w:eastAsia="Calibri"/>
              </w:rPr>
              <w:t>$0</w:t>
            </w:r>
          </w:p>
        </w:tc>
        <w:tc>
          <w:tcPr>
            <w:tcW w:w="1620" w:type="dxa"/>
            <w:tcBorders>
              <w:bottom w:val="single" w:sz="4" w:space="0" w:color="auto"/>
            </w:tcBorders>
            <w:shd w:val="clear" w:color="auto" w:fill="auto"/>
            <w:vAlign w:val="bottom"/>
          </w:tcPr>
          <w:p w:rsidR="002C118D" w:rsidRPr="005E5E83" w:rsidP="00727521" w14:paraId="1D9DC643" w14:textId="77777777">
            <w:pPr>
              <w:jc w:val="right"/>
              <w:rPr>
                <w:rFonts w:eastAsia="Calibri"/>
              </w:rPr>
            </w:pPr>
            <w:r w:rsidRPr="005E5E83">
              <w:rPr>
                <w:rFonts w:eastAsia="Calibri"/>
              </w:rPr>
              <w:t>$0</w:t>
            </w:r>
          </w:p>
        </w:tc>
        <w:tc>
          <w:tcPr>
            <w:tcW w:w="1800" w:type="dxa"/>
            <w:tcBorders>
              <w:bottom w:val="single" w:sz="4" w:space="0" w:color="auto"/>
            </w:tcBorders>
            <w:shd w:val="clear" w:color="auto" w:fill="auto"/>
            <w:vAlign w:val="bottom"/>
          </w:tcPr>
          <w:p w:rsidR="002C118D" w:rsidRPr="005E5E83" w:rsidP="00727521" w14:paraId="48CBB93A" w14:textId="77777777">
            <w:pPr>
              <w:jc w:val="right"/>
              <w:rPr>
                <w:rFonts w:eastAsia="Calibri"/>
              </w:rPr>
            </w:pPr>
            <w:r w:rsidRPr="005E5E83">
              <w:rPr>
                <w:rFonts w:eastAsia="Calibri"/>
              </w:rPr>
              <w:t>$0</w:t>
            </w:r>
          </w:p>
        </w:tc>
        <w:tc>
          <w:tcPr>
            <w:tcW w:w="1957" w:type="dxa"/>
            <w:tcBorders>
              <w:bottom w:val="single" w:sz="4" w:space="0" w:color="auto"/>
            </w:tcBorders>
            <w:shd w:val="clear" w:color="auto" w:fill="auto"/>
            <w:vAlign w:val="bottom"/>
          </w:tcPr>
          <w:p w:rsidR="002C118D" w:rsidRPr="005E5E83" w:rsidP="00727521" w14:paraId="4A8DCB73" w14:textId="77777777">
            <w:pPr>
              <w:jc w:val="right"/>
              <w:rPr>
                <w:rFonts w:eastAsia="Calibri"/>
              </w:rPr>
            </w:pPr>
            <w:r w:rsidRPr="005E5E83">
              <w:rPr>
                <w:rFonts w:eastAsia="Calibri"/>
              </w:rPr>
              <w:t>$0</w:t>
            </w:r>
          </w:p>
        </w:tc>
      </w:tr>
    </w:tbl>
    <w:p w:rsidR="002C118D" w:rsidRPr="005E5E83" w:rsidP="00E443F9" w14:paraId="1801F2FB" w14:textId="55B8E21A">
      <w:pPr>
        <w:jc w:val="center"/>
      </w:pPr>
    </w:p>
    <w:p w:rsidR="00BC15BE" w:rsidRPr="005E5E83" w:rsidP="00BC15BE" w14:paraId="1DD34261" w14:textId="77777777">
      <w:pPr>
        <w:pStyle w:val="Level1"/>
        <w:rPr>
          <w:b/>
          <w:sz w:val="26"/>
        </w:rPr>
      </w:pPr>
      <w:r w:rsidRPr="005E5E83">
        <w:rPr>
          <w:b/>
          <w:sz w:val="26"/>
        </w:rPr>
        <w:t>TIME SCHEDULE FOR PUBLICATION OF DATA</w:t>
      </w:r>
    </w:p>
    <w:p w:rsidR="003808AD" w:rsidRPr="005E5E83" w:rsidP="00DF6937" w14:paraId="4315C849" w14:textId="77777777"/>
    <w:p w:rsidR="00DF6937" w:rsidRPr="005E5E83" w:rsidP="00DF6937" w14:paraId="7E8CED75" w14:textId="35B15FA1">
      <w:r w:rsidRPr="005E5E83">
        <w:t>D</w:t>
      </w:r>
      <w:r w:rsidRPr="005E5E83" w:rsidR="005E583F">
        <w:t>espite the fact that FERC-545 data are publicly available,</w:t>
      </w:r>
      <w:r w:rsidRPr="005E5E83">
        <w:t xml:space="preserve"> there </w:t>
      </w:r>
      <w:r w:rsidRPr="005E5E83" w:rsidR="005E583F">
        <w:t>are</w:t>
      </w:r>
      <w:r w:rsidRPr="005E5E83">
        <w:t xml:space="preserve"> no tabulating, statistical or publication plans.</w:t>
      </w:r>
    </w:p>
    <w:p w:rsidR="00DF6937" w:rsidRPr="005E5E83" w:rsidP="00BC15BE" w14:paraId="78111E1E" w14:textId="77777777"/>
    <w:p w:rsidR="00BC15BE" w:rsidRPr="005E5E83" w:rsidP="00BC15BE" w14:paraId="02004AD4" w14:textId="77777777"/>
    <w:p w:rsidR="00BC15BE" w:rsidRPr="005E5E83" w:rsidP="00BC15BE" w14:paraId="604362A8" w14:textId="77777777">
      <w:pPr>
        <w:pStyle w:val="Level1"/>
        <w:rPr>
          <w:b/>
          <w:sz w:val="26"/>
        </w:rPr>
      </w:pPr>
      <w:r w:rsidRPr="005E5E83">
        <w:rPr>
          <w:b/>
          <w:sz w:val="26"/>
        </w:rPr>
        <w:t>DISPLAY OF EXPIRATION DATE</w:t>
      </w:r>
    </w:p>
    <w:p w:rsidR="000C0189" w:rsidRPr="005E5E83" w:rsidP="00BC15BE" w14:paraId="3EFB0E76" w14:textId="77777777"/>
    <w:p w:rsidR="00ED2A21" w:rsidRPr="005E5E83" w:rsidP="00ED2A21" w14:paraId="4E3662B7" w14:textId="77777777">
      <w:pPr>
        <w:rPr>
          <w:rFonts w:eastAsiaTheme="minorHAnsi"/>
        </w:rPr>
      </w:pPr>
      <w:r w:rsidRPr="005E5E83">
        <w:rPr>
          <w:rFonts w:eastAsiaTheme="minorHAnsi"/>
        </w:rPr>
        <w:t xml:space="preserve">The expiration date is displayed in a table posted on ferc.gov at </w:t>
      </w:r>
      <w:hyperlink r:id="rId9" w:history="1">
        <w:r w:rsidRPr="005E5E83">
          <w:rPr>
            <w:rFonts w:eastAsiaTheme="minorHAnsi"/>
            <w:color w:val="0000FF"/>
            <w:u w:val="single"/>
          </w:rPr>
          <w:t>https://www.ferc.gov/information-collections</w:t>
        </w:r>
      </w:hyperlink>
    </w:p>
    <w:p w:rsidR="00BC15BE" w:rsidRPr="005E5E83" w:rsidP="00BC15BE" w14:paraId="39DDEEB5" w14:textId="77777777"/>
    <w:p w:rsidR="00BC15BE" w:rsidRPr="005E5E83" w:rsidP="00BC15BE" w14:paraId="121B55AC" w14:textId="77777777">
      <w:pPr>
        <w:pStyle w:val="Level1"/>
        <w:rPr>
          <w:b/>
          <w:sz w:val="26"/>
        </w:rPr>
      </w:pPr>
      <w:r w:rsidRPr="005E5E83">
        <w:rPr>
          <w:b/>
          <w:sz w:val="26"/>
        </w:rPr>
        <w:t>EXCEPTIONS TO THE CERTIFICATION STATEMENT</w:t>
      </w:r>
    </w:p>
    <w:p w:rsidR="000C0189" w:rsidRPr="005E5E83" w:rsidP="00BC15BE" w14:paraId="4508C369" w14:textId="77777777"/>
    <w:p w:rsidR="00BC15BE" w:rsidP="00BC15BE" w14:paraId="7C3D7C44" w14:textId="1E5DECEC">
      <w:r w:rsidRPr="005E5E83">
        <w:t>There are no exceptions.</w:t>
      </w:r>
    </w:p>
    <w:p w:rsidR="009B4417" w:rsidP="00BC15BE" w14:paraId="1456D54E" w14:textId="6241D452"/>
    <w:p w:rsidR="009B4417" w:rsidP="00BC15BE" w14:paraId="127B3678" w14:textId="1BE5438E"/>
    <w:p w:rsidR="0054752D" w:rsidP="00BC15BE" w14:paraId="30CBCF85" w14:textId="77777777"/>
    <w:p w:rsidR="0054752D" w:rsidP="00BC15BE" w14:paraId="3B853EEF" w14:textId="77777777"/>
    <w:p w:rsidR="0054752D" w:rsidP="00BC15BE" w14:paraId="56E6761D" w14:textId="77777777"/>
    <w:p w:rsidR="0054752D" w:rsidP="00BC15BE" w14:paraId="1BB3A2F1" w14:textId="77777777"/>
    <w:p w:rsidR="0054752D" w:rsidP="00BC15BE" w14:paraId="63CEFC62" w14:textId="77777777"/>
    <w:p w:rsidR="0054752D" w:rsidP="00BC15BE" w14:paraId="052AB215" w14:textId="77777777"/>
    <w:p w:rsidR="009B4417" w:rsidP="00BC15BE" w14:paraId="455D6DA3" w14:textId="2C43D1E5"/>
    <w:p w:rsidR="009B4417" w:rsidP="00BC15BE" w14:paraId="40D80333" w14:textId="3C7D185C">
      <w:r>
        <w:t>Appendix A.</w:t>
      </w:r>
    </w:p>
    <w:p w:rsidR="009B4417" w:rsidP="00BC15BE" w14:paraId="261C5C29" w14:textId="29086976"/>
    <w:p w:rsidR="009B4417" w:rsidRPr="005E5E83" w:rsidP="00BC15BE" w14:paraId="42C2A22B" w14:textId="6FD66494">
      <w:r>
        <w:t xml:space="preserve">Screenshot for </w:t>
      </w:r>
      <w:r w:rsidR="00595B58">
        <w:t>e</w:t>
      </w:r>
      <w:r>
        <w:t>Filings</w:t>
      </w:r>
      <w:r w:rsidR="00405BBE">
        <w:t>, including Tariff Filings</w:t>
      </w:r>
    </w:p>
    <w:p w:rsidR="0010764F" w14:paraId="5DD536D6" w14:textId="1C461FAC">
      <w:r w:rsidRPr="009B4417">
        <w:rPr>
          <w:noProof/>
        </w:rPr>
        <w:drawing>
          <wp:inline distT="0" distB="0" distL="0" distR="0">
            <wp:extent cx="5942810" cy="404495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0" r:link="rId11">
                      <a:extLst>
                        <a:ext xmlns:a="http://schemas.openxmlformats.org/drawingml/2006/main" uri="{28A0092B-C50C-407E-A947-70E740481C1C}">
                          <a14:useLocalDpi xmlns:a14="http://schemas.microsoft.com/office/drawing/2010/main" val="0"/>
                        </a:ext>
                      </a:extLst>
                    </a:blip>
                    <a:srcRect l="1" t="1" r="439" b="13040"/>
                    <a:stretch>
                      <a:fillRect/>
                    </a:stretch>
                  </pic:blipFill>
                  <pic:spPr bwMode="auto">
                    <a:xfrm>
                      <a:off x="0" y="0"/>
                      <a:ext cx="5943600" cy="404548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727521" w:rsidRPr="005E5E83" w14:paraId="4939D709" w14:textId="0628EDBB">
      <w:r>
        <w:rPr>
          <w:noProof/>
        </w:rPr>
        <w:drawing>
          <wp:inline distT="0" distB="0" distL="0" distR="0">
            <wp:extent cx="5943600" cy="22790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a:srcRect l="426" t="46008" b="-1"/>
                    <a:stretch>
                      <a:fillRect/>
                    </a:stretch>
                  </pic:blipFill>
                  <pic:spPr bwMode="auto">
                    <a:xfrm>
                      <a:off x="0" y="0"/>
                      <a:ext cx="5943600" cy="227901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sectPr w:rsidSect="008D4689">
      <w:headerReference w:type="default" r:id="rId13"/>
      <w:pgSz w:w="12240" w:h="15840" w:code="1"/>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F7FCE" w:rsidP="00BC15BE" w14:paraId="5EFB51BC" w14:textId="77777777">
      <w:r>
        <w:separator/>
      </w:r>
    </w:p>
  </w:footnote>
  <w:footnote w:type="continuationSeparator" w:id="1">
    <w:p w:rsidR="00CF7FCE" w:rsidP="00BC15BE" w14:paraId="1DD18DD2" w14:textId="77777777">
      <w:r>
        <w:continuationSeparator/>
      </w:r>
    </w:p>
  </w:footnote>
  <w:footnote w:type="continuationNotice" w:id="2">
    <w:p w:rsidR="00CF7FCE" w14:paraId="5A72024A" w14:textId="77777777"/>
  </w:footnote>
  <w:footnote w:id="3">
    <w:p w:rsidR="00B51119" w:rsidRPr="005E5E83" w:rsidP="00B51119" w14:paraId="0CB6E7C8" w14:textId="44184AA0">
      <w:pPr>
        <w:pStyle w:val="FootnoteText"/>
        <w:rPr>
          <w:sz w:val="26"/>
          <w:szCs w:val="24"/>
        </w:rPr>
      </w:pPr>
      <w:r w:rsidRPr="005E5E83">
        <w:rPr>
          <w:rStyle w:val="FootnoteReference"/>
          <w:szCs w:val="24"/>
        </w:rPr>
        <w:footnoteRef/>
      </w:r>
      <w:r w:rsidRPr="005E5E83">
        <w:rPr>
          <w:sz w:val="26"/>
          <w:szCs w:val="24"/>
        </w:rPr>
        <w:t xml:space="preserve"> This series of orders began with the Commission’s issuance of </w:t>
      </w:r>
      <w:r w:rsidRPr="005E5E83">
        <w:rPr>
          <w:i/>
          <w:sz w:val="26"/>
          <w:szCs w:val="24"/>
        </w:rPr>
        <w:t>Standards for Bus. Prac</w:t>
      </w:r>
      <w:r w:rsidR="00DA6C7D">
        <w:rPr>
          <w:i/>
          <w:sz w:val="26"/>
          <w:szCs w:val="24"/>
        </w:rPr>
        <w:t>s.</w:t>
      </w:r>
      <w:r w:rsidRPr="005E5E83">
        <w:rPr>
          <w:i/>
          <w:sz w:val="26"/>
          <w:szCs w:val="24"/>
        </w:rPr>
        <w:t xml:space="preserve"> of Interstate Nat. Gas Pipelines</w:t>
      </w:r>
      <w:r w:rsidRPr="005E5E83">
        <w:rPr>
          <w:sz w:val="26"/>
          <w:szCs w:val="24"/>
        </w:rPr>
        <w:t>, Ord</w:t>
      </w:r>
      <w:r w:rsidR="006F173C">
        <w:rPr>
          <w:sz w:val="26"/>
          <w:szCs w:val="24"/>
        </w:rPr>
        <w:t>er</w:t>
      </w:r>
      <w:r w:rsidRPr="005E5E83">
        <w:rPr>
          <w:sz w:val="26"/>
          <w:szCs w:val="24"/>
        </w:rPr>
        <w:t xml:space="preserve">. No. 587, </w:t>
      </w:r>
      <w:r w:rsidR="001848CC">
        <w:rPr>
          <w:sz w:val="26"/>
          <w:szCs w:val="24"/>
        </w:rPr>
        <w:t>61 FR 39053 (July 26, 1996)</w:t>
      </w:r>
      <w:r w:rsidR="00D80C6B">
        <w:rPr>
          <w:sz w:val="26"/>
          <w:szCs w:val="24"/>
        </w:rPr>
        <w:t xml:space="preserve">, </w:t>
      </w:r>
      <w:r w:rsidRPr="005E5E83">
        <w:rPr>
          <w:sz w:val="26"/>
          <w:szCs w:val="24"/>
        </w:rPr>
        <w:t>FERC Stats. &amp; Regs. ¶ 31,038 (1996)</w:t>
      </w:r>
      <w:r w:rsidR="00D80C6B">
        <w:rPr>
          <w:sz w:val="26"/>
          <w:szCs w:val="24"/>
        </w:rPr>
        <w:t xml:space="preserve"> (cross-referenced at </w:t>
      </w:r>
      <w:r w:rsidR="004F3FB4">
        <w:rPr>
          <w:sz w:val="26"/>
          <w:szCs w:val="24"/>
        </w:rPr>
        <w:t xml:space="preserve">76 FERC </w:t>
      </w:r>
      <w:r w:rsidRPr="005E5E83" w:rsidR="004F3FB4">
        <w:rPr>
          <w:sz w:val="26"/>
          <w:szCs w:val="24"/>
        </w:rPr>
        <w:t>¶ </w:t>
      </w:r>
      <w:r w:rsidR="004F3FB4">
        <w:rPr>
          <w:sz w:val="26"/>
          <w:szCs w:val="24"/>
        </w:rPr>
        <w:t>61,042</w:t>
      </w:r>
      <w:r w:rsidR="001E1258">
        <w:rPr>
          <w:sz w:val="26"/>
          <w:szCs w:val="24"/>
        </w:rPr>
        <w:t>).</w:t>
      </w:r>
    </w:p>
  </w:footnote>
  <w:footnote w:id="4">
    <w:p w:rsidR="001B70EF" w14:paraId="5FD11013" w14:textId="03A3C97C">
      <w:pPr>
        <w:pStyle w:val="FootnoteText"/>
      </w:pPr>
      <w:r>
        <w:rPr>
          <w:rStyle w:val="FootnoteReference"/>
        </w:rPr>
        <w:footnoteRef/>
      </w:r>
      <w:r>
        <w:t xml:space="preserve"> </w:t>
      </w:r>
      <w:r w:rsidRPr="00423A83">
        <w:rPr>
          <w:i/>
          <w:sz w:val="26"/>
          <w:szCs w:val="26"/>
        </w:rPr>
        <w:t>Standards for Bus. Pracs. of Interstate Nat. Gas Pipelines</w:t>
      </w:r>
      <w:r w:rsidRPr="00423A83">
        <w:rPr>
          <w:sz w:val="26"/>
          <w:szCs w:val="26"/>
        </w:rPr>
        <w:t>, Order No. 587-AA, 89 FR 97518 (Dec. 9, 2024), 189 FERC ¶ 61,135 (2024).</w:t>
      </w:r>
    </w:p>
  </w:footnote>
  <w:footnote w:id="5">
    <w:p w:rsidR="00B51119" w:rsidRPr="005E5E83" w:rsidP="00B51119" w14:paraId="5FE6ABA9" w14:textId="15567C0C">
      <w:pPr>
        <w:pStyle w:val="FootnoteText"/>
        <w:rPr>
          <w:sz w:val="26"/>
          <w:szCs w:val="24"/>
        </w:rPr>
      </w:pPr>
      <w:r w:rsidRPr="005E5E83">
        <w:rPr>
          <w:rStyle w:val="FootnoteReference"/>
          <w:szCs w:val="24"/>
        </w:rPr>
        <w:footnoteRef/>
      </w:r>
      <w:r w:rsidRPr="005E5E83">
        <w:rPr>
          <w:sz w:val="26"/>
          <w:szCs w:val="24"/>
        </w:rPr>
        <w:t xml:space="preserve"> Sandia is a multidisciplinary national laboratory and federally funded research and development center for the U.S. Department of Energy’s (DOE) National Nuclear Security Administration that supports numerous federal, state, and local government agencies, companies, and organizations.</w:t>
      </w:r>
      <w:r w:rsidR="009A7B27">
        <w:rPr>
          <w:sz w:val="26"/>
          <w:szCs w:val="24"/>
        </w:rPr>
        <w:t xml:space="preserve"> </w:t>
      </w:r>
    </w:p>
  </w:footnote>
  <w:footnote w:id="6">
    <w:p w:rsidR="00B51119" w:rsidRPr="00397DBA" w:rsidP="00B51119" w14:paraId="2F546197" w14:textId="72F3A28E">
      <w:pPr>
        <w:pStyle w:val="FootnoteText"/>
        <w:rPr>
          <w:sz w:val="24"/>
          <w:szCs w:val="24"/>
          <w:lang w:bidi="en-US"/>
        </w:rPr>
      </w:pPr>
      <w:r w:rsidRPr="005E5E83">
        <w:rPr>
          <w:rStyle w:val="FootnoteReference"/>
          <w:szCs w:val="24"/>
        </w:rPr>
        <w:footnoteRef/>
      </w:r>
      <w:r w:rsidRPr="005E5E83">
        <w:rPr>
          <w:sz w:val="26"/>
          <w:szCs w:val="24"/>
        </w:rPr>
        <w:t xml:space="preserve"> </w:t>
      </w:r>
      <w:r w:rsidRPr="005E5E83">
        <w:rPr>
          <w:sz w:val="26"/>
          <w:szCs w:val="24"/>
          <w:lang w:bidi="en-US"/>
        </w:rPr>
        <w:t xml:space="preserve">In April 2017, NAESB announced that Sandia, through funding provided by DOE, would be performing a surety assessment of the NAESB standards.  As determined by Sandia and DOE, the purpose of the surety assessment was to analyze cybersecurity elements within the standards, focusing on four areas: (1) the NAESB Certification Program for Accredited Certification Authorities, including the Wholesale Electric Quadrant (WEQ)-012 Public Key Infrastructure Business Practice Standards, the NAESB Accreditation Requirements for Authorized Certificate Authorities, and the Authorized Certification Authority Process; (2) the WEQ Open Access Same-Time Information Systems suite of standards; (3) the WGQ and Retail Markets Quadrant Internet Electronic </w:t>
      </w:r>
      <w:r w:rsidRPr="00A9198F">
        <w:rPr>
          <w:sz w:val="26"/>
          <w:szCs w:val="24"/>
          <w:lang w:bidi="en-US"/>
        </w:rPr>
        <w:t>Transport and</w:t>
      </w:r>
      <w:r w:rsidRPr="005E5E83">
        <w:rPr>
          <w:sz w:val="26"/>
          <w:szCs w:val="24"/>
          <w:lang w:bidi="en-US"/>
        </w:rPr>
        <w:t xml:space="preserve"> Quadrant Electronic Delivery Mechanism </w:t>
      </w:r>
      <w:r w:rsidRPr="00A9198F">
        <w:rPr>
          <w:sz w:val="26"/>
          <w:szCs w:val="24"/>
          <w:lang w:bidi="en-US"/>
        </w:rPr>
        <w:t>(EDM)</w:t>
      </w:r>
      <w:r w:rsidRPr="005E5E83">
        <w:rPr>
          <w:sz w:val="26"/>
          <w:szCs w:val="24"/>
          <w:lang w:bidi="en-US"/>
        </w:rPr>
        <w:t xml:space="preserve"> Related Standards Manual; and (4) a high-level dependency analysis between the gas and electric markets to evaluate the different security paradigms the markets employ.</w:t>
      </w:r>
    </w:p>
  </w:footnote>
  <w:footnote w:id="7">
    <w:p w:rsidR="002B7D7A" w:rsidRPr="00423A83" w:rsidP="002B7D7A" w14:paraId="3E5FB25D" w14:textId="3ECFC197">
      <w:pPr>
        <w:pStyle w:val="FootnoteText"/>
        <w:rPr>
          <w:sz w:val="26"/>
          <w:szCs w:val="24"/>
        </w:rPr>
      </w:pPr>
      <w:r w:rsidRPr="005E5E83">
        <w:rPr>
          <w:rStyle w:val="FootnoteReference"/>
          <w:szCs w:val="24"/>
        </w:rPr>
        <w:footnoteRef/>
      </w:r>
      <w:r w:rsidRPr="005E5E83">
        <w:rPr>
          <w:sz w:val="26"/>
          <w:szCs w:val="24"/>
        </w:rPr>
        <w:t xml:space="preserve"> </w:t>
      </w:r>
      <w:r w:rsidRPr="00423A83">
        <w:rPr>
          <w:sz w:val="26"/>
          <w:szCs w:val="26"/>
        </w:rPr>
        <w:t>Natural gas transportation service is provided by interstate pipelines, intrastate</w:t>
      </w:r>
    </w:p>
    <w:p w:rsidR="002B7D7A" w:rsidRPr="00423A83" w:rsidP="002B7D7A" w14:paraId="784A7A71" w14:textId="77777777">
      <w:pPr>
        <w:pStyle w:val="FootnoteText"/>
        <w:rPr>
          <w:sz w:val="26"/>
          <w:szCs w:val="26"/>
        </w:rPr>
      </w:pPr>
      <w:r w:rsidRPr="00423A83">
        <w:rPr>
          <w:sz w:val="26"/>
          <w:szCs w:val="26"/>
        </w:rPr>
        <w:t>pipelines, natural gas gathering pipelines, and local distribution companies; all are</w:t>
      </w:r>
    </w:p>
    <w:p w:rsidR="00BE69C0" w:rsidRPr="002B7D7A" w:rsidP="002B7D7A" w14:paraId="00B791D1" w14:textId="5C482707">
      <w:pPr>
        <w:pStyle w:val="FootnoteText"/>
        <w:rPr>
          <w:sz w:val="26"/>
          <w:szCs w:val="26"/>
        </w:rPr>
      </w:pPr>
      <w:r w:rsidRPr="002B7D7A">
        <w:rPr>
          <w:sz w:val="26"/>
          <w:szCs w:val="26"/>
        </w:rPr>
        <w:t>referred to as “transportation service providers.”</w:t>
      </w:r>
    </w:p>
  </w:footnote>
  <w:footnote w:id="8">
    <w:p w:rsidR="005258E6" w:rsidRPr="00571ED4" w:rsidP="00824A3C" w14:paraId="7AC15472" w14:textId="26D8B64A">
      <w:pPr>
        <w:pStyle w:val="FootnoteText"/>
        <w:rPr>
          <w:sz w:val="24"/>
          <w:szCs w:val="24"/>
        </w:rPr>
      </w:pPr>
      <w:r w:rsidRPr="00397DBA">
        <w:rPr>
          <w:rStyle w:val="FootnoteReference"/>
          <w:sz w:val="24"/>
          <w:szCs w:val="24"/>
        </w:rPr>
        <w:footnoteRef/>
      </w:r>
      <w:r w:rsidRPr="00397DBA">
        <w:rPr>
          <w:sz w:val="24"/>
          <w:szCs w:val="24"/>
        </w:rPr>
        <w:t xml:space="preserve"> </w:t>
      </w:r>
      <w:r w:rsidRPr="00423A83" w:rsidR="00824A3C">
        <w:rPr>
          <w:i/>
          <w:iCs/>
          <w:sz w:val="26"/>
          <w:szCs w:val="26"/>
        </w:rPr>
        <w:t>Standards for Bus. Prac</w:t>
      </w:r>
      <w:r w:rsidR="00824A3C">
        <w:rPr>
          <w:i/>
          <w:iCs/>
          <w:sz w:val="26"/>
          <w:szCs w:val="26"/>
        </w:rPr>
        <w:t>s.</w:t>
      </w:r>
      <w:r w:rsidRPr="00423A83" w:rsidR="00824A3C">
        <w:rPr>
          <w:i/>
          <w:iCs/>
          <w:sz w:val="26"/>
          <w:szCs w:val="26"/>
        </w:rPr>
        <w:t xml:space="preserve"> of Interstate Nat. Gas Pipelines</w:t>
      </w:r>
      <w:r w:rsidRPr="00423A83" w:rsidR="00824A3C">
        <w:rPr>
          <w:sz w:val="26"/>
          <w:szCs w:val="26"/>
        </w:rPr>
        <w:t>, Order</w:t>
      </w:r>
      <w:r w:rsidR="00571ED4">
        <w:rPr>
          <w:sz w:val="24"/>
          <w:szCs w:val="24"/>
        </w:rPr>
        <w:t xml:space="preserve"> </w:t>
      </w:r>
      <w:r w:rsidRPr="00423A83" w:rsidR="00824A3C">
        <w:rPr>
          <w:sz w:val="26"/>
          <w:szCs w:val="26"/>
        </w:rPr>
        <w:t>No. 587-V, 77 FR 43711 (Jul. 26, 2012), 140 FERC ¶ 61,036</w:t>
      </w:r>
      <w:r w:rsidR="00571ED4">
        <w:rPr>
          <w:sz w:val="26"/>
          <w:szCs w:val="26"/>
        </w:rPr>
        <w:t xml:space="preserve"> </w:t>
      </w:r>
      <w:r w:rsidRPr="00423A83" w:rsidR="00824A3C">
        <w:rPr>
          <w:sz w:val="26"/>
          <w:szCs w:val="26"/>
        </w:rPr>
        <w:t>(2012).</w:t>
      </w:r>
    </w:p>
  </w:footnote>
  <w:footnote w:id="9">
    <w:p w:rsidR="00470E9C" w:rsidRPr="00470E9C" w:rsidP="00E2173D" w14:paraId="112F575A" w14:textId="476DECBB">
      <w:pPr>
        <w:pStyle w:val="FootnoteText"/>
        <w:rPr>
          <w:sz w:val="24"/>
          <w:szCs w:val="24"/>
        </w:rPr>
      </w:pPr>
      <w:r w:rsidRPr="00397DBA">
        <w:rPr>
          <w:rStyle w:val="FootnoteReference"/>
          <w:sz w:val="24"/>
          <w:szCs w:val="24"/>
        </w:rPr>
        <w:footnoteRef/>
      </w:r>
      <w:r w:rsidRPr="00397DBA">
        <w:rPr>
          <w:sz w:val="24"/>
          <w:szCs w:val="24"/>
        </w:rPr>
        <w:t xml:space="preserve"> </w:t>
      </w:r>
      <w:r w:rsidRPr="00423A83">
        <w:rPr>
          <w:i/>
          <w:iCs/>
          <w:sz w:val="26"/>
          <w:szCs w:val="26"/>
        </w:rPr>
        <w:t>Standards for Bus. Pracs. of Interstate Nat. Gas Pipelines</w:t>
      </w:r>
      <w:r w:rsidRPr="00423A83">
        <w:rPr>
          <w:sz w:val="26"/>
          <w:szCs w:val="26"/>
        </w:rPr>
        <w:t>, 174 FERC ¶ 61,103, at P 21 (2021).</w:t>
      </w:r>
    </w:p>
    <w:p w:rsidR="00E2173D" w:rsidRPr="00397DBA" w:rsidP="00E2173D" w14:paraId="69934870" w14:textId="1DE6A3B9">
      <w:pPr>
        <w:pStyle w:val="FootnoteText"/>
        <w:rPr>
          <w:sz w:val="24"/>
          <w:szCs w:val="24"/>
        </w:rPr>
      </w:pPr>
    </w:p>
  </w:footnote>
  <w:footnote w:id="10">
    <w:p w:rsidR="00E2173D" w:rsidRPr="00397DBA" w:rsidP="00E2173D" w14:paraId="524ED17E" w14:textId="77777777">
      <w:pPr>
        <w:pStyle w:val="FootnoteText"/>
        <w:rPr>
          <w:sz w:val="24"/>
          <w:szCs w:val="24"/>
        </w:rPr>
      </w:pPr>
      <w:r w:rsidRPr="00397DBA">
        <w:rPr>
          <w:rStyle w:val="FootnoteReference"/>
          <w:sz w:val="24"/>
          <w:szCs w:val="24"/>
        </w:rPr>
        <w:footnoteRef/>
      </w:r>
      <w:r w:rsidRPr="00397DBA">
        <w:rPr>
          <w:sz w:val="24"/>
          <w:szCs w:val="24"/>
        </w:rPr>
        <w:t xml:space="preserve"> </w:t>
      </w:r>
      <w:r w:rsidRPr="00423A83">
        <w:rPr>
          <w:sz w:val="26"/>
          <w:szCs w:val="26"/>
        </w:rPr>
        <w:t>Shippers can use the Commission’s electronic tariff system to locate the tariff record containing the NAESB standards, which will indicate the docket in which any waiver or extension of time was granted.</w:t>
      </w:r>
    </w:p>
  </w:footnote>
  <w:footnote w:id="11">
    <w:p w:rsidR="00E2173D" w:rsidRPr="00397DBA" w:rsidP="00E2173D" w14:paraId="34C7C2B0" w14:textId="3423C195">
      <w:pPr>
        <w:pStyle w:val="FootnoteText"/>
        <w:rPr>
          <w:sz w:val="24"/>
          <w:szCs w:val="24"/>
        </w:rPr>
      </w:pPr>
      <w:r w:rsidRPr="00397DBA">
        <w:rPr>
          <w:rStyle w:val="FootnoteReference"/>
          <w:sz w:val="24"/>
          <w:szCs w:val="24"/>
        </w:rPr>
        <w:footnoteRef/>
      </w:r>
      <w:r w:rsidRPr="00397DBA">
        <w:rPr>
          <w:sz w:val="24"/>
          <w:szCs w:val="24"/>
        </w:rPr>
        <w:t xml:space="preserve"> </w:t>
      </w:r>
      <w:r w:rsidRPr="00423A83">
        <w:rPr>
          <w:sz w:val="26"/>
          <w:szCs w:val="26"/>
        </w:rPr>
        <w:t>Ord</w:t>
      </w:r>
      <w:r w:rsidRPr="00423A83" w:rsidR="00B37A0D">
        <w:rPr>
          <w:sz w:val="26"/>
          <w:szCs w:val="26"/>
        </w:rPr>
        <w:t>er</w:t>
      </w:r>
      <w:r w:rsidRPr="00423A83">
        <w:rPr>
          <w:sz w:val="26"/>
          <w:szCs w:val="26"/>
        </w:rPr>
        <w:t xml:space="preserve"> No. 587-V, 140 FERC ¶ 61,036.</w:t>
      </w:r>
      <w:r w:rsidR="008851EE">
        <w:rPr>
          <w:sz w:val="24"/>
          <w:szCs w:val="24"/>
        </w:rPr>
        <w:t xml:space="preserve"> </w:t>
      </w:r>
    </w:p>
  </w:footnote>
  <w:footnote w:id="12">
    <w:p w:rsidR="00CC5903" w14:paraId="62C8AFC5" w14:textId="3F191346">
      <w:pPr>
        <w:pStyle w:val="FootnoteText"/>
      </w:pPr>
      <w:r>
        <w:rPr>
          <w:rStyle w:val="FootnoteReference"/>
        </w:rPr>
        <w:footnoteRef/>
      </w:r>
      <w:r>
        <w:t xml:space="preserve"> </w:t>
      </w:r>
      <w:r w:rsidRPr="00423A83" w:rsidR="00A5568E">
        <w:rPr>
          <w:sz w:val="26"/>
          <w:szCs w:val="26"/>
        </w:rPr>
        <w:t>Order No. 587-V Compliance Order, 141 FERC ¶ 61,167 at PP 4, 38 (a pipeline does not need to seek a waiver for standards that address business practices that the pipeline does not offer).</w:t>
      </w:r>
    </w:p>
  </w:footnote>
  <w:footnote w:id="13">
    <w:p w:rsidR="00511180" w14:paraId="661B97F2" w14:textId="24FAB7F2">
      <w:pPr>
        <w:pStyle w:val="FootnoteText"/>
      </w:pPr>
      <w:r>
        <w:rPr>
          <w:rStyle w:val="FootnoteReference"/>
        </w:rPr>
        <w:footnoteRef/>
      </w:r>
      <w:r>
        <w:t xml:space="preserve"> </w:t>
      </w:r>
      <w:r w:rsidRPr="00423A83">
        <w:rPr>
          <w:sz w:val="26"/>
          <w:szCs w:val="26"/>
        </w:rPr>
        <w:t xml:space="preserve">Please refer to Appendix A on last page of the Supporting Statement or refer to the link </w:t>
      </w:r>
      <w:hyperlink r:id="rId1" w:history="1">
        <w:r w:rsidRPr="00423A83">
          <w:rPr>
            <w:rStyle w:val="Hyperlink"/>
            <w:sz w:val="26"/>
            <w:szCs w:val="26"/>
          </w:rPr>
          <w:t>https://ferconline.ferc.gov/FERCOnline.aspx</w:t>
        </w:r>
      </w:hyperlink>
    </w:p>
    <w:p w:rsidR="00511180" w14:paraId="4308075A" w14:textId="77777777">
      <w:pPr>
        <w:pStyle w:val="FootnoteText"/>
      </w:pPr>
    </w:p>
  </w:footnote>
  <w:footnote w:id="14">
    <w:p w:rsidR="00746395" w:rsidRPr="00746395" w14:paraId="431AC4D7" w14:textId="058ACE96">
      <w:pPr>
        <w:pStyle w:val="FootnoteText"/>
        <w:rPr>
          <w:sz w:val="26"/>
          <w:szCs w:val="26"/>
        </w:rPr>
      </w:pPr>
      <w:r w:rsidRPr="00746395">
        <w:rPr>
          <w:rStyle w:val="FootnoteReference"/>
        </w:rPr>
        <w:footnoteRef/>
      </w:r>
      <w:r w:rsidRPr="00746395">
        <w:rPr>
          <w:sz w:val="26"/>
          <w:szCs w:val="26"/>
        </w:rPr>
        <w:t xml:space="preserve"> The estimated hourly cost (salary plus benefits) provided in this section is based on the salary figures for May 2023 posted by the Bureau of Labor Statistics for the Utilities sector (available at </w:t>
      </w:r>
      <w:hyperlink r:id="rId2" w:history="1">
        <w:r w:rsidRPr="00746395">
          <w:rPr>
            <w:rStyle w:val="Hyperlink"/>
            <w:sz w:val="26"/>
            <w:szCs w:val="26"/>
          </w:rPr>
          <w:t>https://www.bls.gov/oes/current/naics3_221000.htm</w:t>
        </w:r>
      </w:hyperlink>
      <w:r w:rsidRPr="00746395">
        <w:rPr>
          <w:sz w:val="26"/>
          <w:szCs w:val="26"/>
        </w:rPr>
        <w:t xml:space="preserve">) and scaled to reflect benefits using the relative importance of employer costs for employee compensation from March 2023 available at </w:t>
      </w:r>
      <w:hyperlink r:id="rId3" w:history="1">
        <w:r w:rsidRPr="00746395">
          <w:rPr>
            <w:rStyle w:val="Hyperlink"/>
            <w:sz w:val="26"/>
            <w:szCs w:val="26"/>
          </w:rPr>
          <w:t>https://www.bls.gov/news.release/ecec.nr0.htm</w:t>
        </w:r>
      </w:hyperlink>
      <w:r w:rsidRPr="00746395">
        <w:rPr>
          <w:sz w:val="26"/>
          <w:szCs w:val="26"/>
        </w:rPr>
        <w:t>).  The hourly estimates for salary plus benefits are:  Computer and Information Systems Manager (Occupation Code:  11-3021), $115.47; Computer and Information Analysts (Occupation Code:  15-1210), $80.10; Electrical Engineer (Occupation Code:  17-2071), $79.31; Legal (Occupation Code:  23-0000), $162.66.  The average hourly cost (salary plus benefits) weighting all of the above skill sets evenly, is $109.38.  We round it to $109/hour.</w:t>
      </w:r>
    </w:p>
  </w:footnote>
  <w:footnote w:id="15">
    <w:p w:rsidR="001829D7" w:rsidRPr="001829D7" w14:paraId="08B65789" w14:textId="48BD94DE">
      <w:pPr>
        <w:pStyle w:val="FootnoteText"/>
        <w:rPr>
          <w:sz w:val="26"/>
          <w:szCs w:val="26"/>
        </w:rPr>
      </w:pPr>
      <w:r w:rsidRPr="001829D7">
        <w:rPr>
          <w:rStyle w:val="FootnoteReference"/>
        </w:rPr>
        <w:footnoteRef/>
      </w:r>
      <w:r w:rsidRPr="001829D7">
        <w:rPr>
          <w:sz w:val="26"/>
          <w:szCs w:val="26"/>
        </w:rPr>
        <w:t xml:space="preserve"> </w:t>
      </w:r>
      <w:r w:rsidRPr="001829D7" w:rsidR="00505463">
        <w:rPr>
          <w:sz w:val="26"/>
          <w:szCs w:val="26"/>
        </w:rPr>
        <w:t>This estimate was</w:t>
      </w:r>
      <w:r w:rsidRPr="001829D7" w:rsidR="00252CF8">
        <w:rPr>
          <w:sz w:val="26"/>
          <w:szCs w:val="26"/>
        </w:rPr>
        <w:t xml:space="preserve"> most</w:t>
      </w:r>
      <w:r w:rsidRPr="001829D7" w:rsidR="00505463">
        <w:rPr>
          <w:sz w:val="26"/>
          <w:szCs w:val="26"/>
        </w:rPr>
        <w:t xml:space="preserve"> recently updated </w:t>
      </w:r>
      <w:r w:rsidRPr="001829D7" w:rsidR="00D10A1B">
        <w:rPr>
          <w:sz w:val="26"/>
          <w:szCs w:val="26"/>
        </w:rPr>
        <w:t xml:space="preserve">in RM96-1-043, which was approved by OMB on </w:t>
      </w:r>
      <w:r w:rsidRPr="001829D7" w:rsidR="00B07752">
        <w:rPr>
          <w:sz w:val="26"/>
          <w:szCs w:val="26"/>
        </w:rPr>
        <w:t>March 25, 2025</w:t>
      </w:r>
      <w:r w:rsidRPr="001829D7" w:rsidR="00252CF8">
        <w:rPr>
          <w:sz w:val="26"/>
          <w:szCs w:val="26"/>
        </w:rPr>
        <w:t xml:space="preserve">  (ICR</w:t>
      </w:r>
      <w:r w:rsidRPr="001829D7" w:rsidR="0078064C">
        <w:rPr>
          <w:sz w:val="26"/>
          <w:szCs w:val="26"/>
        </w:rPr>
        <w:t xml:space="preserve"> 202501-1902-009)</w:t>
      </w:r>
      <w:r w:rsidRPr="001829D7" w:rsidR="00B07752">
        <w:rPr>
          <w:sz w:val="26"/>
          <w:szCs w:val="26"/>
        </w:rPr>
        <w:t>. However, due to the</w:t>
      </w:r>
      <w:r w:rsidRPr="001829D7" w:rsidR="0078064C">
        <w:rPr>
          <w:sz w:val="26"/>
          <w:szCs w:val="26"/>
        </w:rPr>
        <w:t xml:space="preserve"> </w:t>
      </w:r>
      <w:r w:rsidRPr="001829D7" w:rsidR="00B07752">
        <w:rPr>
          <w:sz w:val="26"/>
          <w:szCs w:val="26"/>
        </w:rPr>
        <w:t>rulemaking, FERC issued notices citing the existing burden under RM96-1-042</w:t>
      </w:r>
      <w:r w:rsidR="0017490C">
        <w:rPr>
          <w:sz w:val="26"/>
          <w:szCs w:val="26"/>
        </w:rPr>
        <w:t>.</w:t>
      </w:r>
      <w:r w:rsidRPr="001829D7" w:rsidR="00B07752">
        <w:rPr>
          <w:sz w:val="26"/>
          <w:szCs w:val="26"/>
        </w:rPr>
        <w:t xml:space="preserve"> </w:t>
      </w:r>
      <w:r w:rsidRPr="001829D7">
        <w:rPr>
          <w:sz w:val="26"/>
          <w:szCs w:val="26"/>
        </w:rPr>
        <w:t xml:space="preserve">This </w:t>
      </w:r>
      <w:r w:rsidRPr="001829D7" w:rsidR="00505463">
        <w:rPr>
          <w:sz w:val="26"/>
          <w:szCs w:val="26"/>
        </w:rPr>
        <w:t xml:space="preserve">estimate in ROCIS is </w:t>
      </w:r>
      <w:r w:rsidRPr="001829D7" w:rsidR="00B81D0C">
        <w:rPr>
          <w:sz w:val="26"/>
          <w:szCs w:val="26"/>
        </w:rPr>
        <w:t>averaged over</w:t>
      </w:r>
      <w:r w:rsidRPr="001829D7" w:rsidR="00505463">
        <w:rPr>
          <w:sz w:val="26"/>
          <w:szCs w:val="26"/>
        </w:rPr>
        <w:t xml:space="preserve"> </w:t>
      </w:r>
      <w:r w:rsidRPr="001829D7" w:rsidR="00B07752">
        <w:rPr>
          <w:sz w:val="26"/>
          <w:szCs w:val="26"/>
        </w:rPr>
        <w:t xml:space="preserve">three </w:t>
      </w:r>
      <w:r w:rsidRPr="001829D7" w:rsidR="00B81D0C">
        <w:rPr>
          <w:sz w:val="26"/>
          <w:szCs w:val="26"/>
        </w:rPr>
        <w:t>years</w:t>
      </w:r>
      <w:r w:rsidR="00F27F59">
        <w:rPr>
          <w:sz w:val="26"/>
          <w:szCs w:val="26"/>
        </w:rPr>
        <w:t>, which totals 64.33 responses</w:t>
      </w:r>
      <w:r w:rsidR="00626F8A">
        <w:rPr>
          <w:sz w:val="26"/>
          <w:szCs w:val="26"/>
        </w:rPr>
        <w:t xml:space="preserve">. </w:t>
      </w:r>
    </w:p>
  </w:footnote>
  <w:footnote w:id="16">
    <w:p w:rsidR="001829D7" w14:paraId="62C3E754" w14:textId="55543585">
      <w:pPr>
        <w:pStyle w:val="FootnoteText"/>
      </w:pPr>
      <w:r w:rsidRPr="001829D7">
        <w:rPr>
          <w:b/>
          <w:bCs/>
          <w:sz w:val="26"/>
          <w:szCs w:val="26"/>
          <w:vertAlign w:val="superscript"/>
        </w:rPr>
        <w:footnoteRef/>
      </w:r>
      <w:r w:rsidRPr="001829D7">
        <w:rPr>
          <w:sz w:val="26"/>
          <w:szCs w:val="26"/>
        </w:rPr>
        <w:t xml:space="preserve"> Project-Area Wage Standards in the Labor Cost Component of Cost-of-Service Rates under Docket No. PL24-1-000 was issued on March 21, 2024, which allows jurisdictional entities to include wages consistent with project-area standards in cost-of-service rates filed with the Commission where the record supports that outcome.</w:t>
      </w:r>
    </w:p>
  </w:footnote>
  <w:footnote w:id="17">
    <w:p w:rsidR="00D36F12" w:rsidRPr="005E5E83" w:rsidP="002567E4" w14:paraId="1AA21F48" w14:textId="0AFA0377">
      <w:pPr>
        <w:pStyle w:val="FootnoteText"/>
        <w:rPr>
          <w:sz w:val="26"/>
          <w:szCs w:val="24"/>
        </w:rPr>
      </w:pPr>
      <w:r w:rsidRPr="005E5E83">
        <w:rPr>
          <w:rStyle w:val="FootnoteReference"/>
          <w:szCs w:val="24"/>
        </w:rPr>
        <w:footnoteRef/>
      </w:r>
      <w:r w:rsidRPr="005E5E83">
        <w:rPr>
          <w:sz w:val="26"/>
          <w:szCs w:val="24"/>
        </w:rPr>
        <w:t xml:space="preserve"> Based on FERC’s Fiscal Year 20</w:t>
      </w:r>
      <w:r w:rsidRPr="005E5E83" w:rsidR="00FB3579">
        <w:rPr>
          <w:sz w:val="26"/>
          <w:szCs w:val="24"/>
        </w:rPr>
        <w:t>21</w:t>
      </w:r>
      <w:r w:rsidRPr="005E5E83">
        <w:rPr>
          <w:sz w:val="26"/>
          <w:szCs w:val="24"/>
        </w:rPr>
        <w:t xml:space="preserve"> average cost per FTE (salary plus benefits) of $</w:t>
      </w:r>
      <w:r w:rsidR="00D379D6">
        <w:rPr>
          <w:sz w:val="26"/>
          <w:szCs w:val="24"/>
        </w:rPr>
        <w:t>207</w:t>
      </w:r>
      <w:r w:rsidRPr="005E5E83" w:rsidR="00573C31">
        <w:rPr>
          <w:sz w:val="26"/>
          <w:szCs w:val="24"/>
        </w:rPr>
        <w:t>,</w:t>
      </w:r>
      <w:r w:rsidRPr="005E5E83" w:rsidR="00FB3579">
        <w:rPr>
          <w:sz w:val="26"/>
          <w:szCs w:val="24"/>
        </w:rPr>
        <w:t>7</w:t>
      </w:r>
      <w:r w:rsidR="00D379D6">
        <w:rPr>
          <w:sz w:val="26"/>
          <w:szCs w:val="24"/>
        </w:rPr>
        <w:t>86</w:t>
      </w:r>
      <w:r w:rsidRPr="005E5E83">
        <w:rPr>
          <w:sz w:val="26"/>
          <w:szCs w:val="24"/>
        </w:rPr>
        <w:t xml:space="preserve"> per year</w:t>
      </w:r>
      <w:r w:rsidR="00D379D6">
        <w:rPr>
          <w:sz w:val="26"/>
          <w:szCs w:val="24"/>
        </w:rPr>
        <w:t xml:space="preserve">, </w:t>
      </w:r>
      <w:r w:rsidRPr="005E5E83">
        <w:rPr>
          <w:sz w:val="26"/>
          <w:szCs w:val="24"/>
        </w:rPr>
        <w:t>rounded to $</w:t>
      </w:r>
      <w:r w:rsidR="00D379D6">
        <w:rPr>
          <w:sz w:val="26"/>
          <w:szCs w:val="24"/>
        </w:rPr>
        <w:t>100</w:t>
      </w:r>
      <w:r w:rsidRPr="005E5E83">
        <w:rPr>
          <w:sz w:val="26"/>
          <w:szCs w:val="24"/>
        </w:rPr>
        <w:t xml:space="preserve">.00 per hour. </w:t>
      </w:r>
    </w:p>
  </w:footnote>
  <w:footnote w:id="18">
    <w:p w:rsidR="00D36F12" w:rsidRPr="005E5E83" w:rsidP="002567E4" w14:paraId="5896C281" w14:textId="77777777">
      <w:pPr>
        <w:pStyle w:val="FootnoteText"/>
        <w:rPr>
          <w:sz w:val="26"/>
          <w:szCs w:val="24"/>
        </w:rPr>
      </w:pPr>
      <w:r w:rsidRPr="005E5E83">
        <w:rPr>
          <w:rStyle w:val="FootnoteReference"/>
          <w:szCs w:val="24"/>
        </w:rPr>
        <w:footnoteRef/>
      </w:r>
      <w:r w:rsidRPr="005E5E83">
        <w:rPr>
          <w:sz w:val="26"/>
          <w:szCs w:val="24"/>
        </w:rPr>
        <w:t xml:space="preserve"> Paperwork Reduction Act of 1995 (PRA)</w:t>
      </w:r>
    </w:p>
  </w:footnote>
  <w:footnote w:id="19">
    <w:p w:rsidR="00D36F12" w:rsidRPr="005E5E83" w:rsidP="002567E4" w14:paraId="2AB0B54B" w14:textId="01FBA6D9">
      <w:pPr>
        <w:pStyle w:val="FootnoteText"/>
        <w:rPr>
          <w:sz w:val="26"/>
          <w:szCs w:val="24"/>
        </w:rPr>
      </w:pPr>
      <w:r w:rsidRPr="005E5E83">
        <w:rPr>
          <w:rStyle w:val="FootnoteReference"/>
          <w:szCs w:val="24"/>
        </w:rPr>
        <w:footnoteRef/>
      </w:r>
      <w:r w:rsidRPr="005E5E83">
        <w:rPr>
          <w:sz w:val="26"/>
          <w:szCs w:val="24"/>
        </w:rPr>
        <w:t xml:space="preserve"> The PRA Administration Cost is $ </w:t>
      </w:r>
      <w:r w:rsidRPr="005E5E83" w:rsidR="00FB3579">
        <w:rPr>
          <w:sz w:val="26"/>
          <w:szCs w:val="24"/>
        </w:rPr>
        <w:t>8,</w:t>
      </w:r>
      <w:r w:rsidR="00423A83">
        <w:rPr>
          <w:sz w:val="26"/>
          <w:szCs w:val="24"/>
        </w:rPr>
        <w:t>3</w:t>
      </w:r>
      <w:r w:rsidRPr="005E5E83" w:rsidR="00FB3579">
        <w:rPr>
          <w:sz w:val="26"/>
          <w:szCs w:val="24"/>
        </w:rPr>
        <w:t>9</w:t>
      </w:r>
      <w:r w:rsidR="00592315">
        <w:rPr>
          <w:sz w:val="26"/>
          <w:szCs w:val="24"/>
        </w:rPr>
        <w:t>6</w:t>
      </w:r>
      <w:r w:rsidRPr="005E5E83">
        <w:rPr>
          <w:sz w:val="26"/>
          <w:szCs w:val="24"/>
        </w:rPr>
        <w:t>, and includes preparing supporting statements, notices, and other activities associated with P</w:t>
      </w:r>
      <w:r w:rsidRPr="005E5E83" w:rsidR="008B59AE">
        <w:rPr>
          <w:sz w:val="26"/>
          <w:szCs w:val="24"/>
        </w:rPr>
        <w:t xml:space="preserve">RA </w:t>
      </w:r>
      <w:r w:rsidRPr="005E5E83">
        <w:rPr>
          <w:sz w:val="26"/>
          <w:szCs w:val="24"/>
        </w:rPr>
        <w:t>compliance.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6F12" w:rsidRPr="00F5428B" w:rsidP="008D4689" w14:paraId="36675F88" w14:textId="77777777">
    <w:pPr>
      <w:pStyle w:val="Header"/>
      <w:framePr w:wrap="around" w:vAnchor="text" w:hAnchor="margin" w:xAlign="right" w:y="1"/>
      <w:rPr>
        <w:rStyle w:val="PageNumber"/>
      </w:rPr>
    </w:pPr>
    <w:r w:rsidRPr="00F5428B">
      <w:rPr>
        <w:rStyle w:val="PageNumber"/>
      </w:rPr>
      <w:fldChar w:fldCharType="begin"/>
    </w:r>
    <w:r w:rsidRPr="00F5428B">
      <w:rPr>
        <w:rStyle w:val="PageNumber"/>
      </w:rPr>
      <w:instrText xml:space="preserve">PAGE  </w:instrText>
    </w:r>
    <w:r w:rsidRPr="00F5428B">
      <w:rPr>
        <w:rStyle w:val="PageNumber"/>
      </w:rPr>
      <w:fldChar w:fldCharType="separate"/>
    </w:r>
    <w:r w:rsidR="007F1802">
      <w:rPr>
        <w:rStyle w:val="PageNumber"/>
        <w:noProof/>
      </w:rPr>
      <w:t>1</w:t>
    </w:r>
    <w:r w:rsidRPr="00F5428B">
      <w:rPr>
        <w:rStyle w:val="PageNumber"/>
      </w:rPr>
      <w:fldChar w:fldCharType="end"/>
    </w:r>
  </w:p>
  <w:p w:rsidR="00D36F12" w:rsidP="002B45F1" w14:paraId="36C8BE19" w14:textId="4DA76967">
    <w:pPr>
      <w:pStyle w:val="Header"/>
    </w:pPr>
    <w:r w:rsidRPr="00A873E5">
      <w:t>FERC-545 (OMB Control No. 1902-0154)</w:t>
    </w:r>
  </w:p>
  <w:p w:rsidR="00DD0B3B" w:rsidP="002B45F1" w14:paraId="2A837501" w14:textId="421A77A0">
    <w:pPr>
      <w:pStyle w:val="Header"/>
    </w:pPr>
    <w:r>
      <w:t>Renewal in Docket No. IC2</w:t>
    </w:r>
    <w:r w:rsidR="006B015E">
      <w:t>5</w:t>
    </w:r>
    <w:r>
      <w:t>-</w:t>
    </w:r>
    <w:r w:rsidR="006B015E">
      <w:t>5-000</w:t>
    </w:r>
  </w:p>
  <w:p w:rsidR="00DA7177" w:rsidP="002B45F1" w14:paraId="0F8186A5" w14:textId="14BD9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1">
    <w:nsid w:val="031C72F6"/>
    <w:multiLevelType w:val="hybridMultilevel"/>
    <w:tmpl w:val="45CAD208"/>
    <w:lvl w:ilvl="0">
      <w:start w:val="1"/>
      <w:numFmt w:val="bullet"/>
      <w:lvlText w:val=""/>
      <w:lvlJc w:val="left"/>
      <w:pPr>
        <w:ind w:left="789" w:hanging="360"/>
      </w:pPr>
      <w:rPr>
        <w:rFonts w:ascii="Symbol" w:hAnsi="Symbol" w:hint="default"/>
      </w:rPr>
    </w:lvl>
    <w:lvl w:ilvl="1" w:tentative="1">
      <w:start w:val="1"/>
      <w:numFmt w:val="bullet"/>
      <w:lvlText w:val="o"/>
      <w:lvlJc w:val="left"/>
      <w:pPr>
        <w:ind w:left="1509" w:hanging="360"/>
      </w:pPr>
      <w:rPr>
        <w:rFonts w:ascii="Courier New" w:hAnsi="Courier New" w:cs="Courier New" w:hint="default"/>
      </w:rPr>
    </w:lvl>
    <w:lvl w:ilvl="2" w:tentative="1">
      <w:start w:val="1"/>
      <w:numFmt w:val="bullet"/>
      <w:lvlText w:val=""/>
      <w:lvlJc w:val="left"/>
      <w:pPr>
        <w:ind w:left="2229" w:hanging="360"/>
      </w:pPr>
      <w:rPr>
        <w:rFonts w:ascii="Wingdings" w:hAnsi="Wingdings" w:hint="default"/>
      </w:rPr>
    </w:lvl>
    <w:lvl w:ilvl="3" w:tentative="1">
      <w:start w:val="1"/>
      <w:numFmt w:val="bullet"/>
      <w:lvlText w:val=""/>
      <w:lvlJc w:val="left"/>
      <w:pPr>
        <w:ind w:left="2949" w:hanging="360"/>
      </w:pPr>
      <w:rPr>
        <w:rFonts w:ascii="Symbol" w:hAnsi="Symbol" w:hint="default"/>
      </w:rPr>
    </w:lvl>
    <w:lvl w:ilvl="4" w:tentative="1">
      <w:start w:val="1"/>
      <w:numFmt w:val="bullet"/>
      <w:lvlText w:val="o"/>
      <w:lvlJc w:val="left"/>
      <w:pPr>
        <w:ind w:left="3669" w:hanging="360"/>
      </w:pPr>
      <w:rPr>
        <w:rFonts w:ascii="Courier New" w:hAnsi="Courier New" w:cs="Courier New" w:hint="default"/>
      </w:rPr>
    </w:lvl>
    <w:lvl w:ilvl="5" w:tentative="1">
      <w:start w:val="1"/>
      <w:numFmt w:val="bullet"/>
      <w:lvlText w:val=""/>
      <w:lvlJc w:val="left"/>
      <w:pPr>
        <w:ind w:left="4389" w:hanging="360"/>
      </w:pPr>
      <w:rPr>
        <w:rFonts w:ascii="Wingdings" w:hAnsi="Wingdings" w:hint="default"/>
      </w:rPr>
    </w:lvl>
    <w:lvl w:ilvl="6" w:tentative="1">
      <w:start w:val="1"/>
      <w:numFmt w:val="bullet"/>
      <w:lvlText w:val=""/>
      <w:lvlJc w:val="left"/>
      <w:pPr>
        <w:ind w:left="5109" w:hanging="360"/>
      </w:pPr>
      <w:rPr>
        <w:rFonts w:ascii="Symbol" w:hAnsi="Symbol" w:hint="default"/>
      </w:rPr>
    </w:lvl>
    <w:lvl w:ilvl="7" w:tentative="1">
      <w:start w:val="1"/>
      <w:numFmt w:val="bullet"/>
      <w:lvlText w:val="o"/>
      <w:lvlJc w:val="left"/>
      <w:pPr>
        <w:ind w:left="5829" w:hanging="360"/>
      </w:pPr>
      <w:rPr>
        <w:rFonts w:ascii="Courier New" w:hAnsi="Courier New" w:cs="Courier New" w:hint="default"/>
      </w:rPr>
    </w:lvl>
    <w:lvl w:ilvl="8" w:tentative="1">
      <w:start w:val="1"/>
      <w:numFmt w:val="bullet"/>
      <w:lvlText w:val=""/>
      <w:lvlJc w:val="left"/>
      <w:pPr>
        <w:ind w:left="6549" w:hanging="360"/>
      </w:pPr>
      <w:rPr>
        <w:rFonts w:ascii="Wingdings" w:hAnsi="Wingdings" w:hint="default"/>
      </w:rPr>
    </w:lvl>
  </w:abstractNum>
  <w:abstractNum w:abstractNumId="2">
    <w:nsid w:val="05D32DCB"/>
    <w:multiLevelType w:val="hybridMultilevel"/>
    <w:tmpl w:val="196462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24364F"/>
    <w:multiLevelType w:val="hybridMultilevel"/>
    <w:tmpl w:val="8B4EB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C27B7B"/>
    <w:multiLevelType w:val="hybridMultilevel"/>
    <w:tmpl w:val="205A7DE6"/>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5">
    <w:nsid w:val="27B921E5"/>
    <w:multiLevelType w:val="hybridMultilevel"/>
    <w:tmpl w:val="3904AB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E204DF4"/>
    <w:multiLevelType w:val="hybridMultilevel"/>
    <w:tmpl w:val="8794AC5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33655DC0"/>
    <w:multiLevelType w:val="hybridMultilevel"/>
    <w:tmpl w:val="98F206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53E4AC2"/>
    <w:multiLevelType w:val="hybridMultilevel"/>
    <w:tmpl w:val="6CEC06CE"/>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9">
    <w:nsid w:val="38612251"/>
    <w:multiLevelType w:val="hybridMultilevel"/>
    <w:tmpl w:val="5A748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A208B7"/>
    <w:multiLevelType w:val="hybridMultilevel"/>
    <w:tmpl w:val="44723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F37C9E"/>
    <w:multiLevelType w:val="hybridMultilevel"/>
    <w:tmpl w:val="FE2A58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11562D7"/>
    <w:multiLevelType w:val="hybridMultilevel"/>
    <w:tmpl w:val="57F238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D25118E"/>
    <w:multiLevelType w:val="hybridMultilevel"/>
    <w:tmpl w:val="54BAEE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4AB47FD"/>
    <w:multiLevelType w:val="hybridMultilevel"/>
    <w:tmpl w:val="0AEA2A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6AC1F6C"/>
    <w:multiLevelType w:val="hybridMultilevel"/>
    <w:tmpl w:val="4F8ADF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76B3665"/>
    <w:multiLevelType w:val="hybridMultilevel"/>
    <w:tmpl w:val="1A1E373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8">
    <w:nsid w:val="684C7D3A"/>
    <w:multiLevelType w:val="hybridMultilevel"/>
    <w:tmpl w:val="32F2D6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0443E19"/>
    <w:multiLevelType w:val="hybridMultilevel"/>
    <w:tmpl w:val="EE5850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1087E03"/>
    <w:multiLevelType w:val="hybridMultilevel"/>
    <w:tmpl w:val="2F0C2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219055B"/>
    <w:multiLevelType w:val="hybridMultilevel"/>
    <w:tmpl w:val="29866C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6A973A4"/>
    <w:multiLevelType w:val="hybridMultilevel"/>
    <w:tmpl w:val="706440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3B09D3"/>
    <w:multiLevelType w:val="hybridMultilevel"/>
    <w:tmpl w:val="CBA4F348"/>
    <w:lvl w:ilvl="0">
      <w:start w:val="1"/>
      <w:numFmt w:val="decimal"/>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E4E4DD3"/>
    <w:multiLevelType w:val="hybridMultilevel"/>
    <w:tmpl w:val="C6FC6362"/>
    <w:lvl w:ilvl="0">
      <w:start w:val="1"/>
      <w:numFmt w:val="decimal"/>
      <w:lvlText w:val="%1."/>
      <w:lvlJc w:val="left"/>
      <w:pPr>
        <w:tabs>
          <w:tab w:val="num" w:pos="720"/>
        </w:tabs>
        <w:ind w:left="0" w:firstLine="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18070432">
    <w:abstractNumId w:val="14"/>
  </w:num>
  <w:num w:numId="2" w16cid:durableId="1643848926">
    <w:abstractNumId w:val="0"/>
    <w:lvlOverride w:ilvl="0">
      <w:lvl w:ilvl="0">
        <w:start w:val="1"/>
        <w:numFmt w:val="decimal"/>
        <w:pStyle w:val="Level1"/>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0"/>
        <w:numFmt w:val="decimal"/>
        <w:lvlJc w:val="left"/>
      </w:lvl>
    </w:lvlOverride>
  </w:num>
  <w:num w:numId="3" w16cid:durableId="2059473877">
    <w:abstractNumId w:val="0"/>
    <w:lvlOverride w:ilvl="0">
      <w:startOverride w:val="11"/>
      <w:lvl w:ilvl="0">
        <w:start w:val="11"/>
        <w:numFmt w:val="decimal"/>
        <w:pStyle w:val="Level1"/>
        <w:lvlText w:val="%1."/>
        <w:lvlJc w:val="left"/>
      </w:lvl>
    </w:lvlOverride>
  </w:num>
  <w:num w:numId="4" w16cid:durableId="389575225">
    <w:abstractNumId w:val="17"/>
  </w:num>
  <w:num w:numId="5" w16cid:durableId="1451245720">
    <w:abstractNumId w:val="6"/>
  </w:num>
  <w:num w:numId="6" w16cid:durableId="2126806212">
    <w:abstractNumId w:val="24"/>
  </w:num>
  <w:num w:numId="7" w16cid:durableId="1339314144">
    <w:abstractNumId w:val="3"/>
  </w:num>
  <w:num w:numId="8" w16cid:durableId="1935896001">
    <w:abstractNumId w:val="1"/>
  </w:num>
  <w:num w:numId="9" w16cid:durableId="1059016754">
    <w:abstractNumId w:val="12"/>
  </w:num>
  <w:num w:numId="10" w16cid:durableId="2016181141">
    <w:abstractNumId w:val="16"/>
  </w:num>
  <w:num w:numId="11" w16cid:durableId="713653898">
    <w:abstractNumId w:val="21"/>
  </w:num>
  <w:num w:numId="12" w16cid:durableId="2111655737">
    <w:abstractNumId w:val="2"/>
  </w:num>
  <w:num w:numId="13" w16cid:durableId="1858881915">
    <w:abstractNumId w:val="20"/>
  </w:num>
  <w:num w:numId="14" w16cid:durableId="1080172694">
    <w:abstractNumId w:val="23"/>
  </w:num>
  <w:num w:numId="15" w16cid:durableId="414591780">
    <w:abstractNumId w:val="18"/>
  </w:num>
  <w:num w:numId="16" w16cid:durableId="847718870">
    <w:abstractNumId w:val="10"/>
  </w:num>
  <w:num w:numId="17" w16cid:durableId="625351565">
    <w:abstractNumId w:val="7"/>
  </w:num>
  <w:num w:numId="18" w16cid:durableId="671228123">
    <w:abstractNumId w:val="0"/>
    <w:lvlOverride w:ilvl="0">
      <w:startOverride w:val="10"/>
      <w:lvl w:ilvl="0">
        <w:start w:val="10"/>
        <w:numFmt w:val="decimal"/>
        <w:pStyle w:val="Level1"/>
        <w:lvlText w:val="%1."/>
        <w:lvlJc w:val="left"/>
      </w:lvl>
    </w:lvlOverride>
  </w:num>
  <w:num w:numId="19" w16cid:durableId="719675163">
    <w:abstractNumId w:val="22"/>
  </w:num>
  <w:num w:numId="20" w16cid:durableId="698239176">
    <w:abstractNumId w:val="13"/>
  </w:num>
  <w:num w:numId="21" w16cid:durableId="1174300176">
    <w:abstractNumId w:val="8"/>
  </w:num>
  <w:num w:numId="22" w16cid:durableId="1165167382">
    <w:abstractNumId w:val="4"/>
  </w:num>
  <w:num w:numId="23" w16cid:durableId="472409435">
    <w:abstractNumId w:val="19"/>
  </w:num>
  <w:num w:numId="24" w16cid:durableId="1353648460">
    <w:abstractNumId w:val="11"/>
  </w:num>
  <w:num w:numId="25" w16cid:durableId="1188640003">
    <w:abstractNumId w:val="5"/>
  </w:num>
  <w:num w:numId="26" w16cid:durableId="1463114362">
    <w:abstractNumId w:val="15"/>
  </w:num>
  <w:num w:numId="27" w16cid:durableId="1993411017">
    <w:abstractNumId w:val="0"/>
    <w:lvlOverride w:ilvl="0">
      <w:lvl w:ilvl="0">
        <w:start w:val="1"/>
        <w:numFmt w:val="decimal"/>
        <w:pStyle w:val="Level1"/>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0"/>
        <w:numFmt w:val="decimal"/>
        <w:lvlJc w:val="left"/>
        <w:pPr>
          <w:ind w:left="0" w:firstLine="0"/>
        </w:pPr>
        <w:rPr>
          <w:rFonts w:hint="default"/>
        </w:rPr>
      </w:lvl>
    </w:lvlOverride>
  </w:num>
  <w:num w:numId="28" w16cid:durableId="410736761">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9" w16cid:durableId="246454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BE"/>
    <w:rsid w:val="0000597D"/>
    <w:rsid w:val="00006D51"/>
    <w:rsid w:val="00010210"/>
    <w:rsid w:val="00014A02"/>
    <w:rsid w:val="00015DA5"/>
    <w:rsid w:val="00017ECF"/>
    <w:rsid w:val="000219E1"/>
    <w:rsid w:val="00023257"/>
    <w:rsid w:val="000262CA"/>
    <w:rsid w:val="000313DC"/>
    <w:rsid w:val="000326C9"/>
    <w:rsid w:val="00035182"/>
    <w:rsid w:val="000413EB"/>
    <w:rsid w:val="00050616"/>
    <w:rsid w:val="000524C2"/>
    <w:rsid w:val="00052AF3"/>
    <w:rsid w:val="000652A8"/>
    <w:rsid w:val="0007465D"/>
    <w:rsid w:val="00074EFD"/>
    <w:rsid w:val="00083D1F"/>
    <w:rsid w:val="00095B57"/>
    <w:rsid w:val="000973F8"/>
    <w:rsid w:val="00097ADC"/>
    <w:rsid w:val="000A09E9"/>
    <w:rsid w:val="000A1ED1"/>
    <w:rsid w:val="000A37F4"/>
    <w:rsid w:val="000A7F95"/>
    <w:rsid w:val="000B03F9"/>
    <w:rsid w:val="000B2552"/>
    <w:rsid w:val="000B2C2A"/>
    <w:rsid w:val="000B3C55"/>
    <w:rsid w:val="000C0189"/>
    <w:rsid w:val="000C4030"/>
    <w:rsid w:val="000C521B"/>
    <w:rsid w:val="000C5550"/>
    <w:rsid w:val="000D03CF"/>
    <w:rsid w:val="000D04FF"/>
    <w:rsid w:val="000E2C3C"/>
    <w:rsid w:val="000E3930"/>
    <w:rsid w:val="000E71C5"/>
    <w:rsid w:val="000F585F"/>
    <w:rsid w:val="000F7D78"/>
    <w:rsid w:val="00103C09"/>
    <w:rsid w:val="00106624"/>
    <w:rsid w:val="00106AB4"/>
    <w:rsid w:val="0010764F"/>
    <w:rsid w:val="001077EF"/>
    <w:rsid w:val="00111D06"/>
    <w:rsid w:val="001235FD"/>
    <w:rsid w:val="001238D0"/>
    <w:rsid w:val="001238DF"/>
    <w:rsid w:val="00132E7B"/>
    <w:rsid w:val="00133C8D"/>
    <w:rsid w:val="001361B9"/>
    <w:rsid w:val="00141E40"/>
    <w:rsid w:val="00143797"/>
    <w:rsid w:val="001456AE"/>
    <w:rsid w:val="00151D4C"/>
    <w:rsid w:val="00153E29"/>
    <w:rsid w:val="00157642"/>
    <w:rsid w:val="00162EBD"/>
    <w:rsid w:val="00165402"/>
    <w:rsid w:val="00171589"/>
    <w:rsid w:val="0017490C"/>
    <w:rsid w:val="001829D7"/>
    <w:rsid w:val="001839B0"/>
    <w:rsid w:val="001848CC"/>
    <w:rsid w:val="00184CCB"/>
    <w:rsid w:val="00185817"/>
    <w:rsid w:val="001906DD"/>
    <w:rsid w:val="00190CD4"/>
    <w:rsid w:val="00190FB7"/>
    <w:rsid w:val="001915FB"/>
    <w:rsid w:val="001A535C"/>
    <w:rsid w:val="001B1135"/>
    <w:rsid w:val="001B70EF"/>
    <w:rsid w:val="001C0492"/>
    <w:rsid w:val="001D5A3B"/>
    <w:rsid w:val="001E1258"/>
    <w:rsid w:val="001E14D8"/>
    <w:rsid w:val="001F1E2C"/>
    <w:rsid w:val="001F1E84"/>
    <w:rsid w:val="0020662B"/>
    <w:rsid w:val="00212D57"/>
    <w:rsid w:val="00215D6C"/>
    <w:rsid w:val="00216196"/>
    <w:rsid w:val="00225E85"/>
    <w:rsid w:val="00241C42"/>
    <w:rsid w:val="00252CF8"/>
    <w:rsid w:val="00256088"/>
    <w:rsid w:val="002567E4"/>
    <w:rsid w:val="00261F73"/>
    <w:rsid w:val="00267740"/>
    <w:rsid w:val="00275D69"/>
    <w:rsid w:val="00277544"/>
    <w:rsid w:val="0027779E"/>
    <w:rsid w:val="0028518C"/>
    <w:rsid w:val="0028706A"/>
    <w:rsid w:val="00292218"/>
    <w:rsid w:val="002922FC"/>
    <w:rsid w:val="00292691"/>
    <w:rsid w:val="00295055"/>
    <w:rsid w:val="002978F1"/>
    <w:rsid w:val="002A2273"/>
    <w:rsid w:val="002A2AFD"/>
    <w:rsid w:val="002A4EBF"/>
    <w:rsid w:val="002A762F"/>
    <w:rsid w:val="002B4415"/>
    <w:rsid w:val="002B45F1"/>
    <w:rsid w:val="002B7D7A"/>
    <w:rsid w:val="002C118D"/>
    <w:rsid w:val="002C3F33"/>
    <w:rsid w:val="002C65F2"/>
    <w:rsid w:val="002C7122"/>
    <w:rsid w:val="002D0B0C"/>
    <w:rsid w:val="002D11BF"/>
    <w:rsid w:val="002D1A59"/>
    <w:rsid w:val="002D4D89"/>
    <w:rsid w:val="002D7469"/>
    <w:rsid w:val="002D7F3A"/>
    <w:rsid w:val="002E2010"/>
    <w:rsid w:val="002E510C"/>
    <w:rsid w:val="002E6CFA"/>
    <w:rsid w:val="002E7150"/>
    <w:rsid w:val="002E7DA9"/>
    <w:rsid w:val="002F09BB"/>
    <w:rsid w:val="002F301B"/>
    <w:rsid w:val="002F39BD"/>
    <w:rsid w:val="002F6758"/>
    <w:rsid w:val="00300055"/>
    <w:rsid w:val="00300419"/>
    <w:rsid w:val="00301D82"/>
    <w:rsid w:val="00311403"/>
    <w:rsid w:val="0031669B"/>
    <w:rsid w:val="00316D71"/>
    <w:rsid w:val="00344B4F"/>
    <w:rsid w:val="00353A27"/>
    <w:rsid w:val="0035671F"/>
    <w:rsid w:val="00370898"/>
    <w:rsid w:val="003808AD"/>
    <w:rsid w:val="00382D44"/>
    <w:rsid w:val="00382FF3"/>
    <w:rsid w:val="00385B39"/>
    <w:rsid w:val="00387011"/>
    <w:rsid w:val="00395CA7"/>
    <w:rsid w:val="00397DBA"/>
    <w:rsid w:val="003A3B31"/>
    <w:rsid w:val="003A497C"/>
    <w:rsid w:val="003A6CBA"/>
    <w:rsid w:val="003B6C0A"/>
    <w:rsid w:val="003D2136"/>
    <w:rsid w:val="003D2991"/>
    <w:rsid w:val="003E0393"/>
    <w:rsid w:val="003E24F3"/>
    <w:rsid w:val="003E3C16"/>
    <w:rsid w:val="003E5D80"/>
    <w:rsid w:val="003F0E97"/>
    <w:rsid w:val="003F1AE2"/>
    <w:rsid w:val="00402714"/>
    <w:rsid w:val="00405BBE"/>
    <w:rsid w:val="0041154F"/>
    <w:rsid w:val="00413B83"/>
    <w:rsid w:val="00416822"/>
    <w:rsid w:val="00422FB9"/>
    <w:rsid w:val="00423A83"/>
    <w:rsid w:val="00426033"/>
    <w:rsid w:val="004266B7"/>
    <w:rsid w:val="00437783"/>
    <w:rsid w:val="00440A6C"/>
    <w:rsid w:val="00461547"/>
    <w:rsid w:val="00462F10"/>
    <w:rsid w:val="00467965"/>
    <w:rsid w:val="00467A1C"/>
    <w:rsid w:val="004700DA"/>
    <w:rsid w:val="00470E9C"/>
    <w:rsid w:val="0047108C"/>
    <w:rsid w:val="004714B2"/>
    <w:rsid w:val="00473392"/>
    <w:rsid w:val="00476025"/>
    <w:rsid w:val="00476985"/>
    <w:rsid w:val="00480D32"/>
    <w:rsid w:val="00481661"/>
    <w:rsid w:val="004832CE"/>
    <w:rsid w:val="00486616"/>
    <w:rsid w:val="00486D73"/>
    <w:rsid w:val="00490DA8"/>
    <w:rsid w:val="00492D57"/>
    <w:rsid w:val="00493A45"/>
    <w:rsid w:val="004A0929"/>
    <w:rsid w:val="004A4DF1"/>
    <w:rsid w:val="004B16C8"/>
    <w:rsid w:val="004B60FA"/>
    <w:rsid w:val="004C5E4C"/>
    <w:rsid w:val="004D5056"/>
    <w:rsid w:val="004F03A1"/>
    <w:rsid w:val="004F368C"/>
    <w:rsid w:val="004F3FB4"/>
    <w:rsid w:val="00504150"/>
    <w:rsid w:val="00504229"/>
    <w:rsid w:val="00505463"/>
    <w:rsid w:val="00507D06"/>
    <w:rsid w:val="00511180"/>
    <w:rsid w:val="005228C3"/>
    <w:rsid w:val="005258E6"/>
    <w:rsid w:val="00530CC0"/>
    <w:rsid w:val="00531B60"/>
    <w:rsid w:val="00532E40"/>
    <w:rsid w:val="00533037"/>
    <w:rsid w:val="005409EE"/>
    <w:rsid w:val="0054752D"/>
    <w:rsid w:val="00551CA9"/>
    <w:rsid w:val="00552843"/>
    <w:rsid w:val="00554171"/>
    <w:rsid w:val="0056066E"/>
    <w:rsid w:val="00565AA0"/>
    <w:rsid w:val="005703D3"/>
    <w:rsid w:val="00571ED4"/>
    <w:rsid w:val="00573C31"/>
    <w:rsid w:val="00577E07"/>
    <w:rsid w:val="00586B8F"/>
    <w:rsid w:val="0059136A"/>
    <w:rsid w:val="00592315"/>
    <w:rsid w:val="00595B58"/>
    <w:rsid w:val="005A40A7"/>
    <w:rsid w:val="005A77A4"/>
    <w:rsid w:val="005B1CB6"/>
    <w:rsid w:val="005B23F3"/>
    <w:rsid w:val="005B305F"/>
    <w:rsid w:val="005B5AD0"/>
    <w:rsid w:val="005B769C"/>
    <w:rsid w:val="005C31E9"/>
    <w:rsid w:val="005C6925"/>
    <w:rsid w:val="005D286C"/>
    <w:rsid w:val="005E3C93"/>
    <w:rsid w:val="005E583F"/>
    <w:rsid w:val="005E5E83"/>
    <w:rsid w:val="005E7DE0"/>
    <w:rsid w:val="005F0567"/>
    <w:rsid w:val="005F2E53"/>
    <w:rsid w:val="00602497"/>
    <w:rsid w:val="006071DF"/>
    <w:rsid w:val="0060764A"/>
    <w:rsid w:val="006100CA"/>
    <w:rsid w:val="00613D99"/>
    <w:rsid w:val="00615C27"/>
    <w:rsid w:val="0062235D"/>
    <w:rsid w:val="00622554"/>
    <w:rsid w:val="00626F8A"/>
    <w:rsid w:val="00641023"/>
    <w:rsid w:val="006462AD"/>
    <w:rsid w:val="00646645"/>
    <w:rsid w:val="00650E4A"/>
    <w:rsid w:val="006512E7"/>
    <w:rsid w:val="00652747"/>
    <w:rsid w:val="00653765"/>
    <w:rsid w:val="0065564D"/>
    <w:rsid w:val="00671BA2"/>
    <w:rsid w:val="00671C53"/>
    <w:rsid w:val="0067246F"/>
    <w:rsid w:val="00674794"/>
    <w:rsid w:val="00676E88"/>
    <w:rsid w:val="00681128"/>
    <w:rsid w:val="00681600"/>
    <w:rsid w:val="0068251A"/>
    <w:rsid w:val="00684BD1"/>
    <w:rsid w:val="006902FF"/>
    <w:rsid w:val="00691DF4"/>
    <w:rsid w:val="00693FC9"/>
    <w:rsid w:val="006943C1"/>
    <w:rsid w:val="006B015E"/>
    <w:rsid w:val="006B7B80"/>
    <w:rsid w:val="006B7EB4"/>
    <w:rsid w:val="006C2E0E"/>
    <w:rsid w:val="006C7548"/>
    <w:rsid w:val="006D33F8"/>
    <w:rsid w:val="006D79F7"/>
    <w:rsid w:val="006E16B2"/>
    <w:rsid w:val="006E33FE"/>
    <w:rsid w:val="006E49AD"/>
    <w:rsid w:val="006F173C"/>
    <w:rsid w:val="006F3568"/>
    <w:rsid w:val="006F6304"/>
    <w:rsid w:val="006F6327"/>
    <w:rsid w:val="00701E1D"/>
    <w:rsid w:val="007051A1"/>
    <w:rsid w:val="00710313"/>
    <w:rsid w:val="00714BD9"/>
    <w:rsid w:val="00720C73"/>
    <w:rsid w:val="00725D1D"/>
    <w:rsid w:val="00727521"/>
    <w:rsid w:val="00733EDD"/>
    <w:rsid w:val="0073773B"/>
    <w:rsid w:val="00741AE3"/>
    <w:rsid w:val="00744786"/>
    <w:rsid w:val="00746395"/>
    <w:rsid w:val="007502D4"/>
    <w:rsid w:val="00755C82"/>
    <w:rsid w:val="0076212B"/>
    <w:rsid w:val="00763662"/>
    <w:rsid w:val="007777B4"/>
    <w:rsid w:val="00780584"/>
    <w:rsid w:val="0078064C"/>
    <w:rsid w:val="00786B8A"/>
    <w:rsid w:val="00790B4E"/>
    <w:rsid w:val="00790F34"/>
    <w:rsid w:val="007973BC"/>
    <w:rsid w:val="007A42A3"/>
    <w:rsid w:val="007A7CD6"/>
    <w:rsid w:val="007B2A5F"/>
    <w:rsid w:val="007B7E0C"/>
    <w:rsid w:val="007C083D"/>
    <w:rsid w:val="007C35D1"/>
    <w:rsid w:val="007C6F4C"/>
    <w:rsid w:val="007D0453"/>
    <w:rsid w:val="007E1376"/>
    <w:rsid w:val="007F1802"/>
    <w:rsid w:val="007F2B47"/>
    <w:rsid w:val="007F342F"/>
    <w:rsid w:val="007F3726"/>
    <w:rsid w:val="007F3978"/>
    <w:rsid w:val="007F4D97"/>
    <w:rsid w:val="007F5A9F"/>
    <w:rsid w:val="00800B4C"/>
    <w:rsid w:val="00805CDD"/>
    <w:rsid w:val="00806278"/>
    <w:rsid w:val="00811C57"/>
    <w:rsid w:val="00817FF3"/>
    <w:rsid w:val="00824A3C"/>
    <w:rsid w:val="0084474C"/>
    <w:rsid w:val="00852618"/>
    <w:rsid w:val="00852FB0"/>
    <w:rsid w:val="00856CDC"/>
    <w:rsid w:val="00860043"/>
    <w:rsid w:val="008611ED"/>
    <w:rsid w:val="00862E03"/>
    <w:rsid w:val="00863189"/>
    <w:rsid w:val="00863D5C"/>
    <w:rsid w:val="00866355"/>
    <w:rsid w:val="0087618D"/>
    <w:rsid w:val="008851EE"/>
    <w:rsid w:val="00886043"/>
    <w:rsid w:val="00894C90"/>
    <w:rsid w:val="00895DFE"/>
    <w:rsid w:val="008A1B72"/>
    <w:rsid w:val="008A250D"/>
    <w:rsid w:val="008A357B"/>
    <w:rsid w:val="008B0BC4"/>
    <w:rsid w:val="008B125D"/>
    <w:rsid w:val="008B59AE"/>
    <w:rsid w:val="008C0CF7"/>
    <w:rsid w:val="008C4870"/>
    <w:rsid w:val="008D2ECD"/>
    <w:rsid w:val="008D3989"/>
    <w:rsid w:val="008D4689"/>
    <w:rsid w:val="008D6559"/>
    <w:rsid w:val="008E08A2"/>
    <w:rsid w:val="008E47FF"/>
    <w:rsid w:val="008F1A89"/>
    <w:rsid w:val="008F65E6"/>
    <w:rsid w:val="008F718E"/>
    <w:rsid w:val="00903E41"/>
    <w:rsid w:val="00904E70"/>
    <w:rsid w:val="00910DCD"/>
    <w:rsid w:val="009147DD"/>
    <w:rsid w:val="00922E11"/>
    <w:rsid w:val="0094085E"/>
    <w:rsid w:val="00950A2F"/>
    <w:rsid w:val="00954645"/>
    <w:rsid w:val="00962ED3"/>
    <w:rsid w:val="009667DE"/>
    <w:rsid w:val="00966A6B"/>
    <w:rsid w:val="00966D03"/>
    <w:rsid w:val="00971F55"/>
    <w:rsid w:val="0097216E"/>
    <w:rsid w:val="00972313"/>
    <w:rsid w:val="00980CA7"/>
    <w:rsid w:val="00984B5A"/>
    <w:rsid w:val="009862E7"/>
    <w:rsid w:val="00986AA7"/>
    <w:rsid w:val="009878A3"/>
    <w:rsid w:val="009942CC"/>
    <w:rsid w:val="009A7B27"/>
    <w:rsid w:val="009B43B6"/>
    <w:rsid w:val="009B4417"/>
    <w:rsid w:val="009B640A"/>
    <w:rsid w:val="009C3D22"/>
    <w:rsid w:val="009C5ED8"/>
    <w:rsid w:val="009C689C"/>
    <w:rsid w:val="009D1B59"/>
    <w:rsid w:val="009E1DF1"/>
    <w:rsid w:val="009E442F"/>
    <w:rsid w:val="009E5FA3"/>
    <w:rsid w:val="009F020C"/>
    <w:rsid w:val="009F1D05"/>
    <w:rsid w:val="009F2F14"/>
    <w:rsid w:val="00A14FC1"/>
    <w:rsid w:val="00A17430"/>
    <w:rsid w:val="00A1752A"/>
    <w:rsid w:val="00A22959"/>
    <w:rsid w:val="00A235E8"/>
    <w:rsid w:val="00A277D4"/>
    <w:rsid w:val="00A4633A"/>
    <w:rsid w:val="00A5298F"/>
    <w:rsid w:val="00A5568E"/>
    <w:rsid w:val="00A55A48"/>
    <w:rsid w:val="00A560CE"/>
    <w:rsid w:val="00A56675"/>
    <w:rsid w:val="00A60309"/>
    <w:rsid w:val="00A626A7"/>
    <w:rsid w:val="00A64382"/>
    <w:rsid w:val="00A67E95"/>
    <w:rsid w:val="00A70F20"/>
    <w:rsid w:val="00A714CD"/>
    <w:rsid w:val="00A720A5"/>
    <w:rsid w:val="00A7320D"/>
    <w:rsid w:val="00A75096"/>
    <w:rsid w:val="00A753F2"/>
    <w:rsid w:val="00A77753"/>
    <w:rsid w:val="00A836EA"/>
    <w:rsid w:val="00A873E5"/>
    <w:rsid w:val="00A9198F"/>
    <w:rsid w:val="00A93CA6"/>
    <w:rsid w:val="00AA2983"/>
    <w:rsid w:val="00AA44F5"/>
    <w:rsid w:val="00AA7F61"/>
    <w:rsid w:val="00AC1033"/>
    <w:rsid w:val="00AC5B84"/>
    <w:rsid w:val="00AD3668"/>
    <w:rsid w:val="00AE6C06"/>
    <w:rsid w:val="00AF35B3"/>
    <w:rsid w:val="00AF37D7"/>
    <w:rsid w:val="00B0372E"/>
    <w:rsid w:val="00B072EC"/>
    <w:rsid w:val="00B07752"/>
    <w:rsid w:val="00B107C9"/>
    <w:rsid w:val="00B2471C"/>
    <w:rsid w:val="00B24832"/>
    <w:rsid w:val="00B27F3C"/>
    <w:rsid w:val="00B3074E"/>
    <w:rsid w:val="00B33CE5"/>
    <w:rsid w:val="00B33E93"/>
    <w:rsid w:val="00B371E5"/>
    <w:rsid w:val="00B3775B"/>
    <w:rsid w:val="00B37A0D"/>
    <w:rsid w:val="00B37E87"/>
    <w:rsid w:val="00B51119"/>
    <w:rsid w:val="00B5711A"/>
    <w:rsid w:val="00B572D2"/>
    <w:rsid w:val="00B6435E"/>
    <w:rsid w:val="00B64BC1"/>
    <w:rsid w:val="00B64ED8"/>
    <w:rsid w:val="00B67787"/>
    <w:rsid w:val="00B70817"/>
    <w:rsid w:val="00B719A3"/>
    <w:rsid w:val="00B75F7D"/>
    <w:rsid w:val="00B802A5"/>
    <w:rsid w:val="00B81D0C"/>
    <w:rsid w:val="00B82A9C"/>
    <w:rsid w:val="00B83849"/>
    <w:rsid w:val="00B83CB7"/>
    <w:rsid w:val="00B90ECF"/>
    <w:rsid w:val="00B91E69"/>
    <w:rsid w:val="00B95440"/>
    <w:rsid w:val="00B96244"/>
    <w:rsid w:val="00BA3975"/>
    <w:rsid w:val="00BA6D5E"/>
    <w:rsid w:val="00BB1173"/>
    <w:rsid w:val="00BB1744"/>
    <w:rsid w:val="00BC15BE"/>
    <w:rsid w:val="00BC1E6C"/>
    <w:rsid w:val="00BD6921"/>
    <w:rsid w:val="00BD6B0B"/>
    <w:rsid w:val="00BE09BC"/>
    <w:rsid w:val="00BE69C0"/>
    <w:rsid w:val="00BE798C"/>
    <w:rsid w:val="00BE7994"/>
    <w:rsid w:val="00BF47F2"/>
    <w:rsid w:val="00BF6EE3"/>
    <w:rsid w:val="00C002D1"/>
    <w:rsid w:val="00C058F9"/>
    <w:rsid w:val="00C132B3"/>
    <w:rsid w:val="00C152C8"/>
    <w:rsid w:val="00C15F54"/>
    <w:rsid w:val="00C16812"/>
    <w:rsid w:val="00C20093"/>
    <w:rsid w:val="00C274D5"/>
    <w:rsid w:val="00C34573"/>
    <w:rsid w:val="00C375B5"/>
    <w:rsid w:val="00C40086"/>
    <w:rsid w:val="00C4260D"/>
    <w:rsid w:val="00C4337B"/>
    <w:rsid w:val="00C47B91"/>
    <w:rsid w:val="00C50902"/>
    <w:rsid w:val="00C51371"/>
    <w:rsid w:val="00C60DEA"/>
    <w:rsid w:val="00C61E33"/>
    <w:rsid w:val="00C626A4"/>
    <w:rsid w:val="00C6428D"/>
    <w:rsid w:val="00C6528F"/>
    <w:rsid w:val="00C724E7"/>
    <w:rsid w:val="00C73354"/>
    <w:rsid w:val="00C74820"/>
    <w:rsid w:val="00C7624F"/>
    <w:rsid w:val="00C82FB6"/>
    <w:rsid w:val="00C86448"/>
    <w:rsid w:val="00C91AC4"/>
    <w:rsid w:val="00C950E3"/>
    <w:rsid w:val="00C95983"/>
    <w:rsid w:val="00CA097A"/>
    <w:rsid w:val="00CA2C66"/>
    <w:rsid w:val="00CC24B3"/>
    <w:rsid w:val="00CC2B7F"/>
    <w:rsid w:val="00CC5903"/>
    <w:rsid w:val="00CC6A49"/>
    <w:rsid w:val="00CD24D1"/>
    <w:rsid w:val="00CD3CB8"/>
    <w:rsid w:val="00CE28C4"/>
    <w:rsid w:val="00CE4075"/>
    <w:rsid w:val="00CE7F4D"/>
    <w:rsid w:val="00CF2FD7"/>
    <w:rsid w:val="00CF57C2"/>
    <w:rsid w:val="00CF670C"/>
    <w:rsid w:val="00CF7FCE"/>
    <w:rsid w:val="00D008ED"/>
    <w:rsid w:val="00D00A0C"/>
    <w:rsid w:val="00D019E6"/>
    <w:rsid w:val="00D06DD7"/>
    <w:rsid w:val="00D10A1B"/>
    <w:rsid w:val="00D123BF"/>
    <w:rsid w:val="00D16F61"/>
    <w:rsid w:val="00D201F3"/>
    <w:rsid w:val="00D226A1"/>
    <w:rsid w:val="00D25A7D"/>
    <w:rsid w:val="00D31ECA"/>
    <w:rsid w:val="00D36F12"/>
    <w:rsid w:val="00D379D6"/>
    <w:rsid w:val="00D43303"/>
    <w:rsid w:val="00D53DB5"/>
    <w:rsid w:val="00D60724"/>
    <w:rsid w:val="00D61738"/>
    <w:rsid w:val="00D64990"/>
    <w:rsid w:val="00D77FF7"/>
    <w:rsid w:val="00D80C6B"/>
    <w:rsid w:val="00D81DD0"/>
    <w:rsid w:val="00D856B0"/>
    <w:rsid w:val="00D86CCE"/>
    <w:rsid w:val="00D93DEB"/>
    <w:rsid w:val="00D93F72"/>
    <w:rsid w:val="00D94EDA"/>
    <w:rsid w:val="00DA0302"/>
    <w:rsid w:val="00DA269B"/>
    <w:rsid w:val="00DA5399"/>
    <w:rsid w:val="00DA678D"/>
    <w:rsid w:val="00DA6C7D"/>
    <w:rsid w:val="00DA7177"/>
    <w:rsid w:val="00DB4B59"/>
    <w:rsid w:val="00DB5D10"/>
    <w:rsid w:val="00DC1D42"/>
    <w:rsid w:val="00DC399D"/>
    <w:rsid w:val="00DD0B3B"/>
    <w:rsid w:val="00DD0DF0"/>
    <w:rsid w:val="00DD3BE1"/>
    <w:rsid w:val="00DD55D8"/>
    <w:rsid w:val="00DD57F6"/>
    <w:rsid w:val="00DD588F"/>
    <w:rsid w:val="00DE3723"/>
    <w:rsid w:val="00DE3EE7"/>
    <w:rsid w:val="00DE5CB3"/>
    <w:rsid w:val="00DE6187"/>
    <w:rsid w:val="00DF17B3"/>
    <w:rsid w:val="00DF591E"/>
    <w:rsid w:val="00DF624B"/>
    <w:rsid w:val="00DF6937"/>
    <w:rsid w:val="00DF6943"/>
    <w:rsid w:val="00E06116"/>
    <w:rsid w:val="00E10A3A"/>
    <w:rsid w:val="00E111A5"/>
    <w:rsid w:val="00E133F3"/>
    <w:rsid w:val="00E17288"/>
    <w:rsid w:val="00E2173D"/>
    <w:rsid w:val="00E34C4E"/>
    <w:rsid w:val="00E35A33"/>
    <w:rsid w:val="00E37BB0"/>
    <w:rsid w:val="00E42C49"/>
    <w:rsid w:val="00E42F90"/>
    <w:rsid w:val="00E443F9"/>
    <w:rsid w:val="00E44AA6"/>
    <w:rsid w:val="00E47F03"/>
    <w:rsid w:val="00E52407"/>
    <w:rsid w:val="00E57C05"/>
    <w:rsid w:val="00E639DE"/>
    <w:rsid w:val="00E64A43"/>
    <w:rsid w:val="00E74625"/>
    <w:rsid w:val="00E76CD8"/>
    <w:rsid w:val="00E83E38"/>
    <w:rsid w:val="00E8763A"/>
    <w:rsid w:val="00E879F7"/>
    <w:rsid w:val="00E87BD6"/>
    <w:rsid w:val="00EB1C46"/>
    <w:rsid w:val="00EB1E1A"/>
    <w:rsid w:val="00EB7781"/>
    <w:rsid w:val="00EC2AAF"/>
    <w:rsid w:val="00EC646E"/>
    <w:rsid w:val="00EC6949"/>
    <w:rsid w:val="00ED09DA"/>
    <w:rsid w:val="00ED2A21"/>
    <w:rsid w:val="00ED367B"/>
    <w:rsid w:val="00EE2785"/>
    <w:rsid w:val="00EE3E11"/>
    <w:rsid w:val="00EE634C"/>
    <w:rsid w:val="00EF3830"/>
    <w:rsid w:val="00F013D0"/>
    <w:rsid w:val="00F13BD2"/>
    <w:rsid w:val="00F22488"/>
    <w:rsid w:val="00F27F59"/>
    <w:rsid w:val="00F313FC"/>
    <w:rsid w:val="00F33E3A"/>
    <w:rsid w:val="00F35E8E"/>
    <w:rsid w:val="00F370DE"/>
    <w:rsid w:val="00F4226F"/>
    <w:rsid w:val="00F42C1B"/>
    <w:rsid w:val="00F4565D"/>
    <w:rsid w:val="00F45B52"/>
    <w:rsid w:val="00F513B7"/>
    <w:rsid w:val="00F52DA0"/>
    <w:rsid w:val="00F53B60"/>
    <w:rsid w:val="00F5428B"/>
    <w:rsid w:val="00F55615"/>
    <w:rsid w:val="00F56F9C"/>
    <w:rsid w:val="00F570EA"/>
    <w:rsid w:val="00F66FF0"/>
    <w:rsid w:val="00F71C27"/>
    <w:rsid w:val="00F72205"/>
    <w:rsid w:val="00F8150C"/>
    <w:rsid w:val="00F81BDE"/>
    <w:rsid w:val="00F86954"/>
    <w:rsid w:val="00F90719"/>
    <w:rsid w:val="00F959E9"/>
    <w:rsid w:val="00FA0BA0"/>
    <w:rsid w:val="00FA6467"/>
    <w:rsid w:val="00FA736E"/>
    <w:rsid w:val="00FA7C25"/>
    <w:rsid w:val="00FB3579"/>
    <w:rsid w:val="00FB3975"/>
    <w:rsid w:val="00FC385F"/>
    <w:rsid w:val="00FC7542"/>
    <w:rsid w:val="00FD7DF0"/>
    <w:rsid w:val="00FE5B9F"/>
    <w:rsid w:val="00FE6EB5"/>
    <w:rsid w:val="00FF1CCD"/>
    <w:rsid w:val="00FF3A92"/>
    <w:rsid w:val="00FF557B"/>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45079A0D"/>
  <w15:docId w15:val="{76639DC4-879D-4983-A608-3D75170A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15BE"/>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uiPriority w:val="99"/>
    <w:qFormat/>
    <w:rsid w:val="00BC15BE"/>
    <w:pPr>
      <w:numPr>
        <w:numId w:val="1"/>
      </w:numPr>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C15BE"/>
    <w:rPr>
      <w:rFonts w:ascii="Times New Roman" w:hAnsi="Times New Roman"/>
      <w:b/>
      <w:sz w:val="26"/>
      <w:szCs w:val="26"/>
      <w:vertAlign w:val="superscript"/>
    </w:rPr>
  </w:style>
  <w:style w:type="paragraph" w:styleId="FootnoteText">
    <w:name w:val="footnote text"/>
    <w:aliases w:val="Char,Footnote Text Char Ch,Footnote Text Char Ch1,Footnote Text Char Char1 Char,Footnote Text Char1,Footnote Text Char1 Char Char Char,Footnote Text Char2 Char,Footnote Text1 Char,Footnote Text1 Char1,fn,fn1,fn3,ft,ft Char,ft Char Ch"/>
    <w:basedOn w:val="Normal"/>
    <w:link w:val="FootnoteTextChar2"/>
    <w:qFormat/>
    <w:rsid w:val="007A42A3"/>
    <w:rPr>
      <w:sz w:val="20"/>
      <w:szCs w:val="20"/>
    </w:rPr>
  </w:style>
  <w:style w:type="character" w:customStyle="1" w:styleId="FootnoteTextChar">
    <w:name w:val="Footnote Text Char"/>
    <w:aliases w:val="Footnote Text Char Char Char,Footnote Text Char Char Char Char Char Char,Footnote Text Char Char1 Char Char Char Char,Footnote Text Char1 Char Char Char Char,Footnote Text Char1 Char1 Char Char,Footnote Text Char2 Char Char Char Char"/>
    <w:basedOn w:val="DefaultParagraphFont"/>
    <w:rsid w:val="00BC15BE"/>
    <w:rPr>
      <w:rFonts w:ascii="Times New Roman" w:eastAsia="Times New Roman" w:hAnsi="Times New Roman" w:cs="Times New Roman"/>
      <w:sz w:val="20"/>
      <w:szCs w:val="20"/>
    </w:rPr>
  </w:style>
  <w:style w:type="paragraph" w:customStyle="1" w:styleId="Level1">
    <w:name w:val="Level 1"/>
    <w:basedOn w:val="Normal"/>
    <w:rsid w:val="00BC15BE"/>
    <w:pPr>
      <w:widowControl w:val="0"/>
      <w:numPr>
        <w:numId w:val="2"/>
      </w:numPr>
      <w:autoSpaceDE w:val="0"/>
      <w:autoSpaceDN w:val="0"/>
      <w:adjustRightInd w:val="0"/>
      <w:outlineLvl w:val="0"/>
    </w:pPr>
    <w:rPr>
      <w:sz w:val="24"/>
    </w:rPr>
  </w:style>
  <w:style w:type="paragraph" w:styleId="Header">
    <w:name w:val="header"/>
    <w:basedOn w:val="Normal"/>
    <w:link w:val="HeaderChar"/>
    <w:uiPriority w:val="99"/>
    <w:rsid w:val="00BC15BE"/>
    <w:pPr>
      <w:widowControl w:val="0"/>
      <w:tabs>
        <w:tab w:val="center" w:pos="4320"/>
        <w:tab w:val="right" w:pos="8640"/>
      </w:tabs>
      <w:autoSpaceDE w:val="0"/>
      <w:autoSpaceDN w:val="0"/>
      <w:adjustRightInd w:val="0"/>
    </w:pPr>
    <w:rPr>
      <w:sz w:val="24"/>
    </w:rPr>
  </w:style>
  <w:style w:type="character" w:customStyle="1" w:styleId="HeaderChar">
    <w:name w:val="Header Char"/>
    <w:basedOn w:val="DefaultParagraphFont"/>
    <w:link w:val="Header"/>
    <w:uiPriority w:val="99"/>
    <w:rsid w:val="00BC15BE"/>
    <w:rPr>
      <w:rFonts w:ascii="Times New Roman" w:eastAsia="Times New Roman" w:hAnsi="Times New Roman" w:cs="Times New Roman"/>
      <w:sz w:val="24"/>
      <w:szCs w:val="24"/>
    </w:rPr>
  </w:style>
  <w:style w:type="character" w:styleId="PageNumber">
    <w:name w:val="page number"/>
    <w:basedOn w:val="DefaultParagraphFont"/>
    <w:rsid w:val="00BC15BE"/>
  </w:style>
  <w:style w:type="character" w:styleId="Hyperlink">
    <w:name w:val="Hyperlink"/>
    <w:rsid w:val="00BC15BE"/>
    <w:rPr>
      <w:color w:val="0000FF"/>
      <w:u w:val="single"/>
    </w:rPr>
  </w:style>
  <w:style w:type="character" w:customStyle="1" w:styleId="FootnoteTextChar2">
    <w:name w:val="Footnote Text Char2"/>
    <w:aliases w:val="Footnote Text Char Ch Char,Footnote Text Char Ch1 Char,Footnote Text Char Char1 Char Char,Footnote Text Char1 Char,Footnote Text Char2 Char Char,Footnote Text1 Char Char,Footnote Text1 Char1 Char,fn Char,ft Char Char,ft Char1"/>
    <w:link w:val="FootnoteText"/>
    <w:rsid w:val="007A42A3"/>
    <w:rPr>
      <w:rFonts w:ascii="Times New Roman" w:eastAsia="Times New Roman" w:hAnsi="Times New Roman" w:cs="Times New Roman"/>
      <w:sz w:val="20"/>
      <w:szCs w:val="20"/>
    </w:rPr>
  </w:style>
  <w:style w:type="character" w:customStyle="1" w:styleId="FERCparanumberChar">
    <w:name w:val="FERC paranumber Char"/>
    <w:link w:val="FERCparanumber"/>
    <w:uiPriority w:val="99"/>
    <w:rsid w:val="00BC15BE"/>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C15BE"/>
    <w:pPr>
      <w:tabs>
        <w:tab w:val="center" w:pos="4680"/>
        <w:tab w:val="right" w:pos="9360"/>
      </w:tabs>
    </w:pPr>
  </w:style>
  <w:style w:type="character" w:customStyle="1" w:styleId="FooterChar">
    <w:name w:val="Footer Char"/>
    <w:basedOn w:val="DefaultParagraphFont"/>
    <w:link w:val="Footer"/>
    <w:uiPriority w:val="99"/>
    <w:rsid w:val="00BC15BE"/>
    <w:rPr>
      <w:rFonts w:ascii="Times New Roman" w:eastAsia="Times New Roman" w:hAnsi="Times New Roman" w:cs="Times New Roman"/>
      <w:sz w:val="26"/>
      <w:szCs w:val="24"/>
    </w:rPr>
  </w:style>
  <w:style w:type="paragraph" w:styleId="NormalWeb">
    <w:name w:val="Normal (Web)"/>
    <w:basedOn w:val="Normal"/>
    <w:uiPriority w:val="99"/>
    <w:unhideWhenUsed/>
    <w:rsid w:val="00BC15BE"/>
    <w:pPr>
      <w:spacing w:before="100" w:beforeAutospacing="1" w:after="100" w:afterAutospacing="1"/>
    </w:pPr>
    <w:rPr>
      <w:sz w:val="24"/>
    </w:rPr>
  </w:style>
  <w:style w:type="paragraph" w:styleId="ListParagraph">
    <w:name w:val="List Paragraph"/>
    <w:basedOn w:val="Normal"/>
    <w:uiPriority w:val="99"/>
    <w:qFormat/>
    <w:rsid w:val="002B45F1"/>
    <w:pPr>
      <w:widowControl w:val="0"/>
      <w:autoSpaceDE w:val="0"/>
      <w:autoSpaceDN w:val="0"/>
      <w:adjustRightInd w:val="0"/>
      <w:ind w:left="720"/>
      <w:contextualSpacing/>
    </w:pPr>
    <w:rPr>
      <w:sz w:val="24"/>
    </w:rPr>
  </w:style>
  <w:style w:type="paragraph" w:styleId="BalloonText">
    <w:name w:val="Balloon Text"/>
    <w:basedOn w:val="Normal"/>
    <w:link w:val="BalloonTextChar"/>
    <w:uiPriority w:val="99"/>
    <w:semiHidden/>
    <w:unhideWhenUsed/>
    <w:rsid w:val="002B45F1"/>
    <w:rPr>
      <w:rFonts w:ascii="Tahoma" w:hAnsi="Tahoma" w:cs="Tahoma"/>
      <w:sz w:val="16"/>
      <w:szCs w:val="16"/>
    </w:rPr>
  </w:style>
  <w:style w:type="character" w:customStyle="1" w:styleId="BalloonTextChar">
    <w:name w:val="Balloon Text Char"/>
    <w:basedOn w:val="DefaultParagraphFont"/>
    <w:link w:val="BalloonText"/>
    <w:uiPriority w:val="99"/>
    <w:semiHidden/>
    <w:rsid w:val="002B45F1"/>
    <w:rPr>
      <w:rFonts w:ascii="Tahoma" w:eastAsia="Times New Roman" w:hAnsi="Tahoma" w:cs="Tahoma"/>
      <w:sz w:val="16"/>
      <w:szCs w:val="16"/>
    </w:rPr>
  </w:style>
  <w:style w:type="character" w:styleId="CommentReference">
    <w:name w:val="annotation reference"/>
    <w:basedOn w:val="DefaultParagraphFont"/>
    <w:uiPriority w:val="99"/>
    <w:semiHidden/>
    <w:rsid w:val="003F0E97"/>
    <w:rPr>
      <w:rFonts w:cs="Times New Roman"/>
      <w:sz w:val="16"/>
      <w:szCs w:val="16"/>
    </w:rPr>
  </w:style>
  <w:style w:type="paragraph" w:styleId="CommentText">
    <w:name w:val="annotation text"/>
    <w:basedOn w:val="Normal"/>
    <w:link w:val="CommentTextChar"/>
    <w:uiPriority w:val="99"/>
    <w:semiHidden/>
    <w:rsid w:val="003F0E97"/>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3F0E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50C"/>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F8150C"/>
    <w:rPr>
      <w:rFonts w:ascii="Times New Roman" w:eastAsia="Times New Roman" w:hAnsi="Times New Roman" w:cs="Times New Roman"/>
      <w:b/>
      <w:bCs/>
      <w:sz w:val="20"/>
      <w:szCs w:val="20"/>
    </w:rPr>
  </w:style>
  <w:style w:type="character" w:customStyle="1" w:styleId="FERCparanumberChar1">
    <w:name w:val="FERC paranumber Char1"/>
    <w:uiPriority w:val="99"/>
    <w:rsid w:val="00F8150C"/>
    <w:rPr>
      <w:rFonts w:ascii="Times New Roman" w:eastAsia="Times New Roman" w:hAnsi="Times New Roman"/>
      <w:sz w:val="26"/>
      <w:szCs w:val="24"/>
    </w:rPr>
  </w:style>
  <w:style w:type="table" w:styleId="TableGrid">
    <w:name w:val="Table Grid"/>
    <w:basedOn w:val="TableNormal"/>
    <w:rsid w:val="003D2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6D51"/>
    <w:pPr>
      <w:spacing w:after="0" w:line="240" w:lineRule="auto"/>
    </w:pPr>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7D0453"/>
    <w:rPr>
      <w:color w:val="800080" w:themeColor="followedHyperlink"/>
      <w:u w:val="single"/>
    </w:rPr>
  </w:style>
  <w:style w:type="character" w:styleId="UnresolvedMention">
    <w:name w:val="Unresolved Mention"/>
    <w:basedOn w:val="DefaultParagraphFont"/>
    <w:uiPriority w:val="99"/>
    <w:semiHidden/>
    <w:unhideWhenUsed/>
    <w:rsid w:val="003F1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cid:image003.png@01D86A1F.78CD98E0" TargetMode="External" /><Relationship Id="rId12" Type="http://schemas.openxmlformats.org/officeDocument/2006/relationships/image" Target="media/image2.png"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information-collectio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ferconline.ferc.gov/FERCOnline.aspx" TargetMode="External" /><Relationship Id="rId2" Type="http://schemas.openxmlformats.org/officeDocument/2006/relationships/hyperlink" Target="https://www.bls.gov/oes/current/naics3_221000.htm" TargetMode="External" /><Relationship Id="rId3"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92A12D26BD054EAF7308A64C3FCB4C" ma:contentTypeVersion="8" ma:contentTypeDescription="Create a new document." ma:contentTypeScope="" ma:versionID="fd0c4adefb7ccba3149275f5b9dfc032">
  <xsd:schema xmlns:xsd="http://www.w3.org/2001/XMLSchema" xmlns:xs="http://www.w3.org/2001/XMLSchema" xmlns:p="http://schemas.microsoft.com/office/2006/metadata/properties" xmlns:ns2="5a7c6213-c3f8-4376-93f2-dc58e5c51d54" xmlns:ns3="7d39e18b-330b-455b-b1d2-f8885a4d610b" targetNamespace="http://schemas.microsoft.com/office/2006/metadata/properties" ma:root="true" ma:fieldsID="6322b8441fcd377c4a88bb2f6790f021" ns2:_="" ns3:_="">
    <xsd:import namespace="5a7c6213-c3f8-4376-93f2-dc58e5c51d54"/>
    <xsd:import namespace="7d39e18b-330b-455b-b1d2-f8885a4d610b"/>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9e18b-330b-455b-b1d2-f8885a4d610b"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472E6-E3F7-4C35-B2DC-3F4E7649F8B4}">
  <ds:schemaRefs>
    <ds:schemaRef ds:uri="http://purl.org/dc/terms/"/>
    <ds:schemaRef ds:uri="http://schemas.openxmlformats.org/package/2006/metadata/core-properties"/>
    <ds:schemaRef ds:uri="http://schemas.microsoft.com/office/2006/documentManagement/types"/>
    <ds:schemaRef ds:uri="5a7c6213-c3f8-4376-93f2-dc58e5c51d54"/>
    <ds:schemaRef ds:uri="http://purl.org/dc/elements/1.1/"/>
    <ds:schemaRef ds:uri="http://schemas.microsoft.com/office/2006/metadata/properties"/>
    <ds:schemaRef ds:uri="http://schemas.microsoft.com/office/infopath/2007/PartnerControls"/>
    <ds:schemaRef ds:uri="7d39e18b-330b-455b-b1d2-f8885a4d610b"/>
    <ds:schemaRef ds:uri="http://www.w3.org/XML/1998/namespace"/>
    <ds:schemaRef ds:uri="http://purl.org/dc/dcmitype/"/>
  </ds:schemaRefs>
</ds:datastoreItem>
</file>

<file path=customXml/itemProps2.xml><?xml version="1.0" encoding="utf-8"?>
<ds:datastoreItem xmlns:ds="http://schemas.openxmlformats.org/officeDocument/2006/customXml" ds:itemID="{358C3B1B-D3A1-4D23-881C-01A455364216}">
  <ds:schemaRefs>
    <ds:schemaRef ds:uri="http://schemas.microsoft.com/sharepoint/v3/contenttype/forms"/>
  </ds:schemaRefs>
</ds:datastoreItem>
</file>

<file path=customXml/itemProps3.xml><?xml version="1.0" encoding="utf-8"?>
<ds:datastoreItem xmlns:ds="http://schemas.openxmlformats.org/officeDocument/2006/customXml" ds:itemID="{B4B2460A-BCE5-423C-B10D-3417B9120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6213-c3f8-4376-93f2-dc58e5c51d54"/>
    <ds:schemaRef ds:uri="7d39e18b-330b-455b-b1d2-f8885a4d6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B702F0-A019-49E7-BF71-6BF416683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2680</Words>
  <Characters>15281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Energy Regulatory Commission</Company>
  <LinksUpToDate>false</LinksUpToDate>
  <CharactersWithSpaces>17926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Oscar Santillana</dc:creator>
  <cp:lastModifiedBy>Christopher Kozler</cp:lastModifiedBy>
  <cp:revision>4</cp:revision>
  <dcterms:created xsi:type="dcterms:W3CDTF">2025-04-01T13:46:00Z</dcterms:created>
  <dcterms:modified xsi:type="dcterms:W3CDTF">2025-04-02T16:03:00Z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0x0101006492A12D26BD054EAF7308A64C3FCB4C</vt:lpwstr>
  </property>
  <property fmtid="{D5CDD505-2E9C-101B-9397-08002B2CF9AE}" pid="3" name="MSIP_Label_bd24d06a-0e85-4d57-b1e0-ba34b1abc708_ActionId">
    <vt:lpwstr>953f816c-5bbc-4cf6-a287-46baa9e61d9b</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2025-03-24T16:54:50Z</vt:lpwstr>
  </property>
  <property fmtid="{D5CDD505-2E9C-101B-9397-08002B2CF9AE}" pid="9" name="MSIP_Label_bd24d06a-0e85-4d57-b1e0-ba34b1abc708_SiteId">
    <vt:lpwstr>19caa9e9-04ff-43fa-885f-d77fac387903</vt:lpwstr>
  </property>
</Properties>
</file>