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845" w14:paraId="575E051C" w14:textId="77777777">
      <w:pPr>
        <w:jc w:val="center"/>
      </w:pPr>
      <w:r>
        <w:t>189 FERC ¶ 61,135</w:t>
      </w:r>
    </w:p>
    <w:p w:rsidR="00CF5306" w:rsidRPr="00267459" w:rsidP="004D473C" w14:paraId="4CF6E268" w14:textId="77777777">
      <w:pPr>
        <w:widowControl/>
        <w:jc w:val="center"/>
        <w:rPr>
          <w:b/>
          <w:bCs/>
        </w:rPr>
      </w:pPr>
      <w:r w:rsidRPr="004D473C">
        <w:t>UNITED STATES OF AMERICA</w:t>
      </w:r>
    </w:p>
    <w:p w:rsidR="00267459" w:rsidP="00267459" w14:paraId="36588473" w14:textId="77777777">
      <w:pPr>
        <w:widowControl/>
        <w:jc w:val="center"/>
      </w:pPr>
      <w:r w:rsidRPr="00267459">
        <w:t>FEDERAL ENERGY REGULATORY COMMISSION</w:t>
      </w:r>
    </w:p>
    <w:p w:rsidR="00267459" w:rsidP="00267459" w14:paraId="7CDE135B" w14:textId="77777777">
      <w:pPr>
        <w:widowControl/>
        <w:jc w:val="center"/>
      </w:pPr>
    </w:p>
    <w:p w:rsidR="00CF5306" w:rsidRPr="00395600" w:rsidP="00922FFB" w14:paraId="6E997341" w14:textId="77777777">
      <w:pPr>
        <w:jc w:val="center"/>
      </w:pPr>
      <w:r w:rsidRPr="00395600">
        <w:t xml:space="preserve">18 CFR Part </w:t>
      </w:r>
      <w:r w:rsidR="00CB75EE">
        <w:t>284</w:t>
      </w:r>
    </w:p>
    <w:p w:rsidR="00CF5306" w:rsidRPr="00395600" w:rsidP="00922FFB" w14:paraId="0FE785B8" w14:textId="77777777">
      <w:pPr>
        <w:jc w:val="center"/>
      </w:pPr>
    </w:p>
    <w:p w:rsidR="00CF5306" w:rsidP="00922FFB" w14:paraId="4001961F" w14:textId="77777777">
      <w:pPr>
        <w:jc w:val="center"/>
      </w:pPr>
      <w:r>
        <w:t>Docket No. RM96-1-04</w:t>
      </w:r>
      <w:r w:rsidR="00CB75EE">
        <w:t>3</w:t>
      </w:r>
      <w:r>
        <w:t xml:space="preserve">; Order No. </w:t>
      </w:r>
      <w:r w:rsidRPr="001B39BB">
        <w:t>587-</w:t>
      </w:r>
      <w:r w:rsidRPr="001B39BB" w:rsidR="36D0BD6F">
        <w:t>AA</w:t>
      </w:r>
    </w:p>
    <w:p w:rsidR="00CF5306" w:rsidP="00922FFB" w14:paraId="17E8F888" w14:textId="77777777">
      <w:pPr>
        <w:jc w:val="center"/>
      </w:pPr>
    </w:p>
    <w:p w:rsidR="00CF5306" w:rsidP="00922FFB" w14:paraId="5F934801" w14:textId="77777777">
      <w:pPr>
        <w:jc w:val="center"/>
      </w:pPr>
      <w:r>
        <w:t>Standards for Business Practices of Interstate Natural Gas Pipelines</w:t>
      </w:r>
    </w:p>
    <w:p w:rsidR="00267459" w:rsidP="00267459" w14:paraId="303E3CF5" w14:textId="77777777">
      <w:pPr>
        <w:widowControl/>
        <w:jc w:val="center"/>
      </w:pPr>
    </w:p>
    <w:p w:rsidR="00CF5306" w:rsidP="00BD3AD7" w14:paraId="5EB560BD" w14:textId="77777777">
      <w:pPr>
        <w:widowControl/>
        <w:jc w:val="center"/>
      </w:pPr>
      <w:r w:rsidRPr="00BD3AD7">
        <w:t>(Issued November 22, 2024)</w:t>
      </w:r>
    </w:p>
    <w:p w:rsidR="00CF5306" w:rsidRPr="00395600" w:rsidP="00E837A0" w14:paraId="6F4D156A" w14:textId="77777777">
      <w:pPr>
        <w:tabs>
          <w:tab w:val="left" w:pos="3230"/>
        </w:tabs>
      </w:pPr>
      <w:r>
        <w:tab/>
      </w:r>
    </w:p>
    <w:p w:rsidR="00CF5306" w:rsidRPr="00395600" w:rsidP="00922FFB" w14:paraId="7B3B6CC7" w14:textId="77777777">
      <w:pPr>
        <w:spacing w:after="260"/>
      </w:pPr>
      <w:r w:rsidRPr="00AD5134">
        <w:rPr>
          <w:b/>
          <w:bCs/>
        </w:rPr>
        <w:t>AGENCY</w:t>
      </w:r>
      <w:r w:rsidRPr="00395600">
        <w:t>:  Federal Energy Regulatory Commission.</w:t>
      </w:r>
    </w:p>
    <w:p w:rsidR="00CF5306" w:rsidRPr="00395600" w:rsidP="00922FFB" w14:paraId="31C91670" w14:textId="77777777">
      <w:pPr>
        <w:spacing w:after="260"/>
      </w:pPr>
      <w:r w:rsidRPr="47F33A5D">
        <w:rPr>
          <w:b/>
          <w:bCs/>
        </w:rPr>
        <w:t>ACTION</w:t>
      </w:r>
      <w:r>
        <w:t xml:space="preserve">:  Final </w:t>
      </w:r>
      <w:r w:rsidR="46076607">
        <w:t>R</w:t>
      </w:r>
      <w:r>
        <w:t>ule</w:t>
      </w:r>
      <w:r w:rsidR="00267459">
        <w:t>.</w:t>
      </w:r>
    </w:p>
    <w:p w:rsidR="00F86926" w:rsidP="286B9F56" w14:paraId="0A6EA22E" w14:textId="77777777">
      <w:pPr>
        <w:spacing w:line="480" w:lineRule="auto"/>
      </w:pPr>
      <w:r w:rsidRPr="5BA057C4">
        <w:rPr>
          <w:b/>
          <w:bCs/>
        </w:rPr>
        <w:t>SUMMARY</w:t>
      </w:r>
      <w:r>
        <w:t>:  The Federal Energy Regulatory Commission</w:t>
      </w:r>
      <w:r w:rsidR="00D10C45">
        <w:t xml:space="preserve"> </w:t>
      </w:r>
      <w:r w:rsidR="00E5427D">
        <w:t>amends</w:t>
      </w:r>
      <w:r>
        <w:t xml:space="preserve"> its regulations to incorporate by reference, with certain enumerated exceptions, the latest version </w:t>
      </w:r>
      <w:r w:rsidR="00267459">
        <w:t xml:space="preserve"> </w:t>
      </w:r>
      <w:r w:rsidR="00267459">
        <w:t xml:space="preserve">   </w:t>
      </w:r>
      <w:r>
        <w:t>(</w:t>
      </w:r>
      <w:r>
        <w:t xml:space="preserve">Version 4.0) of </w:t>
      </w:r>
      <w:r w:rsidR="3DB1FA3D">
        <w:t>S</w:t>
      </w:r>
      <w:r w:rsidR="00E5427D">
        <w:t>tandards for B</w:t>
      </w:r>
      <w:r>
        <w:t xml:space="preserve">usiness </w:t>
      </w:r>
      <w:r w:rsidR="00E5427D">
        <w:t>P</w:t>
      </w:r>
      <w:r>
        <w:t>ractice</w:t>
      </w:r>
      <w:r w:rsidR="00DC2533">
        <w:t>s</w:t>
      </w:r>
      <w:r>
        <w:t xml:space="preserve"> </w:t>
      </w:r>
      <w:r w:rsidR="00E5427D">
        <w:t xml:space="preserve">of Interstate Natural Gas Pipelines </w:t>
      </w:r>
      <w:r>
        <w:t xml:space="preserve">adopted by the Wholesale Gas Quadrant </w:t>
      </w:r>
      <w:r w:rsidR="008A3E19">
        <w:t xml:space="preserve">(WGQ) </w:t>
      </w:r>
      <w:r>
        <w:t>of the North American Energy Standards Board (NAESB)</w:t>
      </w:r>
      <w:r w:rsidR="00E5427D">
        <w:t>.</w:t>
      </w:r>
      <w:r w:rsidR="68AFE63F">
        <w:t xml:space="preserve">  </w:t>
      </w:r>
      <w:r w:rsidR="0088697C">
        <w:t xml:space="preserve">NAESB’s </w:t>
      </w:r>
      <w:r w:rsidR="68AFE63F">
        <w:t>revisions in this version of the standards are designed to</w:t>
      </w:r>
      <w:r w:rsidR="03D9D8C4">
        <w:t xml:space="preserve"> </w:t>
      </w:r>
      <w:r w:rsidR="6F95BF7A">
        <w:t>promote greater effi</w:t>
      </w:r>
      <w:r w:rsidR="52039501">
        <w:t>ciency</w:t>
      </w:r>
      <w:r w:rsidR="6F95BF7A">
        <w:t xml:space="preserve"> and reliability of the natural gas </w:t>
      </w:r>
      <w:r w:rsidR="0088697C">
        <w:t xml:space="preserve">industry’s </w:t>
      </w:r>
      <w:r w:rsidR="01EE90C2">
        <w:t>operations and strengthen the cybersecurity protections provided within the standards.</w:t>
      </w:r>
    </w:p>
    <w:p w:rsidR="00FE17A4" w:rsidP="286B9F56" w14:paraId="515069DE" w14:textId="77777777">
      <w:pPr>
        <w:spacing w:line="480" w:lineRule="auto"/>
      </w:pPr>
      <w:r w:rsidRPr="286B9F56">
        <w:rPr>
          <w:b/>
          <w:bCs/>
        </w:rPr>
        <w:t>DATES</w:t>
      </w:r>
      <w:r>
        <w:t>:</w:t>
      </w:r>
      <w:r w:rsidR="0057156F">
        <w:t xml:space="preserve"> </w:t>
      </w:r>
      <w:r w:rsidR="00BB39D5">
        <w:t xml:space="preserve"> </w:t>
      </w:r>
      <w:r w:rsidRPr="00D17BF1" w:rsidR="0057156F">
        <w:rPr>
          <w:i/>
          <w:iCs/>
        </w:rPr>
        <w:t>E</w:t>
      </w:r>
      <w:r w:rsidRPr="008416A6" w:rsidR="0057156F">
        <w:rPr>
          <w:i/>
        </w:rPr>
        <w:t>ffective</w:t>
      </w:r>
      <w:r w:rsidRPr="008416A6" w:rsidR="005E1759">
        <w:rPr>
          <w:i/>
        </w:rPr>
        <w:t xml:space="preserve"> date</w:t>
      </w:r>
      <w:r w:rsidR="00D17BF1">
        <w:rPr>
          <w:iCs/>
        </w:rPr>
        <w:t>:</w:t>
      </w:r>
      <w:r>
        <w:t xml:space="preserve"> This rule is effective</w:t>
      </w:r>
      <w:r w:rsidR="00E44E28">
        <w:t xml:space="preserve"> </w:t>
      </w:r>
      <w:r w:rsidRPr="009D260F" w:rsidR="00E44E28">
        <w:rPr>
          <w:b/>
        </w:rPr>
        <w:t>[</w:t>
      </w:r>
      <w:r w:rsidR="00E44E28">
        <w:rPr>
          <w:b/>
        </w:rPr>
        <w:t xml:space="preserve">INSERT DATE </w:t>
      </w:r>
      <w:r w:rsidR="00772AA4">
        <w:rPr>
          <w:b/>
          <w:bCs/>
        </w:rPr>
        <w:t>60</w:t>
      </w:r>
      <w:r w:rsidR="00A622AA">
        <w:rPr>
          <w:b/>
          <w:bCs/>
        </w:rPr>
        <w:t xml:space="preserve"> </w:t>
      </w:r>
      <w:r w:rsidRPr="286B9F56">
        <w:rPr>
          <w:b/>
          <w:bCs/>
        </w:rPr>
        <w:t>DAYS AFTER DATE OF PUBLICATION IN THE FEDERAL REGISTER</w:t>
      </w:r>
      <w:r w:rsidR="00950B84">
        <w:rPr>
          <w:b/>
          <w:bCs/>
        </w:rPr>
        <w:t>]</w:t>
      </w:r>
      <w:r w:rsidR="00E5427D">
        <w:t xml:space="preserve">. </w:t>
      </w:r>
      <w:r w:rsidR="00950B84">
        <w:t xml:space="preserve"> </w:t>
      </w:r>
    </w:p>
    <w:p w:rsidR="0053660B" w:rsidP="004D473C" w14:paraId="14FA5B78" w14:textId="77777777">
      <w:pPr>
        <w:spacing w:line="480" w:lineRule="auto"/>
        <w:ind w:right="-450"/>
      </w:pPr>
      <w:r w:rsidRPr="008416A6">
        <w:rPr>
          <w:i/>
        </w:rPr>
        <w:t xml:space="preserve">Compliance </w:t>
      </w:r>
      <w:r w:rsidRPr="008416A6" w:rsidR="00D17BF1">
        <w:rPr>
          <w:i/>
        </w:rPr>
        <w:t>date</w:t>
      </w:r>
      <w:r w:rsidR="00D17BF1">
        <w:t xml:space="preserve">: </w:t>
      </w:r>
      <w:r>
        <w:t xml:space="preserve"> </w:t>
      </w:r>
      <w:r w:rsidR="00AE1181">
        <w:t>C</w:t>
      </w:r>
      <w:r w:rsidR="000579DC">
        <w:t>ompliance filing</w:t>
      </w:r>
      <w:r w:rsidR="00AE1181">
        <w:t>s</w:t>
      </w:r>
      <w:r w:rsidR="000579DC">
        <w:t xml:space="preserve"> </w:t>
      </w:r>
      <w:r w:rsidR="00AE1181">
        <w:t>required by</w:t>
      </w:r>
      <w:r w:rsidR="007D1B8A">
        <w:t xml:space="preserve"> this final rule </w:t>
      </w:r>
      <w:r w:rsidR="00AE1181">
        <w:t>are due on</w:t>
      </w:r>
      <w:r w:rsidR="004059A5">
        <w:t xml:space="preserve"> </w:t>
      </w:r>
      <w:r w:rsidR="00E46AD6">
        <w:t>February 3</w:t>
      </w:r>
      <w:r w:rsidR="008416A6">
        <w:t>, 2025</w:t>
      </w:r>
      <w:r w:rsidR="00472F52">
        <w:t>.</w:t>
      </w:r>
      <w:r w:rsidR="000102AB">
        <w:t xml:space="preserve"> </w:t>
      </w:r>
      <w:r w:rsidR="009B65F4">
        <w:t xml:space="preserve"> </w:t>
      </w:r>
      <w:r w:rsidR="00253DB2">
        <w:t>C</w:t>
      </w:r>
      <w:r>
        <w:t xml:space="preserve">ompliance with the standards incorporated in this rule is required </w:t>
      </w:r>
      <w:r w:rsidR="00AE1181">
        <w:t>by</w:t>
      </w:r>
      <w:r w:rsidR="00F435BF">
        <w:t xml:space="preserve"> </w:t>
      </w:r>
      <w:r w:rsidR="008416A6">
        <w:t>August 1, 2025</w:t>
      </w:r>
      <w:r w:rsidR="47F5CDC9">
        <w:t>.</w:t>
      </w:r>
    </w:p>
    <w:p w:rsidR="00FB7B0A" w:rsidP="286B9F56" w14:paraId="6393BAB2" w14:textId="77777777">
      <w:pPr>
        <w:spacing w:line="480" w:lineRule="auto"/>
        <w:rPr>
          <w:i/>
        </w:rPr>
      </w:pPr>
    </w:p>
    <w:p w:rsidR="00FB7B0A" w:rsidP="286B9F56" w14:paraId="356E3008" w14:textId="77777777">
      <w:pPr>
        <w:spacing w:line="480" w:lineRule="auto"/>
        <w:rPr>
          <w:i/>
        </w:rPr>
      </w:pPr>
    </w:p>
    <w:p w:rsidR="00BD3AD7" w:rsidP="286B9F56" w14:paraId="5F3575ED" w14:textId="77777777">
      <w:pPr>
        <w:spacing w:line="480" w:lineRule="auto"/>
        <w:rPr>
          <w:i/>
        </w:rPr>
      </w:pPr>
    </w:p>
    <w:p w:rsidR="00CF5306" w:rsidRPr="00395600" w:rsidP="286B9F56" w14:paraId="20F9E8D4" w14:textId="77777777">
      <w:pPr>
        <w:spacing w:line="480" w:lineRule="auto"/>
        <w:rPr>
          <w:highlight w:val="lightGray"/>
        </w:rPr>
      </w:pPr>
      <w:r w:rsidRPr="00E837A0">
        <w:rPr>
          <w:i/>
        </w:rPr>
        <w:t>Incorporation by reference</w:t>
      </w:r>
      <w:r>
        <w:t>:</w:t>
      </w:r>
      <w:r w:rsidR="00672120">
        <w:t xml:space="preserve">  </w:t>
      </w:r>
      <w:r w:rsidRPr="00B15D6A" w:rsidR="00B15D6A">
        <w:t>The incorporation by reference of certain publications listed in this rule is approved by the Director of the Federal Register as of</w:t>
      </w:r>
      <w:r w:rsidRPr="00B15D6A" w:rsidR="00B15D6A">
        <w:rPr>
          <w:b/>
          <w:bCs/>
        </w:rPr>
        <w:t xml:space="preserve"> [INSERT DATE </w:t>
      </w:r>
      <w:r w:rsidR="00267459">
        <w:rPr>
          <w:b/>
          <w:bCs/>
        </w:rPr>
        <w:t xml:space="preserve">   </w:t>
      </w:r>
      <w:r w:rsidRPr="00B15D6A" w:rsidR="00B15D6A">
        <w:rPr>
          <w:b/>
          <w:bCs/>
        </w:rPr>
        <w:t>60 DAYS AFTER DATE OF PUBLICATION IN THE FEDERAL REGISTER</w:t>
      </w:r>
      <w:r w:rsidR="003564C6">
        <w:rPr>
          <w:b/>
          <w:bCs/>
        </w:rPr>
        <w:t>]</w:t>
      </w:r>
      <w:r w:rsidR="00AE1181">
        <w:rPr>
          <w:b/>
          <w:bCs/>
        </w:rPr>
        <w:t>.</w:t>
      </w:r>
    </w:p>
    <w:p w:rsidR="00FB7B0A" w:rsidP="00922FFB" w14:paraId="2E65DDCA" w14:textId="77777777">
      <w:pPr>
        <w:rPr>
          <w:b/>
          <w:bCs/>
        </w:rPr>
      </w:pPr>
    </w:p>
    <w:p w:rsidR="00CF5306" w:rsidP="00922FFB" w14:paraId="14FA60E2" w14:textId="77777777">
      <w:r w:rsidRPr="00AD5134">
        <w:rPr>
          <w:b/>
          <w:bCs/>
        </w:rPr>
        <w:t>FOR FURTHER INFORMATION CONTACT</w:t>
      </w:r>
      <w:r w:rsidRPr="00395600">
        <w:t>:</w:t>
      </w:r>
    </w:p>
    <w:p w:rsidR="00CF5306" w:rsidRPr="00395600" w:rsidP="00922FFB" w14:paraId="6463710D" w14:textId="77777777"/>
    <w:p w:rsidR="00CB75EE" w:rsidRPr="00CB75EE" w:rsidP="00CB75EE" w14:paraId="55F4ED57" w14:textId="77777777">
      <w:r w:rsidRPr="00CB75EE">
        <w:t>Jerry Chiang (Technical Issues)</w:t>
      </w:r>
    </w:p>
    <w:p w:rsidR="00CB75EE" w:rsidRPr="00CB75EE" w:rsidP="00CB75EE" w14:paraId="304218D8" w14:textId="77777777">
      <w:r w:rsidRPr="00CB75EE">
        <w:t>Office of Energy Policy and Innovation</w:t>
      </w:r>
    </w:p>
    <w:p w:rsidR="00CB75EE" w:rsidRPr="00CB75EE" w:rsidP="00CB75EE" w14:paraId="72BFE212" w14:textId="77777777">
      <w:r w:rsidRPr="00CB75EE">
        <w:fldChar w:fldCharType="begin"/>
      </w:r>
      <w:r w:rsidRPr="00CB75EE">
        <w:instrText xml:space="preserve"> MACROBUTTON  AcceptAllChangesInDoc </w:instrText>
      </w:r>
      <w:r w:rsidRPr="00CB75EE">
        <w:fldChar w:fldCharType="end"/>
      </w:r>
      <w:r w:rsidRPr="00CB75EE">
        <w:fldChar w:fldCharType="begin"/>
      </w:r>
      <w:r w:rsidRPr="00CB75EE">
        <w:instrText xml:space="preserve"> MACROBUTTON  AcceptAllChangesInDoc </w:instrText>
      </w:r>
      <w:r w:rsidRPr="00CB75EE">
        <w:fldChar w:fldCharType="end"/>
      </w:r>
      <w:r w:rsidRPr="00CB75EE">
        <w:t>Federal Energy Regulatory Commission</w:t>
      </w:r>
    </w:p>
    <w:p w:rsidR="00CB75EE" w:rsidRPr="00CB75EE" w:rsidP="00CB75EE" w14:paraId="4650B0F1" w14:textId="77777777">
      <w:r w:rsidRPr="00CB75EE">
        <w:t>888 First Street, NE</w:t>
      </w:r>
    </w:p>
    <w:p w:rsidR="00CB75EE" w:rsidRPr="00CB75EE" w:rsidP="00CB75EE" w14:paraId="20A0F6AD" w14:textId="77777777">
      <w:r w:rsidRPr="00CB75EE">
        <w:t>Washington, DC  20426</w:t>
      </w:r>
    </w:p>
    <w:p w:rsidR="00CB75EE" w:rsidRPr="00CB75EE" w:rsidP="00CB75EE" w14:paraId="5A241E9E" w14:textId="77777777">
      <w:r w:rsidRPr="00CB75EE">
        <w:t>(202) 502-8786</w:t>
      </w:r>
    </w:p>
    <w:p w:rsidR="00CB75EE" w:rsidRPr="00CB75EE" w:rsidP="00CB75EE" w14:paraId="36B77016" w14:textId="77777777"/>
    <w:p w:rsidR="00CB75EE" w:rsidRPr="00CB75EE" w:rsidP="00CB75EE" w14:paraId="3653C9EB" w14:textId="77777777">
      <w:r w:rsidRPr="00CB75EE">
        <w:t>Oscar F. Santillana (Technical Issues)</w:t>
      </w:r>
    </w:p>
    <w:p w:rsidR="00CB75EE" w:rsidRPr="00CB75EE" w:rsidP="00CB75EE" w14:paraId="4776129D" w14:textId="77777777">
      <w:r w:rsidRPr="00CB75EE">
        <w:t>Office of Energy Market Regulation</w:t>
      </w:r>
    </w:p>
    <w:p w:rsidR="00CB75EE" w:rsidRPr="00CB75EE" w:rsidP="00CB75EE" w14:paraId="17B4ED80" w14:textId="77777777">
      <w:r w:rsidRPr="00CB75EE">
        <w:t>Federal Energy Regulatory Commission</w:t>
      </w:r>
    </w:p>
    <w:p w:rsidR="00CB75EE" w:rsidRPr="00CB75EE" w:rsidP="00CB75EE" w14:paraId="13080086" w14:textId="77777777">
      <w:r w:rsidRPr="00CB75EE">
        <w:t>888 First Street, NE</w:t>
      </w:r>
    </w:p>
    <w:p w:rsidR="00CB75EE" w:rsidRPr="00CB75EE" w:rsidP="00CB75EE" w14:paraId="3508D0EC" w14:textId="77777777">
      <w:r w:rsidRPr="00CB75EE">
        <w:t>Washington, DC  20426</w:t>
      </w:r>
    </w:p>
    <w:p w:rsidR="00CB75EE" w:rsidRPr="00CB75EE" w:rsidP="00CB75EE" w14:paraId="2E43C913" w14:textId="77777777">
      <w:r w:rsidRPr="00CB75EE">
        <w:t>(202) 502-6392</w:t>
      </w:r>
    </w:p>
    <w:p w:rsidR="00CB75EE" w:rsidRPr="00CB75EE" w:rsidP="00CB75EE" w14:paraId="7985A17C" w14:textId="77777777"/>
    <w:p w:rsidR="00CB75EE" w:rsidRPr="00CB75EE" w:rsidP="00CB75EE" w14:paraId="16910C1C" w14:textId="77777777">
      <w:r w:rsidRPr="00CB75EE">
        <w:t>Carla Pettus (Legal Issues)</w:t>
      </w:r>
    </w:p>
    <w:p w:rsidR="00CB75EE" w:rsidRPr="00CB75EE" w:rsidP="00CB75EE" w14:paraId="558A3D9A" w14:textId="77777777">
      <w:r w:rsidRPr="00CB75EE">
        <w:t>Office of the General Counsel</w:t>
      </w:r>
    </w:p>
    <w:p w:rsidR="00CB75EE" w:rsidRPr="00CB75EE" w:rsidP="00CB75EE" w14:paraId="336A15F6" w14:textId="77777777">
      <w:r w:rsidRPr="00CB75EE">
        <w:t>Federal Energy Regulatory Commission</w:t>
      </w:r>
    </w:p>
    <w:p w:rsidR="00CB75EE" w:rsidRPr="00CB75EE" w:rsidP="00CB75EE" w14:paraId="07D9501E" w14:textId="77777777">
      <w:r w:rsidRPr="00CB75EE">
        <w:t>888 First Street, NE</w:t>
      </w:r>
    </w:p>
    <w:p w:rsidR="00CB75EE" w:rsidRPr="00CB75EE" w:rsidP="00CB75EE" w14:paraId="36E348E5" w14:textId="77777777">
      <w:r w:rsidRPr="00CB75EE">
        <w:t>Washington, DC  20426</w:t>
      </w:r>
    </w:p>
    <w:p w:rsidR="00CB75EE" w:rsidRPr="00CB75EE" w:rsidP="00CB75EE" w14:paraId="4870434C" w14:textId="77777777">
      <w:r w:rsidRPr="00CB75EE">
        <w:t>(202) 502-8361</w:t>
      </w:r>
    </w:p>
    <w:p w:rsidR="00CF5306" w:rsidP="00922FFB" w14:paraId="15D286BD" w14:textId="77777777"/>
    <w:p w:rsidR="00CF5306" w:rsidP="00922FFB" w14:paraId="4887C91E" w14:textId="77777777">
      <w:r w:rsidRPr="00AD5134">
        <w:rPr>
          <w:b/>
          <w:bCs/>
        </w:rPr>
        <w:t>SUPPLEMENTARY INFORMATION</w:t>
      </w:r>
      <w:r w:rsidRPr="00395600">
        <w:t>:</w:t>
      </w:r>
    </w:p>
    <w:p w:rsidR="00DC2533" w:rsidP="00922FFB" w14:paraId="1C3B502E" w14:textId="77777777"/>
    <w:p w:rsidR="00DC2533" w:rsidP="00922FFB" w14:paraId="2A7FA4BE" w14:textId="77777777"/>
    <w:p w:rsidR="00DC2533" w:rsidP="00922FFB" w14:paraId="7DDFD10E" w14:textId="77777777"/>
    <w:p w:rsidR="00DC2533" w:rsidRPr="00395600" w:rsidP="00922FFB" w14:paraId="0E640398" w14:textId="77777777">
      <w:pPr>
        <w:sectPr w:rsidSect="00CF5306">
          <w:headerReference w:type="even" r:id="rId11"/>
          <w:headerReference w:type="default" r:id="rId12"/>
          <w:pgSz w:w="12240" w:h="15840"/>
          <w:pgMar w:top="1440" w:right="1440" w:bottom="1440" w:left="1440" w:header="720" w:footer="720" w:gutter="0"/>
          <w:pgNumType w:fmt="lowerRoman" w:start="1"/>
          <w:cols w:space="720"/>
          <w:titlePg/>
          <w:docGrid w:linePitch="360"/>
        </w:sectPr>
      </w:pPr>
    </w:p>
    <w:p w:rsidR="002618C7" w:rsidP="002618C7" w14:paraId="2DEA9B49" w14:textId="77777777">
      <w:pPr>
        <w:jc w:val="center"/>
      </w:pPr>
      <w:r>
        <w:t>18</w:t>
      </w:r>
      <w:r w:rsidR="00BD3AD7">
        <w:t>9</w:t>
      </w:r>
      <w:r>
        <w:t xml:space="preserve"> FERC ¶ 61,1</w:t>
      </w:r>
      <w:r w:rsidR="00BD3AD7">
        <w:t>35</w:t>
      </w:r>
    </w:p>
    <w:p w:rsidR="00CF5306" w:rsidRPr="00395600" w:rsidP="00922FFB" w14:paraId="1C541AC9" w14:textId="77777777">
      <w:pPr>
        <w:jc w:val="center"/>
      </w:pPr>
      <w:r w:rsidRPr="00395600">
        <w:t>UNITED STATES OF AMERICA</w:t>
      </w:r>
    </w:p>
    <w:p w:rsidR="00CF5306" w:rsidRPr="00395600" w:rsidP="00922FFB" w14:paraId="61944DA3" w14:textId="77777777">
      <w:pPr>
        <w:jc w:val="center"/>
      </w:pPr>
      <w:r w:rsidRPr="00395600">
        <w:t>FEDERAL ENERGY REGULATORY COMMISSION</w:t>
      </w:r>
    </w:p>
    <w:p w:rsidR="00CF5306" w:rsidP="00922FFB" w14:paraId="11733E09" w14:textId="77777777"/>
    <w:p w:rsidR="00BB39D5" w:rsidRPr="00395600" w:rsidP="00922FFB" w14:paraId="0D1F8E41" w14:textId="77777777"/>
    <w:p w:rsidR="00CF5306" w:rsidRPr="00267459" w:rsidP="004D473C" w14:paraId="0EA102D2" w14:textId="77777777">
      <w:pPr>
        <w:widowControl/>
      </w:pPr>
      <w:r w:rsidRPr="00267459">
        <w:t xml:space="preserve">Before Commissioners:  Willie L. Phillips, </w:t>
      </w:r>
      <w:r w:rsidRPr="00267459">
        <w:t>Chairman;</w:t>
      </w:r>
    </w:p>
    <w:p w:rsidR="00267459" w:rsidRPr="00267459" w:rsidP="004D473C" w14:paraId="51F5F666" w14:textId="77777777">
      <w:pPr>
        <w:widowControl/>
      </w:pPr>
      <w:r w:rsidRPr="00267459">
        <w:t xml:space="preserve">                                        Mark C. Christie, David Rosner, </w:t>
      </w:r>
    </w:p>
    <w:p w:rsidR="00267459" w:rsidRPr="00395600" w:rsidP="004D473C" w14:paraId="63FA852A" w14:textId="77777777">
      <w:pPr>
        <w:widowControl/>
      </w:pPr>
      <w:r w:rsidRPr="00267459">
        <w:t xml:space="preserve">                                        Lindsay S. See and Judy W. Chang.</w:t>
      </w:r>
    </w:p>
    <w:p w:rsidR="00CF5306" w:rsidP="00922FFB" w14:paraId="1CD37B7F" w14:textId="77777777"/>
    <w:p w:rsidR="00BB39D5" w:rsidRPr="00395600" w:rsidP="00922FFB" w14:paraId="78356570"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4"/>
        <w:gridCol w:w="1816"/>
        <w:gridCol w:w="1620"/>
      </w:tblGrid>
      <w:tr w14:paraId="40E1E14E" w14:textId="77777777" w:rsidTr="004D473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924" w:type="dxa"/>
            <w:shd w:val="clear" w:color="auto" w:fill="auto"/>
          </w:tcPr>
          <w:p w:rsidR="00CF5306" w:rsidRPr="00395600" w:rsidP="004E776D" w14:paraId="338183A2" w14:textId="77777777">
            <w:pPr>
              <w:widowControl/>
              <w:autoSpaceDE/>
              <w:autoSpaceDN/>
              <w:adjustRightInd/>
              <w:ind w:left="-105"/>
              <w:rPr>
                <w:rFonts w:cstheme="minorBidi"/>
                <w:szCs w:val="22"/>
              </w:rPr>
            </w:pPr>
            <w:r>
              <w:rPr>
                <w:rFonts w:cstheme="minorBidi"/>
                <w:szCs w:val="22"/>
              </w:rPr>
              <w:t>Standards for Business Practices of Interstate Natural Gas Pipelines</w:t>
            </w:r>
          </w:p>
        </w:tc>
        <w:tc>
          <w:tcPr>
            <w:tcW w:w="1816" w:type="dxa"/>
            <w:shd w:val="clear" w:color="auto" w:fill="auto"/>
          </w:tcPr>
          <w:p w:rsidR="00CF5306" w:rsidRPr="00395600" w:rsidP="004D473C" w14:paraId="0AA3A0C4" w14:textId="77777777">
            <w:pPr>
              <w:widowControl/>
              <w:autoSpaceDE/>
              <w:autoSpaceDN/>
              <w:adjustRightInd/>
              <w:jc w:val="right"/>
              <w:rPr>
                <w:rFonts w:cstheme="minorBidi"/>
                <w:szCs w:val="22"/>
              </w:rPr>
            </w:pPr>
            <w:r>
              <w:rPr>
                <w:rFonts w:cstheme="minorBidi"/>
                <w:szCs w:val="22"/>
              </w:rPr>
              <w:t>Docket No.</w:t>
            </w:r>
          </w:p>
        </w:tc>
        <w:tc>
          <w:tcPr>
            <w:tcW w:w="1620" w:type="dxa"/>
            <w:shd w:val="clear" w:color="auto" w:fill="auto"/>
          </w:tcPr>
          <w:p w:rsidR="00CF5306" w:rsidRPr="00395600" w:rsidP="00922FFB" w14:paraId="425B3A8C" w14:textId="77777777">
            <w:pPr>
              <w:widowControl/>
              <w:autoSpaceDE/>
              <w:autoSpaceDN/>
              <w:adjustRightInd/>
              <w:rPr>
                <w:rFonts w:cstheme="minorBidi"/>
                <w:szCs w:val="22"/>
              </w:rPr>
            </w:pPr>
            <w:r>
              <w:rPr>
                <w:rFonts w:cstheme="minorBidi"/>
                <w:szCs w:val="22"/>
              </w:rPr>
              <w:t>RM96-1-04</w:t>
            </w:r>
            <w:r w:rsidR="00CB75EE">
              <w:rPr>
                <w:rFonts w:cstheme="minorBidi"/>
                <w:szCs w:val="22"/>
              </w:rPr>
              <w:t>3</w:t>
            </w:r>
          </w:p>
        </w:tc>
      </w:tr>
    </w:tbl>
    <w:p w:rsidR="00CF5306" w:rsidRPr="00395600" w:rsidP="00922FFB" w14:paraId="348D3C03" w14:textId="77777777"/>
    <w:p w:rsidR="00CF5306" w:rsidP="00922FFB" w14:paraId="29440E4A" w14:textId="77777777">
      <w:pPr>
        <w:jc w:val="center"/>
      </w:pPr>
      <w:r w:rsidRPr="001B39BB">
        <w:t xml:space="preserve">ORDER NO. </w:t>
      </w:r>
      <w:r w:rsidRPr="004D473C">
        <w:t>587-</w:t>
      </w:r>
      <w:r w:rsidRPr="004D473C" w:rsidR="750A5831">
        <w:t>AA</w:t>
      </w:r>
    </w:p>
    <w:p w:rsidR="00CF5306" w:rsidP="00922FFB" w14:paraId="32E50680" w14:textId="77777777">
      <w:pPr>
        <w:jc w:val="center"/>
      </w:pPr>
    </w:p>
    <w:p w:rsidR="00CF5306" w:rsidP="00922FFB" w14:paraId="17371945" w14:textId="77777777">
      <w:pPr>
        <w:jc w:val="center"/>
      </w:pPr>
      <w:r w:rsidRPr="00395600">
        <w:t>FINAL RULE</w:t>
      </w:r>
    </w:p>
    <w:p w:rsidR="00BB2871" w:rsidP="00BD3AD7" w14:paraId="37D12B75" w14:textId="77777777">
      <w:pPr>
        <w:pStyle w:val="myTOC1"/>
        <w:spacing w:before="144" w:beforeLines="0"/>
        <w:jc w:val="center"/>
      </w:pPr>
      <w:r w:rsidRPr="00BD3AD7">
        <w:t>(Issued November 22, 2024)</w:t>
      </w:r>
    </w:p>
    <w:p w:rsidR="00BB2871" w:rsidP="00922FFB" w14:paraId="6E7CF49A" w14:textId="77777777">
      <w:pPr>
        <w:jc w:val="center"/>
      </w:pPr>
    </w:p>
    <w:p w:rsidR="00BB2871" w:rsidP="00BB2871" w14:paraId="4AC0B4A0" w14:textId="77777777">
      <w:pPr>
        <w:jc w:val="center"/>
      </w:pPr>
      <w:bookmarkStart w:id="0" w:name="_Start_TOC"/>
      <w:bookmarkEnd w:id="0"/>
      <w:r>
        <w:t>TABLE OF CONTENTS</w:t>
      </w:r>
    </w:p>
    <w:p w:rsidR="009677EE" w:rsidP="00267459" w14:paraId="5DDE418E" w14:textId="77777777">
      <w:pPr>
        <w:widowControl/>
        <w:jc w:val="center"/>
      </w:pPr>
    </w:p>
    <w:p w:rsidR="00BB2871" w:rsidP="00BB2871" w14:paraId="3285BFDA" w14:textId="77777777">
      <w:pPr>
        <w:tabs>
          <w:tab w:val="right" w:pos="9360"/>
        </w:tabs>
      </w:pPr>
      <w:r w:rsidRPr="00BB2871">
        <w:tab/>
      </w:r>
      <w:r>
        <w:rPr>
          <w:u w:val="single"/>
        </w:rPr>
        <w:t>Paragraph Numbers</w:t>
      </w:r>
    </w:p>
    <w:p w:rsidR="00BB2871" w:rsidP="00267459" w14:paraId="501DCAD0" w14:textId="77777777">
      <w:pPr>
        <w:widowControl/>
        <w:jc w:val="center"/>
      </w:pPr>
      <w:r>
        <w:tab/>
      </w:r>
      <w:r>
        <w:tab/>
      </w:r>
      <w:r>
        <w:tab/>
      </w:r>
      <w:r>
        <w:tab/>
      </w:r>
      <w:r>
        <w:tab/>
      </w:r>
    </w:p>
    <w:p w:rsidR="009677EE" w:rsidP="009677EE" w14:paraId="21FA6561" w14:textId="77777777">
      <w:pPr>
        <w:pStyle w:val="myTOC1"/>
        <w:spacing w:before="144"/>
      </w:pPr>
      <w:r>
        <w:t>I. Overview</w:t>
      </w:r>
      <w:r>
        <w:tab/>
      </w:r>
      <w:hyperlink w:anchor="_bmk1" w:history="1">
        <w:r>
          <w:rPr>
            <w:rStyle w:val="Hyperlink"/>
            <w:rFonts w:eastAsiaTheme="minorHAnsi"/>
            <w:szCs w:val="22"/>
          </w:rPr>
          <w:t>1.</w:t>
        </w:r>
      </w:hyperlink>
    </w:p>
    <w:p w:rsidR="009677EE" w:rsidP="009677EE" w14:paraId="1E100F96" w14:textId="77777777">
      <w:pPr>
        <w:pStyle w:val="myTOC1"/>
        <w:spacing w:before="144"/>
      </w:pPr>
      <w:r>
        <w:t>II. Background</w:t>
      </w:r>
      <w:r>
        <w:tab/>
      </w:r>
      <w:hyperlink w:anchor="_bmk2" w:history="1">
        <w:r>
          <w:rPr>
            <w:rStyle w:val="Hyperlink"/>
            <w:rFonts w:eastAsiaTheme="minorHAnsi"/>
            <w:szCs w:val="22"/>
          </w:rPr>
          <w:t>3.</w:t>
        </w:r>
      </w:hyperlink>
    </w:p>
    <w:p w:rsidR="009677EE" w:rsidP="009677EE" w14:paraId="69329CB2" w14:textId="77777777">
      <w:pPr>
        <w:pStyle w:val="myTOC1"/>
        <w:spacing w:before="144"/>
      </w:pPr>
      <w:r>
        <w:t>III. Discussion</w:t>
      </w:r>
      <w:r>
        <w:tab/>
      </w:r>
      <w:hyperlink w:anchor="_bmk3" w:history="1">
        <w:r>
          <w:rPr>
            <w:rStyle w:val="Hyperlink"/>
            <w:rFonts w:eastAsiaTheme="minorHAnsi"/>
            <w:szCs w:val="22"/>
          </w:rPr>
          <w:t>9.</w:t>
        </w:r>
      </w:hyperlink>
    </w:p>
    <w:p w:rsidR="009677EE" w:rsidP="009677EE" w14:paraId="55B24323" w14:textId="77777777">
      <w:pPr>
        <w:pStyle w:val="myTOC2"/>
      </w:pPr>
      <w:r>
        <w:t>A. The NAESB WGQ Version 4.0 Business Practice Standards</w:t>
      </w:r>
      <w:r>
        <w:tab/>
      </w:r>
      <w:hyperlink w:anchor="_bmk4" w:history="1">
        <w:r>
          <w:rPr>
            <w:rStyle w:val="Hyperlink"/>
            <w:rFonts w:eastAsiaTheme="minorHAnsi"/>
            <w:szCs w:val="22"/>
          </w:rPr>
          <w:t>13.</w:t>
        </w:r>
      </w:hyperlink>
    </w:p>
    <w:p w:rsidR="009677EE" w:rsidP="009677EE" w14:paraId="32C673D3" w14:textId="77777777">
      <w:pPr>
        <w:pStyle w:val="myTOC3"/>
      </w:pPr>
      <w:r>
        <w:t>1. WGQ Cybersecurity Related Standards</w:t>
      </w:r>
      <w:r>
        <w:tab/>
      </w:r>
      <w:hyperlink w:anchor="_bmk5" w:history="1">
        <w:r>
          <w:rPr>
            <w:rStyle w:val="Hyperlink"/>
            <w:rFonts w:eastAsiaTheme="minorHAnsi"/>
            <w:szCs w:val="22"/>
          </w:rPr>
          <w:t>15.</w:t>
        </w:r>
      </w:hyperlink>
    </w:p>
    <w:p w:rsidR="009677EE" w:rsidP="009677EE" w14:paraId="025644E4" w14:textId="77777777">
      <w:pPr>
        <w:pStyle w:val="myTOC3"/>
      </w:pPr>
      <w:r>
        <w:t>2. Other Standards Modifications</w:t>
      </w:r>
      <w:r>
        <w:tab/>
      </w:r>
      <w:hyperlink w:anchor="_bmk6" w:history="1">
        <w:r>
          <w:rPr>
            <w:rStyle w:val="Hyperlink"/>
            <w:rFonts w:eastAsiaTheme="minorHAnsi"/>
            <w:szCs w:val="22"/>
          </w:rPr>
          <w:t>16.</w:t>
        </w:r>
      </w:hyperlink>
    </w:p>
    <w:p w:rsidR="009677EE" w:rsidP="009677EE" w14:paraId="429D8D22" w14:textId="77777777">
      <w:pPr>
        <w:pStyle w:val="myTOC3"/>
      </w:pPr>
      <w:r>
        <w:t>3. Standards Not Incorporated by Reference</w:t>
      </w:r>
      <w:r>
        <w:tab/>
      </w:r>
      <w:hyperlink w:anchor="_bmk7" w:history="1">
        <w:r>
          <w:rPr>
            <w:rStyle w:val="Hyperlink"/>
            <w:rFonts w:eastAsiaTheme="minorHAnsi"/>
            <w:szCs w:val="22"/>
          </w:rPr>
          <w:t>22.</w:t>
        </w:r>
      </w:hyperlink>
    </w:p>
    <w:p w:rsidR="009677EE" w:rsidP="009677EE" w14:paraId="313C34EF" w14:textId="77777777">
      <w:pPr>
        <w:pStyle w:val="myTOC2"/>
      </w:pPr>
      <w:r>
        <w:t>B. Required Compliance Filings</w:t>
      </w:r>
      <w:r>
        <w:tab/>
      </w:r>
      <w:hyperlink w:anchor="_bmk8" w:history="1">
        <w:r>
          <w:rPr>
            <w:rStyle w:val="Hyperlink"/>
            <w:rFonts w:eastAsiaTheme="minorHAnsi"/>
            <w:szCs w:val="22"/>
          </w:rPr>
          <w:t>23.</w:t>
        </w:r>
      </w:hyperlink>
    </w:p>
    <w:p w:rsidR="009677EE" w:rsidP="009677EE" w14:paraId="6DC78EA9" w14:textId="77777777">
      <w:pPr>
        <w:pStyle w:val="myTOC2"/>
      </w:pPr>
      <w:r>
        <w:t>C. Implementation Procedures</w:t>
      </w:r>
      <w:r>
        <w:tab/>
      </w:r>
      <w:hyperlink w:anchor="_bmk9" w:history="1">
        <w:r>
          <w:rPr>
            <w:rStyle w:val="Hyperlink"/>
            <w:rFonts w:eastAsiaTheme="minorHAnsi"/>
            <w:szCs w:val="22"/>
          </w:rPr>
          <w:t>24.</w:t>
        </w:r>
      </w:hyperlink>
    </w:p>
    <w:p w:rsidR="009677EE" w:rsidP="009677EE" w14:paraId="1BB8E16F" w14:textId="77777777">
      <w:pPr>
        <w:pStyle w:val="myTOC1"/>
        <w:spacing w:before="144"/>
      </w:pPr>
      <w:r>
        <w:t>IV. Notice of Use of Voluntary Consensus Standards</w:t>
      </w:r>
      <w:r>
        <w:tab/>
      </w:r>
      <w:hyperlink w:anchor="_bmk10" w:history="1">
        <w:r>
          <w:rPr>
            <w:rStyle w:val="Hyperlink"/>
            <w:rFonts w:eastAsiaTheme="minorHAnsi"/>
            <w:szCs w:val="22"/>
          </w:rPr>
          <w:t>30.</w:t>
        </w:r>
      </w:hyperlink>
    </w:p>
    <w:p w:rsidR="009677EE" w:rsidP="009677EE" w14:paraId="1EAD1281" w14:textId="77777777">
      <w:pPr>
        <w:pStyle w:val="myTOC1"/>
        <w:spacing w:before="144"/>
      </w:pPr>
      <w:r>
        <w:t>V. Incorporation by Reference</w:t>
      </w:r>
      <w:r>
        <w:tab/>
      </w:r>
      <w:hyperlink w:anchor="_bmk11" w:history="1">
        <w:r>
          <w:rPr>
            <w:rStyle w:val="Hyperlink"/>
            <w:rFonts w:eastAsiaTheme="minorHAnsi"/>
            <w:szCs w:val="22"/>
          </w:rPr>
          <w:t>31.</w:t>
        </w:r>
      </w:hyperlink>
    </w:p>
    <w:p w:rsidR="009677EE" w:rsidP="009677EE" w14:paraId="70AB94A9" w14:textId="77777777">
      <w:pPr>
        <w:pStyle w:val="myTOC1"/>
        <w:spacing w:before="144"/>
      </w:pPr>
      <w:r>
        <w:t>VI. Information Collection Statement</w:t>
      </w:r>
      <w:r>
        <w:tab/>
      </w:r>
      <w:hyperlink w:anchor="_bmk12" w:history="1">
        <w:r>
          <w:rPr>
            <w:rStyle w:val="Hyperlink"/>
            <w:rFonts w:eastAsiaTheme="minorHAnsi"/>
            <w:szCs w:val="22"/>
          </w:rPr>
          <w:t>42.</w:t>
        </w:r>
      </w:hyperlink>
    </w:p>
    <w:p w:rsidR="009677EE" w:rsidP="009677EE" w14:paraId="01730146" w14:textId="77777777">
      <w:pPr>
        <w:pStyle w:val="myTOC1"/>
        <w:spacing w:before="144"/>
      </w:pPr>
      <w:r>
        <w:t>VII. Environmental Analysis</w:t>
      </w:r>
      <w:r>
        <w:tab/>
      </w:r>
      <w:hyperlink w:anchor="_bmk13" w:history="1">
        <w:r>
          <w:rPr>
            <w:rStyle w:val="Hyperlink"/>
            <w:rFonts w:eastAsiaTheme="minorHAnsi"/>
            <w:szCs w:val="22"/>
          </w:rPr>
          <w:t>49.</w:t>
        </w:r>
      </w:hyperlink>
    </w:p>
    <w:p w:rsidR="009677EE" w:rsidP="009677EE" w14:paraId="340480DE" w14:textId="77777777">
      <w:pPr>
        <w:pStyle w:val="myTOC1"/>
        <w:spacing w:before="144"/>
      </w:pPr>
      <w:r>
        <w:t>VIII. Regulatory Flexibility Act</w:t>
      </w:r>
      <w:r>
        <w:tab/>
      </w:r>
      <w:hyperlink w:anchor="_bmk14" w:history="1">
        <w:r>
          <w:rPr>
            <w:rStyle w:val="Hyperlink"/>
            <w:rFonts w:eastAsiaTheme="minorHAnsi"/>
            <w:szCs w:val="22"/>
          </w:rPr>
          <w:t>50.</w:t>
        </w:r>
      </w:hyperlink>
    </w:p>
    <w:p w:rsidR="00BB2871" w:rsidP="009677EE" w14:paraId="2BD0A575" w14:textId="77777777">
      <w:pPr>
        <w:pStyle w:val="myTOC1"/>
        <w:spacing w:before="144"/>
        <w:rPr>
          <w:rStyle w:val="Hyperlink"/>
          <w:rFonts w:eastAsiaTheme="minorHAnsi"/>
          <w:szCs w:val="22"/>
        </w:rPr>
      </w:pPr>
      <w:r>
        <w:t>X. Effective Date and Congressional Notification</w:t>
      </w:r>
      <w:r>
        <w:tab/>
      </w:r>
      <w:hyperlink w:anchor="_bmk15" w:history="1">
        <w:r>
          <w:rPr>
            <w:rStyle w:val="Hyperlink"/>
            <w:rFonts w:eastAsiaTheme="minorHAnsi"/>
            <w:szCs w:val="22"/>
          </w:rPr>
          <w:t>56.</w:t>
        </w:r>
      </w:hyperlink>
    </w:p>
    <w:p w:rsidR="00822D54" w:rsidRPr="001C38BA" w:rsidP="00822D54" w14:paraId="7E68528D" w14:textId="77777777">
      <w:pPr>
        <w:pStyle w:val="Heading1"/>
        <w:rPr>
          <w:u w:val="none"/>
        </w:rPr>
      </w:pPr>
      <w:bookmarkStart w:id="1" w:name="_bmk1"/>
      <w:bookmarkStart w:id="2" w:name="_Toc173833721"/>
      <w:r w:rsidRPr="001C38BA">
        <w:rPr>
          <w:u w:val="none"/>
        </w:rPr>
        <w:t>O</w:t>
      </w:r>
      <w:bookmarkEnd w:id="1"/>
      <w:r w:rsidRPr="001C38BA">
        <w:rPr>
          <w:u w:val="none"/>
        </w:rPr>
        <w:t>verview</w:t>
      </w:r>
      <w:bookmarkEnd w:id="2"/>
    </w:p>
    <w:p w:rsidR="00AF5ABA" w:rsidP="00AF5ABA" w14:paraId="0333FA01" w14:textId="77777777">
      <w:pPr>
        <w:pStyle w:val="FERCparanumber"/>
      </w:pPr>
      <w:r w:rsidRPr="009D260F">
        <w:t>In this Final Rule, the Federal Energy Regulatory Commission (Commission) amends its regulations at 18 CFR 284.12 to incorporate by reference, with certain enumerated exceptions,</w:t>
      </w:r>
      <w:r>
        <w:rPr>
          <w:rStyle w:val="FootnoteReference"/>
        </w:rPr>
        <w:footnoteReference w:id="3"/>
      </w:r>
      <w:r w:rsidRPr="009D260F">
        <w:t xml:space="preserve"> the latest version (</w:t>
      </w:r>
      <w:r w:rsidR="00457F64">
        <w:t xml:space="preserve">WGQ </w:t>
      </w:r>
      <w:r w:rsidRPr="009D260F">
        <w:t xml:space="preserve">Version </w:t>
      </w:r>
      <w:r>
        <w:t>4.0</w:t>
      </w:r>
      <w:r w:rsidRPr="009D260F">
        <w:t>) of business practice standards applicable to natural gas pipelines</w:t>
      </w:r>
      <w:r w:rsidR="004F23D0">
        <w:t xml:space="preserve">.  On October 2, 2023, </w:t>
      </w:r>
      <w:r w:rsidRPr="009D260F">
        <w:t xml:space="preserve">NAESB reported to the Commission </w:t>
      </w:r>
      <w:r w:rsidR="008B38C5">
        <w:t xml:space="preserve">that it had approved </w:t>
      </w:r>
      <w:r w:rsidR="00D5303E">
        <w:t xml:space="preserve">WGQ </w:t>
      </w:r>
      <w:r w:rsidR="00D3277E">
        <w:t xml:space="preserve">Version 4.0 </w:t>
      </w:r>
      <w:r w:rsidR="00BF0CD8">
        <w:t>to</w:t>
      </w:r>
      <w:r w:rsidRPr="009D260F">
        <w:t xml:space="preserve"> </w:t>
      </w:r>
      <w:r w:rsidR="00855ACA">
        <w:t>re</w:t>
      </w:r>
      <w:r w:rsidRPr="009D260F">
        <w:t>place</w:t>
      </w:r>
      <w:r w:rsidRPr="009D260F">
        <w:t xml:space="preserve"> </w:t>
      </w:r>
      <w:r w:rsidRPr="009D260F">
        <w:t xml:space="preserve">the currently incorporated version (Version </w:t>
      </w:r>
      <w:r w:rsidR="008F0C04">
        <w:t>3.2</w:t>
      </w:r>
      <w:r w:rsidRPr="009D260F">
        <w:t xml:space="preserve">) of those business practice standards.  </w:t>
      </w:r>
      <w:r w:rsidR="00644196">
        <w:t xml:space="preserve">On May 21, 2024, NAESB reported a minor correction to </w:t>
      </w:r>
      <w:r w:rsidR="00D5303E">
        <w:t xml:space="preserve">WGQ </w:t>
      </w:r>
      <w:r w:rsidR="00644196">
        <w:t xml:space="preserve">Version 4.0.  </w:t>
      </w:r>
      <w:r w:rsidRPr="009D260F">
        <w:t xml:space="preserve">This Final Rule requires interstate natural gas pipelines to file compliance filings with the Commission by </w:t>
      </w:r>
      <w:r w:rsidR="00467E49">
        <w:t>February 3</w:t>
      </w:r>
      <w:r w:rsidR="008416A6">
        <w:t>, 2025</w:t>
      </w:r>
      <w:r w:rsidR="5FD949CE">
        <w:t>,</w:t>
      </w:r>
      <w:r w:rsidRPr="009D260F">
        <w:t xml:space="preserve"> </w:t>
      </w:r>
      <w:r w:rsidR="00A22A26">
        <w:t xml:space="preserve">with an effective date of the tariff records </w:t>
      </w:r>
      <w:r w:rsidR="00DB66D8">
        <w:t xml:space="preserve">of </w:t>
      </w:r>
      <w:r w:rsidR="008416A6">
        <w:t>August</w:t>
      </w:r>
      <w:r w:rsidR="7F121E80">
        <w:t xml:space="preserve"> 1, 2025.</w:t>
      </w:r>
    </w:p>
    <w:p w:rsidR="00CF5306" w:rsidRPr="00722C27" w:rsidP="00722C27" w14:paraId="7C0A9D26" w14:textId="77777777">
      <w:pPr>
        <w:pStyle w:val="FERCparanumber"/>
      </w:pPr>
      <w:r w:rsidRPr="00AF5ABA">
        <w:t xml:space="preserve">The implementation of these standards </w:t>
      </w:r>
      <w:bookmarkStart w:id="3" w:name="_Hlk168324937"/>
      <w:r w:rsidRPr="00AF5ABA">
        <w:t xml:space="preserve">will </w:t>
      </w:r>
      <w:r w:rsidRPr="00AA3203" w:rsidR="00CB75EE">
        <w:t xml:space="preserve">promote </w:t>
      </w:r>
      <w:r w:rsidR="00CB75EE">
        <w:t xml:space="preserve">greater </w:t>
      </w:r>
      <w:r w:rsidRPr="00AA3203" w:rsidR="00CB75EE">
        <w:t xml:space="preserve">efficiency and reliability of the natural gas </w:t>
      </w:r>
      <w:r w:rsidRPr="00AA3203" w:rsidR="00FD20BC">
        <w:t>industr</w:t>
      </w:r>
      <w:r w:rsidR="00FD20BC">
        <w:t>y’s</w:t>
      </w:r>
      <w:r w:rsidRPr="00AA3203" w:rsidR="00FD20BC">
        <w:t xml:space="preserve"> </w:t>
      </w:r>
      <w:r w:rsidRPr="008416CD" w:rsidR="00CB75EE">
        <w:t>operations and strengthen</w:t>
      </w:r>
      <w:r w:rsidR="00CB75EE">
        <w:t xml:space="preserve"> the cybersecurity protections</w:t>
      </w:r>
      <w:bookmarkEnd w:id="3"/>
      <w:r w:rsidR="00CB75EE">
        <w:t xml:space="preserve"> provided within the standards</w:t>
      </w:r>
      <w:r w:rsidRPr="009A3DEC" w:rsidR="00CB75EE">
        <w:t>.</w:t>
      </w:r>
      <w:r>
        <w:rPr>
          <w:rStyle w:val="FootnoteReference"/>
        </w:rPr>
        <w:footnoteReference w:id="4"/>
      </w:r>
    </w:p>
    <w:p w:rsidR="00CF5306" w:rsidRPr="001C38BA" w:rsidP="00CF5306" w14:paraId="3E3BC221" w14:textId="77777777">
      <w:pPr>
        <w:pStyle w:val="Heading1"/>
        <w:spacing w:after="0" w:line="480" w:lineRule="auto"/>
        <w:rPr>
          <w:u w:val="none"/>
        </w:rPr>
      </w:pPr>
      <w:bookmarkStart w:id="4" w:name="_bmk2"/>
      <w:bookmarkStart w:id="5" w:name="_Toc173833722"/>
      <w:r w:rsidRPr="001C38BA">
        <w:rPr>
          <w:u w:val="none"/>
        </w:rPr>
        <w:t>B</w:t>
      </w:r>
      <w:bookmarkEnd w:id="4"/>
      <w:r w:rsidRPr="001C38BA">
        <w:rPr>
          <w:u w:val="none"/>
        </w:rPr>
        <w:t>ackground</w:t>
      </w:r>
      <w:bookmarkEnd w:id="5"/>
    </w:p>
    <w:p w:rsidR="00BA0B46" w:rsidRPr="009D260F" w:rsidP="00BA0B46" w14:paraId="15933831" w14:textId="77777777">
      <w:pPr>
        <w:pStyle w:val="FERCparanumber"/>
      </w:pPr>
      <w:r w:rsidRPr="009D260F">
        <w:t xml:space="preserve">Since 1996, the Commission has adopted regulations to standardize the business practices and communication methodologies of interstate natural gas pipelines to create a </w:t>
      </w:r>
      <w:r w:rsidRPr="009D260F">
        <w:t xml:space="preserve">more integrated and efficient pipeline </w:t>
      </w:r>
      <w:r>
        <w:t>system</w:t>
      </w:r>
      <w:r w:rsidRPr="009D260F">
        <w:t>.  These regulations have been promulgated in the Order No. 587 series of orders,</w:t>
      </w:r>
      <w:r>
        <w:rPr>
          <w:rStyle w:val="FootnoteReference"/>
        </w:rPr>
        <w:footnoteReference w:id="5"/>
      </w:r>
      <w:r w:rsidRPr="009D260F">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w:t>
      </w:r>
      <w:r w:rsidR="009D3333">
        <w:t>2</w:t>
      </w:r>
      <w:r w:rsidRPr="009D260F">
        <w:t>) of those business practice standards.</w:t>
      </w:r>
    </w:p>
    <w:p w:rsidR="00BA0B46" w:rsidRPr="009D260F" w:rsidP="00BA0B46" w14:paraId="4BDF7F39" w14:textId="77777777">
      <w:pPr>
        <w:pStyle w:val="FERCparanumber"/>
      </w:pPr>
      <w:r w:rsidRPr="009D260F">
        <w:t xml:space="preserve">On </w:t>
      </w:r>
      <w:r w:rsidRPr="007E1279" w:rsidR="007E1279">
        <w:t>October 2, 2023</w:t>
      </w:r>
      <w:r w:rsidRPr="009D260F">
        <w:t>, NAESB filed a report</w:t>
      </w:r>
      <w:r w:rsidR="00572D04">
        <w:t xml:space="preserve"> (Informational Report)</w:t>
      </w:r>
      <w:r w:rsidRPr="009D260F">
        <w:t xml:space="preserve"> informing</w:t>
      </w:r>
      <w:r w:rsidR="001E0F9D">
        <w:t xml:space="preserve"> </w:t>
      </w:r>
      <w:r w:rsidRPr="009D260F">
        <w:t xml:space="preserve">the Commission that it had adopted and ratified WGQ Version </w:t>
      </w:r>
      <w:r w:rsidR="007E1279">
        <w:t>4.0</w:t>
      </w:r>
      <w:r w:rsidRPr="009D260F">
        <w:t xml:space="preserve"> of its business practice standards applicable to interstate natural gas pipelines.  </w:t>
      </w:r>
      <w:r w:rsidRPr="009D260F" w:rsidR="007E1279">
        <w:t xml:space="preserve">WGQ </w:t>
      </w:r>
      <w:r w:rsidRPr="009D260F">
        <w:t xml:space="preserve">Version </w:t>
      </w:r>
      <w:r w:rsidR="007E1279">
        <w:t>4.0</w:t>
      </w:r>
      <w:r w:rsidRPr="009D260F">
        <w:t xml:space="preserve"> includes business practice standards developed and modified in response to industry requests and directives from the NAESB Board of Directors.  This version also includes the standards developed in response to the </w:t>
      </w:r>
      <w:r w:rsidRPr="008B2E07" w:rsidR="009D3333">
        <w:t>recommendations of Sandia</w:t>
      </w:r>
      <w:r w:rsidR="00275D89">
        <w:t xml:space="preserve"> National Laboratories</w:t>
      </w:r>
      <w:r w:rsidR="00DC0DA9">
        <w:t xml:space="preserve"> (Sandia)</w:t>
      </w:r>
      <w:r w:rsidRPr="008B2E07" w:rsidR="009D3333">
        <w:t>,</w:t>
      </w:r>
      <w:r>
        <w:rPr>
          <w:rStyle w:val="FootnoteReference"/>
        </w:rPr>
        <w:footnoteReference w:id="6"/>
      </w:r>
      <w:r w:rsidRPr="00B16026" w:rsidR="009D3333">
        <w:t xml:space="preserve"> which in 2019 issued a </w:t>
      </w:r>
      <w:r w:rsidR="00165883">
        <w:t>DOE</w:t>
      </w:r>
      <w:r w:rsidR="00023751">
        <w:t>-</w:t>
      </w:r>
      <w:r w:rsidR="00165883">
        <w:t xml:space="preserve">sponsored </w:t>
      </w:r>
      <w:r w:rsidRPr="00B16026" w:rsidR="009D3333">
        <w:t>cybersecurity surety assessment of the NAESB standards.</w:t>
      </w:r>
      <w:r>
        <w:rPr>
          <w:rStyle w:val="FootnoteReference"/>
        </w:rPr>
        <w:footnoteReference w:id="7"/>
      </w:r>
    </w:p>
    <w:p w:rsidR="00BA0B46" w:rsidRPr="009D260F" w:rsidP="00BA0B46" w14:paraId="58209C3A" w14:textId="77777777">
      <w:pPr>
        <w:pStyle w:val="FERCparanumber"/>
      </w:pPr>
      <w:r>
        <w:t>NAESB’s</w:t>
      </w:r>
      <w:r w:rsidRPr="009D260F">
        <w:t xml:space="preserve"> </w:t>
      </w:r>
      <w:r w:rsidR="001E0F9D">
        <w:t>I</w:t>
      </w:r>
      <w:r w:rsidR="002E64C1">
        <w:t xml:space="preserve">nformational </w:t>
      </w:r>
      <w:r w:rsidR="001E0F9D">
        <w:t>R</w:t>
      </w:r>
      <w:r w:rsidRPr="009D260F">
        <w:t xml:space="preserve">eport identifies all the changes made to the WGQ Version </w:t>
      </w:r>
      <w:r w:rsidR="002E64C1">
        <w:t>3.2</w:t>
      </w:r>
      <w:r w:rsidRPr="009D260F">
        <w:t xml:space="preserve"> </w:t>
      </w:r>
      <w:r w:rsidR="002E64C1">
        <w:t>s</w:t>
      </w:r>
      <w:r w:rsidRPr="009D260F">
        <w:t>tandards and summarizes the deliberations that led to the changes being made.  It also identifies changes to the existing standards that were considered but not adopted due to a lack of consensus or other reasons.</w:t>
      </w:r>
    </w:p>
    <w:p w:rsidR="006D3E9A" w:rsidRPr="009D260F" w:rsidP="006D3E9A" w14:paraId="761633D6" w14:textId="77777777">
      <w:pPr>
        <w:pStyle w:val="FERCparanumber"/>
      </w:pPr>
      <w:r w:rsidRPr="009D3333">
        <w:t>On</w:t>
      </w:r>
      <w:r w:rsidRPr="009D3333" w:rsidR="002E64C1">
        <w:t xml:space="preserve"> March</w:t>
      </w:r>
      <w:r w:rsidRPr="009D3333" w:rsidR="005E1AA5">
        <w:t xml:space="preserve"> 2</w:t>
      </w:r>
      <w:r w:rsidRPr="009D3333" w:rsidR="002E64C1">
        <w:t>1</w:t>
      </w:r>
      <w:r w:rsidRPr="00740AA1" w:rsidR="005E1AA5">
        <w:t>, 202</w:t>
      </w:r>
      <w:r w:rsidRPr="00740AA1" w:rsidR="002E64C1">
        <w:t>4</w:t>
      </w:r>
      <w:r w:rsidRPr="00740AA1">
        <w:t>, the</w:t>
      </w:r>
      <w:r w:rsidRPr="009D260F">
        <w:t xml:space="preserve"> Commission issued a Notice of Proposed Rulemaking proposing to amend its regulations to incorporate by reference, with certain enumerated exceptions, the WGQ Version </w:t>
      </w:r>
      <w:r w:rsidR="005E1AA5">
        <w:t>4.0</w:t>
      </w:r>
      <w:r w:rsidRPr="009D260F">
        <w:t xml:space="preserve"> business practice standards applicable to </w:t>
      </w:r>
      <w:r w:rsidRPr="009D260F" w:rsidR="54A9FFEE">
        <w:t xml:space="preserve">interstate </w:t>
      </w:r>
      <w:r w:rsidRPr="009D260F">
        <w:t>natural gas pipelines.</w:t>
      </w:r>
      <w:r>
        <w:rPr>
          <w:rStyle w:val="FootnoteReference"/>
        </w:rPr>
        <w:footnoteReference w:id="8"/>
      </w:r>
    </w:p>
    <w:p w:rsidR="00CF5306" w:rsidP="00CF5306" w14:paraId="4CCF7F9E" w14:textId="77777777">
      <w:pPr>
        <w:pStyle w:val="FERCparanumber"/>
      </w:pPr>
      <w:r>
        <w:t>On May</w:t>
      </w:r>
      <w:r w:rsidR="002E64C1">
        <w:t xml:space="preserve"> 21</w:t>
      </w:r>
      <w:r>
        <w:t xml:space="preserve">, 2024, NAESB </w:t>
      </w:r>
      <w:r w:rsidR="002E64C1">
        <w:t>submitted</w:t>
      </w:r>
      <w:r w:rsidR="005F6159">
        <w:t xml:space="preserve">, and the Commission noticed for comment, </w:t>
      </w:r>
      <w:r w:rsidR="002E64C1">
        <w:t>a</w:t>
      </w:r>
      <w:r w:rsidR="009D3333">
        <w:t xml:space="preserve">n </w:t>
      </w:r>
      <w:r w:rsidR="009D3333">
        <w:t>errata</w:t>
      </w:r>
      <w:r w:rsidR="002E64C1">
        <w:t xml:space="preserve"> </w:t>
      </w:r>
      <w:r w:rsidR="001E0F9D">
        <w:t>filing</w:t>
      </w:r>
      <w:r w:rsidR="002E64C1">
        <w:t xml:space="preserve"> </w:t>
      </w:r>
      <w:r w:rsidR="00CE57E9">
        <w:t>to update the</w:t>
      </w:r>
      <w:r w:rsidR="002E64C1">
        <w:t xml:space="preserve"> </w:t>
      </w:r>
      <w:r w:rsidR="001E0F9D">
        <w:t>I</w:t>
      </w:r>
      <w:r w:rsidR="002E64C1">
        <w:t>nformation</w:t>
      </w:r>
      <w:r w:rsidR="1B94D278">
        <w:t>al</w:t>
      </w:r>
      <w:r w:rsidR="002E64C1">
        <w:t xml:space="preserve"> </w:t>
      </w:r>
      <w:r w:rsidR="001E0F9D">
        <w:t>R</w:t>
      </w:r>
      <w:r w:rsidR="002E64C1">
        <w:t>eport</w:t>
      </w:r>
      <w:r w:rsidR="00CE57E9">
        <w:t>, noting a</w:t>
      </w:r>
      <w:r w:rsidR="16F9B6B0">
        <w:t xml:space="preserve"> minor correction to an existing</w:t>
      </w:r>
      <w:r w:rsidR="6574E670">
        <w:t xml:space="preserve"> </w:t>
      </w:r>
      <w:r w:rsidR="25080B01">
        <w:t xml:space="preserve">WGQ </w:t>
      </w:r>
      <w:r w:rsidR="001E0F9D">
        <w:t>standard</w:t>
      </w:r>
      <w:r w:rsidR="00A311C2">
        <w:t>.</w:t>
      </w:r>
      <w:r>
        <w:rPr>
          <w:rStyle w:val="FootnoteReference"/>
        </w:rPr>
        <w:footnoteReference w:id="9"/>
      </w:r>
      <w:r w:rsidR="00A311C2">
        <w:t xml:space="preserve"> </w:t>
      </w:r>
      <w:r w:rsidR="001E0F9D">
        <w:t xml:space="preserve"> </w:t>
      </w:r>
      <w:r w:rsidR="00CE57E9">
        <w:t xml:space="preserve">The standard supports the communication of invoices between trading partners, including transactions for natural gas transportation and sales and related charges and/or allowances. </w:t>
      </w:r>
      <w:r w:rsidR="001E0F9D">
        <w:t xml:space="preserve"> </w:t>
      </w:r>
      <w:r w:rsidR="00CE57E9">
        <w:t xml:space="preserve">NAESB states that </w:t>
      </w:r>
      <w:r w:rsidR="009D3333">
        <w:t xml:space="preserve">it adopted and ratified the </w:t>
      </w:r>
      <w:r w:rsidR="00CE57E9">
        <w:t>change</w:t>
      </w:r>
      <w:r w:rsidR="00772A31">
        <w:t>s</w:t>
      </w:r>
      <w:r w:rsidR="00CE57E9">
        <w:t xml:space="preserve"> </w:t>
      </w:r>
      <w:r w:rsidR="00644503">
        <w:t xml:space="preserve">for that </w:t>
      </w:r>
      <w:r w:rsidR="00644503">
        <w:t xml:space="preserve">standard </w:t>
      </w:r>
      <w:r w:rsidR="001009D9">
        <w:t xml:space="preserve">on March 23, </w:t>
      </w:r>
      <w:r w:rsidR="00225468">
        <w:t>2020,</w:t>
      </w:r>
      <w:r w:rsidR="001009D9">
        <w:t xml:space="preserve"> </w:t>
      </w:r>
      <w:r w:rsidR="009D3333">
        <w:t>which became</w:t>
      </w:r>
      <w:r w:rsidR="001009D9">
        <w:t xml:space="preserve"> effective </w:t>
      </w:r>
      <w:r w:rsidR="001E0F9D">
        <w:t xml:space="preserve">on </w:t>
      </w:r>
      <w:r w:rsidR="001009D9">
        <w:t>November 3, 2020</w:t>
      </w:r>
      <w:r w:rsidR="006B53D6">
        <w:t>,</w:t>
      </w:r>
      <w:r w:rsidR="001009D9">
        <w:t xml:space="preserve"> but </w:t>
      </w:r>
      <w:r w:rsidR="00772A31">
        <w:t xml:space="preserve">were </w:t>
      </w:r>
      <w:r w:rsidR="00CE57E9">
        <w:t>inadvertently omitted from WGQ Version 3.2 and WGQ Version 4.0.</w:t>
      </w:r>
      <w:r w:rsidR="00AE54AC">
        <w:t xml:space="preserve"> </w:t>
      </w:r>
      <w:r w:rsidR="00CE57E9">
        <w:t xml:space="preserve"> </w:t>
      </w:r>
      <w:r w:rsidR="001009D9">
        <w:t>The</w:t>
      </w:r>
      <w:r w:rsidR="5FF77DE7">
        <w:t xml:space="preserve"> minor correction</w:t>
      </w:r>
      <w:bookmarkStart w:id="6" w:name="_Hlk168400569"/>
      <w:bookmarkStart w:id="7" w:name="_Hlk168400246"/>
      <w:r w:rsidR="001009D9">
        <w:t xml:space="preserve"> </w:t>
      </w:r>
      <w:r w:rsidR="6360576E">
        <w:t xml:space="preserve">revised </w:t>
      </w:r>
      <w:r w:rsidR="001009D9">
        <w:t xml:space="preserve">the </w:t>
      </w:r>
      <w:r w:rsidRPr="001009D9" w:rsidR="001009D9">
        <w:t>Electronic Delivery Mechanism (EDI) X12 Mapping Guidelines</w:t>
      </w:r>
      <w:r w:rsidR="052E41FD">
        <w:t xml:space="preserve"> for existing WGQ standard </w:t>
      </w:r>
      <w:bookmarkEnd w:id="6"/>
      <w:r w:rsidRPr="001009D9" w:rsidR="001009D9">
        <w:t>3.4.1 – Transportation/Sales Invoice</w:t>
      </w:r>
      <w:r w:rsidR="008714D0">
        <w:t xml:space="preserve"> </w:t>
      </w:r>
      <w:r w:rsidR="185E1D8C">
        <w:t>to add code values for five data elements</w:t>
      </w:r>
      <w:bookmarkEnd w:id="7"/>
      <w:r w:rsidR="008714D0">
        <w:t>.</w:t>
      </w:r>
      <w:r>
        <w:rPr>
          <w:rStyle w:val="FootnoteReference"/>
        </w:rPr>
        <w:footnoteReference w:id="10"/>
      </w:r>
    </w:p>
    <w:p w:rsidR="23583BA4" w:rsidP="000B4E09" w14:paraId="4F5FB95F" w14:textId="77777777">
      <w:pPr>
        <w:pStyle w:val="FERCparanumber"/>
      </w:pPr>
      <w:r w:rsidRPr="5EC0440E">
        <w:t xml:space="preserve">In response to the </w:t>
      </w:r>
      <w:r w:rsidR="00703E9E">
        <w:t xml:space="preserve">WGQ </w:t>
      </w:r>
      <w:r w:rsidRPr="5EC0440E">
        <w:t>Version 4.0 NOPR, the American Gas Association (</w:t>
      </w:r>
      <w:r w:rsidRPr="5EC0440E" w:rsidR="13175742">
        <w:t>AGA) and the In</w:t>
      </w:r>
      <w:r w:rsidRPr="5EC0440E" w:rsidR="22851BEC">
        <w:t xml:space="preserve">terstate Natural Gas Association (INGAA) filed comments. </w:t>
      </w:r>
      <w:r w:rsidRPr="5EC0440E" w:rsidR="5E4EB3BF">
        <w:t xml:space="preserve"> AGA</w:t>
      </w:r>
      <w:r w:rsidRPr="5EC0440E" w:rsidR="379D6C3D">
        <w:t xml:space="preserve"> expresses</w:t>
      </w:r>
      <w:r w:rsidRPr="5EC0440E" w:rsidR="5E4EB3BF">
        <w:t xml:space="preserve"> support</w:t>
      </w:r>
      <w:r w:rsidRPr="5EC0440E" w:rsidR="4E39BEF5">
        <w:t xml:space="preserve"> of</w:t>
      </w:r>
      <w:r w:rsidRPr="5EC0440E" w:rsidR="5E4EB3BF">
        <w:t xml:space="preserve"> the Commission’</w:t>
      </w:r>
      <w:r w:rsidRPr="5EC0440E" w:rsidR="30D0F749">
        <w:t>s proposed rulemaking</w:t>
      </w:r>
      <w:r w:rsidRPr="5EC0440E" w:rsidR="3B655BB4">
        <w:t xml:space="preserve"> as well as the minor correction submitted by NAESB on May 21, 2024.</w:t>
      </w:r>
      <w:r>
        <w:rPr>
          <w:rStyle w:val="FootnoteReference"/>
        </w:rPr>
        <w:footnoteReference w:id="11"/>
      </w:r>
      <w:r w:rsidRPr="5EC0440E" w:rsidR="703B4A9F">
        <w:t xml:space="preserve">  INGAA </w:t>
      </w:r>
      <w:r w:rsidR="00320952">
        <w:t xml:space="preserve">also </w:t>
      </w:r>
      <w:r w:rsidRPr="5EC0440E" w:rsidR="703B4A9F">
        <w:t>supports the Commission’</w:t>
      </w:r>
      <w:r w:rsidRPr="5EC0440E" w:rsidR="3FA3C46D">
        <w:t xml:space="preserve">s proposed rulemaking but urges that </w:t>
      </w:r>
      <w:r w:rsidR="006769A5">
        <w:t xml:space="preserve">the Commission </w:t>
      </w:r>
      <w:r w:rsidR="006769A5">
        <w:t xml:space="preserve">not </w:t>
      </w:r>
      <w:r w:rsidRPr="5EC0440E" w:rsidR="3FA3C46D">
        <w:t>implement</w:t>
      </w:r>
      <w:r w:rsidRPr="5EC0440E" w:rsidR="3FA3C46D">
        <w:t xml:space="preserve"> the Final Rule during the winter heating season, and thus</w:t>
      </w:r>
      <w:r w:rsidRPr="5EC0440E" w:rsidR="1441F10F">
        <w:t>, request</w:t>
      </w:r>
      <w:r w:rsidR="004D5EF8">
        <w:t>s</w:t>
      </w:r>
      <w:r w:rsidRPr="5EC0440E" w:rsidR="1441F10F">
        <w:t xml:space="preserve"> that </w:t>
      </w:r>
      <w:r w:rsidR="009C132C">
        <w:t xml:space="preserve">the </w:t>
      </w:r>
      <w:r w:rsidRPr="5EC0440E" w:rsidR="1441F10F">
        <w:t>implementation date of the Final Rule should not</w:t>
      </w:r>
      <w:r w:rsidRPr="5EC0440E" w:rsidR="471C2CC4">
        <w:t xml:space="preserve"> be earlier than </w:t>
      </w:r>
      <w:r w:rsidRPr="002E2BE0" w:rsidR="471C2CC4">
        <w:t>April 1, 2025</w:t>
      </w:r>
      <w:r w:rsidRPr="5EC0440E" w:rsidR="471C2CC4">
        <w:t>.</w:t>
      </w:r>
      <w:r>
        <w:rPr>
          <w:rStyle w:val="FootnoteReference"/>
        </w:rPr>
        <w:footnoteReference w:id="12"/>
      </w:r>
      <w:r w:rsidRPr="7E047387" w:rsidR="0000088C">
        <w:rPr>
          <w:szCs w:val="26"/>
        </w:rPr>
        <w:t xml:space="preserve"> </w:t>
      </w:r>
    </w:p>
    <w:p w:rsidR="00CF5306" w:rsidRPr="001C38BA" w:rsidP="00CF5306" w14:paraId="26575DB6" w14:textId="77777777">
      <w:pPr>
        <w:pStyle w:val="Heading1"/>
        <w:spacing w:after="0" w:line="480" w:lineRule="auto"/>
        <w:rPr>
          <w:u w:val="none"/>
        </w:rPr>
      </w:pPr>
      <w:bookmarkStart w:id="8" w:name="_bmk3"/>
      <w:bookmarkStart w:id="9" w:name="_Toc173833723"/>
      <w:r w:rsidRPr="001C38BA">
        <w:rPr>
          <w:u w:val="none"/>
        </w:rPr>
        <w:t>D</w:t>
      </w:r>
      <w:bookmarkEnd w:id="8"/>
      <w:r w:rsidRPr="001C38BA">
        <w:rPr>
          <w:u w:val="none"/>
        </w:rPr>
        <w:t>iscussion</w:t>
      </w:r>
      <w:bookmarkEnd w:id="9"/>
    </w:p>
    <w:p w:rsidR="008C08CA" w:rsidP="005C5B84" w14:paraId="00B2CDB0" w14:textId="77777777">
      <w:pPr>
        <w:pStyle w:val="FERCparanumber"/>
      </w:pPr>
      <w:r>
        <w:t xml:space="preserve">In the </w:t>
      </w:r>
      <w:r w:rsidR="00703E9E">
        <w:t xml:space="preserve">WGQ </w:t>
      </w:r>
      <w:r>
        <w:t xml:space="preserve">Version 4.0 NOPR, the Commission proposed to incorporate by reference in its regulations </w:t>
      </w:r>
      <w:r w:rsidR="009C0B20">
        <w:t xml:space="preserve">the NAESB WGQ </w:t>
      </w:r>
      <w:r>
        <w:t xml:space="preserve">Version 4.0 business practice standards, with the exception of NAESB’s standards specifying the terms of optional model </w:t>
      </w:r>
      <w:r>
        <w:t xml:space="preserve">contracts and the </w:t>
      </w:r>
      <w:r>
        <w:t>eTariff</w:t>
      </w:r>
      <w:r>
        <w:t>-related standards.  No commenters opposed the Commission’s proposal.</w:t>
      </w:r>
    </w:p>
    <w:p w:rsidR="00F00BE8" w:rsidRPr="001B754D" w:rsidP="005C5B84" w14:paraId="66897FC0" w14:textId="77777777">
      <w:pPr>
        <w:pStyle w:val="FERCparanumber"/>
      </w:pPr>
      <w:r w:rsidRPr="15BD7FD7">
        <w:t>In this</w:t>
      </w:r>
      <w:r>
        <w:t xml:space="preserve"> Final Rule</w:t>
      </w:r>
      <w:r w:rsidRPr="15BD7FD7">
        <w:t xml:space="preserve">, we </w:t>
      </w:r>
      <w:r>
        <w:t>adopt the proposal to</w:t>
      </w:r>
      <w:r w:rsidRPr="15BD7FD7">
        <w:t xml:space="preserve"> incorporate by reference, in our regulations, </w:t>
      </w:r>
      <w:r w:rsidR="00D34A99">
        <w:t xml:space="preserve">the NAESB WGQ </w:t>
      </w:r>
      <w:r w:rsidRPr="15BD7FD7">
        <w:t>Version 4.0 business practice standards, with certain exceptions</w:t>
      </w:r>
      <w:r w:rsidRPr="15BD7FD7">
        <w:t>.</w:t>
      </w:r>
      <w:r w:rsidRPr="51F260CB">
        <w:t xml:space="preserve">  As an initial matter, we note that the WGQ Version 4</w:t>
      </w:r>
      <w:r w:rsidRPr="005C5B84">
        <w:rPr>
          <w:szCs w:val="26"/>
        </w:rPr>
        <w:t>.</w:t>
      </w:r>
      <w:r w:rsidRPr="51F260CB">
        <w:t xml:space="preserve">0 </w:t>
      </w:r>
      <w:r w:rsidR="00D55245">
        <w:t xml:space="preserve">business </w:t>
      </w:r>
      <w:r w:rsidR="007E26EC">
        <w:t>practice s</w:t>
      </w:r>
      <w:r w:rsidRPr="51F260CB">
        <w:t xml:space="preserve">tandards include modifications, reservations, </w:t>
      </w:r>
      <w:r w:rsidR="07506E55">
        <w:t xml:space="preserve">deletions, </w:t>
      </w:r>
      <w:r w:rsidRPr="51F260CB">
        <w:t xml:space="preserve">and additions to the following set of </w:t>
      </w:r>
      <w:r w:rsidRPr="51F260CB" w:rsidR="3D6CD3A1">
        <w:t xml:space="preserve">Version 3.2 </w:t>
      </w:r>
      <w:r w:rsidRPr="51F260CB">
        <w:t>WGQ Standards.  (Each set of Business Practice Standards is referred to as a manual.)</w:t>
      </w: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5444A39D" w14:textId="77777777" w:rsidTr="22B1E461">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F00BE8" w:rsidRPr="00C13EEC" w:rsidP="22B1E461" w14:paraId="43F6C609" w14:textId="77777777">
            <w:pPr>
              <w:rPr>
                <w:rFonts w:eastAsiaTheme="minorEastAsia"/>
                <w:b/>
                <w:bCs/>
              </w:rPr>
            </w:pPr>
            <w:r w:rsidRPr="22B1E461">
              <w:rPr>
                <w:rFonts w:eastAsiaTheme="minorEastAsia"/>
                <w:b/>
                <w:bCs/>
              </w:rPr>
              <w:t>Manual</w:t>
            </w:r>
          </w:p>
        </w:tc>
        <w:tc>
          <w:tcPr>
            <w:tcW w:w="7387" w:type="dxa"/>
          </w:tcPr>
          <w:p w:rsidR="00F00BE8" w:rsidRPr="00C13EEC" w:rsidP="00922FFB" w14:paraId="6D18320A" w14:textId="77777777">
            <w:pPr>
              <w:rPr>
                <w:rFonts w:eastAsiaTheme="minorHAnsi"/>
                <w:b/>
                <w:bCs/>
              </w:rPr>
            </w:pPr>
            <w:r w:rsidRPr="00C13EEC">
              <w:rPr>
                <w:rFonts w:eastAsiaTheme="minorHAnsi"/>
                <w:b/>
                <w:bCs/>
              </w:rPr>
              <w:t>Business Practice Standards</w:t>
            </w:r>
          </w:p>
        </w:tc>
      </w:tr>
      <w:tr w14:paraId="11D7BBF4" w14:textId="77777777" w:rsidTr="22B1E461">
        <w:tblPrEx>
          <w:tblW w:w="9632" w:type="dxa"/>
          <w:tblInd w:w="178" w:type="dxa"/>
          <w:tblLook w:val="04A0"/>
        </w:tblPrEx>
        <w:tc>
          <w:tcPr>
            <w:tcW w:w="2245" w:type="dxa"/>
          </w:tcPr>
          <w:p w:rsidR="00F00BE8" w:rsidRPr="0062757C" w:rsidP="00922FFB" w14:paraId="6845B325" w14:textId="77777777">
            <w:pPr>
              <w:rPr>
                <w:rFonts w:eastAsiaTheme="minorHAnsi"/>
              </w:rPr>
            </w:pPr>
            <w:r>
              <w:rPr>
                <w:rFonts w:eastAsiaTheme="minorHAnsi"/>
              </w:rPr>
              <w:t>0</w:t>
            </w:r>
          </w:p>
        </w:tc>
        <w:tc>
          <w:tcPr>
            <w:tcW w:w="7387" w:type="dxa"/>
          </w:tcPr>
          <w:p w:rsidR="00F00BE8" w:rsidRPr="0062757C" w:rsidP="00922FFB" w14:paraId="54F68EF9" w14:textId="77777777">
            <w:pPr>
              <w:rPr>
                <w:rFonts w:eastAsiaTheme="minorHAnsi"/>
              </w:rPr>
            </w:pPr>
            <w:r>
              <w:rPr>
                <w:rFonts w:eastAsiaTheme="minorHAnsi"/>
              </w:rPr>
              <w:t>Additional Standards</w:t>
            </w:r>
          </w:p>
        </w:tc>
      </w:tr>
      <w:tr w14:paraId="0CF93154" w14:textId="77777777" w:rsidTr="22B1E461">
        <w:tblPrEx>
          <w:tblW w:w="9632" w:type="dxa"/>
          <w:tblInd w:w="178" w:type="dxa"/>
          <w:tblLook w:val="04A0"/>
        </w:tblPrEx>
        <w:tc>
          <w:tcPr>
            <w:tcW w:w="2245" w:type="dxa"/>
          </w:tcPr>
          <w:p w:rsidR="00F00BE8" w:rsidP="00922FFB" w14:paraId="1C523CC9" w14:textId="77777777">
            <w:r>
              <w:t>2</w:t>
            </w:r>
          </w:p>
        </w:tc>
        <w:tc>
          <w:tcPr>
            <w:tcW w:w="7387" w:type="dxa"/>
          </w:tcPr>
          <w:p w:rsidR="00F00BE8" w:rsidP="00922FFB" w14:paraId="19F2A6E4" w14:textId="77777777">
            <w:r w:rsidRPr="00E11F33">
              <w:t>Flowing Gas Related Standards</w:t>
            </w:r>
          </w:p>
        </w:tc>
      </w:tr>
      <w:tr w14:paraId="4AEB06B5" w14:textId="77777777" w:rsidTr="22B1E461">
        <w:tblPrEx>
          <w:tblW w:w="9632" w:type="dxa"/>
          <w:tblInd w:w="178" w:type="dxa"/>
          <w:tblLook w:val="04A0"/>
        </w:tblPrEx>
        <w:tc>
          <w:tcPr>
            <w:tcW w:w="2245" w:type="dxa"/>
          </w:tcPr>
          <w:p w:rsidR="00F00BE8" w:rsidP="00922FFB" w14:paraId="4EE61558" w14:textId="77777777">
            <w:r>
              <w:t>3</w:t>
            </w:r>
          </w:p>
        </w:tc>
        <w:tc>
          <w:tcPr>
            <w:tcW w:w="7387" w:type="dxa"/>
          </w:tcPr>
          <w:p w:rsidR="00F00BE8" w:rsidP="00922FFB" w14:paraId="6BCDA2CA" w14:textId="77777777">
            <w:r w:rsidRPr="00E11F33">
              <w:t>Invoicing Related Standards</w:t>
            </w:r>
          </w:p>
        </w:tc>
      </w:tr>
      <w:tr w14:paraId="3562701A" w14:textId="77777777" w:rsidTr="22B1E461">
        <w:tblPrEx>
          <w:tblW w:w="9632" w:type="dxa"/>
          <w:tblInd w:w="178" w:type="dxa"/>
          <w:tblLook w:val="04A0"/>
        </w:tblPrEx>
        <w:tc>
          <w:tcPr>
            <w:tcW w:w="2245" w:type="dxa"/>
          </w:tcPr>
          <w:p w:rsidR="00F00BE8" w:rsidP="00922FFB" w14:paraId="356D3A2D" w14:textId="77777777">
            <w:r>
              <w:t>4</w:t>
            </w:r>
          </w:p>
        </w:tc>
        <w:tc>
          <w:tcPr>
            <w:tcW w:w="7387" w:type="dxa"/>
          </w:tcPr>
          <w:p w:rsidR="00F00BE8" w:rsidP="00922FFB" w14:paraId="3A5DA3D2" w14:textId="77777777">
            <w:r w:rsidRPr="00E11F33">
              <w:t>Quadrant Electronic Delivery Mechanism Standards</w:t>
            </w:r>
          </w:p>
        </w:tc>
      </w:tr>
      <w:tr w14:paraId="20DE0D86" w14:textId="77777777" w:rsidTr="22B1E461">
        <w:tblPrEx>
          <w:tblW w:w="9632" w:type="dxa"/>
          <w:tblInd w:w="178" w:type="dxa"/>
          <w:tblLook w:val="04A0"/>
        </w:tblPrEx>
        <w:tc>
          <w:tcPr>
            <w:tcW w:w="2245" w:type="dxa"/>
          </w:tcPr>
          <w:p w:rsidR="00F00BE8" w:rsidP="00922FFB" w14:paraId="1C7373DC" w14:textId="77777777">
            <w:r>
              <w:t>5</w:t>
            </w:r>
          </w:p>
        </w:tc>
        <w:tc>
          <w:tcPr>
            <w:tcW w:w="7387" w:type="dxa"/>
          </w:tcPr>
          <w:p w:rsidR="00F00BE8" w:rsidP="00922FFB" w14:paraId="14306D4E" w14:textId="77777777">
            <w:r w:rsidRPr="00513D6D">
              <w:t>Capacity Release Related Standards</w:t>
            </w:r>
          </w:p>
        </w:tc>
      </w:tr>
      <w:tr w14:paraId="66EF88E1" w14:textId="77777777" w:rsidTr="22B1E461">
        <w:tblPrEx>
          <w:tblW w:w="9632" w:type="dxa"/>
          <w:tblInd w:w="178" w:type="dxa"/>
          <w:tblLook w:val="04A0"/>
        </w:tblPrEx>
        <w:tc>
          <w:tcPr>
            <w:tcW w:w="2245" w:type="dxa"/>
          </w:tcPr>
          <w:p w:rsidR="00F00BE8" w:rsidP="00922FFB" w14:paraId="01B98C66" w14:textId="77777777">
            <w:r>
              <w:t>10</w:t>
            </w:r>
          </w:p>
        </w:tc>
        <w:tc>
          <w:tcPr>
            <w:tcW w:w="7387" w:type="dxa"/>
          </w:tcPr>
          <w:p w:rsidR="00F00BE8" w:rsidP="00922FFB" w14:paraId="464BD9CE" w14:textId="77777777">
            <w:r>
              <w:t>WGQ / REQ / RGQ Internet Electronic Transport</w:t>
            </w:r>
          </w:p>
        </w:tc>
      </w:tr>
    </w:tbl>
    <w:p w:rsidR="00F00BE8" w:rsidP="002E2BE0" w14:paraId="0E6316CD" w14:textId="77777777">
      <w:pPr>
        <w:pStyle w:val="FERCparanumber"/>
        <w:numPr>
          <w:ilvl w:val="0"/>
          <w:numId w:val="0"/>
        </w:numPr>
        <w:spacing w:line="240" w:lineRule="auto"/>
      </w:pPr>
    </w:p>
    <w:p w:rsidR="00F00BE8" w:rsidP="002E2BE0" w14:paraId="0A6E8201" w14:textId="77777777">
      <w:pPr>
        <w:pStyle w:val="FERCparanumber"/>
        <w:numPr>
          <w:ilvl w:val="0"/>
          <w:numId w:val="0"/>
        </w:numPr>
        <w:spacing w:line="240" w:lineRule="auto"/>
      </w:pPr>
      <w:r w:rsidRPr="006F15BC">
        <w:t>Additionally, the W</w:t>
      </w:r>
      <w:r>
        <w:t>G</w:t>
      </w:r>
      <w:r w:rsidRPr="006F15BC">
        <w:t>Q Version 4</w:t>
      </w:r>
      <w:r>
        <w:t>.0</w:t>
      </w:r>
      <w:r w:rsidRPr="006F15BC">
        <w:t xml:space="preserve"> </w:t>
      </w:r>
      <w:r w:rsidR="00575906">
        <w:t>b</w:t>
      </w:r>
      <w:r w:rsidRPr="006F15BC">
        <w:t xml:space="preserve">usiness </w:t>
      </w:r>
      <w:r w:rsidR="00575906">
        <w:t>p</w:t>
      </w:r>
      <w:r w:rsidRPr="006F15BC">
        <w:t xml:space="preserve">ractice </w:t>
      </w:r>
      <w:r w:rsidR="00575906">
        <w:t>s</w:t>
      </w:r>
      <w:r w:rsidRPr="006F15BC">
        <w:t xml:space="preserve">tandards include </w:t>
      </w:r>
      <w:r>
        <w:t xml:space="preserve">one </w:t>
      </w:r>
      <w:r w:rsidRPr="006F15BC">
        <w:t xml:space="preserve">new </w:t>
      </w:r>
      <w:r>
        <w:t>manual</w:t>
      </w:r>
      <w:r w:rsidRPr="006F15BC">
        <w:t xml:space="preserve"> of standards</w:t>
      </w:r>
      <w:r>
        <w:t>:</w:t>
      </w:r>
    </w:p>
    <w:p w:rsidR="00825228" w:rsidP="002E2BE0" w14:paraId="4C7E176F" w14:textId="77777777">
      <w:pPr>
        <w:pStyle w:val="FERCparanumber"/>
        <w:numPr>
          <w:ilvl w:val="0"/>
          <w:numId w:val="0"/>
        </w:numPr>
        <w:spacing w:line="240" w:lineRule="auto"/>
      </w:pP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60A7A088" w14:textId="77777777" w:rsidTr="00922FFB">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AB2435" w:rsidRPr="00531155" w:rsidP="00736045" w14:paraId="1C55EA92" w14:textId="77777777">
            <w:pPr>
              <w:tabs>
                <w:tab w:val="right" w:pos="2029"/>
              </w:tabs>
              <w:rPr>
                <w:b/>
              </w:rPr>
            </w:pPr>
            <w:r w:rsidRPr="00531155">
              <w:rPr>
                <w:b/>
              </w:rPr>
              <w:t>Manual</w:t>
            </w:r>
          </w:p>
        </w:tc>
        <w:tc>
          <w:tcPr>
            <w:tcW w:w="7387" w:type="dxa"/>
          </w:tcPr>
          <w:p w:rsidR="00AB2435" w:rsidRPr="00531155" w:rsidP="00922FFB" w14:paraId="2714B670" w14:textId="77777777">
            <w:pPr>
              <w:rPr>
                <w:b/>
              </w:rPr>
            </w:pPr>
            <w:r w:rsidRPr="00531155">
              <w:rPr>
                <w:b/>
              </w:rPr>
              <w:t>Business Practice Standards</w:t>
            </w:r>
          </w:p>
        </w:tc>
      </w:tr>
      <w:tr w14:paraId="4AD8AFA8" w14:textId="77777777" w:rsidTr="00922FFB">
        <w:tblPrEx>
          <w:tblW w:w="9632" w:type="dxa"/>
          <w:tblInd w:w="178" w:type="dxa"/>
          <w:tblLook w:val="04A0"/>
        </w:tblPrEx>
        <w:tc>
          <w:tcPr>
            <w:tcW w:w="2245" w:type="dxa"/>
          </w:tcPr>
          <w:p w:rsidR="00F00BE8" w:rsidP="00531155" w14:paraId="19C663F1" w14:textId="77777777">
            <w:pPr>
              <w:tabs>
                <w:tab w:val="right" w:pos="2029"/>
              </w:tabs>
            </w:pPr>
            <w:r>
              <w:t>12</w:t>
            </w:r>
            <w:r w:rsidR="00736045">
              <w:tab/>
            </w:r>
          </w:p>
        </w:tc>
        <w:tc>
          <w:tcPr>
            <w:tcW w:w="7387" w:type="dxa"/>
          </w:tcPr>
          <w:p w:rsidR="00F00BE8" w:rsidP="00922FFB" w14:paraId="6AF4C28E" w14:textId="77777777">
            <w:r w:rsidRPr="00513D6D">
              <w:t>Cybersecurity Related Standards</w:t>
            </w:r>
          </w:p>
        </w:tc>
      </w:tr>
    </w:tbl>
    <w:p w:rsidR="00F00BE8" w:rsidRPr="000A0BA3" w:rsidP="00F00BE8" w14:paraId="75D7936C" w14:textId="77777777">
      <w:pPr>
        <w:pStyle w:val="FERCparanumber"/>
        <w:numPr>
          <w:ilvl w:val="0"/>
          <w:numId w:val="0"/>
        </w:numPr>
      </w:pPr>
    </w:p>
    <w:p w:rsidR="00596958" w:rsidRPr="00260EFA" w:rsidP="000B4E09" w14:paraId="6A3F9CCE" w14:textId="77777777">
      <w:pPr>
        <w:pStyle w:val="FERCparanumber"/>
      </w:pPr>
      <w:r>
        <w:t xml:space="preserve">We </w:t>
      </w:r>
      <w:r w:rsidR="152E5C66">
        <w:t xml:space="preserve">require compliance filings be made </w:t>
      </w:r>
      <w:r w:rsidRPr="00A87C2B" w:rsidR="00BB175F">
        <w:t xml:space="preserve">by </w:t>
      </w:r>
      <w:r w:rsidRPr="00A87C2B" w:rsidR="0043432A">
        <w:t>February 3</w:t>
      </w:r>
      <w:r w:rsidRPr="00A87C2B" w:rsidR="00531155">
        <w:t>, 2025</w:t>
      </w:r>
      <w:r w:rsidRPr="00A87C2B" w:rsidR="000D5FF8">
        <w:t>,</w:t>
      </w:r>
      <w:r w:rsidR="00531155">
        <w:t xml:space="preserve"> </w:t>
      </w:r>
      <w:r w:rsidR="531E86E5">
        <w:t xml:space="preserve">with an effective date </w:t>
      </w:r>
      <w:r w:rsidR="00BB175F">
        <w:t xml:space="preserve">of </w:t>
      </w:r>
      <w:r w:rsidR="00531155">
        <w:t>August</w:t>
      </w:r>
      <w:r w:rsidR="00BB175F">
        <w:t xml:space="preserve"> 1</w:t>
      </w:r>
      <w:r w:rsidR="7B535267">
        <w:t xml:space="preserve">, </w:t>
      </w:r>
      <w:r w:rsidR="7B535267">
        <w:t>2025</w:t>
      </w:r>
      <w:r w:rsidRPr="009F18DE" w:rsidR="009F18DE">
        <w:t xml:space="preserve"> </w:t>
      </w:r>
      <w:r w:rsidRPr="00090258" w:rsidR="009F18DE">
        <w:t>as more fully described below</w:t>
      </w:r>
      <w:r w:rsidR="7B535267">
        <w:t>.</w:t>
      </w:r>
    </w:p>
    <w:p w:rsidR="00F00BE8" w:rsidRPr="00F00BE8" w:rsidP="00230413" w14:paraId="256F6D5E" w14:textId="77777777">
      <w:pPr>
        <w:pStyle w:val="FERCparanumber"/>
      </w:pPr>
      <w:r>
        <w:t>We discuss below some specific aspects of NAESB’s Informational Report.</w:t>
      </w:r>
    </w:p>
    <w:p w:rsidR="006D3E9A" w:rsidRPr="001C38BA" w:rsidP="00230413" w14:paraId="3EC38385" w14:textId="77777777">
      <w:pPr>
        <w:pStyle w:val="Heading2"/>
        <w:rPr>
          <w:u w:val="none"/>
        </w:rPr>
      </w:pPr>
      <w:bookmarkStart w:id="10" w:name="_bmk4"/>
      <w:bookmarkStart w:id="11" w:name="_Toc173833724"/>
      <w:bookmarkStart w:id="12" w:name="_Hlk168060895"/>
      <w:r w:rsidRPr="001C38BA">
        <w:rPr>
          <w:u w:val="none"/>
        </w:rPr>
        <w:t>T</w:t>
      </w:r>
      <w:bookmarkEnd w:id="10"/>
      <w:r w:rsidRPr="001C38BA">
        <w:rPr>
          <w:u w:val="none"/>
        </w:rPr>
        <w:t>he NAESB WGQ Version 4.0 Business</w:t>
      </w:r>
      <w:r w:rsidRPr="001C38BA" w:rsidR="00AB0D31">
        <w:rPr>
          <w:u w:val="none"/>
        </w:rPr>
        <w:t xml:space="preserve"> Practice</w:t>
      </w:r>
      <w:r w:rsidRPr="001C38BA">
        <w:rPr>
          <w:u w:val="none"/>
        </w:rPr>
        <w:t xml:space="preserve"> Standards</w:t>
      </w:r>
      <w:bookmarkEnd w:id="11"/>
    </w:p>
    <w:p w:rsidR="00B764F0" w:rsidP="00D63438" w14:paraId="6D994D05" w14:textId="77777777">
      <w:pPr>
        <w:pStyle w:val="FERCparanumber"/>
      </w:pPr>
      <w:r w:rsidRPr="0090772E">
        <w:t xml:space="preserve">NAESB used its consensus procedures to develop and approve the WGQ     Version </w:t>
      </w:r>
      <w:r>
        <w:t>4.0</w:t>
      </w:r>
      <w:r w:rsidRPr="0090772E">
        <w:t xml:space="preserve"> </w:t>
      </w:r>
      <w:r w:rsidR="00AB0D31">
        <w:t>business practice s</w:t>
      </w:r>
      <w:r w:rsidRPr="0090772E">
        <w:t xml:space="preserve">tandards.  As the Commission found in Order No. 587, the </w:t>
      </w:r>
      <w:r w:rsidRPr="0090772E">
        <w:t>adoption of consensus standards is appropriate, because the consensus process helps ensure the reasonableness of the standards by requiring that the standards draw support from a broad spectrum of industry participants representing all segments of the industry.  Moreover, since the industry itself must conduct business under these standards, the Commission</w:t>
      </w:r>
      <w:r>
        <w:t>’</w:t>
      </w:r>
      <w:r w:rsidRPr="0090772E">
        <w:t>s regulations should reflect those standards that have the widest possible support.  In section 12(d) of the National Technology Transfer and Advancement Act of 1995 (NTT&amp;AA),</w:t>
      </w:r>
      <w:r>
        <w:rPr>
          <w:b/>
          <w:bCs/>
          <w:vertAlign w:val="superscript"/>
        </w:rPr>
        <w:footnoteReference w:id="13"/>
      </w:r>
      <w:r w:rsidRPr="0090772E">
        <w:t xml:space="preserve"> Congress affirmatively requires federal agencies to use technical standards developed by voluntary consensus standards organizations, like NAESB, as means to carry out policy objectives or activities</w:t>
      </w:r>
      <w:r>
        <w:t>.</w:t>
      </w:r>
    </w:p>
    <w:p w:rsidR="001F11BE" w:rsidRPr="00B764F0" w:rsidP="00531155" w14:paraId="2D2CB280" w14:textId="77777777">
      <w:pPr>
        <w:pStyle w:val="FERCparanumber"/>
      </w:pPr>
      <w:r>
        <w:t xml:space="preserve">We incorporate </w:t>
      </w:r>
      <w:r w:rsidR="0077427E">
        <w:t xml:space="preserve">by reference into the Commission’s regulations </w:t>
      </w:r>
      <w:r>
        <w:t xml:space="preserve">the </w:t>
      </w:r>
      <w:r w:rsidR="002E33D3">
        <w:t xml:space="preserve">WGQ </w:t>
      </w:r>
      <w:r>
        <w:t xml:space="preserve">Version 4.0 </w:t>
      </w:r>
      <w:r w:rsidR="005D4BF5">
        <w:t>business</w:t>
      </w:r>
      <w:r w:rsidR="00590B5D">
        <w:t xml:space="preserve"> practice </w:t>
      </w:r>
      <w:r>
        <w:t>standards</w:t>
      </w:r>
      <w:r w:rsidR="0077427E">
        <w:t xml:space="preserve">, with the exception of NAESB’s standards specifying the terms of optional model contracts and the </w:t>
      </w:r>
      <w:r w:rsidR="0077427E">
        <w:t>eTariff</w:t>
      </w:r>
      <w:r w:rsidR="0077427E">
        <w:t>-related standards,</w:t>
      </w:r>
      <w:r>
        <w:t xml:space="preserve"> as discussed below.</w:t>
      </w:r>
    </w:p>
    <w:p w:rsidR="00230413" w:rsidRPr="001C38BA" w:rsidP="00230413" w14:paraId="26C8B1BE" w14:textId="77777777">
      <w:pPr>
        <w:pStyle w:val="Heading3"/>
        <w:rPr>
          <w:u w:val="none"/>
        </w:rPr>
      </w:pPr>
      <w:bookmarkStart w:id="13" w:name="_bmk5"/>
      <w:bookmarkStart w:id="14" w:name="_Toc160607337"/>
      <w:bookmarkStart w:id="15" w:name="_Toc160724643"/>
      <w:bookmarkStart w:id="16" w:name="_Toc173833725"/>
      <w:bookmarkEnd w:id="12"/>
      <w:r w:rsidRPr="001C38BA">
        <w:rPr>
          <w:u w:val="none"/>
        </w:rPr>
        <w:t>W</w:t>
      </w:r>
      <w:bookmarkEnd w:id="13"/>
      <w:r w:rsidRPr="001C38BA">
        <w:rPr>
          <w:u w:val="none"/>
        </w:rPr>
        <w:t>GQ Cybersecurity Related Standards</w:t>
      </w:r>
      <w:bookmarkEnd w:id="14"/>
      <w:bookmarkEnd w:id="15"/>
      <w:bookmarkEnd w:id="16"/>
    </w:p>
    <w:p w:rsidR="0053623B" w:rsidP="0053623B" w14:paraId="7C57864F" w14:textId="77777777">
      <w:pPr>
        <w:pStyle w:val="FERCparanumber"/>
      </w:pPr>
      <w:bookmarkStart w:id="17" w:name="_Hlk173748487"/>
      <w:r>
        <w:t xml:space="preserve">The new </w:t>
      </w:r>
      <w:r w:rsidR="55B741FC">
        <w:t xml:space="preserve">WGQ </w:t>
      </w:r>
      <w:r w:rsidR="00840B4F">
        <w:t xml:space="preserve">Cybersecurity Related Standards </w:t>
      </w:r>
      <w:r w:rsidR="004E0ED4">
        <w:t>M</w:t>
      </w:r>
      <w:r w:rsidR="00715CE0">
        <w:t>anual</w:t>
      </w:r>
      <w:r w:rsidR="002A0959">
        <w:t xml:space="preserve"> </w:t>
      </w:r>
      <w:r w:rsidR="55B741FC">
        <w:t xml:space="preserve">consolidates existing NAESB cybersecurity-related standards </w:t>
      </w:r>
      <w:r w:rsidR="0050488A">
        <w:t xml:space="preserve">from various </w:t>
      </w:r>
      <w:r w:rsidR="00AC4A8E">
        <w:t xml:space="preserve">NAESB </w:t>
      </w:r>
      <w:r w:rsidR="001F01FB">
        <w:t>s</w:t>
      </w:r>
      <w:r w:rsidR="0050488A">
        <w:t xml:space="preserve">tandards </w:t>
      </w:r>
      <w:r w:rsidR="001F01FB">
        <w:t>m</w:t>
      </w:r>
      <w:r w:rsidR="0050488A">
        <w:t xml:space="preserve">anuals </w:t>
      </w:r>
      <w:r w:rsidR="55B741FC">
        <w:t xml:space="preserve">into a single manual.  </w:t>
      </w:r>
      <w:r w:rsidR="00D4500F">
        <w:t>T</w:t>
      </w:r>
      <w:r w:rsidR="55B741FC">
        <w:t>his consolidation should make the NAESB and Commission processes for revising NAESB cybersecurity standards easier and faster to help match the fast pace of changes in cybersecurity practices.  These standards focus on strengthening the cybersecurity practices u</w:t>
      </w:r>
      <w:r w:rsidR="3BD70FD2">
        <w:t>sed</w:t>
      </w:r>
      <w:r w:rsidR="55B741FC">
        <w:t xml:space="preserve"> by the industry through the mitigation of potential vulnerabilities and the use of secure communication and encryption methodologies.</w:t>
      </w:r>
    </w:p>
    <w:p w:rsidR="0053623B" w:rsidRPr="001C38BA" w:rsidP="0053623B" w14:paraId="44C87F0F" w14:textId="77777777">
      <w:pPr>
        <w:pStyle w:val="Heading3"/>
        <w:rPr>
          <w:u w:val="none"/>
        </w:rPr>
      </w:pPr>
      <w:bookmarkStart w:id="18" w:name="_bmk6"/>
      <w:bookmarkStart w:id="19" w:name="_Toc173833726"/>
      <w:bookmarkEnd w:id="17"/>
      <w:r w:rsidRPr="001C38BA">
        <w:rPr>
          <w:u w:val="none"/>
        </w:rPr>
        <w:t>O</w:t>
      </w:r>
      <w:bookmarkEnd w:id="18"/>
      <w:r w:rsidRPr="001C38BA">
        <w:rPr>
          <w:u w:val="none"/>
        </w:rPr>
        <w:t>ther Standards Modifications</w:t>
      </w:r>
      <w:bookmarkEnd w:id="19"/>
      <w:r w:rsidRPr="001C38BA">
        <w:rPr>
          <w:u w:val="none"/>
        </w:rPr>
        <w:t xml:space="preserve"> </w:t>
      </w:r>
    </w:p>
    <w:p w:rsidR="00755F68" w:rsidRPr="00156B6B" w:rsidP="00755F68" w14:paraId="5ABF2DC0" w14:textId="77777777">
      <w:pPr>
        <w:pStyle w:val="FERCparanumber"/>
        <w:rPr>
          <w:szCs w:val="26"/>
        </w:rPr>
      </w:pPr>
      <w:r>
        <w:t>I</w:t>
      </w:r>
      <w:r w:rsidRPr="00243CE7">
        <w:t>n response to industry request</w:t>
      </w:r>
      <w:r>
        <w:t xml:space="preserve">, </w:t>
      </w:r>
      <w:r w:rsidR="003359BE">
        <w:t xml:space="preserve">WGQ </w:t>
      </w:r>
      <w:r>
        <w:t>Version 4.0 adds</w:t>
      </w:r>
      <w:r w:rsidRPr="00243CE7">
        <w:t xml:space="preserve"> </w:t>
      </w:r>
      <w:r>
        <w:t xml:space="preserve">new data elements to the </w:t>
      </w:r>
      <w:r w:rsidRPr="009A3DEC">
        <w:t>WGQ</w:t>
      </w:r>
      <w:r w:rsidR="00007455">
        <w:t xml:space="preserve"> </w:t>
      </w:r>
      <w:r w:rsidRPr="009A3DEC">
        <w:t xml:space="preserve">Additional Standards and </w:t>
      </w:r>
      <w:r w:rsidR="00B5221E">
        <w:t>the</w:t>
      </w:r>
      <w:r w:rsidR="00EB1058">
        <w:t xml:space="preserve"> WGQ</w:t>
      </w:r>
      <w:r w:rsidR="00B5221E">
        <w:t xml:space="preserve"> </w:t>
      </w:r>
      <w:r w:rsidRPr="009A3DEC">
        <w:t>Capacity Release Related Standards and</w:t>
      </w:r>
      <w:r>
        <w:t xml:space="preserve"> </w:t>
      </w:r>
      <w:r w:rsidRPr="009A3DEC">
        <w:t>modifi</w:t>
      </w:r>
      <w:r>
        <w:t xml:space="preserve">es </w:t>
      </w:r>
      <w:r w:rsidRPr="009A3DEC">
        <w:t xml:space="preserve">existing data elements in the </w:t>
      </w:r>
      <w:r w:rsidR="00EB1058">
        <w:t>WGQ</w:t>
      </w:r>
      <w:r w:rsidRPr="009A3DEC" w:rsidR="00EB1058">
        <w:t xml:space="preserve"> </w:t>
      </w:r>
      <w:r w:rsidRPr="009A3DEC">
        <w:t xml:space="preserve">Flowing Gas Related Standards and </w:t>
      </w:r>
      <w:r w:rsidR="008A1485">
        <w:t xml:space="preserve">the </w:t>
      </w:r>
      <w:r w:rsidR="00EB1058">
        <w:t>WGQ</w:t>
      </w:r>
      <w:r w:rsidRPr="009A3DEC" w:rsidR="00EB1058">
        <w:t xml:space="preserve"> </w:t>
      </w:r>
      <w:r w:rsidRPr="009A3DEC">
        <w:t>Invoicing Related Standards</w:t>
      </w:r>
      <w:r>
        <w:t xml:space="preserve"> to improve efficiencies of business processes for transportation service providers and parties interacting with these entities.</w:t>
      </w:r>
      <w:r>
        <w:rPr>
          <w:rStyle w:val="FootnoteReference"/>
        </w:rPr>
        <w:footnoteReference w:id="14"/>
      </w:r>
    </w:p>
    <w:p w:rsidR="00755F68" w:rsidRPr="000D593F" w:rsidP="00755F68" w14:paraId="734B0DA4" w14:textId="77777777">
      <w:pPr>
        <w:pStyle w:val="FERCparanumber"/>
      </w:pPr>
      <w:r>
        <w:t>T</w:t>
      </w:r>
      <w:r w:rsidR="63002BF7">
        <w:t xml:space="preserve">he </w:t>
      </w:r>
      <w:r w:rsidR="6E43CFE1">
        <w:t xml:space="preserve">revised </w:t>
      </w:r>
      <w:r w:rsidR="63002BF7">
        <w:t xml:space="preserve">WGQ Additional Standards add a new data element, “Cycle Indicator,” to the data set for the Storage Information standard to address technical details for reporting natural gas storage balances and the activities that affect storage balances.  </w:t>
      </w:r>
      <w:r w:rsidR="11961563">
        <w:t>T</w:t>
      </w:r>
      <w:r w:rsidRPr="000D593F" w:rsidR="63002BF7">
        <w:t xml:space="preserve">he new sender’s option data element “Cycle Indicator” will support the reporting of storage information data for each cycle while also allowing parties receiving such information to </w:t>
      </w:r>
      <w:r w:rsidR="63002BF7">
        <w:t xml:space="preserve">distinguish between the data more easily </w:t>
      </w:r>
      <w:r w:rsidRPr="000D593F" w:rsidR="63002BF7">
        <w:t>for individual transactions.</w:t>
      </w:r>
      <w:r>
        <w:rPr>
          <w:rStyle w:val="FootnoteReference"/>
        </w:rPr>
        <w:footnoteReference w:id="15"/>
      </w:r>
    </w:p>
    <w:p w:rsidR="00443C57" w:rsidP="00755F68" w14:paraId="21574630" w14:textId="77777777">
      <w:pPr>
        <w:pStyle w:val="FERCparanumber"/>
      </w:pPr>
      <w:r>
        <w:t>R</w:t>
      </w:r>
      <w:r w:rsidR="63002BF7">
        <w:t>evis</w:t>
      </w:r>
      <w:r w:rsidR="015FCF6A">
        <w:t>ions</w:t>
      </w:r>
      <w:r w:rsidR="12E4EDF5">
        <w:t xml:space="preserve"> to</w:t>
      </w:r>
      <w:r w:rsidR="63002BF7">
        <w:t xml:space="preserve"> the</w:t>
      </w:r>
      <w:r w:rsidR="63002BF7">
        <w:t xml:space="preserve"> </w:t>
      </w:r>
      <w:r w:rsidR="00B05933">
        <w:t xml:space="preserve">WGQ </w:t>
      </w:r>
      <w:r w:rsidR="63002BF7">
        <w:t xml:space="preserve">Flowing Gas Related Business Practice Standards </w:t>
      </w:r>
      <w:r w:rsidR="2B9E1B3A">
        <w:t>include a</w:t>
      </w:r>
      <w:r w:rsidR="63002BF7">
        <w:t xml:space="preserve"> change </w:t>
      </w:r>
      <w:r w:rsidR="6BD22234">
        <w:t xml:space="preserve">to </w:t>
      </w:r>
      <w:r w:rsidR="63002BF7">
        <w:t xml:space="preserve">the </w:t>
      </w:r>
      <w:r w:rsidRPr="00F3634D" w:rsidR="63002BF7">
        <w:t xml:space="preserve">“Service Requester Contract” data </w:t>
      </w:r>
      <w:r w:rsidR="63002BF7">
        <w:t>element from “not used”</w:t>
      </w:r>
      <w:r w:rsidRPr="00D154E6" w:rsidR="63002BF7">
        <w:t xml:space="preserve"> to </w:t>
      </w:r>
      <w:r w:rsidR="63002BF7">
        <w:t>“</w:t>
      </w:r>
      <w:r w:rsidRPr="00D154E6" w:rsidR="63002BF7">
        <w:t>mutually agreed</w:t>
      </w:r>
      <w:r w:rsidR="63002BF7">
        <w:t>,”</w:t>
      </w:r>
      <w:r w:rsidRPr="00D154E6" w:rsidR="63002BF7">
        <w:t xml:space="preserve"> for </w:t>
      </w:r>
      <w:r w:rsidR="63002BF7">
        <w:t>allocation of natural gas between parties under two pre-determined allocation</w:t>
      </w:r>
      <w:r w:rsidRPr="00D154E6" w:rsidR="63002BF7">
        <w:t xml:space="preserve"> </w:t>
      </w:r>
    </w:p>
    <w:p w:rsidR="00443C57" w:rsidP="00443C57" w14:paraId="2C2C71C9" w14:textId="77777777">
      <w:pPr>
        <w:pStyle w:val="FERCparanumber"/>
        <w:numPr>
          <w:ilvl w:val="0"/>
          <w:numId w:val="0"/>
        </w:numPr>
      </w:pPr>
    </w:p>
    <w:p w:rsidR="00755F68" w:rsidP="00443C57" w14:paraId="4015F766" w14:textId="77777777">
      <w:pPr>
        <w:pStyle w:val="FERCparanumber"/>
        <w:numPr>
          <w:ilvl w:val="0"/>
          <w:numId w:val="0"/>
        </w:numPr>
      </w:pPr>
      <w:r w:rsidRPr="00D154E6">
        <w:t>transaction types, found within the allocation matrix included as</w:t>
      </w:r>
      <w:r>
        <w:t xml:space="preserve"> </w:t>
      </w:r>
      <w:r w:rsidRPr="00D154E6">
        <w:t>part of WGQ Standard 2.4.3.</w:t>
      </w:r>
      <w:r>
        <w:rPr>
          <w:b/>
          <w:bCs/>
          <w:vertAlign w:val="superscript"/>
        </w:rPr>
        <w:footnoteReference w:id="16"/>
      </w:r>
    </w:p>
    <w:p w:rsidR="00755F68" w:rsidP="00755F68" w14:paraId="25C0D38E" w14:textId="77777777">
      <w:pPr>
        <w:pStyle w:val="FERCparanumber"/>
      </w:pPr>
      <w:r>
        <w:t xml:space="preserve">NAESB revised the </w:t>
      </w:r>
      <w:r w:rsidR="63002BF7">
        <w:t xml:space="preserve">WGQ Invoicing Related Standards by modifying the “Charge Type Rate” data element contained in the data set for the Transportation/Sales Invoice standard to allow for the identification of multiple rates that may be applicable for a single transaction or service. </w:t>
      </w:r>
      <w:r w:rsidRPr="00C368B7" w:rsidR="63002BF7">
        <w:t xml:space="preserve"> </w:t>
      </w:r>
      <w:r w:rsidR="63002BF7">
        <w:t xml:space="preserve">The modification to the data element allows transportation service providers to use a “null” value in circumstances where information describing the applicable charge type rate is included as part of miscellaneous notes.  </w:t>
      </w:r>
      <w:r w:rsidR="004A3815">
        <w:t>T</w:t>
      </w:r>
      <w:r w:rsidR="63002BF7">
        <w:t>his change will allow transportation service providers to make available a summary of the amount due for each line item of an invoice with detailed, breakout information regarding the applicable rate and make it easier for a customer to ascertain the final charge amount.</w:t>
      </w:r>
      <w:r>
        <w:rPr>
          <w:rStyle w:val="FootnoteReference"/>
        </w:rPr>
        <w:footnoteReference w:id="17"/>
      </w:r>
    </w:p>
    <w:p w:rsidR="008C08CA" w:rsidP="008C08CA" w14:paraId="7180BDB5" w14:textId="77777777">
      <w:pPr>
        <w:pStyle w:val="FERCparanumber"/>
      </w:pPr>
      <w:r>
        <w:t>The r</w:t>
      </w:r>
      <w:r w:rsidR="63002BF7">
        <w:t xml:space="preserve">evised </w:t>
      </w:r>
      <w:r w:rsidR="00B05933">
        <w:t xml:space="preserve">WGQ </w:t>
      </w:r>
      <w:r w:rsidR="63002BF7">
        <w:t>Capacity Release Related Standards add a new sender’s option data element, “Location Indicator Data,” to the Transactional Reporting – Capacity Release standard to provide a mechanism for a transportation service provider to communicate the locations at which a discounted rate is offered as well as if the rate is associated with a single location, multiple locations, or all locations.</w:t>
      </w:r>
    </w:p>
    <w:p w:rsidR="00D51985" w:rsidP="009D69B4" w14:paraId="72FAC1C3" w14:textId="77777777">
      <w:pPr>
        <w:pStyle w:val="FERCparanumber"/>
      </w:pPr>
      <w:r>
        <w:t>Also included</w:t>
      </w:r>
      <w:r w:rsidR="46BEA940">
        <w:t xml:space="preserve"> in </w:t>
      </w:r>
      <w:r w:rsidR="005810AA">
        <w:t xml:space="preserve">WGQ </w:t>
      </w:r>
      <w:r w:rsidR="46BEA940">
        <w:t xml:space="preserve">Version 4.0 </w:t>
      </w:r>
      <w:r w:rsidR="29256D76">
        <w:t xml:space="preserve">is </w:t>
      </w:r>
      <w:r w:rsidR="46BEA940">
        <w:t>a previous revis</w:t>
      </w:r>
      <w:r w:rsidR="203A3869">
        <w:t>ion to an existing</w:t>
      </w:r>
      <w:r w:rsidR="46BEA940">
        <w:t xml:space="preserve"> </w:t>
      </w:r>
      <w:r w:rsidR="00B05933">
        <w:t xml:space="preserve">WGQ </w:t>
      </w:r>
      <w:r w:rsidR="46BEA940">
        <w:t xml:space="preserve">Invoicing Related Standard that </w:t>
      </w:r>
      <w:r w:rsidR="253F5730">
        <w:t>modifie</w:t>
      </w:r>
      <w:r w:rsidR="4D131070">
        <w:t>s</w:t>
      </w:r>
      <w:r w:rsidR="253F5730">
        <w:t xml:space="preserve"> the “Electronic Delivery Mechanism (EDI) X12 </w:t>
      </w:r>
      <w:r w:rsidR="253F5730">
        <w:t xml:space="preserve">Mapping Guidelines” by adding code values for five data elements to </w:t>
      </w:r>
      <w:r w:rsidR="46BEA940">
        <w:t>WGQ Standard</w:t>
      </w:r>
      <w:r w:rsidR="75A943CA">
        <w:t xml:space="preserve"> </w:t>
      </w:r>
      <w:r w:rsidR="46BEA940">
        <w:t>3.4.1 – Transportation/Sales Invoice to ensure the hierarchal structure of the dataset complied with the Accredited Standards Institute X12 Transaction Set 811 Consolidated Service Invoice/Statement</w:t>
      </w:r>
      <w:r w:rsidR="7F9AAA34">
        <w:t>.</w:t>
      </w:r>
      <w:r w:rsidR="46BEA940">
        <w:t xml:space="preserve"> </w:t>
      </w:r>
    </w:p>
    <w:p w:rsidR="00D51985" w:rsidRPr="001C38BA" w:rsidP="00D51985" w14:paraId="18E83D2B" w14:textId="77777777">
      <w:pPr>
        <w:pStyle w:val="Heading3"/>
        <w:rPr>
          <w:u w:val="none"/>
        </w:rPr>
      </w:pPr>
      <w:bookmarkStart w:id="20" w:name="_bmk7"/>
      <w:bookmarkStart w:id="21" w:name="_Toc173833727"/>
      <w:r w:rsidRPr="001C38BA">
        <w:rPr>
          <w:u w:val="none"/>
        </w:rPr>
        <w:t>S</w:t>
      </w:r>
      <w:bookmarkEnd w:id="20"/>
      <w:r w:rsidRPr="001C38BA">
        <w:rPr>
          <w:u w:val="none"/>
        </w:rPr>
        <w:t>tandards Not Incorporated by Reference</w:t>
      </w:r>
      <w:bookmarkEnd w:id="21"/>
    </w:p>
    <w:p w:rsidR="00EC66D5" w:rsidP="00D734BB" w14:paraId="207F60AE" w14:textId="77777777">
      <w:pPr>
        <w:pStyle w:val="FERCparanumber"/>
      </w:pPr>
      <w:r w:rsidRPr="00755F68">
        <w:t>We</w:t>
      </w:r>
      <w:r>
        <w:t xml:space="preserve"> </w:t>
      </w:r>
      <w:r w:rsidRPr="00755F68">
        <w:t>continue our past practice</w:t>
      </w:r>
      <w:r>
        <w:rPr>
          <w:b/>
          <w:bCs/>
          <w:vertAlign w:val="superscript"/>
        </w:rPr>
        <w:footnoteReference w:id="18"/>
      </w:r>
      <w:r w:rsidRPr="00755F68">
        <w:t xml:space="preserve"> of not incorporating by reference into our regulations</w:t>
      </w:r>
      <w:r w:rsidR="00596981">
        <w:t xml:space="preserve"> the </w:t>
      </w:r>
      <w:r w:rsidR="00185EE4">
        <w:t xml:space="preserve">WGQ </w:t>
      </w:r>
      <w:r w:rsidR="00742540">
        <w:t>standard</w:t>
      </w:r>
      <w:r w:rsidR="00596981">
        <w:t xml:space="preserve"> contracts relating to the </w:t>
      </w:r>
      <w:r w:rsidR="00742540">
        <w:t xml:space="preserve">sale of natural gas </w:t>
      </w:r>
      <w:r w:rsidRPr="00755F68">
        <w:t>because we do not require the use of these contracts.</w:t>
      </w:r>
      <w:r>
        <w:rPr>
          <w:b/>
          <w:bCs/>
          <w:vertAlign w:val="superscript"/>
        </w:rPr>
        <w:footnoteReference w:id="19"/>
      </w:r>
      <w:r w:rsidRPr="00755F68">
        <w:t xml:space="preserve"> </w:t>
      </w:r>
      <w:r w:rsidR="00396E22">
        <w:t xml:space="preserve"> </w:t>
      </w:r>
      <w:r w:rsidR="001D69B0">
        <w:t xml:space="preserve">Thus, we </w:t>
      </w:r>
      <w:r w:rsidR="00596981">
        <w:t xml:space="preserve">also </w:t>
      </w:r>
      <w:r w:rsidR="001D69B0">
        <w:t>do not incorporate by reference</w:t>
      </w:r>
      <w:r w:rsidR="002019DC">
        <w:t xml:space="preserve"> the</w:t>
      </w:r>
      <w:r w:rsidR="00EE3B24">
        <w:t xml:space="preserve"> WGQ</w:t>
      </w:r>
      <w:r w:rsidR="009A07CD">
        <w:t xml:space="preserve"> </w:t>
      </w:r>
      <w:r w:rsidR="00EE3B24">
        <w:t xml:space="preserve">4.0 </w:t>
      </w:r>
      <w:r w:rsidRPr="000223B6" w:rsidR="000223B6">
        <w:t xml:space="preserve">Contracts Related Standards </w:t>
      </w:r>
      <w:r w:rsidR="000223B6">
        <w:t>Manual</w:t>
      </w:r>
      <w:r w:rsidR="00F65ECF">
        <w:t>.</w:t>
      </w:r>
      <w:r w:rsidR="00C96240">
        <w:t xml:space="preserve">  </w:t>
      </w:r>
      <w:r w:rsidRPr="00755F68">
        <w:t xml:space="preserve">In addition, consistent with our findings in past proceedings, we </w:t>
      </w:r>
      <w:r w:rsidR="00D35071">
        <w:t xml:space="preserve">do not </w:t>
      </w:r>
      <w:r w:rsidRPr="00755F68">
        <w:t xml:space="preserve">incorporate by reference the WGQ </w:t>
      </w:r>
      <w:r w:rsidRPr="00755F68">
        <w:t>eTariff</w:t>
      </w:r>
      <w:r w:rsidRPr="00755F68">
        <w:t xml:space="preserve"> Related Standards because the Commission has previously adopted and posted its standards and protocols for electronic tariff filings based on NAESB standards.</w:t>
      </w:r>
      <w:r>
        <w:rPr>
          <w:b/>
          <w:bCs/>
          <w:vertAlign w:val="superscript"/>
        </w:rPr>
        <w:footnoteReference w:id="20"/>
      </w:r>
    </w:p>
    <w:p w:rsidR="00386176" w:rsidRPr="001C38BA" w:rsidP="00386176" w14:paraId="51ACC6AE" w14:textId="77777777">
      <w:pPr>
        <w:pStyle w:val="Heading2"/>
        <w:rPr>
          <w:u w:val="none"/>
        </w:rPr>
      </w:pPr>
      <w:bookmarkStart w:id="22" w:name="_bmk8"/>
      <w:bookmarkStart w:id="23" w:name="_Toc173833728"/>
      <w:r w:rsidRPr="001C38BA">
        <w:rPr>
          <w:u w:val="none"/>
        </w:rPr>
        <w:t>R</w:t>
      </w:r>
      <w:bookmarkEnd w:id="22"/>
      <w:r w:rsidRPr="001C38BA">
        <w:rPr>
          <w:u w:val="none"/>
        </w:rPr>
        <w:t>equired Compliance Filings</w:t>
      </w:r>
      <w:bookmarkEnd w:id="23"/>
    </w:p>
    <w:p w:rsidR="001D37F2" w:rsidP="009740A1" w14:paraId="6C4EE863" w14:textId="77777777">
      <w:pPr>
        <w:widowControl/>
        <w:numPr>
          <w:ilvl w:val="0"/>
          <w:numId w:val="11"/>
        </w:numPr>
        <w:spacing w:line="480" w:lineRule="auto"/>
      </w:pPr>
      <w:r w:rsidRPr="000B4E09">
        <w:t xml:space="preserve">As suggested by INGAA, we </w:t>
      </w:r>
      <w:r w:rsidR="005B0BB5">
        <w:t xml:space="preserve">will </w:t>
      </w:r>
      <w:r w:rsidRPr="000B4E09">
        <w:t xml:space="preserve">delay implementation </w:t>
      </w:r>
      <w:r w:rsidR="005B0BB5">
        <w:t xml:space="preserve">of this Final Rule </w:t>
      </w:r>
      <w:r w:rsidRPr="000B4E09">
        <w:t xml:space="preserve">until after the 2024-2025 winter heating period.  To implement the standards that we are incorporating by reference in this Final Rule, we will require each interstate natural gas </w:t>
      </w:r>
    </w:p>
    <w:p w:rsidR="00EE3315" w:rsidP="001D37F2" w14:paraId="2A35FC60" w14:textId="77777777">
      <w:pPr>
        <w:widowControl/>
        <w:spacing w:line="480" w:lineRule="auto"/>
      </w:pPr>
      <w:r w:rsidRPr="000B4E09">
        <w:t xml:space="preserve">pipeline to file a separate tariff record reflecting the changed standards by </w:t>
      </w:r>
      <w:r w:rsidR="008317A1">
        <w:t>February 3</w:t>
      </w:r>
      <w:r w:rsidR="009D69B4">
        <w:t>, 2025</w:t>
      </w:r>
      <w:r w:rsidRPr="000B4E09">
        <w:t>.</w:t>
      </w:r>
      <w:r>
        <w:rPr>
          <w:b/>
          <w:bCs/>
          <w:vertAlign w:val="superscript"/>
        </w:rPr>
        <w:footnoteReference w:id="21"/>
      </w:r>
      <w:r w:rsidRPr="000B4E09">
        <w:t xml:space="preserve">  </w:t>
      </w:r>
      <w:r w:rsidR="0064569F">
        <w:t>I</w:t>
      </w:r>
      <w:r w:rsidRPr="000B4E09" w:rsidR="0064569F">
        <w:t>n response</w:t>
      </w:r>
      <w:r w:rsidR="0064569F">
        <w:t xml:space="preserve"> to INGAA’s concern that the Commission could require implementation of this Final Rule during the winter heating season, we will require </w:t>
      </w:r>
      <w:r w:rsidR="00342EFF">
        <w:t xml:space="preserve">the </w:t>
      </w:r>
      <w:r w:rsidR="0064569F">
        <w:t xml:space="preserve">compliance filings to be made with an effective date </w:t>
      </w:r>
      <w:r w:rsidR="0027384A">
        <w:t>of</w:t>
      </w:r>
      <w:r w:rsidR="0064569F">
        <w:t xml:space="preserve"> August 1, 2025.  </w:t>
      </w:r>
      <w:r w:rsidRPr="000B4E09">
        <w:t>We are adopting this implementation schedule to give the interstate</w:t>
      </w:r>
      <w:r w:rsidRPr="0090772E">
        <w:t xml:space="preserve"> natural gas pipelines subject to these standards adequate time to implement these changes.</w:t>
      </w:r>
    </w:p>
    <w:p w:rsidR="00755F68" w:rsidRPr="001C38BA" w:rsidP="009D69B4" w14:paraId="741FC39E" w14:textId="77777777">
      <w:pPr>
        <w:pStyle w:val="Heading2"/>
        <w:rPr>
          <w:u w:val="none"/>
        </w:rPr>
      </w:pPr>
      <w:bookmarkStart w:id="24" w:name="_bmk9"/>
      <w:bookmarkStart w:id="25" w:name="_Toc52890007"/>
      <w:bookmarkStart w:id="26" w:name="_Toc160607340"/>
      <w:bookmarkStart w:id="27" w:name="_Toc160724646"/>
      <w:bookmarkStart w:id="28" w:name="_Toc173833729"/>
      <w:r w:rsidRPr="001C38BA">
        <w:rPr>
          <w:u w:val="none"/>
        </w:rPr>
        <w:t>I</w:t>
      </w:r>
      <w:bookmarkEnd w:id="24"/>
      <w:r w:rsidRPr="001C38BA">
        <w:rPr>
          <w:u w:val="none"/>
        </w:rPr>
        <w:t>mplementation Procedures</w:t>
      </w:r>
      <w:bookmarkEnd w:id="25"/>
      <w:bookmarkEnd w:id="26"/>
      <w:bookmarkEnd w:id="27"/>
      <w:bookmarkEnd w:id="28"/>
    </w:p>
    <w:p w:rsidR="000B4E09" w:rsidP="000B4E09" w14:paraId="01A06EF3" w14:textId="77777777">
      <w:pPr>
        <w:widowControl/>
        <w:numPr>
          <w:ilvl w:val="0"/>
          <w:numId w:val="11"/>
        </w:numPr>
        <w:spacing w:line="480" w:lineRule="auto"/>
      </w:pPr>
      <w:r w:rsidRPr="00755F68">
        <w:t xml:space="preserve">We </w:t>
      </w:r>
      <w:r w:rsidR="006B0BDF">
        <w:t>will</w:t>
      </w:r>
      <w:r>
        <w:t xml:space="preserve"> </w:t>
      </w:r>
      <w:r w:rsidRPr="00755F68">
        <w:t>continue the compliance filing requirements as revised and prescribed in Order No. 587-V to increase the transparency of the interstate natural gas pipelines’ incorporation by reference of the NAESB WGQ Standards so that shippers and the Commission will know which tariff provision(s) implements each standard as well as the status of each standard.</w:t>
      </w:r>
      <w:r>
        <w:rPr>
          <w:b/>
          <w:bCs/>
          <w:vertAlign w:val="superscript"/>
        </w:rPr>
        <w:footnoteReference w:id="22"/>
      </w:r>
      <w:r w:rsidR="005F5089">
        <w:t xml:space="preserve">  </w:t>
      </w:r>
      <w:r>
        <w:t xml:space="preserve">We </w:t>
      </w:r>
      <w:r w:rsidR="05F63C07">
        <w:t>requir</w:t>
      </w:r>
      <w:r w:rsidR="006B0BDF">
        <w:t>e</w:t>
      </w:r>
      <w:r>
        <w:t xml:space="preserve"> </w:t>
      </w:r>
      <w:r w:rsidR="004B00AC">
        <w:t xml:space="preserve">each interstate natural gas pipeline to submit its </w:t>
      </w:r>
      <w:r>
        <w:t>compliance filing</w:t>
      </w:r>
      <w:r w:rsidR="05F63C07">
        <w:t xml:space="preserve"> </w:t>
      </w:r>
      <w:r w:rsidR="00D25053">
        <w:t>no later than</w:t>
      </w:r>
      <w:r w:rsidR="0018536D">
        <w:t xml:space="preserve"> </w:t>
      </w:r>
      <w:r w:rsidRPr="00F5171E" w:rsidR="00C55A4F">
        <w:t>February 3</w:t>
      </w:r>
      <w:r w:rsidRPr="00F5171E" w:rsidR="0018536D">
        <w:t xml:space="preserve">, </w:t>
      </w:r>
      <w:r w:rsidRPr="00F5171E" w:rsidR="00BA21FE">
        <w:t>2025</w:t>
      </w:r>
      <w:r w:rsidR="126B6F84">
        <w:t>.</w:t>
      </w:r>
    </w:p>
    <w:p w:rsidR="001D37F2" w14:paraId="02CD1F25" w14:textId="77777777">
      <w:pPr>
        <w:widowControl/>
        <w:numPr>
          <w:ilvl w:val="0"/>
          <w:numId w:val="11"/>
        </w:numPr>
        <w:spacing w:line="480" w:lineRule="auto"/>
      </w:pPr>
      <w:r w:rsidRPr="00755F68">
        <w:t>Consistent with the Commission’s practice since Order No. 587-V, each interstate natural gas pipeline must designate a single tariff section under which every NAESB WGQ Standard incorporated by reference by the Commission is listed.</w:t>
      </w:r>
      <w:r>
        <w:rPr>
          <w:b/>
          <w:bCs/>
          <w:vertAlign w:val="superscript"/>
        </w:rPr>
        <w:footnoteReference w:id="23"/>
      </w:r>
      <w:r w:rsidRPr="00755F68">
        <w:t xml:space="preserve">  </w:t>
      </w:r>
      <w:r w:rsidRPr="00412439" w:rsidR="009F18DE">
        <w:t xml:space="preserve">In that tariff </w:t>
      </w:r>
    </w:p>
    <w:p w:rsidR="00755F68" w:rsidRPr="00755F68" w:rsidP="001D37F2" w14:paraId="12309122" w14:textId="77777777">
      <w:pPr>
        <w:widowControl/>
        <w:spacing w:line="480" w:lineRule="auto"/>
      </w:pPr>
      <w:r w:rsidRPr="00412439">
        <w:t>section, the pipeline must list for each standard:</w:t>
      </w:r>
    </w:p>
    <w:p w:rsidR="00755F68" w:rsidRPr="00755F68" w:rsidP="00755F68" w14:paraId="6C3C7749" w14:textId="77777777">
      <w:pPr>
        <w:widowControl/>
        <w:numPr>
          <w:ilvl w:val="0"/>
          <w:numId w:val="26"/>
        </w:numPr>
        <w:spacing w:line="480" w:lineRule="auto"/>
      </w:pPr>
      <w:r w:rsidRPr="00755F68">
        <w:t xml:space="preserve">whether the standard is incorporated by </w:t>
      </w:r>
      <w:r w:rsidRPr="00755F68">
        <w:t>reference;</w:t>
      </w:r>
    </w:p>
    <w:p w:rsidR="00755F68" w:rsidRPr="00755F68" w:rsidP="00755F68" w14:paraId="66B92A55" w14:textId="77777777">
      <w:pPr>
        <w:widowControl/>
        <w:numPr>
          <w:ilvl w:val="0"/>
          <w:numId w:val="26"/>
        </w:numPr>
        <w:spacing w:line="480" w:lineRule="auto"/>
      </w:pPr>
      <w:r w:rsidRPr="00755F68">
        <w:t>for those standards not incorporated by reference, the tariff provision that complies with the standard; or</w:t>
      </w:r>
    </w:p>
    <w:p w:rsidR="00755F68" w:rsidRPr="00755F68" w:rsidP="00755F68" w14:paraId="6899FC62" w14:textId="77777777">
      <w:pPr>
        <w:widowControl/>
        <w:numPr>
          <w:ilvl w:val="0"/>
          <w:numId w:val="26"/>
        </w:numPr>
        <w:spacing w:line="480" w:lineRule="auto"/>
      </w:pPr>
      <w:r w:rsidRPr="00755F68">
        <w:t>for those standards with which the pipeline does not comply, an explanatory statement, including an indication of whether the pipeline has been granted a waiver, extension of time, or other variance with respect to compliance with the standard.</w:t>
      </w:r>
      <w:r>
        <w:rPr>
          <w:b/>
          <w:bCs/>
          <w:vertAlign w:val="superscript"/>
        </w:rPr>
        <w:footnoteReference w:id="24"/>
      </w:r>
    </w:p>
    <w:p w:rsidR="00755F68" w:rsidRPr="00755F68" w:rsidP="00755F68" w14:paraId="76741EF4" w14:textId="77777777">
      <w:pPr>
        <w:widowControl/>
        <w:numPr>
          <w:ilvl w:val="0"/>
          <w:numId w:val="11"/>
        </w:numPr>
        <w:spacing w:line="480" w:lineRule="auto"/>
      </w:pPr>
      <w:r>
        <w:t>Likewise, consistent with past practice, we will post on our eLibrary website (under Docket No. RM96-1-043) a sample tariff format, to provide filers with an illustrative example to aid them in preparing their compliance filings.</w:t>
      </w:r>
    </w:p>
    <w:p w:rsidR="00755F68" w:rsidRPr="00755F68" w:rsidP="00755F68" w14:paraId="5FD4714C" w14:textId="77777777">
      <w:pPr>
        <w:widowControl/>
        <w:numPr>
          <w:ilvl w:val="0"/>
          <w:numId w:val="11"/>
        </w:numPr>
        <w:tabs>
          <w:tab w:val="clear" w:pos="720"/>
        </w:tabs>
        <w:spacing w:line="480" w:lineRule="auto"/>
      </w:pPr>
      <w:r w:rsidRPr="00755F68">
        <w:t>Consistent with our policy since Order No. 587-V,</w:t>
      </w:r>
      <w:r>
        <w:rPr>
          <w:b/>
          <w:bCs/>
          <w:vertAlign w:val="superscript"/>
        </w:rPr>
        <w:footnoteReference w:id="25"/>
      </w:r>
      <w:r w:rsidRPr="00755F68">
        <w:t xml:space="preserve"> entities may request waivers under the requirements set forth in Order No. 587-V and the Commission will then evaluate those requests at that time.</w:t>
      </w:r>
      <w:r>
        <w:rPr>
          <w:b/>
          <w:bCs/>
          <w:vertAlign w:val="superscript"/>
        </w:rPr>
        <w:footnoteReference w:id="26"/>
      </w:r>
      <w:r w:rsidRPr="5F7F722B">
        <w:rPr>
          <w:b/>
          <w:bCs/>
          <w:vertAlign w:val="superscript"/>
        </w:rPr>
        <w:t xml:space="preserve"> </w:t>
      </w:r>
    </w:p>
    <w:p w:rsidR="00755F68" w:rsidRPr="00755F68" w:rsidP="00755F68" w14:paraId="740B57C8" w14:textId="77777777">
      <w:pPr>
        <w:widowControl/>
        <w:numPr>
          <w:ilvl w:val="0"/>
          <w:numId w:val="11"/>
        </w:numPr>
        <w:tabs>
          <w:tab w:val="clear" w:pos="720"/>
        </w:tabs>
        <w:spacing w:line="480" w:lineRule="auto"/>
      </w:pPr>
      <w:r>
        <w:t xml:space="preserve">If the pipeline is requesting a continuation of an existing waiver or extension of time, it must include a table in its transmittal letter that identifies the standard for which </w:t>
      </w:r>
      <w:r>
        <w:t>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4.0 Standards.</w:t>
      </w:r>
    </w:p>
    <w:p w:rsidR="0090772E" w:rsidRPr="0090772E" w:rsidP="0090772E" w14:paraId="7233986D" w14:textId="77777777">
      <w:pPr>
        <w:pStyle w:val="FERCparanumber"/>
      </w:pPr>
      <w:r>
        <w:t xml:space="preserve">This </w:t>
      </w:r>
      <w:r w:rsidR="00FD43B6">
        <w:t xml:space="preserve">implementation approach </w:t>
      </w:r>
      <w:r>
        <w:t>continues the Commission’s practice of having pipelines include in their tariffs a common location that identifies the way in which the pipeline is incorporating all the NAESB WGQ Standards and the standards with which it is required to comply</w:t>
      </w:r>
      <w:r w:rsidR="2BC1446A">
        <w:t>.</w:t>
      </w:r>
      <w:bookmarkStart w:id="29" w:name="_Toc69539182"/>
      <w:bookmarkEnd w:id="29"/>
    </w:p>
    <w:p w:rsidR="0090772E" w:rsidRPr="001C38BA" w:rsidP="0046627D" w14:paraId="406B88B5" w14:textId="77777777">
      <w:pPr>
        <w:pStyle w:val="Heading1"/>
        <w:rPr>
          <w:u w:val="none"/>
        </w:rPr>
      </w:pPr>
      <w:bookmarkStart w:id="30" w:name="_bmk10"/>
      <w:bookmarkStart w:id="31" w:name="_Toc69539183"/>
      <w:bookmarkStart w:id="32" w:name="_Toc173833730"/>
      <w:r w:rsidRPr="001C38BA">
        <w:rPr>
          <w:u w:val="none"/>
        </w:rPr>
        <w:t>N</w:t>
      </w:r>
      <w:bookmarkEnd w:id="30"/>
      <w:r w:rsidRPr="001C38BA">
        <w:rPr>
          <w:u w:val="none"/>
        </w:rPr>
        <w:t>otice of Use of Voluntary Consensus Standards</w:t>
      </w:r>
      <w:bookmarkEnd w:id="31"/>
      <w:bookmarkEnd w:id="32"/>
    </w:p>
    <w:p w:rsidR="006B53D6" w:rsidP="006B53D6" w14:paraId="78684C03" w14:textId="77777777">
      <w:pPr>
        <w:pStyle w:val="FERCparanumber"/>
      </w:pPr>
      <w:bookmarkStart w:id="33" w:name="_Hlk168329748"/>
      <w:bookmarkStart w:id="34" w:name="_Hlk168329738"/>
      <w:bookmarkStart w:id="35" w:name="_Hlk168329759"/>
      <w:r w:rsidRPr="0090772E">
        <w:t>Office of Management and Budget (</w:t>
      </w:r>
      <w:bookmarkEnd w:id="33"/>
      <w:r w:rsidRPr="0090772E">
        <w:t xml:space="preserve">OMB) Circular A-119 (section 11) (Feb. 10, 1998) provides that when a federal </w:t>
      </w:r>
      <w:bookmarkEnd w:id="34"/>
      <w:r w:rsidRPr="0090772E">
        <w:t xml:space="preserve">agency issues or revises a regulation containing a standard, the agency should publish a statement in the Final Rule stating whether the adopted standard is a voluntary consensus standard or a government-unique standard.  In this Final Rule, we are incorporating by reference voluntary consensus standards </w:t>
      </w:r>
      <w:bookmarkEnd w:id="35"/>
      <w:r w:rsidRPr="0090772E">
        <w:t>developed by NAESB’s WGQ.  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w:t>
      </w:r>
      <w:r>
        <w:rPr>
          <w:b/>
          <w:bCs/>
          <w:vertAlign w:val="superscript"/>
        </w:rPr>
        <w:footnoteReference w:id="27"/>
      </w:r>
    </w:p>
    <w:p w:rsidR="0090772E" w:rsidRPr="001C38BA" w:rsidP="0046627D" w14:paraId="5438FB23" w14:textId="77777777">
      <w:pPr>
        <w:pStyle w:val="Heading1"/>
        <w:rPr>
          <w:u w:val="none"/>
        </w:rPr>
      </w:pPr>
      <w:bookmarkStart w:id="36" w:name="_bmk11"/>
      <w:bookmarkStart w:id="37" w:name="_Toc69539184"/>
      <w:bookmarkStart w:id="38" w:name="_Toc173833731"/>
      <w:r w:rsidRPr="001C38BA">
        <w:rPr>
          <w:u w:val="none"/>
        </w:rPr>
        <w:t>I</w:t>
      </w:r>
      <w:bookmarkEnd w:id="36"/>
      <w:r w:rsidRPr="001C38BA">
        <w:rPr>
          <w:u w:val="none"/>
        </w:rPr>
        <w:t>ncorporation by Reference</w:t>
      </w:r>
      <w:bookmarkEnd w:id="37"/>
      <w:bookmarkEnd w:id="38"/>
    </w:p>
    <w:p w:rsidR="0090772E" w:rsidRPr="0090772E" w:rsidP="0090772E" w14:paraId="290744DC" w14:textId="77777777">
      <w:pPr>
        <w:pStyle w:val="FERCparanumber"/>
      </w:pPr>
      <w:r w:rsidRPr="0090772E">
        <w:t>The Office of the Federal Register requires agencies incorporating material by reference in final rules to discuss the ways that the materials it incorporates by reference are reasonably available to interested parties and how interested parties can obtain the materials.</w:t>
      </w:r>
      <w:r>
        <w:rPr>
          <w:b/>
          <w:bCs/>
          <w:vertAlign w:val="superscript"/>
        </w:rPr>
        <w:footnoteReference w:id="28"/>
      </w:r>
      <w:r w:rsidRPr="0090772E">
        <w:t xml:space="preserve">  The regulations also require agencies to summarize, in the preamble of the final rule, the material it incorporates by reference.  The standards that we are incorporating by reference in this Final Rule consist of seven suites of NAESB WGQ Business Practice Standards that address a variety of topics and are designed to streamline the transactional processes for the wholesale natural gas industry by promoting a more competitive and efficient market.  These include the:  WGQ Additional Business Practice Standards; WGQ Nominations Related Business Practice Standards; WGQ Flowing Gas Related Business Practice Standards; WGQ Invoicing Related Business Practice Standards; </w:t>
      </w:r>
      <w:r w:rsidR="00FF3104">
        <w:t xml:space="preserve">WGQ </w:t>
      </w:r>
      <w:r w:rsidRPr="0090772E">
        <w:t xml:space="preserve">Quadrant Electronic Delivery Mechanism Related Business Practice Standards; </w:t>
      </w:r>
      <w:r w:rsidR="00FF3104">
        <w:t xml:space="preserve">WGQ </w:t>
      </w:r>
      <w:r w:rsidRPr="0090772E">
        <w:t xml:space="preserve">Capacity Release Related Business Practice Standards; and </w:t>
      </w:r>
      <w:r w:rsidR="0EC1D5EF">
        <w:t xml:space="preserve">WGQ Cybersecurity Related </w:t>
      </w:r>
      <w:r w:rsidRPr="0090772E">
        <w:t>Standards.  We summarize these standards below.</w:t>
      </w:r>
    </w:p>
    <w:p w:rsidR="0060662A" w:rsidRPr="004557FF" w:rsidP="0060662A" w14:paraId="16E968EB" w14:textId="77777777">
      <w:pPr>
        <w:pStyle w:val="FERCparanumber"/>
      </w:pPr>
      <w:r w:rsidRPr="13A293D4">
        <w:rPr>
          <w:b/>
          <w:bCs/>
        </w:rPr>
        <w:t>The WGQ Additional Business Practice Standards</w:t>
      </w:r>
      <w:r>
        <w:t xml:space="preserve"> address six areas: Creditworthiness; Storage Information; Gas/Electric Operational Communications; Operational Capacity; Unsubscribed Capacity; and Location Data Download.</w:t>
      </w:r>
    </w:p>
    <w:p w:rsidR="0060662A" w:rsidRPr="004557FF" w:rsidP="0060662A" w14:paraId="136AAD4E" w14:textId="77777777">
      <w:pPr>
        <w:widowControl/>
        <w:numPr>
          <w:ilvl w:val="0"/>
          <w:numId w:val="27"/>
        </w:numPr>
        <w:spacing w:line="480" w:lineRule="auto"/>
      </w:pPr>
      <w:r w:rsidRPr="004557FF">
        <w:t>The Creditworthiness related standards describe requirements for the exchange of information, notification, and communication between parties during the creditworthiness evaluation process.</w:t>
      </w:r>
    </w:p>
    <w:p w:rsidR="0060662A" w:rsidRPr="004557FF" w:rsidP="0060662A" w14:paraId="7E874A12" w14:textId="77777777">
      <w:pPr>
        <w:widowControl/>
        <w:numPr>
          <w:ilvl w:val="0"/>
          <w:numId w:val="27"/>
        </w:numPr>
        <w:spacing w:line="480" w:lineRule="auto"/>
      </w:pPr>
      <w:r w:rsidRPr="004557FF">
        <w:t>The Storage Information related standards define the information to be provided to natural gas service requesters related to storage activities and/or balances.</w:t>
      </w:r>
    </w:p>
    <w:p w:rsidR="0060662A" w:rsidRPr="004557FF" w:rsidP="0060662A" w14:paraId="27319258" w14:textId="77777777">
      <w:pPr>
        <w:widowControl/>
        <w:numPr>
          <w:ilvl w:val="0"/>
          <w:numId w:val="27"/>
        </w:numPr>
        <w:spacing w:line="480" w:lineRule="auto"/>
      </w:pPr>
      <w:r w:rsidRPr="004557FF">
        <w:t xml:space="preserve">The Gas/Electric Operational Communications related standards define communication protocols intended to improve coordination between the </w:t>
      </w:r>
      <w:r>
        <w:t xml:space="preserve">natural </w:t>
      </w:r>
      <w:r w:rsidRPr="004557FF">
        <w:t xml:space="preserve">gas and electric industries in daily operational communications between </w:t>
      </w:r>
      <w:r>
        <w:t xml:space="preserve">gas </w:t>
      </w:r>
      <w:r w:rsidRPr="009633A8">
        <w:t>transportation service providers and</w:t>
      </w:r>
      <w:r w:rsidRPr="004557FF">
        <w:t xml:space="preserve"> gas-fired power plants.  The</w:t>
      </w:r>
      <w:r>
        <w:t>se</w:t>
      </w:r>
      <w:r w:rsidRPr="004557FF">
        <w:t xml:space="preserve"> standards include requirements for communicating anticipated power generation fuel </w:t>
      </w:r>
      <w:r>
        <w:t xml:space="preserve">needs </w:t>
      </w:r>
      <w:r w:rsidRPr="004557FF">
        <w:t>for the upcoming day as well as any operating problems that might hinder gas-fired power plants from receiving contractual gas quantities.</w:t>
      </w:r>
    </w:p>
    <w:p w:rsidR="0060662A" w:rsidRPr="004557FF" w:rsidP="0060662A" w14:paraId="33C812E9" w14:textId="77777777">
      <w:pPr>
        <w:widowControl/>
        <w:numPr>
          <w:ilvl w:val="0"/>
          <w:numId w:val="27"/>
        </w:numPr>
        <w:spacing w:line="480" w:lineRule="auto"/>
      </w:pPr>
      <w:r w:rsidRPr="004557FF">
        <w:t xml:space="preserve">The Operational Capacity related standards define requirements </w:t>
      </w:r>
      <w:r>
        <w:t>for</w:t>
      </w:r>
      <w:r w:rsidRPr="004557FF">
        <w:t xml:space="preserve"> the transportation service provider</w:t>
      </w:r>
      <w:r>
        <w:t>’s</w:t>
      </w:r>
      <w:r w:rsidRPr="004557FF">
        <w:t xml:space="preserve"> reporting </w:t>
      </w:r>
      <w:r>
        <w:t xml:space="preserve">of its </w:t>
      </w:r>
      <w:r w:rsidRPr="004557FF">
        <w:t>operational capacity, total scheduled quantity, and operationally available capacity.</w:t>
      </w:r>
    </w:p>
    <w:p w:rsidR="0060662A" w:rsidRPr="004557FF" w:rsidP="0060662A" w14:paraId="1D8A3F6D" w14:textId="77777777">
      <w:pPr>
        <w:widowControl/>
        <w:numPr>
          <w:ilvl w:val="0"/>
          <w:numId w:val="27"/>
        </w:numPr>
        <w:spacing w:line="480" w:lineRule="auto"/>
      </w:pPr>
      <w:r w:rsidRPr="004557FF">
        <w:t xml:space="preserve">The Unsubscribed Capacity related standards define requirements </w:t>
      </w:r>
      <w:r>
        <w:t>for</w:t>
      </w:r>
      <w:r w:rsidRPr="004557FF">
        <w:t xml:space="preserve"> the transportation service provider</w:t>
      </w:r>
      <w:r>
        <w:t>’s</w:t>
      </w:r>
      <w:r w:rsidRPr="004557FF">
        <w:t xml:space="preserve"> reporting</w:t>
      </w:r>
      <w:r>
        <w:t xml:space="preserve"> of its</w:t>
      </w:r>
      <w:r w:rsidRPr="004557FF">
        <w:t xml:space="preserve"> available unsubscribed capacity.</w:t>
      </w:r>
    </w:p>
    <w:p w:rsidR="0060662A" w:rsidRPr="004557FF" w:rsidP="0060662A" w14:paraId="5BAFF6B6" w14:textId="77777777">
      <w:pPr>
        <w:widowControl/>
        <w:numPr>
          <w:ilvl w:val="0"/>
          <w:numId w:val="27"/>
        </w:numPr>
        <w:spacing w:line="480" w:lineRule="auto"/>
      </w:pPr>
      <w:r w:rsidRPr="004557FF">
        <w:t>The Location Data Download related standards define requirements for the use of codes assigned by the transportation service provider for locations and common codes for parties communicating electronically.</w:t>
      </w:r>
    </w:p>
    <w:p w:rsidR="0060662A" w:rsidRPr="00D03591" w:rsidP="0060662A" w14:paraId="08989437" w14:textId="77777777">
      <w:pPr>
        <w:pStyle w:val="FERCparanumber"/>
      </w:pPr>
      <w:r w:rsidRPr="13A293D4">
        <w:rPr>
          <w:b/>
          <w:bCs/>
        </w:rPr>
        <w:t>The WGQ Nominations Related Business Practice Standards</w:t>
      </w:r>
      <w:r>
        <w:t xml:space="preserve"> define the process by which a natural gas service requester with a natural gas transportation contract nominates (or requests) service from a pipeline or a transportation service provider for the delivery of natural gas.</w:t>
      </w:r>
    </w:p>
    <w:p w:rsidR="0060662A" w:rsidRPr="00932257" w:rsidP="0060662A" w14:paraId="607AAB44" w14:textId="77777777">
      <w:pPr>
        <w:pStyle w:val="FERCparanumber"/>
      </w:pPr>
      <w:r w:rsidRPr="13A293D4">
        <w:rPr>
          <w:b/>
          <w:bCs/>
        </w:rPr>
        <w:t>The WGQ Flowing Gas Related Business Practice Standards</w:t>
      </w:r>
      <w:r>
        <w:t xml:space="preserve"> define the business processes related to the communication of entitlement rights of flowing gas at a location, of the entitlement rights on a contractual basis, of the management of imbalances, and of the measurement and gas quality information of the actual flow of gas.</w:t>
      </w:r>
    </w:p>
    <w:p w:rsidR="0060662A" w:rsidP="0060662A" w14:paraId="5D092CC3" w14:textId="77777777">
      <w:pPr>
        <w:pStyle w:val="FERCparanumber"/>
      </w:pPr>
      <w:r w:rsidRPr="13A293D4">
        <w:rPr>
          <w:b/>
          <w:bCs/>
        </w:rPr>
        <w:t xml:space="preserve">The WGQ Invoicing Related Business Practice Standards </w:t>
      </w:r>
      <w:r>
        <w:t>define the process for the communication of charges for services rendered (Invoice), communication of details about funds rendered in payment for services rendered (Payment Remittance), and communication of the financial status of a customer’s account (Statement of Account).</w:t>
      </w:r>
    </w:p>
    <w:p w:rsidR="0060662A" w:rsidP="0060662A" w14:paraId="4407259B" w14:textId="77777777">
      <w:pPr>
        <w:pStyle w:val="FERCparanumber"/>
      </w:pPr>
      <w:r w:rsidRPr="13A293D4">
        <w:rPr>
          <w:b/>
          <w:bCs/>
        </w:rPr>
        <w:t>The</w:t>
      </w:r>
      <w:r w:rsidR="00413E8A">
        <w:rPr>
          <w:b/>
          <w:bCs/>
        </w:rPr>
        <w:t xml:space="preserve"> WGQ</w:t>
      </w:r>
      <w:r w:rsidRPr="13A293D4">
        <w:rPr>
          <w:b/>
          <w:bCs/>
        </w:rPr>
        <w:t xml:space="preserve"> Quadrant Electronic Delivery Mechanism Related Business Practice Standards</w:t>
      </w:r>
      <w:r>
        <w:t xml:space="preserve"> 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rsidR="009E690D" w:rsidRPr="00724D4E" w:rsidP="00224B06" w14:paraId="613A934F" w14:textId="77777777">
      <w:pPr>
        <w:pStyle w:val="FERCparanumber"/>
      </w:pPr>
      <w:r w:rsidRPr="00821C3D">
        <w:rPr>
          <w:b/>
          <w:bCs/>
        </w:rPr>
        <w:t xml:space="preserve">The </w:t>
      </w:r>
      <w:r w:rsidRPr="005D7BA2" w:rsidR="009E784D">
        <w:rPr>
          <w:b/>
          <w:bCs/>
        </w:rPr>
        <w:t>WGQ</w:t>
      </w:r>
      <w:r w:rsidRPr="00821C3D" w:rsidR="009E784D">
        <w:rPr>
          <w:b/>
          <w:bCs/>
        </w:rPr>
        <w:t xml:space="preserve"> </w:t>
      </w:r>
      <w:r w:rsidRPr="00821C3D">
        <w:rPr>
          <w:b/>
          <w:bCs/>
        </w:rPr>
        <w:t xml:space="preserve">Capacity Release Related Business Practice Standards </w:t>
      </w:r>
      <w:r>
        <w:t>define the business processes for communication of information related to the selling of all or any portion of a transmission service requester’s contract rights.</w:t>
      </w:r>
    </w:p>
    <w:p w:rsidR="6EB705C0" w:rsidP="00316319" w14:paraId="1F321C09" w14:textId="77777777">
      <w:pPr>
        <w:pStyle w:val="FERCparanumber"/>
      </w:pPr>
      <w:r w:rsidRPr="66057B1D">
        <w:rPr>
          <w:b/>
          <w:bCs/>
        </w:rPr>
        <w:t>The WGQ Cybersecurity Related Standards</w:t>
      </w:r>
      <w:r>
        <w:t xml:space="preserve"> </w:t>
      </w:r>
      <w:r w:rsidRPr="00F83883" w:rsidR="00F83883">
        <w:t xml:space="preserve">consolidate existing NAESB cybersecurity- related standards from various standards manuals into a single manual.  These standards </w:t>
      </w:r>
      <w:r>
        <w:t>define the requirements for ensuring the security of electronic communications and transactions among parties</w:t>
      </w:r>
      <w:r w:rsidR="009D5591">
        <w:t>.</w:t>
      </w:r>
    </w:p>
    <w:p w:rsidR="0060662A" w:rsidRPr="00E0099E" w:rsidP="0060662A" w14:paraId="606A530B" w14:textId="77777777">
      <w:pPr>
        <w:pStyle w:val="FERCparanumber"/>
        <w:tabs>
          <w:tab w:val="clear" w:pos="720"/>
        </w:tabs>
        <w:rPr>
          <w:rStyle w:val="Hyperlink"/>
          <w:i/>
          <w:iCs/>
          <w:color w:val="000000" w:themeColor="text1"/>
          <w:u w:val="none"/>
        </w:rPr>
      </w:pPr>
      <w:r>
        <w:t xml:space="preserve">Commission regulations provide that copies of the standards incorporated by reference may be obtained through purchase or otherwise from the North American Energy Standards Board, 801 Travis Street, Suite 1675, Houston, TX  77002, Phone: (713) 356–0060, Website: </w:t>
      </w:r>
      <w:r w:rsidR="00E267FB">
        <w:t>http://www</w:t>
      </w:r>
      <w:r w:rsidRPr="004D473C" w:rsidR="00E267FB">
        <w:t>.naesb.org</w:t>
      </w:r>
      <w:r w:rsidRPr="00DA4183" w:rsidR="00DA4183">
        <w:t>/.</w:t>
      </w:r>
      <w:r w:rsidRPr="13A293D4">
        <w:rPr>
          <w:rStyle w:val="Hyperlink"/>
          <w:color w:val="000000" w:themeColor="text1"/>
          <w:u w:val="none"/>
        </w:rPr>
        <w:t xml:space="preserve">  The standards can also be reviewed without purchasing them.  </w:t>
      </w:r>
    </w:p>
    <w:p w:rsidR="0060662A" w:rsidRPr="004557FF" w:rsidP="0060662A" w14:paraId="6A00BBAA" w14:textId="77777777">
      <w:pPr>
        <w:pStyle w:val="FERCparanumber"/>
        <w:rPr>
          <w:b/>
        </w:rPr>
      </w:pPr>
      <w:r>
        <w:t>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$8,000, which entitles them to full participation in NAESB and enables them to obtain these standards at no additional cost.  Non-members may obtain any of the ten individual standards manuals for $250 per manual, which in the case of these standards would total $2,500 for all ten manuals.  Non-members also may obtain the complete set of Standards Manuals for $2,000.</w:t>
      </w:r>
    </w:p>
    <w:p w:rsidR="0060662A" w:rsidRPr="00E0099E" w:rsidP="0060662A" w14:paraId="392C4D76" w14:textId="77777777">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w:t>
      </w:r>
      <w:r w:rsidRPr="00EA6304">
        <w:rPr>
          <w:color w:val="000000" w:themeColor="text1"/>
        </w:rPr>
        <w:t xml:space="preserve">the purpose of evaluating standards prior to purchase and/or reviewing the standards to prepare comments to a regulatory agency. </w:t>
      </w:r>
      <w:r>
        <w:rPr>
          <w:color w:val="000000" w:themeColor="text1"/>
        </w:rPr>
        <w:t xml:space="preserve"> </w:t>
      </w:r>
      <w:r w:rsidRPr="00EA6304">
        <w:rPr>
          <w:color w:val="000000" w:themeColor="text1"/>
        </w:rPr>
        <w:t xml:space="preserve">Following the granting of a limited copyright waiver, the non-member is provided with read-only access to the standards </w:t>
      </w:r>
      <w:r>
        <w:rPr>
          <w:color w:val="000000" w:themeColor="text1"/>
        </w:rPr>
        <w:t>through the end of the comment period or some other</w:t>
      </w:r>
      <w:r w:rsidRPr="00EA6304">
        <w:rPr>
          <w:color w:val="000000" w:themeColor="text1"/>
        </w:rPr>
        <w:t xml:space="preserve"> set period of time via </w:t>
      </w:r>
      <w:r w:rsidRPr="00EA6304">
        <w:rPr>
          <w:color w:val="000000" w:themeColor="text1"/>
        </w:rPr>
        <w:t>Locklizard</w:t>
      </w:r>
      <w:r w:rsidRPr="00EA6304">
        <w:rPr>
          <w:color w:val="000000" w:themeColor="text1"/>
        </w:rPr>
        <w:t xml:space="preserve"> Safeguard Secure Viewer.</w:t>
      </w:r>
      <w:r>
        <w:rPr>
          <w:rStyle w:val="FootnoteReference"/>
          <w:color w:val="000000" w:themeColor="text1"/>
        </w:rPr>
        <w:footnoteReference w:id="29"/>
      </w:r>
      <w:r>
        <w:rPr>
          <w:color w:val="000000" w:themeColor="text1"/>
        </w:rPr>
        <w:t xml:space="preserve"> </w:t>
      </w:r>
      <w:r w:rsidRPr="00EA6304">
        <w:rPr>
          <w:color w:val="000000" w:themeColor="text1"/>
        </w:rPr>
        <w:t xml:space="preserve"> 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rsidR="00CF5306" w:rsidRPr="001C38BA" w:rsidP="00CF5306" w14:paraId="73A48680" w14:textId="77777777">
      <w:pPr>
        <w:pStyle w:val="Heading1"/>
        <w:spacing w:after="0" w:line="480" w:lineRule="auto"/>
        <w:rPr>
          <w:u w:val="none"/>
        </w:rPr>
      </w:pPr>
      <w:bookmarkStart w:id="39" w:name="_bmk12"/>
      <w:bookmarkStart w:id="40" w:name="_Toc173833732"/>
      <w:r w:rsidRPr="001C38BA">
        <w:rPr>
          <w:u w:val="none"/>
        </w:rPr>
        <w:t>I</w:t>
      </w:r>
      <w:bookmarkEnd w:id="39"/>
      <w:r w:rsidRPr="001C38BA">
        <w:rPr>
          <w:u w:val="none"/>
        </w:rPr>
        <w:t>nformation Collection Statement</w:t>
      </w:r>
      <w:bookmarkEnd w:id="40"/>
    </w:p>
    <w:p w:rsidR="005A30F4" w:rsidRPr="005C1356" w:rsidP="005A30F4" w14:paraId="09C8C627" w14:textId="77777777">
      <w:pPr>
        <w:pStyle w:val="FERCparanumber"/>
      </w:pPr>
      <w:r w:rsidRPr="005C1356">
        <w:t>The OMB regulations require that OMB approve certain reporting, record keeping, and public disclosure requirements (information collection) imposed by an agency.</w:t>
      </w:r>
      <w:r>
        <w:rPr>
          <w:rStyle w:val="FootnoteReference"/>
        </w:rPr>
        <w:footnoteReference w:id="30"/>
      </w:r>
      <w:r w:rsidRPr="005C1356">
        <w:t xml:space="preserve">  Therefore, we are submitting our 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rsidR="00CF5306" w:rsidP="00CF5306" w14:paraId="76667E23" w14:textId="77777777">
      <w:pPr>
        <w:pStyle w:val="FERCparanumber"/>
      </w:pPr>
      <w:r>
        <w:t xml:space="preserve">The Commission solicited comments on our need for this information, whether the information will have practical utility, the accuracy of the provided burden estimates, </w:t>
      </w:r>
      <w:r>
        <w:t>ways to enhance the quality, utility, and clari</w:t>
      </w:r>
      <w:r w:rsidR="00D453EB">
        <w:t>t</w:t>
      </w:r>
      <w:r>
        <w:t>y of the information to be collected, an</w:t>
      </w:r>
      <w:r w:rsidR="00D453EB">
        <w:t>d</w:t>
      </w:r>
      <w:r>
        <w:t xml:space="preserve"> any suggested methods for minimizing respondents’ burden, including the use of automated information techniques.</w:t>
      </w:r>
    </w:p>
    <w:p w:rsidR="005A30F4" w:rsidRPr="009D260F" w:rsidP="005A30F4" w14:paraId="5501F8DA" w14:textId="77777777">
      <w:pPr>
        <w:pStyle w:val="FERCparanumber"/>
      </w:pPr>
      <w:r w:rsidRPr="13A293D4">
        <w:rPr>
          <w:u w:val="single"/>
        </w:rPr>
        <w:t>Public Reporting Burden</w:t>
      </w:r>
      <w:r>
        <w:t>:  The burden estimates for this Final Rule are for       one-time implementation of the information collection requirements of this Final Rule (including tariff filing, documentation of the process and procedures, and information technology work).</w:t>
      </w:r>
    </w:p>
    <w:p w:rsidR="005A30F4" w:rsidRPr="009D260F" w:rsidP="005A30F4" w14:paraId="47B4B204" w14:textId="77777777">
      <w:pPr>
        <w:pStyle w:val="FERCparanumber"/>
      </w:pPr>
      <w:r w:rsidRPr="009D260F">
        <w:t>The collections of information related to this Final Rule fall under FERC–545 (Gas Pipeline Rates: Rate Change (Non-Formal))</w:t>
      </w:r>
      <w:r>
        <w:rPr>
          <w:rStyle w:val="FootnoteReference"/>
        </w:rPr>
        <w:footnoteReference w:id="31"/>
      </w:r>
      <w:r w:rsidRPr="009D260F">
        <w:t xml:space="preserve"> and FERC–549C (Standards for Business Practices of Interstate Natural Gas Pipelines).</w:t>
      </w:r>
      <w:r>
        <w:rPr>
          <w:rStyle w:val="FootnoteReference"/>
        </w:rPr>
        <w:footnoteReference w:id="32"/>
      </w:r>
      <w:r w:rsidRPr="009D260F">
        <w:t xml:space="preserve">  The following estimates of reporting burden are related only to this Final Rule and include the costs to pipelines for compliance with </w:t>
      </w:r>
      <w:r>
        <w:t>the Commission’s</w:t>
      </w:r>
      <w:r w:rsidRPr="009D260F">
        <w:t xml:space="preserve"> directives in this Final Rule.  The burden estimates are primarily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6E4E4F53" w14:textId="77777777" w:rsidTr="7E047387">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hemeFill="background1" w:themeFillShade="D9"/>
          </w:tcPr>
          <w:p w:rsidR="005A30F4" w:rsidRPr="005C1356" w:rsidP="00922FFB" w14:paraId="7A1E0FBA" w14:textId="77777777">
            <w:pPr>
              <w:keepNext/>
              <w:jc w:val="center"/>
              <w:rPr>
                <w:b/>
                <w:szCs w:val="20"/>
              </w:rPr>
            </w:pPr>
            <w:r w:rsidRPr="005C1356">
              <w:rPr>
                <w:b/>
                <w:szCs w:val="20"/>
              </w:rPr>
              <w:t>RM96-1-043 NOPR (Standards for Business Practices of Interstate Natural Gas Pipelines)</w:t>
            </w:r>
          </w:p>
        </w:tc>
      </w:tr>
      <w:tr w14:paraId="3EE91E34" w14:textId="77777777" w:rsidTr="7E047387">
        <w:tblPrEx>
          <w:tblW w:w="5591" w:type="pct"/>
          <w:tblInd w:w="-49" w:type="dxa"/>
          <w:tblLayout w:type="fixed"/>
          <w:tblLook w:val="01E0"/>
        </w:tblPrEx>
        <w:trPr>
          <w:cantSplit/>
          <w:tblHeader/>
        </w:trPr>
        <w:tc>
          <w:tcPr>
            <w:tcW w:w="585" w:type="pct"/>
            <w:shd w:val="clear" w:color="auto" w:fill="D9D9D9" w:themeFill="background1" w:themeFillShade="D9"/>
          </w:tcPr>
          <w:p w:rsidR="005A30F4" w:rsidRPr="005C1356" w:rsidP="00922FFB" w14:paraId="4D460DA0" w14:textId="77777777">
            <w:pPr>
              <w:jc w:val="center"/>
              <w:rPr>
                <w:rFonts w:eastAsia="Calibri"/>
                <w:b/>
                <w:szCs w:val="20"/>
              </w:rPr>
            </w:pPr>
          </w:p>
        </w:tc>
        <w:tc>
          <w:tcPr>
            <w:tcW w:w="673" w:type="pct"/>
            <w:shd w:val="clear" w:color="auto" w:fill="D9D9D9" w:themeFill="background1" w:themeFillShade="D9"/>
            <w:vAlign w:val="bottom"/>
          </w:tcPr>
          <w:p w:rsidR="005A30F4" w:rsidRPr="005C1356" w:rsidP="00922FFB" w14:paraId="13859150" w14:textId="77777777">
            <w:pPr>
              <w:jc w:val="center"/>
              <w:rPr>
                <w:rFonts w:eastAsia="Calibri"/>
                <w:b/>
                <w:szCs w:val="20"/>
              </w:rPr>
            </w:pPr>
            <w:r w:rsidRPr="406ADEC0">
              <w:rPr>
                <w:rFonts w:eastAsia="Calibri"/>
                <w:b/>
                <w:bCs/>
              </w:rPr>
              <w:t>Number of Respondents</w:t>
            </w:r>
            <w:r>
              <w:rPr>
                <w:rStyle w:val="FootnoteReference"/>
              </w:rPr>
              <w:footnoteReference w:id="33"/>
            </w:r>
          </w:p>
          <w:p w:rsidR="005A30F4" w:rsidRPr="005C1356" w:rsidP="00922FFB" w14:paraId="062469E8" w14:textId="77777777">
            <w:pPr>
              <w:jc w:val="center"/>
              <w:rPr>
                <w:rFonts w:eastAsia="Calibri"/>
                <w:b/>
                <w:szCs w:val="20"/>
              </w:rPr>
            </w:pPr>
            <w:r w:rsidRPr="005C1356">
              <w:rPr>
                <w:rFonts w:eastAsia="Calibri"/>
                <w:b/>
                <w:szCs w:val="20"/>
              </w:rPr>
              <w:t>(1)</w:t>
            </w:r>
          </w:p>
        </w:tc>
        <w:tc>
          <w:tcPr>
            <w:tcW w:w="715" w:type="pct"/>
            <w:shd w:val="clear" w:color="auto" w:fill="D9D9D9" w:themeFill="background1" w:themeFillShade="D9"/>
            <w:vAlign w:val="bottom"/>
          </w:tcPr>
          <w:p w:rsidR="005A30F4" w:rsidRPr="005C1356" w:rsidP="00922FFB" w14:paraId="3DFF9377" w14:textId="77777777">
            <w:pPr>
              <w:jc w:val="center"/>
              <w:rPr>
                <w:rFonts w:eastAsia="Calibri"/>
                <w:b/>
                <w:szCs w:val="20"/>
              </w:rPr>
            </w:pPr>
            <w:r w:rsidRPr="005C1356">
              <w:rPr>
                <w:rFonts w:eastAsia="Calibri"/>
                <w:b/>
                <w:szCs w:val="20"/>
              </w:rPr>
              <w:t>Annual Number of Responses per Respondent</w:t>
            </w:r>
          </w:p>
          <w:p w:rsidR="005A30F4" w:rsidRPr="005C1356" w:rsidP="00922FFB" w14:paraId="10C92030" w14:textId="77777777">
            <w:pPr>
              <w:jc w:val="center"/>
              <w:rPr>
                <w:rFonts w:eastAsia="Calibri"/>
                <w:b/>
                <w:szCs w:val="20"/>
              </w:rPr>
            </w:pPr>
            <w:r w:rsidRPr="005C1356">
              <w:rPr>
                <w:rFonts w:eastAsia="Calibri"/>
                <w:b/>
                <w:szCs w:val="20"/>
              </w:rPr>
              <w:t>(2)</w:t>
            </w:r>
          </w:p>
        </w:tc>
        <w:tc>
          <w:tcPr>
            <w:tcW w:w="717" w:type="pct"/>
            <w:shd w:val="clear" w:color="auto" w:fill="D9D9D9" w:themeFill="background1" w:themeFillShade="D9"/>
            <w:vAlign w:val="bottom"/>
          </w:tcPr>
          <w:p w:rsidR="005A30F4" w:rsidRPr="005C1356" w:rsidP="00922FFB" w14:paraId="0EE490C1" w14:textId="77777777">
            <w:pPr>
              <w:jc w:val="center"/>
              <w:rPr>
                <w:rFonts w:eastAsia="Calibri"/>
                <w:b/>
                <w:szCs w:val="20"/>
              </w:rPr>
            </w:pPr>
            <w:r w:rsidRPr="005C1356">
              <w:rPr>
                <w:rFonts w:eastAsia="Calibri"/>
                <w:b/>
                <w:szCs w:val="20"/>
              </w:rPr>
              <w:t>Total Number of Responses (</w:t>
            </w:r>
            <w:r w:rsidRPr="005C1356">
              <w:rPr>
                <w:rFonts w:eastAsia="Calibri"/>
                <w:b/>
                <w:szCs w:val="20"/>
              </w:rPr>
              <w:t>1)*</w:t>
            </w:r>
            <w:r w:rsidRPr="005C1356">
              <w:rPr>
                <w:rFonts w:eastAsia="Calibri"/>
                <w:b/>
                <w:szCs w:val="20"/>
              </w:rPr>
              <w:t>(2)=</w:t>
            </w:r>
          </w:p>
          <w:p w:rsidR="005A30F4" w:rsidRPr="005C1356" w:rsidP="00922FFB" w14:paraId="7192023E" w14:textId="77777777">
            <w:pPr>
              <w:jc w:val="center"/>
              <w:rPr>
                <w:rFonts w:eastAsia="Calibri"/>
                <w:b/>
                <w:szCs w:val="20"/>
              </w:rPr>
            </w:pPr>
            <w:r w:rsidRPr="005C1356">
              <w:rPr>
                <w:rFonts w:eastAsia="Calibri"/>
                <w:b/>
                <w:szCs w:val="20"/>
              </w:rPr>
              <w:t>(3)</w:t>
            </w:r>
          </w:p>
        </w:tc>
        <w:tc>
          <w:tcPr>
            <w:tcW w:w="587" w:type="pct"/>
            <w:shd w:val="clear" w:color="auto" w:fill="D9D9D9" w:themeFill="background1" w:themeFillShade="D9"/>
            <w:vAlign w:val="bottom"/>
          </w:tcPr>
          <w:p w:rsidR="005A30F4" w:rsidRPr="005C1356" w:rsidP="00922FFB" w14:paraId="096D0554" w14:textId="77777777">
            <w:pPr>
              <w:jc w:val="center"/>
              <w:rPr>
                <w:rFonts w:eastAsia="Calibri"/>
                <w:b/>
                <w:szCs w:val="20"/>
              </w:rPr>
            </w:pPr>
            <w:r w:rsidRPr="005C1356">
              <w:rPr>
                <w:rFonts w:eastAsia="Calibri"/>
                <w:b/>
                <w:szCs w:val="20"/>
              </w:rPr>
              <w:t>Average Burden Hr. Per Response</w:t>
            </w:r>
          </w:p>
          <w:p w:rsidR="005A30F4" w:rsidRPr="005C1356" w:rsidP="00922FFB" w14:paraId="36722449" w14:textId="77777777">
            <w:pPr>
              <w:jc w:val="center"/>
              <w:rPr>
                <w:rFonts w:eastAsia="Calibri"/>
                <w:b/>
                <w:szCs w:val="20"/>
              </w:rPr>
            </w:pPr>
            <w:r w:rsidRPr="005C1356">
              <w:rPr>
                <w:rFonts w:eastAsia="Calibri"/>
                <w:b/>
                <w:szCs w:val="20"/>
              </w:rPr>
              <w:t>(4)</w:t>
            </w:r>
          </w:p>
        </w:tc>
        <w:tc>
          <w:tcPr>
            <w:tcW w:w="922" w:type="pct"/>
            <w:shd w:val="clear" w:color="auto" w:fill="D9D9D9" w:themeFill="background1" w:themeFillShade="D9"/>
            <w:vAlign w:val="bottom"/>
          </w:tcPr>
          <w:p w:rsidR="005A30F4" w:rsidRPr="005C1356" w:rsidP="00922FFB" w14:paraId="53E6C3E8" w14:textId="77777777">
            <w:pPr>
              <w:jc w:val="center"/>
              <w:rPr>
                <w:rFonts w:eastAsia="Calibri"/>
                <w:b/>
                <w:szCs w:val="20"/>
              </w:rPr>
            </w:pPr>
            <w:r w:rsidRPr="406ADEC0">
              <w:rPr>
                <w:rFonts w:eastAsia="Calibri"/>
                <w:b/>
                <w:bCs/>
              </w:rPr>
              <w:t>Total Annual Burden Hours &amp; Total Annual Cost</w:t>
            </w:r>
            <w:r>
              <w:rPr>
                <w:rStyle w:val="FootnoteReference"/>
              </w:rPr>
              <w:footnoteReference w:id="34"/>
            </w:r>
          </w:p>
          <w:p w:rsidR="005A30F4" w:rsidRPr="005C1356" w:rsidP="00922FFB" w14:paraId="56F68EBF" w14:textId="77777777">
            <w:pPr>
              <w:jc w:val="center"/>
              <w:rPr>
                <w:rFonts w:eastAsia="Calibri"/>
                <w:b/>
                <w:szCs w:val="20"/>
              </w:rPr>
            </w:pPr>
            <w:r w:rsidRPr="005C1356">
              <w:rPr>
                <w:rFonts w:eastAsia="Calibri"/>
                <w:b/>
                <w:szCs w:val="20"/>
              </w:rPr>
              <w:t>(</w:t>
            </w:r>
            <w:r w:rsidRPr="005C1356">
              <w:rPr>
                <w:rFonts w:eastAsia="Calibri"/>
                <w:b/>
                <w:szCs w:val="20"/>
              </w:rPr>
              <w:t>3)*</w:t>
            </w:r>
            <w:r w:rsidRPr="005C1356">
              <w:rPr>
                <w:rFonts w:eastAsia="Calibri"/>
                <w:b/>
                <w:szCs w:val="20"/>
              </w:rPr>
              <w:t>(4)=(5)</w:t>
            </w:r>
          </w:p>
        </w:tc>
        <w:tc>
          <w:tcPr>
            <w:tcW w:w="801" w:type="pct"/>
            <w:shd w:val="clear" w:color="auto" w:fill="D9D9D9" w:themeFill="background1" w:themeFillShade="D9"/>
            <w:vAlign w:val="bottom"/>
          </w:tcPr>
          <w:p w:rsidR="005A30F4" w:rsidRPr="005C1356" w:rsidP="00922FFB" w14:paraId="4BCF0BB4" w14:textId="77777777">
            <w:pPr>
              <w:jc w:val="center"/>
              <w:rPr>
                <w:rFonts w:eastAsia="Calibri"/>
                <w:b/>
                <w:szCs w:val="20"/>
              </w:rPr>
            </w:pPr>
            <w:r w:rsidRPr="005C1356">
              <w:rPr>
                <w:rFonts w:eastAsia="Calibri"/>
                <w:b/>
                <w:szCs w:val="20"/>
              </w:rPr>
              <w:t xml:space="preserve">Annual Costs Per Respondent </w:t>
            </w:r>
          </w:p>
          <w:p w:rsidR="005A30F4" w:rsidRPr="005C1356" w:rsidP="00922FFB" w14:paraId="6100DBD2" w14:textId="77777777">
            <w:pPr>
              <w:jc w:val="center"/>
              <w:rPr>
                <w:rFonts w:eastAsia="Calibri"/>
                <w:b/>
                <w:szCs w:val="20"/>
              </w:rPr>
            </w:pPr>
            <w:r w:rsidRPr="005C1356">
              <w:rPr>
                <w:rFonts w:eastAsia="Calibri"/>
                <w:b/>
                <w:szCs w:val="20"/>
              </w:rPr>
              <w:t>($)</w:t>
            </w:r>
          </w:p>
          <w:p w:rsidR="005A30F4" w:rsidRPr="005C1356" w:rsidP="00922FFB" w14:paraId="78FDE28C" w14:textId="77777777">
            <w:pPr>
              <w:jc w:val="center"/>
              <w:rPr>
                <w:rFonts w:eastAsia="Calibri"/>
                <w:b/>
                <w:szCs w:val="20"/>
              </w:rPr>
            </w:pPr>
            <w:r w:rsidRPr="005C1356">
              <w:rPr>
                <w:rFonts w:eastAsia="Calibri"/>
                <w:b/>
                <w:szCs w:val="20"/>
              </w:rPr>
              <w:t>(5)/ (1) = (6)</w:t>
            </w:r>
          </w:p>
        </w:tc>
      </w:tr>
      <w:tr w14:paraId="2D0F55A0" w14:textId="77777777" w:rsidTr="7E047387">
        <w:tblPrEx>
          <w:tblW w:w="5591" w:type="pct"/>
          <w:tblInd w:w="-49" w:type="dxa"/>
          <w:tblLayout w:type="fixed"/>
          <w:tblLook w:val="01E0"/>
        </w:tblPrEx>
        <w:trPr>
          <w:cantSplit/>
        </w:trPr>
        <w:tc>
          <w:tcPr>
            <w:tcW w:w="585" w:type="pct"/>
          </w:tcPr>
          <w:p w:rsidR="005A30F4" w:rsidRPr="005C1356" w:rsidP="00922FFB" w14:paraId="103888C9" w14:textId="77777777">
            <w:pPr>
              <w:rPr>
                <w:rFonts w:eastAsia="Calibri"/>
                <w:szCs w:val="20"/>
              </w:rPr>
            </w:pPr>
            <w:r w:rsidRPr="005C1356">
              <w:rPr>
                <w:rFonts w:eastAsia="Calibri"/>
                <w:szCs w:val="20"/>
              </w:rPr>
              <w:t>FERC-545 (one-time)</w:t>
            </w:r>
          </w:p>
        </w:tc>
        <w:tc>
          <w:tcPr>
            <w:tcW w:w="673" w:type="pct"/>
          </w:tcPr>
          <w:p w:rsidR="005A30F4" w:rsidRPr="005C1356" w:rsidP="00922FFB" w14:paraId="63E43CF7" w14:textId="77777777">
            <w:pPr>
              <w:jc w:val="right"/>
              <w:rPr>
                <w:rFonts w:eastAsia="Calibri"/>
                <w:szCs w:val="20"/>
              </w:rPr>
            </w:pPr>
            <w:r w:rsidRPr="005C1356">
              <w:rPr>
                <w:rFonts w:eastAsia="Calibri"/>
                <w:szCs w:val="20"/>
              </w:rPr>
              <w:t>193</w:t>
            </w:r>
          </w:p>
        </w:tc>
        <w:tc>
          <w:tcPr>
            <w:tcW w:w="715" w:type="pct"/>
          </w:tcPr>
          <w:p w:rsidR="005A30F4" w:rsidRPr="005C1356" w:rsidP="00922FFB" w14:paraId="4603C78A" w14:textId="77777777">
            <w:pPr>
              <w:jc w:val="right"/>
              <w:rPr>
                <w:rFonts w:eastAsia="Calibri"/>
                <w:szCs w:val="20"/>
              </w:rPr>
            </w:pPr>
            <w:r w:rsidRPr="005C1356">
              <w:rPr>
                <w:rFonts w:eastAsia="Calibri"/>
                <w:szCs w:val="20"/>
              </w:rPr>
              <w:t>1</w:t>
            </w:r>
          </w:p>
        </w:tc>
        <w:tc>
          <w:tcPr>
            <w:tcW w:w="717" w:type="pct"/>
          </w:tcPr>
          <w:p w:rsidR="005A30F4" w:rsidRPr="005C1356" w:rsidP="00922FFB" w14:paraId="1A0AE3FC" w14:textId="77777777">
            <w:pPr>
              <w:jc w:val="right"/>
              <w:rPr>
                <w:rFonts w:eastAsia="Calibri"/>
                <w:szCs w:val="20"/>
              </w:rPr>
            </w:pPr>
            <w:r w:rsidRPr="005C1356">
              <w:rPr>
                <w:rFonts w:eastAsia="Calibri"/>
                <w:szCs w:val="20"/>
              </w:rPr>
              <w:t>193</w:t>
            </w:r>
          </w:p>
        </w:tc>
        <w:tc>
          <w:tcPr>
            <w:tcW w:w="587" w:type="pct"/>
          </w:tcPr>
          <w:p w:rsidR="005A30F4" w:rsidRPr="005C1356" w:rsidP="00922FFB" w14:paraId="2ED8EEC6" w14:textId="77777777">
            <w:pPr>
              <w:jc w:val="right"/>
              <w:rPr>
                <w:rFonts w:eastAsia="Calibri"/>
                <w:szCs w:val="20"/>
              </w:rPr>
            </w:pPr>
            <w:r w:rsidRPr="005C1356">
              <w:rPr>
                <w:rFonts w:eastAsia="Calibri"/>
                <w:szCs w:val="20"/>
              </w:rPr>
              <w:t xml:space="preserve">10 </w:t>
            </w:r>
            <w:r w:rsidRPr="005C1356">
              <w:rPr>
                <w:rFonts w:eastAsia="Calibri"/>
                <w:szCs w:val="20"/>
              </w:rPr>
              <w:t>hrs.;</w:t>
            </w:r>
          </w:p>
          <w:p w:rsidR="005A30F4" w:rsidRPr="005C1356" w:rsidP="00922FFB" w14:paraId="534CEC8F" w14:textId="77777777">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w:t>
            </w:r>
          </w:p>
        </w:tc>
        <w:tc>
          <w:tcPr>
            <w:tcW w:w="922" w:type="pct"/>
          </w:tcPr>
          <w:p w:rsidR="005A30F4" w:rsidRPr="005C1356" w:rsidP="00922FFB" w14:paraId="491C007E" w14:textId="77777777">
            <w:pPr>
              <w:jc w:val="right"/>
              <w:rPr>
                <w:rFonts w:eastAsia="Calibri"/>
                <w:szCs w:val="20"/>
              </w:rPr>
            </w:pPr>
            <w:r w:rsidRPr="005C1356">
              <w:rPr>
                <w:rFonts w:eastAsia="Calibri"/>
                <w:szCs w:val="20"/>
              </w:rPr>
              <w:t xml:space="preserve">1,930 </w:t>
            </w:r>
            <w:r w:rsidRPr="005C1356">
              <w:rPr>
                <w:rFonts w:eastAsia="Calibri"/>
                <w:szCs w:val="20"/>
              </w:rPr>
              <w:t>hrs.;</w:t>
            </w:r>
          </w:p>
          <w:p w:rsidR="005A30F4" w:rsidRPr="005C1356" w:rsidP="00922FFB" w14:paraId="524BB3BF" w14:textId="77777777">
            <w:pPr>
              <w:jc w:val="right"/>
              <w:rPr>
                <w:rFonts w:eastAsia="Calibri"/>
                <w:szCs w:val="20"/>
              </w:rPr>
            </w:pPr>
            <w:r w:rsidRPr="005C1356">
              <w:rPr>
                <w:rFonts w:eastAsia="Calibri"/>
                <w:szCs w:val="20"/>
              </w:rPr>
              <w:t>$</w:t>
            </w:r>
            <w:r w:rsidR="009D76DA">
              <w:rPr>
                <w:rFonts w:eastAsia="Calibri"/>
                <w:szCs w:val="20"/>
              </w:rPr>
              <w:t>214,230</w:t>
            </w:r>
          </w:p>
        </w:tc>
        <w:tc>
          <w:tcPr>
            <w:tcW w:w="801" w:type="pct"/>
          </w:tcPr>
          <w:p w:rsidR="005A30F4" w:rsidRPr="005C1356" w:rsidP="00922FFB" w14:paraId="3D3B7549" w14:textId="77777777">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w:t>
            </w:r>
          </w:p>
        </w:tc>
      </w:tr>
      <w:tr w14:paraId="598C2969" w14:textId="77777777" w:rsidTr="7E047387">
        <w:tblPrEx>
          <w:tblW w:w="5591" w:type="pct"/>
          <w:tblInd w:w="-49" w:type="dxa"/>
          <w:tblLayout w:type="fixed"/>
          <w:tblLook w:val="01E0"/>
        </w:tblPrEx>
        <w:trPr>
          <w:cantSplit/>
        </w:trPr>
        <w:tc>
          <w:tcPr>
            <w:tcW w:w="585" w:type="pct"/>
          </w:tcPr>
          <w:p w:rsidR="005A30F4" w:rsidRPr="005C1356" w:rsidP="00922FFB" w14:paraId="4054A860" w14:textId="77777777">
            <w:pPr>
              <w:rPr>
                <w:rFonts w:eastAsia="Calibri"/>
                <w:szCs w:val="20"/>
              </w:rPr>
            </w:pPr>
            <w:r w:rsidRPr="005C1356">
              <w:rPr>
                <w:rFonts w:eastAsia="Calibri"/>
                <w:szCs w:val="20"/>
              </w:rPr>
              <w:t>FERC-549C (one-time)</w:t>
            </w:r>
          </w:p>
        </w:tc>
        <w:tc>
          <w:tcPr>
            <w:tcW w:w="673" w:type="pct"/>
          </w:tcPr>
          <w:p w:rsidR="005A30F4" w:rsidRPr="005C1356" w:rsidP="00922FFB" w14:paraId="0ACC4F22" w14:textId="77777777">
            <w:pPr>
              <w:jc w:val="right"/>
              <w:rPr>
                <w:rFonts w:eastAsia="Calibri"/>
                <w:szCs w:val="20"/>
              </w:rPr>
            </w:pPr>
            <w:r w:rsidRPr="005C1356">
              <w:rPr>
                <w:rFonts w:eastAsia="Calibri"/>
                <w:szCs w:val="20"/>
              </w:rPr>
              <w:t>193</w:t>
            </w:r>
          </w:p>
        </w:tc>
        <w:tc>
          <w:tcPr>
            <w:tcW w:w="715" w:type="pct"/>
          </w:tcPr>
          <w:p w:rsidR="005A30F4" w:rsidRPr="005C1356" w:rsidP="00922FFB" w14:paraId="5B04802D" w14:textId="77777777">
            <w:pPr>
              <w:jc w:val="right"/>
              <w:rPr>
                <w:rFonts w:eastAsia="Calibri"/>
                <w:szCs w:val="20"/>
              </w:rPr>
            </w:pPr>
            <w:r w:rsidRPr="005C1356">
              <w:rPr>
                <w:rFonts w:eastAsia="Calibri"/>
                <w:szCs w:val="20"/>
              </w:rPr>
              <w:t>1</w:t>
            </w:r>
          </w:p>
        </w:tc>
        <w:tc>
          <w:tcPr>
            <w:tcW w:w="717" w:type="pct"/>
          </w:tcPr>
          <w:p w:rsidR="005A30F4" w:rsidRPr="005C1356" w:rsidP="00922FFB" w14:paraId="56B61A5C" w14:textId="77777777">
            <w:pPr>
              <w:jc w:val="right"/>
              <w:rPr>
                <w:rFonts w:eastAsia="Calibri"/>
                <w:szCs w:val="20"/>
              </w:rPr>
            </w:pPr>
            <w:r w:rsidRPr="005C1356">
              <w:rPr>
                <w:rFonts w:eastAsia="Calibri"/>
                <w:szCs w:val="20"/>
              </w:rPr>
              <w:t>193</w:t>
            </w:r>
          </w:p>
        </w:tc>
        <w:tc>
          <w:tcPr>
            <w:tcW w:w="587" w:type="pct"/>
          </w:tcPr>
          <w:p w:rsidR="005A30F4" w:rsidRPr="005C1356" w:rsidP="00922FFB" w14:paraId="231E175C" w14:textId="77777777">
            <w:pPr>
              <w:jc w:val="right"/>
              <w:rPr>
                <w:rFonts w:eastAsia="Calibri"/>
                <w:szCs w:val="20"/>
              </w:rPr>
            </w:pPr>
            <w:r w:rsidRPr="005C1356">
              <w:rPr>
                <w:rFonts w:eastAsia="Calibri"/>
                <w:szCs w:val="20"/>
              </w:rPr>
              <w:t xml:space="preserve">100 </w:t>
            </w:r>
            <w:r w:rsidRPr="005C1356">
              <w:rPr>
                <w:rFonts w:eastAsia="Calibri"/>
                <w:szCs w:val="20"/>
              </w:rPr>
              <w:t>hrs.;</w:t>
            </w:r>
          </w:p>
          <w:p w:rsidR="005A30F4" w:rsidRPr="005C1356" w:rsidP="00922FFB" w14:paraId="5472F964" w14:textId="77777777">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,100</w:t>
            </w:r>
          </w:p>
        </w:tc>
        <w:tc>
          <w:tcPr>
            <w:tcW w:w="922" w:type="pct"/>
          </w:tcPr>
          <w:p w:rsidR="005A30F4" w:rsidRPr="005C1356" w:rsidP="00922FFB" w14:paraId="59D64A6B" w14:textId="77777777">
            <w:pPr>
              <w:jc w:val="right"/>
              <w:rPr>
                <w:rFonts w:eastAsia="Calibri"/>
                <w:szCs w:val="20"/>
              </w:rPr>
            </w:pPr>
            <w:r w:rsidRPr="005C1356">
              <w:rPr>
                <w:rFonts w:eastAsia="Calibri"/>
                <w:szCs w:val="20"/>
              </w:rPr>
              <w:t xml:space="preserve">19,300 </w:t>
            </w:r>
            <w:r w:rsidRPr="005C1356">
              <w:rPr>
                <w:rFonts w:eastAsia="Calibri"/>
                <w:szCs w:val="20"/>
              </w:rPr>
              <w:t>hrs.;</w:t>
            </w:r>
          </w:p>
          <w:p w:rsidR="005A30F4" w:rsidRPr="005C1356" w:rsidP="00922FFB" w14:paraId="0CF1C397" w14:textId="77777777">
            <w:pPr>
              <w:jc w:val="right"/>
              <w:rPr>
                <w:rFonts w:eastAsia="Calibri"/>
                <w:szCs w:val="20"/>
              </w:rPr>
            </w:pPr>
            <w:r w:rsidRPr="005C1356">
              <w:rPr>
                <w:rFonts w:eastAsia="Calibri"/>
                <w:szCs w:val="20"/>
              </w:rPr>
              <w:t>$</w:t>
            </w:r>
            <w:r w:rsidR="00407351">
              <w:rPr>
                <w:rFonts w:eastAsia="Calibri"/>
                <w:szCs w:val="20"/>
              </w:rPr>
              <w:t>2,142</w:t>
            </w:r>
            <w:r w:rsidRPr="005C1356">
              <w:rPr>
                <w:rFonts w:eastAsia="Calibri"/>
                <w:szCs w:val="20"/>
              </w:rPr>
              <w:t>,300</w:t>
            </w:r>
          </w:p>
        </w:tc>
        <w:tc>
          <w:tcPr>
            <w:tcW w:w="801" w:type="pct"/>
          </w:tcPr>
          <w:p w:rsidR="005A30F4" w:rsidRPr="005C1356" w:rsidP="00922FFB" w14:paraId="31E92DBB" w14:textId="77777777">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,100</w:t>
            </w:r>
          </w:p>
        </w:tc>
      </w:tr>
      <w:tr w14:paraId="43938465" w14:textId="77777777" w:rsidTr="7E047387">
        <w:tblPrEx>
          <w:tblW w:w="5591" w:type="pct"/>
          <w:tblInd w:w="-49" w:type="dxa"/>
          <w:tblLayout w:type="fixed"/>
          <w:tblLook w:val="01E0"/>
        </w:tblPrEx>
        <w:trPr>
          <w:cantSplit/>
        </w:trPr>
        <w:tc>
          <w:tcPr>
            <w:tcW w:w="585" w:type="pct"/>
          </w:tcPr>
          <w:p w:rsidR="005A30F4" w:rsidRPr="005C1356" w:rsidP="00922FFB" w14:paraId="711D901C" w14:textId="77777777">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rsidR="005A30F4" w:rsidRPr="005C1356" w:rsidP="00922FFB" w14:paraId="162E82C0" w14:textId="77777777">
            <w:pPr>
              <w:jc w:val="right"/>
              <w:rPr>
                <w:rFonts w:eastAsia="Calibri"/>
                <w:szCs w:val="20"/>
              </w:rPr>
            </w:pPr>
          </w:p>
        </w:tc>
        <w:tc>
          <w:tcPr>
            <w:tcW w:w="717" w:type="pct"/>
          </w:tcPr>
          <w:p w:rsidR="005A30F4" w:rsidRPr="005C1356" w:rsidP="00922FFB" w14:paraId="115ACDE7" w14:textId="77777777">
            <w:pPr>
              <w:jc w:val="right"/>
              <w:rPr>
                <w:rFonts w:eastAsia="Calibri"/>
                <w:szCs w:val="20"/>
              </w:rPr>
            </w:pPr>
            <w:r w:rsidRPr="005C1356">
              <w:rPr>
                <w:rFonts w:eastAsia="Calibri"/>
                <w:szCs w:val="20"/>
              </w:rPr>
              <w:t>386</w:t>
            </w:r>
          </w:p>
        </w:tc>
        <w:tc>
          <w:tcPr>
            <w:tcW w:w="587" w:type="pct"/>
            <w:shd w:val="clear" w:color="auto" w:fill="D9D9D9" w:themeFill="background1" w:themeFillShade="D9"/>
          </w:tcPr>
          <w:p w:rsidR="005A30F4" w:rsidRPr="005C1356" w:rsidP="00922FFB" w14:paraId="6399DBB3" w14:textId="77777777">
            <w:pPr>
              <w:jc w:val="right"/>
              <w:rPr>
                <w:rFonts w:eastAsia="Calibri"/>
                <w:szCs w:val="20"/>
              </w:rPr>
            </w:pPr>
          </w:p>
        </w:tc>
        <w:tc>
          <w:tcPr>
            <w:tcW w:w="922" w:type="pct"/>
          </w:tcPr>
          <w:p w:rsidR="005A30F4" w:rsidRPr="005C1356" w:rsidP="00922FFB" w14:paraId="208E587E" w14:textId="77777777">
            <w:pPr>
              <w:jc w:val="right"/>
              <w:rPr>
                <w:rFonts w:eastAsia="Calibri"/>
                <w:szCs w:val="20"/>
              </w:rPr>
            </w:pPr>
            <w:r w:rsidRPr="005C1356">
              <w:rPr>
                <w:rFonts w:eastAsia="Calibri"/>
                <w:szCs w:val="20"/>
              </w:rPr>
              <w:t xml:space="preserve">21,230 </w:t>
            </w:r>
            <w:r w:rsidRPr="005C1356">
              <w:rPr>
                <w:rFonts w:eastAsia="Calibri"/>
                <w:szCs w:val="20"/>
              </w:rPr>
              <w:t>hrs.;</w:t>
            </w:r>
          </w:p>
          <w:p w:rsidR="005A30F4" w:rsidRPr="005C1356" w:rsidP="00922FFB" w14:paraId="0FE593EC" w14:textId="77777777">
            <w:pPr>
              <w:jc w:val="right"/>
              <w:rPr>
                <w:rFonts w:eastAsia="Calibri"/>
                <w:szCs w:val="20"/>
              </w:rPr>
            </w:pPr>
            <w:r w:rsidRPr="005C1356">
              <w:rPr>
                <w:rFonts w:eastAsia="Calibri"/>
                <w:szCs w:val="20"/>
              </w:rPr>
              <w:t>$</w:t>
            </w:r>
            <w:bookmarkStart w:id="41" w:name="_Hlk174539252"/>
            <w:bookmarkStart w:id="42" w:name="_Hlk54788655"/>
            <w:r w:rsidRPr="009A52B4" w:rsidR="009A52B4">
              <w:rPr>
                <w:rFonts w:eastAsia="Calibri"/>
                <w:szCs w:val="20"/>
              </w:rPr>
              <w:t>2,</w:t>
            </w:r>
            <w:r w:rsidR="00FF28C7">
              <w:rPr>
                <w:rFonts w:eastAsia="Calibri"/>
                <w:szCs w:val="20"/>
              </w:rPr>
              <w:t>356</w:t>
            </w:r>
            <w:r w:rsidR="00241808">
              <w:rPr>
                <w:rFonts w:eastAsia="Calibri"/>
                <w:szCs w:val="20"/>
              </w:rPr>
              <w:t>,</w:t>
            </w:r>
            <w:r w:rsidR="00FF28C7">
              <w:rPr>
                <w:rFonts w:eastAsia="Calibri"/>
                <w:szCs w:val="20"/>
              </w:rPr>
              <w:t>5</w:t>
            </w:r>
            <w:r w:rsidRPr="009A52B4" w:rsidR="009A52B4">
              <w:rPr>
                <w:rFonts w:eastAsia="Calibri"/>
                <w:szCs w:val="20"/>
              </w:rPr>
              <w:t>30</w:t>
            </w:r>
            <w:bookmarkEnd w:id="41"/>
            <w:bookmarkEnd w:id="42"/>
          </w:p>
        </w:tc>
        <w:tc>
          <w:tcPr>
            <w:tcW w:w="801" w:type="pct"/>
            <w:shd w:val="clear" w:color="auto" w:fill="D9D9D9" w:themeFill="background1" w:themeFillShade="D9"/>
          </w:tcPr>
          <w:p w:rsidR="005A30F4" w:rsidRPr="005C1356" w:rsidP="00922FFB" w14:paraId="75687669" w14:textId="77777777">
            <w:pPr>
              <w:jc w:val="right"/>
              <w:rPr>
                <w:rFonts w:eastAsia="Calibri"/>
                <w:szCs w:val="20"/>
              </w:rPr>
            </w:pPr>
          </w:p>
        </w:tc>
      </w:tr>
    </w:tbl>
    <w:p w:rsidR="005A30F4" w:rsidP="005A30F4" w14:paraId="0D4AE00D" w14:textId="77777777">
      <w:pPr>
        <w:pStyle w:val="FERCparanumber"/>
        <w:numPr>
          <w:ilvl w:val="0"/>
          <w:numId w:val="0"/>
        </w:numPr>
      </w:pPr>
    </w:p>
    <w:p w:rsidR="005A30F4" w:rsidRPr="005C1356" w:rsidP="004D473C" w14:paraId="0C81FF89" w14:textId="77777777">
      <w:pPr>
        <w:pStyle w:val="FERCparanumber"/>
        <w:numPr>
          <w:ilvl w:val="0"/>
          <w:numId w:val="0"/>
        </w:numPr>
        <w:ind w:right="-180"/>
      </w:pPr>
      <w:r w:rsidRPr="005C1356">
        <w:t xml:space="preserve">The one-time burden (for both the FERC-545 and FERC-549C) </w:t>
      </w:r>
      <w:r>
        <w:t>would</w:t>
      </w:r>
      <w:r w:rsidRPr="005C1356">
        <w:t xml:space="preserve"> take place in Year</w:t>
      </w:r>
      <w:r w:rsidR="001B0322">
        <w:t xml:space="preserve"> </w:t>
      </w:r>
      <w:r w:rsidRPr="005C1356">
        <w:t>1</w:t>
      </w:r>
      <w:r>
        <w:t xml:space="preserve"> </w:t>
      </w:r>
      <w:r w:rsidR="002C5BE5">
        <w:t xml:space="preserve">and will be averaged over </w:t>
      </w:r>
      <w:r w:rsidR="00DD4F86">
        <w:t>3</w:t>
      </w:r>
      <w:r w:rsidR="002C5BE5">
        <w:t xml:space="preserve"> years</w:t>
      </w:r>
      <w:r w:rsidR="00EF4273">
        <w:t xml:space="preserve"> </w:t>
      </w:r>
      <w:r>
        <w:t>as follows:</w:t>
      </w:r>
      <w:r w:rsidRPr="005C1356">
        <w:t xml:space="preserve"> </w:t>
      </w:r>
    </w:p>
    <w:p w:rsidR="005A30F4" w:rsidRPr="005C1356" w:rsidP="005A30F4" w14:paraId="7234CFB5" w14:textId="77777777">
      <w:pPr>
        <w:pStyle w:val="FERCparanumber"/>
        <w:numPr>
          <w:ilvl w:val="0"/>
          <w:numId w:val="0"/>
        </w:numPr>
      </w:pPr>
      <w:r w:rsidRPr="005C1356">
        <w:t xml:space="preserve">FERC-545: </w:t>
      </w:r>
      <w:r w:rsidR="005220B5">
        <w:t xml:space="preserve">1,930 </w:t>
      </w:r>
      <w:r w:rsidRPr="00FB3975" w:rsidR="00284A87">
        <w:rPr>
          <w:sz w:val="24"/>
        </w:rPr>
        <w:t>÷</w:t>
      </w:r>
      <w:r w:rsidR="00284A87">
        <w:rPr>
          <w:sz w:val="24"/>
        </w:rPr>
        <w:t xml:space="preserve"> </w:t>
      </w:r>
      <w:r w:rsidR="0039202B">
        <w:rPr>
          <w:sz w:val="24"/>
        </w:rPr>
        <w:t>3</w:t>
      </w:r>
      <w:r w:rsidR="00EF4273">
        <w:rPr>
          <w:sz w:val="24"/>
        </w:rPr>
        <w:t xml:space="preserve"> = </w:t>
      </w:r>
      <w:r w:rsidR="00A84245">
        <w:rPr>
          <w:sz w:val="24"/>
        </w:rPr>
        <w:t>643.33</w:t>
      </w:r>
      <w:r w:rsidR="00EF4273">
        <w:rPr>
          <w:sz w:val="24"/>
        </w:rPr>
        <w:t xml:space="preserve"> hours/year </w:t>
      </w:r>
      <w:r w:rsidR="005B01CF">
        <w:rPr>
          <w:sz w:val="24"/>
        </w:rPr>
        <w:t xml:space="preserve">over </w:t>
      </w:r>
      <w:r w:rsidR="00AB7765">
        <w:rPr>
          <w:sz w:val="24"/>
        </w:rPr>
        <w:t>3</w:t>
      </w:r>
      <w:r w:rsidR="005B01CF">
        <w:rPr>
          <w:sz w:val="24"/>
        </w:rPr>
        <w:t xml:space="preserve"> years</w:t>
      </w:r>
    </w:p>
    <w:p w:rsidR="005A30F4" w:rsidRPr="005C1356" w:rsidP="005A30F4" w14:paraId="6F1141A5" w14:textId="77777777">
      <w:pPr>
        <w:pStyle w:val="FERCparanumber"/>
        <w:numPr>
          <w:ilvl w:val="0"/>
          <w:numId w:val="0"/>
        </w:numPr>
      </w:pPr>
      <w:r w:rsidRPr="005C1356">
        <w:t xml:space="preserve">FERC-549C: </w:t>
      </w:r>
      <w:r w:rsidR="005B01CF">
        <w:t xml:space="preserve">19,300 </w:t>
      </w:r>
      <w:r w:rsidRPr="00FB3975" w:rsidR="005B01CF">
        <w:rPr>
          <w:sz w:val="24"/>
        </w:rPr>
        <w:t>÷</w:t>
      </w:r>
      <w:r w:rsidR="005B01CF">
        <w:rPr>
          <w:sz w:val="24"/>
        </w:rPr>
        <w:t xml:space="preserve"> </w:t>
      </w:r>
      <w:r w:rsidR="0039202B">
        <w:rPr>
          <w:sz w:val="24"/>
        </w:rPr>
        <w:t>3</w:t>
      </w:r>
      <w:r w:rsidR="005B01CF">
        <w:rPr>
          <w:sz w:val="24"/>
        </w:rPr>
        <w:t xml:space="preserve"> = </w:t>
      </w:r>
      <w:r w:rsidR="00AB7765">
        <w:rPr>
          <w:sz w:val="24"/>
        </w:rPr>
        <w:t>6,433.33</w:t>
      </w:r>
      <w:r w:rsidR="00A00B88">
        <w:rPr>
          <w:sz w:val="24"/>
        </w:rPr>
        <w:t xml:space="preserve"> hours/</w:t>
      </w:r>
      <w:r w:rsidR="00AC3A3C">
        <w:rPr>
          <w:sz w:val="24"/>
        </w:rPr>
        <w:t xml:space="preserve">year over </w:t>
      </w:r>
      <w:r w:rsidR="00AB7765">
        <w:rPr>
          <w:sz w:val="24"/>
        </w:rPr>
        <w:t>3</w:t>
      </w:r>
      <w:r w:rsidR="00AC3A3C">
        <w:rPr>
          <w:sz w:val="24"/>
        </w:rPr>
        <w:t xml:space="preserve"> years</w:t>
      </w:r>
    </w:p>
    <w:p w:rsidR="005A30F4" w:rsidRPr="005C1356" w:rsidP="005A30F4" w14:paraId="0410508E" w14:textId="77777777">
      <w:pPr>
        <w:pStyle w:val="FERCparanumber"/>
        <w:numPr>
          <w:ilvl w:val="0"/>
          <w:numId w:val="0"/>
        </w:numPr>
      </w:pPr>
      <w:r w:rsidRPr="005C1356">
        <w:t>The responses and burden for Years 1-</w:t>
      </w:r>
      <w:r w:rsidR="00DD4F86">
        <w:t>3</w:t>
      </w:r>
      <w:r w:rsidRPr="005C1356">
        <w:t xml:space="preserve"> </w:t>
      </w:r>
      <w:r>
        <w:t>would</w:t>
      </w:r>
      <w:r w:rsidRPr="005C1356">
        <w:t xml:space="preserve"> total respectively as follows:</w:t>
      </w:r>
    </w:p>
    <w:p w:rsidR="005A30F4" w:rsidRPr="005C1356" w:rsidP="005A30F4" w14:paraId="00EF0393" w14:textId="77777777">
      <w:pPr>
        <w:pStyle w:val="FERCparanumber"/>
        <w:numPr>
          <w:ilvl w:val="0"/>
          <w:numId w:val="0"/>
        </w:numPr>
      </w:pPr>
      <w:r w:rsidRPr="005C1356">
        <w:t xml:space="preserve">Year 1: </w:t>
      </w:r>
      <w:r w:rsidR="00E52143">
        <w:t>64.33</w:t>
      </w:r>
      <w:r w:rsidRPr="005C1356">
        <w:t xml:space="preserve"> responses; </w:t>
      </w:r>
      <w:r w:rsidR="00AB7765">
        <w:t>643.33</w:t>
      </w:r>
      <w:r w:rsidRPr="005C1356">
        <w:t xml:space="preserve"> hours (FERC-545); </w:t>
      </w:r>
      <w:r w:rsidR="00596159">
        <w:t>6,433.33</w:t>
      </w:r>
      <w:r w:rsidRPr="005C1356">
        <w:t xml:space="preserve"> hours (FERC-549C)</w:t>
      </w:r>
    </w:p>
    <w:p w:rsidR="005A30F4" w:rsidP="005A30F4" w14:paraId="6C68C36A" w14:textId="77777777">
      <w:pPr>
        <w:pStyle w:val="FERCparanumber"/>
        <w:numPr>
          <w:ilvl w:val="0"/>
          <w:numId w:val="0"/>
        </w:numPr>
      </w:pPr>
      <w:r w:rsidRPr="005C1356">
        <w:t xml:space="preserve">Year 2: </w:t>
      </w:r>
      <w:r w:rsidR="00E52143">
        <w:t>64.33</w:t>
      </w:r>
      <w:r w:rsidRPr="005C1356">
        <w:t xml:space="preserve"> responses; </w:t>
      </w:r>
      <w:r w:rsidR="00AB7765">
        <w:t>643</w:t>
      </w:r>
      <w:r w:rsidR="00596159">
        <w:t>.33</w:t>
      </w:r>
      <w:r w:rsidRPr="005C1356">
        <w:t xml:space="preserve"> hours (FERC-545); </w:t>
      </w:r>
      <w:r w:rsidR="00596159">
        <w:t>6,433.33</w:t>
      </w:r>
      <w:r w:rsidRPr="005C1356">
        <w:t xml:space="preserve"> hours (FERC-549C)</w:t>
      </w:r>
    </w:p>
    <w:p w:rsidR="005A30F4" w:rsidRPr="005C1356" w:rsidP="005A30F4" w14:paraId="0A1DAF60" w14:textId="77777777">
      <w:pPr>
        <w:pStyle w:val="FERCparanumber"/>
        <w:numPr>
          <w:ilvl w:val="0"/>
          <w:numId w:val="0"/>
        </w:numPr>
      </w:pPr>
      <w:r w:rsidRPr="005C1356">
        <w:rPr>
          <w:u w:val="single"/>
        </w:rPr>
        <w:t>Title</w:t>
      </w:r>
      <w:r w:rsidRPr="005C1356">
        <w:t>:  FERC-545, Gas Pipeline Rates: Rates Change (Non-Formal</w:t>
      </w:r>
      <w:r w:rsidRPr="005C1356">
        <w:t>);</w:t>
      </w:r>
      <w:r w:rsidRPr="005C1356">
        <w:tab/>
      </w:r>
    </w:p>
    <w:p w:rsidR="005A30F4" w:rsidRPr="005C1356" w:rsidP="005A30F4" w14:paraId="2FDDAA40" w14:textId="77777777">
      <w:pPr>
        <w:pStyle w:val="FERCparanumber"/>
        <w:numPr>
          <w:ilvl w:val="0"/>
          <w:numId w:val="0"/>
        </w:numPr>
      </w:pPr>
      <w:r w:rsidRPr="005C1356">
        <w:t>FERC-549C, Standards for Business Practices of Interstate Natural Gas Pipelines.</w:t>
      </w:r>
    </w:p>
    <w:p w:rsidR="005A30F4" w:rsidRPr="005C1356" w:rsidP="005A30F4" w14:paraId="65D931D0" w14:textId="77777777">
      <w:pPr>
        <w:pStyle w:val="FERCparanumber"/>
        <w:numPr>
          <w:ilvl w:val="0"/>
          <w:numId w:val="0"/>
        </w:numPr>
      </w:pPr>
      <w:r w:rsidRPr="005C1356">
        <w:rPr>
          <w:u w:val="single"/>
        </w:rPr>
        <w:t>Action</w:t>
      </w:r>
      <w:r w:rsidRPr="005C1356">
        <w:t>:  Proposed information collections</w:t>
      </w:r>
    </w:p>
    <w:p w:rsidR="005A30F4" w:rsidRPr="005C1356" w:rsidP="005A30F4" w14:paraId="5858ED3A" w14:textId="77777777">
      <w:pPr>
        <w:pStyle w:val="FERCparanumber"/>
        <w:numPr>
          <w:ilvl w:val="0"/>
          <w:numId w:val="0"/>
        </w:numPr>
      </w:pPr>
      <w:r w:rsidRPr="005C1356">
        <w:rPr>
          <w:u w:val="single"/>
        </w:rPr>
        <w:t>OMB Control Nos.</w:t>
      </w:r>
      <w:r w:rsidRPr="005C1356">
        <w:t>:  1902-0154 (FERC-545), 1902-0174 (FERC-549C).</w:t>
      </w:r>
    </w:p>
    <w:p w:rsidR="005A30F4" w:rsidRPr="005C1356" w:rsidP="005A30F4" w14:paraId="66919CCA" w14:textId="77777777">
      <w:pPr>
        <w:pStyle w:val="FERCparanumber"/>
        <w:numPr>
          <w:ilvl w:val="0"/>
          <w:numId w:val="0"/>
        </w:numPr>
      </w:pPr>
      <w:r w:rsidRPr="005C1356">
        <w:rPr>
          <w:u w:val="single"/>
        </w:rPr>
        <w:t>Respondents</w:t>
      </w:r>
      <w:r w:rsidRPr="005C1356">
        <w:t>:  Business or other for profit (e.g., Natural Gas Pipelines, applicable to only a few small businesses).</w:t>
      </w:r>
    </w:p>
    <w:p w:rsidR="005A30F4" w:rsidP="005A30F4" w14:paraId="7B38DF99" w14:textId="77777777">
      <w:pPr>
        <w:pStyle w:val="FERCparanumber"/>
        <w:numPr>
          <w:ilvl w:val="0"/>
          <w:numId w:val="0"/>
        </w:numPr>
      </w:pPr>
      <w:r w:rsidRPr="005C1356">
        <w:rPr>
          <w:u w:val="single"/>
        </w:rPr>
        <w:t>Frequency of Responses</w:t>
      </w:r>
      <w:r w:rsidRPr="005C1356">
        <w:t>:  One-time implementation (related to business procedures, capital/start-up).</w:t>
      </w:r>
    </w:p>
    <w:p w:rsidR="005A30F4" w:rsidP="005A30F4" w14:paraId="4FE6F834" w14:textId="77777777">
      <w:pPr>
        <w:pStyle w:val="FERCparanumber"/>
        <w:numPr>
          <w:ilvl w:val="0"/>
          <w:numId w:val="0"/>
        </w:numPr>
        <w:rPr>
          <w:lang w:bidi="en-US"/>
        </w:rPr>
      </w:pPr>
      <w:r w:rsidRPr="008442B8">
        <w:rPr>
          <w:u w:val="single"/>
        </w:rPr>
        <w:t>Necessity of Information</w:t>
      </w:r>
      <w:r>
        <w:t xml:space="preserve">:  In response to NAESB’s standard development activities, </w:t>
      </w:r>
      <w:r w:rsidR="00FD3BB8">
        <w:t>the Commission has determined that the revisions the Commission makes in this Final Rule to its regulations</w:t>
      </w:r>
      <w:r w:rsidR="007C2489">
        <w:t xml:space="preserve"> would</w:t>
      </w:r>
      <w:r>
        <w:t xml:space="preserve"> make minor adjustments to the standards previously adopted by the Commission.  The standards consolidate the cybersecurity standards in one standards manual for ease of reference and revision, </w:t>
      </w:r>
      <w:r>
        <w:rPr>
          <w:lang w:bidi="en-US"/>
        </w:rPr>
        <w:t xml:space="preserve">deleting one </w:t>
      </w:r>
      <w:r w:rsidRPr="00055EA9">
        <w:rPr>
          <w:lang w:bidi="en-US"/>
        </w:rPr>
        <w:t>element in the Data Dictionary for Internet ET included in the WGQ Cybersecurity Related Standards</w:t>
      </w:r>
      <w:r>
        <w:rPr>
          <w:lang w:bidi="en-US"/>
        </w:rPr>
        <w:t xml:space="preserve"> and make</w:t>
      </w:r>
      <w:r w:rsidRPr="00055EA9">
        <w:rPr>
          <w:lang w:bidi="en-US"/>
        </w:rPr>
        <w:t>s numerous</w:t>
      </w:r>
      <w:r>
        <w:rPr>
          <w:lang w:bidi="en-US"/>
        </w:rPr>
        <w:t xml:space="preserve"> minor</w:t>
      </w:r>
      <w:r w:rsidRPr="00055EA9">
        <w:rPr>
          <w:lang w:bidi="en-US"/>
        </w:rPr>
        <w:t xml:space="preserve"> changes throughout th</w:t>
      </w:r>
      <w:r>
        <w:rPr>
          <w:lang w:bidi="en-US"/>
        </w:rPr>
        <w:t>e corresponding</w:t>
      </w:r>
      <w:r w:rsidRPr="00055EA9">
        <w:rPr>
          <w:lang w:bidi="en-US"/>
        </w:rPr>
        <w:t xml:space="preserve"> manual and the WGQ EDM Related Standards to correct typographical and capitalization errors</w:t>
      </w:r>
      <w:r>
        <w:rPr>
          <w:lang w:bidi="en-US"/>
        </w:rPr>
        <w:t>.</w:t>
      </w:r>
    </w:p>
    <w:p w:rsidR="005A30F4" w:rsidP="005A30F4" w14:paraId="6ACCB409" w14:textId="77777777">
      <w:pPr>
        <w:pStyle w:val="FERCparanumber"/>
      </w:pPr>
      <w:r>
        <w:t xml:space="preserve">Further, in response to industry requests or through the normal course of WGQ activities, </w:t>
      </w:r>
      <w:r w:rsidR="38A0787F">
        <w:t>the Commission has determined that the revisions the Commission makes in this Final Rule to its regulations would</w:t>
      </w:r>
      <w:r>
        <w:t xml:space="preserve"> upgrade current business practices and communication standards by specifically: </w:t>
      </w:r>
      <w:r w:rsidR="00E267FB">
        <w:t xml:space="preserve"> </w:t>
      </w:r>
      <w:r>
        <w:t xml:space="preserve">(1) adding a new data element, “Cycle Indicator,” to the data set for the Storage Information standard to address technical details for the reporting of storage balances and the activities that affect storage balances; </w:t>
      </w:r>
      <w:r w:rsidR="001D37F2">
        <w:t xml:space="preserve">       </w:t>
      </w:r>
      <w:r>
        <w:t>(2) revising the data element “Service Requester Contract” contained in the data set for the Flowing Gas Related Allocation standard to identify the applicable contract and to support the communication of the results of processes used to allocate the actual flow of gas quantities to parties involved in a transaction; (3) modifying the “Charge Type Rate” data element contained in the data set for the Transportation/Sales Invoice standard that allows for the identification of multiple rates that may be applicable for a single transaction or service; (4) adding a new sender’s option data element, “Location Indicator Data,” to the Transactional Reporting – Capacity Release standard to improve efficiencies by providing a mechanism for a transportation service provider to communicate the locations at which a discounted rate is offered as well as if the rate is associated with a single location, multiple locations, or all locations</w:t>
      </w:r>
      <w:r w:rsidR="38A0787F">
        <w:t>; (5) adding code values for five data elements to the EDI X12 Mapping Guidelines in the Transportation/Sales Invoice standard</w:t>
      </w:r>
      <w:r w:rsidR="0608052E">
        <w:t xml:space="preserve"> </w:t>
      </w:r>
      <w:r w:rsidR="38A0787F">
        <w:t>to ensure the hierarchal structure of the dataset complied with the Accredited Standards Institute X12 Transaction Set 811 Consolidated Service Invoice/Statement.</w:t>
      </w:r>
      <w:r>
        <w:t xml:space="preserve"> </w:t>
      </w:r>
      <w:r w:rsidR="38A0787F">
        <w:t xml:space="preserve"> </w:t>
      </w:r>
      <w:r>
        <w:t>In addition, the Commission’s Office of Enforcement will use the data for general industry oversight.</w:t>
      </w:r>
    </w:p>
    <w:p w:rsidR="005A30F4" w:rsidP="005A30F4" w14:paraId="4A23B29B" w14:textId="77777777">
      <w:pPr>
        <w:pStyle w:val="FERCparanumber"/>
        <w:numPr>
          <w:ilvl w:val="0"/>
          <w:numId w:val="0"/>
        </w:numPr>
      </w:pPr>
      <w:r>
        <w:rPr>
          <w:u w:val="single"/>
        </w:rPr>
        <w:t>Internal Review:</w:t>
      </w:r>
      <w:r>
        <w:t xml:space="preserve">  </w:t>
      </w:r>
      <w:r w:rsidR="00FD3BB8">
        <w:t>The Commission has</w:t>
      </w:r>
      <w:r>
        <w:t xml:space="preserve"> reviewed the requirements pertaining to business practices of interstate natural gas pipelines </w:t>
      </w:r>
      <w:r w:rsidR="00FD3BB8">
        <w:t>adopted by NAESB and has determined</w:t>
      </w:r>
      <w:r>
        <w:t xml:space="preserve"> </w:t>
      </w:r>
      <w:r w:rsidR="00FD3BB8">
        <w:t>that the</w:t>
      </w:r>
      <w:r>
        <w:t xml:space="preserve"> revisions </w:t>
      </w:r>
      <w:r w:rsidR="007C2489">
        <w:t xml:space="preserve">the Commission </w:t>
      </w:r>
      <w:r w:rsidR="00FD3BB8">
        <w:t>make</w:t>
      </w:r>
      <w:r w:rsidR="007C2489">
        <w:t>s</w:t>
      </w:r>
      <w:r w:rsidR="00FD3BB8">
        <w:t xml:space="preserve"> in this Final Rule to its regulations are</w:t>
      </w:r>
      <w:r>
        <w:t xml:space="preserve"> necessary</w:t>
      </w:r>
      <w:r w:rsidR="000E10D3">
        <w:t xml:space="preserve"> to</w:t>
      </w:r>
      <w:r>
        <w:t xml:space="preserve"> </w:t>
      </w:r>
      <w:r w:rsidRPr="000E10D3" w:rsidR="000E10D3">
        <w:t xml:space="preserve">promote greater efficiency and reliability of the natural gas </w:t>
      </w:r>
      <w:r w:rsidRPr="000E10D3" w:rsidR="00E8709B">
        <w:t>industr</w:t>
      </w:r>
      <w:r w:rsidR="00E8709B">
        <w:t>y</w:t>
      </w:r>
      <w:r w:rsidRPr="000E10D3" w:rsidR="00E8709B">
        <w:t>’</w:t>
      </w:r>
      <w:r w:rsidR="00E8709B">
        <w:t>s</w:t>
      </w:r>
      <w:r w:rsidRPr="000E10D3" w:rsidR="00E8709B">
        <w:t xml:space="preserve"> </w:t>
      </w:r>
      <w:r w:rsidRPr="000E10D3" w:rsidR="000E10D3">
        <w:t>operations and strengthen cybersecurity protections</w:t>
      </w:r>
      <w:r>
        <w:t>.</w:t>
      </w:r>
      <w:r w:rsidR="00CE2407">
        <w:t xml:space="preserve">  </w:t>
      </w:r>
      <w:r>
        <w:t xml:space="preserve">These requirements conform to our plan for efficient information collection, communication, and management within the natural gas pipeline </w:t>
      </w:r>
      <w:r w:rsidR="0081794D">
        <w:t>industry</w:t>
      </w:r>
      <w:r>
        <w:t xml:space="preserve">.  </w:t>
      </w:r>
      <w:r w:rsidR="00FD3BB8">
        <w:t xml:space="preserve">The Commission has </w:t>
      </w:r>
      <w:r>
        <w:t xml:space="preserve">determined through </w:t>
      </w:r>
      <w:r w:rsidR="003A5A40">
        <w:t xml:space="preserve">its </w:t>
      </w:r>
      <w:r>
        <w:t>internal review that there is specific, objective support for the burden estimates associated with the information requirements.</w:t>
      </w:r>
    </w:p>
    <w:p w:rsidR="005A30F4" w:rsidP="005A30F4" w14:paraId="5687CF88" w14:textId="77777777">
      <w:pPr>
        <w:pStyle w:val="FERCparanumber"/>
      </w:pPr>
      <w:r>
        <w:t xml:space="preserve">Interested persons may obtain information on the reporting requirements by contacting the following:  Federal Energy Regulatory Commission, 888 First Street, NE, Washington, DC </w:t>
      </w:r>
      <w:r w:rsidR="00E267FB">
        <w:t xml:space="preserve"> </w:t>
      </w:r>
      <w:r>
        <w:t xml:space="preserve">20426 [email: </w:t>
      </w:r>
      <w:r w:rsidR="001D37F2">
        <w:t xml:space="preserve"> </w:t>
      </w:r>
      <w:r w:rsidRPr="004D473C" w:rsidR="00E267FB">
        <w:t>DataClearance@ferc.gov</w:t>
      </w:r>
      <w:r w:rsidRPr="13A293D4">
        <w:rPr>
          <w:rStyle w:val="Hyperlink"/>
          <w:color w:val="auto"/>
          <w:u w:val="none"/>
        </w:rPr>
        <w:t>].</w:t>
      </w:r>
    </w:p>
    <w:p w:rsidR="005A30F4" w:rsidRPr="00A47B31" w:rsidP="005A30F4" w14:paraId="33316B79" w14:textId="77777777">
      <w:pPr>
        <w:pStyle w:val="FERCparanumber"/>
      </w:pPr>
      <w:r>
        <w:t xml:space="preserve">Comments concerning the collection of information(s) and the associated burden estimate(s), should be sent to the Office of Information and Regulatory Affairs, the Office of Management and Budget, Washington, DC </w:t>
      </w:r>
      <w:r w:rsidR="005E7A5C">
        <w:t xml:space="preserve"> </w:t>
      </w:r>
      <w:r>
        <w:t>20503 [Attention: Desk Officer for the Federal Energy Regulatory Commission, telephone</w:t>
      </w:r>
      <w:r>
        <w:t xml:space="preserve">: </w:t>
      </w:r>
      <w:r w:rsidR="001D37F2">
        <w:t xml:space="preserve"> </w:t>
      </w:r>
      <w:r>
        <w:t>(</w:t>
      </w:r>
      <w:r>
        <w:t>202) 395-0710; fax: (202) 395-4718].  A copy of the comments on information collection should also be sent to the Commission, in Docket No. RM96-1-043 by any of the following methods:</w:t>
      </w:r>
    </w:p>
    <w:p w:rsidR="005A30F4" w:rsidP="005A30F4" w14:paraId="09F4DD59" w14:textId="77777777">
      <w:pPr>
        <w:pStyle w:val="FERCparanumber"/>
        <w:numPr>
          <w:ilvl w:val="0"/>
          <w:numId w:val="25"/>
        </w:numPr>
      </w:pPr>
      <w:r w:rsidRPr="00A47B31">
        <w:t>eFiling</w:t>
      </w:r>
      <w:r w:rsidRPr="00A47B31">
        <w:t xml:space="preserve"> at Commission’s Web Site: </w:t>
      </w:r>
      <w:r w:rsidRPr="004D473C" w:rsidR="00E267FB">
        <w:t>http://www.ferc.gov/docs-filing/efiling.asp</w:t>
      </w:r>
      <w:r>
        <w:t>;</w:t>
      </w:r>
    </w:p>
    <w:p w:rsidR="005A30F4" w:rsidP="005A30F4" w14:paraId="11DC5163" w14:textId="77777777">
      <w:pPr>
        <w:pStyle w:val="FERCparanumber"/>
        <w:numPr>
          <w:ilvl w:val="0"/>
          <w:numId w:val="25"/>
        </w:numPr>
      </w:pPr>
      <w:r w:rsidRPr="00A47B31">
        <w:t xml:space="preserve">U.S. Postal Service Mail: Persons unable to file electronically may mail similar pleadings to the Federal Energy Regulatory Commission, 888 First Street, NE, Washington, DC </w:t>
      </w:r>
      <w:r w:rsidR="00E267FB">
        <w:t xml:space="preserve"> </w:t>
      </w:r>
      <w:r w:rsidRPr="00A47B31">
        <w:t>20426</w:t>
      </w:r>
      <w:r>
        <w:t>; or</w:t>
      </w:r>
    </w:p>
    <w:p w:rsidR="005A30F4" w:rsidRPr="00A972FF" w:rsidP="008E257E" w14:paraId="4C2B0354" w14:textId="77777777">
      <w:pPr>
        <w:pStyle w:val="FERCparanumber"/>
        <w:numPr>
          <w:ilvl w:val="0"/>
          <w:numId w:val="25"/>
        </w:numPr>
      </w:pPr>
      <w:r>
        <w:t>D</w:t>
      </w:r>
      <w:r w:rsidRPr="00A47B31">
        <w:t xml:space="preserve">elivery of filings other than by </w:t>
      </w:r>
      <w:r w:rsidRPr="00A47B31">
        <w:t>eFiling</w:t>
      </w:r>
      <w:r w:rsidRPr="00A47B31">
        <w:t xml:space="preserve"> or the U.S. Postal Service should be delivered to Health and Human Services, 12225 Wilkins Avenue, </w:t>
      </w:r>
      <w:r w:rsidRPr="00A47B31">
        <w:t xml:space="preserve">Rockville, </w:t>
      </w:r>
      <w:r w:rsidR="00E267FB">
        <w:t xml:space="preserve">  </w:t>
      </w:r>
      <w:r w:rsidR="00E267FB">
        <w:t xml:space="preserve">  </w:t>
      </w:r>
      <w:r w:rsidRPr="00A47B31">
        <w:t>M</w:t>
      </w:r>
      <w:r w:rsidR="00E267FB">
        <w:t xml:space="preserve">D </w:t>
      </w:r>
      <w:r w:rsidRPr="00A47B31">
        <w:t xml:space="preserve"> 20852.</w:t>
      </w:r>
    </w:p>
    <w:p w:rsidR="00CF5306" w:rsidRPr="001C38BA" w:rsidP="00CF5306" w14:paraId="292B887B" w14:textId="77777777">
      <w:pPr>
        <w:pStyle w:val="Heading1"/>
        <w:spacing w:after="0" w:line="480" w:lineRule="auto"/>
        <w:rPr>
          <w:u w:val="none"/>
        </w:rPr>
      </w:pPr>
      <w:bookmarkStart w:id="43" w:name="_bmk13"/>
      <w:bookmarkStart w:id="44" w:name="_Toc173833733"/>
      <w:r w:rsidRPr="001C38BA">
        <w:rPr>
          <w:u w:val="none"/>
        </w:rPr>
        <w:t>E</w:t>
      </w:r>
      <w:bookmarkEnd w:id="43"/>
      <w:r w:rsidRPr="001C38BA">
        <w:rPr>
          <w:u w:val="none"/>
        </w:rPr>
        <w:t>nvironmental Analysis</w:t>
      </w:r>
      <w:bookmarkEnd w:id="44"/>
    </w:p>
    <w:p w:rsidR="00CF5306" w:rsidRPr="00395600" w:rsidP="00CF5306" w14:paraId="061F9DCB" w14:textId="77777777">
      <w:pPr>
        <w:pStyle w:val="FERCparanumber"/>
      </w:pPr>
      <w:r w:rsidRPr="00395600">
        <w:t>The Commission is required to prepare an Environmental Assessment or an Environmental Impact Statement for any action that may have a significant adverse effect on the human environment.</w:t>
      </w:r>
      <w:r>
        <w:rPr>
          <w:rStyle w:val="FootnoteReference"/>
        </w:rPr>
        <w:footnoteReference w:id="35"/>
      </w:r>
      <w:r w:rsidRPr="00395600">
        <w:t xml:space="preserve"> </w:t>
      </w:r>
      <w:r w:rsidR="008C5FA2">
        <w:t xml:space="preserve"> </w:t>
      </w:r>
      <w:r w:rsidR="4E48CC40">
        <w:t>The actions that we take here fa</w:t>
      </w:r>
      <w:r w:rsidR="00902538">
        <w:t>l</w:t>
      </w:r>
      <w:r w:rsidR="4E48CC40">
        <w:t xml:space="preserve">l within categorical exclusions in the Commission’s regulations for rules that are clarifying, corrective, or procedural, for information gathering, analysis, and dissemination, and for rules regarding sales, exchange, and transportation of natural gas that require no construction </w:t>
      </w:r>
      <w:r w:rsidRPr="00BA2C10" w:rsidR="4E48CC40">
        <w:t>facilities.</w:t>
      </w:r>
      <w:r>
        <w:rPr>
          <w:b/>
          <w:bCs/>
          <w:vertAlign w:val="superscript"/>
        </w:rPr>
        <w:footnoteReference w:id="36"/>
      </w:r>
      <w:r w:rsidRPr="00BA2C10" w:rsidR="4E48CC40">
        <w:t xml:space="preserve">  Therefore, an environmental review is unnecessary and has not been prepared as part of this </w:t>
      </w:r>
      <w:r w:rsidR="4E48CC40">
        <w:t>Final Rule</w:t>
      </w:r>
      <w:r w:rsidRPr="00BA2C10" w:rsidR="4E48CC40">
        <w:t>.</w:t>
      </w:r>
    </w:p>
    <w:p w:rsidR="00CF5306" w:rsidRPr="001C38BA" w:rsidP="00CF5306" w14:paraId="05F536B0" w14:textId="77777777">
      <w:pPr>
        <w:pStyle w:val="Heading1"/>
        <w:spacing w:after="0" w:line="480" w:lineRule="auto"/>
        <w:rPr>
          <w:u w:val="none"/>
        </w:rPr>
      </w:pPr>
      <w:bookmarkStart w:id="45" w:name="_bmk14"/>
      <w:bookmarkStart w:id="46" w:name="_Toc173833734"/>
      <w:r w:rsidRPr="001C38BA">
        <w:rPr>
          <w:u w:val="none"/>
        </w:rPr>
        <w:t>R</w:t>
      </w:r>
      <w:bookmarkEnd w:id="45"/>
      <w:r w:rsidRPr="001C38BA">
        <w:rPr>
          <w:u w:val="none"/>
        </w:rPr>
        <w:t>egulatory Flexibility Act</w:t>
      </w:r>
      <w:bookmarkEnd w:id="46"/>
    </w:p>
    <w:p w:rsidR="005A30F4" w:rsidP="005A30F4" w14:paraId="2B3FAB6C" w14:textId="77777777">
      <w:pPr>
        <w:pStyle w:val="FERCparanumber"/>
      </w:pPr>
      <w:r w:rsidRPr="00B61165">
        <w:t>The Regulatory Fle</w:t>
      </w:r>
      <w:r w:rsidRPr="00B61165">
        <w:rPr>
          <w:rStyle w:val="FERCparanumberChar"/>
        </w:rPr>
        <w:t>x</w:t>
      </w:r>
      <w:r w:rsidRPr="00B61165">
        <w:t>ibility Act of 1980 (RFA)</w:t>
      </w:r>
      <w:r>
        <w:rPr>
          <w:rStyle w:val="FootnoteReference"/>
        </w:rPr>
        <w:footnoteReference w:id="37"/>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rsidR="005A30F4" w:rsidP="005A30F4" w14:paraId="44A00B87" w14:textId="77777777">
      <w:pPr>
        <w:pStyle w:val="FERCparanumber"/>
      </w:pPr>
      <w:r>
        <w:t>As we stated in the W</w:t>
      </w:r>
      <w:r w:rsidR="004C038F">
        <w:t>G</w:t>
      </w:r>
      <w:r>
        <w:t xml:space="preserve">Q Version 4.0 NOPR, </w:t>
      </w:r>
      <w:r w:rsidRPr="001E39E3">
        <w:t>approximately 193</w:t>
      </w:r>
      <w:r>
        <w:t xml:space="preserve"> interstate natural gas pipelines, both large and small, are potential respondents subject to the requirements adopted by this rule.  </w:t>
      </w:r>
      <w:r w:rsidRPr="00241B37">
        <w:t>Most of the natural gas pipelines regulated by the Commission do not fall within the RFA’s definition of a small entity,</w:t>
      </w:r>
      <w:r>
        <w:rPr>
          <w:b/>
          <w:bCs/>
          <w:vertAlign w:val="superscript"/>
        </w:rPr>
        <w:footnoteReference w:id="38"/>
      </w:r>
      <w:r w:rsidRPr="00241B37">
        <w:t xml:space="preserve"> which is currently defined for natural gas pipelines as a company that, in combination with its affiliates, has </w:t>
      </w:r>
      <w:r w:rsidRPr="00B05C4F">
        <w:t>total annual receipts of $41.5 million or less.</w:t>
      </w:r>
      <w:r>
        <w:rPr>
          <w:b/>
          <w:bCs/>
          <w:vertAlign w:val="superscript"/>
        </w:rPr>
        <w:footnoteReference w:id="39"/>
      </w:r>
      <w:r w:rsidRPr="00B05C4F">
        <w:t xml:space="preserve">  For the year 2022, only 1</w:t>
      </w:r>
      <w:r>
        <w:t>4</w:t>
      </w:r>
      <w:r w:rsidRPr="00B05C4F">
        <w:t xml:space="preserve"> </w:t>
      </w:r>
      <w:r w:rsidR="00BB3DD2">
        <w:t>potential res</w:t>
      </w:r>
      <w:r w:rsidR="001C5588">
        <w:t>pondents</w:t>
      </w:r>
      <w:r w:rsidRPr="00B05C4F">
        <w:t xml:space="preserve"> not affiliated with larger companies had annual revenues </w:t>
      </w:r>
      <w:bookmarkStart w:id="47" w:name="_Hlk55571677"/>
      <w:r w:rsidRPr="00B05C4F">
        <w:t xml:space="preserve">in combination with </w:t>
      </w:r>
      <w:r>
        <w:t>their</w:t>
      </w:r>
      <w:r w:rsidRPr="00B05C4F">
        <w:t xml:space="preserve"> affiliates </w:t>
      </w:r>
      <w:bookmarkEnd w:id="47"/>
      <w:r w:rsidRPr="00B05C4F">
        <w:t>of $41.5 million or less</w:t>
      </w:r>
      <w:r>
        <w:t xml:space="preserve"> and therefore could be considered a small entity under the RFA.  This represents about eight percent of the total universe of potential respondents that may have a significant burden imposed on them.  </w:t>
      </w:r>
      <w:r w:rsidRPr="00494D59">
        <w:t>We estimate that the one-time</w:t>
      </w:r>
      <w:r w:rsidR="007C2489">
        <w:t xml:space="preserve"> </w:t>
      </w:r>
      <w:r w:rsidRPr="00494D59">
        <w:t xml:space="preserve">implementation cost of the proposals in this </w:t>
      </w:r>
      <w:r w:rsidR="008D738C">
        <w:t>Final Rule</w:t>
      </w:r>
      <w:r w:rsidRPr="00494D59" w:rsidR="008D738C">
        <w:t xml:space="preserve"> </w:t>
      </w:r>
      <w:r w:rsidRPr="00494D59">
        <w:t xml:space="preserve">is </w:t>
      </w:r>
      <w:r w:rsidR="00603391">
        <w:t>$</w:t>
      </w:r>
      <w:r w:rsidRPr="009A52B4" w:rsidR="00603391">
        <w:rPr>
          <w:rFonts w:eastAsia="Calibri"/>
          <w:szCs w:val="20"/>
        </w:rPr>
        <w:t>2,</w:t>
      </w:r>
      <w:r w:rsidR="00603391">
        <w:rPr>
          <w:rFonts w:eastAsia="Calibri"/>
          <w:szCs w:val="20"/>
        </w:rPr>
        <w:t>356,5</w:t>
      </w:r>
      <w:r w:rsidRPr="009A52B4" w:rsidR="00603391">
        <w:rPr>
          <w:rFonts w:eastAsia="Calibri"/>
          <w:szCs w:val="20"/>
        </w:rPr>
        <w:t>30</w:t>
      </w:r>
      <w:r w:rsidR="00BA21FE">
        <w:rPr>
          <w:rFonts w:eastAsia="Calibri"/>
          <w:szCs w:val="20"/>
        </w:rPr>
        <w:t xml:space="preserve"> </w:t>
      </w:r>
      <w:r w:rsidRPr="00494D59">
        <w:t>(or $</w:t>
      </w:r>
      <w:r w:rsidR="009C492B">
        <w:t>1</w:t>
      </w:r>
      <w:r w:rsidR="00036407">
        <w:t>2,210</w:t>
      </w:r>
      <w:r w:rsidRPr="00494D59">
        <w:t xml:space="preserve"> per entity, regardless of entity size).</w:t>
      </w:r>
      <w:r>
        <w:rPr>
          <w:b/>
          <w:bCs/>
          <w:vertAlign w:val="superscript"/>
        </w:rPr>
        <w:footnoteReference w:id="40"/>
      </w:r>
      <w:r w:rsidRPr="00494D59">
        <w:t xml:space="preserve">  We do not consider the estimated $</w:t>
      </w:r>
      <w:r w:rsidR="009C492B">
        <w:t>1</w:t>
      </w:r>
      <w:r w:rsidR="00036407">
        <w:t>2,210</w:t>
      </w:r>
      <w:r w:rsidRPr="00494D59">
        <w:t xml:space="preserve"> impact</w:t>
      </w:r>
      <w:r w:rsidRPr="00911F8B">
        <w:t xml:space="preserve"> per entity to be significant.  </w:t>
      </w:r>
      <w:r>
        <w:t xml:space="preserve">Moreover, these requirements are designed to benefit all customers, including small businesses that must comply with them.  Further, as noted above, adoption of consensus standards helps ensure the reasonableness of the standards </w:t>
      </w:r>
      <w:r>
        <w:t xml:space="preserve">by requiring that the standards draw support from a broad spectrum of industry participants representing all segments of the industry.  </w:t>
      </w:r>
      <w:r w:rsidRPr="00932257">
        <w:t>Because of that representation and the fact that industry conducts business under these standards, the Commission’s regulations should reflect those standards that have the widest possible support.</w:t>
      </w:r>
    </w:p>
    <w:p w:rsidR="005A30F4" w:rsidP="008E257E" w14:paraId="4AE703D9" w14:textId="77777777">
      <w:pPr>
        <w:pStyle w:val="FERCparanumber"/>
      </w:pPr>
      <w:r>
        <w:t>Accordingly, pursuant to section 605(b) of the RFA,</w:t>
      </w:r>
      <w:r>
        <w:rPr>
          <w:rStyle w:val="FootnoteReference"/>
        </w:rPr>
        <w:footnoteReference w:id="41"/>
      </w:r>
      <w:r>
        <w:t xml:space="preserve"> the regulations proposed herein should not have a significant economic impact on a substantial number of small entities.</w:t>
      </w:r>
    </w:p>
    <w:p w:rsidR="005A30F4" w:rsidRPr="001C38BA" w:rsidP="005A30F4" w14:paraId="1B8B7274" w14:textId="77777777">
      <w:pPr>
        <w:keepNext/>
        <w:keepLines/>
        <w:widowControl/>
        <w:numPr>
          <w:ilvl w:val="0"/>
          <w:numId w:val="15"/>
        </w:numPr>
        <w:spacing w:line="480" w:lineRule="auto"/>
        <w:outlineLvl w:val="0"/>
        <w:rPr>
          <w:rFonts w:eastAsiaTheme="majorEastAsia"/>
          <w:b/>
          <w:kern w:val="32"/>
          <w:szCs w:val="32"/>
        </w:rPr>
      </w:pPr>
      <w:bookmarkStart w:id="48" w:name="_Toc160607348"/>
      <w:bookmarkStart w:id="49" w:name="_Toc160724653"/>
      <w:bookmarkStart w:id="50" w:name="_Toc173833735"/>
      <w:r w:rsidRPr="001C38BA">
        <w:rPr>
          <w:rFonts w:eastAsiaTheme="majorEastAsia"/>
          <w:b/>
          <w:kern w:val="32"/>
          <w:szCs w:val="32"/>
        </w:rPr>
        <w:t>Document Availability</w:t>
      </w:r>
      <w:bookmarkEnd w:id="48"/>
      <w:bookmarkEnd w:id="49"/>
      <w:bookmarkEnd w:id="50"/>
    </w:p>
    <w:p w:rsidR="005A30F4" w:rsidRPr="005A30F4" w:rsidP="005A30F4" w14:paraId="4FB27EB7" w14:textId="77777777">
      <w:pPr>
        <w:widowControl/>
        <w:numPr>
          <w:ilvl w:val="0"/>
          <w:numId w:val="11"/>
        </w:numPr>
        <w:spacing w:line="480" w:lineRule="auto"/>
      </w:pPr>
      <w:r>
        <w:t>In addition to publishing the full text of this document in the Federal Register, the Commission provides all interested persons an opportunity to view and/or print the contents of this document via the Internet through the Commission’s Home Page (https://www.ferc.gov/).</w:t>
      </w:r>
    </w:p>
    <w:p w:rsidR="005A30F4" w:rsidRPr="005A30F4" w:rsidP="005A30F4" w14:paraId="0DB423A0" w14:textId="77777777">
      <w:pPr>
        <w:widowControl/>
        <w:numPr>
          <w:ilvl w:val="0"/>
          <w:numId w:val="11"/>
        </w:numPr>
        <w:spacing w:line="480" w:lineRule="auto"/>
      </w:pPr>
      <w: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5A30F4" w:rsidP="005A30F4" w14:paraId="52C76F3D" w14:textId="77777777">
      <w:pPr>
        <w:widowControl/>
        <w:numPr>
          <w:ilvl w:val="0"/>
          <w:numId w:val="11"/>
        </w:numPr>
        <w:spacing w:line="480" w:lineRule="auto"/>
      </w:pPr>
      <w:r>
        <w:t xml:space="preserve">User assistance is available for eLibrary and the Commission’s website during normal business hours from the Commission’s Online Support at </w:t>
      </w:r>
      <w:r w:rsidR="00E267FB">
        <w:t>(</w:t>
      </w:r>
      <w:r>
        <w:t>202</w:t>
      </w:r>
      <w:r w:rsidR="00E267FB">
        <w:t xml:space="preserve">) </w:t>
      </w:r>
      <w:r>
        <w:t xml:space="preserve">502-6652 (toll free at 1-866-208-3676) or email at </w:t>
      </w:r>
      <w:r w:rsidRPr="001D37F2" w:rsidR="00E267FB">
        <w:t>ferconlinesupport@ferc.gov</w:t>
      </w:r>
      <w:r>
        <w:t xml:space="preserve">, or the Public Reference </w:t>
      </w:r>
      <w:r>
        <w:t>Room at (202) 502-8371, TTY (202)</w:t>
      </w:r>
      <w:r w:rsidR="00E267FB">
        <w:t xml:space="preserve"> </w:t>
      </w:r>
      <w:r>
        <w:t xml:space="preserve">502-8659.  E-mail the Public Reference Room at </w:t>
      </w:r>
      <w:r w:rsidRPr="001D37F2" w:rsidR="00E267FB">
        <w:t>public.referenceroom@ferc.gov</w:t>
      </w:r>
      <w:r>
        <w:t>.</w:t>
      </w:r>
    </w:p>
    <w:p w:rsidR="0082150F" w:rsidRPr="001C38BA" w:rsidP="0082150F" w14:paraId="48036741" w14:textId="77777777">
      <w:pPr>
        <w:pStyle w:val="Heading1"/>
        <w:spacing w:after="0" w:line="480" w:lineRule="auto"/>
        <w:rPr>
          <w:u w:val="none"/>
        </w:rPr>
      </w:pPr>
      <w:bookmarkStart w:id="51" w:name="_bmk15"/>
      <w:bookmarkStart w:id="52" w:name="_Toc173833736"/>
      <w:r w:rsidRPr="001C38BA">
        <w:rPr>
          <w:u w:val="none"/>
        </w:rPr>
        <w:t>E</w:t>
      </w:r>
      <w:bookmarkEnd w:id="51"/>
      <w:r w:rsidRPr="001C38BA">
        <w:rPr>
          <w:u w:val="none"/>
        </w:rPr>
        <w:t>ffective Date and Congressional Notification</w:t>
      </w:r>
      <w:bookmarkEnd w:id="52"/>
    </w:p>
    <w:p w:rsidR="0082150F" w:rsidRPr="00395600" w:rsidP="0082150F" w14:paraId="459CF843" w14:textId="77777777">
      <w:pPr>
        <w:pStyle w:val="FERCparanumber"/>
      </w:pPr>
      <w:r>
        <w:t>These regulations are effective [</w:t>
      </w:r>
      <w:r w:rsidRPr="004D473C">
        <w:rPr>
          <w:b/>
          <w:bCs/>
        </w:rPr>
        <w:t xml:space="preserve">insert date </w:t>
      </w:r>
      <w:r w:rsidRPr="004D473C" w:rsidR="002B3929">
        <w:rPr>
          <w:b/>
          <w:bCs/>
        </w:rPr>
        <w:t>6</w:t>
      </w:r>
      <w:r w:rsidRPr="004D473C">
        <w:rPr>
          <w:b/>
          <w:bCs/>
        </w:rPr>
        <w:t>0 days from publication in Federal Register for non-major rules and 60 days from the later of the date Congress receives the agency notice or the date the rule is published in the Federal Register</w:t>
      </w:r>
      <w:r>
        <w:t xml:space="preserve">]. </w:t>
      </w:r>
      <w:r w:rsidR="00F13A63">
        <w:t xml:space="preserve"> </w:t>
      </w:r>
      <w:r>
        <w:t>The Commission has determined, with the concurrence of the Administrator of the Office of Information and Regulatory Affairs of OMB, that this rule is not a “major rule” as defined in section 351 of the Small Business Regulatory Enforcement Fairness Act of 1996.  This Final Rule is being submitted to the Senate, House, and Government Accountability Office.</w:t>
      </w:r>
    </w:p>
    <w:p w:rsidR="0082150F" w:rsidRPr="001C38BA" w:rsidP="0082150F" w14:paraId="31ECFF67" w14:textId="77777777">
      <w:pPr>
        <w:rPr>
          <w:b/>
          <w:bCs/>
        </w:rPr>
      </w:pPr>
      <w:r w:rsidRPr="001C38BA">
        <w:rPr>
          <w:b/>
          <w:bCs/>
        </w:rPr>
        <w:t>List of subjects in 18 CFR Part 284</w:t>
      </w:r>
    </w:p>
    <w:p w:rsidR="0082150F" w:rsidRPr="00395600" w:rsidP="0082150F" w14:paraId="6C0EDCD2" w14:textId="77777777"/>
    <w:p w:rsidR="0082150F" w:rsidRPr="005A30F4" w:rsidP="0082150F" w14:paraId="113A4C4B" w14:textId="77777777">
      <w:pPr>
        <w:spacing w:line="480" w:lineRule="auto"/>
      </w:pPr>
      <w:r w:rsidRPr="005A30F4">
        <w:t>Continental shelf, Incorporation by reference, Natural gas, Reporting and recordkeeping requirements.</w:t>
      </w:r>
    </w:p>
    <w:p w:rsidR="0082150F" w:rsidP="0082150F" w14:paraId="048D9139" w14:textId="77777777">
      <w:pPr>
        <w:spacing w:line="480" w:lineRule="auto"/>
      </w:pPr>
      <w:r w:rsidRPr="005A30F4">
        <w:t>By the Commission.</w:t>
      </w:r>
    </w:p>
    <w:p w:rsidR="005A30F4" w:rsidP="00BD3AD7" w14:paraId="4608DF1F" w14:textId="77777777">
      <w:pPr>
        <w:widowControl/>
      </w:pPr>
      <w:r w:rsidRPr="001C4F0A">
        <w:t>( S</w:t>
      </w:r>
      <w:r w:rsidRPr="001C4F0A">
        <w:t xml:space="preserve"> E A L )</w:t>
      </w:r>
    </w:p>
    <w:p w:rsidR="00BD3AD7" w:rsidP="00BD3AD7" w14:paraId="5D647091" w14:textId="77777777">
      <w:pPr>
        <w:widowControl/>
      </w:pPr>
    </w:p>
    <w:p w:rsidR="00BD3AD7" w:rsidP="00BD3AD7" w14:paraId="713F4F60" w14:textId="77777777">
      <w:pPr>
        <w:widowControl/>
      </w:pPr>
    </w:p>
    <w:p w:rsidR="00BD3AD7" w:rsidP="00BD3AD7" w14:paraId="24D51AE0" w14:textId="77777777">
      <w:pPr>
        <w:widowControl/>
      </w:pPr>
    </w:p>
    <w:p w:rsidR="00BD3AD7" w:rsidRPr="00BD3AD7" w:rsidP="00BD3AD7" w14:paraId="1E74C6BD" w14:textId="77777777">
      <w:pPr>
        <w:widowControl/>
        <w:ind w:firstLine="2174"/>
        <w:jc w:val="center"/>
      </w:pPr>
      <w:r w:rsidRPr="00BD3AD7">
        <w:t>Carlos D. Clay,</w:t>
      </w:r>
    </w:p>
    <w:p w:rsidR="00BD3AD7" w:rsidRPr="00BD3AD7" w:rsidP="00BD3AD7" w14:paraId="00F8FF74" w14:textId="77777777">
      <w:pPr>
        <w:widowControl/>
        <w:ind w:firstLine="2174"/>
        <w:jc w:val="center"/>
      </w:pPr>
      <w:r w:rsidRPr="00BD3AD7">
        <w:t>Acting Deputy Secretary.</w:t>
      </w:r>
    </w:p>
    <w:p w:rsidR="00BD3AD7" w:rsidRPr="004D473C" w:rsidP="00BD3AD7" w14:paraId="6B6CC0DB" w14:textId="77777777">
      <w:pPr>
        <w:widowControl/>
      </w:pPr>
    </w:p>
    <w:p w:rsidR="001C4F0A" w:rsidRPr="001C4F0A" w:rsidP="004D473C" w14:paraId="462F88D8" w14:textId="77777777"/>
    <w:p w:rsidR="001C4F0A" w:rsidP="005A30F4" w14:paraId="28A1B271" w14:textId="77777777">
      <w:pPr>
        <w:spacing w:line="480" w:lineRule="auto"/>
      </w:pPr>
    </w:p>
    <w:p w:rsidR="001C4F0A" w:rsidP="005A30F4" w14:paraId="5E476913" w14:textId="77777777">
      <w:pPr>
        <w:spacing w:line="480" w:lineRule="auto"/>
      </w:pPr>
    </w:p>
    <w:p w:rsidR="00BD3AD7" w:rsidP="005A30F4" w14:paraId="7496D770" w14:textId="77777777">
      <w:pPr>
        <w:spacing w:line="480" w:lineRule="auto"/>
      </w:pPr>
    </w:p>
    <w:p w:rsidR="005A30F4" w:rsidRPr="005A30F4" w:rsidP="005A30F4" w14:paraId="59D3E636" w14:textId="77777777">
      <w:pPr>
        <w:spacing w:line="480" w:lineRule="auto"/>
      </w:pPr>
      <w:r w:rsidRPr="005A30F4">
        <w:tab/>
        <w:t>In consideration of the foregoing, the Commission proposes to amend Part 284, Chapter I, Title 18, Code of Federal Regulations, as follows.</w:t>
      </w:r>
    </w:p>
    <w:p w:rsidR="005A30F4" w:rsidRPr="005A30F4" w:rsidP="004D473C" w14:paraId="31338FA4" w14:textId="77777777">
      <w:pPr>
        <w:spacing w:line="480" w:lineRule="auto"/>
        <w:rPr>
          <w:b/>
        </w:rPr>
      </w:pPr>
      <w:r w:rsidRPr="005A30F4">
        <w:rPr>
          <w:b/>
        </w:rPr>
        <w:t>PART 284 -- CERTAIN SALES AND TRANSPORTATION OF NATURAL GAS UNDER THE NATURAL GAS POLICY ACT OF 1978 AND RELATED AUTHORITIES</w:t>
      </w:r>
    </w:p>
    <w:p w:rsidR="005A30F4" w:rsidRPr="005A30F4" w:rsidP="005A30F4" w14:paraId="221A613E" w14:textId="77777777"/>
    <w:p w:rsidR="005A30F4" w:rsidRPr="005A30F4" w:rsidP="005A30F4" w14:paraId="6911591E" w14:textId="77777777">
      <w:pPr>
        <w:rPr>
          <w:bCs/>
        </w:rPr>
      </w:pPr>
      <w:r w:rsidRPr="005A30F4">
        <w:rPr>
          <w:bCs/>
        </w:rPr>
        <w:t>1.</w:t>
      </w:r>
      <w:r w:rsidRPr="005A30F4">
        <w:rPr>
          <w:bCs/>
        </w:rPr>
        <w:tab/>
        <w:t>The authority citation for part 284 continues to read as follows:</w:t>
      </w:r>
    </w:p>
    <w:p w:rsidR="005A30F4" w:rsidRPr="005A30F4" w:rsidP="005A30F4" w14:paraId="5994CCAE" w14:textId="77777777">
      <w:pPr>
        <w:rPr>
          <w:b/>
          <w:bCs/>
        </w:rPr>
      </w:pPr>
    </w:p>
    <w:p w:rsidR="005A30F4" w:rsidRPr="005A30F4" w:rsidP="005A30F4" w14:paraId="3C7D27EC" w14:textId="77777777">
      <w:pPr>
        <w:rPr>
          <w:bCs/>
        </w:rPr>
      </w:pPr>
      <w:r w:rsidRPr="005A30F4">
        <w:rPr>
          <w:b/>
          <w:bCs/>
        </w:rPr>
        <w:t>Authority</w:t>
      </w:r>
      <w:r w:rsidRPr="005A30F4">
        <w:rPr>
          <w:bCs/>
        </w:rPr>
        <w:t xml:space="preserve">:  15 U.S.C. 717-717z, 3301-3432; 42 U.S.C. 7101-7352; 43 U.S.C. </w:t>
      </w:r>
    </w:p>
    <w:p w:rsidR="005A30F4" w:rsidRPr="005A30F4" w:rsidP="005A30F4" w14:paraId="2871541D" w14:textId="77777777">
      <w:pPr>
        <w:rPr>
          <w:bCs/>
        </w:rPr>
      </w:pPr>
    </w:p>
    <w:p w:rsidR="005A30F4" w:rsidRPr="005A30F4" w:rsidP="005A30F4" w14:paraId="1EB4AC09" w14:textId="77777777">
      <w:pPr>
        <w:rPr>
          <w:bCs/>
        </w:rPr>
      </w:pPr>
      <w:r w:rsidRPr="005A30F4">
        <w:rPr>
          <w:bCs/>
        </w:rPr>
        <w:t>1331-1356.</w:t>
      </w:r>
    </w:p>
    <w:p w:rsidR="005A30F4" w:rsidRPr="005A30F4" w:rsidP="005A30F4" w14:paraId="1438A466" w14:textId="77777777">
      <w:pPr>
        <w:rPr>
          <w:bCs/>
        </w:rPr>
      </w:pPr>
    </w:p>
    <w:p w:rsidR="005A30F4" w:rsidRPr="005A30F4" w:rsidP="005A30F4" w14:paraId="5C078956" w14:textId="77777777">
      <w:pPr>
        <w:rPr>
          <w:bCs/>
        </w:rPr>
      </w:pPr>
      <w:r w:rsidRPr="005A30F4">
        <w:rPr>
          <w:bCs/>
        </w:rPr>
        <w:t>2.</w:t>
      </w:r>
      <w:r w:rsidRPr="005A30F4">
        <w:rPr>
          <w:bCs/>
        </w:rPr>
        <w:tab/>
        <w:t>Sections 284.12(a)(1) are revised to read as follows:</w:t>
      </w:r>
    </w:p>
    <w:p w:rsidR="005A30F4" w:rsidRPr="005A30F4" w:rsidP="005A30F4" w14:paraId="282C8F7F" w14:textId="77777777"/>
    <w:p w:rsidR="005A30F4" w:rsidRPr="005A30F4" w:rsidP="005A30F4" w14:paraId="5089BA27" w14:textId="77777777">
      <w:pPr>
        <w:rPr>
          <w:bCs/>
        </w:rPr>
      </w:pPr>
      <w:r w:rsidRPr="005A30F4">
        <w:rPr>
          <w:b/>
          <w:bCs/>
        </w:rPr>
        <w:t>§</w:t>
      </w:r>
      <w:r>
        <w:rPr>
          <w:b/>
          <w:bCs/>
        </w:rPr>
        <w:t> </w:t>
      </w:r>
      <w:r w:rsidRPr="005A30F4">
        <w:rPr>
          <w:b/>
          <w:bCs/>
        </w:rPr>
        <w:t>2</w:t>
      </w:r>
      <w:r w:rsidRPr="005A30F4">
        <w:rPr>
          <w:b/>
          <w:bCs/>
        </w:rPr>
        <w:t>84.12   Standards for pipeline business operations and communications</w:t>
      </w:r>
      <w:r w:rsidRPr="005A30F4">
        <w:rPr>
          <w:bCs/>
        </w:rPr>
        <w:t>.</w:t>
      </w:r>
    </w:p>
    <w:p w:rsidR="005A30F4" w:rsidRPr="005A30F4" w:rsidP="005A30F4" w14:paraId="4EB73ACA" w14:textId="77777777"/>
    <w:p w:rsidR="005A30F4" w:rsidRPr="005A30F4" w:rsidP="005A30F4" w14:paraId="6657424E" w14:textId="77777777">
      <w:pPr>
        <w:rPr>
          <w:bCs/>
        </w:rPr>
      </w:pPr>
      <w:r w:rsidRPr="005A30F4">
        <w:rPr>
          <w:bCs/>
        </w:rPr>
        <w:t>(a)  *     *     *</w:t>
      </w:r>
    </w:p>
    <w:p w:rsidR="005A30F4" w:rsidRPr="005A30F4" w:rsidP="005A30F4" w14:paraId="3C978BE5" w14:textId="77777777">
      <w:pPr>
        <w:rPr>
          <w:b/>
          <w:bCs/>
        </w:rPr>
      </w:pPr>
    </w:p>
    <w:p w:rsidR="005A30F4" w:rsidRPr="005A30F4" w:rsidP="005A30F4" w14:paraId="1CDE96B4" w14:textId="77777777">
      <w:pPr>
        <w:rPr>
          <w:bCs/>
        </w:rPr>
      </w:pPr>
      <w:r w:rsidRPr="005A30F4">
        <w:rPr>
          <w:bCs/>
        </w:rPr>
        <w:t>(1)  *     *     *</w:t>
      </w:r>
    </w:p>
    <w:p w:rsidR="005A30F4" w:rsidRPr="005A30F4" w:rsidP="005A30F4" w14:paraId="224827F2" w14:textId="77777777">
      <w:pPr>
        <w:rPr>
          <w:bCs/>
        </w:rPr>
      </w:pPr>
    </w:p>
    <w:p w:rsidR="005A30F4" w:rsidRPr="005A30F4" w:rsidP="005A30F4" w14:paraId="45313D5D" w14:textId="77777777">
      <w:pPr>
        <w:rPr>
          <w:bCs/>
        </w:rPr>
      </w:pPr>
      <w:r w:rsidRPr="005A30F4">
        <w:rPr>
          <w:bCs/>
        </w:rPr>
        <w:t>(</w:t>
      </w:r>
      <w:r w:rsidRPr="005A30F4">
        <w:rPr>
          <w:bCs/>
        </w:rPr>
        <w:t>i</w:t>
      </w:r>
      <w:r w:rsidRPr="005A30F4">
        <w:rPr>
          <w:bCs/>
        </w:rPr>
        <w:t>)</w:t>
      </w:r>
      <w:r w:rsidRPr="005A30F4">
        <w:rPr>
          <w:bCs/>
        </w:rPr>
        <w:tab/>
      </w:r>
      <w:r w:rsidRPr="005A30F4">
        <w:t>Additional Standards</w:t>
      </w:r>
      <w:r w:rsidRPr="005A30F4">
        <w:rPr>
          <w:bCs/>
        </w:rPr>
        <w:t xml:space="preserve"> (</w:t>
      </w:r>
      <w:r w:rsidRPr="005A30F4">
        <w:rPr>
          <w:bCs/>
          <w:lang w:val="en"/>
        </w:rPr>
        <w:t xml:space="preserve">Version 4.0, </w:t>
      </w:r>
      <w:r w:rsidRPr="005A30F4">
        <w:rPr>
          <w:bCs/>
        </w:rPr>
        <w:t>September 29, 2023</w:t>
      </w:r>
      <w:r w:rsidRPr="005A30F4">
        <w:rPr>
          <w:bCs/>
        </w:rPr>
        <w:t>);</w:t>
      </w:r>
    </w:p>
    <w:p w:rsidR="005A30F4" w:rsidRPr="005A30F4" w:rsidP="005A30F4" w14:paraId="0D0BF972" w14:textId="77777777">
      <w:pPr>
        <w:rPr>
          <w:bCs/>
        </w:rPr>
      </w:pPr>
    </w:p>
    <w:p w:rsidR="005A30F4" w:rsidRPr="005A30F4" w:rsidP="005A30F4" w14:paraId="1F6D4A08" w14:textId="77777777">
      <w:pPr>
        <w:rPr>
          <w:bCs/>
        </w:rPr>
      </w:pPr>
      <w:r w:rsidRPr="005A30F4">
        <w:rPr>
          <w:bCs/>
        </w:rPr>
        <w:t>(ii)</w:t>
      </w:r>
      <w:r w:rsidRPr="005A30F4">
        <w:rPr>
          <w:bCs/>
        </w:rPr>
        <w:tab/>
        <w:t>Nominations Related Standards (Version 4.0, September 29, 2023</w:t>
      </w:r>
      <w:r w:rsidRPr="005A30F4">
        <w:rPr>
          <w:bCs/>
        </w:rPr>
        <w:t>);</w:t>
      </w:r>
    </w:p>
    <w:p w:rsidR="005A30F4" w:rsidRPr="005A30F4" w:rsidP="005A30F4" w14:paraId="3EBDD08D" w14:textId="77777777">
      <w:pPr>
        <w:rPr>
          <w:bCs/>
        </w:rPr>
      </w:pPr>
    </w:p>
    <w:p w:rsidR="005A30F4" w:rsidRPr="005A30F4" w:rsidP="005A30F4" w14:paraId="12F67B2E" w14:textId="77777777">
      <w:pPr>
        <w:rPr>
          <w:bCs/>
        </w:rPr>
      </w:pPr>
      <w:r w:rsidRPr="005A30F4">
        <w:rPr>
          <w:bCs/>
        </w:rPr>
        <w:t>(iii)</w:t>
      </w:r>
      <w:r w:rsidRPr="005A30F4">
        <w:rPr>
          <w:bCs/>
        </w:rPr>
        <w:tab/>
        <w:t>Flowing Gas Related Standards (Version 4.0, September 29, 2023</w:t>
      </w:r>
      <w:r w:rsidRPr="005A30F4">
        <w:rPr>
          <w:bCs/>
        </w:rPr>
        <w:t>);</w:t>
      </w:r>
    </w:p>
    <w:p w:rsidR="005A30F4" w:rsidRPr="005A30F4" w:rsidP="005A30F4" w14:paraId="14E051E8" w14:textId="77777777">
      <w:pPr>
        <w:rPr>
          <w:bCs/>
        </w:rPr>
      </w:pPr>
    </w:p>
    <w:p w:rsidR="005A30F4" w:rsidRPr="005A30F4" w:rsidP="005A30F4" w14:paraId="7CB2DB9D" w14:textId="77777777">
      <w:pPr>
        <w:rPr>
          <w:bCs/>
        </w:rPr>
      </w:pPr>
      <w:r w:rsidRPr="005A30F4">
        <w:rPr>
          <w:bCs/>
        </w:rPr>
        <w:t>(iv)</w:t>
      </w:r>
      <w:r w:rsidRPr="005A30F4">
        <w:rPr>
          <w:bCs/>
        </w:rPr>
        <w:tab/>
        <w:t>Invoicing Related Standards (Version 4.0, September 29, 2023</w:t>
      </w:r>
      <w:r w:rsidR="0036255A">
        <w:rPr>
          <w:bCs/>
        </w:rPr>
        <w:t xml:space="preserve">, with minor correction to </w:t>
      </w:r>
      <w:r w:rsidRPr="003F35FF" w:rsidR="003F35FF">
        <w:rPr>
          <w:bCs/>
        </w:rPr>
        <w:t>Standard No. 3.4.1</w:t>
      </w:r>
      <w:r w:rsidR="00FD3BB8">
        <w:rPr>
          <w:bCs/>
        </w:rPr>
        <w:t xml:space="preserve"> </w:t>
      </w:r>
      <w:r w:rsidR="00B80E59">
        <w:rPr>
          <w:bCs/>
        </w:rPr>
        <w:t xml:space="preserve">applied </w:t>
      </w:r>
      <w:r w:rsidR="00FD3BB8">
        <w:rPr>
          <w:bCs/>
        </w:rPr>
        <w:t xml:space="preserve">May </w:t>
      </w:r>
      <w:r w:rsidR="003271CD">
        <w:rPr>
          <w:bCs/>
        </w:rPr>
        <w:t>17</w:t>
      </w:r>
      <w:r w:rsidR="00FD3BB8">
        <w:rPr>
          <w:bCs/>
        </w:rPr>
        <w:t>, 2024</w:t>
      </w:r>
      <w:r w:rsidRPr="005A30F4">
        <w:rPr>
          <w:bCs/>
        </w:rPr>
        <w:t>);</w:t>
      </w:r>
    </w:p>
    <w:p w:rsidR="005A30F4" w:rsidRPr="005A30F4" w:rsidP="005A30F4" w14:paraId="74A007EC" w14:textId="77777777">
      <w:pPr>
        <w:rPr>
          <w:bCs/>
        </w:rPr>
      </w:pPr>
    </w:p>
    <w:p w:rsidR="005A30F4" w:rsidRPr="005A30F4" w:rsidP="005A30F4" w14:paraId="3A5CEC89" w14:textId="77777777">
      <w:pPr>
        <w:rPr>
          <w:bCs/>
        </w:rPr>
      </w:pPr>
      <w:r w:rsidRPr="005A30F4">
        <w:rPr>
          <w:bCs/>
        </w:rPr>
        <w:t>(v)</w:t>
      </w:r>
      <w:r w:rsidRPr="005A30F4">
        <w:rPr>
          <w:bCs/>
        </w:rPr>
        <w:tab/>
        <w:t>Quadrant Electronic Delivery Mechanism Related Standards (Version 4.0, September 29, 2023</w:t>
      </w:r>
      <w:r w:rsidRPr="005A30F4">
        <w:rPr>
          <w:bCs/>
        </w:rPr>
        <w:t>);</w:t>
      </w:r>
    </w:p>
    <w:p w:rsidR="005A30F4" w:rsidRPr="005A30F4" w:rsidP="005A30F4" w14:paraId="19EB0ABB" w14:textId="77777777"/>
    <w:p w:rsidR="005A30F4" w:rsidP="005A30F4" w14:paraId="69075BEF" w14:textId="77777777">
      <w:r>
        <w:t>(vi)</w:t>
      </w:r>
      <w:r>
        <w:tab/>
        <w:t>Capacity Release Related Standards (</w:t>
      </w:r>
      <w:r w:rsidRPr="68F84A17">
        <w:rPr>
          <w:lang w:val="en"/>
        </w:rPr>
        <w:t xml:space="preserve">Version 4.0, </w:t>
      </w:r>
      <w:r>
        <w:t>September 29, 2023);</w:t>
      </w:r>
      <w:r w:rsidR="42032AA2">
        <w:t xml:space="preserve"> and</w:t>
      </w:r>
      <w:r>
        <w:t xml:space="preserve"> </w:t>
      </w:r>
    </w:p>
    <w:p w:rsidR="00A248D9" w:rsidP="00A248D9" w14:paraId="5A5EBBE9" w14:textId="77777777"/>
    <w:p w:rsidR="005A30F4" w:rsidP="00A248D9" w14:paraId="7F5BBC8C" w14:textId="77777777">
      <w:r>
        <w:t>(vii)</w:t>
      </w:r>
      <w:r>
        <w:tab/>
        <w:t xml:space="preserve">Cybersecurity Related Standards (Version 4.0, September 29, 2023) </w:t>
      </w:r>
    </w:p>
    <w:p w:rsidR="001E3127" w:rsidP="005A30F4" w14:paraId="7D5D3E11" w14:textId="77777777">
      <w:pPr>
        <w:rPr>
          <w:bCs/>
        </w:rPr>
      </w:pPr>
    </w:p>
    <w:p w:rsidR="001E3127" w:rsidRPr="005A30F4" w:rsidP="005A30F4" w14:paraId="7D231213" w14:textId="77777777">
      <w:pPr>
        <w:rPr>
          <w:bCs/>
        </w:rPr>
      </w:pPr>
      <w:r>
        <w:rPr>
          <w:bCs/>
        </w:rPr>
        <w:t>(2)</w:t>
      </w:r>
      <w:r w:rsidR="00514737">
        <w:rPr>
          <w:bCs/>
        </w:rPr>
        <w:tab/>
      </w:r>
      <w:r w:rsidRPr="00FD1BC8" w:rsidR="00FD1BC8">
        <w:rPr>
          <w:bCs/>
        </w:rPr>
        <w:t xml:space="preserve">The material listed in this </w:t>
      </w:r>
      <w:r w:rsidRPr="00F10417" w:rsidR="00FD1BC8">
        <w:t>paragraph (a)(2)</w:t>
      </w:r>
      <w:r w:rsidRPr="00FD1BC8" w:rsidR="00FD1BC8">
        <w:rPr>
          <w:bCs/>
        </w:rPr>
        <w:t xml:space="preserve"> is incorporated by reference into this section with the approval of the Director of the Federal Register under </w:t>
      </w:r>
      <w:r w:rsidRPr="00F10417" w:rsidR="00FD1BC8">
        <w:t>5 U.S.C. 552(a)</w:t>
      </w:r>
      <w:r w:rsidRPr="00FD1BC8" w:rsidR="00FD1BC8">
        <w:rPr>
          <w:bCs/>
        </w:rPr>
        <w:t xml:space="preserve"> </w:t>
      </w:r>
      <w:r w:rsidRPr="00FD1BC8" w:rsidR="00FD1BC8">
        <w:rPr>
          <w:bCs/>
        </w:rPr>
        <w:t xml:space="preserve">and </w:t>
      </w:r>
      <w:r w:rsidRPr="00F10417" w:rsidR="00FD1BC8">
        <w:t>1 CFR part 51</w:t>
      </w:r>
      <w:r w:rsidRPr="00FD1BC8" w:rsidR="00FD1BC8">
        <w:rPr>
          <w:bCs/>
        </w:rPr>
        <w:t xml:space="preserve">. </w:t>
      </w:r>
      <w:r w:rsidR="0014334C">
        <w:rPr>
          <w:bCs/>
        </w:rPr>
        <w:t xml:space="preserve"> </w:t>
      </w:r>
      <w:r w:rsidRPr="00FD1BC8" w:rsidR="00FD1BC8">
        <w:rPr>
          <w:bCs/>
        </w:rPr>
        <w:t xml:space="preserve">All approved material is available for inspection at the National Archives and Records Administration (NARA). For information on the availability of this material at NARA, visit </w:t>
      </w:r>
      <w:r w:rsidRPr="001D37F2" w:rsidR="00FD1BC8">
        <w:rPr>
          <w:bCs/>
          <w:i/>
          <w:iCs/>
        </w:rPr>
        <w:t>www.archives.gov/federal-register/cfr/ibr-locations</w:t>
      </w:r>
      <w:r w:rsidRPr="00FD1BC8" w:rsidR="00FD1BC8">
        <w:rPr>
          <w:bCs/>
        </w:rPr>
        <w:t xml:space="preserve"> or email </w:t>
      </w:r>
      <w:r w:rsidRPr="001D37F2" w:rsidR="00FD1BC8">
        <w:rPr>
          <w:bCs/>
          <w:i/>
          <w:iCs/>
        </w:rPr>
        <w:t>fr.inspection@nara.gov</w:t>
      </w:r>
      <w:r w:rsidRPr="00FD1BC8" w:rsidR="00FD1BC8">
        <w:rPr>
          <w:bCs/>
          <w:i/>
          <w:iCs/>
        </w:rPr>
        <w:t>.</w:t>
      </w:r>
      <w:r w:rsidRPr="00FD1BC8" w:rsidR="00FD1BC8">
        <w:rPr>
          <w:bCs/>
        </w:rPr>
        <w:t xml:space="preserve"> </w:t>
      </w:r>
      <w:r w:rsidR="006A6DBA">
        <w:rPr>
          <w:bCs/>
        </w:rPr>
        <w:t xml:space="preserve"> </w:t>
      </w:r>
      <w:r w:rsidR="000023F1">
        <w:rPr>
          <w:bCs/>
        </w:rPr>
        <w:t xml:space="preserve">Contact the Federal Energy Regulatory Commission at </w:t>
      </w:r>
      <w:r w:rsidRPr="001D37F2" w:rsidR="000023F1">
        <w:rPr>
          <w:bCs/>
          <w:i/>
          <w:iCs/>
        </w:rPr>
        <w:t>https://www.ferc.gov</w:t>
      </w:r>
      <w:r w:rsidRPr="0024761A" w:rsidR="000023F1">
        <w:rPr>
          <w:bCs/>
          <w:iCs/>
        </w:rPr>
        <w:t>,</w:t>
      </w:r>
      <w:r w:rsidRPr="00FD1BC8" w:rsidR="000023F1">
        <w:rPr>
          <w:bCs/>
        </w:rPr>
        <w:t xml:space="preserve"> email </w:t>
      </w:r>
      <w:r w:rsidRPr="001D37F2" w:rsidR="000023F1">
        <w:rPr>
          <w:bCs/>
          <w:i/>
          <w:iCs/>
        </w:rPr>
        <w:t>public.referenceroom@ferc.gov</w:t>
      </w:r>
      <w:r w:rsidRPr="0024761A" w:rsidR="000023F1">
        <w:rPr>
          <w:bCs/>
          <w:iCs/>
        </w:rPr>
        <w:t>,</w:t>
      </w:r>
      <w:r w:rsidRPr="00FD1BC8" w:rsidR="000023F1">
        <w:rPr>
          <w:bCs/>
        </w:rPr>
        <w:t xml:space="preserve"> or via phone call at 202-502-8371</w:t>
      </w:r>
      <w:r w:rsidR="000023F1">
        <w:rPr>
          <w:bCs/>
        </w:rPr>
        <w:t xml:space="preserve"> for assistance in viewing the </w:t>
      </w:r>
      <w:r w:rsidR="0014334C">
        <w:rPr>
          <w:bCs/>
        </w:rPr>
        <w:t>material</w:t>
      </w:r>
      <w:r w:rsidRPr="00FD1BC8" w:rsidR="000023F1">
        <w:rPr>
          <w:bCs/>
        </w:rPr>
        <w:t>.</w:t>
      </w:r>
      <w:r w:rsidR="0014334C">
        <w:rPr>
          <w:bCs/>
        </w:rPr>
        <w:t xml:space="preserve">  </w:t>
      </w:r>
      <w:r w:rsidRPr="00FD1BC8" w:rsidR="00FD1BC8">
        <w:rPr>
          <w:bCs/>
        </w:rPr>
        <w:t xml:space="preserve">The material </w:t>
      </w:r>
      <w:r w:rsidR="00690CF4">
        <w:rPr>
          <w:bCs/>
        </w:rPr>
        <w:t xml:space="preserve">also </w:t>
      </w:r>
      <w:r w:rsidRPr="00FD1BC8" w:rsidR="00FD1BC8">
        <w:rPr>
          <w:bCs/>
        </w:rPr>
        <w:t xml:space="preserve">may be obtained from the North American Energy Standards Board, 801 Travis Street, Suite 1675, Houston, TX 77002, Phone: (713) 356-0060; </w:t>
      </w:r>
      <w:r w:rsidRPr="001D37F2" w:rsidR="00FD1BC8">
        <w:rPr>
          <w:bCs/>
          <w:i/>
          <w:iCs/>
        </w:rPr>
        <w:t>https://www.naesb.org/</w:t>
      </w:r>
      <w:r w:rsidRPr="00FD1BC8" w:rsidR="00FD1BC8">
        <w:rPr>
          <w:bCs/>
          <w:i/>
          <w:iCs/>
        </w:rPr>
        <w:t>.</w:t>
      </w:r>
    </w:p>
    <w:p w:rsidR="0080790A" w:rsidP="00922FFB" w14:paraId="45796581" w14:textId="77777777">
      <w:pPr>
        <w:rPr>
          <w:bCs/>
        </w:rPr>
      </w:pPr>
    </w:p>
    <w:p w:rsidR="00CF5306" w:rsidRPr="008E257E" w:rsidP="00922FFB" w14:paraId="5D37D06A" w14:textId="77777777">
      <w:pPr>
        <w:rPr>
          <w:b/>
        </w:rPr>
      </w:pPr>
      <w:r w:rsidRPr="005A30F4">
        <w:rPr>
          <w:bCs/>
        </w:rPr>
        <w:t>*     *     *     *     *</w:t>
      </w:r>
    </w:p>
    <w:p w:rsidR="00CF5306" w:rsidRPr="00456136" w:rsidP="00456136" w14:paraId="41436872" w14:textId="77777777"/>
    <w:p w:rsidR="00CF5306" w:rsidRPr="00FF32A1" w:rsidP="00FF32A1" w14:paraId="520AB382" w14:textId="77777777"/>
    <w:p w:rsidR="00CF5306" w:rsidRPr="0003382F" w:rsidP="0003382F" w14:paraId="7F9550BF" w14:textId="77777777"/>
    <w:p w:rsidR="00FF32A1" w:rsidRPr="0003382F" w:rsidP="00CF5306" w14:paraId="1E47BD61" w14:textId="77777777">
      <w:pPr>
        <w:pStyle w:val="FootnoteText"/>
        <w:ind w:firstLine="0"/>
        <w:jc w:val="right"/>
      </w:pPr>
    </w:p>
    <w:sectPr w:rsidSect="00CF5306">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B78D8" w:rsidP="0048020B" w14:paraId="5DDA37CC" w14:textId="77777777">
      <w:r>
        <w:separator/>
      </w:r>
    </w:p>
  </w:endnote>
  <w:endnote w:type="continuationSeparator" w:id="1">
    <w:p w:rsidR="009B78D8" w:rsidP="0048020B" w14:paraId="417596AE" w14:textId="77777777">
      <w:r>
        <w:continuationSeparator/>
      </w:r>
    </w:p>
  </w:endnote>
  <w:endnote w:type="continuationNotice" w:id="2">
    <w:p w:rsidR="009B78D8" w14:paraId="5E57C4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8D8" w:rsidP="0048020B" w14:paraId="4138EDCE" w14:textId="77777777">
      <w:r>
        <w:separator/>
      </w:r>
    </w:p>
  </w:footnote>
  <w:footnote w:type="continuationSeparator" w:id="1">
    <w:p w:rsidR="009B78D8" w:rsidP="0048020B" w14:paraId="0956B0C1" w14:textId="77777777">
      <w:r>
        <w:continuationSeparator/>
      </w:r>
    </w:p>
  </w:footnote>
  <w:footnote w:type="continuationNotice" w:id="2">
    <w:p w:rsidR="009B78D8" w:rsidRPr="00D0590A" w:rsidP="00D0590A" w14:paraId="4A6F55F4" w14:textId="77777777">
      <w:pPr>
        <w:spacing w:line="14" w:lineRule="exact"/>
        <w:rPr>
          <w:sz w:val="2"/>
        </w:rPr>
      </w:pPr>
    </w:p>
  </w:footnote>
  <w:footnote w:id="3">
    <w:p w:rsidR="00AF5ABA" w:rsidP="00AF5ABA" w14:paraId="29458D9F" w14:textId="77777777">
      <w:pPr>
        <w:pStyle w:val="FootnoteText"/>
      </w:pPr>
      <w:r w:rsidRPr="000149D9">
        <w:rPr>
          <w:rStyle w:val="FootnoteReference"/>
        </w:rPr>
        <w:footnoteRef/>
      </w:r>
      <w:r>
        <w:t xml:space="preserve"> As explained below, we are not incorporating by reference in this Final Rule </w:t>
      </w:r>
      <w:r w:rsidR="007C62BC">
        <w:t xml:space="preserve">    </w:t>
      </w:r>
      <w:r>
        <w:t xml:space="preserve">the </w:t>
      </w:r>
      <w:r w:rsidRPr="005E75CF">
        <w:t xml:space="preserve">optional model contracts and the </w:t>
      </w:r>
      <w:r w:rsidRPr="005E75CF">
        <w:t>eTariff</w:t>
      </w:r>
      <w:r w:rsidRPr="005E75CF">
        <w:t xml:space="preserve">-related standards </w:t>
      </w:r>
      <w:r>
        <w:t xml:space="preserve">included in the </w:t>
      </w:r>
      <w:r w:rsidR="007C62BC">
        <w:t xml:space="preserve">           </w:t>
      </w:r>
      <w:r>
        <w:t>North American Energy Standards Board (NAESB) Wholesale Gas Quadrant (</w:t>
      </w:r>
      <w:r w:rsidR="002307E0">
        <w:t xml:space="preserve">WGQ) </w:t>
      </w:r>
      <w:r>
        <w:t xml:space="preserve">Version </w:t>
      </w:r>
      <w:r w:rsidR="00442D5D">
        <w:t>4.0</w:t>
      </w:r>
      <w:r>
        <w:t xml:space="preserve"> package of business practice standards.</w:t>
      </w:r>
    </w:p>
  </w:footnote>
  <w:footnote w:id="4">
    <w:p w:rsidR="00CB75EE" w:rsidP="00CB75EE" w14:paraId="6C56C28F" w14:textId="77777777">
      <w:pPr>
        <w:pStyle w:val="FootnoteText"/>
      </w:pPr>
      <w:r w:rsidRPr="009A3DEC">
        <w:rPr>
          <w:rStyle w:val="FootnoteReference"/>
        </w:rPr>
        <w:footnoteRef/>
      </w:r>
      <w:r w:rsidRPr="009A3DEC" w:rsidR="22B1E461">
        <w:t xml:space="preserve"> </w:t>
      </w:r>
      <w:r w:rsidRPr="008416CD" w:rsidR="22B1E461">
        <w:t>As explained below, NAESB has developed and adopted, in conjunction with Sandia National Laboratories, a series of business practice standards to strengthen the cybersecurity protection</w:t>
      </w:r>
      <w:r w:rsidR="22B1E461">
        <w:t xml:space="preserve">s </w:t>
      </w:r>
      <w:r w:rsidRPr="008416CD" w:rsidR="22B1E461">
        <w:t>provided within the standards.</w:t>
      </w:r>
    </w:p>
  </w:footnote>
  <w:footnote w:id="5">
    <w:p w:rsidR="00BA0B46" w:rsidP="00BA0B46" w14:paraId="5772D1D2" w14:textId="77777777">
      <w:pPr>
        <w:pStyle w:val="FootnoteText"/>
      </w:pPr>
      <w:r w:rsidRPr="000149D9">
        <w:rPr>
          <w:rStyle w:val="FootnoteReference"/>
        </w:rPr>
        <w:footnoteRef/>
      </w:r>
      <w:r>
        <w:t xml:space="preserve"> </w:t>
      </w:r>
      <w:r w:rsidRPr="00110725">
        <w:t xml:space="preserve">This series of orders began with the Commission’s issuance of </w:t>
      </w:r>
      <w:r w:rsidR="00843E59">
        <w:t xml:space="preserve">Order No. 587, </w:t>
      </w:r>
      <w:r w:rsidRPr="00110725">
        <w:rPr>
          <w:i/>
        </w:rPr>
        <w:t xml:space="preserve">Standards for </w:t>
      </w:r>
      <w:r>
        <w:rPr>
          <w:i/>
        </w:rPr>
        <w:t>Bus</w:t>
      </w:r>
      <w:r w:rsidR="00E267FB">
        <w:rPr>
          <w:i/>
        </w:rPr>
        <w:t>.</w:t>
      </w:r>
      <w:r w:rsidRPr="00110725">
        <w:rPr>
          <w:i/>
        </w:rPr>
        <w:t xml:space="preserve"> </w:t>
      </w:r>
      <w:r>
        <w:rPr>
          <w:i/>
        </w:rPr>
        <w:t>Prac</w:t>
      </w:r>
      <w:r w:rsidR="00843E59">
        <w:rPr>
          <w:i/>
        </w:rPr>
        <w:t>tice</w:t>
      </w:r>
      <w:r w:rsidRPr="00110725">
        <w:rPr>
          <w:i/>
        </w:rPr>
        <w:t xml:space="preserve">s of Interstate </w:t>
      </w:r>
      <w:r>
        <w:rPr>
          <w:i/>
        </w:rPr>
        <w:t>Na</w:t>
      </w:r>
      <w:r w:rsidR="00843E59">
        <w:rPr>
          <w:i/>
        </w:rPr>
        <w:t>t</w:t>
      </w:r>
      <w:r>
        <w:rPr>
          <w:i/>
        </w:rPr>
        <w:t>.</w:t>
      </w:r>
      <w:r w:rsidRPr="00110725">
        <w:rPr>
          <w:i/>
        </w:rPr>
        <w:t xml:space="preserve"> Gas Pipe</w:t>
      </w:r>
      <w:r>
        <w:rPr>
          <w:i/>
        </w:rPr>
        <w:t>lines.</w:t>
      </w:r>
      <w:r w:rsidRPr="00110725">
        <w:t xml:space="preserve"> </w:t>
      </w:r>
      <w:r w:rsidRPr="00680C2B">
        <w:t xml:space="preserve">61 FR </w:t>
      </w:r>
      <w:r w:rsidRPr="00680C2B">
        <w:t>39053</w:t>
      </w:r>
      <w:r>
        <w:t xml:space="preserve"> </w:t>
      </w:r>
      <w:r w:rsidR="001C4F0A">
        <w:t xml:space="preserve"> </w:t>
      </w:r>
      <w:r>
        <w:t>(</w:t>
      </w:r>
      <w:r>
        <w:t xml:space="preserve">July 26, 1996), </w:t>
      </w:r>
      <w:r w:rsidRPr="00BA1F44">
        <w:t xml:space="preserve">FERC Stats. &amp; Regs. </w:t>
      </w:r>
      <w:r w:rsidRPr="00BA1F44" w:rsidR="0024761A">
        <w:t>¶</w:t>
      </w:r>
      <w:r w:rsidR="0024761A">
        <w:t> </w:t>
      </w:r>
      <w:r w:rsidRPr="00BA1F44" w:rsidR="0024761A">
        <w:t>3</w:t>
      </w:r>
      <w:r w:rsidRPr="00BA1F44">
        <w:t>1,038</w:t>
      </w:r>
      <w:r w:rsidRPr="0000262C">
        <w:t xml:space="preserve"> (1996)</w:t>
      </w:r>
      <w:r>
        <w:t xml:space="preserve"> (cross-referenced at </w:t>
      </w:r>
      <w:r w:rsidRPr="00680C2B">
        <w:t xml:space="preserve">76 FERC </w:t>
      </w:r>
      <w:r w:rsidRPr="00680C2B" w:rsidR="0024761A">
        <w:t>¶</w:t>
      </w:r>
      <w:r w:rsidR="0024761A">
        <w:t> </w:t>
      </w:r>
      <w:r w:rsidRPr="00680C2B" w:rsidR="0024761A">
        <w:t>6</w:t>
      </w:r>
      <w:r w:rsidRPr="00680C2B">
        <w:t>1,042</w:t>
      </w:r>
      <w:r>
        <w:t>)</w:t>
      </w:r>
      <w:r w:rsidRPr="0000262C">
        <w:t>.</w:t>
      </w:r>
    </w:p>
  </w:footnote>
  <w:footnote w:id="6">
    <w:p w:rsidR="009D3333" w:rsidP="009D3333" w14:paraId="6AE85874" w14:textId="77777777">
      <w:pPr>
        <w:pStyle w:val="FootnoteText"/>
      </w:pPr>
      <w:r>
        <w:rPr>
          <w:rStyle w:val="FootnoteReference"/>
        </w:rPr>
        <w:footnoteRef/>
      </w:r>
      <w:r w:rsidR="22B1E461">
        <w:t xml:space="preserve"> S</w:t>
      </w:r>
      <w:r>
        <w:t>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7">
    <w:p w:rsidR="009D3333" w:rsidP="009D3333" w14:paraId="6E963AF2" w14:textId="77777777">
      <w:pPr>
        <w:pStyle w:val="FootnoteText"/>
        <w:rPr>
          <w:szCs w:val="26"/>
          <w:lang w:bidi="en-US"/>
        </w:rPr>
      </w:pPr>
      <w:r>
        <w:rPr>
          <w:rStyle w:val="FootnoteReference"/>
          <w:szCs w:val="26"/>
        </w:rPr>
        <w:footnoteRef/>
      </w:r>
      <w:r>
        <w:rPr>
          <w:szCs w:val="26"/>
        </w:rPr>
        <w:t xml:space="preserve"> </w:t>
      </w:r>
      <w:r>
        <w:rPr>
          <w:szCs w:val="26"/>
          <w:lang w:bidi="en-US"/>
        </w:rPr>
        <w:t xml:space="preserve">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w:t>
      </w:r>
      <w:r w:rsidR="00E267FB">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8">
    <w:p w:rsidR="006D3E9A" w:rsidRPr="00FC6465" w:rsidP="006D3E9A" w14:paraId="146049D5" w14:textId="77777777">
      <w:pPr>
        <w:pStyle w:val="FootnoteText"/>
      </w:pPr>
      <w:r w:rsidRPr="000149D9">
        <w:rPr>
          <w:rStyle w:val="FootnoteReference"/>
        </w:rPr>
        <w:footnoteRef/>
      </w:r>
      <w:r w:rsidRPr="22B1E461" w:rsidR="22B1E461">
        <w:rPr>
          <w:b/>
          <w:bCs/>
          <w:vertAlign w:val="superscript"/>
        </w:rPr>
        <w:t xml:space="preserve"> </w:t>
      </w:r>
      <w:r w:rsidRPr="22B1E461" w:rsidR="22B1E461">
        <w:rPr>
          <w:i/>
          <w:iCs/>
        </w:rPr>
        <w:t xml:space="preserve">Standards for Bus. </w:t>
      </w:r>
      <w:r w:rsidRPr="22B1E461" w:rsidR="22B1E461">
        <w:rPr>
          <w:i/>
          <w:iCs/>
        </w:rPr>
        <w:t>Pracs</w:t>
      </w:r>
      <w:r w:rsidRPr="22B1E461" w:rsidR="22B1E461">
        <w:rPr>
          <w:i/>
          <w:iCs/>
        </w:rPr>
        <w:t>. of Interstate Nat. Gas Pipelines</w:t>
      </w:r>
      <w:r w:rsidRPr="22B1E461" w:rsidR="22B1E461">
        <w:t>, Notice of Proposed Rulemaking, 89 FR 23954</w:t>
      </w:r>
      <w:r w:rsidRPr="00AE2777" w:rsidR="22B1E461">
        <w:rPr>
          <w:szCs w:val="26"/>
        </w:rPr>
        <w:t xml:space="preserve"> (</w:t>
      </w:r>
      <w:r w:rsidRPr="22B1E461" w:rsidR="00225468">
        <w:t>Apr.</w:t>
      </w:r>
      <w:r w:rsidRPr="00AE2777" w:rsidR="22B1E461">
        <w:rPr>
          <w:szCs w:val="26"/>
        </w:rPr>
        <w:t xml:space="preserve"> </w:t>
      </w:r>
      <w:r w:rsidRPr="22B1E461" w:rsidR="22B1E461">
        <w:t>4, 2024</w:t>
      </w:r>
      <w:r w:rsidRPr="001069FD" w:rsidR="22B1E461">
        <w:rPr>
          <w:szCs w:val="26"/>
        </w:rPr>
        <w:t>),</w:t>
      </w:r>
      <w:r w:rsidRPr="000B2771" w:rsidR="22B1E461">
        <w:t xml:space="preserve"> 186 FERC </w:t>
      </w:r>
      <w:r w:rsidRPr="000B2771" w:rsidR="0024761A">
        <w:t>¶</w:t>
      </w:r>
      <w:r w:rsidR="0024761A">
        <w:t> </w:t>
      </w:r>
      <w:r w:rsidRPr="000B2771" w:rsidR="0024761A">
        <w:t>6</w:t>
      </w:r>
      <w:r w:rsidRPr="000B2771" w:rsidR="22B1E461">
        <w:t>1,1</w:t>
      </w:r>
      <w:r w:rsidR="22B1E461">
        <w:t xml:space="preserve">96 </w:t>
      </w:r>
      <w:r w:rsidRPr="000B2771" w:rsidR="22B1E461">
        <w:t>(20</w:t>
      </w:r>
      <w:r w:rsidR="22B1E461">
        <w:t>24</w:t>
      </w:r>
      <w:r w:rsidRPr="000B2771" w:rsidR="22B1E461">
        <w:t>) (</w:t>
      </w:r>
      <w:r w:rsidR="00EC069A">
        <w:t xml:space="preserve">WGQ </w:t>
      </w:r>
      <w:r w:rsidRPr="000B2771" w:rsidR="22B1E461">
        <w:t>Version 4.</w:t>
      </w:r>
      <w:r w:rsidR="22B1E461">
        <w:t>0</w:t>
      </w:r>
      <w:r w:rsidRPr="000B2771" w:rsidR="22B1E461">
        <w:t xml:space="preserve"> NOPR).</w:t>
      </w:r>
    </w:p>
  </w:footnote>
  <w:footnote w:id="9">
    <w:p w:rsidR="00A311C2" w:rsidP="00A311C2" w14:paraId="4CFD23DB" w14:textId="77777777">
      <w:pPr>
        <w:pStyle w:val="FootnoteText"/>
      </w:pPr>
      <w:r>
        <w:rPr>
          <w:rStyle w:val="FootnoteReference"/>
        </w:rPr>
        <w:footnoteRef/>
      </w:r>
      <w:r>
        <w:t xml:space="preserve"> </w:t>
      </w:r>
      <w:r w:rsidR="00E35DCA">
        <w:t xml:space="preserve">NAESB </w:t>
      </w:r>
      <w:r w:rsidR="00610DE8">
        <w:t>adopted t</w:t>
      </w:r>
      <w:r>
        <w:t>he minor correct</w:t>
      </w:r>
      <w:r w:rsidR="001E0F9D">
        <w:t>ion</w:t>
      </w:r>
      <w:r>
        <w:t xml:space="preserve">, Minor Correction MC24002, </w:t>
      </w:r>
      <w:r w:rsidR="005F6159">
        <w:t>on May 17, 2024</w:t>
      </w:r>
      <w:r w:rsidR="00225468">
        <w:t>,</w:t>
      </w:r>
      <w:r>
        <w:t xml:space="preserve"> </w:t>
      </w:r>
      <w:r w:rsidR="0022066E">
        <w:t>which</w:t>
      </w:r>
      <w:r>
        <w:t xml:space="preserve"> modifies NAESB WGQ Standard No. 3.4.1 – Transportation / Sales Invoice included in the WGQ Invoicing Related Standards.</w:t>
      </w:r>
    </w:p>
  </w:footnote>
  <w:footnote w:id="10">
    <w:p w:rsidR="009D3333" w:rsidP="009D3333" w14:paraId="26555A3B" w14:textId="77777777">
      <w:pPr>
        <w:pStyle w:val="FootnoteText"/>
      </w:pPr>
      <w:r>
        <w:rPr>
          <w:rStyle w:val="FootnoteReference"/>
        </w:rPr>
        <w:footnoteRef/>
      </w:r>
      <w:r>
        <w:t xml:space="preserve"> NAESB states that </w:t>
      </w:r>
      <w:r w:rsidR="00772A31">
        <w:t xml:space="preserve">the </w:t>
      </w:r>
      <w:r>
        <w:t xml:space="preserve">standard changes are </w:t>
      </w:r>
      <w:r w:rsidRPr="001009D9">
        <w:t>to ensure the hierarchal structure of the dataset complied with the Accredited Standards Institute X12 Transaction Set 811 Consolidated Service Invoice/Statement</w:t>
      </w:r>
      <w:r>
        <w:t>.</w:t>
      </w:r>
    </w:p>
  </w:footnote>
  <w:footnote w:id="11">
    <w:p w:rsidR="0043262F" w14:paraId="337362D3" w14:textId="77777777">
      <w:pPr>
        <w:pStyle w:val="FootnoteText"/>
      </w:pPr>
      <w:r>
        <w:rPr>
          <w:rStyle w:val="FootnoteReference"/>
        </w:rPr>
        <w:footnoteRef/>
      </w:r>
      <w:r>
        <w:t xml:space="preserve"> </w:t>
      </w:r>
      <w:r w:rsidR="00971FC5">
        <w:t xml:space="preserve">AGA Comments at 1. </w:t>
      </w:r>
      <w:r w:rsidR="00431C82">
        <w:t xml:space="preserve"> </w:t>
      </w:r>
      <w:r w:rsidR="00971FC5">
        <w:t>AGA also expresses its disappointment that Standards Request No. 230</w:t>
      </w:r>
      <w:r w:rsidR="008641C2">
        <w:t>0</w:t>
      </w:r>
      <w:r w:rsidR="00971FC5">
        <w:t xml:space="preserve">1 was not part of the proposed revisions. </w:t>
      </w:r>
      <w:r w:rsidR="00431C82">
        <w:t xml:space="preserve"> </w:t>
      </w:r>
      <w:r w:rsidR="00971FC5">
        <w:t>AGA Comments at 1-2.  These comments do not pertain to this Final Rule, and thus, will not be addressed.</w:t>
      </w:r>
    </w:p>
  </w:footnote>
  <w:footnote w:id="12">
    <w:p w:rsidR="00971FC5" w14:paraId="6CA306E0" w14:textId="77777777">
      <w:pPr>
        <w:pStyle w:val="FootnoteText"/>
      </w:pPr>
      <w:r>
        <w:rPr>
          <w:rStyle w:val="FootnoteReference"/>
        </w:rPr>
        <w:footnoteRef/>
      </w:r>
      <w:r>
        <w:t xml:space="preserve"> </w:t>
      </w:r>
      <w:r w:rsidR="0000088C">
        <w:t>INGAA Comments at 2.</w:t>
      </w:r>
    </w:p>
  </w:footnote>
  <w:footnote w:id="13">
    <w:p w:rsidR="001F11BE" w:rsidP="001F11BE" w14:paraId="454BB17E" w14:textId="77777777">
      <w:pPr>
        <w:pStyle w:val="FootnoteText"/>
      </w:pPr>
      <w:r w:rsidRPr="000149D9">
        <w:rPr>
          <w:rStyle w:val="FootnoteReference"/>
        </w:rPr>
        <w:footnoteRef/>
      </w:r>
      <w:r>
        <w:t xml:space="preserve"> Pub. L. No. 104-113, § 12(d), 110 Stat. 775 (1996).</w:t>
      </w:r>
    </w:p>
  </w:footnote>
  <w:footnote w:id="14">
    <w:p w:rsidR="00F62EE3" w:rsidP="00F62EE3" w14:paraId="03E4FAD4" w14:textId="77777777">
      <w:pPr>
        <w:pStyle w:val="FootnoteText"/>
      </w:pPr>
      <w:r>
        <w:rPr>
          <w:rStyle w:val="FootnoteReference"/>
        </w:rPr>
        <w:footnoteRef/>
      </w:r>
      <w:r>
        <w:t xml:space="preserve"> </w:t>
      </w:r>
      <w:r w:rsidRPr="002A3DB7">
        <w:t>Natural gas transportation service is provided by interstate pipelines, intrastate pipelines, natural gas gathering pipelines</w:t>
      </w:r>
      <w:r>
        <w:t>,</w:t>
      </w:r>
      <w:r w:rsidRPr="002A3DB7">
        <w:t xml:space="preserve"> and local distribution companies</w:t>
      </w:r>
      <w:r>
        <w:t>; all are</w:t>
      </w:r>
      <w:r w:rsidRPr="002A3DB7">
        <w:t xml:space="preserve"> referred to as </w:t>
      </w:r>
      <w:r>
        <w:t>“</w:t>
      </w:r>
      <w:r w:rsidRPr="002A3DB7">
        <w:t>transportation service providers</w:t>
      </w:r>
      <w:r>
        <w:t>.”</w:t>
      </w:r>
    </w:p>
  </w:footnote>
  <w:footnote w:id="15">
    <w:p w:rsidR="00755F68" w:rsidP="00755F68" w14:paraId="02775882" w14:textId="77777777">
      <w:pPr>
        <w:pStyle w:val="FootnoteText"/>
      </w:pPr>
      <w:r>
        <w:rPr>
          <w:rStyle w:val="FootnoteReference"/>
        </w:rPr>
        <w:footnoteRef/>
      </w:r>
      <w:r>
        <w:t xml:space="preserve"> Informational Report </w:t>
      </w:r>
      <w:r w:rsidRPr="00957E7F">
        <w:t>at 4.</w:t>
      </w:r>
    </w:p>
  </w:footnote>
  <w:footnote w:id="16">
    <w:p w:rsidR="00755F68" w:rsidRPr="007E11BA" w:rsidP="00755F68" w14:paraId="378B1D43" w14:textId="77777777">
      <w:pPr>
        <w:pStyle w:val="FootnoteText"/>
      </w:pPr>
      <w:r w:rsidRPr="007E11BA">
        <w:rPr>
          <w:b/>
          <w:vertAlign w:val="superscript"/>
        </w:rPr>
        <w:footnoteRef/>
      </w:r>
      <w:r w:rsidRPr="007E11BA">
        <w:t xml:space="preserve"> </w:t>
      </w:r>
      <w:r>
        <w:t>The matrix identifies the data elements needed to communicate the results of the allocation process.</w:t>
      </w:r>
    </w:p>
  </w:footnote>
  <w:footnote w:id="17">
    <w:p w:rsidR="00755F68" w:rsidP="00755F68" w14:paraId="6EEE695B" w14:textId="77777777">
      <w:pPr>
        <w:pStyle w:val="FootnoteText"/>
      </w:pPr>
      <w:r>
        <w:rPr>
          <w:rStyle w:val="FootnoteReference"/>
        </w:rPr>
        <w:footnoteRef/>
      </w:r>
      <w:r>
        <w:t xml:space="preserve"> Informational Report at 5.</w:t>
      </w:r>
    </w:p>
  </w:footnote>
  <w:footnote w:id="18">
    <w:p w:rsidR="00755F68" w:rsidP="00755F68" w14:paraId="4B4CCCFB" w14:textId="77777777">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12879 (Mar</w:t>
      </w:r>
      <w:r w:rsidR="00680135">
        <w:t>.</w:t>
      </w:r>
      <w:r>
        <w:t xml:space="preserve"> 5, 2021), </w:t>
      </w:r>
      <w:r w:rsidRPr="0039464E">
        <w:t>1</w:t>
      </w:r>
      <w:r>
        <w:t>7</w:t>
      </w:r>
      <w:r w:rsidRPr="0039464E">
        <w:t xml:space="preserve">4 FERC </w:t>
      </w:r>
      <w:r w:rsidRPr="0039464E" w:rsidR="0024761A">
        <w:t>¶</w:t>
      </w:r>
      <w:r w:rsidR="0024761A">
        <w:t> </w:t>
      </w:r>
      <w:r w:rsidRPr="0039464E" w:rsidR="0024761A">
        <w:t>6</w:t>
      </w:r>
      <w:r w:rsidRPr="0039464E">
        <w:t>1,1</w:t>
      </w:r>
      <w:r>
        <w:t xml:space="preserve">03, at </w:t>
      </w:r>
      <w:r w:rsidR="0024761A">
        <w:t>P 1</w:t>
      </w:r>
      <w:r>
        <w:t>9 (2021) (</w:t>
      </w:r>
      <w:r w:rsidRPr="000603CD">
        <w:rPr>
          <w:i/>
          <w:iCs/>
        </w:rPr>
        <w:t>Version 3.</w:t>
      </w:r>
      <w:r>
        <w:rPr>
          <w:i/>
          <w:iCs/>
        </w:rPr>
        <w:t>2</w:t>
      </w:r>
      <w:r w:rsidRPr="000603CD">
        <w:rPr>
          <w:i/>
          <w:iCs/>
        </w:rPr>
        <w:t xml:space="preserve"> NOPR</w:t>
      </w:r>
      <w:r>
        <w:t>).</w:t>
      </w:r>
    </w:p>
  </w:footnote>
  <w:footnote w:id="19">
    <w:p w:rsidR="00755F68" w:rsidRPr="00393FAA" w:rsidP="00755F68" w14:paraId="5C609C03" w14:textId="77777777">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sidRPr="001B0322">
        <w:t>,</w:t>
      </w:r>
      <w:r w:rsidRPr="00716C7A">
        <w:t xml:space="preserve"> </w:t>
      </w:r>
      <w:r>
        <w:t xml:space="preserve">Order </w:t>
      </w:r>
      <w:r w:rsidR="001C4F0A">
        <w:t xml:space="preserve">         </w:t>
      </w:r>
      <w:r>
        <w:t>No.</w:t>
      </w:r>
      <w:r w:rsidRPr="006224AA">
        <w:t xml:space="preserve"> 587-V, </w:t>
      </w:r>
      <w:r w:rsidRPr="00EB63A0">
        <w:t>77 FR 43711</w:t>
      </w:r>
      <w:r>
        <w:t xml:space="preserve"> (Jul. 26, 2012), </w:t>
      </w:r>
      <w:r w:rsidRPr="008127C6">
        <w:t xml:space="preserve">140 FERC </w:t>
      </w:r>
      <w:r w:rsidRPr="008127C6" w:rsidR="0024761A">
        <w:t>¶</w:t>
      </w:r>
      <w:r w:rsidR="0024761A">
        <w:t> </w:t>
      </w:r>
      <w:r w:rsidRPr="008127C6" w:rsidR="0024761A">
        <w:t>6</w:t>
      </w:r>
      <w:r w:rsidRPr="008127C6">
        <w:t>1,036</w:t>
      </w:r>
      <w:r>
        <w:t>,</w:t>
      </w:r>
      <w:r w:rsidRPr="006224AA">
        <w:t xml:space="preserve"> at </w:t>
      </w:r>
      <w:r w:rsidR="0024761A">
        <w:t>P 1</w:t>
      </w:r>
      <w:r>
        <w:t>1 n.11 (2012).</w:t>
      </w:r>
    </w:p>
  </w:footnote>
  <w:footnote w:id="20">
    <w:p w:rsidR="00755F68" w:rsidP="00755F68" w14:paraId="014E0F56" w14:textId="77777777">
      <w:pPr>
        <w:pStyle w:val="FootnoteText"/>
      </w:pPr>
      <w:r w:rsidRPr="00932257">
        <w:rPr>
          <w:rStyle w:val="FootnoteReference"/>
        </w:rPr>
        <w:footnoteRef/>
      </w:r>
      <w:r>
        <w:t xml:space="preserve"> </w:t>
      </w:r>
      <w:r w:rsidRPr="005B1E93">
        <w:rPr>
          <w:i/>
        </w:rPr>
        <w:t>Version 3.</w:t>
      </w:r>
      <w:r>
        <w:rPr>
          <w:i/>
        </w:rPr>
        <w:t>2</w:t>
      </w:r>
      <w:r w:rsidRPr="005B1E93">
        <w:rPr>
          <w:i/>
        </w:rPr>
        <w:t xml:space="preserve"> NOPR</w:t>
      </w:r>
      <w:r w:rsidRPr="005B1E93">
        <w:t xml:space="preserve">, </w:t>
      </w:r>
      <w:r w:rsidRPr="0039464E">
        <w:t>1</w:t>
      </w:r>
      <w:r>
        <w:t>7</w:t>
      </w:r>
      <w:r w:rsidRPr="0039464E">
        <w:t xml:space="preserve">4 FERC </w:t>
      </w:r>
      <w:r w:rsidRPr="0039464E" w:rsidR="0024761A">
        <w:t>¶</w:t>
      </w:r>
      <w:r w:rsidR="0024761A">
        <w:t> </w:t>
      </w:r>
      <w:r w:rsidRPr="0039464E" w:rsidR="0024761A">
        <w:t>6</w:t>
      </w:r>
      <w:r w:rsidRPr="0039464E">
        <w:t>1,1</w:t>
      </w:r>
      <w:r>
        <w:t>03</w:t>
      </w:r>
      <w:r w:rsidRPr="005B1E93">
        <w:t xml:space="preserve"> at </w:t>
      </w:r>
      <w:r w:rsidRPr="005B1E93" w:rsidR="0024761A">
        <w:t>P</w:t>
      </w:r>
      <w:r w:rsidR="0024761A">
        <w:t> 1</w:t>
      </w:r>
      <w:r>
        <w:t xml:space="preserve">9; </w:t>
      </w:r>
      <w:r>
        <w:rPr>
          <w:i/>
        </w:rPr>
        <w:t>Elec.</w:t>
      </w:r>
      <w:r w:rsidRPr="006B6CBC">
        <w:rPr>
          <w:i/>
        </w:rPr>
        <w:t xml:space="preserve"> Tariff Filings</w:t>
      </w:r>
      <w:r>
        <w:t xml:space="preserve">, Order </w:t>
      </w:r>
      <w:r w:rsidR="001C4F0A">
        <w:t xml:space="preserve">    </w:t>
      </w:r>
      <w:r>
        <w:t xml:space="preserve">No. 714, </w:t>
      </w:r>
      <w:r w:rsidRPr="00EB63A0">
        <w:t>73 FR 57515</w:t>
      </w:r>
      <w:r>
        <w:t xml:space="preserve"> (Oct. 3, 2008), </w:t>
      </w:r>
      <w:r w:rsidRPr="008127C6">
        <w:t xml:space="preserve">124 FERC </w:t>
      </w:r>
      <w:r w:rsidRPr="008127C6" w:rsidR="0024761A">
        <w:t>¶</w:t>
      </w:r>
      <w:r w:rsidR="0024761A">
        <w:t> </w:t>
      </w:r>
      <w:r w:rsidRPr="008127C6" w:rsidR="0024761A">
        <w:t>6</w:t>
      </w:r>
      <w:r w:rsidRPr="008127C6">
        <w:t>1,270</w:t>
      </w:r>
      <w:r>
        <w:t xml:space="preserve"> (2008).</w:t>
      </w:r>
    </w:p>
  </w:footnote>
  <w:footnote w:id="21">
    <w:p w:rsidR="00386176" w:rsidRPr="00FC6465" w:rsidP="00386176" w14:paraId="2AAF0D77" w14:textId="77777777">
      <w:pPr>
        <w:pStyle w:val="FootnoteText"/>
      </w:pPr>
      <w:r w:rsidRPr="000149D9">
        <w:rPr>
          <w:rStyle w:val="FootnoteReference"/>
        </w:rPr>
        <w:footnoteRef/>
      </w:r>
      <w:r w:rsidRPr="00FC6465">
        <w:rPr>
          <w:b/>
          <w:vertAlign w:val="superscript"/>
        </w:rPr>
        <w:t xml:space="preserve"> </w:t>
      </w:r>
      <w:r w:rsidRPr="00FC6465">
        <w:t xml:space="preserve">To aid in compliance, promptly after issuance of this Final Rule, </w:t>
      </w:r>
      <w:r>
        <w:t xml:space="preserve">we </w:t>
      </w:r>
      <w:r w:rsidRPr="00FC6465">
        <w:t xml:space="preserve">will post a sample tariff record on the Commission’s website that may be accessed at </w:t>
      </w:r>
      <w:r w:rsidRPr="00B717E7">
        <w:t>https://www.ferc.gov/ferc-online/elibrary</w:t>
      </w:r>
      <w:r w:rsidRPr="006B53D6">
        <w:rPr>
          <w:rStyle w:val="Hyperlink"/>
          <w:u w:val="none"/>
        </w:rPr>
        <w:t>.</w:t>
      </w:r>
      <w:r w:rsidRPr="00FC6465">
        <w:t xml:space="preserve">  All </w:t>
      </w:r>
      <w:r>
        <w:t xml:space="preserve">interstate natural gas </w:t>
      </w:r>
      <w:r w:rsidRPr="00FC6465">
        <w:t>pipelines are to file their tariff records in conformance with this sample tariff record.</w:t>
      </w:r>
    </w:p>
  </w:footnote>
  <w:footnote w:id="22">
    <w:p w:rsidR="00755F68" w:rsidP="00755F68" w14:paraId="18A4630E" w14:textId="77777777">
      <w:pPr>
        <w:pStyle w:val="FootnoteText"/>
      </w:pPr>
      <w:r w:rsidRPr="00932257">
        <w:rPr>
          <w:rStyle w:val="FootnoteReference"/>
        </w:rPr>
        <w:footnoteRef/>
      </w:r>
      <w:r>
        <w:t xml:space="preserve"> Order No.</w:t>
      </w:r>
      <w:r w:rsidRPr="00561059">
        <w:t xml:space="preserve"> 587-V, </w:t>
      </w:r>
      <w:r w:rsidRPr="008127C6">
        <w:t xml:space="preserve">140 FERC </w:t>
      </w:r>
      <w:r w:rsidRPr="008127C6" w:rsidR="0024761A">
        <w:t>¶</w:t>
      </w:r>
      <w:r w:rsidR="0024761A">
        <w:t> </w:t>
      </w:r>
      <w:r w:rsidRPr="008127C6" w:rsidR="0024761A">
        <w:t>6</w:t>
      </w:r>
      <w:r w:rsidRPr="008127C6">
        <w:t>1,036</w:t>
      </w:r>
      <w:r w:rsidRPr="00561059">
        <w:t xml:space="preserve"> at</w:t>
      </w:r>
      <w:r>
        <w:t xml:space="preserve"> P</w:t>
      </w:r>
      <w:r w:rsidR="0024761A">
        <w:t>P 3</w:t>
      </w:r>
      <w:r>
        <w:t>6-39.</w:t>
      </w:r>
    </w:p>
  </w:footnote>
  <w:footnote w:id="23">
    <w:p w:rsidR="00755F68" w:rsidP="00755F68" w14:paraId="7578C060" w14:textId="77777777">
      <w:pPr>
        <w:pStyle w:val="FootnoteText"/>
      </w:pPr>
      <w:r w:rsidRPr="00932257">
        <w:rPr>
          <w:rStyle w:val="FootnoteReference"/>
        </w:rPr>
        <w:footnoteRef/>
      </w:r>
      <w:r>
        <w:t xml:space="preserve"> </w:t>
      </w:r>
      <w:r w:rsidRPr="00716C7A" w:rsidR="008C2014">
        <w:rPr>
          <w:i/>
        </w:rPr>
        <w:t>Trans-Union Interstate Pipeline L.P</w:t>
      </w:r>
      <w:r w:rsidRPr="00716C7A" w:rsidR="008C2014">
        <w:t>.</w:t>
      </w:r>
      <w:r w:rsidR="008C2014">
        <w:t xml:space="preserve">, </w:t>
      </w:r>
      <w:r w:rsidRPr="00561059" w:rsidR="008C2014">
        <w:t>141 FERC ¶</w:t>
      </w:r>
      <w:r w:rsidR="008C2014">
        <w:t> </w:t>
      </w:r>
      <w:r w:rsidRPr="00561059" w:rsidR="008C2014">
        <w:t>61,167</w:t>
      </w:r>
      <w:r w:rsidR="008C2014">
        <w:t>, at P 36 (2012) (Order No.</w:t>
      </w:r>
      <w:r w:rsidRPr="00716C7A" w:rsidR="008C2014">
        <w:t xml:space="preserve"> 587-V</w:t>
      </w:r>
      <w:r w:rsidR="008C2014">
        <w:t xml:space="preserve"> Compliance Order)</w:t>
      </w:r>
      <w:r>
        <w:t xml:space="preserve">; </w:t>
      </w:r>
      <w:r w:rsidRPr="000603CD">
        <w:rPr>
          <w:i/>
          <w:iCs/>
        </w:rPr>
        <w:t>Version 3.</w:t>
      </w:r>
      <w:r>
        <w:rPr>
          <w:i/>
          <w:iCs/>
        </w:rPr>
        <w:t>2</w:t>
      </w:r>
      <w:r w:rsidRPr="000603CD">
        <w:rPr>
          <w:i/>
          <w:iCs/>
        </w:rPr>
        <w:t xml:space="preserve"> NOPR</w:t>
      </w:r>
      <w:r>
        <w:t xml:space="preserve">, </w:t>
      </w:r>
      <w:r w:rsidRPr="0039464E">
        <w:t>1</w:t>
      </w:r>
      <w:r>
        <w:t>7</w:t>
      </w:r>
      <w:r w:rsidRPr="0039464E">
        <w:t xml:space="preserve">4 FERC </w:t>
      </w:r>
      <w:r w:rsidRPr="0039464E" w:rsidR="0024761A">
        <w:t>¶</w:t>
      </w:r>
      <w:r w:rsidR="0024761A">
        <w:t> </w:t>
      </w:r>
      <w:r w:rsidRPr="0039464E" w:rsidR="0024761A">
        <w:t>6</w:t>
      </w:r>
      <w:r w:rsidRPr="0039464E">
        <w:t>1,1</w:t>
      </w:r>
      <w:r>
        <w:t xml:space="preserve">03 at </w:t>
      </w:r>
      <w:r w:rsidR="0024761A">
        <w:t>P 2</w:t>
      </w:r>
      <w:r>
        <w:t>1</w:t>
      </w:r>
      <w:r w:rsidRPr="00E832D2">
        <w:t>.</w:t>
      </w:r>
    </w:p>
  </w:footnote>
  <w:footnote w:id="24">
    <w:p w:rsidR="00755F68" w:rsidP="00755F68" w14:paraId="3479127B" w14:textId="77777777">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5">
    <w:p w:rsidR="00755F68" w:rsidP="00755F68" w14:paraId="23C6D49F" w14:textId="77777777">
      <w:pPr>
        <w:pStyle w:val="FootnoteText"/>
      </w:pPr>
      <w:r w:rsidRPr="00932257">
        <w:rPr>
          <w:rStyle w:val="FootnoteReference"/>
        </w:rPr>
        <w:footnoteRef/>
      </w:r>
      <w:r>
        <w:t xml:space="preserve"> Order No. 587-V, </w:t>
      </w:r>
      <w:r w:rsidRPr="008127C6">
        <w:t xml:space="preserve">140 FERC </w:t>
      </w:r>
      <w:r w:rsidRPr="008127C6" w:rsidR="0024761A">
        <w:t>¶</w:t>
      </w:r>
      <w:r w:rsidR="0024761A">
        <w:t> </w:t>
      </w:r>
      <w:r w:rsidRPr="008127C6" w:rsidR="0024761A">
        <w:t>6</w:t>
      </w:r>
      <w:r w:rsidRPr="008127C6">
        <w:t>1,036</w:t>
      </w:r>
      <w:r>
        <w:t>.</w:t>
      </w:r>
    </w:p>
  </w:footnote>
  <w:footnote w:id="26">
    <w:p w:rsidR="00755F68" w:rsidP="00755F68" w14:paraId="1DD7ACBC" w14:textId="77777777">
      <w:pPr>
        <w:pStyle w:val="FootnoteText"/>
      </w:pPr>
      <w:r>
        <w:rPr>
          <w:rStyle w:val="FootnoteReference"/>
        </w:rPr>
        <w:footnoteRef/>
      </w:r>
      <w:r>
        <w:t xml:space="preserve"> </w:t>
      </w:r>
      <w:r w:rsidRPr="001437FC">
        <w:t xml:space="preserve">Order No. 587-V Compliance Order, 141 FERC </w:t>
      </w:r>
      <w:r w:rsidRPr="001437FC" w:rsidR="0024761A">
        <w:t>¶</w:t>
      </w:r>
      <w:r w:rsidR="0024761A">
        <w:t> </w:t>
      </w:r>
      <w:r w:rsidRPr="001437FC" w:rsidR="0024761A">
        <w:t>6</w:t>
      </w:r>
      <w:r w:rsidRPr="001437FC">
        <w:t>1,167 at P</w:t>
      </w:r>
      <w:r w:rsidRPr="001437FC" w:rsidR="0024761A">
        <w:t>P</w:t>
      </w:r>
      <w:r w:rsidR="0024761A">
        <w:t> </w:t>
      </w:r>
      <w:r w:rsidRPr="001437FC" w:rsidR="0024761A">
        <w:t>4</w:t>
      </w:r>
      <w:r w:rsidRPr="001437FC">
        <w:t>, 38 (a pipeline does not need to seek a waiver for standards that address business practices that the pipeline does not offer).</w:t>
      </w:r>
    </w:p>
  </w:footnote>
  <w:footnote w:id="27">
    <w:p w:rsidR="0090772E" w:rsidRPr="00FC6465" w:rsidP="0090772E" w14:paraId="760A5B05" w14:textId="77777777">
      <w:pPr>
        <w:pStyle w:val="FootnoteText"/>
      </w:pPr>
      <w:r w:rsidRPr="000149D9">
        <w:rPr>
          <w:rStyle w:val="FootnoteReference"/>
        </w:rPr>
        <w:footnoteRef/>
      </w:r>
      <w:r w:rsidRPr="00FC6465">
        <w:t xml:space="preserve"> Pub L. No. 104-113, 12(d), 110 Stat. 775 (1996), 15 U.S.C. 272 note (1997).</w:t>
      </w:r>
    </w:p>
  </w:footnote>
  <w:footnote w:id="28">
    <w:p w:rsidR="0090772E" w:rsidRPr="0080606A" w:rsidP="0090772E" w14:paraId="0652CDE6" w14:textId="77777777">
      <w:pPr>
        <w:pStyle w:val="FootnoteText"/>
      </w:pPr>
      <w:r w:rsidRPr="000149D9">
        <w:rPr>
          <w:rStyle w:val="FootnoteReference"/>
        </w:rPr>
        <w:footnoteRef/>
      </w:r>
      <w:r w:rsidRPr="0080606A">
        <w:t xml:space="preserve"> 1 CF</w:t>
      </w:r>
      <w:r>
        <w:t xml:space="preserve">R </w:t>
      </w:r>
      <w:r w:rsidRPr="0080606A">
        <w:t>51.5</w:t>
      </w:r>
      <w:r>
        <w:t xml:space="preserve"> (202</w:t>
      </w:r>
      <w:r w:rsidR="001D37F2">
        <w:t>4</w:t>
      </w:r>
      <w:r>
        <w:t>)</w:t>
      </w:r>
      <w:r w:rsidRPr="0080606A">
        <w:t xml:space="preserve">.  </w:t>
      </w:r>
      <w:r w:rsidRPr="0080606A">
        <w:rPr>
          <w:i/>
        </w:rPr>
        <w:t>See</w:t>
      </w:r>
      <w:r w:rsidRPr="009D31D8">
        <w:t xml:space="preserve"> </w:t>
      </w:r>
      <w:r w:rsidRPr="0080606A">
        <w:t>Incorporation by Reference, 79 FR 66267 (Nov. 7, 2014).</w:t>
      </w:r>
    </w:p>
  </w:footnote>
  <w:footnote w:id="29">
    <w:p w:rsidR="0060662A" w:rsidP="0060662A" w14:paraId="31B1A66E" w14:textId="77777777">
      <w:pPr>
        <w:pStyle w:val="FootnoteText"/>
      </w:pPr>
      <w:r>
        <w:rPr>
          <w:rStyle w:val="FootnoteReference"/>
        </w:rPr>
        <w:footnoteRef/>
      </w:r>
      <w:r>
        <w:t xml:space="preserve"> </w:t>
      </w:r>
      <w:r w:rsidRPr="00810CD1">
        <w:t xml:space="preserve">For more information on </w:t>
      </w:r>
      <w:r w:rsidRPr="00810CD1">
        <w:t>Locklizard</w:t>
      </w:r>
      <w:r w:rsidRPr="00810CD1">
        <w:t>, please refer to the company’s website: https://www.locklizard.com.</w:t>
      </w:r>
    </w:p>
  </w:footnote>
  <w:footnote w:id="30">
    <w:p w:rsidR="005A30F4" w:rsidRPr="0080606A" w:rsidP="005A30F4" w14:paraId="074A9472" w14:textId="77777777">
      <w:pPr>
        <w:pStyle w:val="FootnoteText"/>
      </w:pPr>
      <w:r w:rsidRPr="00932257">
        <w:rPr>
          <w:rStyle w:val="FootnoteReference"/>
        </w:rPr>
        <w:footnoteRef/>
      </w:r>
      <w:r>
        <w:t xml:space="preserve"> 5 CFR 1320.11 (202</w:t>
      </w:r>
      <w:r w:rsidR="001D37F2">
        <w:t>4</w:t>
      </w:r>
      <w:r w:rsidRPr="0080606A">
        <w:t>).</w:t>
      </w:r>
    </w:p>
  </w:footnote>
  <w:footnote w:id="31">
    <w:p w:rsidR="005A30F4" w:rsidP="005A30F4" w14:paraId="532D7BA8" w14:textId="77777777">
      <w:pPr>
        <w:pStyle w:val="FootnoteText"/>
      </w:pPr>
      <w:r w:rsidRPr="000149D9">
        <w:rPr>
          <w:rStyle w:val="FootnoteReference"/>
        </w:rPr>
        <w:footnoteRef/>
      </w:r>
      <w:r>
        <w:t xml:space="preserve"> </w:t>
      </w:r>
      <w:r w:rsidRPr="00E64311">
        <w:t>FERC-545 covers rate change filings made by natural gas pipelines, including tariff changes.</w:t>
      </w:r>
    </w:p>
  </w:footnote>
  <w:footnote w:id="32">
    <w:p w:rsidR="005A30F4" w:rsidP="005A30F4" w14:paraId="12EDB63F" w14:textId="77777777">
      <w:pPr>
        <w:pStyle w:val="FootnoteText"/>
      </w:pPr>
      <w:r w:rsidRPr="000149D9">
        <w:rPr>
          <w:rStyle w:val="FootnoteReference"/>
        </w:rPr>
        <w:footnoteRef/>
      </w:r>
      <w:r>
        <w:t xml:space="preserve"> </w:t>
      </w:r>
      <w:r w:rsidRPr="00E64311">
        <w:t>FERC-549C covers Standards for Business Practices of Interstate Natural Gas Pipelines.</w:t>
      </w:r>
    </w:p>
  </w:footnote>
  <w:footnote w:id="33">
    <w:p w:rsidR="005A30F4" w:rsidP="005A30F4" w14:paraId="44755D09" w14:textId="77777777">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4">
    <w:p w:rsidR="005A30F4" w:rsidRPr="005C1356" w:rsidP="005A30F4" w14:paraId="657F0D6A" w14:textId="77777777">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w:t>
      </w:r>
      <w:r w:rsidRPr="005C1356">
        <w:rPr>
          <w:rFonts w:eastAsia="Times New Roman"/>
          <w:szCs w:val="26"/>
        </w:rPr>
        <w:t>for Ma</w:t>
      </w:r>
      <w:r w:rsidR="00257F7B">
        <w:rPr>
          <w:rFonts w:eastAsia="Times New Roman"/>
          <w:szCs w:val="26"/>
        </w:rPr>
        <w:t>rch</w:t>
      </w:r>
      <w:r w:rsidRPr="005C1356">
        <w:rPr>
          <w:rFonts w:eastAsia="Times New Roman"/>
          <w:szCs w:val="26"/>
        </w:rPr>
        <w:t xml:space="preserve"> 202</w:t>
      </w:r>
      <w:r w:rsidR="008B7019">
        <w:rPr>
          <w:rFonts w:eastAsia="Times New Roman"/>
          <w:szCs w:val="26"/>
        </w:rPr>
        <w:t>4</w:t>
      </w:r>
      <w:r w:rsidRPr="005C1356">
        <w:rPr>
          <w:rFonts w:eastAsia="Times New Roman"/>
          <w:szCs w:val="26"/>
        </w:rPr>
        <w:t xml:space="preserve"> posted </w:t>
      </w:r>
      <w:r w:rsidRPr="009F3EA7">
        <w:rPr>
          <w:rFonts w:eastAsia="Times New Roman"/>
          <w:szCs w:val="26"/>
        </w:rPr>
        <w:t>on</w:t>
      </w:r>
      <w:r w:rsidR="00257F7B">
        <w:rPr>
          <w:rFonts w:eastAsia="Times New Roman"/>
          <w:szCs w:val="26"/>
        </w:rPr>
        <w:t xml:space="preserve"> June 18,</w:t>
      </w:r>
      <w:r w:rsidR="00434671">
        <w:rPr>
          <w:rFonts w:eastAsia="Times New Roman"/>
          <w:szCs w:val="26"/>
        </w:rPr>
        <w:t xml:space="preserve"> </w:t>
      </w:r>
      <w:r w:rsidRPr="009F3EA7">
        <w:rPr>
          <w:rFonts w:eastAsia="Times New Roman"/>
          <w:szCs w:val="26"/>
        </w:rPr>
        <w:t>202</w:t>
      </w:r>
      <w:r w:rsidR="00432F79">
        <w:rPr>
          <w:rFonts w:eastAsia="Times New Roman"/>
          <w:szCs w:val="26"/>
        </w:rPr>
        <w:t>4</w:t>
      </w:r>
      <w:r>
        <w:rPr>
          <w:rFonts w:eastAsia="Times New Roman"/>
          <w:szCs w:val="26"/>
        </w:rPr>
        <w:t xml:space="preserve"> </w:t>
      </w:r>
      <w:r w:rsidRPr="005C1356">
        <w:rPr>
          <w:rFonts w:eastAsia="Times New Roman"/>
          <w:szCs w:val="26"/>
        </w:rPr>
        <w:t>by the Bureau of Labor Statistics for the Utilities sector (</w:t>
      </w:r>
      <w:r w:rsidRPr="004D473C" w:rsidR="00680135">
        <w:rPr>
          <w:rFonts w:eastAsia="Times New Roman"/>
          <w:szCs w:val="26"/>
        </w:rPr>
        <w:t>https://www.bls.gov/oes/current/naics3221000.htm</w:t>
      </w:r>
      <w:r w:rsidRPr="005C1356">
        <w:rPr>
          <w:rFonts w:eastAsia="Times New Roman"/>
          <w:szCs w:val="26"/>
        </w:rPr>
        <w:t>) and scaled to reflect benefits using the relative importance of employer costs for employee compensation (</w:t>
      </w:r>
      <w:r w:rsidRPr="00086BC1">
        <w:rPr>
          <w:rFonts w:eastAsia="Times New Roman"/>
          <w:szCs w:val="26"/>
        </w:rPr>
        <w:t>available at</w:t>
      </w:r>
      <w:r>
        <w:rPr>
          <w:rFonts w:eastAsia="Times New Roman"/>
          <w:szCs w:val="26"/>
        </w:rPr>
        <w:t xml:space="preserve"> </w:t>
      </w:r>
      <w:hyperlink r:id="rId1"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5C1356">
        <w:rPr>
          <w:rFonts w:eastAsia="Times New Roman"/>
          <w:szCs w:val="26"/>
        </w:rPr>
        <w:t xml:space="preserve">The hourly estimates for salary plus benefits are: </w:t>
      </w:r>
    </w:p>
    <w:p w:rsidR="005A30F4" w:rsidRPr="005C1356" w:rsidP="005A30F4" w14:paraId="563291F8" w14:textId="77777777">
      <w:pPr>
        <w:pStyle w:val="FootnoteText"/>
        <w:spacing w:after="0"/>
        <w:rPr>
          <w:rFonts w:eastAsia="Calibri"/>
          <w:szCs w:val="26"/>
        </w:rPr>
      </w:pPr>
      <w:r w:rsidRPr="005C1356">
        <w:rPr>
          <w:rFonts w:eastAsia="Calibri"/>
          <w:szCs w:val="26"/>
        </w:rPr>
        <w:t>Computer and Information Systems Manager (Occupation Code: 11-3021), $1</w:t>
      </w:r>
      <w:r w:rsidR="00EF757D">
        <w:rPr>
          <w:rFonts w:eastAsia="Calibri"/>
          <w:szCs w:val="26"/>
        </w:rPr>
        <w:t>1</w:t>
      </w:r>
      <w:r w:rsidR="00A14EF1">
        <w:rPr>
          <w:rFonts w:eastAsia="Calibri"/>
          <w:szCs w:val="26"/>
        </w:rPr>
        <w:t>5.47</w:t>
      </w:r>
    </w:p>
    <w:p w:rsidR="005A30F4" w:rsidRPr="005C1356" w:rsidP="005A30F4" w14:paraId="6D16B799" w14:textId="77777777">
      <w:pPr>
        <w:pStyle w:val="FootnoteText"/>
        <w:spacing w:after="0"/>
        <w:rPr>
          <w:rFonts w:eastAsia="Calibri"/>
          <w:szCs w:val="26"/>
        </w:rPr>
      </w:pPr>
      <w:r w:rsidRPr="005C1356">
        <w:rPr>
          <w:rFonts w:eastAsia="Calibri"/>
          <w:szCs w:val="26"/>
        </w:rPr>
        <w:t>Computer and Information Analysts (Occupation Code:  15-1</w:t>
      </w:r>
      <w:r w:rsidR="00CC7985">
        <w:rPr>
          <w:rFonts w:eastAsia="Calibri"/>
          <w:szCs w:val="26"/>
        </w:rPr>
        <w:t>221</w:t>
      </w:r>
      <w:r w:rsidRPr="005C1356">
        <w:rPr>
          <w:rFonts w:eastAsia="Calibri"/>
          <w:szCs w:val="26"/>
        </w:rPr>
        <w:t>, $87.</w:t>
      </w:r>
      <w:r w:rsidR="00C02FE2">
        <w:rPr>
          <w:rFonts w:eastAsia="Calibri"/>
          <w:szCs w:val="26"/>
        </w:rPr>
        <w:t>19</w:t>
      </w:r>
    </w:p>
    <w:p w:rsidR="005A30F4" w:rsidRPr="005C1356" w:rsidP="005A30F4" w14:paraId="1B8E66FD" w14:textId="77777777">
      <w:pPr>
        <w:pStyle w:val="FootnoteText"/>
        <w:spacing w:after="0"/>
        <w:rPr>
          <w:rFonts w:eastAsia="Calibri"/>
          <w:szCs w:val="26"/>
        </w:rPr>
      </w:pPr>
      <w:r w:rsidRPr="005C1356">
        <w:rPr>
          <w:rFonts w:eastAsia="Calibri"/>
          <w:szCs w:val="26"/>
        </w:rPr>
        <w:t>Electrical Engineer (Occupation Code: 17-2071), $7</w:t>
      </w:r>
      <w:r w:rsidR="00A14EF1">
        <w:rPr>
          <w:rFonts w:eastAsia="Calibri"/>
          <w:szCs w:val="26"/>
        </w:rPr>
        <w:t>9.31</w:t>
      </w:r>
    </w:p>
    <w:p w:rsidR="005A30F4" w:rsidRPr="005C1356" w:rsidP="005A30F4" w14:paraId="4111BBDF" w14:textId="77777777">
      <w:pPr>
        <w:pStyle w:val="FootnoteText"/>
        <w:spacing w:after="0"/>
        <w:rPr>
          <w:rFonts w:eastAsia="Calibri"/>
          <w:szCs w:val="26"/>
        </w:rPr>
      </w:pPr>
      <w:r w:rsidRPr="005C1356">
        <w:rPr>
          <w:rFonts w:eastAsia="Calibri"/>
          <w:szCs w:val="26"/>
        </w:rPr>
        <w:t>Legal (Occupation Code: 23-0000), $1</w:t>
      </w:r>
      <w:r w:rsidR="00A14EF1">
        <w:rPr>
          <w:rFonts w:eastAsia="Calibri"/>
          <w:szCs w:val="26"/>
        </w:rPr>
        <w:t>62.66</w:t>
      </w:r>
    </w:p>
    <w:p w:rsidR="005A30F4" w:rsidRPr="00C328EF" w:rsidP="005A30F4" w14:paraId="60612A2F" w14:textId="77777777">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$1</w:t>
      </w:r>
      <w:r w:rsidR="00F32EFC">
        <w:rPr>
          <w:rFonts w:eastAsia="Times New Roman"/>
          <w:szCs w:val="26"/>
        </w:rPr>
        <w:t>11.1</w:t>
      </w:r>
      <w:r w:rsidR="001E60E6">
        <w:rPr>
          <w:rFonts w:eastAsia="Times New Roman"/>
          <w:szCs w:val="26"/>
        </w:rPr>
        <w:t>6</w:t>
      </w:r>
      <w:r w:rsidRPr="005C1356">
        <w:rPr>
          <w:rFonts w:eastAsia="Times New Roman"/>
          <w:szCs w:val="26"/>
        </w:rPr>
        <w:t>.  We round it to $1</w:t>
      </w:r>
      <w:r w:rsidR="00F32EFC">
        <w:rPr>
          <w:rFonts w:eastAsia="Times New Roman"/>
          <w:szCs w:val="26"/>
        </w:rPr>
        <w:t>11</w:t>
      </w:r>
      <w:r w:rsidRPr="005C1356">
        <w:rPr>
          <w:rFonts w:eastAsia="Times New Roman"/>
          <w:szCs w:val="26"/>
        </w:rPr>
        <w:t>/hour.</w:t>
      </w:r>
    </w:p>
  </w:footnote>
  <w:footnote w:id="35">
    <w:p w:rsidR="00CF5306" w:rsidRPr="00A972FF" w:rsidP="00CF5306" w14:paraId="0A9C348E" w14:textId="77777777">
      <w:pPr>
        <w:pStyle w:val="FootnoteText"/>
      </w:pPr>
      <w:r w:rsidRPr="00CF5306">
        <w:rPr>
          <w:rStyle w:val="FootnoteReference"/>
        </w:rPr>
        <w:footnoteRef/>
      </w:r>
      <w:r w:rsidRPr="00A972FF">
        <w:t xml:space="preserve"> </w:t>
      </w:r>
      <w:r>
        <w:rPr>
          <w:i/>
          <w:iCs/>
        </w:rPr>
        <w:t>Regul</w:t>
      </w:r>
      <w:r w:rsidRPr="00870368">
        <w:rPr>
          <w:i/>
          <w:iCs/>
        </w:rPr>
        <w:t>s</w:t>
      </w:r>
      <w:r w:rsidR="005E7A5C">
        <w:rPr>
          <w:i/>
          <w:iCs/>
        </w:rPr>
        <w:t>.</w:t>
      </w:r>
      <w:r w:rsidRPr="00870368">
        <w:rPr>
          <w:i/>
          <w:iCs/>
        </w:rPr>
        <w:t xml:space="preserve"> Implementing the </w:t>
      </w:r>
      <w:r>
        <w:rPr>
          <w:i/>
          <w:iCs/>
        </w:rPr>
        <w:t>Nat</w:t>
      </w:r>
      <w:r w:rsidR="005E7A5C">
        <w:rPr>
          <w:i/>
          <w:iCs/>
        </w:rPr>
        <w:t>.’</w:t>
      </w:r>
      <w:r>
        <w:rPr>
          <w:i/>
          <w:iCs/>
        </w:rPr>
        <w:t>l</w:t>
      </w:r>
      <w:r>
        <w:rPr>
          <w:i/>
          <w:iCs/>
        </w:rPr>
        <w:t xml:space="preserve"> Env</w:t>
      </w:r>
      <w:r w:rsidR="005E7A5C">
        <w:rPr>
          <w:i/>
          <w:iCs/>
        </w:rPr>
        <w:t>’t</w:t>
      </w:r>
      <w:r>
        <w:rPr>
          <w:i/>
          <w:iCs/>
        </w:rPr>
        <w:t xml:space="preserve"> Pol</w:t>
      </w:r>
      <w:r w:rsidR="005E7A5C">
        <w:rPr>
          <w:i/>
          <w:iCs/>
        </w:rPr>
        <w:t>’</w:t>
      </w:r>
      <w:r w:rsidRPr="00870368">
        <w:rPr>
          <w:i/>
          <w:iCs/>
        </w:rPr>
        <w:t xml:space="preserve"> Act</w:t>
      </w:r>
      <w:r w:rsidRPr="00A972FF">
        <w:t>, Ord</w:t>
      </w:r>
      <w:r>
        <w:t>er</w:t>
      </w:r>
      <w:r w:rsidRPr="00A972FF">
        <w:t xml:space="preserve"> No. 486,</w:t>
      </w:r>
      <w:r>
        <w:t xml:space="preserve"> </w:t>
      </w:r>
      <w:r w:rsidRPr="00A972FF">
        <w:t xml:space="preserve">52 FR 47897 (Dec. 17, 1987), FERC Stats. &amp; Regs. </w:t>
      </w:r>
      <w:r w:rsidRPr="00A972FF" w:rsidR="0024761A">
        <w:t>¶</w:t>
      </w:r>
      <w:r w:rsidR="0024761A">
        <w:t> </w:t>
      </w:r>
      <w:r w:rsidRPr="00A972FF" w:rsidR="0024761A">
        <w:t>3</w:t>
      </w:r>
      <w:r w:rsidRPr="00A972FF">
        <w:t>0,783 (1987)</w:t>
      </w:r>
      <w:r>
        <w:t xml:space="preserve"> (cross-referenced at </w:t>
      </w:r>
      <w:r w:rsidRPr="00870368">
        <w:t xml:space="preserve">41 FERC </w:t>
      </w:r>
      <w:r w:rsidRPr="00870368" w:rsidR="0024761A">
        <w:t>¶</w:t>
      </w:r>
      <w:r w:rsidR="0024761A">
        <w:t> </w:t>
      </w:r>
      <w:r w:rsidRPr="00870368" w:rsidR="0024761A">
        <w:t>6</w:t>
      </w:r>
      <w:r w:rsidRPr="00870368">
        <w:t>1,284</w:t>
      </w:r>
      <w:r>
        <w:t>)</w:t>
      </w:r>
      <w:r w:rsidRPr="00A972FF">
        <w:t>.</w:t>
      </w:r>
    </w:p>
  </w:footnote>
  <w:footnote w:id="36">
    <w:p w:rsidR="005A30F4" w:rsidP="005A30F4" w14:paraId="2598D925" w14:textId="77777777">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rsidR="000B3E4B">
        <w:t>&amp;</w:t>
      </w:r>
      <w:r>
        <w:t xml:space="preserve"> </w:t>
      </w:r>
      <w:r w:rsidRPr="005A12B9">
        <w:t>380.4(a)(27)</w:t>
      </w:r>
      <w:r>
        <w:t xml:space="preserve"> (</w:t>
      </w:r>
      <w:r w:rsidR="005E7A5C">
        <w:t>2024</w:t>
      </w:r>
      <w:r>
        <w:t>)</w:t>
      </w:r>
      <w:r w:rsidRPr="005A12B9">
        <w:t>.</w:t>
      </w:r>
    </w:p>
  </w:footnote>
  <w:footnote w:id="37">
    <w:p w:rsidR="005A30F4" w:rsidRPr="00060537" w:rsidP="005A30F4" w14:paraId="73CF24B3" w14:textId="77777777">
      <w:pPr>
        <w:pStyle w:val="FootnoteText"/>
      </w:pPr>
      <w:r w:rsidRPr="00C923CC">
        <w:rPr>
          <w:rStyle w:val="FootnoteReference"/>
        </w:rPr>
        <w:footnoteRef/>
      </w:r>
      <w:r>
        <w:t xml:space="preserve"> 5 U.S.C. 601-612.</w:t>
      </w:r>
    </w:p>
  </w:footnote>
  <w:footnote w:id="38">
    <w:p w:rsidR="005A30F4" w:rsidP="005A30F4" w14:paraId="6CBFD312" w14:textId="77777777">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that is independently owned and operated, and that is not dominant in its field of </w:t>
      </w:r>
      <w:r w:rsidRPr="001D1903">
        <w:t>operation.</w:t>
      </w:r>
    </w:p>
  </w:footnote>
  <w:footnote w:id="39">
    <w:p w:rsidR="005A30F4" w:rsidP="00BA21FE" w14:paraId="1611570C" w14:textId="77777777">
      <w:pPr>
        <w:pStyle w:val="FootnoteText"/>
      </w:pPr>
      <w:r w:rsidRPr="00932257">
        <w:rPr>
          <w:rStyle w:val="FootnoteReference"/>
        </w:rPr>
        <w:footnoteRef/>
      </w:r>
      <w:r>
        <w:t xml:space="preserve"> 13 CFR </w:t>
      </w:r>
      <w:r w:rsidR="0024761A">
        <w:t>1</w:t>
      </w:r>
      <w:r>
        <w:t>21.201 (Subsector 486-Pipeline Transportation; North American Industry Classification System code 486210; Pipeline Transportation of Natural Gas) (</w:t>
      </w:r>
      <w:r w:rsidRPr="00B05C4F">
        <w:t>2023</w:t>
      </w:r>
      <w:r>
        <w:t>).  “Annual Receipts” are total income plus cost of goods sold.</w:t>
      </w:r>
    </w:p>
  </w:footnote>
  <w:footnote w:id="40">
    <w:p w:rsidR="005A30F4" w:rsidP="005A30F4" w14:paraId="3245246D" w14:textId="77777777">
      <w:pPr>
        <w:pStyle w:val="FootnoteText"/>
      </w:pPr>
      <w:r w:rsidRPr="00932257">
        <w:rPr>
          <w:rStyle w:val="FootnoteReference"/>
        </w:rPr>
        <w:footnoteRef/>
      </w:r>
      <w:r>
        <w:t xml:space="preserve"> This number is derived by dividing the total cost figure by the number of </w:t>
      </w:r>
      <w:r w:rsidRPr="005C1356">
        <w:t>respondents.  $</w:t>
      </w:r>
      <w:r w:rsidRPr="00603391" w:rsidR="00603391">
        <w:t>2,356,530</w:t>
      </w:r>
      <w:r w:rsidRPr="005C1356">
        <w:t>/193 = $</w:t>
      </w:r>
      <w:r w:rsidRPr="009A52B4" w:rsidR="009A52B4">
        <w:t>1</w:t>
      </w:r>
      <w:r w:rsidR="00603391">
        <w:t>2</w:t>
      </w:r>
      <w:r w:rsidRPr="009A52B4" w:rsidR="009A52B4">
        <w:t>,</w:t>
      </w:r>
      <w:r w:rsidR="00603391">
        <w:t>2</w:t>
      </w:r>
      <w:r w:rsidRPr="009A52B4" w:rsidR="009A52B4">
        <w:t>10</w:t>
      </w:r>
      <w:r w:rsidRPr="005C1356">
        <w:t>.</w:t>
      </w:r>
    </w:p>
  </w:footnote>
  <w:footnote w:id="41">
    <w:p w:rsidR="005A30F4" w:rsidP="005A30F4" w14:paraId="219344DD" w14:textId="77777777">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306" w:rsidP="00922FFB" w14:paraId="2783A90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F5306" w:rsidP="00922FFB" w14:paraId="00F85CF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306" w:rsidP="00CF5306" w14:paraId="4B304B20" w14:textId="77777777">
    <w:pPr>
      <w:pStyle w:val="Header"/>
      <w:tabs>
        <w:tab w:val="clear" w:pos="4680"/>
      </w:tabs>
      <w:spacing w:after="240"/>
    </w:pPr>
    <w:r>
      <w:t>Docket No. RM96-1-04</w:t>
    </w:r>
    <w:r w:rsidR="008B4C95">
      <w:t>3</w:t>
    </w:r>
    <w:r>
      <w:t xml:space="preserve"> </w:t>
    </w:r>
    <w:r>
      <w:tab/>
    </w:r>
    <w:r>
      <w:fldChar w:fldCharType="begin"/>
    </w:r>
    <w:r>
      <w:instrText xml:space="preserve"> PAGE  \* MERGEFORMAT </w:instrText>
    </w:r>
    <w:r>
      <w:fldChar w:fldCharType="separate"/>
    </w:r>
    <w:r>
      <w:rPr>
        <w:noProof/>
      </w:rPr>
      <w:t>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35FBC7A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17266B05" w14:textId="777777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CF5306" w14:paraId="4E160ED4" w14:textId="77777777">
    <w:pPr>
      <w:pStyle w:val="Header"/>
      <w:tabs>
        <w:tab w:val="clear" w:pos="4680"/>
      </w:tabs>
      <w:spacing w:after="240"/>
    </w:pPr>
    <w:r>
      <w:t>Docket No. RM96-1-04</w:t>
    </w:r>
    <w:r w:rsidR="004B7578">
      <w:t>3</w:t>
    </w:r>
    <w:r>
      <w:tab/>
    </w:r>
    <w:r>
      <w:fldChar w:fldCharType="begin"/>
    </w:r>
    <w:r>
      <w:instrText xml:space="preserve"> PAGE  \* MERGEFORMAT </w:instrText>
    </w:r>
    <w:r>
      <w:fldChar w:fldCharType="separate"/>
    </w:r>
    <w:r>
      <w:rPr>
        <w:noProof/>
      </w:rPr>
      <w:t>- 2 -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26FEDEE2"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E8F3056"/>
    <w:multiLevelType w:val="hybridMultilevel"/>
    <w:tmpl w:val="33A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6502FF"/>
    <w:multiLevelType w:val="multilevel"/>
    <w:tmpl w:val="3D180DA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D3B09D3"/>
    <w:multiLevelType w:val="hybridMultilevel"/>
    <w:tmpl w:val="A14C6D26"/>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846851">
    <w:abstractNumId w:val="9"/>
  </w:num>
  <w:num w:numId="2" w16cid:durableId="1452630952">
    <w:abstractNumId w:val="7"/>
  </w:num>
  <w:num w:numId="3" w16cid:durableId="1604916340">
    <w:abstractNumId w:val="6"/>
  </w:num>
  <w:num w:numId="4" w16cid:durableId="1042172372">
    <w:abstractNumId w:val="5"/>
  </w:num>
  <w:num w:numId="5" w16cid:durableId="1906522268">
    <w:abstractNumId w:val="4"/>
  </w:num>
  <w:num w:numId="6" w16cid:durableId="1313215620">
    <w:abstractNumId w:val="8"/>
  </w:num>
  <w:num w:numId="7" w16cid:durableId="594023153">
    <w:abstractNumId w:val="3"/>
  </w:num>
  <w:num w:numId="8" w16cid:durableId="13197171">
    <w:abstractNumId w:val="2"/>
  </w:num>
  <w:num w:numId="9" w16cid:durableId="57562456">
    <w:abstractNumId w:val="1"/>
  </w:num>
  <w:num w:numId="10" w16cid:durableId="1104806938">
    <w:abstractNumId w:val="0"/>
  </w:num>
  <w:num w:numId="11" w16cid:durableId="1730108527">
    <w:abstractNumId w:val="22"/>
  </w:num>
  <w:num w:numId="12" w16cid:durableId="870265083">
    <w:abstractNumId w:val="19"/>
  </w:num>
  <w:num w:numId="13" w16cid:durableId="2018381265">
    <w:abstractNumId w:val="13"/>
  </w:num>
  <w:num w:numId="14" w16cid:durableId="1568611473">
    <w:abstractNumId w:val="21"/>
  </w:num>
  <w:num w:numId="15" w16cid:durableId="562253038">
    <w:abstractNumId w:val="18"/>
  </w:num>
  <w:num w:numId="16" w16cid:durableId="16319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531734">
    <w:abstractNumId w:val="11"/>
  </w:num>
  <w:num w:numId="18" w16cid:durableId="1028288249">
    <w:abstractNumId w:val="10"/>
  </w:num>
  <w:num w:numId="19" w16cid:durableId="668407552">
    <w:abstractNumId w:val="14"/>
  </w:num>
  <w:num w:numId="20" w16cid:durableId="2060979368">
    <w:abstractNumId w:val="12"/>
  </w:num>
  <w:num w:numId="21" w16cid:durableId="172885615">
    <w:abstractNumId w:val="23"/>
  </w:num>
  <w:num w:numId="22" w16cid:durableId="1037972480">
    <w:abstractNumId w:val="16"/>
  </w:num>
  <w:num w:numId="23" w16cid:durableId="232737421">
    <w:abstractNumId w:val="22"/>
    <w:lvlOverride w:ilvl="0">
      <w:startOverride w:val="1"/>
    </w:lvlOverride>
    <w:lvlOverride w:ilvl="1">
      <w:startOverride w:val="1"/>
    </w:lvlOverride>
    <w:lvlOverride w:ilvl="2">
      <w:startOverride w:val="2"/>
    </w:lvlOverride>
  </w:num>
  <w:num w:numId="24" w16cid:durableId="1916545949">
    <w:abstractNumId w:val="22"/>
    <w:lvlOverride w:ilvl="0">
      <w:startOverride w:val="1"/>
    </w:lvlOverride>
    <w:lvlOverride w:ilvl="1">
      <w:startOverride w:val="3"/>
    </w:lvlOverride>
  </w:num>
  <w:num w:numId="25" w16cid:durableId="1340621646">
    <w:abstractNumId w:val="15"/>
  </w:num>
  <w:num w:numId="26" w16cid:durableId="1473669087">
    <w:abstractNumId w:val="20"/>
  </w:num>
  <w:num w:numId="27" w16cid:durableId="1694574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6"/>
    <w:rsid w:val="0000088C"/>
    <w:rsid w:val="000023F1"/>
    <w:rsid w:val="0000262C"/>
    <w:rsid w:val="00002DC2"/>
    <w:rsid w:val="00003340"/>
    <w:rsid w:val="0000731D"/>
    <w:rsid w:val="00007455"/>
    <w:rsid w:val="00007785"/>
    <w:rsid w:val="00007946"/>
    <w:rsid w:val="000102AB"/>
    <w:rsid w:val="00010FA6"/>
    <w:rsid w:val="000118C8"/>
    <w:rsid w:val="000143AA"/>
    <w:rsid w:val="000146B0"/>
    <w:rsid w:val="00016E34"/>
    <w:rsid w:val="00017116"/>
    <w:rsid w:val="0002042F"/>
    <w:rsid w:val="000204ED"/>
    <w:rsid w:val="000223B6"/>
    <w:rsid w:val="00022A33"/>
    <w:rsid w:val="0002355F"/>
    <w:rsid w:val="00023751"/>
    <w:rsid w:val="00023BBD"/>
    <w:rsid w:val="00024D3A"/>
    <w:rsid w:val="00025F5A"/>
    <w:rsid w:val="00026815"/>
    <w:rsid w:val="00026C87"/>
    <w:rsid w:val="0003382F"/>
    <w:rsid w:val="00033DAD"/>
    <w:rsid w:val="00035B6E"/>
    <w:rsid w:val="00036407"/>
    <w:rsid w:val="000428C4"/>
    <w:rsid w:val="00043C74"/>
    <w:rsid w:val="00045B5D"/>
    <w:rsid w:val="000461BB"/>
    <w:rsid w:val="0004624A"/>
    <w:rsid w:val="00047B73"/>
    <w:rsid w:val="0005135D"/>
    <w:rsid w:val="00051691"/>
    <w:rsid w:val="000550DC"/>
    <w:rsid w:val="00055EA9"/>
    <w:rsid w:val="00055F5F"/>
    <w:rsid w:val="000567C2"/>
    <w:rsid w:val="00056FB8"/>
    <w:rsid w:val="000579DC"/>
    <w:rsid w:val="000603CD"/>
    <w:rsid w:val="00060537"/>
    <w:rsid w:val="0006117F"/>
    <w:rsid w:val="00062732"/>
    <w:rsid w:val="00062DBC"/>
    <w:rsid w:val="00065D8A"/>
    <w:rsid w:val="00067D11"/>
    <w:rsid w:val="00067FBF"/>
    <w:rsid w:val="00070857"/>
    <w:rsid w:val="0007232D"/>
    <w:rsid w:val="0007343D"/>
    <w:rsid w:val="0007377C"/>
    <w:rsid w:val="0007421D"/>
    <w:rsid w:val="000762DC"/>
    <w:rsid w:val="0007636C"/>
    <w:rsid w:val="00076E73"/>
    <w:rsid w:val="00077A07"/>
    <w:rsid w:val="000815EB"/>
    <w:rsid w:val="0008280F"/>
    <w:rsid w:val="00082EFD"/>
    <w:rsid w:val="00083367"/>
    <w:rsid w:val="0008428E"/>
    <w:rsid w:val="0008478C"/>
    <w:rsid w:val="00084A31"/>
    <w:rsid w:val="00086BC1"/>
    <w:rsid w:val="00086D98"/>
    <w:rsid w:val="0008778D"/>
    <w:rsid w:val="00090258"/>
    <w:rsid w:val="0009159D"/>
    <w:rsid w:val="000920FD"/>
    <w:rsid w:val="00092634"/>
    <w:rsid w:val="00097C05"/>
    <w:rsid w:val="00097D95"/>
    <w:rsid w:val="000A0BA3"/>
    <w:rsid w:val="000A156F"/>
    <w:rsid w:val="000A3D2F"/>
    <w:rsid w:val="000A6329"/>
    <w:rsid w:val="000A672E"/>
    <w:rsid w:val="000A6835"/>
    <w:rsid w:val="000A6C08"/>
    <w:rsid w:val="000A75FD"/>
    <w:rsid w:val="000B0A2B"/>
    <w:rsid w:val="000B2771"/>
    <w:rsid w:val="000B3147"/>
    <w:rsid w:val="000B333B"/>
    <w:rsid w:val="000B3E4B"/>
    <w:rsid w:val="000B4124"/>
    <w:rsid w:val="000B4470"/>
    <w:rsid w:val="000B4E09"/>
    <w:rsid w:val="000B580A"/>
    <w:rsid w:val="000B5D39"/>
    <w:rsid w:val="000B62BB"/>
    <w:rsid w:val="000B7C6A"/>
    <w:rsid w:val="000B7E62"/>
    <w:rsid w:val="000C0236"/>
    <w:rsid w:val="000C0253"/>
    <w:rsid w:val="000C1FCA"/>
    <w:rsid w:val="000C2A5B"/>
    <w:rsid w:val="000C4A0B"/>
    <w:rsid w:val="000C5A93"/>
    <w:rsid w:val="000C6869"/>
    <w:rsid w:val="000C6AFC"/>
    <w:rsid w:val="000D0633"/>
    <w:rsid w:val="000D0DF4"/>
    <w:rsid w:val="000D0EE6"/>
    <w:rsid w:val="000D1D4B"/>
    <w:rsid w:val="000D1FB6"/>
    <w:rsid w:val="000D2FB4"/>
    <w:rsid w:val="000D5648"/>
    <w:rsid w:val="000D593F"/>
    <w:rsid w:val="000D5CAC"/>
    <w:rsid w:val="000D5FF8"/>
    <w:rsid w:val="000D739B"/>
    <w:rsid w:val="000D7DD4"/>
    <w:rsid w:val="000D7E4E"/>
    <w:rsid w:val="000D7E96"/>
    <w:rsid w:val="000E0423"/>
    <w:rsid w:val="000E065C"/>
    <w:rsid w:val="000E0857"/>
    <w:rsid w:val="000E0FB3"/>
    <w:rsid w:val="000E10D3"/>
    <w:rsid w:val="000E2355"/>
    <w:rsid w:val="000E2BFA"/>
    <w:rsid w:val="000E3A6B"/>
    <w:rsid w:val="000E452B"/>
    <w:rsid w:val="000E7C22"/>
    <w:rsid w:val="000F2DC1"/>
    <w:rsid w:val="000F2E3F"/>
    <w:rsid w:val="000F372C"/>
    <w:rsid w:val="000F4BE7"/>
    <w:rsid w:val="000F603B"/>
    <w:rsid w:val="000F6403"/>
    <w:rsid w:val="000F6C7F"/>
    <w:rsid w:val="000F79FF"/>
    <w:rsid w:val="001009D9"/>
    <w:rsid w:val="00100E1B"/>
    <w:rsid w:val="00101107"/>
    <w:rsid w:val="00102736"/>
    <w:rsid w:val="0010290F"/>
    <w:rsid w:val="0010405F"/>
    <w:rsid w:val="00104F76"/>
    <w:rsid w:val="001069FD"/>
    <w:rsid w:val="00110181"/>
    <w:rsid w:val="00110725"/>
    <w:rsid w:val="001125FD"/>
    <w:rsid w:val="00112F9D"/>
    <w:rsid w:val="001134F8"/>
    <w:rsid w:val="00113D92"/>
    <w:rsid w:val="0011690B"/>
    <w:rsid w:val="001169CE"/>
    <w:rsid w:val="0011735D"/>
    <w:rsid w:val="001204C5"/>
    <w:rsid w:val="00120603"/>
    <w:rsid w:val="001208A2"/>
    <w:rsid w:val="001209EF"/>
    <w:rsid w:val="001219D1"/>
    <w:rsid w:val="001233FF"/>
    <w:rsid w:val="001236E4"/>
    <w:rsid w:val="00124C66"/>
    <w:rsid w:val="001266E3"/>
    <w:rsid w:val="0012713F"/>
    <w:rsid w:val="00127478"/>
    <w:rsid w:val="001279B9"/>
    <w:rsid w:val="001279C1"/>
    <w:rsid w:val="001302A2"/>
    <w:rsid w:val="00130CCE"/>
    <w:rsid w:val="001316E9"/>
    <w:rsid w:val="00132D57"/>
    <w:rsid w:val="00133C0E"/>
    <w:rsid w:val="00133C60"/>
    <w:rsid w:val="0013687C"/>
    <w:rsid w:val="00136B18"/>
    <w:rsid w:val="001375F0"/>
    <w:rsid w:val="0014090C"/>
    <w:rsid w:val="001421AA"/>
    <w:rsid w:val="00142A87"/>
    <w:rsid w:val="0014334C"/>
    <w:rsid w:val="001437FC"/>
    <w:rsid w:val="00146074"/>
    <w:rsid w:val="0014647E"/>
    <w:rsid w:val="0014699E"/>
    <w:rsid w:val="00146A50"/>
    <w:rsid w:val="00146EFB"/>
    <w:rsid w:val="00147678"/>
    <w:rsid w:val="00147FDC"/>
    <w:rsid w:val="001508AB"/>
    <w:rsid w:val="001512A7"/>
    <w:rsid w:val="001520D4"/>
    <w:rsid w:val="0015257C"/>
    <w:rsid w:val="001549DE"/>
    <w:rsid w:val="00154C7A"/>
    <w:rsid w:val="00156B6B"/>
    <w:rsid w:val="00160C46"/>
    <w:rsid w:val="00162377"/>
    <w:rsid w:val="001629AE"/>
    <w:rsid w:val="0016531B"/>
    <w:rsid w:val="00165883"/>
    <w:rsid w:val="00166D55"/>
    <w:rsid w:val="00170267"/>
    <w:rsid w:val="00172211"/>
    <w:rsid w:val="001735A1"/>
    <w:rsid w:val="00174EC3"/>
    <w:rsid w:val="0017696A"/>
    <w:rsid w:val="0017701D"/>
    <w:rsid w:val="00181523"/>
    <w:rsid w:val="00182F6E"/>
    <w:rsid w:val="00183575"/>
    <w:rsid w:val="00184D98"/>
    <w:rsid w:val="0018536D"/>
    <w:rsid w:val="001853DC"/>
    <w:rsid w:val="00185EE4"/>
    <w:rsid w:val="00186465"/>
    <w:rsid w:val="0018758C"/>
    <w:rsid w:val="00187AF5"/>
    <w:rsid w:val="00187D51"/>
    <w:rsid w:val="00191617"/>
    <w:rsid w:val="001925E0"/>
    <w:rsid w:val="0019292E"/>
    <w:rsid w:val="00193F15"/>
    <w:rsid w:val="001945B3"/>
    <w:rsid w:val="00194BAE"/>
    <w:rsid w:val="00194E4F"/>
    <w:rsid w:val="001956BC"/>
    <w:rsid w:val="00195D63"/>
    <w:rsid w:val="001960DD"/>
    <w:rsid w:val="001974B9"/>
    <w:rsid w:val="001A04DF"/>
    <w:rsid w:val="001A0CCB"/>
    <w:rsid w:val="001A0FF5"/>
    <w:rsid w:val="001A2587"/>
    <w:rsid w:val="001A2AF1"/>
    <w:rsid w:val="001A33D6"/>
    <w:rsid w:val="001A4767"/>
    <w:rsid w:val="001A563A"/>
    <w:rsid w:val="001A573D"/>
    <w:rsid w:val="001A67DF"/>
    <w:rsid w:val="001B0322"/>
    <w:rsid w:val="001B042B"/>
    <w:rsid w:val="001B08B0"/>
    <w:rsid w:val="001B0D09"/>
    <w:rsid w:val="001B1384"/>
    <w:rsid w:val="001B1ACE"/>
    <w:rsid w:val="001B1FE9"/>
    <w:rsid w:val="001B2C6D"/>
    <w:rsid w:val="001B2CAF"/>
    <w:rsid w:val="001B2DF9"/>
    <w:rsid w:val="001B362D"/>
    <w:rsid w:val="001B39BB"/>
    <w:rsid w:val="001B4FB2"/>
    <w:rsid w:val="001B5565"/>
    <w:rsid w:val="001B754D"/>
    <w:rsid w:val="001C0919"/>
    <w:rsid w:val="001C1366"/>
    <w:rsid w:val="001C210A"/>
    <w:rsid w:val="001C2FBB"/>
    <w:rsid w:val="001C3508"/>
    <w:rsid w:val="001C38BA"/>
    <w:rsid w:val="001C3977"/>
    <w:rsid w:val="001C4F0A"/>
    <w:rsid w:val="001C5588"/>
    <w:rsid w:val="001C6339"/>
    <w:rsid w:val="001C6C5F"/>
    <w:rsid w:val="001C7654"/>
    <w:rsid w:val="001C7F5A"/>
    <w:rsid w:val="001D06DC"/>
    <w:rsid w:val="001D1903"/>
    <w:rsid w:val="001D1CB6"/>
    <w:rsid w:val="001D264B"/>
    <w:rsid w:val="001D3579"/>
    <w:rsid w:val="001D367B"/>
    <w:rsid w:val="001D37F2"/>
    <w:rsid w:val="001D3B0D"/>
    <w:rsid w:val="001D69B0"/>
    <w:rsid w:val="001D7927"/>
    <w:rsid w:val="001E0F9D"/>
    <w:rsid w:val="001E1CF6"/>
    <w:rsid w:val="001E3127"/>
    <w:rsid w:val="001E3694"/>
    <w:rsid w:val="001E39E3"/>
    <w:rsid w:val="001E3AC8"/>
    <w:rsid w:val="001E59F9"/>
    <w:rsid w:val="001E60E6"/>
    <w:rsid w:val="001E7A8F"/>
    <w:rsid w:val="001F01C2"/>
    <w:rsid w:val="001F01FB"/>
    <w:rsid w:val="001F0B29"/>
    <w:rsid w:val="001F11BE"/>
    <w:rsid w:val="001F18FB"/>
    <w:rsid w:val="001F31C3"/>
    <w:rsid w:val="001F51A0"/>
    <w:rsid w:val="001F5CC6"/>
    <w:rsid w:val="001F751A"/>
    <w:rsid w:val="001F7AE3"/>
    <w:rsid w:val="00200905"/>
    <w:rsid w:val="00201767"/>
    <w:rsid w:val="002019DC"/>
    <w:rsid w:val="00202BC3"/>
    <w:rsid w:val="00203100"/>
    <w:rsid w:val="00203911"/>
    <w:rsid w:val="00203FE6"/>
    <w:rsid w:val="002072CF"/>
    <w:rsid w:val="00207469"/>
    <w:rsid w:val="00210650"/>
    <w:rsid w:val="00211765"/>
    <w:rsid w:val="002136E7"/>
    <w:rsid w:val="002155E1"/>
    <w:rsid w:val="0021690B"/>
    <w:rsid w:val="00220072"/>
    <w:rsid w:val="0022066E"/>
    <w:rsid w:val="002206DB"/>
    <w:rsid w:val="00220B55"/>
    <w:rsid w:val="0022136E"/>
    <w:rsid w:val="0022182D"/>
    <w:rsid w:val="00222DAD"/>
    <w:rsid w:val="00224859"/>
    <w:rsid w:val="0022496E"/>
    <w:rsid w:val="00224B06"/>
    <w:rsid w:val="002252F4"/>
    <w:rsid w:val="00225468"/>
    <w:rsid w:val="00225A12"/>
    <w:rsid w:val="002261B3"/>
    <w:rsid w:val="0022681C"/>
    <w:rsid w:val="00230413"/>
    <w:rsid w:val="002307E0"/>
    <w:rsid w:val="0023133E"/>
    <w:rsid w:val="002318B6"/>
    <w:rsid w:val="00233CEF"/>
    <w:rsid w:val="00233FD0"/>
    <w:rsid w:val="0023437D"/>
    <w:rsid w:val="002352B0"/>
    <w:rsid w:val="002354E4"/>
    <w:rsid w:val="00236492"/>
    <w:rsid w:val="00237A2F"/>
    <w:rsid w:val="00240493"/>
    <w:rsid w:val="002405ED"/>
    <w:rsid w:val="00241808"/>
    <w:rsid w:val="00241B37"/>
    <w:rsid w:val="00242096"/>
    <w:rsid w:val="002435F7"/>
    <w:rsid w:val="00243942"/>
    <w:rsid w:val="00243CE7"/>
    <w:rsid w:val="002444FE"/>
    <w:rsid w:val="002448CA"/>
    <w:rsid w:val="002464E8"/>
    <w:rsid w:val="002465F6"/>
    <w:rsid w:val="0024710C"/>
    <w:rsid w:val="0024761A"/>
    <w:rsid w:val="00250DAE"/>
    <w:rsid w:val="00253776"/>
    <w:rsid w:val="00253DB2"/>
    <w:rsid w:val="00253F7C"/>
    <w:rsid w:val="002551A7"/>
    <w:rsid w:val="00255417"/>
    <w:rsid w:val="00255B39"/>
    <w:rsid w:val="00257989"/>
    <w:rsid w:val="00257F7B"/>
    <w:rsid w:val="00260517"/>
    <w:rsid w:val="00260B00"/>
    <w:rsid w:val="00260EFA"/>
    <w:rsid w:val="002618C7"/>
    <w:rsid w:val="00261E84"/>
    <w:rsid w:val="00262FED"/>
    <w:rsid w:val="0026341C"/>
    <w:rsid w:val="002668C7"/>
    <w:rsid w:val="00267328"/>
    <w:rsid w:val="00267459"/>
    <w:rsid w:val="002733B3"/>
    <w:rsid w:val="0027384A"/>
    <w:rsid w:val="00274963"/>
    <w:rsid w:val="00275D89"/>
    <w:rsid w:val="002817CE"/>
    <w:rsid w:val="00283AA6"/>
    <w:rsid w:val="0028432C"/>
    <w:rsid w:val="00284A87"/>
    <w:rsid w:val="00284E46"/>
    <w:rsid w:val="002857E2"/>
    <w:rsid w:val="002870A9"/>
    <w:rsid w:val="00290ABD"/>
    <w:rsid w:val="002926D1"/>
    <w:rsid w:val="00292DAB"/>
    <w:rsid w:val="00293ABB"/>
    <w:rsid w:val="00293E05"/>
    <w:rsid w:val="00294334"/>
    <w:rsid w:val="00296608"/>
    <w:rsid w:val="002972C0"/>
    <w:rsid w:val="002A01D1"/>
    <w:rsid w:val="002A0569"/>
    <w:rsid w:val="002A0959"/>
    <w:rsid w:val="002A0B4A"/>
    <w:rsid w:val="002A2D0D"/>
    <w:rsid w:val="002A34C1"/>
    <w:rsid w:val="002A3D80"/>
    <w:rsid w:val="002A3DB7"/>
    <w:rsid w:val="002A49CF"/>
    <w:rsid w:val="002A53D5"/>
    <w:rsid w:val="002A5C43"/>
    <w:rsid w:val="002A729E"/>
    <w:rsid w:val="002A7AD5"/>
    <w:rsid w:val="002A7FB5"/>
    <w:rsid w:val="002B262D"/>
    <w:rsid w:val="002B35F2"/>
    <w:rsid w:val="002B3929"/>
    <w:rsid w:val="002B4B83"/>
    <w:rsid w:val="002B6125"/>
    <w:rsid w:val="002B613D"/>
    <w:rsid w:val="002C243B"/>
    <w:rsid w:val="002C324C"/>
    <w:rsid w:val="002C3B71"/>
    <w:rsid w:val="002C57E5"/>
    <w:rsid w:val="002C5BE5"/>
    <w:rsid w:val="002C74AB"/>
    <w:rsid w:val="002C7704"/>
    <w:rsid w:val="002C7F13"/>
    <w:rsid w:val="002D1528"/>
    <w:rsid w:val="002D206A"/>
    <w:rsid w:val="002D29DB"/>
    <w:rsid w:val="002D358E"/>
    <w:rsid w:val="002D443C"/>
    <w:rsid w:val="002D65B3"/>
    <w:rsid w:val="002D7D6B"/>
    <w:rsid w:val="002E09C7"/>
    <w:rsid w:val="002E11AE"/>
    <w:rsid w:val="002E2247"/>
    <w:rsid w:val="002E2587"/>
    <w:rsid w:val="002E2BE0"/>
    <w:rsid w:val="002E33D3"/>
    <w:rsid w:val="002E4E8A"/>
    <w:rsid w:val="002E59B0"/>
    <w:rsid w:val="002E5B04"/>
    <w:rsid w:val="002E64C1"/>
    <w:rsid w:val="002E7449"/>
    <w:rsid w:val="002F08DF"/>
    <w:rsid w:val="002F0AD4"/>
    <w:rsid w:val="002F2504"/>
    <w:rsid w:val="002F52A9"/>
    <w:rsid w:val="002F7CD1"/>
    <w:rsid w:val="002F7CE4"/>
    <w:rsid w:val="0030048C"/>
    <w:rsid w:val="00301D68"/>
    <w:rsid w:val="003031DA"/>
    <w:rsid w:val="00303790"/>
    <w:rsid w:val="00303D13"/>
    <w:rsid w:val="00303D41"/>
    <w:rsid w:val="00304657"/>
    <w:rsid w:val="00307743"/>
    <w:rsid w:val="00311FF2"/>
    <w:rsid w:val="00312651"/>
    <w:rsid w:val="00313634"/>
    <w:rsid w:val="00313AA7"/>
    <w:rsid w:val="00316319"/>
    <w:rsid w:val="00320952"/>
    <w:rsid w:val="00321EA0"/>
    <w:rsid w:val="00322F05"/>
    <w:rsid w:val="00323349"/>
    <w:rsid w:val="00323937"/>
    <w:rsid w:val="00324F79"/>
    <w:rsid w:val="00326FC6"/>
    <w:rsid w:val="003271CD"/>
    <w:rsid w:val="00327401"/>
    <w:rsid w:val="0033261F"/>
    <w:rsid w:val="003346EB"/>
    <w:rsid w:val="00335933"/>
    <w:rsid w:val="003359BE"/>
    <w:rsid w:val="003369E2"/>
    <w:rsid w:val="00336BE3"/>
    <w:rsid w:val="003370E4"/>
    <w:rsid w:val="00342EFF"/>
    <w:rsid w:val="00342F44"/>
    <w:rsid w:val="00343399"/>
    <w:rsid w:val="003437BD"/>
    <w:rsid w:val="00343D67"/>
    <w:rsid w:val="003478CF"/>
    <w:rsid w:val="00347933"/>
    <w:rsid w:val="00350E98"/>
    <w:rsid w:val="00350FC8"/>
    <w:rsid w:val="003520AD"/>
    <w:rsid w:val="0035223B"/>
    <w:rsid w:val="00354220"/>
    <w:rsid w:val="00355007"/>
    <w:rsid w:val="003564C6"/>
    <w:rsid w:val="003566D4"/>
    <w:rsid w:val="00356733"/>
    <w:rsid w:val="00356C09"/>
    <w:rsid w:val="003579FF"/>
    <w:rsid w:val="003604DD"/>
    <w:rsid w:val="003608E7"/>
    <w:rsid w:val="00360AA1"/>
    <w:rsid w:val="0036255A"/>
    <w:rsid w:val="00363487"/>
    <w:rsid w:val="003649AD"/>
    <w:rsid w:val="00364E6F"/>
    <w:rsid w:val="0036500A"/>
    <w:rsid w:val="00366770"/>
    <w:rsid w:val="0037359D"/>
    <w:rsid w:val="00374532"/>
    <w:rsid w:val="00374868"/>
    <w:rsid w:val="00374AC3"/>
    <w:rsid w:val="00375DF4"/>
    <w:rsid w:val="00376313"/>
    <w:rsid w:val="00380478"/>
    <w:rsid w:val="003820D8"/>
    <w:rsid w:val="003822BE"/>
    <w:rsid w:val="00383004"/>
    <w:rsid w:val="003830CE"/>
    <w:rsid w:val="003838F6"/>
    <w:rsid w:val="00385E2D"/>
    <w:rsid w:val="00386176"/>
    <w:rsid w:val="0038695F"/>
    <w:rsid w:val="0038786C"/>
    <w:rsid w:val="0039202B"/>
    <w:rsid w:val="0039220D"/>
    <w:rsid w:val="0039262E"/>
    <w:rsid w:val="00393048"/>
    <w:rsid w:val="003937F3"/>
    <w:rsid w:val="00393FAA"/>
    <w:rsid w:val="0039464E"/>
    <w:rsid w:val="00395600"/>
    <w:rsid w:val="00396E22"/>
    <w:rsid w:val="003A15D6"/>
    <w:rsid w:val="003A4B38"/>
    <w:rsid w:val="003A4BFE"/>
    <w:rsid w:val="003A5145"/>
    <w:rsid w:val="003A5A40"/>
    <w:rsid w:val="003A65EB"/>
    <w:rsid w:val="003B00B8"/>
    <w:rsid w:val="003B084A"/>
    <w:rsid w:val="003B2445"/>
    <w:rsid w:val="003B4BD5"/>
    <w:rsid w:val="003B4DE5"/>
    <w:rsid w:val="003B6A5F"/>
    <w:rsid w:val="003B7E9A"/>
    <w:rsid w:val="003B7F05"/>
    <w:rsid w:val="003C04EB"/>
    <w:rsid w:val="003C23F0"/>
    <w:rsid w:val="003C3A1E"/>
    <w:rsid w:val="003C505B"/>
    <w:rsid w:val="003C5ACE"/>
    <w:rsid w:val="003C6F0F"/>
    <w:rsid w:val="003C71CF"/>
    <w:rsid w:val="003C789D"/>
    <w:rsid w:val="003C7B78"/>
    <w:rsid w:val="003D1A0C"/>
    <w:rsid w:val="003D1C90"/>
    <w:rsid w:val="003D3241"/>
    <w:rsid w:val="003D4A56"/>
    <w:rsid w:val="003D5827"/>
    <w:rsid w:val="003D6552"/>
    <w:rsid w:val="003D6EFD"/>
    <w:rsid w:val="003D7B2C"/>
    <w:rsid w:val="003E10C3"/>
    <w:rsid w:val="003E1917"/>
    <w:rsid w:val="003E259A"/>
    <w:rsid w:val="003E5211"/>
    <w:rsid w:val="003E77C6"/>
    <w:rsid w:val="003E7D5E"/>
    <w:rsid w:val="003F2299"/>
    <w:rsid w:val="003F31D2"/>
    <w:rsid w:val="003F35FF"/>
    <w:rsid w:val="003F3716"/>
    <w:rsid w:val="003F3DC0"/>
    <w:rsid w:val="003F4845"/>
    <w:rsid w:val="003F4DBE"/>
    <w:rsid w:val="003F557E"/>
    <w:rsid w:val="003F7CC5"/>
    <w:rsid w:val="00400D68"/>
    <w:rsid w:val="00401A63"/>
    <w:rsid w:val="004035F7"/>
    <w:rsid w:val="0040440B"/>
    <w:rsid w:val="0040486C"/>
    <w:rsid w:val="004059A5"/>
    <w:rsid w:val="004067AD"/>
    <w:rsid w:val="00407351"/>
    <w:rsid w:val="00407EE0"/>
    <w:rsid w:val="004115ED"/>
    <w:rsid w:val="004120B0"/>
    <w:rsid w:val="00412439"/>
    <w:rsid w:val="004133CE"/>
    <w:rsid w:val="0041366F"/>
    <w:rsid w:val="00413B94"/>
    <w:rsid w:val="00413E8A"/>
    <w:rsid w:val="0041464F"/>
    <w:rsid w:val="00414806"/>
    <w:rsid w:val="004157C2"/>
    <w:rsid w:val="00415F24"/>
    <w:rsid w:val="0041723D"/>
    <w:rsid w:val="00417CE1"/>
    <w:rsid w:val="0042093A"/>
    <w:rsid w:val="00420955"/>
    <w:rsid w:val="00422482"/>
    <w:rsid w:val="00422987"/>
    <w:rsid w:val="00424B78"/>
    <w:rsid w:val="00425C40"/>
    <w:rsid w:val="00426129"/>
    <w:rsid w:val="00430FC0"/>
    <w:rsid w:val="00431C82"/>
    <w:rsid w:val="004324AC"/>
    <w:rsid w:val="0043262F"/>
    <w:rsid w:val="00432F79"/>
    <w:rsid w:val="004335E8"/>
    <w:rsid w:val="0043432A"/>
    <w:rsid w:val="00434671"/>
    <w:rsid w:val="00436A3E"/>
    <w:rsid w:val="0043789F"/>
    <w:rsid w:val="00437B77"/>
    <w:rsid w:val="00437D8A"/>
    <w:rsid w:val="00440D78"/>
    <w:rsid w:val="00441A2A"/>
    <w:rsid w:val="004420F6"/>
    <w:rsid w:val="00442629"/>
    <w:rsid w:val="00442D5D"/>
    <w:rsid w:val="00442E76"/>
    <w:rsid w:val="0044359A"/>
    <w:rsid w:val="00443C57"/>
    <w:rsid w:val="00444979"/>
    <w:rsid w:val="00444F65"/>
    <w:rsid w:val="00446720"/>
    <w:rsid w:val="004476C6"/>
    <w:rsid w:val="00447722"/>
    <w:rsid w:val="00450707"/>
    <w:rsid w:val="0045130C"/>
    <w:rsid w:val="00451BAC"/>
    <w:rsid w:val="00453578"/>
    <w:rsid w:val="00454A58"/>
    <w:rsid w:val="00455214"/>
    <w:rsid w:val="004557FF"/>
    <w:rsid w:val="00456136"/>
    <w:rsid w:val="00456463"/>
    <w:rsid w:val="00456D5A"/>
    <w:rsid w:val="00456EF2"/>
    <w:rsid w:val="00457F64"/>
    <w:rsid w:val="00460F2B"/>
    <w:rsid w:val="0046133D"/>
    <w:rsid w:val="00463A8D"/>
    <w:rsid w:val="00464224"/>
    <w:rsid w:val="00464328"/>
    <w:rsid w:val="00465B32"/>
    <w:rsid w:val="0046627D"/>
    <w:rsid w:val="00467E49"/>
    <w:rsid w:val="0047123F"/>
    <w:rsid w:val="00472C9B"/>
    <w:rsid w:val="00472F52"/>
    <w:rsid w:val="00473A5E"/>
    <w:rsid w:val="00474CB5"/>
    <w:rsid w:val="004758A9"/>
    <w:rsid w:val="00476273"/>
    <w:rsid w:val="00476E99"/>
    <w:rsid w:val="0047731A"/>
    <w:rsid w:val="00477399"/>
    <w:rsid w:val="00477A1D"/>
    <w:rsid w:val="00477D13"/>
    <w:rsid w:val="0048020B"/>
    <w:rsid w:val="00481C23"/>
    <w:rsid w:val="00482F6B"/>
    <w:rsid w:val="004864DA"/>
    <w:rsid w:val="004872BC"/>
    <w:rsid w:val="004874A4"/>
    <w:rsid w:val="00492257"/>
    <w:rsid w:val="00494355"/>
    <w:rsid w:val="00494945"/>
    <w:rsid w:val="00494D59"/>
    <w:rsid w:val="00494E86"/>
    <w:rsid w:val="00495E07"/>
    <w:rsid w:val="00495FEC"/>
    <w:rsid w:val="004968A5"/>
    <w:rsid w:val="00497F70"/>
    <w:rsid w:val="004A03E5"/>
    <w:rsid w:val="004A28D0"/>
    <w:rsid w:val="004A3815"/>
    <w:rsid w:val="004A503D"/>
    <w:rsid w:val="004A7D98"/>
    <w:rsid w:val="004B00AC"/>
    <w:rsid w:val="004B0E14"/>
    <w:rsid w:val="004B141F"/>
    <w:rsid w:val="004B30C7"/>
    <w:rsid w:val="004B4A8D"/>
    <w:rsid w:val="004B5550"/>
    <w:rsid w:val="004B5653"/>
    <w:rsid w:val="004B7578"/>
    <w:rsid w:val="004C02CD"/>
    <w:rsid w:val="004C038F"/>
    <w:rsid w:val="004C0E28"/>
    <w:rsid w:val="004C190E"/>
    <w:rsid w:val="004C2AD8"/>
    <w:rsid w:val="004C34C4"/>
    <w:rsid w:val="004C456B"/>
    <w:rsid w:val="004C4D5F"/>
    <w:rsid w:val="004C78A4"/>
    <w:rsid w:val="004D238F"/>
    <w:rsid w:val="004D35E8"/>
    <w:rsid w:val="004D4342"/>
    <w:rsid w:val="004D4521"/>
    <w:rsid w:val="004D473C"/>
    <w:rsid w:val="004D478B"/>
    <w:rsid w:val="004D5EF8"/>
    <w:rsid w:val="004D614C"/>
    <w:rsid w:val="004D6A87"/>
    <w:rsid w:val="004D7B44"/>
    <w:rsid w:val="004E0ED4"/>
    <w:rsid w:val="004E1DAE"/>
    <w:rsid w:val="004E1E4B"/>
    <w:rsid w:val="004E25A6"/>
    <w:rsid w:val="004E2924"/>
    <w:rsid w:val="004E7014"/>
    <w:rsid w:val="004E776D"/>
    <w:rsid w:val="004F1845"/>
    <w:rsid w:val="004F1EBD"/>
    <w:rsid w:val="004F23D0"/>
    <w:rsid w:val="004F2E4B"/>
    <w:rsid w:val="004F5759"/>
    <w:rsid w:val="004F5A47"/>
    <w:rsid w:val="004F6475"/>
    <w:rsid w:val="004F6661"/>
    <w:rsid w:val="004F683C"/>
    <w:rsid w:val="004F69ED"/>
    <w:rsid w:val="004F7405"/>
    <w:rsid w:val="004F7D47"/>
    <w:rsid w:val="0050001C"/>
    <w:rsid w:val="00501832"/>
    <w:rsid w:val="00502C34"/>
    <w:rsid w:val="0050443A"/>
    <w:rsid w:val="00504658"/>
    <w:rsid w:val="005047DF"/>
    <w:rsid w:val="0050488A"/>
    <w:rsid w:val="00505550"/>
    <w:rsid w:val="005132D1"/>
    <w:rsid w:val="00513925"/>
    <w:rsid w:val="00513D6D"/>
    <w:rsid w:val="00513E14"/>
    <w:rsid w:val="00514737"/>
    <w:rsid w:val="005154C1"/>
    <w:rsid w:val="00515CF0"/>
    <w:rsid w:val="005162AB"/>
    <w:rsid w:val="00516718"/>
    <w:rsid w:val="00521122"/>
    <w:rsid w:val="005220B5"/>
    <w:rsid w:val="00522B30"/>
    <w:rsid w:val="00522FCA"/>
    <w:rsid w:val="0052351B"/>
    <w:rsid w:val="0052438E"/>
    <w:rsid w:val="00525ADE"/>
    <w:rsid w:val="00531155"/>
    <w:rsid w:val="005311CB"/>
    <w:rsid w:val="00531E8F"/>
    <w:rsid w:val="00532EEB"/>
    <w:rsid w:val="00536014"/>
    <w:rsid w:val="0053623B"/>
    <w:rsid w:val="0053660B"/>
    <w:rsid w:val="0054099E"/>
    <w:rsid w:val="00541146"/>
    <w:rsid w:val="00541F61"/>
    <w:rsid w:val="00542814"/>
    <w:rsid w:val="00545426"/>
    <w:rsid w:val="00545CC2"/>
    <w:rsid w:val="00546238"/>
    <w:rsid w:val="00547D3F"/>
    <w:rsid w:val="00551354"/>
    <w:rsid w:val="00551CDF"/>
    <w:rsid w:val="00552271"/>
    <w:rsid w:val="00552A11"/>
    <w:rsid w:val="00552FE4"/>
    <w:rsid w:val="005534D4"/>
    <w:rsid w:val="00553FB6"/>
    <w:rsid w:val="00555848"/>
    <w:rsid w:val="005577D9"/>
    <w:rsid w:val="00561059"/>
    <w:rsid w:val="00561DA8"/>
    <w:rsid w:val="00562706"/>
    <w:rsid w:val="00562CB2"/>
    <w:rsid w:val="00562F01"/>
    <w:rsid w:val="005653BE"/>
    <w:rsid w:val="00570F45"/>
    <w:rsid w:val="0057156F"/>
    <w:rsid w:val="00571D6D"/>
    <w:rsid w:val="0057288A"/>
    <w:rsid w:val="00572D04"/>
    <w:rsid w:val="00572F46"/>
    <w:rsid w:val="00573DEC"/>
    <w:rsid w:val="005747DD"/>
    <w:rsid w:val="00574A02"/>
    <w:rsid w:val="00575906"/>
    <w:rsid w:val="00576A54"/>
    <w:rsid w:val="00576BC4"/>
    <w:rsid w:val="00577246"/>
    <w:rsid w:val="00577361"/>
    <w:rsid w:val="0057781E"/>
    <w:rsid w:val="005779D6"/>
    <w:rsid w:val="00577DC6"/>
    <w:rsid w:val="005810AA"/>
    <w:rsid w:val="005816F4"/>
    <w:rsid w:val="00581BDF"/>
    <w:rsid w:val="0058272B"/>
    <w:rsid w:val="00583257"/>
    <w:rsid w:val="0058359C"/>
    <w:rsid w:val="00585174"/>
    <w:rsid w:val="00586F62"/>
    <w:rsid w:val="00587B48"/>
    <w:rsid w:val="0059038C"/>
    <w:rsid w:val="00590A4B"/>
    <w:rsid w:val="00590B5D"/>
    <w:rsid w:val="005918E5"/>
    <w:rsid w:val="005921E2"/>
    <w:rsid w:val="00593932"/>
    <w:rsid w:val="00593EDA"/>
    <w:rsid w:val="00594097"/>
    <w:rsid w:val="00594E87"/>
    <w:rsid w:val="005950E5"/>
    <w:rsid w:val="00596159"/>
    <w:rsid w:val="005967B0"/>
    <w:rsid w:val="00596958"/>
    <w:rsid w:val="00596981"/>
    <w:rsid w:val="00597309"/>
    <w:rsid w:val="005A12B9"/>
    <w:rsid w:val="005A1772"/>
    <w:rsid w:val="005A2161"/>
    <w:rsid w:val="005A30F4"/>
    <w:rsid w:val="005A4CD3"/>
    <w:rsid w:val="005A4D26"/>
    <w:rsid w:val="005A663A"/>
    <w:rsid w:val="005A6F7C"/>
    <w:rsid w:val="005B01CF"/>
    <w:rsid w:val="005B0BB5"/>
    <w:rsid w:val="005B132F"/>
    <w:rsid w:val="005B15EB"/>
    <w:rsid w:val="005B18B2"/>
    <w:rsid w:val="005B1E93"/>
    <w:rsid w:val="005B38E7"/>
    <w:rsid w:val="005B40A6"/>
    <w:rsid w:val="005B5138"/>
    <w:rsid w:val="005C0180"/>
    <w:rsid w:val="005C01B7"/>
    <w:rsid w:val="005C1356"/>
    <w:rsid w:val="005C1918"/>
    <w:rsid w:val="005C26BA"/>
    <w:rsid w:val="005C4E8A"/>
    <w:rsid w:val="005C5B84"/>
    <w:rsid w:val="005C5C6E"/>
    <w:rsid w:val="005C5E80"/>
    <w:rsid w:val="005C77F9"/>
    <w:rsid w:val="005D0128"/>
    <w:rsid w:val="005D0622"/>
    <w:rsid w:val="005D2A79"/>
    <w:rsid w:val="005D3004"/>
    <w:rsid w:val="005D3284"/>
    <w:rsid w:val="005D3D39"/>
    <w:rsid w:val="005D4BF5"/>
    <w:rsid w:val="005D52E2"/>
    <w:rsid w:val="005D57D6"/>
    <w:rsid w:val="005D73EA"/>
    <w:rsid w:val="005D787E"/>
    <w:rsid w:val="005D7BA2"/>
    <w:rsid w:val="005D7C39"/>
    <w:rsid w:val="005E13DF"/>
    <w:rsid w:val="005E1759"/>
    <w:rsid w:val="005E1AA5"/>
    <w:rsid w:val="005E387D"/>
    <w:rsid w:val="005E3B75"/>
    <w:rsid w:val="005E3D15"/>
    <w:rsid w:val="005E3EC7"/>
    <w:rsid w:val="005E4BDE"/>
    <w:rsid w:val="005E4C65"/>
    <w:rsid w:val="005E529B"/>
    <w:rsid w:val="005E75CF"/>
    <w:rsid w:val="005E7A5C"/>
    <w:rsid w:val="005F2946"/>
    <w:rsid w:val="005F2B14"/>
    <w:rsid w:val="005F34C6"/>
    <w:rsid w:val="005F4318"/>
    <w:rsid w:val="005F4B22"/>
    <w:rsid w:val="005F4F8E"/>
    <w:rsid w:val="005F5089"/>
    <w:rsid w:val="005F54A4"/>
    <w:rsid w:val="005F6159"/>
    <w:rsid w:val="005F71D1"/>
    <w:rsid w:val="0060035F"/>
    <w:rsid w:val="00600504"/>
    <w:rsid w:val="00602441"/>
    <w:rsid w:val="00603391"/>
    <w:rsid w:val="00605CFC"/>
    <w:rsid w:val="0060662A"/>
    <w:rsid w:val="00607205"/>
    <w:rsid w:val="006074E4"/>
    <w:rsid w:val="0060790D"/>
    <w:rsid w:val="00610349"/>
    <w:rsid w:val="00610DE8"/>
    <w:rsid w:val="006112D1"/>
    <w:rsid w:val="006112FA"/>
    <w:rsid w:val="00611C7E"/>
    <w:rsid w:val="00612261"/>
    <w:rsid w:val="00612D4D"/>
    <w:rsid w:val="006177F8"/>
    <w:rsid w:val="00620205"/>
    <w:rsid w:val="00622301"/>
    <w:rsid w:val="006224AA"/>
    <w:rsid w:val="00622D42"/>
    <w:rsid w:val="00622F63"/>
    <w:rsid w:val="00623402"/>
    <w:rsid w:val="006238DB"/>
    <w:rsid w:val="00624440"/>
    <w:rsid w:val="00624B34"/>
    <w:rsid w:val="00625B93"/>
    <w:rsid w:val="00626AD6"/>
    <w:rsid w:val="0062757C"/>
    <w:rsid w:val="006308E9"/>
    <w:rsid w:val="00632154"/>
    <w:rsid w:val="00632839"/>
    <w:rsid w:val="00633563"/>
    <w:rsid w:val="0063382E"/>
    <w:rsid w:val="0063406E"/>
    <w:rsid w:val="00635266"/>
    <w:rsid w:val="00635BFA"/>
    <w:rsid w:val="00636122"/>
    <w:rsid w:val="00636271"/>
    <w:rsid w:val="00643C5A"/>
    <w:rsid w:val="00644196"/>
    <w:rsid w:val="00644503"/>
    <w:rsid w:val="0064569F"/>
    <w:rsid w:val="006502FA"/>
    <w:rsid w:val="006536B6"/>
    <w:rsid w:val="00653D8D"/>
    <w:rsid w:val="00654233"/>
    <w:rsid w:val="006548CF"/>
    <w:rsid w:val="00655A69"/>
    <w:rsid w:val="00655A79"/>
    <w:rsid w:val="00656744"/>
    <w:rsid w:val="00662BC9"/>
    <w:rsid w:val="00663BA2"/>
    <w:rsid w:val="0066560C"/>
    <w:rsid w:val="0066779B"/>
    <w:rsid w:val="00667B22"/>
    <w:rsid w:val="006710C1"/>
    <w:rsid w:val="00672120"/>
    <w:rsid w:val="0067304E"/>
    <w:rsid w:val="00674120"/>
    <w:rsid w:val="0067415A"/>
    <w:rsid w:val="006745E5"/>
    <w:rsid w:val="0067561E"/>
    <w:rsid w:val="00675FFD"/>
    <w:rsid w:val="006769A5"/>
    <w:rsid w:val="006777DC"/>
    <w:rsid w:val="00677A0E"/>
    <w:rsid w:val="00677DA9"/>
    <w:rsid w:val="00680135"/>
    <w:rsid w:val="00680BBD"/>
    <w:rsid w:val="00680C2B"/>
    <w:rsid w:val="00681181"/>
    <w:rsid w:val="00682099"/>
    <w:rsid w:val="00682A87"/>
    <w:rsid w:val="00684577"/>
    <w:rsid w:val="006849ED"/>
    <w:rsid w:val="00685807"/>
    <w:rsid w:val="00685A22"/>
    <w:rsid w:val="00686648"/>
    <w:rsid w:val="00690CF4"/>
    <w:rsid w:val="0069122A"/>
    <w:rsid w:val="00691D5E"/>
    <w:rsid w:val="006924DC"/>
    <w:rsid w:val="0069376A"/>
    <w:rsid w:val="00694F3D"/>
    <w:rsid w:val="006A176E"/>
    <w:rsid w:val="006A18B6"/>
    <w:rsid w:val="006A1EDC"/>
    <w:rsid w:val="006A4342"/>
    <w:rsid w:val="006A5B0F"/>
    <w:rsid w:val="006A5BE6"/>
    <w:rsid w:val="006A5ED6"/>
    <w:rsid w:val="006A5FF3"/>
    <w:rsid w:val="006A6DBA"/>
    <w:rsid w:val="006B0BDF"/>
    <w:rsid w:val="006B1D6A"/>
    <w:rsid w:val="006B20EE"/>
    <w:rsid w:val="006B4826"/>
    <w:rsid w:val="006B4BF3"/>
    <w:rsid w:val="006B53D6"/>
    <w:rsid w:val="006B5B8D"/>
    <w:rsid w:val="006B6CBC"/>
    <w:rsid w:val="006B7524"/>
    <w:rsid w:val="006C1614"/>
    <w:rsid w:val="006C1D8C"/>
    <w:rsid w:val="006C1EFA"/>
    <w:rsid w:val="006C2AF5"/>
    <w:rsid w:val="006C4EB5"/>
    <w:rsid w:val="006C51D5"/>
    <w:rsid w:val="006C595B"/>
    <w:rsid w:val="006D0635"/>
    <w:rsid w:val="006D12A3"/>
    <w:rsid w:val="006D1E49"/>
    <w:rsid w:val="006D2553"/>
    <w:rsid w:val="006D3241"/>
    <w:rsid w:val="006D3E54"/>
    <w:rsid w:val="006D3E9A"/>
    <w:rsid w:val="006D432E"/>
    <w:rsid w:val="006D5606"/>
    <w:rsid w:val="006D5B0E"/>
    <w:rsid w:val="006D7A11"/>
    <w:rsid w:val="006E186C"/>
    <w:rsid w:val="006E1CF4"/>
    <w:rsid w:val="006E4894"/>
    <w:rsid w:val="006E53EC"/>
    <w:rsid w:val="006E6044"/>
    <w:rsid w:val="006E626D"/>
    <w:rsid w:val="006E78BB"/>
    <w:rsid w:val="006F0AFA"/>
    <w:rsid w:val="006F15BC"/>
    <w:rsid w:val="006F1B52"/>
    <w:rsid w:val="006F27A6"/>
    <w:rsid w:val="006F39A4"/>
    <w:rsid w:val="006F3B43"/>
    <w:rsid w:val="006F42DE"/>
    <w:rsid w:val="007004BA"/>
    <w:rsid w:val="00703BBE"/>
    <w:rsid w:val="00703E9E"/>
    <w:rsid w:val="007042D3"/>
    <w:rsid w:val="00705B33"/>
    <w:rsid w:val="0070615E"/>
    <w:rsid w:val="00706C4B"/>
    <w:rsid w:val="0070774C"/>
    <w:rsid w:val="00707A57"/>
    <w:rsid w:val="00710160"/>
    <w:rsid w:val="00710772"/>
    <w:rsid w:val="00710A58"/>
    <w:rsid w:val="007116AC"/>
    <w:rsid w:val="00711BEF"/>
    <w:rsid w:val="007124A2"/>
    <w:rsid w:val="007133ED"/>
    <w:rsid w:val="0071409B"/>
    <w:rsid w:val="00715CE0"/>
    <w:rsid w:val="00716AA3"/>
    <w:rsid w:val="00716C7A"/>
    <w:rsid w:val="00717B92"/>
    <w:rsid w:val="00720DB7"/>
    <w:rsid w:val="00722C27"/>
    <w:rsid w:val="00722D9E"/>
    <w:rsid w:val="007230D6"/>
    <w:rsid w:val="00723E4B"/>
    <w:rsid w:val="00724553"/>
    <w:rsid w:val="0072463A"/>
    <w:rsid w:val="00724D4E"/>
    <w:rsid w:val="00724DD6"/>
    <w:rsid w:val="0072563F"/>
    <w:rsid w:val="007320E9"/>
    <w:rsid w:val="00732CFA"/>
    <w:rsid w:val="00732E2C"/>
    <w:rsid w:val="00733398"/>
    <w:rsid w:val="00733486"/>
    <w:rsid w:val="00733B2F"/>
    <w:rsid w:val="00734468"/>
    <w:rsid w:val="007358DD"/>
    <w:rsid w:val="00735995"/>
    <w:rsid w:val="00735ECF"/>
    <w:rsid w:val="00736045"/>
    <w:rsid w:val="007363A7"/>
    <w:rsid w:val="007368A2"/>
    <w:rsid w:val="00736DE9"/>
    <w:rsid w:val="00740065"/>
    <w:rsid w:val="00740AA1"/>
    <w:rsid w:val="007423BB"/>
    <w:rsid w:val="00742439"/>
    <w:rsid w:val="00742540"/>
    <w:rsid w:val="00743A10"/>
    <w:rsid w:val="00744993"/>
    <w:rsid w:val="007465A9"/>
    <w:rsid w:val="007468F5"/>
    <w:rsid w:val="00746CD3"/>
    <w:rsid w:val="00750AF2"/>
    <w:rsid w:val="00751D40"/>
    <w:rsid w:val="0075339D"/>
    <w:rsid w:val="00754A0D"/>
    <w:rsid w:val="007552C1"/>
    <w:rsid w:val="00755F68"/>
    <w:rsid w:val="007562E2"/>
    <w:rsid w:val="007577C2"/>
    <w:rsid w:val="00760210"/>
    <w:rsid w:val="00760F34"/>
    <w:rsid w:val="0076215E"/>
    <w:rsid w:val="00762958"/>
    <w:rsid w:val="00762F2B"/>
    <w:rsid w:val="00762FA7"/>
    <w:rsid w:val="0076328E"/>
    <w:rsid w:val="0076561E"/>
    <w:rsid w:val="00765E03"/>
    <w:rsid w:val="007661B0"/>
    <w:rsid w:val="007711F4"/>
    <w:rsid w:val="00771EF8"/>
    <w:rsid w:val="00772A31"/>
    <w:rsid w:val="00772AA4"/>
    <w:rsid w:val="00773353"/>
    <w:rsid w:val="0077427E"/>
    <w:rsid w:val="00774C1D"/>
    <w:rsid w:val="007763B0"/>
    <w:rsid w:val="00776C57"/>
    <w:rsid w:val="00780A45"/>
    <w:rsid w:val="007834FD"/>
    <w:rsid w:val="00783842"/>
    <w:rsid w:val="00783916"/>
    <w:rsid w:val="007876E3"/>
    <w:rsid w:val="007903F5"/>
    <w:rsid w:val="007928AD"/>
    <w:rsid w:val="007929D0"/>
    <w:rsid w:val="00793DE8"/>
    <w:rsid w:val="00794362"/>
    <w:rsid w:val="00794724"/>
    <w:rsid w:val="007962BB"/>
    <w:rsid w:val="00797D4D"/>
    <w:rsid w:val="00797D9B"/>
    <w:rsid w:val="007A0174"/>
    <w:rsid w:val="007A04DF"/>
    <w:rsid w:val="007A0BB2"/>
    <w:rsid w:val="007A2057"/>
    <w:rsid w:val="007A5131"/>
    <w:rsid w:val="007A6A76"/>
    <w:rsid w:val="007A6AD5"/>
    <w:rsid w:val="007A6DA7"/>
    <w:rsid w:val="007A7A22"/>
    <w:rsid w:val="007A7FD7"/>
    <w:rsid w:val="007B12EC"/>
    <w:rsid w:val="007B296F"/>
    <w:rsid w:val="007B4019"/>
    <w:rsid w:val="007B411A"/>
    <w:rsid w:val="007B58E8"/>
    <w:rsid w:val="007B6537"/>
    <w:rsid w:val="007B66A0"/>
    <w:rsid w:val="007B68F8"/>
    <w:rsid w:val="007B6E4E"/>
    <w:rsid w:val="007B71E9"/>
    <w:rsid w:val="007BE1A3"/>
    <w:rsid w:val="007C1012"/>
    <w:rsid w:val="007C1702"/>
    <w:rsid w:val="007C2489"/>
    <w:rsid w:val="007C41D1"/>
    <w:rsid w:val="007C48C7"/>
    <w:rsid w:val="007C4E5E"/>
    <w:rsid w:val="007C5413"/>
    <w:rsid w:val="007C62BC"/>
    <w:rsid w:val="007C69D6"/>
    <w:rsid w:val="007D0CFC"/>
    <w:rsid w:val="007D1B8A"/>
    <w:rsid w:val="007D2CEB"/>
    <w:rsid w:val="007D3591"/>
    <w:rsid w:val="007D512C"/>
    <w:rsid w:val="007D581D"/>
    <w:rsid w:val="007D64D8"/>
    <w:rsid w:val="007D6683"/>
    <w:rsid w:val="007E11BA"/>
    <w:rsid w:val="007E1279"/>
    <w:rsid w:val="007E26EC"/>
    <w:rsid w:val="007E2B5C"/>
    <w:rsid w:val="007E43C5"/>
    <w:rsid w:val="007E450D"/>
    <w:rsid w:val="007E4BCE"/>
    <w:rsid w:val="007E4EFE"/>
    <w:rsid w:val="007E55C6"/>
    <w:rsid w:val="007E6167"/>
    <w:rsid w:val="007E6A2E"/>
    <w:rsid w:val="007E74C5"/>
    <w:rsid w:val="007E7509"/>
    <w:rsid w:val="007F081F"/>
    <w:rsid w:val="007F0E34"/>
    <w:rsid w:val="007F26C6"/>
    <w:rsid w:val="007F2D8C"/>
    <w:rsid w:val="007F32C6"/>
    <w:rsid w:val="007F3E7C"/>
    <w:rsid w:val="007F583B"/>
    <w:rsid w:val="007F6368"/>
    <w:rsid w:val="007F7B7F"/>
    <w:rsid w:val="008013A8"/>
    <w:rsid w:val="008043DE"/>
    <w:rsid w:val="0080498D"/>
    <w:rsid w:val="00805625"/>
    <w:rsid w:val="00805CB6"/>
    <w:rsid w:val="0080606A"/>
    <w:rsid w:val="008065F0"/>
    <w:rsid w:val="00807121"/>
    <w:rsid w:val="00807233"/>
    <w:rsid w:val="0080790A"/>
    <w:rsid w:val="00807C2F"/>
    <w:rsid w:val="00810B67"/>
    <w:rsid w:val="00810CD1"/>
    <w:rsid w:val="00811A9A"/>
    <w:rsid w:val="00811BEF"/>
    <w:rsid w:val="00812024"/>
    <w:rsid w:val="0081255A"/>
    <w:rsid w:val="008127C6"/>
    <w:rsid w:val="008129C6"/>
    <w:rsid w:val="00812E0A"/>
    <w:rsid w:val="0081352B"/>
    <w:rsid w:val="008140C1"/>
    <w:rsid w:val="00814514"/>
    <w:rsid w:val="0081598E"/>
    <w:rsid w:val="00816360"/>
    <w:rsid w:val="00816734"/>
    <w:rsid w:val="00816892"/>
    <w:rsid w:val="0081794D"/>
    <w:rsid w:val="0082150F"/>
    <w:rsid w:val="00821C3D"/>
    <w:rsid w:val="00822D54"/>
    <w:rsid w:val="008237E2"/>
    <w:rsid w:val="00823994"/>
    <w:rsid w:val="00823E4C"/>
    <w:rsid w:val="00825228"/>
    <w:rsid w:val="008255E4"/>
    <w:rsid w:val="00827940"/>
    <w:rsid w:val="00827BAD"/>
    <w:rsid w:val="00830639"/>
    <w:rsid w:val="008309C9"/>
    <w:rsid w:val="00830BC7"/>
    <w:rsid w:val="008317A1"/>
    <w:rsid w:val="00832F5B"/>
    <w:rsid w:val="008335E3"/>
    <w:rsid w:val="00833E66"/>
    <w:rsid w:val="00834312"/>
    <w:rsid w:val="00834CDB"/>
    <w:rsid w:val="00834DCB"/>
    <w:rsid w:val="00836673"/>
    <w:rsid w:val="008369B2"/>
    <w:rsid w:val="00840B4F"/>
    <w:rsid w:val="00840C01"/>
    <w:rsid w:val="00840C42"/>
    <w:rsid w:val="0084167C"/>
    <w:rsid w:val="008416A6"/>
    <w:rsid w:val="008416CD"/>
    <w:rsid w:val="0084272D"/>
    <w:rsid w:val="00843E59"/>
    <w:rsid w:val="008442B8"/>
    <w:rsid w:val="00844F10"/>
    <w:rsid w:val="00845186"/>
    <w:rsid w:val="00845BBC"/>
    <w:rsid w:val="008464E4"/>
    <w:rsid w:val="00847F2B"/>
    <w:rsid w:val="00850048"/>
    <w:rsid w:val="00850D83"/>
    <w:rsid w:val="008513D8"/>
    <w:rsid w:val="00852C25"/>
    <w:rsid w:val="00853DA2"/>
    <w:rsid w:val="008543CC"/>
    <w:rsid w:val="00855ACA"/>
    <w:rsid w:val="00855D43"/>
    <w:rsid w:val="008561D7"/>
    <w:rsid w:val="00857A03"/>
    <w:rsid w:val="008607B4"/>
    <w:rsid w:val="00860AB8"/>
    <w:rsid w:val="00860B22"/>
    <w:rsid w:val="00861074"/>
    <w:rsid w:val="00861F5E"/>
    <w:rsid w:val="008626A8"/>
    <w:rsid w:val="00863113"/>
    <w:rsid w:val="00863478"/>
    <w:rsid w:val="008636FC"/>
    <w:rsid w:val="00863DB6"/>
    <w:rsid w:val="008641C2"/>
    <w:rsid w:val="0086427D"/>
    <w:rsid w:val="008648BA"/>
    <w:rsid w:val="00865B86"/>
    <w:rsid w:val="00866711"/>
    <w:rsid w:val="00867777"/>
    <w:rsid w:val="00870368"/>
    <w:rsid w:val="00871164"/>
    <w:rsid w:val="008714D0"/>
    <w:rsid w:val="00871F0B"/>
    <w:rsid w:val="00873BC6"/>
    <w:rsid w:val="00874FB1"/>
    <w:rsid w:val="00875812"/>
    <w:rsid w:val="00876A5E"/>
    <w:rsid w:val="008771F4"/>
    <w:rsid w:val="00880546"/>
    <w:rsid w:val="0088057E"/>
    <w:rsid w:val="00880902"/>
    <w:rsid w:val="00881778"/>
    <w:rsid w:val="00881E3C"/>
    <w:rsid w:val="00883610"/>
    <w:rsid w:val="0088366C"/>
    <w:rsid w:val="00886033"/>
    <w:rsid w:val="0088697C"/>
    <w:rsid w:val="0088740E"/>
    <w:rsid w:val="00887900"/>
    <w:rsid w:val="00890E17"/>
    <w:rsid w:val="00891635"/>
    <w:rsid w:val="00892A4E"/>
    <w:rsid w:val="00893641"/>
    <w:rsid w:val="00893CBF"/>
    <w:rsid w:val="0089427B"/>
    <w:rsid w:val="00894A27"/>
    <w:rsid w:val="008954B7"/>
    <w:rsid w:val="00896A4C"/>
    <w:rsid w:val="00896EBA"/>
    <w:rsid w:val="0089797F"/>
    <w:rsid w:val="008A0268"/>
    <w:rsid w:val="008A0BAE"/>
    <w:rsid w:val="008A1485"/>
    <w:rsid w:val="008A23C9"/>
    <w:rsid w:val="008A29A7"/>
    <w:rsid w:val="008A310D"/>
    <w:rsid w:val="008A39F8"/>
    <w:rsid w:val="008A3C32"/>
    <w:rsid w:val="008A3E19"/>
    <w:rsid w:val="008B0A76"/>
    <w:rsid w:val="008B0B3A"/>
    <w:rsid w:val="008B19B1"/>
    <w:rsid w:val="008B2E07"/>
    <w:rsid w:val="008B32A9"/>
    <w:rsid w:val="008B38C5"/>
    <w:rsid w:val="008B4C95"/>
    <w:rsid w:val="008B4CB9"/>
    <w:rsid w:val="008B7019"/>
    <w:rsid w:val="008C0083"/>
    <w:rsid w:val="008C00A8"/>
    <w:rsid w:val="008C078B"/>
    <w:rsid w:val="008C08CA"/>
    <w:rsid w:val="008C1291"/>
    <w:rsid w:val="008C2014"/>
    <w:rsid w:val="008C27AF"/>
    <w:rsid w:val="008C2A2E"/>
    <w:rsid w:val="008C2EDB"/>
    <w:rsid w:val="008C3B48"/>
    <w:rsid w:val="008C5FA2"/>
    <w:rsid w:val="008C6A3F"/>
    <w:rsid w:val="008C6C9A"/>
    <w:rsid w:val="008C701E"/>
    <w:rsid w:val="008D028B"/>
    <w:rsid w:val="008D0992"/>
    <w:rsid w:val="008D1B64"/>
    <w:rsid w:val="008D3D8D"/>
    <w:rsid w:val="008D4162"/>
    <w:rsid w:val="008D4E54"/>
    <w:rsid w:val="008D738C"/>
    <w:rsid w:val="008D7406"/>
    <w:rsid w:val="008E126C"/>
    <w:rsid w:val="008E257E"/>
    <w:rsid w:val="008E4C89"/>
    <w:rsid w:val="008E4E4A"/>
    <w:rsid w:val="008E51AF"/>
    <w:rsid w:val="008E548A"/>
    <w:rsid w:val="008E74A2"/>
    <w:rsid w:val="008F0C04"/>
    <w:rsid w:val="008F145F"/>
    <w:rsid w:val="008F2206"/>
    <w:rsid w:val="008F45D2"/>
    <w:rsid w:val="008F4B82"/>
    <w:rsid w:val="008F6C7D"/>
    <w:rsid w:val="009006A6"/>
    <w:rsid w:val="00900FF7"/>
    <w:rsid w:val="009016D7"/>
    <w:rsid w:val="0090240F"/>
    <w:rsid w:val="00902538"/>
    <w:rsid w:val="00902E3B"/>
    <w:rsid w:val="0090311D"/>
    <w:rsid w:val="00903467"/>
    <w:rsid w:val="00903AC3"/>
    <w:rsid w:val="0090412E"/>
    <w:rsid w:val="00904536"/>
    <w:rsid w:val="0090478A"/>
    <w:rsid w:val="0090772E"/>
    <w:rsid w:val="00907E0B"/>
    <w:rsid w:val="009102A7"/>
    <w:rsid w:val="00911D86"/>
    <w:rsid w:val="00911F8B"/>
    <w:rsid w:val="009139F4"/>
    <w:rsid w:val="00913C85"/>
    <w:rsid w:val="00913F0E"/>
    <w:rsid w:val="009144B5"/>
    <w:rsid w:val="009146F6"/>
    <w:rsid w:val="00915863"/>
    <w:rsid w:val="00916ED7"/>
    <w:rsid w:val="00921590"/>
    <w:rsid w:val="00922E70"/>
    <w:rsid w:val="00922FFB"/>
    <w:rsid w:val="009255AB"/>
    <w:rsid w:val="00926AF1"/>
    <w:rsid w:val="00926E69"/>
    <w:rsid w:val="00930A6A"/>
    <w:rsid w:val="00930EF7"/>
    <w:rsid w:val="0093102C"/>
    <w:rsid w:val="0093125C"/>
    <w:rsid w:val="009317B8"/>
    <w:rsid w:val="00931BF8"/>
    <w:rsid w:val="00932257"/>
    <w:rsid w:val="009329E4"/>
    <w:rsid w:val="009342CA"/>
    <w:rsid w:val="00934853"/>
    <w:rsid w:val="00934896"/>
    <w:rsid w:val="009360D6"/>
    <w:rsid w:val="00936282"/>
    <w:rsid w:val="00936510"/>
    <w:rsid w:val="009368C1"/>
    <w:rsid w:val="00936EEA"/>
    <w:rsid w:val="00941336"/>
    <w:rsid w:val="00941E30"/>
    <w:rsid w:val="00945476"/>
    <w:rsid w:val="00945E92"/>
    <w:rsid w:val="009466EE"/>
    <w:rsid w:val="0094698E"/>
    <w:rsid w:val="00950B84"/>
    <w:rsid w:val="00951529"/>
    <w:rsid w:val="009528F5"/>
    <w:rsid w:val="009542C8"/>
    <w:rsid w:val="009558B1"/>
    <w:rsid w:val="00955CE9"/>
    <w:rsid w:val="00955FD6"/>
    <w:rsid w:val="009575E1"/>
    <w:rsid w:val="00957E7F"/>
    <w:rsid w:val="00960BC7"/>
    <w:rsid w:val="009611E3"/>
    <w:rsid w:val="00962129"/>
    <w:rsid w:val="009632C9"/>
    <w:rsid w:val="009633A8"/>
    <w:rsid w:val="009639E1"/>
    <w:rsid w:val="00964625"/>
    <w:rsid w:val="00965F90"/>
    <w:rsid w:val="009667EE"/>
    <w:rsid w:val="009677EE"/>
    <w:rsid w:val="0097010D"/>
    <w:rsid w:val="00971FC5"/>
    <w:rsid w:val="009720B6"/>
    <w:rsid w:val="00973086"/>
    <w:rsid w:val="0097316B"/>
    <w:rsid w:val="0097354A"/>
    <w:rsid w:val="009740A1"/>
    <w:rsid w:val="009747C1"/>
    <w:rsid w:val="00974FAA"/>
    <w:rsid w:val="00975155"/>
    <w:rsid w:val="00975E39"/>
    <w:rsid w:val="00975F30"/>
    <w:rsid w:val="00977184"/>
    <w:rsid w:val="0097718F"/>
    <w:rsid w:val="009802C9"/>
    <w:rsid w:val="00981FD9"/>
    <w:rsid w:val="00982871"/>
    <w:rsid w:val="009858F9"/>
    <w:rsid w:val="00985ABF"/>
    <w:rsid w:val="00985D2F"/>
    <w:rsid w:val="009864EF"/>
    <w:rsid w:val="009871AE"/>
    <w:rsid w:val="00990201"/>
    <w:rsid w:val="00991685"/>
    <w:rsid w:val="009927FA"/>
    <w:rsid w:val="00993C2E"/>
    <w:rsid w:val="009966F4"/>
    <w:rsid w:val="009967F2"/>
    <w:rsid w:val="009968B4"/>
    <w:rsid w:val="0099742C"/>
    <w:rsid w:val="00997790"/>
    <w:rsid w:val="009A03E3"/>
    <w:rsid w:val="009A07CD"/>
    <w:rsid w:val="009A0E42"/>
    <w:rsid w:val="009A1795"/>
    <w:rsid w:val="009A2169"/>
    <w:rsid w:val="009A3C9A"/>
    <w:rsid w:val="009A3DEC"/>
    <w:rsid w:val="009A4A4B"/>
    <w:rsid w:val="009A4D60"/>
    <w:rsid w:val="009A52B4"/>
    <w:rsid w:val="009A66D0"/>
    <w:rsid w:val="009A6EB8"/>
    <w:rsid w:val="009B01FC"/>
    <w:rsid w:val="009B1BFE"/>
    <w:rsid w:val="009B276D"/>
    <w:rsid w:val="009B65F4"/>
    <w:rsid w:val="009B6FE7"/>
    <w:rsid w:val="009B7367"/>
    <w:rsid w:val="009B73C6"/>
    <w:rsid w:val="009B78D8"/>
    <w:rsid w:val="009C0818"/>
    <w:rsid w:val="009C0B20"/>
    <w:rsid w:val="009C132C"/>
    <w:rsid w:val="009C2091"/>
    <w:rsid w:val="009C492B"/>
    <w:rsid w:val="009C76D6"/>
    <w:rsid w:val="009D260F"/>
    <w:rsid w:val="009D2866"/>
    <w:rsid w:val="009D2FE8"/>
    <w:rsid w:val="009D31D8"/>
    <w:rsid w:val="009D3333"/>
    <w:rsid w:val="009D3F76"/>
    <w:rsid w:val="009D5591"/>
    <w:rsid w:val="009D69B4"/>
    <w:rsid w:val="009D76DA"/>
    <w:rsid w:val="009E0EA2"/>
    <w:rsid w:val="009E214D"/>
    <w:rsid w:val="009E28EC"/>
    <w:rsid w:val="009E315A"/>
    <w:rsid w:val="009E4841"/>
    <w:rsid w:val="009E5754"/>
    <w:rsid w:val="009E690D"/>
    <w:rsid w:val="009E784D"/>
    <w:rsid w:val="009E78E7"/>
    <w:rsid w:val="009E7983"/>
    <w:rsid w:val="009F093D"/>
    <w:rsid w:val="009F18DE"/>
    <w:rsid w:val="009F2E31"/>
    <w:rsid w:val="009F3EA7"/>
    <w:rsid w:val="009F3F1F"/>
    <w:rsid w:val="009F4FB3"/>
    <w:rsid w:val="009F6BB8"/>
    <w:rsid w:val="009F71D1"/>
    <w:rsid w:val="00A003C5"/>
    <w:rsid w:val="00A00B88"/>
    <w:rsid w:val="00A00DD6"/>
    <w:rsid w:val="00A017BA"/>
    <w:rsid w:val="00A01EFD"/>
    <w:rsid w:val="00A026DF"/>
    <w:rsid w:val="00A03830"/>
    <w:rsid w:val="00A03A5F"/>
    <w:rsid w:val="00A04100"/>
    <w:rsid w:val="00A043FE"/>
    <w:rsid w:val="00A048DC"/>
    <w:rsid w:val="00A04AE0"/>
    <w:rsid w:val="00A066DE"/>
    <w:rsid w:val="00A075C8"/>
    <w:rsid w:val="00A07A42"/>
    <w:rsid w:val="00A1088F"/>
    <w:rsid w:val="00A10B65"/>
    <w:rsid w:val="00A112C9"/>
    <w:rsid w:val="00A1352A"/>
    <w:rsid w:val="00A13B86"/>
    <w:rsid w:val="00A141E5"/>
    <w:rsid w:val="00A14A6E"/>
    <w:rsid w:val="00A14EF1"/>
    <w:rsid w:val="00A15581"/>
    <w:rsid w:val="00A1593F"/>
    <w:rsid w:val="00A15B57"/>
    <w:rsid w:val="00A214D7"/>
    <w:rsid w:val="00A21F92"/>
    <w:rsid w:val="00A22A26"/>
    <w:rsid w:val="00A247DD"/>
    <w:rsid w:val="00A248D9"/>
    <w:rsid w:val="00A2536F"/>
    <w:rsid w:val="00A25E33"/>
    <w:rsid w:val="00A263F4"/>
    <w:rsid w:val="00A26AF6"/>
    <w:rsid w:val="00A2726A"/>
    <w:rsid w:val="00A30AF9"/>
    <w:rsid w:val="00A30DB3"/>
    <w:rsid w:val="00A311C2"/>
    <w:rsid w:val="00A31FBB"/>
    <w:rsid w:val="00A322F1"/>
    <w:rsid w:val="00A32815"/>
    <w:rsid w:val="00A329E0"/>
    <w:rsid w:val="00A33DAD"/>
    <w:rsid w:val="00A344A6"/>
    <w:rsid w:val="00A35E1F"/>
    <w:rsid w:val="00A403E9"/>
    <w:rsid w:val="00A406DC"/>
    <w:rsid w:val="00A41119"/>
    <w:rsid w:val="00A42A98"/>
    <w:rsid w:val="00A4347E"/>
    <w:rsid w:val="00A4381E"/>
    <w:rsid w:val="00A43BF2"/>
    <w:rsid w:val="00A44720"/>
    <w:rsid w:val="00A45EE3"/>
    <w:rsid w:val="00A4630E"/>
    <w:rsid w:val="00A47352"/>
    <w:rsid w:val="00A47B31"/>
    <w:rsid w:val="00A47DE3"/>
    <w:rsid w:val="00A47FA3"/>
    <w:rsid w:val="00A5227A"/>
    <w:rsid w:val="00A5268D"/>
    <w:rsid w:val="00A52773"/>
    <w:rsid w:val="00A54EE1"/>
    <w:rsid w:val="00A55A52"/>
    <w:rsid w:val="00A55DE0"/>
    <w:rsid w:val="00A57D42"/>
    <w:rsid w:val="00A60BBB"/>
    <w:rsid w:val="00A60C83"/>
    <w:rsid w:val="00A622AA"/>
    <w:rsid w:val="00A63A99"/>
    <w:rsid w:val="00A65F1E"/>
    <w:rsid w:val="00A66B7D"/>
    <w:rsid w:val="00A67023"/>
    <w:rsid w:val="00A71F91"/>
    <w:rsid w:val="00A739AD"/>
    <w:rsid w:val="00A75972"/>
    <w:rsid w:val="00A80276"/>
    <w:rsid w:val="00A80964"/>
    <w:rsid w:val="00A815A8"/>
    <w:rsid w:val="00A81DFE"/>
    <w:rsid w:val="00A824EA"/>
    <w:rsid w:val="00A829C4"/>
    <w:rsid w:val="00A83111"/>
    <w:rsid w:val="00A84047"/>
    <w:rsid w:val="00A84245"/>
    <w:rsid w:val="00A855AA"/>
    <w:rsid w:val="00A85982"/>
    <w:rsid w:val="00A86453"/>
    <w:rsid w:val="00A87C2B"/>
    <w:rsid w:val="00A90123"/>
    <w:rsid w:val="00A905A8"/>
    <w:rsid w:val="00A9300D"/>
    <w:rsid w:val="00A934C1"/>
    <w:rsid w:val="00A972FF"/>
    <w:rsid w:val="00A974CD"/>
    <w:rsid w:val="00AA12E8"/>
    <w:rsid w:val="00AA22FC"/>
    <w:rsid w:val="00AA3203"/>
    <w:rsid w:val="00AA34F0"/>
    <w:rsid w:val="00AA6959"/>
    <w:rsid w:val="00AB0066"/>
    <w:rsid w:val="00AB0683"/>
    <w:rsid w:val="00AB0D31"/>
    <w:rsid w:val="00AB0E66"/>
    <w:rsid w:val="00AB179B"/>
    <w:rsid w:val="00AB197C"/>
    <w:rsid w:val="00AB199E"/>
    <w:rsid w:val="00AB2435"/>
    <w:rsid w:val="00AB2DA9"/>
    <w:rsid w:val="00AB464D"/>
    <w:rsid w:val="00AB5052"/>
    <w:rsid w:val="00AB5560"/>
    <w:rsid w:val="00AB60C1"/>
    <w:rsid w:val="00AB7765"/>
    <w:rsid w:val="00AB790A"/>
    <w:rsid w:val="00AB7985"/>
    <w:rsid w:val="00AC2F1A"/>
    <w:rsid w:val="00AC33D6"/>
    <w:rsid w:val="00AC3A3C"/>
    <w:rsid w:val="00AC4A8E"/>
    <w:rsid w:val="00AC4C95"/>
    <w:rsid w:val="00AC58FC"/>
    <w:rsid w:val="00AC788E"/>
    <w:rsid w:val="00AC79F2"/>
    <w:rsid w:val="00AC7D76"/>
    <w:rsid w:val="00AD48BE"/>
    <w:rsid w:val="00AD5134"/>
    <w:rsid w:val="00AD5E69"/>
    <w:rsid w:val="00AD7AA1"/>
    <w:rsid w:val="00AD7B1D"/>
    <w:rsid w:val="00AE1181"/>
    <w:rsid w:val="00AE16EC"/>
    <w:rsid w:val="00AE189C"/>
    <w:rsid w:val="00AE2777"/>
    <w:rsid w:val="00AE54AC"/>
    <w:rsid w:val="00AE6357"/>
    <w:rsid w:val="00AE7B86"/>
    <w:rsid w:val="00AF2305"/>
    <w:rsid w:val="00AF2A93"/>
    <w:rsid w:val="00AF37F8"/>
    <w:rsid w:val="00AF46AA"/>
    <w:rsid w:val="00AF5ABA"/>
    <w:rsid w:val="00AF5D98"/>
    <w:rsid w:val="00AF5DEE"/>
    <w:rsid w:val="00AF6A35"/>
    <w:rsid w:val="00AF7307"/>
    <w:rsid w:val="00B01771"/>
    <w:rsid w:val="00B022CE"/>
    <w:rsid w:val="00B02862"/>
    <w:rsid w:val="00B03A57"/>
    <w:rsid w:val="00B044C6"/>
    <w:rsid w:val="00B05898"/>
    <w:rsid w:val="00B05933"/>
    <w:rsid w:val="00B05C4A"/>
    <w:rsid w:val="00B05C4F"/>
    <w:rsid w:val="00B06060"/>
    <w:rsid w:val="00B11FF2"/>
    <w:rsid w:val="00B15D1E"/>
    <w:rsid w:val="00B15D6A"/>
    <w:rsid w:val="00B16026"/>
    <w:rsid w:val="00B16244"/>
    <w:rsid w:val="00B16F84"/>
    <w:rsid w:val="00B1723F"/>
    <w:rsid w:val="00B21094"/>
    <w:rsid w:val="00B2222C"/>
    <w:rsid w:val="00B24174"/>
    <w:rsid w:val="00B26221"/>
    <w:rsid w:val="00B2793F"/>
    <w:rsid w:val="00B27A34"/>
    <w:rsid w:val="00B30CE2"/>
    <w:rsid w:val="00B31797"/>
    <w:rsid w:val="00B32F7A"/>
    <w:rsid w:val="00B33423"/>
    <w:rsid w:val="00B34D85"/>
    <w:rsid w:val="00B34F63"/>
    <w:rsid w:val="00B35670"/>
    <w:rsid w:val="00B36E0A"/>
    <w:rsid w:val="00B37380"/>
    <w:rsid w:val="00B4012B"/>
    <w:rsid w:val="00B406EA"/>
    <w:rsid w:val="00B40EDB"/>
    <w:rsid w:val="00B43126"/>
    <w:rsid w:val="00B44114"/>
    <w:rsid w:val="00B4415A"/>
    <w:rsid w:val="00B447CB"/>
    <w:rsid w:val="00B46066"/>
    <w:rsid w:val="00B463CD"/>
    <w:rsid w:val="00B472EC"/>
    <w:rsid w:val="00B51EEA"/>
    <w:rsid w:val="00B5221E"/>
    <w:rsid w:val="00B5275C"/>
    <w:rsid w:val="00B53A21"/>
    <w:rsid w:val="00B53B49"/>
    <w:rsid w:val="00B544F0"/>
    <w:rsid w:val="00B548FA"/>
    <w:rsid w:val="00B54A0A"/>
    <w:rsid w:val="00B54BEE"/>
    <w:rsid w:val="00B55656"/>
    <w:rsid w:val="00B56358"/>
    <w:rsid w:val="00B56FF3"/>
    <w:rsid w:val="00B57AFD"/>
    <w:rsid w:val="00B57EA9"/>
    <w:rsid w:val="00B61165"/>
    <w:rsid w:val="00B62214"/>
    <w:rsid w:val="00B6353D"/>
    <w:rsid w:val="00B641F8"/>
    <w:rsid w:val="00B64399"/>
    <w:rsid w:val="00B66522"/>
    <w:rsid w:val="00B6701D"/>
    <w:rsid w:val="00B717E7"/>
    <w:rsid w:val="00B7228A"/>
    <w:rsid w:val="00B7457A"/>
    <w:rsid w:val="00B75CDF"/>
    <w:rsid w:val="00B764F0"/>
    <w:rsid w:val="00B7662E"/>
    <w:rsid w:val="00B80E59"/>
    <w:rsid w:val="00B81130"/>
    <w:rsid w:val="00B82086"/>
    <w:rsid w:val="00B82658"/>
    <w:rsid w:val="00B83BBC"/>
    <w:rsid w:val="00B849D0"/>
    <w:rsid w:val="00B85ACA"/>
    <w:rsid w:val="00B87D3D"/>
    <w:rsid w:val="00B91263"/>
    <w:rsid w:val="00B927E5"/>
    <w:rsid w:val="00B94C3E"/>
    <w:rsid w:val="00B962C3"/>
    <w:rsid w:val="00B96973"/>
    <w:rsid w:val="00B975F3"/>
    <w:rsid w:val="00BA0420"/>
    <w:rsid w:val="00BA0B46"/>
    <w:rsid w:val="00BA1E11"/>
    <w:rsid w:val="00BA1E69"/>
    <w:rsid w:val="00BA1F44"/>
    <w:rsid w:val="00BA21FE"/>
    <w:rsid w:val="00BA2C10"/>
    <w:rsid w:val="00BA48FC"/>
    <w:rsid w:val="00BA4CEA"/>
    <w:rsid w:val="00BA622C"/>
    <w:rsid w:val="00BA7180"/>
    <w:rsid w:val="00BA743C"/>
    <w:rsid w:val="00BB07AF"/>
    <w:rsid w:val="00BB0A89"/>
    <w:rsid w:val="00BB175F"/>
    <w:rsid w:val="00BB2871"/>
    <w:rsid w:val="00BB2902"/>
    <w:rsid w:val="00BB299F"/>
    <w:rsid w:val="00BB39D5"/>
    <w:rsid w:val="00BB3B42"/>
    <w:rsid w:val="00BB3DD2"/>
    <w:rsid w:val="00BB519D"/>
    <w:rsid w:val="00BB5A94"/>
    <w:rsid w:val="00BB67A4"/>
    <w:rsid w:val="00BB69A5"/>
    <w:rsid w:val="00BC0EFB"/>
    <w:rsid w:val="00BC21EE"/>
    <w:rsid w:val="00BC3405"/>
    <w:rsid w:val="00BC5442"/>
    <w:rsid w:val="00BC644F"/>
    <w:rsid w:val="00BC65D8"/>
    <w:rsid w:val="00BD0332"/>
    <w:rsid w:val="00BD10B9"/>
    <w:rsid w:val="00BD1415"/>
    <w:rsid w:val="00BD20F2"/>
    <w:rsid w:val="00BD316B"/>
    <w:rsid w:val="00BD3AD7"/>
    <w:rsid w:val="00BD4653"/>
    <w:rsid w:val="00BD4838"/>
    <w:rsid w:val="00BD560B"/>
    <w:rsid w:val="00BD5F75"/>
    <w:rsid w:val="00BD6475"/>
    <w:rsid w:val="00BE028E"/>
    <w:rsid w:val="00BE0892"/>
    <w:rsid w:val="00BE11C7"/>
    <w:rsid w:val="00BE181C"/>
    <w:rsid w:val="00BE2499"/>
    <w:rsid w:val="00BE29DA"/>
    <w:rsid w:val="00BE37FA"/>
    <w:rsid w:val="00BE5315"/>
    <w:rsid w:val="00BE5345"/>
    <w:rsid w:val="00BE56F4"/>
    <w:rsid w:val="00BE5C95"/>
    <w:rsid w:val="00BE6721"/>
    <w:rsid w:val="00BF0271"/>
    <w:rsid w:val="00BF06DD"/>
    <w:rsid w:val="00BF0CD8"/>
    <w:rsid w:val="00BF12C4"/>
    <w:rsid w:val="00BF1A48"/>
    <w:rsid w:val="00BF23AC"/>
    <w:rsid w:val="00BF2C0E"/>
    <w:rsid w:val="00BF3E1C"/>
    <w:rsid w:val="00BF5E81"/>
    <w:rsid w:val="00BF65CA"/>
    <w:rsid w:val="00C01123"/>
    <w:rsid w:val="00C02BF1"/>
    <w:rsid w:val="00C02FE2"/>
    <w:rsid w:val="00C03424"/>
    <w:rsid w:val="00C03A44"/>
    <w:rsid w:val="00C05688"/>
    <w:rsid w:val="00C05DFB"/>
    <w:rsid w:val="00C0784D"/>
    <w:rsid w:val="00C1110D"/>
    <w:rsid w:val="00C11A50"/>
    <w:rsid w:val="00C127B1"/>
    <w:rsid w:val="00C134B7"/>
    <w:rsid w:val="00C13B53"/>
    <w:rsid w:val="00C13EEC"/>
    <w:rsid w:val="00C15217"/>
    <w:rsid w:val="00C15E87"/>
    <w:rsid w:val="00C1648A"/>
    <w:rsid w:val="00C175D0"/>
    <w:rsid w:val="00C17CC0"/>
    <w:rsid w:val="00C2038A"/>
    <w:rsid w:val="00C2096B"/>
    <w:rsid w:val="00C21690"/>
    <w:rsid w:val="00C2182E"/>
    <w:rsid w:val="00C219A0"/>
    <w:rsid w:val="00C21A8D"/>
    <w:rsid w:val="00C21E2C"/>
    <w:rsid w:val="00C2214A"/>
    <w:rsid w:val="00C22AAC"/>
    <w:rsid w:val="00C22D8B"/>
    <w:rsid w:val="00C24DB0"/>
    <w:rsid w:val="00C2662A"/>
    <w:rsid w:val="00C26B1C"/>
    <w:rsid w:val="00C274AA"/>
    <w:rsid w:val="00C328EF"/>
    <w:rsid w:val="00C32965"/>
    <w:rsid w:val="00C3391B"/>
    <w:rsid w:val="00C3426D"/>
    <w:rsid w:val="00C35264"/>
    <w:rsid w:val="00C35F4A"/>
    <w:rsid w:val="00C368B7"/>
    <w:rsid w:val="00C4073A"/>
    <w:rsid w:val="00C43075"/>
    <w:rsid w:val="00C4493F"/>
    <w:rsid w:val="00C44ADA"/>
    <w:rsid w:val="00C4578D"/>
    <w:rsid w:val="00C46060"/>
    <w:rsid w:val="00C47D55"/>
    <w:rsid w:val="00C50711"/>
    <w:rsid w:val="00C523C6"/>
    <w:rsid w:val="00C525BA"/>
    <w:rsid w:val="00C53065"/>
    <w:rsid w:val="00C53252"/>
    <w:rsid w:val="00C54204"/>
    <w:rsid w:val="00C547E0"/>
    <w:rsid w:val="00C5483E"/>
    <w:rsid w:val="00C555F7"/>
    <w:rsid w:val="00C5589B"/>
    <w:rsid w:val="00C55A4F"/>
    <w:rsid w:val="00C55EF8"/>
    <w:rsid w:val="00C56446"/>
    <w:rsid w:val="00C579C2"/>
    <w:rsid w:val="00C57CB6"/>
    <w:rsid w:val="00C60863"/>
    <w:rsid w:val="00C6285D"/>
    <w:rsid w:val="00C639E3"/>
    <w:rsid w:val="00C640E3"/>
    <w:rsid w:val="00C657F1"/>
    <w:rsid w:val="00C70563"/>
    <w:rsid w:val="00C7065D"/>
    <w:rsid w:val="00C71292"/>
    <w:rsid w:val="00C71484"/>
    <w:rsid w:val="00C716CA"/>
    <w:rsid w:val="00C72305"/>
    <w:rsid w:val="00C735A7"/>
    <w:rsid w:val="00C736FB"/>
    <w:rsid w:val="00C7492C"/>
    <w:rsid w:val="00C76FAC"/>
    <w:rsid w:val="00C77927"/>
    <w:rsid w:val="00C8050D"/>
    <w:rsid w:val="00C84AE9"/>
    <w:rsid w:val="00C85635"/>
    <w:rsid w:val="00C8566F"/>
    <w:rsid w:val="00C859AE"/>
    <w:rsid w:val="00C8621B"/>
    <w:rsid w:val="00C87C43"/>
    <w:rsid w:val="00C87F1D"/>
    <w:rsid w:val="00C90AA8"/>
    <w:rsid w:val="00C92ECB"/>
    <w:rsid w:val="00C93524"/>
    <w:rsid w:val="00C93B0E"/>
    <w:rsid w:val="00C94293"/>
    <w:rsid w:val="00C96240"/>
    <w:rsid w:val="00C979D0"/>
    <w:rsid w:val="00CA1789"/>
    <w:rsid w:val="00CA1D3E"/>
    <w:rsid w:val="00CA23F9"/>
    <w:rsid w:val="00CA28D1"/>
    <w:rsid w:val="00CA2DF2"/>
    <w:rsid w:val="00CA410E"/>
    <w:rsid w:val="00CA43CF"/>
    <w:rsid w:val="00CA43DD"/>
    <w:rsid w:val="00CA447E"/>
    <w:rsid w:val="00CA5F93"/>
    <w:rsid w:val="00CA749E"/>
    <w:rsid w:val="00CAD6D3"/>
    <w:rsid w:val="00CB0CDF"/>
    <w:rsid w:val="00CB0FE7"/>
    <w:rsid w:val="00CB1D2A"/>
    <w:rsid w:val="00CB1DDE"/>
    <w:rsid w:val="00CB2500"/>
    <w:rsid w:val="00CB27FD"/>
    <w:rsid w:val="00CB5158"/>
    <w:rsid w:val="00CB528D"/>
    <w:rsid w:val="00CB611D"/>
    <w:rsid w:val="00CB635C"/>
    <w:rsid w:val="00CB6C2A"/>
    <w:rsid w:val="00CB7321"/>
    <w:rsid w:val="00CB75EE"/>
    <w:rsid w:val="00CB7E0A"/>
    <w:rsid w:val="00CC06F8"/>
    <w:rsid w:val="00CC16F4"/>
    <w:rsid w:val="00CC22CB"/>
    <w:rsid w:val="00CC2915"/>
    <w:rsid w:val="00CC2C0B"/>
    <w:rsid w:val="00CC3027"/>
    <w:rsid w:val="00CC421B"/>
    <w:rsid w:val="00CC4CB9"/>
    <w:rsid w:val="00CC590B"/>
    <w:rsid w:val="00CC7985"/>
    <w:rsid w:val="00CC7EBB"/>
    <w:rsid w:val="00CD1BC6"/>
    <w:rsid w:val="00CD27EE"/>
    <w:rsid w:val="00CD5393"/>
    <w:rsid w:val="00CD58BF"/>
    <w:rsid w:val="00CD7326"/>
    <w:rsid w:val="00CD76E7"/>
    <w:rsid w:val="00CE0349"/>
    <w:rsid w:val="00CE10BD"/>
    <w:rsid w:val="00CE1F17"/>
    <w:rsid w:val="00CE2407"/>
    <w:rsid w:val="00CE259B"/>
    <w:rsid w:val="00CE39E8"/>
    <w:rsid w:val="00CE4FD8"/>
    <w:rsid w:val="00CE57E9"/>
    <w:rsid w:val="00CE7F13"/>
    <w:rsid w:val="00CF0217"/>
    <w:rsid w:val="00CF0BC9"/>
    <w:rsid w:val="00CF26BF"/>
    <w:rsid w:val="00CF3FB2"/>
    <w:rsid w:val="00CF5306"/>
    <w:rsid w:val="00CF5B2E"/>
    <w:rsid w:val="00CF5B5D"/>
    <w:rsid w:val="00CF5DAD"/>
    <w:rsid w:val="00CF66A7"/>
    <w:rsid w:val="00D00337"/>
    <w:rsid w:val="00D004BE"/>
    <w:rsid w:val="00D00825"/>
    <w:rsid w:val="00D00DBC"/>
    <w:rsid w:val="00D03586"/>
    <w:rsid w:val="00D03591"/>
    <w:rsid w:val="00D03B28"/>
    <w:rsid w:val="00D04ED8"/>
    <w:rsid w:val="00D050D3"/>
    <w:rsid w:val="00D0545D"/>
    <w:rsid w:val="00D05726"/>
    <w:rsid w:val="00D0590A"/>
    <w:rsid w:val="00D075C6"/>
    <w:rsid w:val="00D07DA9"/>
    <w:rsid w:val="00D10C45"/>
    <w:rsid w:val="00D11128"/>
    <w:rsid w:val="00D118ED"/>
    <w:rsid w:val="00D13AB2"/>
    <w:rsid w:val="00D14162"/>
    <w:rsid w:val="00D14FB9"/>
    <w:rsid w:val="00D154E6"/>
    <w:rsid w:val="00D162C8"/>
    <w:rsid w:val="00D173AE"/>
    <w:rsid w:val="00D17BF1"/>
    <w:rsid w:val="00D213E9"/>
    <w:rsid w:val="00D21E5F"/>
    <w:rsid w:val="00D25053"/>
    <w:rsid w:val="00D25175"/>
    <w:rsid w:val="00D2542A"/>
    <w:rsid w:val="00D2560F"/>
    <w:rsid w:val="00D30E72"/>
    <w:rsid w:val="00D3277E"/>
    <w:rsid w:val="00D336B0"/>
    <w:rsid w:val="00D33B6C"/>
    <w:rsid w:val="00D3418D"/>
    <w:rsid w:val="00D3454C"/>
    <w:rsid w:val="00D34A99"/>
    <w:rsid w:val="00D35071"/>
    <w:rsid w:val="00D353F1"/>
    <w:rsid w:val="00D362BD"/>
    <w:rsid w:val="00D364E1"/>
    <w:rsid w:val="00D36C5C"/>
    <w:rsid w:val="00D37F45"/>
    <w:rsid w:val="00D40966"/>
    <w:rsid w:val="00D4105E"/>
    <w:rsid w:val="00D4124A"/>
    <w:rsid w:val="00D42AE9"/>
    <w:rsid w:val="00D42E24"/>
    <w:rsid w:val="00D44E75"/>
    <w:rsid w:val="00D4500F"/>
    <w:rsid w:val="00D453EB"/>
    <w:rsid w:val="00D46107"/>
    <w:rsid w:val="00D463E2"/>
    <w:rsid w:val="00D47EE9"/>
    <w:rsid w:val="00D50854"/>
    <w:rsid w:val="00D50899"/>
    <w:rsid w:val="00D512AA"/>
    <w:rsid w:val="00D51985"/>
    <w:rsid w:val="00D52D9F"/>
    <w:rsid w:val="00D52F10"/>
    <w:rsid w:val="00D5303E"/>
    <w:rsid w:val="00D54158"/>
    <w:rsid w:val="00D55245"/>
    <w:rsid w:val="00D5688B"/>
    <w:rsid w:val="00D6030A"/>
    <w:rsid w:val="00D60DAA"/>
    <w:rsid w:val="00D617F5"/>
    <w:rsid w:val="00D63438"/>
    <w:rsid w:val="00D63D53"/>
    <w:rsid w:val="00D66FF9"/>
    <w:rsid w:val="00D67304"/>
    <w:rsid w:val="00D7150D"/>
    <w:rsid w:val="00D72181"/>
    <w:rsid w:val="00D734A9"/>
    <w:rsid w:val="00D734BB"/>
    <w:rsid w:val="00D7396F"/>
    <w:rsid w:val="00D74840"/>
    <w:rsid w:val="00D74E64"/>
    <w:rsid w:val="00D7523E"/>
    <w:rsid w:val="00D76A33"/>
    <w:rsid w:val="00D81AF1"/>
    <w:rsid w:val="00D843D7"/>
    <w:rsid w:val="00D84E4B"/>
    <w:rsid w:val="00D87417"/>
    <w:rsid w:val="00D87EF6"/>
    <w:rsid w:val="00D90345"/>
    <w:rsid w:val="00D906AD"/>
    <w:rsid w:val="00D916E5"/>
    <w:rsid w:val="00D92A4E"/>
    <w:rsid w:val="00D94ECE"/>
    <w:rsid w:val="00D94FE6"/>
    <w:rsid w:val="00D95BB2"/>
    <w:rsid w:val="00D95F57"/>
    <w:rsid w:val="00D96826"/>
    <w:rsid w:val="00D97D5E"/>
    <w:rsid w:val="00DA0067"/>
    <w:rsid w:val="00DA0075"/>
    <w:rsid w:val="00DA11C2"/>
    <w:rsid w:val="00DA1368"/>
    <w:rsid w:val="00DA2CBC"/>
    <w:rsid w:val="00DA4017"/>
    <w:rsid w:val="00DA4183"/>
    <w:rsid w:val="00DA5B94"/>
    <w:rsid w:val="00DA5BE2"/>
    <w:rsid w:val="00DA72DC"/>
    <w:rsid w:val="00DA7A5D"/>
    <w:rsid w:val="00DB16ED"/>
    <w:rsid w:val="00DB5C76"/>
    <w:rsid w:val="00DB66D8"/>
    <w:rsid w:val="00DC0159"/>
    <w:rsid w:val="00DC0500"/>
    <w:rsid w:val="00DC0DA9"/>
    <w:rsid w:val="00DC1382"/>
    <w:rsid w:val="00DC1F91"/>
    <w:rsid w:val="00DC24C4"/>
    <w:rsid w:val="00DC2533"/>
    <w:rsid w:val="00DC36A2"/>
    <w:rsid w:val="00DC39F1"/>
    <w:rsid w:val="00DC49FC"/>
    <w:rsid w:val="00DC4DD2"/>
    <w:rsid w:val="00DC5090"/>
    <w:rsid w:val="00DC5FB3"/>
    <w:rsid w:val="00DC77BD"/>
    <w:rsid w:val="00DD09F2"/>
    <w:rsid w:val="00DD1675"/>
    <w:rsid w:val="00DD1854"/>
    <w:rsid w:val="00DD2B27"/>
    <w:rsid w:val="00DD2D97"/>
    <w:rsid w:val="00DD2F32"/>
    <w:rsid w:val="00DD46EB"/>
    <w:rsid w:val="00DD4F86"/>
    <w:rsid w:val="00DD5DF7"/>
    <w:rsid w:val="00DD5E69"/>
    <w:rsid w:val="00DD69DD"/>
    <w:rsid w:val="00DD6D90"/>
    <w:rsid w:val="00DD776A"/>
    <w:rsid w:val="00DE2234"/>
    <w:rsid w:val="00DE261E"/>
    <w:rsid w:val="00DE35DB"/>
    <w:rsid w:val="00DE400E"/>
    <w:rsid w:val="00DE404C"/>
    <w:rsid w:val="00DE7144"/>
    <w:rsid w:val="00DF01EA"/>
    <w:rsid w:val="00DF0607"/>
    <w:rsid w:val="00DF210E"/>
    <w:rsid w:val="00DF289B"/>
    <w:rsid w:val="00DF290D"/>
    <w:rsid w:val="00DF2A8F"/>
    <w:rsid w:val="00DF3434"/>
    <w:rsid w:val="00DF3569"/>
    <w:rsid w:val="00DF42E1"/>
    <w:rsid w:val="00DF6276"/>
    <w:rsid w:val="00DF6664"/>
    <w:rsid w:val="00DF6E44"/>
    <w:rsid w:val="00E0099E"/>
    <w:rsid w:val="00E01167"/>
    <w:rsid w:val="00E11F33"/>
    <w:rsid w:val="00E122A8"/>
    <w:rsid w:val="00E14636"/>
    <w:rsid w:val="00E14BB9"/>
    <w:rsid w:val="00E1655A"/>
    <w:rsid w:val="00E169CB"/>
    <w:rsid w:val="00E2027B"/>
    <w:rsid w:val="00E2143E"/>
    <w:rsid w:val="00E216A6"/>
    <w:rsid w:val="00E23591"/>
    <w:rsid w:val="00E23CD0"/>
    <w:rsid w:val="00E267FB"/>
    <w:rsid w:val="00E269AD"/>
    <w:rsid w:val="00E2749E"/>
    <w:rsid w:val="00E32B65"/>
    <w:rsid w:val="00E332F7"/>
    <w:rsid w:val="00E35B18"/>
    <w:rsid w:val="00E35DCA"/>
    <w:rsid w:val="00E36F79"/>
    <w:rsid w:val="00E374E0"/>
    <w:rsid w:val="00E37E77"/>
    <w:rsid w:val="00E409EA"/>
    <w:rsid w:val="00E40EB6"/>
    <w:rsid w:val="00E426AA"/>
    <w:rsid w:val="00E44E28"/>
    <w:rsid w:val="00E46AD6"/>
    <w:rsid w:val="00E47430"/>
    <w:rsid w:val="00E4775F"/>
    <w:rsid w:val="00E47D45"/>
    <w:rsid w:val="00E47EDD"/>
    <w:rsid w:val="00E5036C"/>
    <w:rsid w:val="00E50484"/>
    <w:rsid w:val="00E52143"/>
    <w:rsid w:val="00E523F8"/>
    <w:rsid w:val="00E534D6"/>
    <w:rsid w:val="00E537A3"/>
    <w:rsid w:val="00E5427D"/>
    <w:rsid w:val="00E577EF"/>
    <w:rsid w:val="00E608BE"/>
    <w:rsid w:val="00E6233B"/>
    <w:rsid w:val="00E628CB"/>
    <w:rsid w:val="00E64311"/>
    <w:rsid w:val="00E7018C"/>
    <w:rsid w:val="00E7050A"/>
    <w:rsid w:val="00E70555"/>
    <w:rsid w:val="00E71725"/>
    <w:rsid w:val="00E72D14"/>
    <w:rsid w:val="00E75130"/>
    <w:rsid w:val="00E814AC"/>
    <w:rsid w:val="00E81C52"/>
    <w:rsid w:val="00E82A7A"/>
    <w:rsid w:val="00E832D2"/>
    <w:rsid w:val="00E837A0"/>
    <w:rsid w:val="00E84BA4"/>
    <w:rsid w:val="00E867B4"/>
    <w:rsid w:val="00E86AC6"/>
    <w:rsid w:val="00E8709B"/>
    <w:rsid w:val="00E87F29"/>
    <w:rsid w:val="00E910B3"/>
    <w:rsid w:val="00E917E1"/>
    <w:rsid w:val="00E922BC"/>
    <w:rsid w:val="00E9253B"/>
    <w:rsid w:val="00E92C22"/>
    <w:rsid w:val="00E92F00"/>
    <w:rsid w:val="00E9331B"/>
    <w:rsid w:val="00E9421B"/>
    <w:rsid w:val="00E94E3D"/>
    <w:rsid w:val="00E950E7"/>
    <w:rsid w:val="00E9758C"/>
    <w:rsid w:val="00E97592"/>
    <w:rsid w:val="00E97B5E"/>
    <w:rsid w:val="00E97F4A"/>
    <w:rsid w:val="00EA03E7"/>
    <w:rsid w:val="00EA046D"/>
    <w:rsid w:val="00EA09AE"/>
    <w:rsid w:val="00EA1A7F"/>
    <w:rsid w:val="00EA2A81"/>
    <w:rsid w:val="00EA3069"/>
    <w:rsid w:val="00EA35D6"/>
    <w:rsid w:val="00EA52F5"/>
    <w:rsid w:val="00EA6304"/>
    <w:rsid w:val="00EA7477"/>
    <w:rsid w:val="00EA77F3"/>
    <w:rsid w:val="00EB1058"/>
    <w:rsid w:val="00EB22E0"/>
    <w:rsid w:val="00EB328D"/>
    <w:rsid w:val="00EB53B7"/>
    <w:rsid w:val="00EB5D6A"/>
    <w:rsid w:val="00EB63A0"/>
    <w:rsid w:val="00EC069A"/>
    <w:rsid w:val="00EC1157"/>
    <w:rsid w:val="00EC3F55"/>
    <w:rsid w:val="00EC53C5"/>
    <w:rsid w:val="00EC5D8C"/>
    <w:rsid w:val="00EC66D5"/>
    <w:rsid w:val="00ED0125"/>
    <w:rsid w:val="00ED4524"/>
    <w:rsid w:val="00ED4708"/>
    <w:rsid w:val="00ED488F"/>
    <w:rsid w:val="00EE0079"/>
    <w:rsid w:val="00EE00AB"/>
    <w:rsid w:val="00EE19FC"/>
    <w:rsid w:val="00EE3315"/>
    <w:rsid w:val="00EE3B24"/>
    <w:rsid w:val="00EE5232"/>
    <w:rsid w:val="00EE5C0D"/>
    <w:rsid w:val="00EE6057"/>
    <w:rsid w:val="00EE79C9"/>
    <w:rsid w:val="00EF3664"/>
    <w:rsid w:val="00EF4273"/>
    <w:rsid w:val="00EF4B9C"/>
    <w:rsid w:val="00EF4CE1"/>
    <w:rsid w:val="00EF6A30"/>
    <w:rsid w:val="00EF6E86"/>
    <w:rsid w:val="00EF757D"/>
    <w:rsid w:val="00EF7A7C"/>
    <w:rsid w:val="00F0000F"/>
    <w:rsid w:val="00F00AF7"/>
    <w:rsid w:val="00F00BE8"/>
    <w:rsid w:val="00F01066"/>
    <w:rsid w:val="00F012A1"/>
    <w:rsid w:val="00F01337"/>
    <w:rsid w:val="00F021E2"/>
    <w:rsid w:val="00F033E6"/>
    <w:rsid w:val="00F04ECC"/>
    <w:rsid w:val="00F05F9A"/>
    <w:rsid w:val="00F07694"/>
    <w:rsid w:val="00F07BDD"/>
    <w:rsid w:val="00F10417"/>
    <w:rsid w:val="00F12D19"/>
    <w:rsid w:val="00F13A63"/>
    <w:rsid w:val="00F1412A"/>
    <w:rsid w:val="00F14CED"/>
    <w:rsid w:val="00F1588F"/>
    <w:rsid w:val="00F15B5F"/>
    <w:rsid w:val="00F171EE"/>
    <w:rsid w:val="00F175FB"/>
    <w:rsid w:val="00F31BFC"/>
    <w:rsid w:val="00F32EFC"/>
    <w:rsid w:val="00F3385A"/>
    <w:rsid w:val="00F33DF6"/>
    <w:rsid w:val="00F34FE4"/>
    <w:rsid w:val="00F3528E"/>
    <w:rsid w:val="00F3634D"/>
    <w:rsid w:val="00F36E4A"/>
    <w:rsid w:val="00F37DD5"/>
    <w:rsid w:val="00F40627"/>
    <w:rsid w:val="00F41049"/>
    <w:rsid w:val="00F41667"/>
    <w:rsid w:val="00F42328"/>
    <w:rsid w:val="00F42671"/>
    <w:rsid w:val="00F435BF"/>
    <w:rsid w:val="00F471E8"/>
    <w:rsid w:val="00F47506"/>
    <w:rsid w:val="00F50CB0"/>
    <w:rsid w:val="00F51402"/>
    <w:rsid w:val="00F5171E"/>
    <w:rsid w:val="00F54657"/>
    <w:rsid w:val="00F562E9"/>
    <w:rsid w:val="00F56B23"/>
    <w:rsid w:val="00F56BAB"/>
    <w:rsid w:val="00F56DC0"/>
    <w:rsid w:val="00F60452"/>
    <w:rsid w:val="00F612C8"/>
    <w:rsid w:val="00F61DE6"/>
    <w:rsid w:val="00F62EE3"/>
    <w:rsid w:val="00F65ECF"/>
    <w:rsid w:val="00F66FE7"/>
    <w:rsid w:val="00F670F2"/>
    <w:rsid w:val="00F7000C"/>
    <w:rsid w:val="00F70682"/>
    <w:rsid w:val="00F70688"/>
    <w:rsid w:val="00F71008"/>
    <w:rsid w:val="00F7483A"/>
    <w:rsid w:val="00F75823"/>
    <w:rsid w:val="00F77DC4"/>
    <w:rsid w:val="00F81978"/>
    <w:rsid w:val="00F81F6C"/>
    <w:rsid w:val="00F81FD0"/>
    <w:rsid w:val="00F83883"/>
    <w:rsid w:val="00F84A29"/>
    <w:rsid w:val="00F85301"/>
    <w:rsid w:val="00F85AEE"/>
    <w:rsid w:val="00F86926"/>
    <w:rsid w:val="00F913C1"/>
    <w:rsid w:val="00F91475"/>
    <w:rsid w:val="00F91825"/>
    <w:rsid w:val="00F93995"/>
    <w:rsid w:val="00F940C9"/>
    <w:rsid w:val="00F947F7"/>
    <w:rsid w:val="00F94941"/>
    <w:rsid w:val="00F96311"/>
    <w:rsid w:val="00F96748"/>
    <w:rsid w:val="00FA0475"/>
    <w:rsid w:val="00FA1533"/>
    <w:rsid w:val="00FA2BA4"/>
    <w:rsid w:val="00FA44C4"/>
    <w:rsid w:val="00FA5067"/>
    <w:rsid w:val="00FA5090"/>
    <w:rsid w:val="00FA5A84"/>
    <w:rsid w:val="00FA5B72"/>
    <w:rsid w:val="00FA6B5E"/>
    <w:rsid w:val="00FA72A2"/>
    <w:rsid w:val="00FA7E04"/>
    <w:rsid w:val="00FB0E3D"/>
    <w:rsid w:val="00FB3781"/>
    <w:rsid w:val="00FB3975"/>
    <w:rsid w:val="00FB48D4"/>
    <w:rsid w:val="00FB591B"/>
    <w:rsid w:val="00FB5FB1"/>
    <w:rsid w:val="00FB65C9"/>
    <w:rsid w:val="00FB7B0A"/>
    <w:rsid w:val="00FC046A"/>
    <w:rsid w:val="00FC0871"/>
    <w:rsid w:val="00FC0EAE"/>
    <w:rsid w:val="00FC13CF"/>
    <w:rsid w:val="00FC2012"/>
    <w:rsid w:val="00FC27B2"/>
    <w:rsid w:val="00FC2FA8"/>
    <w:rsid w:val="00FC351C"/>
    <w:rsid w:val="00FC4474"/>
    <w:rsid w:val="00FC5373"/>
    <w:rsid w:val="00FC588F"/>
    <w:rsid w:val="00FC62A9"/>
    <w:rsid w:val="00FC6465"/>
    <w:rsid w:val="00FC6A13"/>
    <w:rsid w:val="00FD12A3"/>
    <w:rsid w:val="00FD1BC8"/>
    <w:rsid w:val="00FD20BC"/>
    <w:rsid w:val="00FD373C"/>
    <w:rsid w:val="00FD3985"/>
    <w:rsid w:val="00FD3BB8"/>
    <w:rsid w:val="00FD3D3B"/>
    <w:rsid w:val="00FD3DD8"/>
    <w:rsid w:val="00FD4046"/>
    <w:rsid w:val="00FD43B6"/>
    <w:rsid w:val="00FD6E9D"/>
    <w:rsid w:val="00FE04C3"/>
    <w:rsid w:val="00FE12AE"/>
    <w:rsid w:val="00FE17A4"/>
    <w:rsid w:val="00FE2118"/>
    <w:rsid w:val="00FE27B3"/>
    <w:rsid w:val="00FE3421"/>
    <w:rsid w:val="00FE43F7"/>
    <w:rsid w:val="00FE4722"/>
    <w:rsid w:val="00FE4D0F"/>
    <w:rsid w:val="00FE50A8"/>
    <w:rsid w:val="00FE519C"/>
    <w:rsid w:val="00FE527E"/>
    <w:rsid w:val="00FE57C2"/>
    <w:rsid w:val="00FE58D9"/>
    <w:rsid w:val="00FE60AB"/>
    <w:rsid w:val="00FE6136"/>
    <w:rsid w:val="00FE7792"/>
    <w:rsid w:val="00FF00BE"/>
    <w:rsid w:val="00FF0855"/>
    <w:rsid w:val="00FF28C7"/>
    <w:rsid w:val="00FF3104"/>
    <w:rsid w:val="00FF32A1"/>
    <w:rsid w:val="00FF41BA"/>
    <w:rsid w:val="00FF439E"/>
    <w:rsid w:val="00FF489D"/>
    <w:rsid w:val="00FF4E89"/>
    <w:rsid w:val="00FF60E9"/>
    <w:rsid w:val="00FF66E1"/>
    <w:rsid w:val="00FF755C"/>
    <w:rsid w:val="00FF793D"/>
    <w:rsid w:val="015FCF6A"/>
    <w:rsid w:val="017AFB77"/>
    <w:rsid w:val="01EE90C2"/>
    <w:rsid w:val="035D85D5"/>
    <w:rsid w:val="03BC451F"/>
    <w:rsid w:val="03CD39F8"/>
    <w:rsid w:val="03D9D8C4"/>
    <w:rsid w:val="043BFB83"/>
    <w:rsid w:val="04CD47B8"/>
    <w:rsid w:val="04F348C5"/>
    <w:rsid w:val="05283E91"/>
    <w:rsid w:val="052E41FD"/>
    <w:rsid w:val="059CA879"/>
    <w:rsid w:val="05EA82AB"/>
    <w:rsid w:val="05F63C07"/>
    <w:rsid w:val="0604088E"/>
    <w:rsid w:val="0608052E"/>
    <w:rsid w:val="074DFF87"/>
    <w:rsid w:val="07506E55"/>
    <w:rsid w:val="07C66FB5"/>
    <w:rsid w:val="0843A610"/>
    <w:rsid w:val="08684573"/>
    <w:rsid w:val="09113519"/>
    <w:rsid w:val="0A67DB95"/>
    <w:rsid w:val="0A862E9E"/>
    <w:rsid w:val="0B2CFBAD"/>
    <w:rsid w:val="0BC3419E"/>
    <w:rsid w:val="0BEBD743"/>
    <w:rsid w:val="0C3B4E05"/>
    <w:rsid w:val="0CA97E43"/>
    <w:rsid w:val="0DC939BF"/>
    <w:rsid w:val="0E12D5E5"/>
    <w:rsid w:val="0E2861CC"/>
    <w:rsid w:val="0E33B3CB"/>
    <w:rsid w:val="0EC1D5EF"/>
    <w:rsid w:val="0FF73F88"/>
    <w:rsid w:val="10033C7C"/>
    <w:rsid w:val="10A603D5"/>
    <w:rsid w:val="10B70C17"/>
    <w:rsid w:val="1113FC37"/>
    <w:rsid w:val="115AD5D6"/>
    <w:rsid w:val="115C3BE8"/>
    <w:rsid w:val="1171C737"/>
    <w:rsid w:val="117F9EC5"/>
    <w:rsid w:val="11961563"/>
    <w:rsid w:val="126B6F84"/>
    <w:rsid w:val="12E4EDF5"/>
    <w:rsid w:val="13175742"/>
    <w:rsid w:val="137681A9"/>
    <w:rsid w:val="13A293D4"/>
    <w:rsid w:val="13C0A40E"/>
    <w:rsid w:val="13D70819"/>
    <w:rsid w:val="143FF20B"/>
    <w:rsid w:val="1441F10F"/>
    <w:rsid w:val="15171085"/>
    <w:rsid w:val="152E5C66"/>
    <w:rsid w:val="15BD7FD7"/>
    <w:rsid w:val="16874A87"/>
    <w:rsid w:val="16AAA5FB"/>
    <w:rsid w:val="16F9B6B0"/>
    <w:rsid w:val="17606BEC"/>
    <w:rsid w:val="17CEE287"/>
    <w:rsid w:val="18361A7D"/>
    <w:rsid w:val="185E1D8C"/>
    <w:rsid w:val="191BE502"/>
    <w:rsid w:val="191E33A9"/>
    <w:rsid w:val="1933685F"/>
    <w:rsid w:val="19818514"/>
    <w:rsid w:val="1AC7E54E"/>
    <w:rsid w:val="1AD5B920"/>
    <w:rsid w:val="1B2CB776"/>
    <w:rsid w:val="1B94D278"/>
    <w:rsid w:val="1BE3E700"/>
    <w:rsid w:val="1C1371D1"/>
    <w:rsid w:val="1CC1D751"/>
    <w:rsid w:val="1E6A3EA4"/>
    <w:rsid w:val="1E82ACCD"/>
    <w:rsid w:val="1FB56320"/>
    <w:rsid w:val="2000A69D"/>
    <w:rsid w:val="2026C781"/>
    <w:rsid w:val="203A3869"/>
    <w:rsid w:val="20411E71"/>
    <w:rsid w:val="20715E7B"/>
    <w:rsid w:val="20FD157B"/>
    <w:rsid w:val="211893E2"/>
    <w:rsid w:val="2180C6C9"/>
    <w:rsid w:val="21CB254A"/>
    <w:rsid w:val="21D70B2E"/>
    <w:rsid w:val="221399A1"/>
    <w:rsid w:val="223FF063"/>
    <w:rsid w:val="22851BEC"/>
    <w:rsid w:val="22B1E461"/>
    <w:rsid w:val="22F04FA6"/>
    <w:rsid w:val="23583BA4"/>
    <w:rsid w:val="23809447"/>
    <w:rsid w:val="23A2B64A"/>
    <w:rsid w:val="23D4CA78"/>
    <w:rsid w:val="23E38761"/>
    <w:rsid w:val="24162EED"/>
    <w:rsid w:val="243FD0AE"/>
    <w:rsid w:val="245D9EAB"/>
    <w:rsid w:val="25080B01"/>
    <w:rsid w:val="253F5730"/>
    <w:rsid w:val="25CCC443"/>
    <w:rsid w:val="25D36E62"/>
    <w:rsid w:val="25EFDA39"/>
    <w:rsid w:val="262F761B"/>
    <w:rsid w:val="27283997"/>
    <w:rsid w:val="2763320E"/>
    <w:rsid w:val="279A6D3A"/>
    <w:rsid w:val="27A8C3BC"/>
    <w:rsid w:val="28314DF6"/>
    <w:rsid w:val="286B9F56"/>
    <w:rsid w:val="28D27BA2"/>
    <w:rsid w:val="29086FDC"/>
    <w:rsid w:val="29256D76"/>
    <w:rsid w:val="29AADD80"/>
    <w:rsid w:val="2A8151CE"/>
    <w:rsid w:val="2ABF3C2B"/>
    <w:rsid w:val="2AF64CBC"/>
    <w:rsid w:val="2B2D3571"/>
    <w:rsid w:val="2B9E1B3A"/>
    <w:rsid w:val="2BC1446A"/>
    <w:rsid w:val="2BE6B114"/>
    <w:rsid w:val="2C53958B"/>
    <w:rsid w:val="2C85ED77"/>
    <w:rsid w:val="2DE08CFC"/>
    <w:rsid w:val="2E0677FA"/>
    <w:rsid w:val="2E529406"/>
    <w:rsid w:val="2E52A554"/>
    <w:rsid w:val="2E591D2D"/>
    <w:rsid w:val="2E6B254F"/>
    <w:rsid w:val="2F5B2D89"/>
    <w:rsid w:val="3096B5F2"/>
    <w:rsid w:val="30D0F749"/>
    <w:rsid w:val="317E5BA4"/>
    <w:rsid w:val="3180B612"/>
    <w:rsid w:val="3187BC13"/>
    <w:rsid w:val="31BC6FDD"/>
    <w:rsid w:val="32059FC7"/>
    <w:rsid w:val="322028CF"/>
    <w:rsid w:val="3414AC93"/>
    <w:rsid w:val="345DF558"/>
    <w:rsid w:val="359ED3BB"/>
    <w:rsid w:val="35E337D2"/>
    <w:rsid w:val="36698363"/>
    <w:rsid w:val="36D0BD6F"/>
    <w:rsid w:val="379D6C3D"/>
    <w:rsid w:val="3801D47B"/>
    <w:rsid w:val="386DA8CC"/>
    <w:rsid w:val="387FAEAB"/>
    <w:rsid w:val="38A0787F"/>
    <w:rsid w:val="38A4D6A6"/>
    <w:rsid w:val="38E7302E"/>
    <w:rsid w:val="393CD4FA"/>
    <w:rsid w:val="3A01110A"/>
    <w:rsid w:val="3B0B0623"/>
    <w:rsid w:val="3B655BB4"/>
    <w:rsid w:val="3B7E1687"/>
    <w:rsid w:val="3BD70FD2"/>
    <w:rsid w:val="3C311717"/>
    <w:rsid w:val="3C5B2337"/>
    <w:rsid w:val="3CAE43C3"/>
    <w:rsid w:val="3D6CD3A1"/>
    <w:rsid w:val="3D874808"/>
    <w:rsid w:val="3D9C4BC6"/>
    <w:rsid w:val="3DB1FA3D"/>
    <w:rsid w:val="3DF7F34A"/>
    <w:rsid w:val="3E0E0065"/>
    <w:rsid w:val="3E29F2DB"/>
    <w:rsid w:val="3ECB67C8"/>
    <w:rsid w:val="3FA3C46D"/>
    <w:rsid w:val="3FB74F6C"/>
    <w:rsid w:val="3FF3AFEA"/>
    <w:rsid w:val="405BE460"/>
    <w:rsid w:val="406ADEC0"/>
    <w:rsid w:val="4160519E"/>
    <w:rsid w:val="416662AB"/>
    <w:rsid w:val="42032AA2"/>
    <w:rsid w:val="42497714"/>
    <w:rsid w:val="433986A4"/>
    <w:rsid w:val="43939F14"/>
    <w:rsid w:val="43B4ED3C"/>
    <w:rsid w:val="43F57EB6"/>
    <w:rsid w:val="4474377D"/>
    <w:rsid w:val="44B05B5D"/>
    <w:rsid w:val="454E430A"/>
    <w:rsid w:val="45C7763D"/>
    <w:rsid w:val="45EE836C"/>
    <w:rsid w:val="46076607"/>
    <w:rsid w:val="461F0645"/>
    <w:rsid w:val="4656C3D4"/>
    <w:rsid w:val="46BEA940"/>
    <w:rsid w:val="46E919A7"/>
    <w:rsid w:val="471C2CC4"/>
    <w:rsid w:val="476D7F58"/>
    <w:rsid w:val="47F33A5D"/>
    <w:rsid w:val="47F5CDC9"/>
    <w:rsid w:val="48AD467C"/>
    <w:rsid w:val="4980B328"/>
    <w:rsid w:val="49B4E3BA"/>
    <w:rsid w:val="4A6E795C"/>
    <w:rsid w:val="4A7825FD"/>
    <w:rsid w:val="4AAB05A1"/>
    <w:rsid w:val="4AB48305"/>
    <w:rsid w:val="4C06DA0F"/>
    <w:rsid w:val="4CD58705"/>
    <w:rsid w:val="4D131070"/>
    <w:rsid w:val="4DFD307F"/>
    <w:rsid w:val="4E39BEF5"/>
    <w:rsid w:val="4E48CC40"/>
    <w:rsid w:val="4E7D43EA"/>
    <w:rsid w:val="50085384"/>
    <w:rsid w:val="5017E794"/>
    <w:rsid w:val="5063BE36"/>
    <w:rsid w:val="5094F476"/>
    <w:rsid w:val="512002C0"/>
    <w:rsid w:val="51F260CB"/>
    <w:rsid w:val="52039501"/>
    <w:rsid w:val="52646422"/>
    <w:rsid w:val="52871320"/>
    <w:rsid w:val="52ABAAFB"/>
    <w:rsid w:val="52DD5156"/>
    <w:rsid w:val="530B14CD"/>
    <w:rsid w:val="530CB828"/>
    <w:rsid w:val="531E86E5"/>
    <w:rsid w:val="54A9FFEE"/>
    <w:rsid w:val="54B1B32D"/>
    <w:rsid w:val="54C87D67"/>
    <w:rsid w:val="54DD2F07"/>
    <w:rsid w:val="551C4A05"/>
    <w:rsid w:val="55B741FC"/>
    <w:rsid w:val="561849F8"/>
    <w:rsid w:val="5627CB1E"/>
    <w:rsid w:val="565AE588"/>
    <w:rsid w:val="5773E1B6"/>
    <w:rsid w:val="57DEEFB1"/>
    <w:rsid w:val="5871ACCC"/>
    <w:rsid w:val="58B986C6"/>
    <w:rsid w:val="59594B30"/>
    <w:rsid w:val="59FAC262"/>
    <w:rsid w:val="5A37712D"/>
    <w:rsid w:val="5A9834FD"/>
    <w:rsid w:val="5AFB489A"/>
    <w:rsid w:val="5B0457BC"/>
    <w:rsid w:val="5B938149"/>
    <w:rsid w:val="5BA057C4"/>
    <w:rsid w:val="5BAA1EF7"/>
    <w:rsid w:val="5BDBEF05"/>
    <w:rsid w:val="5BE4D242"/>
    <w:rsid w:val="5CE0CF52"/>
    <w:rsid w:val="5CFDD524"/>
    <w:rsid w:val="5D5F7FD2"/>
    <w:rsid w:val="5D689D77"/>
    <w:rsid w:val="5D852BF3"/>
    <w:rsid w:val="5E1925FF"/>
    <w:rsid w:val="5E4EB3BF"/>
    <w:rsid w:val="5E8993E4"/>
    <w:rsid w:val="5EC0440E"/>
    <w:rsid w:val="5F017B84"/>
    <w:rsid w:val="5F0221E7"/>
    <w:rsid w:val="5F75B82B"/>
    <w:rsid w:val="5F7F722B"/>
    <w:rsid w:val="5FD949CE"/>
    <w:rsid w:val="5FE6357C"/>
    <w:rsid w:val="5FF77DE7"/>
    <w:rsid w:val="6014D797"/>
    <w:rsid w:val="603B559D"/>
    <w:rsid w:val="606337AC"/>
    <w:rsid w:val="60A86E08"/>
    <w:rsid w:val="61081C5B"/>
    <w:rsid w:val="614974C1"/>
    <w:rsid w:val="61DB0C67"/>
    <w:rsid w:val="620FB731"/>
    <w:rsid w:val="62E9AE8A"/>
    <w:rsid w:val="63002BF7"/>
    <w:rsid w:val="6360576E"/>
    <w:rsid w:val="63A0110C"/>
    <w:rsid w:val="63CE5E24"/>
    <w:rsid w:val="6478343A"/>
    <w:rsid w:val="64C1A06B"/>
    <w:rsid w:val="653B2BAC"/>
    <w:rsid w:val="656101D4"/>
    <w:rsid w:val="6574E670"/>
    <w:rsid w:val="65A559DD"/>
    <w:rsid w:val="66057B1D"/>
    <w:rsid w:val="6660B5B9"/>
    <w:rsid w:val="66660FD2"/>
    <w:rsid w:val="66EA525A"/>
    <w:rsid w:val="671BAF32"/>
    <w:rsid w:val="671EBE94"/>
    <w:rsid w:val="67DDE2AE"/>
    <w:rsid w:val="67F36255"/>
    <w:rsid w:val="68AFE63F"/>
    <w:rsid w:val="68F84A17"/>
    <w:rsid w:val="6987017F"/>
    <w:rsid w:val="6A077B0F"/>
    <w:rsid w:val="6B4C9DB5"/>
    <w:rsid w:val="6BD22234"/>
    <w:rsid w:val="6C8C9C5C"/>
    <w:rsid w:val="6CA4EEF8"/>
    <w:rsid w:val="6CE5A495"/>
    <w:rsid w:val="6E32C106"/>
    <w:rsid w:val="6E43CFE1"/>
    <w:rsid w:val="6E704F2B"/>
    <w:rsid w:val="6EB705C0"/>
    <w:rsid w:val="6F70D87C"/>
    <w:rsid w:val="6F90A85F"/>
    <w:rsid w:val="6F95BF7A"/>
    <w:rsid w:val="6FF04DD4"/>
    <w:rsid w:val="700A0A00"/>
    <w:rsid w:val="70156EFE"/>
    <w:rsid w:val="703B4A9F"/>
    <w:rsid w:val="7131EEB2"/>
    <w:rsid w:val="7210F428"/>
    <w:rsid w:val="72EBF857"/>
    <w:rsid w:val="72FC152B"/>
    <w:rsid w:val="730ED50A"/>
    <w:rsid w:val="7331BF0A"/>
    <w:rsid w:val="73AEFE27"/>
    <w:rsid w:val="73D8AF93"/>
    <w:rsid w:val="73E7CF49"/>
    <w:rsid w:val="73ED49C7"/>
    <w:rsid w:val="73F97935"/>
    <w:rsid w:val="7484CC37"/>
    <w:rsid w:val="74FA894F"/>
    <w:rsid w:val="750A5831"/>
    <w:rsid w:val="75A943CA"/>
    <w:rsid w:val="75BFEB22"/>
    <w:rsid w:val="7615593E"/>
    <w:rsid w:val="7664B154"/>
    <w:rsid w:val="771F9D80"/>
    <w:rsid w:val="779C77C1"/>
    <w:rsid w:val="77B591C1"/>
    <w:rsid w:val="77CDE3A5"/>
    <w:rsid w:val="77FFC22B"/>
    <w:rsid w:val="7858CCC2"/>
    <w:rsid w:val="78A104D0"/>
    <w:rsid w:val="7A4EE9E0"/>
    <w:rsid w:val="7AB4B554"/>
    <w:rsid w:val="7ADE7A52"/>
    <w:rsid w:val="7B535267"/>
    <w:rsid w:val="7B7BBD5D"/>
    <w:rsid w:val="7BE0C177"/>
    <w:rsid w:val="7C1CBCFE"/>
    <w:rsid w:val="7CAF7309"/>
    <w:rsid w:val="7D088A19"/>
    <w:rsid w:val="7D781D2E"/>
    <w:rsid w:val="7DB65CD3"/>
    <w:rsid w:val="7DD99837"/>
    <w:rsid w:val="7E027666"/>
    <w:rsid w:val="7E047387"/>
    <w:rsid w:val="7F121E80"/>
    <w:rsid w:val="7F1A6C32"/>
    <w:rsid w:val="7F9AAA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B70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F5306"/>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CF5306"/>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CF5306"/>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CF5306"/>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CF5306"/>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CF5306"/>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CF5306"/>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unhideWhenUsed/>
    <w:qFormat/>
    <w:rsid w:val="00CF5306"/>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CF5306"/>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EC66D5"/>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EC66D5"/>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EC66D5"/>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EC66D5"/>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EC66D5"/>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EC66D5"/>
    <w:pPr>
      <w:widowControl/>
      <w:tabs>
        <w:tab w:val="right" w:leader="dot" w:pos="9360"/>
      </w:tabs>
      <w:ind w:left="1440"/>
    </w:pPr>
    <w:rPr>
      <w:rFonts w:eastAsia="Times New Roman"/>
      <w:szCs w:val="26"/>
    </w:rPr>
  </w:style>
  <w:style w:type="paragraph" w:customStyle="1" w:styleId="myTOC7">
    <w:name w:val="myTOC 7"/>
    <w:basedOn w:val="Normal"/>
    <w:next w:val="Normal"/>
    <w:rsid w:val="00EC66D5"/>
    <w:pPr>
      <w:widowControl/>
      <w:tabs>
        <w:tab w:val="right" w:leader="dot" w:pos="9360"/>
      </w:tabs>
      <w:ind w:left="1728"/>
    </w:pPr>
    <w:rPr>
      <w:rFonts w:eastAsia="Times New Roman"/>
      <w:szCs w:val="26"/>
    </w:rPr>
  </w:style>
  <w:style w:type="paragraph" w:customStyle="1" w:styleId="myTOC8">
    <w:name w:val="myTOC 8"/>
    <w:basedOn w:val="Normal"/>
    <w:next w:val="Normal"/>
    <w:rsid w:val="00EC66D5"/>
    <w:pPr>
      <w:widowControl/>
      <w:tabs>
        <w:tab w:val="right" w:leader="dot" w:pos="9360"/>
      </w:tabs>
      <w:ind w:left="2016"/>
    </w:pPr>
    <w:rPr>
      <w:rFonts w:eastAsia="Times New Roman"/>
      <w:szCs w:val="26"/>
    </w:rPr>
  </w:style>
  <w:style w:type="paragraph" w:customStyle="1" w:styleId="myTOC9">
    <w:name w:val="myTOC 9"/>
    <w:basedOn w:val="Normal"/>
    <w:next w:val="Normal"/>
    <w:rsid w:val="00EC66D5"/>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AF5ABA"/>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822D54"/>
    <w:rPr>
      <w:color w:val="954F72" w:themeColor="followedHyperlink"/>
      <w:u w:val="single"/>
    </w:rPr>
  </w:style>
  <w:style w:type="paragraph" w:styleId="Revision">
    <w:name w:val="Revision"/>
    <w:hidden/>
    <w:uiPriority w:val="99"/>
    <w:semiHidden/>
    <w:rsid w:val="00724DD6"/>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6005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1C2F7F23-82CA-4B0F-A246-285AD4BC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DBC1D-AAE3-4AD5-910E-DF4C316EB1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6F92D5-C01A-45B1-B430-07D095AAA0BA}">
  <ds:schemaRefs>
    <ds:schemaRef ds:uri="http://schemas.microsoft.com/sharepoint/v3/contenttype/forms"/>
  </ds:schemaRefs>
</ds:datastoreItem>
</file>

<file path=customXml/itemProps5.xml><?xml version="1.0" encoding="utf-8"?>
<ds:datastoreItem xmlns:ds="http://schemas.openxmlformats.org/officeDocument/2006/customXml" ds:itemID="{D4447A31-5C37-4773-9615-C961455D90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5606</Words>
  <Characters>33753</Characters>
  <Application>Microsoft Office Word</Application>
  <DocSecurity>0</DocSecurity>
  <Lines>688</Lines>
  <Paragraphs>226</Paragraphs>
  <ScaleCrop>false</ScaleCrop>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2024-11-27T17:13:00Z</dcterms:created>
  <dcterms:modified xsi:type="dcterms:W3CDTF">2024-11-27T17:13:00Z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b7bdfe88-54a6-4063-b2e4-353ffcd43ea6</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2024-11-27T17:12:50Z</vt:lpwstr>
  </property>
  <property fmtid="{D5CDD505-2E9C-101B-9397-08002B2CF9AE}" pid="8" name="MSIP_Label_bd24d06a-0e85-4d57-b1e0-ba34b1abc708_SiteId">
    <vt:lpwstr>19caa9e9-04ff-43fa-885f-d77fac387903</vt:lpwstr>
  </property>
</Properties>
</file>