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RPr="00BE7A16" w:rsidP="00A2604E" w14:paraId="1502CB1A" w14:textId="44E8076E">
      <w:pPr>
        <w:jc w:val="center"/>
        <w:rPr>
          <w:szCs w:val="26"/>
        </w:rPr>
      </w:pPr>
      <w:r w:rsidRPr="00BE7A16">
        <w:rPr>
          <w:szCs w:val="26"/>
        </w:rPr>
        <w:t>UNITED STATES OF AMERICA</w:t>
      </w:r>
    </w:p>
    <w:p w:rsidR="00A2604E" w:rsidRPr="00BE7A16" w:rsidP="00A2604E" w14:paraId="273661E3" w14:textId="77777777">
      <w:pPr>
        <w:jc w:val="center"/>
        <w:rPr>
          <w:szCs w:val="26"/>
        </w:rPr>
      </w:pPr>
      <w:r w:rsidRPr="00BE7A16">
        <w:rPr>
          <w:szCs w:val="26"/>
        </w:rPr>
        <w:t>FEDERAL ENERGY REGULATORY COMMISSION</w:t>
      </w:r>
    </w:p>
    <w:p w:rsidR="00A2604E" w:rsidRPr="00BE7A16" w:rsidP="00A2604E" w14:paraId="6C561934" w14:textId="77777777">
      <w:pPr>
        <w:rPr>
          <w:szCs w:val="26"/>
        </w:rPr>
      </w:pPr>
    </w:p>
    <w:p w:rsidR="00A2604E" w:rsidRPr="00BE7A16" w:rsidP="00A2604E" w14:paraId="3E11D4A1" w14:textId="25005426">
      <w:pPr>
        <w:jc w:val="center"/>
        <w:rPr>
          <w:szCs w:val="26"/>
        </w:rPr>
      </w:pPr>
      <w:r w:rsidRPr="00BE7A16">
        <w:rPr>
          <w:szCs w:val="26"/>
        </w:rPr>
        <w:t xml:space="preserve">[Docket No. </w:t>
      </w:r>
      <w:r w:rsidRPr="00BE7A16" w:rsidR="00613169">
        <w:rPr>
          <w:szCs w:val="26"/>
        </w:rPr>
        <w:t>IC</w:t>
      </w:r>
      <w:r w:rsidRPr="00BE7A16" w:rsidR="00FB078F">
        <w:rPr>
          <w:szCs w:val="26"/>
        </w:rPr>
        <w:t>2</w:t>
      </w:r>
      <w:r w:rsidR="00FC07CD">
        <w:rPr>
          <w:szCs w:val="26"/>
        </w:rPr>
        <w:t>5</w:t>
      </w:r>
      <w:r w:rsidRPr="00BE7A16" w:rsidR="00613169">
        <w:rPr>
          <w:szCs w:val="26"/>
        </w:rPr>
        <w:t>-</w:t>
      </w:r>
      <w:r w:rsidR="00FC07CD">
        <w:rPr>
          <w:szCs w:val="26"/>
        </w:rPr>
        <w:t>1</w:t>
      </w:r>
      <w:r w:rsidRPr="00BE7A16" w:rsidR="00613169">
        <w:rPr>
          <w:szCs w:val="26"/>
        </w:rPr>
        <w:t>-000</w:t>
      </w:r>
      <w:r w:rsidRPr="00BE7A16">
        <w:rPr>
          <w:szCs w:val="26"/>
        </w:rPr>
        <w:t>]</w:t>
      </w:r>
    </w:p>
    <w:p w:rsidR="00A2604E" w:rsidRPr="00BE7A16" w:rsidP="00A2604E" w14:paraId="4D16FE54" w14:textId="77777777">
      <w:pPr>
        <w:rPr>
          <w:szCs w:val="26"/>
        </w:rPr>
      </w:pPr>
    </w:p>
    <w:p w:rsidR="00A2604E" w:rsidRPr="00BE7A16" w:rsidP="00A2604E" w14:paraId="0627AE31" w14:textId="07F6BAED">
      <w:pPr>
        <w:jc w:val="center"/>
        <w:rPr>
          <w:szCs w:val="26"/>
        </w:rPr>
      </w:pPr>
      <w:r w:rsidRPr="00BE7A16">
        <w:rPr>
          <w:szCs w:val="26"/>
        </w:rPr>
        <w:t>COMMISSION INFORMATION COLLECTION ACTIVITIES (FERC-</w:t>
      </w:r>
      <w:r w:rsidR="00186C4F">
        <w:rPr>
          <w:szCs w:val="26"/>
        </w:rPr>
        <w:t>519</w:t>
      </w:r>
      <w:r w:rsidRPr="00BE7A16" w:rsidR="00E563D9">
        <w:rPr>
          <w:szCs w:val="26"/>
        </w:rPr>
        <w:t xml:space="preserve">, </w:t>
      </w:r>
      <w:r w:rsidR="00FD55F1">
        <w:rPr>
          <w:szCs w:val="26"/>
        </w:rPr>
        <w:t xml:space="preserve">FERC-520, </w:t>
      </w:r>
      <w:r w:rsidRPr="00BE7A16" w:rsidR="00E563D9">
        <w:rPr>
          <w:szCs w:val="26"/>
        </w:rPr>
        <w:t>FERC-5</w:t>
      </w:r>
      <w:r w:rsidR="00186C4F">
        <w:rPr>
          <w:szCs w:val="26"/>
        </w:rPr>
        <w:t>4</w:t>
      </w:r>
      <w:r w:rsidRPr="00BE7A16" w:rsidR="00E563D9">
        <w:rPr>
          <w:szCs w:val="26"/>
        </w:rPr>
        <w:t>6, and FERC-</w:t>
      </w:r>
      <w:r w:rsidR="00D17650">
        <w:rPr>
          <w:szCs w:val="26"/>
        </w:rPr>
        <w:t>580</w:t>
      </w:r>
      <w:r w:rsidRPr="00BE7A16" w:rsidR="00DB53F0">
        <w:rPr>
          <w:szCs w:val="26"/>
        </w:rPr>
        <w:t>)</w:t>
      </w:r>
    </w:p>
    <w:p w:rsidR="00881405" w:rsidRPr="00BE7A16" w:rsidP="00E563D9" w14:paraId="5D8DD33D" w14:textId="1894FDCB">
      <w:pPr>
        <w:jc w:val="center"/>
        <w:rPr>
          <w:szCs w:val="26"/>
        </w:rPr>
      </w:pPr>
      <w:r w:rsidRPr="00BE7A16">
        <w:rPr>
          <w:szCs w:val="26"/>
        </w:rPr>
        <w:t>COMMENT REQUEST; EXTENSION</w:t>
      </w:r>
    </w:p>
    <w:p w:rsidR="00E563D9" w:rsidRPr="00BE7A16" w:rsidP="00E563D9" w14:paraId="26D90F7E" w14:textId="77777777">
      <w:pPr>
        <w:jc w:val="center"/>
        <w:rPr>
          <w:szCs w:val="26"/>
        </w:rPr>
      </w:pPr>
    </w:p>
    <w:p w:rsidR="001B134D" w:rsidP="00D72D66" w14:paraId="39A1F9F9" w14:textId="506A9B9F">
      <w:pPr>
        <w:jc w:val="center"/>
        <w:rPr>
          <w:szCs w:val="26"/>
        </w:rPr>
      </w:pPr>
      <w:r w:rsidRPr="00D72D66">
        <w:rPr>
          <w:szCs w:val="26"/>
        </w:rPr>
        <w:t>(November 25, 2024)</w:t>
      </w:r>
    </w:p>
    <w:p w:rsidR="00D72D66" w:rsidRPr="00D72D66" w:rsidP="00D72D66" w14:paraId="66728FAD" w14:textId="77777777">
      <w:pPr>
        <w:rPr>
          <w:szCs w:val="26"/>
        </w:rPr>
      </w:pPr>
    </w:p>
    <w:p w:rsidR="00A2604E" w:rsidRPr="00BE7A16" w:rsidP="00A2604E" w14:paraId="735A1E72" w14:textId="77777777">
      <w:pPr>
        <w:rPr>
          <w:szCs w:val="26"/>
        </w:rPr>
      </w:pPr>
      <w:r w:rsidRPr="00BE7A16">
        <w:rPr>
          <w:b/>
          <w:szCs w:val="26"/>
        </w:rPr>
        <w:t>AGENCY:</w:t>
      </w:r>
      <w:r w:rsidRPr="00BE7A16">
        <w:rPr>
          <w:szCs w:val="26"/>
        </w:rPr>
        <w:t xml:space="preserve">  Federal Energy Regulatory Commission.</w:t>
      </w:r>
    </w:p>
    <w:p w:rsidR="00A2604E" w:rsidRPr="00BE7A16" w:rsidP="00A2604E" w14:paraId="634EF64B" w14:textId="77777777">
      <w:pPr>
        <w:rPr>
          <w:szCs w:val="26"/>
        </w:rPr>
      </w:pPr>
    </w:p>
    <w:p w:rsidR="00A2604E" w:rsidRPr="00BE7A16" w:rsidP="00A2604E" w14:paraId="674B9740" w14:textId="77777777">
      <w:pPr>
        <w:spacing w:line="480" w:lineRule="auto"/>
        <w:rPr>
          <w:szCs w:val="26"/>
        </w:rPr>
      </w:pPr>
      <w:r w:rsidRPr="00BE7A16">
        <w:rPr>
          <w:b/>
          <w:szCs w:val="26"/>
        </w:rPr>
        <w:t>ACTION:</w:t>
      </w:r>
      <w:r w:rsidRPr="00BE7A16">
        <w:rPr>
          <w:szCs w:val="26"/>
        </w:rPr>
        <w:t xml:space="preserve">  </w:t>
      </w:r>
      <w:bookmarkStart w:id="0" w:name="_Hlk68091542"/>
      <w:r w:rsidRPr="00BE7A16">
        <w:rPr>
          <w:szCs w:val="26"/>
        </w:rPr>
        <w:t xml:space="preserve">Notice of information collection </w:t>
      </w:r>
      <w:bookmarkEnd w:id="0"/>
      <w:r w:rsidRPr="00BE7A16">
        <w:rPr>
          <w:szCs w:val="26"/>
        </w:rPr>
        <w:t>and request for comments.</w:t>
      </w:r>
    </w:p>
    <w:p w:rsidR="00B556C9" w:rsidRPr="007B64DA" w:rsidP="001F3B1B" w14:paraId="35DEAE81" w14:textId="498B067F">
      <w:pPr>
        <w:spacing w:line="480" w:lineRule="auto"/>
        <w:rPr>
          <w:rFonts w:eastAsiaTheme="minorHAnsi"/>
          <w:szCs w:val="26"/>
        </w:rPr>
      </w:pPr>
      <w:r w:rsidRPr="00BE7A16">
        <w:rPr>
          <w:b/>
          <w:szCs w:val="26"/>
        </w:rPr>
        <w:t>SUMMARY:</w:t>
      </w:r>
      <w:r w:rsidRPr="00BE7A16">
        <w:rPr>
          <w:szCs w:val="26"/>
        </w:rPr>
        <w:t xml:space="preserve">  In compliance with the requirements of the Paperwork Reduction Act of 1995</w:t>
      </w:r>
      <w:r w:rsidRPr="00BE7A16" w:rsidR="009E2D84">
        <w:rPr>
          <w:szCs w:val="26"/>
        </w:rPr>
        <w:t xml:space="preserve">, </w:t>
      </w:r>
      <w:r w:rsidRPr="00BE7A16">
        <w:rPr>
          <w:szCs w:val="26"/>
        </w:rPr>
        <w:t xml:space="preserve">the Federal Energy Regulatory Commission (Commission or FERC) is soliciting </w:t>
      </w:r>
      <w:r w:rsidR="00A840A9">
        <w:rPr>
          <w:szCs w:val="26"/>
        </w:rPr>
        <w:t xml:space="preserve"> </w:t>
      </w:r>
      <w:r w:rsidRPr="00BE7A16">
        <w:rPr>
          <w:szCs w:val="26"/>
        </w:rPr>
        <w:t xml:space="preserve">public comment on the currently approved information collection, </w:t>
      </w:r>
      <w:bookmarkStart w:id="1" w:name="_Hlk68526471"/>
      <w:bookmarkStart w:id="2" w:name="_Hlk72925791"/>
      <w:bookmarkStart w:id="3" w:name="_Hlk82100036"/>
      <w:r w:rsidRPr="00BE7A16" w:rsidR="000A3C2F">
        <w:rPr>
          <w:szCs w:val="26"/>
        </w:rPr>
        <w:t>FERC-</w:t>
      </w:r>
      <w:r w:rsidR="00186C4F">
        <w:rPr>
          <w:szCs w:val="26"/>
        </w:rPr>
        <w:t>519</w:t>
      </w:r>
      <w:r w:rsidRPr="00BE7A16" w:rsidR="000A3C2F">
        <w:rPr>
          <w:szCs w:val="26"/>
        </w:rPr>
        <w:t xml:space="preserve">, </w:t>
      </w:r>
      <w:bookmarkEnd w:id="1"/>
      <w:bookmarkEnd w:id="2"/>
      <w:r w:rsidRPr="00BE7A16" w:rsidR="00E563D9">
        <w:rPr>
          <w:rFonts w:eastAsiaTheme="minorHAnsi"/>
          <w:szCs w:val="26"/>
        </w:rPr>
        <w:t>(</w:t>
      </w:r>
      <w:r w:rsidR="00C32FB9">
        <w:rPr>
          <w:szCs w:val="26"/>
        </w:rPr>
        <w:t>Application under Federal Power Act Section 203</w:t>
      </w:r>
      <w:r w:rsidRPr="003C65F9" w:rsidR="00E563D9">
        <w:rPr>
          <w:rFonts w:eastAsiaTheme="minorHAnsi"/>
          <w:szCs w:val="26"/>
        </w:rPr>
        <w:t>);</w:t>
      </w:r>
      <w:r w:rsidRPr="003C65F9" w:rsidR="002F0F44">
        <w:rPr>
          <w:rFonts w:eastAsiaTheme="minorHAnsi"/>
          <w:szCs w:val="26"/>
        </w:rPr>
        <w:t xml:space="preserve">  FERC-520, (</w:t>
      </w:r>
      <w:r w:rsidRPr="003C65F9" w:rsidR="00A840A9">
        <w:rPr>
          <w:rFonts w:eastAsiaTheme="minorHAnsi"/>
          <w:szCs w:val="26"/>
        </w:rPr>
        <w:t>Application for Authority to Hold interlocking Directorate positions</w:t>
      </w:r>
      <w:r w:rsidR="003C65F9">
        <w:rPr>
          <w:rFonts w:eastAsiaTheme="minorHAnsi"/>
          <w:szCs w:val="26"/>
        </w:rPr>
        <w:t>;</w:t>
      </w:r>
      <w:r w:rsidRPr="00BE7A16" w:rsidR="00F10C06">
        <w:rPr>
          <w:rFonts w:eastAsiaTheme="minorHAnsi"/>
          <w:szCs w:val="26"/>
        </w:rPr>
        <w:t xml:space="preserve"> </w:t>
      </w:r>
      <w:r w:rsidR="00A840A9">
        <w:rPr>
          <w:rFonts w:eastAsiaTheme="minorHAnsi"/>
          <w:szCs w:val="26"/>
        </w:rPr>
        <w:t xml:space="preserve"> </w:t>
      </w:r>
      <w:r w:rsidRPr="00BE7A16" w:rsidR="00F10C06">
        <w:rPr>
          <w:rFonts w:eastAsiaTheme="minorHAnsi"/>
          <w:szCs w:val="26"/>
        </w:rPr>
        <w:t>FERC-5</w:t>
      </w:r>
      <w:r w:rsidR="00186C4F">
        <w:rPr>
          <w:rFonts w:eastAsiaTheme="minorHAnsi"/>
          <w:szCs w:val="26"/>
        </w:rPr>
        <w:t>46</w:t>
      </w:r>
      <w:r w:rsidRPr="00BE7A16" w:rsidR="00F10C06">
        <w:rPr>
          <w:rFonts w:eastAsiaTheme="minorHAnsi"/>
          <w:szCs w:val="26"/>
        </w:rPr>
        <w:t xml:space="preserve">, (Certification of Qualifying Facility (QF) Status for a Small Power Production or Cogeneration Facility); </w:t>
      </w:r>
      <w:r w:rsidR="00A840A9">
        <w:rPr>
          <w:rFonts w:eastAsiaTheme="minorHAnsi"/>
          <w:szCs w:val="26"/>
        </w:rPr>
        <w:t xml:space="preserve"> </w:t>
      </w:r>
      <w:r w:rsidR="00A820C1">
        <w:rPr>
          <w:rFonts w:eastAsiaTheme="minorHAnsi"/>
          <w:szCs w:val="26"/>
        </w:rPr>
        <w:t>FERC-580, (</w:t>
      </w:r>
      <w:r w:rsidR="002F0F44">
        <w:rPr>
          <w:rFonts w:eastAsiaTheme="minorHAnsi"/>
          <w:szCs w:val="26"/>
        </w:rPr>
        <w:t>Interrogatory on Fuel and Energy Purchase Practices).</w:t>
      </w:r>
      <w:bookmarkEnd w:id="3"/>
      <w:r w:rsidR="007B64DA">
        <w:rPr>
          <w:rFonts w:eastAsiaTheme="minorHAnsi"/>
          <w:szCs w:val="26"/>
        </w:rPr>
        <w:t xml:space="preserve">  </w:t>
      </w:r>
      <w:r w:rsidRPr="00BE7A16" w:rsidR="00F10C06">
        <w:rPr>
          <w:rFonts w:eastAsiaTheme="minorHAnsi"/>
          <w:szCs w:val="26"/>
        </w:rPr>
        <w:t xml:space="preserve">The above </w:t>
      </w:r>
      <w:r w:rsidR="007B64DA">
        <w:rPr>
          <w:rFonts w:eastAsiaTheme="minorHAnsi"/>
          <w:szCs w:val="26"/>
        </w:rPr>
        <w:t>four</w:t>
      </w:r>
      <w:r w:rsidRPr="00BE7A16" w:rsidR="00F10C06">
        <w:rPr>
          <w:rFonts w:eastAsiaTheme="minorHAnsi"/>
          <w:szCs w:val="26"/>
        </w:rPr>
        <w:t xml:space="preserve"> collections are a</w:t>
      </w:r>
      <w:r w:rsidR="0063275F">
        <w:rPr>
          <w:rFonts w:eastAsiaTheme="minorHAnsi"/>
          <w:szCs w:val="26"/>
        </w:rPr>
        <w:t xml:space="preserve"> </w:t>
      </w:r>
      <w:r w:rsidRPr="00BE7A16" w:rsidR="00F10C06">
        <w:rPr>
          <w:rFonts w:eastAsiaTheme="minorHAnsi"/>
          <w:szCs w:val="26"/>
        </w:rPr>
        <w:t>part of a combined notice only and are not being combined into one OMB Collection number.</w:t>
      </w:r>
    </w:p>
    <w:p w:rsidR="00A2604E" w:rsidRPr="00BE7A16" w:rsidP="00A2604E" w14:paraId="5C5B574A" w14:textId="57671BC1">
      <w:pPr>
        <w:spacing w:line="480" w:lineRule="auto"/>
        <w:rPr>
          <w:szCs w:val="26"/>
        </w:rPr>
      </w:pPr>
      <w:r w:rsidRPr="00BE7A16">
        <w:rPr>
          <w:b/>
          <w:szCs w:val="26"/>
        </w:rPr>
        <w:t>DATES:</w:t>
      </w:r>
      <w:r w:rsidRPr="00BE7A16">
        <w:rPr>
          <w:szCs w:val="26"/>
        </w:rPr>
        <w:t xml:space="preserve">  Comments on the collection of information are due [</w:t>
      </w:r>
      <w:r w:rsidRPr="00BE7A16" w:rsidR="00CD56E5">
        <w:rPr>
          <w:b/>
          <w:szCs w:val="26"/>
        </w:rPr>
        <w:t>INSERT DATE</w:t>
      </w:r>
      <w:r w:rsidRPr="00BE7A16">
        <w:rPr>
          <w:b/>
          <w:szCs w:val="26"/>
        </w:rPr>
        <w:t xml:space="preserve"> 60 days after </w:t>
      </w:r>
      <w:r w:rsidRPr="00BE7A16" w:rsidR="00CA6D76">
        <w:rPr>
          <w:b/>
          <w:szCs w:val="26"/>
        </w:rPr>
        <w:t xml:space="preserve">date of </w:t>
      </w:r>
      <w:r w:rsidRPr="00BE7A16">
        <w:rPr>
          <w:b/>
          <w:szCs w:val="26"/>
        </w:rPr>
        <w:t>publication in the Federal Register</w:t>
      </w:r>
      <w:r w:rsidRPr="00BE7A16">
        <w:rPr>
          <w:szCs w:val="26"/>
        </w:rPr>
        <w:t xml:space="preserve">]. </w:t>
      </w:r>
    </w:p>
    <w:p w:rsidR="0042765E" w:rsidRPr="00BE7A16" w:rsidP="0042765E" w14:paraId="571559FA" w14:textId="1CDC3043">
      <w:pPr>
        <w:spacing w:line="480" w:lineRule="auto"/>
        <w:rPr>
          <w:szCs w:val="26"/>
        </w:rPr>
      </w:pPr>
      <w:r w:rsidRPr="00BE7A16">
        <w:rPr>
          <w:b/>
          <w:szCs w:val="26"/>
        </w:rPr>
        <w:t>ADDRESSES:</w:t>
      </w:r>
      <w:r w:rsidRPr="00BE7A16">
        <w:rPr>
          <w:szCs w:val="26"/>
        </w:rPr>
        <w:t xml:space="preserve">  </w:t>
      </w:r>
      <w:bookmarkStart w:id="4" w:name="OLE_LINK1"/>
      <w:r w:rsidRPr="00BE7A16">
        <w:rPr>
          <w:szCs w:val="26"/>
        </w:rPr>
        <w:t xml:space="preserve">You may submit copies of your comments (identified by Docket No. </w:t>
      </w:r>
      <w:r w:rsidRPr="009E7256">
        <w:rPr>
          <w:szCs w:val="26"/>
        </w:rPr>
        <w:t>IC</w:t>
      </w:r>
      <w:r w:rsidRPr="009E7256" w:rsidR="008427EE">
        <w:rPr>
          <w:szCs w:val="26"/>
        </w:rPr>
        <w:t>2</w:t>
      </w:r>
      <w:r w:rsidRPr="009E7256" w:rsidR="00FC07CD">
        <w:rPr>
          <w:szCs w:val="26"/>
        </w:rPr>
        <w:t>5</w:t>
      </w:r>
      <w:r w:rsidRPr="009E7256" w:rsidR="008427EE">
        <w:rPr>
          <w:szCs w:val="26"/>
        </w:rPr>
        <w:t>-</w:t>
      </w:r>
      <w:r w:rsidRPr="009E7256" w:rsidR="00FC07CD">
        <w:rPr>
          <w:szCs w:val="26"/>
        </w:rPr>
        <w:t>1</w:t>
      </w:r>
      <w:r w:rsidRPr="009E7256">
        <w:rPr>
          <w:szCs w:val="26"/>
        </w:rPr>
        <w:t>-000</w:t>
      </w:r>
      <w:r w:rsidRPr="00BE7A16">
        <w:rPr>
          <w:szCs w:val="26"/>
        </w:rPr>
        <w:t>) by one of the following methods:</w:t>
      </w:r>
    </w:p>
    <w:p w:rsidR="0042765E" w:rsidRPr="00BE7A16" w:rsidP="0042765E" w14:paraId="6929A881" w14:textId="390A79B3">
      <w:pPr>
        <w:spacing w:line="480" w:lineRule="auto"/>
        <w:rPr>
          <w:szCs w:val="26"/>
        </w:rPr>
      </w:pPr>
      <w:r w:rsidRPr="00BE7A16">
        <w:rPr>
          <w:szCs w:val="26"/>
        </w:rPr>
        <w:t xml:space="preserve">Electronic filing through </w:t>
      </w:r>
      <w:hyperlink r:id="rId10" w:history="1">
        <w:r w:rsidRPr="003F402D" w:rsidR="003F402D">
          <w:rPr>
            <w:rStyle w:val="Hyperlink"/>
            <w:szCs w:val="26"/>
          </w:rPr>
          <w:t>https://www.ferc.gov</w:t>
        </w:r>
      </w:hyperlink>
      <w:r w:rsidRPr="00BE7A16">
        <w:rPr>
          <w:szCs w:val="26"/>
        </w:rPr>
        <w:t>, is preferred.</w:t>
      </w:r>
    </w:p>
    <w:p w:rsidR="0042765E" w:rsidRPr="00BE7A16" w:rsidP="0042765E" w14:paraId="7E325126" w14:textId="77777777">
      <w:pPr>
        <w:numPr>
          <w:ilvl w:val="0"/>
          <w:numId w:val="6"/>
        </w:numPr>
        <w:spacing w:line="480" w:lineRule="auto"/>
        <w:rPr>
          <w:szCs w:val="26"/>
        </w:rPr>
      </w:pPr>
      <w:r w:rsidRPr="00BE7A16">
        <w:rPr>
          <w:szCs w:val="26"/>
        </w:rPr>
        <w:t xml:space="preserve">Electronic Filing: Documents must be filed in acceptable native applications and print-to-PDF, but not in scanned or picture format. </w:t>
      </w:r>
    </w:p>
    <w:p w:rsidR="0042765E" w:rsidRPr="00BE7A16" w:rsidP="0042765E" w14:paraId="6B601B68" w14:textId="55BB788B">
      <w:pPr>
        <w:numPr>
          <w:ilvl w:val="0"/>
          <w:numId w:val="6"/>
        </w:numPr>
        <w:spacing w:line="480" w:lineRule="auto"/>
        <w:rPr>
          <w:szCs w:val="26"/>
        </w:rPr>
      </w:pPr>
      <w:r w:rsidRPr="00BE7A16">
        <w:rPr>
          <w:szCs w:val="26"/>
        </w:rPr>
        <w:t>For those unable to file electronically, comments may be filed by USPS mail or by hand (including courier) delivery</w:t>
      </w:r>
      <w:r w:rsidRPr="00BE7A16" w:rsidR="00F82EE1">
        <w:rPr>
          <w:szCs w:val="26"/>
        </w:rPr>
        <w:t>:</w:t>
      </w:r>
    </w:p>
    <w:p w:rsidR="0042765E" w:rsidRPr="00BE7A16" w:rsidP="00197435" w14:paraId="610867AE" w14:textId="77777777">
      <w:pPr>
        <w:numPr>
          <w:ilvl w:val="1"/>
          <w:numId w:val="6"/>
        </w:numPr>
        <w:spacing w:line="480" w:lineRule="auto"/>
        <w:rPr>
          <w:szCs w:val="26"/>
        </w:rPr>
      </w:pPr>
      <w:r w:rsidRPr="00BE7A16">
        <w:rPr>
          <w:szCs w:val="26"/>
        </w:rPr>
        <w:t>Mail via U.S. Postal Service Only: Addressed to: Federal Energy Regulatory Commission, Secretary of the Commission, 888 First Street, N.E., Washington, DC 20426.</w:t>
      </w:r>
    </w:p>
    <w:p w:rsidR="0042765E" w:rsidRPr="00BE7A16" w:rsidP="00197435" w14:paraId="1A7E64A4" w14:textId="2C0CED65">
      <w:pPr>
        <w:pStyle w:val="ListParagraph"/>
        <w:numPr>
          <w:ilvl w:val="1"/>
          <w:numId w:val="6"/>
        </w:numPr>
        <w:spacing w:line="480" w:lineRule="auto"/>
        <w:rPr>
          <w:szCs w:val="26"/>
        </w:rPr>
      </w:pPr>
      <w:r w:rsidRPr="00BE7A16">
        <w:rPr>
          <w:szCs w:val="26"/>
        </w:rPr>
        <w:t>Hand (including courier) delivery: Deliver to: Federal Energy Regulatory Commission, 12225 Wilkins Avenue, Rockville, MD 20852.</w:t>
      </w:r>
    </w:p>
    <w:p w:rsidR="00FB078F" w:rsidRPr="00BE7A16" w:rsidP="0042765E" w14:paraId="1FF43EEC" w14:textId="311C2743">
      <w:pPr>
        <w:spacing w:line="480" w:lineRule="auto"/>
        <w:rPr>
          <w:szCs w:val="26"/>
        </w:rPr>
      </w:pPr>
      <w:r w:rsidRPr="00BE7A16">
        <w:rPr>
          <w:i/>
          <w:szCs w:val="26"/>
        </w:rPr>
        <w:t xml:space="preserve">Instructions: </w:t>
      </w:r>
      <w:r w:rsidRPr="00BE7A16">
        <w:rPr>
          <w:szCs w:val="26"/>
        </w:rPr>
        <w:t xml:space="preserve">All submissions must be formatted and filed in accordance with submission guidelines at:   </w:t>
      </w:r>
      <w:hyperlink r:id="rId10" w:history="1">
        <w:r w:rsidRPr="003F402D" w:rsidR="003F402D">
          <w:rPr>
            <w:rStyle w:val="Hyperlink"/>
            <w:szCs w:val="26"/>
          </w:rPr>
          <w:t>https://www.ferc.gov</w:t>
        </w:r>
      </w:hyperlink>
      <w:r w:rsidRPr="00BE7A16">
        <w:rPr>
          <w:szCs w:val="26"/>
        </w:rPr>
        <w:t>.  For user assistance, contact FERC Online Support by e-mail at ferconlinesupport@ferc.gov, or by phone at (866) 208-3676 (toll-free).</w:t>
      </w:r>
    </w:p>
    <w:p w:rsidR="00FB078F" w:rsidRPr="00BE7A16" w:rsidP="00FB078F" w14:paraId="781EB4A7" w14:textId="09D20A37">
      <w:pPr>
        <w:spacing w:line="480" w:lineRule="auto"/>
        <w:rPr>
          <w:szCs w:val="26"/>
        </w:rPr>
      </w:pPr>
      <w:r w:rsidRPr="00BE7A16">
        <w:rPr>
          <w:i/>
          <w:szCs w:val="26"/>
        </w:rPr>
        <w:t>Docket:</w:t>
      </w:r>
      <w:r w:rsidRPr="00BE7A16">
        <w:rPr>
          <w:szCs w:val="26"/>
        </w:rPr>
        <w:t xml:space="preserve"> Users interested in receiving automatic notification of activity in this docket or in viewing/downloading comments and issuances in this docket may do so at </w:t>
      </w:r>
      <w:hyperlink r:id="rId10" w:history="1">
        <w:r w:rsidRPr="003F402D" w:rsidR="003F402D">
          <w:rPr>
            <w:rStyle w:val="Hyperlink"/>
            <w:szCs w:val="26"/>
          </w:rPr>
          <w:t>https://www.ferc.gov</w:t>
        </w:r>
      </w:hyperlink>
      <w:r w:rsidRPr="00BE7A16">
        <w:rPr>
          <w:szCs w:val="26"/>
        </w:rPr>
        <w:t xml:space="preserve">. </w:t>
      </w:r>
    </w:p>
    <w:bookmarkEnd w:id="4"/>
    <w:p w:rsidR="00FB078F" w:rsidRPr="00BE7A16" w:rsidP="00FB078F" w14:paraId="4D057177" w14:textId="4A88A83C">
      <w:pPr>
        <w:spacing w:line="480" w:lineRule="auto"/>
        <w:rPr>
          <w:szCs w:val="26"/>
        </w:rPr>
      </w:pPr>
      <w:r w:rsidRPr="00BE7A16">
        <w:rPr>
          <w:b/>
          <w:szCs w:val="26"/>
        </w:rPr>
        <w:t>FOR FURTHER INFORMATION:</w:t>
      </w:r>
      <w:r w:rsidRPr="00BE7A16">
        <w:rPr>
          <w:szCs w:val="26"/>
        </w:rPr>
        <w:t xml:space="preserve">  </w:t>
      </w:r>
      <w:r w:rsidR="00A840A9">
        <w:rPr>
          <w:szCs w:val="26"/>
        </w:rPr>
        <w:t>Kayla Williams</w:t>
      </w:r>
      <w:r w:rsidRPr="00BE7A16">
        <w:rPr>
          <w:szCs w:val="26"/>
        </w:rPr>
        <w:t xml:space="preserve"> may be reached by e-mail at </w:t>
      </w:r>
      <w:r>
        <w:fldChar w:fldCharType="begin"/>
      </w:r>
      <w:r w:rsidRPr="00BE7A16">
        <w:rPr>
          <w:rStyle w:val="Hyperlink"/>
          <w:szCs w:val="26"/>
        </w:rPr>
        <w:instrText xml:space="preserve"> HYPERLINK "mailto:DataClearance@FERC.gov" </w:instrText>
      </w:r>
      <w:r>
        <w:fldChar w:fldCharType="separate"/>
      </w:r>
      <w:r w:rsidRPr="00BE7A16">
        <w:rPr>
          <w:rStyle w:val="Hyperlink"/>
          <w:szCs w:val="26"/>
        </w:rPr>
        <w:t>DataClearance@FERC.gov</w:t>
      </w:r>
      <w:r>
        <w:fldChar w:fldCharType="end"/>
      </w:r>
      <w:r w:rsidRPr="00BE7A16">
        <w:rPr>
          <w:szCs w:val="26"/>
        </w:rPr>
        <w:t>, telephone at (202) 502-</w:t>
      </w:r>
      <w:r w:rsidR="003F402D">
        <w:rPr>
          <w:szCs w:val="26"/>
        </w:rPr>
        <w:t>6468</w:t>
      </w:r>
      <w:r w:rsidRPr="00BE7A16">
        <w:rPr>
          <w:szCs w:val="26"/>
        </w:rPr>
        <w:t>.</w:t>
      </w:r>
    </w:p>
    <w:p w:rsidR="000F3BC3" w:rsidRPr="00BE7A16" w:rsidP="000F3BC3" w14:paraId="5169038C" w14:textId="22A35007">
      <w:pPr>
        <w:spacing w:line="480" w:lineRule="auto"/>
        <w:rPr>
          <w:szCs w:val="26"/>
        </w:rPr>
      </w:pPr>
      <w:r w:rsidRPr="00BE7A16">
        <w:rPr>
          <w:b/>
          <w:szCs w:val="26"/>
        </w:rPr>
        <w:t>SUPPLEMENTARY INFORMATION:</w:t>
      </w:r>
      <w:r w:rsidRPr="00BE7A16">
        <w:rPr>
          <w:szCs w:val="26"/>
        </w:rPr>
        <w:t xml:space="preserve">  </w:t>
      </w:r>
    </w:p>
    <w:p w:rsidR="00F10C06" w:rsidP="00342537" w14:paraId="6E41E645" w14:textId="03F197AA">
      <w:pPr>
        <w:pStyle w:val="ListParagraph"/>
        <w:numPr>
          <w:ilvl w:val="0"/>
          <w:numId w:val="16"/>
        </w:numPr>
        <w:spacing w:line="480" w:lineRule="auto"/>
        <w:rPr>
          <w:b/>
          <w:bCs/>
          <w:szCs w:val="26"/>
        </w:rPr>
      </w:pPr>
      <w:r w:rsidRPr="00186C4F">
        <w:rPr>
          <w:b/>
          <w:bCs/>
          <w:szCs w:val="26"/>
        </w:rPr>
        <w:t>FERC-5</w:t>
      </w:r>
      <w:r w:rsidR="00186C4F">
        <w:rPr>
          <w:b/>
          <w:bCs/>
          <w:szCs w:val="26"/>
        </w:rPr>
        <w:t>19</w:t>
      </w:r>
    </w:p>
    <w:p w:rsidR="00186C4F" w:rsidRPr="00BE7A16" w:rsidP="00186C4F" w14:paraId="59638454" w14:textId="0A759517">
      <w:pPr>
        <w:spacing w:line="480" w:lineRule="auto"/>
        <w:rPr>
          <w:szCs w:val="26"/>
        </w:rPr>
      </w:pPr>
      <w:r w:rsidRPr="00BE7A16">
        <w:rPr>
          <w:i/>
          <w:iCs/>
          <w:szCs w:val="26"/>
        </w:rPr>
        <w:t>Title:</w:t>
      </w:r>
      <w:r w:rsidRPr="00BE7A16">
        <w:rPr>
          <w:rFonts w:eastAsiaTheme="minorHAnsi"/>
          <w:szCs w:val="26"/>
        </w:rPr>
        <w:t xml:space="preserve"> </w:t>
      </w:r>
      <w:r w:rsidRPr="00BE7A16">
        <w:rPr>
          <w:szCs w:val="26"/>
        </w:rPr>
        <w:t>FERC-</w:t>
      </w:r>
      <w:r>
        <w:rPr>
          <w:szCs w:val="26"/>
        </w:rPr>
        <w:t>519</w:t>
      </w:r>
      <w:r w:rsidRPr="00BE7A16">
        <w:rPr>
          <w:szCs w:val="26"/>
        </w:rPr>
        <w:t xml:space="preserve">, </w:t>
      </w:r>
      <w:r w:rsidR="00C32FB9">
        <w:rPr>
          <w:szCs w:val="26"/>
        </w:rPr>
        <w:t>Application under Federal Power Act Section 203</w:t>
      </w:r>
      <w:r>
        <w:rPr>
          <w:rStyle w:val="FootnoteReference"/>
        </w:rPr>
        <w:footnoteReference w:id="3"/>
      </w:r>
    </w:p>
    <w:p w:rsidR="00186C4F" w:rsidP="00186C4F" w14:paraId="59D864E1" w14:textId="0EBC0B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OMB Control No.:</w:t>
      </w:r>
      <w:r w:rsidRPr="00342537">
        <w:rPr>
          <w:szCs w:val="26"/>
        </w:rPr>
        <w:t xml:space="preserve"> 1902-0</w:t>
      </w:r>
      <w:r>
        <w:rPr>
          <w:szCs w:val="26"/>
        </w:rPr>
        <w:t>082</w:t>
      </w:r>
    </w:p>
    <w:p w:rsidR="00970063" w:rsidRPr="00342537" w:rsidP="00186C4F" w14:paraId="5F0A4164" w14:textId="43BC31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970063">
        <w:rPr>
          <w:i/>
          <w:szCs w:val="26"/>
        </w:rPr>
        <w:t>Type of Request:</w:t>
      </w:r>
      <w:r w:rsidRPr="00970063">
        <w:rPr>
          <w:szCs w:val="26"/>
        </w:rPr>
        <w:t xml:space="preserve"> Three-year extension of the FERC-5</w:t>
      </w:r>
      <w:r>
        <w:rPr>
          <w:szCs w:val="26"/>
        </w:rPr>
        <w:t>19</w:t>
      </w:r>
      <w:r w:rsidRPr="00970063">
        <w:rPr>
          <w:szCs w:val="26"/>
        </w:rPr>
        <w:t xml:space="preserve"> information collection requirements with no changes to the current reporting requirements. </w:t>
      </w:r>
    </w:p>
    <w:p w:rsidR="00C32FB9" w:rsidP="00C32FB9" w14:paraId="3EF0C6D2" w14:textId="6505A5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Abstract:</w:t>
      </w:r>
      <w:r w:rsidRPr="00342537">
        <w:rPr>
          <w:szCs w:val="26"/>
        </w:rPr>
        <w:t xml:space="preserve"> </w:t>
      </w:r>
      <w:r w:rsidRPr="004D7789" w:rsidR="004D7789">
        <w:rPr>
          <w:szCs w:val="26"/>
        </w:rPr>
        <w:t>The Commission require</w:t>
      </w:r>
      <w:r w:rsidR="00706A16">
        <w:rPr>
          <w:szCs w:val="26"/>
        </w:rPr>
        <w:t xml:space="preserve">s that </w:t>
      </w:r>
      <w:r w:rsidRPr="00706A16" w:rsidR="00706A16">
        <w:rPr>
          <w:szCs w:val="26"/>
        </w:rPr>
        <w:t xml:space="preserve">public utility </w:t>
      </w:r>
      <w:r w:rsidR="00706A16">
        <w:rPr>
          <w:szCs w:val="26"/>
        </w:rPr>
        <w:t xml:space="preserve">officers </w:t>
      </w:r>
      <w:r w:rsidRPr="00706A16" w:rsidR="00706A16">
        <w:rPr>
          <w:szCs w:val="26"/>
        </w:rPr>
        <w:t>must seek authorization under amended section 203(a)(1)(B) of the Federal Power Act (FPA) to merge or consolidate, directly or indirectly, its facilities subject to the jurisdiction of the Commission, or any part thereof, with the facilities of any other person, or any part thereof, that are subject to the jurisdiction of the Commission and have a value in excess of $10 million, by any means whatsoever. In addition, as required by the Act, the Commission establishes a requirement to submit a notification filing for mergers or consolidations by a public utility if the facilities to be acquired have a value in excess of $1 million and such public utility is not required to secure Commission authorization under amended section 203(a)(1)(B). The information collected under the FERC-519 enables the Commission to meet its statutory responsibilities regarding public utility disposition, merger, consolidation of facilities, purchase, or acquisition oversight and enforcement in accordance with the FPA as referenced above. Without this information, FERC would be unable to meet these responsibilities. The required information includes descriptions of corporate attributes of the party or parties to the proposed transaction (e.g. a sale, lease, or other disposition, merger, or consolidation of facilities, or purchase of other acquisition of the securities of a public utility and the facilities or other property involved in the transaction), statements about effect of the transaction, and the applicant's proof that the transaction will be consistent with the public interest.</w:t>
      </w:r>
      <w:r w:rsidR="00706A16">
        <w:rPr>
          <w:szCs w:val="26"/>
        </w:rPr>
        <w:t xml:space="preserve"> </w:t>
      </w:r>
      <w:r w:rsidRPr="004D7789" w:rsidR="004D7789">
        <w:rPr>
          <w:szCs w:val="26"/>
        </w:rPr>
        <w:t xml:space="preserve">It will enable the </w:t>
      </w:r>
      <w:r w:rsidRPr="004D7789" w:rsidR="004D7789">
        <w:rPr>
          <w:szCs w:val="26"/>
        </w:rPr>
        <w:t xml:space="preserve">Commission to meet its statutory responsibilities regarding its FPA section 203 oversight of public utility dispositions, mergers, or consolidation of facilities, and associated oversight and enforcement responsibilities under the FPA as referenced above.  The required information to be collected in the notification filing (established by the addition of 18 CFR Part 33.12) for certain transactions includes descriptions of corporate attributes of the party or parties to the transaction and the facilities involved.  </w:t>
      </w:r>
      <w:r>
        <w:rPr>
          <w:szCs w:val="26"/>
        </w:rPr>
        <w:t xml:space="preserve">FPA section 203 requires a filing on the occasion that a public utility proposes to dispose of jurisdictional facilities, merge such facilities, or acquire the securities of another public utility. </w:t>
      </w:r>
      <w:r w:rsidR="008B70FD">
        <w:rPr>
          <w:szCs w:val="26"/>
        </w:rPr>
        <w:t>Public Utilities consist of:</w:t>
      </w:r>
    </w:p>
    <w:p w:rsidR="00C32FB9" w:rsidRPr="00C32FB9" w:rsidP="00C32FB9" w14:paraId="261980DA" w14:textId="560CAA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Corporate;</w:t>
      </w:r>
    </w:p>
    <w:p w:rsidR="00C32FB9" w:rsidRPr="00C32FB9" w:rsidP="00C32FB9" w14:paraId="3B70EE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Information Technology Management;</w:t>
      </w:r>
    </w:p>
    <w:p w:rsidR="00C32FB9" w:rsidRPr="00C32FB9" w:rsidP="00C32FB9" w14:paraId="768B02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General Accounting;</w:t>
      </w:r>
    </w:p>
    <w:p w:rsidR="00C32FB9" w:rsidRPr="00C32FB9" w:rsidP="00C32FB9" w14:paraId="4DDC20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Personnel and Payroll;</w:t>
      </w:r>
    </w:p>
    <w:p w:rsidR="00C32FB9" w:rsidRPr="00C32FB9" w:rsidP="00C32FB9" w14:paraId="10CBF11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Transportation;</w:t>
      </w:r>
    </w:p>
    <w:p w:rsidR="00C32FB9" w:rsidRPr="00C32FB9" w:rsidP="00C32FB9" w14:paraId="7AED9B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Tariffs and Rates;</w:t>
      </w:r>
    </w:p>
    <w:p w:rsidR="00C32FB9" w:rsidRPr="00C32FB9" w:rsidP="00C32FB9" w14:paraId="0883F4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Insurance;</w:t>
      </w:r>
    </w:p>
    <w:p w:rsidR="00C32FB9" w:rsidRPr="00C32FB9" w:rsidP="00C32FB9" w14:paraId="495009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Operations and Maintenance;</w:t>
      </w:r>
    </w:p>
    <w:p w:rsidR="00C32FB9" w:rsidRPr="00C32FB9" w:rsidP="00C32FB9" w14:paraId="1E77A8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Plant and Depreciation;</w:t>
      </w:r>
    </w:p>
    <w:p w:rsidR="00C32FB9" w:rsidRPr="00C32FB9" w:rsidP="00C32FB9" w14:paraId="6F85A8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Purchase and Stores;</w:t>
      </w:r>
    </w:p>
    <w:p w:rsidR="00C32FB9" w:rsidRPr="00C32FB9" w:rsidP="00C32FB9" w14:paraId="759B52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Revenue Accounting and Collection;</w:t>
      </w:r>
    </w:p>
    <w:p w:rsidR="00C32FB9" w:rsidRPr="00C32FB9" w:rsidP="00C32FB9" w14:paraId="62B2871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Tax;</w:t>
      </w:r>
    </w:p>
    <w:p w:rsidR="00C32FB9" w:rsidRPr="00C32FB9" w:rsidP="00C32FB9" w14:paraId="75F5025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Treasury; and</w:t>
      </w:r>
    </w:p>
    <w:p w:rsidR="004D7789" w:rsidRPr="004D7789" w:rsidP="004D7789" w14:paraId="462C4230" w14:textId="150A4E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C32FB9">
        <w:rPr>
          <w:szCs w:val="26"/>
        </w:rPr>
        <w:t>•</w:t>
      </w:r>
      <w:r w:rsidRPr="00C32FB9">
        <w:rPr>
          <w:szCs w:val="26"/>
        </w:rPr>
        <w:tab/>
        <w:t>Miscellaneous.</w:t>
      </w:r>
      <w:r>
        <w:rPr>
          <w:szCs w:val="26"/>
        </w:rPr>
        <w:t xml:space="preserve"> </w:t>
      </w:r>
    </w:p>
    <w:p w:rsidR="00186C4F" w:rsidRPr="00342537" w:rsidP="004D7789" w14:paraId="37E57ACC" w14:textId="0A9DC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 xml:space="preserve">Type of Respondents: </w:t>
      </w:r>
      <w:r w:rsidRPr="00385FC5">
        <w:rPr>
          <w:szCs w:val="26"/>
        </w:rPr>
        <w:t>Public utility officers</w:t>
      </w:r>
      <w:r w:rsidR="00706A16">
        <w:rPr>
          <w:szCs w:val="26"/>
        </w:rPr>
        <w:t xml:space="preserve"> </w:t>
      </w:r>
      <w:r w:rsidR="00385FC5">
        <w:rPr>
          <w:szCs w:val="26"/>
        </w:rPr>
        <w:t>r</w:t>
      </w:r>
      <w:r w:rsidR="00706A16">
        <w:rPr>
          <w:szCs w:val="26"/>
        </w:rPr>
        <w:t>egulated by the FPA</w:t>
      </w:r>
      <w:r w:rsidRPr="00342537">
        <w:rPr>
          <w:szCs w:val="26"/>
        </w:rPr>
        <w:t xml:space="preserve"> </w:t>
      </w:r>
    </w:p>
    <w:p w:rsidR="00186C4F" w:rsidP="00186C4F" w14:paraId="66540E27" w14:textId="785F1C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Estimate of Annual Burden</w:t>
      </w:r>
      <w:r w:rsidR="00FD7D88">
        <w:rPr>
          <w:i/>
          <w:szCs w:val="26"/>
        </w:rPr>
        <w:t>:</w:t>
      </w:r>
      <w:r>
        <w:rPr>
          <w:b/>
          <w:i/>
          <w:szCs w:val="26"/>
          <w:vertAlign w:val="superscript"/>
        </w:rPr>
        <w:footnoteReference w:id="4"/>
      </w:r>
      <w:r w:rsidRPr="00342537">
        <w:rPr>
          <w:i/>
          <w:szCs w:val="26"/>
        </w:rPr>
        <w:t xml:space="preserve"> </w:t>
      </w:r>
      <w:r w:rsidRPr="00342537">
        <w:rPr>
          <w:szCs w:val="26"/>
        </w:rPr>
        <w:t>The Commission estimates the total annual burden and cost</w:t>
      </w:r>
      <w:r>
        <w:rPr>
          <w:b/>
          <w:szCs w:val="26"/>
          <w:vertAlign w:val="superscript"/>
        </w:rPr>
        <w:footnoteReference w:id="5"/>
      </w:r>
      <w:r w:rsidRPr="00342537">
        <w:rPr>
          <w:szCs w:val="26"/>
          <w:vertAlign w:val="superscript"/>
        </w:rPr>
        <w:t xml:space="preserve"> </w:t>
      </w:r>
      <w:r w:rsidRPr="00342537">
        <w:rPr>
          <w:szCs w:val="26"/>
        </w:rPr>
        <w:t>for this information collection as follows:</w:t>
      </w:r>
    </w:p>
    <w:tbl>
      <w:tblPr>
        <w:tblW w:w="551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1632"/>
        <w:gridCol w:w="1531"/>
        <w:gridCol w:w="1404"/>
        <w:gridCol w:w="1385"/>
        <w:gridCol w:w="1711"/>
        <w:gridCol w:w="1531"/>
      </w:tblGrid>
      <w:tr w14:paraId="02D7E00C" w14:textId="77777777" w:rsidTr="008D2AE7">
        <w:tblPrEx>
          <w:tblW w:w="551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95"/>
        </w:trPr>
        <w:tc>
          <w:tcPr>
            <w:tcW w:w="5000" w:type="pct"/>
            <w:gridSpan w:val="7"/>
            <w:shd w:val="clear" w:color="auto" w:fill="D9D9D9"/>
          </w:tcPr>
          <w:p w:rsidR="008D2AE7" w:rsidRPr="00AA1630" w:rsidP="008D2AE7" w14:paraId="78A23BAA" w14:textId="0E80BF95">
            <w:pPr>
              <w:spacing w:line="259" w:lineRule="auto"/>
              <w:jc w:val="center"/>
              <w:rPr>
                <w:rFonts w:eastAsiaTheme="minorHAnsi"/>
                <w:b/>
                <w:szCs w:val="26"/>
              </w:rPr>
            </w:pPr>
            <w:r>
              <w:rPr>
                <w:rFonts w:eastAsiaTheme="minorHAnsi"/>
                <w:b/>
                <w:szCs w:val="26"/>
              </w:rPr>
              <w:t xml:space="preserve">FERC-519: </w:t>
            </w:r>
            <w:r w:rsidRPr="008D2AE7">
              <w:rPr>
                <w:rFonts w:eastAsiaTheme="minorHAnsi"/>
                <w:b/>
                <w:szCs w:val="26"/>
              </w:rPr>
              <w:t>Application under Federal Power Act Section 203</w:t>
            </w:r>
          </w:p>
        </w:tc>
      </w:tr>
      <w:tr w14:paraId="23C870C3" w14:textId="77777777" w:rsidTr="008D2AE7">
        <w:tblPrEx>
          <w:tblW w:w="5511" w:type="pct"/>
          <w:tblInd w:w="-72" w:type="dxa"/>
          <w:tblLook w:val="01E0"/>
        </w:tblPrEx>
        <w:trPr>
          <w:cantSplit/>
          <w:trHeight w:val="1225"/>
        </w:trPr>
        <w:tc>
          <w:tcPr>
            <w:tcW w:w="539" w:type="pct"/>
            <w:shd w:val="clear" w:color="auto" w:fill="D9D9D9"/>
          </w:tcPr>
          <w:p w:rsidR="00AA1630" w:rsidRPr="00AA1630" w:rsidP="00AA1630" w14:paraId="3A5C5A02" w14:textId="77777777">
            <w:pPr>
              <w:spacing w:line="259" w:lineRule="auto"/>
              <w:rPr>
                <w:rFonts w:eastAsiaTheme="minorHAnsi"/>
                <w:b/>
                <w:szCs w:val="26"/>
              </w:rPr>
            </w:pPr>
          </w:p>
        </w:tc>
        <w:tc>
          <w:tcPr>
            <w:tcW w:w="792" w:type="pct"/>
            <w:shd w:val="clear" w:color="auto" w:fill="D9D9D9"/>
            <w:vAlign w:val="bottom"/>
          </w:tcPr>
          <w:p w:rsidR="00AA1630" w:rsidRPr="00AA1630" w:rsidP="00AA1630" w14:paraId="03F5D0B4" w14:textId="77777777">
            <w:pPr>
              <w:spacing w:line="259" w:lineRule="auto"/>
              <w:rPr>
                <w:rFonts w:eastAsiaTheme="minorHAnsi"/>
                <w:b/>
                <w:szCs w:val="26"/>
              </w:rPr>
            </w:pPr>
            <w:r w:rsidRPr="00AA1630">
              <w:rPr>
                <w:rFonts w:eastAsiaTheme="minorHAnsi"/>
                <w:b/>
                <w:szCs w:val="26"/>
              </w:rPr>
              <w:t>Number of Respondents</w:t>
            </w:r>
            <w:r w:rsidRPr="00AA1630">
              <w:rPr>
                <w:rFonts w:eastAsiaTheme="minorHAnsi"/>
                <w:b/>
                <w:szCs w:val="26"/>
              </w:rPr>
              <w:br/>
              <w:t>(1)</w:t>
            </w:r>
          </w:p>
        </w:tc>
        <w:tc>
          <w:tcPr>
            <w:tcW w:w="743" w:type="pct"/>
            <w:shd w:val="clear" w:color="auto" w:fill="D9D9D9"/>
            <w:vAlign w:val="bottom"/>
          </w:tcPr>
          <w:p w:rsidR="00AA1630" w:rsidRPr="00AA1630" w:rsidP="00AA1630" w14:paraId="085431EE" w14:textId="77777777">
            <w:pPr>
              <w:spacing w:line="259" w:lineRule="auto"/>
              <w:rPr>
                <w:rFonts w:eastAsiaTheme="minorHAnsi"/>
                <w:b/>
                <w:szCs w:val="26"/>
              </w:rPr>
            </w:pPr>
            <w:r w:rsidRPr="00AA1630">
              <w:rPr>
                <w:rFonts w:eastAsiaTheme="minorHAnsi"/>
                <w:b/>
                <w:szCs w:val="26"/>
              </w:rPr>
              <w:t>Annual Number of Responses per Respondent</w:t>
            </w:r>
          </w:p>
          <w:p w:rsidR="00AA1630" w:rsidRPr="00AA1630" w:rsidP="00AA1630" w14:paraId="210C3534" w14:textId="77777777">
            <w:pPr>
              <w:spacing w:line="259" w:lineRule="auto"/>
              <w:rPr>
                <w:rFonts w:eastAsiaTheme="minorHAnsi"/>
                <w:b/>
                <w:szCs w:val="26"/>
              </w:rPr>
            </w:pPr>
            <w:r w:rsidRPr="00AA1630">
              <w:rPr>
                <w:rFonts w:eastAsiaTheme="minorHAnsi"/>
                <w:b/>
                <w:szCs w:val="26"/>
              </w:rPr>
              <w:t>(2)</w:t>
            </w:r>
          </w:p>
        </w:tc>
        <w:tc>
          <w:tcPr>
            <w:tcW w:w="681" w:type="pct"/>
            <w:shd w:val="clear" w:color="auto" w:fill="D9D9D9"/>
            <w:vAlign w:val="bottom"/>
          </w:tcPr>
          <w:p w:rsidR="00AA1630" w:rsidRPr="00AA1630" w:rsidP="00AA1630" w14:paraId="6C61D924" w14:textId="77777777">
            <w:pPr>
              <w:spacing w:line="259" w:lineRule="auto"/>
              <w:rPr>
                <w:rFonts w:eastAsiaTheme="minorHAnsi"/>
                <w:b/>
                <w:szCs w:val="26"/>
              </w:rPr>
            </w:pPr>
            <w:r w:rsidRPr="00AA1630">
              <w:rPr>
                <w:rFonts w:eastAsiaTheme="minorHAnsi"/>
                <w:b/>
                <w:szCs w:val="26"/>
              </w:rPr>
              <w:t>Total Number of Responses (1)*(2)=(3)</w:t>
            </w:r>
          </w:p>
        </w:tc>
        <w:tc>
          <w:tcPr>
            <w:tcW w:w="672" w:type="pct"/>
            <w:shd w:val="clear" w:color="auto" w:fill="D9D9D9"/>
            <w:vAlign w:val="bottom"/>
          </w:tcPr>
          <w:p w:rsidR="00AA1630" w:rsidRPr="00AA1630" w:rsidP="00AA1630" w14:paraId="00D41E56" w14:textId="61D41942">
            <w:pPr>
              <w:spacing w:line="259" w:lineRule="auto"/>
              <w:rPr>
                <w:rFonts w:eastAsiaTheme="minorHAnsi"/>
                <w:b/>
                <w:szCs w:val="26"/>
              </w:rPr>
            </w:pPr>
            <w:r w:rsidRPr="00AA1630">
              <w:rPr>
                <w:rFonts w:eastAsiaTheme="minorHAnsi"/>
                <w:b/>
                <w:szCs w:val="26"/>
              </w:rPr>
              <w:t>Average Burden &amp; Cost Per Response</w:t>
            </w:r>
          </w:p>
          <w:p w:rsidR="00AA1630" w:rsidRPr="00AA1630" w:rsidP="00AA1630" w14:paraId="649C7E37" w14:textId="77777777">
            <w:pPr>
              <w:spacing w:line="259" w:lineRule="auto"/>
              <w:rPr>
                <w:rFonts w:eastAsiaTheme="minorHAnsi"/>
                <w:b/>
                <w:szCs w:val="26"/>
              </w:rPr>
            </w:pPr>
            <w:r w:rsidRPr="00AA1630">
              <w:rPr>
                <w:rFonts w:eastAsiaTheme="minorHAnsi"/>
                <w:b/>
                <w:szCs w:val="26"/>
              </w:rPr>
              <w:t>(4)</w:t>
            </w:r>
          </w:p>
        </w:tc>
        <w:tc>
          <w:tcPr>
            <w:tcW w:w="830" w:type="pct"/>
            <w:shd w:val="clear" w:color="auto" w:fill="D9D9D9"/>
            <w:vAlign w:val="bottom"/>
          </w:tcPr>
          <w:p w:rsidR="00AA1630" w:rsidRPr="00AA1630" w:rsidP="00AA1630" w14:paraId="62A2EDEE" w14:textId="77777777">
            <w:pPr>
              <w:spacing w:line="259" w:lineRule="auto"/>
              <w:rPr>
                <w:rFonts w:eastAsiaTheme="minorHAnsi"/>
                <w:b/>
                <w:szCs w:val="26"/>
              </w:rPr>
            </w:pPr>
            <w:r w:rsidRPr="00AA1630">
              <w:rPr>
                <w:rFonts w:eastAsiaTheme="minorHAnsi"/>
                <w:b/>
                <w:szCs w:val="26"/>
              </w:rPr>
              <w:t>Total Annual Burden Hours (Total Annual Cost)</w:t>
            </w:r>
          </w:p>
          <w:p w:rsidR="00AA1630" w:rsidRPr="00AA1630" w:rsidP="00AA1630" w14:paraId="1F8EA29F" w14:textId="77777777">
            <w:pPr>
              <w:spacing w:line="259" w:lineRule="auto"/>
              <w:rPr>
                <w:rFonts w:eastAsiaTheme="minorHAnsi"/>
                <w:b/>
                <w:szCs w:val="26"/>
              </w:rPr>
            </w:pPr>
            <w:r w:rsidRPr="00AA1630">
              <w:rPr>
                <w:rFonts w:eastAsiaTheme="minorHAnsi"/>
                <w:b/>
                <w:szCs w:val="26"/>
              </w:rPr>
              <w:t>(3)*(4)=(5)</w:t>
            </w:r>
          </w:p>
        </w:tc>
        <w:tc>
          <w:tcPr>
            <w:tcW w:w="743" w:type="pct"/>
            <w:shd w:val="clear" w:color="auto" w:fill="D9D9D9"/>
            <w:vAlign w:val="bottom"/>
          </w:tcPr>
          <w:p w:rsidR="00AA1630" w:rsidRPr="00AA1630" w:rsidP="00AA1630" w14:paraId="3E017B76" w14:textId="77777777">
            <w:pPr>
              <w:spacing w:line="259" w:lineRule="auto"/>
              <w:rPr>
                <w:rFonts w:eastAsiaTheme="minorHAnsi"/>
                <w:b/>
                <w:szCs w:val="26"/>
              </w:rPr>
            </w:pPr>
            <w:r w:rsidRPr="00AA1630">
              <w:rPr>
                <w:rFonts w:eastAsiaTheme="minorHAnsi"/>
                <w:b/>
                <w:szCs w:val="26"/>
              </w:rPr>
              <w:t>Cost per Respondent</w:t>
            </w:r>
          </w:p>
          <w:p w:rsidR="00AA1630" w:rsidRPr="00AA1630" w:rsidP="00AA1630" w14:paraId="59EA4591" w14:textId="77777777">
            <w:pPr>
              <w:spacing w:line="259" w:lineRule="auto"/>
              <w:rPr>
                <w:rFonts w:eastAsiaTheme="minorHAnsi"/>
                <w:b/>
                <w:szCs w:val="26"/>
              </w:rPr>
            </w:pPr>
            <w:r w:rsidRPr="00AA1630">
              <w:rPr>
                <w:rFonts w:eastAsiaTheme="minorHAnsi"/>
                <w:b/>
                <w:szCs w:val="26"/>
              </w:rPr>
              <w:t xml:space="preserve"> ($)</w:t>
            </w:r>
          </w:p>
          <w:p w:rsidR="00AA1630" w:rsidRPr="00AA1630" w:rsidP="00AA1630" w14:paraId="0B7BB481" w14:textId="77777777">
            <w:pPr>
              <w:spacing w:line="259" w:lineRule="auto"/>
              <w:rPr>
                <w:rFonts w:eastAsiaTheme="minorHAnsi"/>
                <w:b/>
                <w:szCs w:val="26"/>
              </w:rPr>
            </w:pPr>
            <w:r w:rsidRPr="00AA1630">
              <w:rPr>
                <w:rFonts w:eastAsiaTheme="minorHAnsi"/>
                <w:b/>
                <w:szCs w:val="26"/>
              </w:rPr>
              <w:t>(5)÷(1)</w:t>
            </w:r>
          </w:p>
        </w:tc>
      </w:tr>
      <w:tr w14:paraId="6AAC6469" w14:textId="77777777" w:rsidTr="008D2AE7">
        <w:tblPrEx>
          <w:tblW w:w="5511" w:type="pct"/>
          <w:tblInd w:w="-72" w:type="dxa"/>
          <w:tblLook w:val="01E0"/>
        </w:tblPrEx>
        <w:trPr>
          <w:cantSplit/>
          <w:trHeight w:val="2177"/>
        </w:trPr>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rsidR="00AA1630" w:rsidRPr="00AA1630" w:rsidP="00AA1630" w14:paraId="5B9AAFA5" w14:textId="77777777">
            <w:pPr>
              <w:spacing w:line="259" w:lineRule="auto"/>
              <w:jc w:val="right"/>
              <w:rPr>
                <w:rFonts w:eastAsiaTheme="minorHAnsi"/>
                <w:szCs w:val="26"/>
              </w:rPr>
            </w:pPr>
            <w:r w:rsidRPr="00AA1630">
              <w:rPr>
                <w:rFonts w:eastAsiaTheme="minorHAnsi"/>
                <w:szCs w:val="26"/>
              </w:rPr>
              <w:t>FERC-519 (FPA Section 203 Filings)</w:t>
            </w:r>
            <w:r>
              <w:rPr>
                <w:rFonts w:eastAsiaTheme="minorHAnsi"/>
                <w:b/>
                <w:szCs w:val="26"/>
                <w:vertAlign w:val="superscript"/>
              </w:rPr>
              <w:footnoteReference w:id="6"/>
            </w:r>
          </w:p>
        </w:tc>
        <w:tc>
          <w:tcPr>
            <w:tcW w:w="792" w:type="pct"/>
            <w:tcBorders>
              <w:top w:val="single" w:sz="4" w:space="0" w:color="auto"/>
              <w:left w:val="single" w:sz="4" w:space="0" w:color="auto"/>
              <w:bottom w:val="single" w:sz="4" w:space="0" w:color="auto"/>
              <w:right w:val="single" w:sz="4" w:space="0" w:color="auto"/>
            </w:tcBorders>
            <w:shd w:val="clear" w:color="auto" w:fill="auto"/>
            <w:vAlign w:val="bottom"/>
          </w:tcPr>
          <w:p w:rsidR="00AA1630" w:rsidRPr="00AA1630" w:rsidP="00AA1630" w14:paraId="58513FBB" w14:textId="3DA1D3AA">
            <w:pPr>
              <w:spacing w:line="259" w:lineRule="auto"/>
              <w:jc w:val="right"/>
              <w:rPr>
                <w:rFonts w:eastAsiaTheme="minorHAnsi"/>
                <w:szCs w:val="26"/>
              </w:rPr>
            </w:pPr>
            <w:r>
              <w:rPr>
                <w:rFonts w:eastAsiaTheme="minorHAnsi"/>
                <w:szCs w:val="26"/>
              </w:rPr>
              <w:t>1</w:t>
            </w:r>
            <w:r w:rsidR="006C0BF6">
              <w:rPr>
                <w:rFonts w:eastAsiaTheme="minorHAnsi"/>
                <w:szCs w:val="26"/>
              </w:rPr>
              <w:t>3</w:t>
            </w:r>
            <w:r w:rsidR="008E5B0E">
              <w:rPr>
                <w:rFonts w:eastAsiaTheme="minorHAnsi"/>
                <w:szCs w:val="26"/>
              </w:rPr>
              <w:t>4</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AA1630" w:rsidRPr="00AA1630" w:rsidP="00AA1630" w14:paraId="4006CD43" w14:textId="77777777">
            <w:pPr>
              <w:spacing w:line="259" w:lineRule="auto"/>
              <w:jc w:val="right"/>
              <w:rPr>
                <w:rFonts w:eastAsiaTheme="minorHAnsi"/>
                <w:szCs w:val="26"/>
              </w:rPr>
            </w:pPr>
            <w:r w:rsidRPr="00AA1630">
              <w:rPr>
                <w:rFonts w:eastAsiaTheme="minorHAnsi"/>
                <w:szCs w:val="26"/>
              </w:rPr>
              <w:t>1</w:t>
            </w:r>
          </w:p>
        </w:tc>
        <w:tc>
          <w:tcPr>
            <w:tcW w:w="681" w:type="pct"/>
            <w:tcBorders>
              <w:top w:val="single" w:sz="4" w:space="0" w:color="auto"/>
              <w:left w:val="single" w:sz="4" w:space="0" w:color="auto"/>
              <w:bottom w:val="single" w:sz="4" w:space="0" w:color="auto"/>
              <w:right w:val="single" w:sz="4" w:space="0" w:color="auto"/>
            </w:tcBorders>
            <w:shd w:val="clear" w:color="auto" w:fill="auto"/>
            <w:vAlign w:val="bottom"/>
          </w:tcPr>
          <w:p w:rsidR="00AA1630" w:rsidRPr="00AA1630" w:rsidP="00AA1630" w14:paraId="5FFD657F" w14:textId="797F6E43">
            <w:pPr>
              <w:spacing w:line="259" w:lineRule="auto"/>
              <w:jc w:val="right"/>
              <w:rPr>
                <w:rFonts w:eastAsiaTheme="minorHAnsi"/>
                <w:szCs w:val="26"/>
              </w:rPr>
            </w:pPr>
            <w:r>
              <w:rPr>
                <w:rFonts w:eastAsiaTheme="minorHAnsi"/>
                <w:szCs w:val="26"/>
              </w:rPr>
              <w:t>1</w:t>
            </w:r>
            <w:r w:rsidR="006C0BF6">
              <w:rPr>
                <w:rFonts w:eastAsiaTheme="minorHAnsi"/>
                <w:szCs w:val="26"/>
              </w:rPr>
              <w:t>3</w:t>
            </w:r>
            <w:r w:rsidR="008E5B0E">
              <w:rPr>
                <w:rFonts w:eastAsiaTheme="minorHAnsi"/>
                <w:szCs w:val="26"/>
              </w:rPr>
              <w:t>4</w:t>
            </w:r>
          </w:p>
        </w:tc>
        <w:tc>
          <w:tcPr>
            <w:tcW w:w="672" w:type="pct"/>
            <w:tcBorders>
              <w:top w:val="single" w:sz="4" w:space="0" w:color="auto"/>
              <w:left w:val="single" w:sz="4" w:space="0" w:color="auto"/>
              <w:bottom w:val="single" w:sz="4" w:space="0" w:color="auto"/>
              <w:right w:val="single" w:sz="4" w:space="0" w:color="auto"/>
            </w:tcBorders>
            <w:shd w:val="clear" w:color="auto" w:fill="auto"/>
            <w:vAlign w:val="bottom"/>
          </w:tcPr>
          <w:p w:rsidR="00AA1630" w:rsidRPr="00AA1630" w:rsidP="00AA1630" w14:paraId="172B9108" w14:textId="1BD9AB67">
            <w:pPr>
              <w:spacing w:line="259" w:lineRule="auto"/>
              <w:jc w:val="right"/>
              <w:rPr>
                <w:rFonts w:eastAsiaTheme="minorHAnsi"/>
                <w:szCs w:val="26"/>
              </w:rPr>
            </w:pPr>
            <w:r>
              <w:rPr>
                <w:rFonts w:eastAsiaTheme="minorHAnsi"/>
                <w:szCs w:val="26"/>
              </w:rPr>
              <w:t>324.43</w:t>
            </w:r>
            <w:r w:rsidRPr="00AA1630">
              <w:rPr>
                <w:rFonts w:eastAsiaTheme="minorHAnsi"/>
                <w:szCs w:val="26"/>
              </w:rPr>
              <w:t xml:space="preserve"> hr.</w:t>
            </w:r>
            <w:r>
              <w:rPr>
                <w:rFonts w:eastAsiaTheme="minorHAnsi"/>
                <w:szCs w:val="26"/>
                <w:vertAlign w:val="superscript"/>
              </w:rPr>
              <w:footnoteReference w:id="7"/>
            </w:r>
            <w:r w:rsidRPr="00AA1630">
              <w:rPr>
                <w:rFonts w:eastAsiaTheme="minorHAnsi"/>
                <w:szCs w:val="26"/>
              </w:rPr>
              <w:t xml:space="preserve">; </w:t>
            </w:r>
          </w:p>
          <w:p w:rsidR="00AA1630" w:rsidRPr="00AA1630" w:rsidP="00AA1630" w14:paraId="7D6795DA" w14:textId="3B31EC94">
            <w:pPr>
              <w:spacing w:line="259" w:lineRule="auto"/>
              <w:jc w:val="right"/>
              <w:rPr>
                <w:rFonts w:eastAsiaTheme="minorHAnsi"/>
                <w:szCs w:val="26"/>
              </w:rPr>
            </w:pPr>
            <w:r w:rsidRPr="00AA1630">
              <w:rPr>
                <w:rFonts w:eastAsiaTheme="minorHAnsi"/>
                <w:szCs w:val="26"/>
              </w:rPr>
              <w:t>$</w:t>
            </w:r>
            <w:r w:rsidRPr="0059196D" w:rsidR="0059196D">
              <w:rPr>
                <w:rFonts w:eastAsiaTheme="minorHAnsi"/>
                <w:szCs w:val="26"/>
              </w:rPr>
              <w:t>32,443</w:t>
            </w:r>
          </w:p>
        </w:tc>
        <w:tc>
          <w:tcPr>
            <w:tcW w:w="830" w:type="pct"/>
            <w:tcBorders>
              <w:top w:val="single" w:sz="4" w:space="0" w:color="auto"/>
              <w:left w:val="single" w:sz="4" w:space="0" w:color="auto"/>
              <w:bottom w:val="single" w:sz="4" w:space="0" w:color="auto"/>
              <w:right w:val="single" w:sz="4" w:space="0" w:color="auto"/>
            </w:tcBorders>
            <w:shd w:val="clear" w:color="auto" w:fill="auto"/>
            <w:vAlign w:val="bottom"/>
          </w:tcPr>
          <w:p w:rsidR="00AA1630" w:rsidRPr="00AA1630" w:rsidP="00AA1630" w14:paraId="09ECC402" w14:textId="0FB27683">
            <w:pPr>
              <w:spacing w:line="259" w:lineRule="auto"/>
              <w:jc w:val="right"/>
              <w:rPr>
                <w:rFonts w:eastAsiaTheme="minorHAnsi"/>
                <w:szCs w:val="26"/>
              </w:rPr>
            </w:pPr>
            <w:r w:rsidRPr="003C03DB">
              <w:rPr>
                <w:rFonts w:eastAsiaTheme="minorHAnsi"/>
                <w:szCs w:val="26"/>
              </w:rPr>
              <w:t>43,473.62</w:t>
            </w:r>
            <w:r>
              <w:rPr>
                <w:rFonts w:eastAsiaTheme="minorHAnsi"/>
                <w:szCs w:val="26"/>
              </w:rPr>
              <w:t xml:space="preserve"> </w:t>
            </w:r>
            <w:r w:rsidRPr="00AA1630">
              <w:rPr>
                <w:rFonts w:eastAsiaTheme="minorHAnsi"/>
                <w:szCs w:val="26"/>
              </w:rPr>
              <w:t>hrs.; $</w:t>
            </w:r>
            <w:r w:rsidRPr="0029537D" w:rsidR="0029537D">
              <w:rPr>
                <w:rFonts w:eastAsiaTheme="minorHAnsi"/>
                <w:szCs w:val="26"/>
              </w:rPr>
              <w:t>4,347,362</w:t>
            </w:r>
          </w:p>
        </w:tc>
        <w:tc>
          <w:tcPr>
            <w:tcW w:w="743" w:type="pct"/>
            <w:shd w:val="clear" w:color="auto" w:fill="auto"/>
            <w:vAlign w:val="bottom"/>
          </w:tcPr>
          <w:p w:rsidR="00AA1630" w:rsidRPr="00AA1630" w:rsidP="00AA1630" w14:paraId="5B284549" w14:textId="77777777">
            <w:pPr>
              <w:spacing w:line="259" w:lineRule="auto"/>
              <w:jc w:val="right"/>
              <w:rPr>
                <w:rFonts w:eastAsiaTheme="minorHAnsi"/>
                <w:szCs w:val="26"/>
              </w:rPr>
            </w:pPr>
          </w:p>
          <w:p w:rsidR="00AA1630" w:rsidRPr="00AA1630" w:rsidP="00AA1630" w14:paraId="32F6E314" w14:textId="77777777">
            <w:pPr>
              <w:spacing w:line="259" w:lineRule="auto"/>
              <w:jc w:val="right"/>
              <w:rPr>
                <w:rFonts w:eastAsiaTheme="minorHAnsi"/>
                <w:szCs w:val="26"/>
              </w:rPr>
            </w:pPr>
          </w:p>
          <w:p w:rsidR="00AA1630" w:rsidRPr="00AA1630" w:rsidP="00AA1630" w14:paraId="44723CC6" w14:textId="77777777">
            <w:pPr>
              <w:spacing w:line="259" w:lineRule="auto"/>
              <w:jc w:val="right"/>
              <w:rPr>
                <w:rFonts w:eastAsiaTheme="minorHAnsi"/>
                <w:szCs w:val="26"/>
              </w:rPr>
            </w:pPr>
          </w:p>
          <w:p w:rsidR="00AA1630" w:rsidRPr="00AA1630" w:rsidP="00AA1630" w14:paraId="6D924ED8" w14:textId="77777777">
            <w:pPr>
              <w:spacing w:line="259" w:lineRule="auto"/>
              <w:jc w:val="right"/>
              <w:rPr>
                <w:rFonts w:eastAsiaTheme="minorHAnsi"/>
                <w:szCs w:val="26"/>
              </w:rPr>
            </w:pPr>
          </w:p>
          <w:p w:rsidR="00AA1630" w:rsidRPr="00AA1630" w:rsidP="00AA1630" w14:paraId="20E7A949" w14:textId="77777777">
            <w:pPr>
              <w:spacing w:line="259" w:lineRule="auto"/>
              <w:jc w:val="right"/>
              <w:rPr>
                <w:rFonts w:eastAsiaTheme="minorHAnsi"/>
                <w:szCs w:val="26"/>
              </w:rPr>
            </w:pPr>
          </w:p>
          <w:p w:rsidR="00AA1630" w:rsidRPr="00AA1630" w:rsidP="00AA1630" w14:paraId="72560FE3" w14:textId="758CB194">
            <w:pPr>
              <w:spacing w:line="259" w:lineRule="auto"/>
              <w:jc w:val="right"/>
              <w:rPr>
                <w:rFonts w:eastAsiaTheme="minorHAnsi"/>
                <w:szCs w:val="26"/>
              </w:rPr>
            </w:pPr>
            <w:r w:rsidRPr="00AA1630">
              <w:rPr>
                <w:rFonts w:eastAsiaTheme="minorHAnsi"/>
                <w:szCs w:val="26"/>
              </w:rPr>
              <w:t>$</w:t>
            </w:r>
            <w:r w:rsidRPr="0059196D" w:rsidR="0029537D">
              <w:rPr>
                <w:rFonts w:eastAsiaTheme="minorHAnsi"/>
                <w:szCs w:val="26"/>
              </w:rPr>
              <w:t>32,443</w:t>
            </w:r>
          </w:p>
        </w:tc>
      </w:tr>
    </w:tbl>
    <w:p w:rsidR="00786737" w:rsidRPr="00786737" w:rsidP="00786737" w14:paraId="6BB3C9CA" w14:textId="109FC0EB">
      <w:pPr>
        <w:pStyle w:val="ListParagraph"/>
        <w:numPr>
          <w:ilvl w:val="0"/>
          <w:numId w:val="16"/>
        </w:numPr>
        <w:spacing w:line="480" w:lineRule="auto"/>
        <w:rPr>
          <w:b/>
          <w:bCs/>
          <w:szCs w:val="26"/>
        </w:rPr>
      </w:pPr>
      <w:bookmarkStart w:id="5" w:name="_Hlk83768934"/>
      <w:r w:rsidRPr="00786737">
        <w:rPr>
          <w:b/>
          <w:bCs/>
          <w:szCs w:val="26"/>
        </w:rPr>
        <w:t>FERC-520</w:t>
      </w:r>
    </w:p>
    <w:p w:rsidR="00786737" w:rsidP="00EF165E" w14:paraId="26120BFC" w14:textId="50D0FE0E">
      <w:pPr>
        <w:spacing w:line="480" w:lineRule="auto"/>
        <w:rPr>
          <w:szCs w:val="26"/>
        </w:rPr>
      </w:pPr>
      <w:r w:rsidRPr="00BE7A16">
        <w:rPr>
          <w:i/>
          <w:iCs/>
          <w:szCs w:val="26"/>
        </w:rPr>
        <w:t>Title:</w:t>
      </w:r>
      <w:r w:rsidRPr="00BE7A16">
        <w:rPr>
          <w:rFonts w:eastAsiaTheme="minorHAnsi"/>
          <w:szCs w:val="26"/>
        </w:rPr>
        <w:t xml:space="preserve"> </w:t>
      </w:r>
      <w:r w:rsidRPr="00BE7A16">
        <w:rPr>
          <w:szCs w:val="26"/>
        </w:rPr>
        <w:t>FERC-</w:t>
      </w:r>
      <w:r w:rsidR="00EF165E">
        <w:rPr>
          <w:szCs w:val="26"/>
        </w:rPr>
        <w:t>520</w:t>
      </w:r>
      <w:r w:rsidRPr="00BE7A16">
        <w:rPr>
          <w:szCs w:val="26"/>
        </w:rPr>
        <w:t xml:space="preserve">, </w:t>
      </w:r>
      <w:r w:rsidRPr="00EF165E" w:rsidR="00EF165E">
        <w:rPr>
          <w:szCs w:val="26"/>
        </w:rPr>
        <w:t>Application for Authority to Hold Interlocking Directorate Positions</w:t>
      </w:r>
      <w:r w:rsidR="00EF165E">
        <w:rPr>
          <w:szCs w:val="26"/>
        </w:rPr>
        <w:t xml:space="preserve"> </w:t>
      </w:r>
      <w:r w:rsidRPr="00342537">
        <w:rPr>
          <w:i/>
          <w:szCs w:val="26"/>
        </w:rPr>
        <w:t>OMB Control No.:</w:t>
      </w:r>
      <w:r w:rsidRPr="00342537">
        <w:rPr>
          <w:szCs w:val="26"/>
        </w:rPr>
        <w:t xml:space="preserve"> 1902-0</w:t>
      </w:r>
      <w:r w:rsidR="00EF165E">
        <w:rPr>
          <w:szCs w:val="26"/>
        </w:rPr>
        <w:t>083</w:t>
      </w:r>
    </w:p>
    <w:p w:rsidR="00786737" w:rsidRPr="00342537" w:rsidP="00786737" w14:paraId="1D6297BE" w14:textId="01B2A9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970063">
        <w:rPr>
          <w:i/>
          <w:szCs w:val="26"/>
        </w:rPr>
        <w:t>Type of Request:</w:t>
      </w:r>
      <w:r w:rsidRPr="00970063">
        <w:rPr>
          <w:szCs w:val="26"/>
        </w:rPr>
        <w:t xml:space="preserve"> Three-year extension of the FERC-5</w:t>
      </w:r>
      <w:r w:rsidR="00EF165E">
        <w:rPr>
          <w:szCs w:val="26"/>
        </w:rPr>
        <w:t>20</w:t>
      </w:r>
      <w:r w:rsidRPr="00970063">
        <w:rPr>
          <w:szCs w:val="26"/>
        </w:rPr>
        <w:t xml:space="preserve"> information collection requirements with no changes to the current reporting requirements. </w:t>
      </w:r>
    </w:p>
    <w:p w:rsidR="00DF3C0E" w:rsidRPr="00DF3C0E" w:rsidP="00DF3C0E" w14:paraId="5BF07F6F" w14:textId="77777777">
      <w:pPr>
        <w:spacing w:line="480" w:lineRule="auto"/>
        <w:rPr>
          <w:szCs w:val="26"/>
        </w:rPr>
      </w:pPr>
      <w:r w:rsidRPr="00342537">
        <w:rPr>
          <w:i/>
          <w:szCs w:val="26"/>
        </w:rPr>
        <w:t>Abstract:</w:t>
      </w:r>
      <w:r w:rsidRPr="00342537">
        <w:rPr>
          <w:szCs w:val="26"/>
        </w:rPr>
        <w:t xml:space="preserve"> </w:t>
      </w:r>
      <w:r w:rsidRPr="008C16A1">
        <w:rPr>
          <w:szCs w:val="26"/>
        </w:rPr>
        <w:t xml:space="preserve"> </w:t>
      </w:r>
      <w:r w:rsidRPr="00DF3C0E">
        <w:rPr>
          <w:szCs w:val="26"/>
        </w:rPr>
        <w:t>FERC Form No. 520 is an application requesting FERC authorization for officers and directors of regulated public utilities to simultaneously hold positions of officers and directors of certain other entities.  Section 305(b)(1) of the Federal Power Act (FPA)</w:t>
      </w:r>
      <w:r>
        <w:rPr>
          <w:bCs/>
          <w:szCs w:val="26"/>
          <w:vertAlign w:val="superscript"/>
        </w:rPr>
        <w:footnoteReference w:id="8"/>
      </w:r>
      <w:r w:rsidRPr="00DF3C0E">
        <w:rPr>
          <w:szCs w:val="26"/>
        </w:rPr>
        <w:t xml:space="preserve"> prohibits the holding of specific interlocking positions unless the Commission has authorized the holding of such interlocks upon a determination that neither public nor private interests will be adversely affected.</w:t>
      </w:r>
    </w:p>
    <w:p w:rsidR="00786737" w:rsidRPr="001A50A7" w:rsidP="00EA70FF" w14:paraId="6A641BA7" w14:textId="3B6651D4">
      <w:pPr>
        <w:spacing w:line="480" w:lineRule="auto"/>
        <w:ind w:firstLine="720"/>
        <w:rPr>
          <w:szCs w:val="26"/>
        </w:rPr>
      </w:pPr>
      <w:r w:rsidRPr="00DF3C0E">
        <w:rPr>
          <w:szCs w:val="26"/>
        </w:rPr>
        <w:t xml:space="preserve">FERC-520 consists of three information collection activities.  A “full application,” in accordance with 18 CFR 45.8, provides detailed information about the positions for which authorization is sought, including a description of duties.  Submission of a more streamlined “informational report,” in accordance with 18 CFR 45.9, is a condition for an automatic grant of authorization to hold interlocking directorates.  This automatic authorization is available only to certain types of officers and directors.  Finally, a “notice of change,” in accordance with 18 CFR 45.5, is required within 60 days after an officer or director resigns or withdraws from Commission-authorized interlocked positions or if the applicant is not re-elected or reappointed to the interlocked position.  However, no notice </w:t>
      </w:r>
      <w:r w:rsidRPr="00DF3C0E">
        <w:rPr>
          <w:szCs w:val="26"/>
        </w:rPr>
        <w:t>of change is required if the only change is:  (1) a resignation or withdrawal from fewer than all position held between or among affiliated public utilities; (2) a reelection or reappointment to a position that was previously authorized; or (3) holding a different or additional interlocking position that would qualify for automatic authorization under 18 CFR 45.9.</w:t>
      </w:r>
    </w:p>
    <w:p w:rsidR="00786737" w:rsidRPr="00342537" w:rsidP="00786737" w14:paraId="1D85C863" w14:textId="387921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Type of Respondents</w:t>
      </w:r>
      <w:r w:rsidRPr="00385FC5">
        <w:rPr>
          <w:i/>
          <w:szCs w:val="26"/>
        </w:rPr>
        <w:t xml:space="preserve">: </w:t>
      </w:r>
      <w:r w:rsidRPr="00187CA8" w:rsidR="00187CA8">
        <w:rPr>
          <w:szCs w:val="26"/>
        </w:rPr>
        <w:t>Officers and directors of public utilities seeking authorization to hold interlocking directorates.</w:t>
      </w:r>
    </w:p>
    <w:p w:rsidR="00786737" w:rsidP="00786737" w14:paraId="306534F7" w14:textId="371462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42537">
        <w:rPr>
          <w:i/>
          <w:szCs w:val="26"/>
        </w:rPr>
        <w:t>Estimate of Annual Burden</w:t>
      </w:r>
      <w:r w:rsidR="00984949">
        <w:rPr>
          <w:i/>
          <w:szCs w:val="26"/>
        </w:rPr>
        <w:t>:</w:t>
      </w:r>
      <w:r>
        <w:rPr>
          <w:b/>
          <w:i/>
          <w:szCs w:val="26"/>
          <w:vertAlign w:val="superscript"/>
        </w:rPr>
        <w:footnoteReference w:id="9"/>
      </w:r>
      <w:r w:rsidRPr="00342537">
        <w:rPr>
          <w:i/>
          <w:szCs w:val="26"/>
        </w:rPr>
        <w:t xml:space="preserve"> </w:t>
      </w:r>
      <w:r w:rsidRPr="00342537">
        <w:rPr>
          <w:szCs w:val="26"/>
        </w:rPr>
        <w:t>The Commission estimates the total annual burden and cost</w:t>
      </w:r>
      <w:r>
        <w:rPr>
          <w:b/>
          <w:szCs w:val="26"/>
          <w:vertAlign w:val="superscript"/>
        </w:rPr>
        <w:footnoteReference w:id="10"/>
      </w:r>
      <w:r w:rsidRPr="00342537">
        <w:rPr>
          <w:szCs w:val="26"/>
          <w:vertAlign w:val="superscript"/>
        </w:rPr>
        <w:t xml:space="preserve"> </w:t>
      </w:r>
      <w:r w:rsidRPr="00342537">
        <w:rPr>
          <w:szCs w:val="26"/>
        </w:rPr>
        <w:t>for this information collection as follows:</w:t>
      </w:r>
      <w:bookmarkEnd w:id="5"/>
      <w:r w:rsidRPr="00342537">
        <w:rPr>
          <w:szCs w:val="26"/>
        </w:rPr>
        <w:t xml:space="preserve"> </w:t>
      </w:r>
    </w:p>
    <w:tbl>
      <w:tblPr>
        <w:tblW w:w="5487"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7"/>
        <w:gridCol w:w="1632"/>
        <w:gridCol w:w="1531"/>
        <w:gridCol w:w="1359"/>
        <w:gridCol w:w="1340"/>
        <w:gridCol w:w="1221"/>
        <w:gridCol w:w="1531"/>
      </w:tblGrid>
      <w:tr w14:paraId="4F1C81AA" w14:textId="77777777" w:rsidTr="00264D56">
        <w:tblPrEx>
          <w:tblW w:w="5487"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shd w:val="clear" w:color="auto" w:fill="D9D9D9"/>
          </w:tcPr>
          <w:p w:rsidR="00264D56" w:rsidP="00AB1FCC" w14:paraId="2AF9E03E" w14:textId="085F6913">
            <w:pPr>
              <w:jc w:val="center"/>
              <w:rPr>
                <w:b/>
              </w:rPr>
            </w:pPr>
            <w:r>
              <w:rPr>
                <w:b/>
              </w:rPr>
              <w:t xml:space="preserve">FERC-520: </w:t>
            </w:r>
            <w:r w:rsidRPr="00264D56">
              <w:rPr>
                <w:b/>
                <w:bCs/>
                <w:szCs w:val="26"/>
              </w:rPr>
              <w:t>Application for Authority to Hold Interlocking Directorate Positions</w:t>
            </w:r>
          </w:p>
        </w:tc>
      </w:tr>
      <w:tr w14:paraId="7F701352" w14:textId="77777777" w:rsidTr="00264D56">
        <w:tblPrEx>
          <w:tblW w:w="5487" w:type="pct"/>
          <w:tblInd w:w="-455" w:type="dxa"/>
          <w:tblLayout w:type="fixed"/>
          <w:tblLook w:val="01E0"/>
        </w:tblPrEx>
        <w:trPr>
          <w:cantSplit/>
        </w:trPr>
        <w:tc>
          <w:tcPr>
            <w:tcW w:w="802" w:type="pct"/>
            <w:shd w:val="clear" w:color="auto" w:fill="D9D9D9"/>
          </w:tcPr>
          <w:p w:rsidR="004A32F1" w:rsidRPr="00FD5C11" w:rsidP="00AB1FCC" w14:paraId="399099E1" w14:textId="116D3ED5">
            <w:pPr>
              <w:jc w:val="center"/>
              <w:rPr>
                <w:b/>
              </w:rPr>
            </w:pPr>
          </w:p>
        </w:tc>
        <w:tc>
          <w:tcPr>
            <w:tcW w:w="795" w:type="pct"/>
            <w:shd w:val="clear" w:color="auto" w:fill="D9D9D9"/>
            <w:vAlign w:val="bottom"/>
          </w:tcPr>
          <w:p w:rsidR="004A32F1" w:rsidRPr="00FD5C11" w:rsidP="00AB1FCC" w14:paraId="7B6C2F1E" w14:textId="77777777">
            <w:pPr>
              <w:jc w:val="center"/>
              <w:rPr>
                <w:b/>
              </w:rPr>
            </w:pPr>
            <w:r w:rsidRPr="00FD5C11">
              <w:rPr>
                <w:b/>
              </w:rPr>
              <w:t>A.</w:t>
            </w:r>
          </w:p>
          <w:p w:rsidR="004A32F1" w:rsidRPr="00FD5C11" w:rsidP="00AB1FCC" w14:paraId="00587EB3" w14:textId="77777777">
            <w:pPr>
              <w:jc w:val="center"/>
              <w:rPr>
                <w:b/>
              </w:rPr>
            </w:pPr>
            <w:r w:rsidRPr="00FD5C11">
              <w:rPr>
                <w:b/>
              </w:rPr>
              <w:t>Number of Respondents</w:t>
            </w:r>
            <w:r w:rsidRPr="00FD5C11">
              <w:rPr>
                <w:b/>
              </w:rPr>
              <w:br/>
            </w:r>
          </w:p>
        </w:tc>
        <w:tc>
          <w:tcPr>
            <w:tcW w:w="746" w:type="pct"/>
            <w:shd w:val="clear" w:color="auto" w:fill="D9D9D9"/>
            <w:vAlign w:val="bottom"/>
          </w:tcPr>
          <w:p w:rsidR="004A32F1" w:rsidRPr="00FD5C11" w:rsidP="00AB1FCC" w14:paraId="5E01429C" w14:textId="77777777">
            <w:pPr>
              <w:jc w:val="center"/>
              <w:rPr>
                <w:b/>
              </w:rPr>
            </w:pPr>
            <w:r w:rsidRPr="00FD5C11">
              <w:rPr>
                <w:b/>
              </w:rPr>
              <w:t>B.</w:t>
            </w:r>
          </w:p>
          <w:p w:rsidR="004A32F1" w:rsidRPr="00FD5C11" w:rsidP="00AB1FCC" w14:paraId="7165539B" w14:textId="77777777">
            <w:pPr>
              <w:jc w:val="center"/>
              <w:rPr>
                <w:b/>
              </w:rPr>
            </w:pPr>
            <w:r w:rsidRPr="00FD5C11">
              <w:rPr>
                <w:b/>
              </w:rPr>
              <w:t>Annual Number of Responses per Respondent</w:t>
            </w:r>
          </w:p>
          <w:p w:rsidR="004A32F1" w:rsidRPr="00FD5C11" w:rsidP="00AB1FCC" w14:paraId="57454FFA" w14:textId="77777777">
            <w:pPr>
              <w:jc w:val="center"/>
              <w:rPr>
                <w:b/>
              </w:rPr>
            </w:pPr>
          </w:p>
        </w:tc>
        <w:tc>
          <w:tcPr>
            <w:tcW w:w="662" w:type="pct"/>
            <w:shd w:val="clear" w:color="auto" w:fill="D9D9D9"/>
            <w:vAlign w:val="bottom"/>
          </w:tcPr>
          <w:p w:rsidR="004A32F1" w:rsidRPr="00FD5C11" w:rsidP="00AB1FCC" w14:paraId="191A0E9A" w14:textId="77777777">
            <w:pPr>
              <w:jc w:val="center"/>
              <w:rPr>
                <w:b/>
              </w:rPr>
            </w:pPr>
            <w:r w:rsidRPr="00FD5C11">
              <w:rPr>
                <w:b/>
              </w:rPr>
              <w:t>C.</w:t>
            </w:r>
          </w:p>
          <w:p w:rsidR="004A32F1" w:rsidRPr="00FD5C11" w:rsidP="00AB1FCC" w14:paraId="17AEE930" w14:textId="77777777">
            <w:pPr>
              <w:jc w:val="center"/>
              <w:rPr>
                <w:b/>
              </w:rPr>
            </w:pPr>
            <w:r w:rsidRPr="00FD5C11">
              <w:rPr>
                <w:b/>
              </w:rPr>
              <w:t>Total Number of Responses (Column A x Column B)</w:t>
            </w:r>
          </w:p>
        </w:tc>
        <w:tc>
          <w:tcPr>
            <w:tcW w:w="1342" w:type="dxa"/>
            <w:shd w:val="clear" w:color="auto" w:fill="D9D9D9"/>
            <w:vAlign w:val="bottom"/>
          </w:tcPr>
          <w:p w:rsidR="004A32F1" w:rsidRPr="00FD5C11" w:rsidP="00AB1FCC" w14:paraId="2C34959B" w14:textId="77777777">
            <w:pPr>
              <w:jc w:val="center"/>
              <w:rPr>
                <w:b/>
              </w:rPr>
            </w:pPr>
            <w:r w:rsidRPr="00FD5C11">
              <w:rPr>
                <w:b/>
              </w:rPr>
              <w:t>D.</w:t>
            </w:r>
          </w:p>
          <w:p w:rsidR="004A32F1" w:rsidRPr="00FD5C11" w:rsidP="00AB1FCC" w14:paraId="785C1380" w14:textId="04B850E1">
            <w:pPr>
              <w:jc w:val="center"/>
              <w:rPr>
                <w:b/>
              </w:rPr>
            </w:pPr>
            <w:r w:rsidRPr="00FD5C11">
              <w:rPr>
                <w:b/>
              </w:rPr>
              <w:t>Average Burden &amp; Cost Per Response</w:t>
            </w:r>
          </w:p>
        </w:tc>
        <w:tc>
          <w:tcPr>
            <w:tcW w:w="1221" w:type="dxa"/>
            <w:shd w:val="clear" w:color="auto" w:fill="D9D9D9"/>
            <w:vAlign w:val="bottom"/>
          </w:tcPr>
          <w:p w:rsidR="004A32F1" w:rsidRPr="00FD5C11" w:rsidP="00AB1FCC" w14:paraId="7F651E8A" w14:textId="77777777">
            <w:pPr>
              <w:jc w:val="center"/>
              <w:rPr>
                <w:b/>
              </w:rPr>
            </w:pPr>
            <w:r w:rsidRPr="00FD5C11">
              <w:rPr>
                <w:b/>
              </w:rPr>
              <w:t>E.</w:t>
            </w:r>
          </w:p>
          <w:p w:rsidR="004A32F1" w:rsidRPr="00FD5C11" w:rsidP="00AB1FCC" w14:paraId="65519CE0" w14:textId="77777777">
            <w:pPr>
              <w:jc w:val="center"/>
              <w:rPr>
                <w:b/>
              </w:rPr>
            </w:pPr>
            <w:r w:rsidRPr="00FD5C11">
              <w:rPr>
                <w:b/>
              </w:rPr>
              <w:t>Total Annual Burden Hours &amp; Total Annual Cost</w:t>
            </w:r>
          </w:p>
          <w:p w:rsidR="004A32F1" w:rsidRPr="00FD5C11" w:rsidP="00AB1FCC" w14:paraId="06FC2A40" w14:textId="77777777">
            <w:pPr>
              <w:jc w:val="center"/>
              <w:rPr>
                <w:b/>
              </w:rPr>
            </w:pPr>
            <w:r w:rsidRPr="00FD5C11">
              <w:rPr>
                <w:b/>
              </w:rPr>
              <w:t>(Column C x Column D)</w:t>
            </w:r>
          </w:p>
        </w:tc>
        <w:tc>
          <w:tcPr>
            <w:tcW w:w="746" w:type="pct"/>
            <w:shd w:val="clear" w:color="auto" w:fill="D9D9D9"/>
            <w:vAlign w:val="bottom"/>
          </w:tcPr>
          <w:p w:rsidR="004A32F1" w:rsidP="00AB1FCC" w14:paraId="12ED89CE" w14:textId="77777777">
            <w:pPr>
              <w:jc w:val="center"/>
              <w:rPr>
                <w:b/>
              </w:rPr>
            </w:pPr>
            <w:r>
              <w:rPr>
                <w:b/>
              </w:rPr>
              <w:t>F.</w:t>
            </w:r>
          </w:p>
          <w:p w:rsidR="004A32F1" w:rsidP="00AB1FCC" w14:paraId="3DCC7249" w14:textId="77777777">
            <w:pPr>
              <w:jc w:val="center"/>
              <w:rPr>
                <w:b/>
              </w:rPr>
            </w:pPr>
            <w:r>
              <w:rPr>
                <w:b/>
              </w:rPr>
              <w:t>Cost per Respondent</w:t>
            </w:r>
          </w:p>
          <w:p w:rsidR="004A32F1" w:rsidRPr="00FD5C11" w:rsidP="00AB1FCC" w14:paraId="67493B2D" w14:textId="77777777">
            <w:pPr>
              <w:jc w:val="center"/>
              <w:rPr>
                <w:b/>
              </w:rPr>
            </w:pPr>
            <w:r>
              <w:rPr>
                <w:b/>
              </w:rPr>
              <w:t>(Column E ÷ Column A)</w:t>
            </w:r>
          </w:p>
        </w:tc>
      </w:tr>
      <w:tr w14:paraId="5582027C" w14:textId="77777777" w:rsidTr="00264D56">
        <w:tblPrEx>
          <w:tblW w:w="5487" w:type="pct"/>
          <w:tblInd w:w="-455" w:type="dxa"/>
          <w:tblLayout w:type="fixed"/>
          <w:tblLook w:val="01E0"/>
        </w:tblPrEx>
        <w:trPr>
          <w:cantSplit/>
        </w:trPr>
        <w:tc>
          <w:tcPr>
            <w:tcW w:w="802" w:type="pct"/>
            <w:vAlign w:val="center"/>
          </w:tcPr>
          <w:p w:rsidR="004A32F1" w:rsidRPr="00FD5C11" w:rsidP="00AB1FCC" w14:paraId="09A2392A" w14:textId="77777777">
            <w:pPr>
              <w:jc w:val="center"/>
              <w:rPr>
                <w:rFonts w:eastAsia="Calibri"/>
                <w:szCs w:val="26"/>
              </w:rPr>
            </w:pPr>
            <w:r w:rsidRPr="00FD5C11">
              <w:rPr>
                <w:rFonts w:eastAsia="Calibri"/>
                <w:szCs w:val="26"/>
              </w:rPr>
              <w:t>Full</w:t>
            </w:r>
          </w:p>
          <w:p w:rsidR="004A32F1" w:rsidRPr="00FD5C11" w:rsidP="00AB1FCC" w14:paraId="2F77A3DA" w14:textId="77777777">
            <w:pPr>
              <w:jc w:val="center"/>
              <w:rPr>
                <w:bCs/>
              </w:rPr>
            </w:pPr>
            <w:r w:rsidRPr="00FD5C11">
              <w:rPr>
                <w:rFonts w:eastAsia="Calibri"/>
                <w:bCs/>
                <w:szCs w:val="26"/>
              </w:rPr>
              <w:t>Application</w:t>
            </w:r>
          </w:p>
        </w:tc>
        <w:tc>
          <w:tcPr>
            <w:tcW w:w="795" w:type="pct"/>
          </w:tcPr>
          <w:p w:rsidR="004A32F1" w:rsidRPr="00FD5C11" w:rsidP="00AB1FCC" w14:paraId="1BD5A063" w14:textId="77777777">
            <w:pPr>
              <w:jc w:val="right"/>
              <w:rPr>
                <w:rFonts w:eastAsia="Calibri"/>
                <w:szCs w:val="26"/>
              </w:rPr>
            </w:pPr>
            <w:r w:rsidRPr="00FD5C11">
              <w:rPr>
                <w:rFonts w:eastAsia="Calibri"/>
                <w:szCs w:val="26"/>
              </w:rPr>
              <w:t>16</w:t>
            </w:r>
          </w:p>
          <w:p w:rsidR="004A32F1" w:rsidRPr="00FD5C11" w:rsidP="00AB1FCC" w14:paraId="6D76C6A9" w14:textId="77777777">
            <w:pPr>
              <w:jc w:val="right"/>
            </w:pPr>
          </w:p>
        </w:tc>
        <w:tc>
          <w:tcPr>
            <w:tcW w:w="746" w:type="pct"/>
          </w:tcPr>
          <w:p w:rsidR="004A32F1" w:rsidRPr="00FD5C11" w:rsidP="00AB1FCC" w14:paraId="00B0334A" w14:textId="77777777">
            <w:pPr>
              <w:jc w:val="right"/>
            </w:pPr>
            <w:r w:rsidRPr="00FD5C11">
              <w:rPr>
                <w:rFonts w:eastAsia="Calibri"/>
                <w:szCs w:val="26"/>
              </w:rPr>
              <w:t>1</w:t>
            </w:r>
          </w:p>
        </w:tc>
        <w:tc>
          <w:tcPr>
            <w:tcW w:w="662" w:type="pct"/>
          </w:tcPr>
          <w:p w:rsidR="004A32F1" w:rsidRPr="00FD5C11" w:rsidP="00AB1FCC" w14:paraId="02AC54F6" w14:textId="77777777">
            <w:pPr>
              <w:jc w:val="right"/>
            </w:pPr>
            <w:r w:rsidRPr="00FD5C11">
              <w:rPr>
                <w:rFonts w:eastAsia="Calibri"/>
                <w:szCs w:val="26"/>
              </w:rPr>
              <w:t>16</w:t>
            </w:r>
          </w:p>
        </w:tc>
        <w:tc>
          <w:tcPr>
            <w:tcW w:w="1342" w:type="dxa"/>
          </w:tcPr>
          <w:p w:rsidR="004A32F1" w:rsidRPr="00FD5C11" w:rsidP="00AB1FCC" w14:paraId="284401E4" w14:textId="77777777">
            <w:pPr>
              <w:jc w:val="right"/>
              <w:rPr>
                <w:rFonts w:eastAsia="Calibri"/>
                <w:szCs w:val="26"/>
              </w:rPr>
            </w:pPr>
            <w:r w:rsidRPr="00FD5C11">
              <w:rPr>
                <w:rFonts w:eastAsia="Calibri"/>
                <w:szCs w:val="26"/>
              </w:rPr>
              <w:t>50 hrs.;</w:t>
            </w:r>
          </w:p>
          <w:p w:rsidR="004A32F1" w:rsidRPr="00FD5C11" w:rsidP="00AB1FCC" w14:paraId="5409405C" w14:textId="77777777">
            <w:pPr>
              <w:jc w:val="right"/>
            </w:pPr>
            <w:r w:rsidRPr="00FD5C11">
              <w:t>$4,350</w:t>
            </w:r>
          </w:p>
        </w:tc>
        <w:tc>
          <w:tcPr>
            <w:tcW w:w="1221" w:type="dxa"/>
            <w:vAlign w:val="bottom"/>
          </w:tcPr>
          <w:p w:rsidR="004A32F1" w:rsidRPr="00FD5C11" w:rsidP="00AB1FCC" w14:paraId="01F6E148" w14:textId="77777777">
            <w:pPr>
              <w:jc w:val="right"/>
              <w:rPr>
                <w:rFonts w:eastAsia="Calibri"/>
                <w:szCs w:val="26"/>
              </w:rPr>
            </w:pPr>
            <w:r w:rsidRPr="00FD5C11">
              <w:rPr>
                <w:rFonts w:eastAsia="Calibri"/>
                <w:szCs w:val="26"/>
              </w:rPr>
              <w:t xml:space="preserve">800 hrs.; </w:t>
            </w:r>
          </w:p>
          <w:p w:rsidR="004A32F1" w:rsidRPr="00FD5C11" w:rsidP="00AB1FCC" w14:paraId="772D2679" w14:textId="77777777">
            <w:pPr>
              <w:jc w:val="right"/>
            </w:pPr>
            <w:r w:rsidRPr="00FD5C11">
              <w:rPr>
                <w:rFonts w:eastAsia="Calibri"/>
                <w:szCs w:val="26"/>
              </w:rPr>
              <w:t xml:space="preserve">$69,600 </w:t>
            </w:r>
          </w:p>
        </w:tc>
        <w:tc>
          <w:tcPr>
            <w:tcW w:w="746" w:type="pct"/>
            <w:vAlign w:val="bottom"/>
          </w:tcPr>
          <w:p w:rsidR="004A32F1" w:rsidRPr="00FD5C11" w:rsidP="00AB1FCC" w14:paraId="1A29ED51" w14:textId="77777777">
            <w:pPr>
              <w:jc w:val="right"/>
              <w:rPr>
                <w:rFonts w:eastAsia="Calibri"/>
                <w:szCs w:val="26"/>
              </w:rPr>
            </w:pPr>
            <w:r>
              <w:rPr>
                <w:rFonts w:eastAsia="Calibri"/>
                <w:szCs w:val="26"/>
              </w:rPr>
              <w:t>$4,350</w:t>
            </w:r>
          </w:p>
        </w:tc>
      </w:tr>
      <w:tr w14:paraId="48B1E15E" w14:textId="77777777" w:rsidTr="00264D56">
        <w:tblPrEx>
          <w:tblW w:w="5487" w:type="pct"/>
          <w:tblInd w:w="-455" w:type="dxa"/>
          <w:tblLayout w:type="fixed"/>
          <w:tblLook w:val="01E0"/>
        </w:tblPrEx>
        <w:trPr>
          <w:cantSplit/>
        </w:trPr>
        <w:tc>
          <w:tcPr>
            <w:tcW w:w="802" w:type="pct"/>
            <w:vAlign w:val="center"/>
          </w:tcPr>
          <w:p w:rsidR="004A32F1" w:rsidRPr="00FD5C11" w:rsidP="00AB1FCC" w14:paraId="77A62284" w14:textId="77777777">
            <w:pPr>
              <w:jc w:val="center"/>
            </w:pPr>
            <w:r w:rsidRPr="00FD5C11">
              <w:t>Informational</w:t>
            </w:r>
          </w:p>
          <w:p w:rsidR="004A32F1" w:rsidRPr="00FD5C11" w:rsidP="00AB1FCC" w14:paraId="3B870921" w14:textId="77777777">
            <w:pPr>
              <w:jc w:val="center"/>
              <w:rPr>
                <w:b/>
                <w:bCs/>
              </w:rPr>
            </w:pPr>
            <w:r w:rsidRPr="00FD5C11">
              <w:t>Report</w:t>
            </w:r>
          </w:p>
        </w:tc>
        <w:tc>
          <w:tcPr>
            <w:tcW w:w="795" w:type="pct"/>
            <w:vAlign w:val="bottom"/>
          </w:tcPr>
          <w:p w:rsidR="004A32F1" w:rsidRPr="00FD5C11" w:rsidP="00AB1FCC" w14:paraId="46761579" w14:textId="77777777">
            <w:pPr>
              <w:jc w:val="right"/>
            </w:pPr>
            <w:r w:rsidRPr="00FD5C11">
              <w:rPr>
                <w:rFonts w:eastAsia="Calibri"/>
                <w:szCs w:val="26"/>
              </w:rPr>
              <w:t>500</w:t>
            </w:r>
          </w:p>
        </w:tc>
        <w:tc>
          <w:tcPr>
            <w:tcW w:w="746" w:type="pct"/>
            <w:vAlign w:val="bottom"/>
          </w:tcPr>
          <w:p w:rsidR="004A32F1" w:rsidRPr="00FD5C11" w:rsidP="00AB1FCC" w14:paraId="3B229EAB" w14:textId="77777777">
            <w:pPr>
              <w:jc w:val="right"/>
            </w:pPr>
            <w:r w:rsidRPr="00FD5C11">
              <w:rPr>
                <w:rFonts w:eastAsia="Calibri"/>
                <w:szCs w:val="26"/>
              </w:rPr>
              <w:t>1</w:t>
            </w:r>
          </w:p>
        </w:tc>
        <w:tc>
          <w:tcPr>
            <w:tcW w:w="662" w:type="pct"/>
            <w:vAlign w:val="bottom"/>
          </w:tcPr>
          <w:p w:rsidR="004A32F1" w:rsidRPr="00FD5C11" w:rsidP="00AB1FCC" w14:paraId="3A2DEC8C" w14:textId="77777777">
            <w:pPr>
              <w:jc w:val="right"/>
            </w:pPr>
            <w:r w:rsidRPr="00FD5C11">
              <w:rPr>
                <w:rFonts w:eastAsia="Calibri"/>
                <w:szCs w:val="26"/>
              </w:rPr>
              <w:t>500</w:t>
            </w:r>
          </w:p>
        </w:tc>
        <w:tc>
          <w:tcPr>
            <w:tcW w:w="1342" w:type="dxa"/>
            <w:vAlign w:val="bottom"/>
          </w:tcPr>
          <w:p w:rsidR="004A32F1" w:rsidRPr="00FD5C11" w:rsidP="00AB1FCC" w14:paraId="0ED89C51" w14:textId="77777777">
            <w:pPr>
              <w:jc w:val="right"/>
              <w:rPr>
                <w:rFonts w:eastAsia="Calibri"/>
                <w:szCs w:val="26"/>
              </w:rPr>
            </w:pPr>
            <w:r w:rsidRPr="00FD5C11">
              <w:rPr>
                <w:rFonts w:eastAsia="Calibri"/>
                <w:szCs w:val="26"/>
              </w:rPr>
              <w:t>8 hrs.;</w:t>
            </w:r>
          </w:p>
          <w:p w:rsidR="004A32F1" w:rsidRPr="00FD5C11" w:rsidP="00AB1FCC" w14:paraId="26F180A8" w14:textId="77777777">
            <w:pPr>
              <w:jc w:val="right"/>
            </w:pPr>
            <w:r w:rsidRPr="00FD5C11">
              <w:rPr>
                <w:rFonts w:eastAsia="Calibri"/>
                <w:szCs w:val="26"/>
              </w:rPr>
              <w:t>$696</w:t>
            </w:r>
          </w:p>
        </w:tc>
        <w:tc>
          <w:tcPr>
            <w:tcW w:w="1221" w:type="dxa"/>
            <w:vAlign w:val="bottom"/>
          </w:tcPr>
          <w:p w:rsidR="004A32F1" w:rsidRPr="00FD5C11" w:rsidP="00AB1FCC" w14:paraId="19E16D79" w14:textId="77777777">
            <w:pPr>
              <w:jc w:val="right"/>
              <w:rPr>
                <w:rFonts w:eastAsia="Calibri"/>
                <w:szCs w:val="26"/>
              </w:rPr>
            </w:pPr>
            <w:r w:rsidRPr="00FD5C11">
              <w:rPr>
                <w:rFonts w:eastAsia="Calibri"/>
                <w:szCs w:val="26"/>
              </w:rPr>
              <w:t>4,000 hrs.;</w:t>
            </w:r>
          </w:p>
          <w:p w:rsidR="004A32F1" w:rsidRPr="00FD5C11" w:rsidP="00AB1FCC" w14:paraId="78317686" w14:textId="77777777">
            <w:pPr>
              <w:jc w:val="right"/>
            </w:pPr>
            <w:r w:rsidRPr="00FD5C11">
              <w:rPr>
                <w:rFonts w:eastAsia="Calibri"/>
                <w:szCs w:val="26"/>
              </w:rPr>
              <w:t>$348,000</w:t>
            </w:r>
          </w:p>
        </w:tc>
        <w:tc>
          <w:tcPr>
            <w:tcW w:w="746" w:type="pct"/>
            <w:vAlign w:val="bottom"/>
          </w:tcPr>
          <w:p w:rsidR="004A32F1" w:rsidRPr="00FD5C11" w:rsidP="00AB1FCC" w14:paraId="1C9CDC08" w14:textId="77777777">
            <w:pPr>
              <w:jc w:val="right"/>
              <w:rPr>
                <w:rFonts w:eastAsia="Calibri"/>
                <w:szCs w:val="26"/>
              </w:rPr>
            </w:pPr>
            <w:r>
              <w:rPr>
                <w:rFonts w:eastAsia="Calibri"/>
                <w:szCs w:val="26"/>
              </w:rPr>
              <w:t>$696</w:t>
            </w:r>
          </w:p>
        </w:tc>
      </w:tr>
      <w:tr w14:paraId="5BA2D12F" w14:textId="77777777" w:rsidTr="00264D56">
        <w:tblPrEx>
          <w:tblW w:w="5487" w:type="pct"/>
          <w:tblInd w:w="-455" w:type="dxa"/>
          <w:tblLayout w:type="fixed"/>
          <w:tblLook w:val="01E0"/>
        </w:tblPrEx>
        <w:trPr>
          <w:cantSplit/>
        </w:trPr>
        <w:tc>
          <w:tcPr>
            <w:tcW w:w="802" w:type="pct"/>
            <w:vAlign w:val="center"/>
          </w:tcPr>
          <w:p w:rsidR="004A32F1" w:rsidRPr="00FD5C11" w:rsidP="00AB1FCC" w14:paraId="6B1FB168" w14:textId="77777777">
            <w:pPr>
              <w:jc w:val="center"/>
            </w:pPr>
            <w:r w:rsidRPr="00FD5C11">
              <w:t>Notice of Change</w:t>
            </w:r>
          </w:p>
        </w:tc>
        <w:tc>
          <w:tcPr>
            <w:tcW w:w="795" w:type="pct"/>
            <w:vAlign w:val="bottom"/>
          </w:tcPr>
          <w:p w:rsidR="004A32F1" w:rsidRPr="00FD5C11" w:rsidP="00AB1FCC" w14:paraId="39E5CFF4" w14:textId="77777777">
            <w:pPr>
              <w:jc w:val="right"/>
            </w:pPr>
            <w:r w:rsidRPr="00FD5C11">
              <w:rPr>
                <w:rFonts w:eastAsia="Calibri"/>
                <w:szCs w:val="26"/>
              </w:rPr>
              <w:t>100</w:t>
            </w:r>
          </w:p>
        </w:tc>
        <w:tc>
          <w:tcPr>
            <w:tcW w:w="746" w:type="pct"/>
            <w:vAlign w:val="bottom"/>
          </w:tcPr>
          <w:p w:rsidR="004A32F1" w:rsidRPr="00FD5C11" w:rsidP="00AB1FCC" w14:paraId="40679025" w14:textId="77777777">
            <w:pPr>
              <w:jc w:val="right"/>
            </w:pPr>
            <w:r w:rsidRPr="00FD5C11">
              <w:rPr>
                <w:rFonts w:eastAsia="Calibri"/>
                <w:szCs w:val="26"/>
              </w:rPr>
              <w:t>1</w:t>
            </w:r>
          </w:p>
        </w:tc>
        <w:tc>
          <w:tcPr>
            <w:tcW w:w="662" w:type="pct"/>
            <w:vAlign w:val="bottom"/>
          </w:tcPr>
          <w:p w:rsidR="004A32F1" w:rsidRPr="00FD5C11" w:rsidP="00AB1FCC" w14:paraId="6011A060" w14:textId="77777777">
            <w:pPr>
              <w:jc w:val="right"/>
            </w:pPr>
            <w:r w:rsidRPr="00FD5C11">
              <w:rPr>
                <w:rFonts w:eastAsia="Calibri"/>
                <w:szCs w:val="26"/>
              </w:rPr>
              <w:t>100</w:t>
            </w:r>
          </w:p>
        </w:tc>
        <w:tc>
          <w:tcPr>
            <w:tcW w:w="1342" w:type="dxa"/>
            <w:vAlign w:val="bottom"/>
          </w:tcPr>
          <w:p w:rsidR="004A32F1" w:rsidRPr="00FD5C11" w:rsidP="00AB1FCC" w14:paraId="1F4260EA" w14:textId="77777777">
            <w:pPr>
              <w:jc w:val="right"/>
              <w:rPr>
                <w:rFonts w:eastAsia="Calibri"/>
                <w:szCs w:val="26"/>
              </w:rPr>
            </w:pPr>
            <w:r w:rsidRPr="00FD5C11">
              <w:rPr>
                <w:rFonts w:eastAsia="Calibri"/>
                <w:szCs w:val="26"/>
              </w:rPr>
              <w:t>0.25 hrs.;</w:t>
            </w:r>
          </w:p>
          <w:p w:rsidR="004A32F1" w:rsidRPr="00FD5C11" w:rsidP="00AB1FCC" w14:paraId="508CA2E9" w14:textId="77777777">
            <w:pPr>
              <w:jc w:val="right"/>
              <w:rPr>
                <w:rFonts w:eastAsia="Calibri"/>
                <w:szCs w:val="26"/>
              </w:rPr>
            </w:pPr>
            <w:r w:rsidRPr="00FD5C11">
              <w:rPr>
                <w:rFonts w:eastAsia="Calibri"/>
                <w:szCs w:val="26"/>
              </w:rPr>
              <w:t>$21.75</w:t>
            </w:r>
          </w:p>
        </w:tc>
        <w:tc>
          <w:tcPr>
            <w:tcW w:w="1221" w:type="dxa"/>
            <w:vAlign w:val="bottom"/>
          </w:tcPr>
          <w:p w:rsidR="004A32F1" w:rsidRPr="00FD5C11" w:rsidP="00AB1FCC" w14:paraId="3E529D6F" w14:textId="77777777">
            <w:pPr>
              <w:jc w:val="right"/>
              <w:rPr>
                <w:rFonts w:eastAsia="Calibri"/>
                <w:szCs w:val="26"/>
              </w:rPr>
            </w:pPr>
            <w:r w:rsidRPr="00FD5C11">
              <w:rPr>
                <w:rFonts w:eastAsia="Calibri"/>
                <w:szCs w:val="26"/>
              </w:rPr>
              <w:t>25 hrs.;</w:t>
            </w:r>
          </w:p>
          <w:p w:rsidR="004A32F1" w:rsidRPr="00FD5C11" w:rsidP="00AB1FCC" w14:paraId="026E8E89" w14:textId="77777777">
            <w:pPr>
              <w:jc w:val="right"/>
            </w:pPr>
            <w:r w:rsidRPr="00FD5C11">
              <w:rPr>
                <w:rFonts w:eastAsia="Calibri"/>
                <w:szCs w:val="26"/>
              </w:rPr>
              <w:t>$2,175</w:t>
            </w:r>
          </w:p>
        </w:tc>
        <w:tc>
          <w:tcPr>
            <w:tcW w:w="746" w:type="pct"/>
            <w:vAlign w:val="bottom"/>
          </w:tcPr>
          <w:p w:rsidR="004A32F1" w:rsidRPr="00FD5C11" w:rsidP="00AB1FCC" w14:paraId="665EBDC3" w14:textId="77777777">
            <w:pPr>
              <w:jc w:val="right"/>
              <w:rPr>
                <w:rFonts w:eastAsia="Calibri"/>
                <w:szCs w:val="26"/>
              </w:rPr>
            </w:pPr>
            <w:r>
              <w:rPr>
                <w:rFonts w:eastAsia="Calibri"/>
                <w:szCs w:val="26"/>
              </w:rPr>
              <w:t>$21.75</w:t>
            </w:r>
          </w:p>
        </w:tc>
      </w:tr>
      <w:tr w14:paraId="189B9ED4" w14:textId="77777777" w:rsidTr="00264D56">
        <w:tblPrEx>
          <w:tblW w:w="5487" w:type="pct"/>
          <w:tblInd w:w="-455" w:type="dxa"/>
          <w:tblLayout w:type="fixed"/>
          <w:tblLook w:val="01E0"/>
        </w:tblPrEx>
        <w:trPr>
          <w:cantSplit/>
        </w:trPr>
        <w:tc>
          <w:tcPr>
            <w:tcW w:w="802" w:type="pct"/>
            <w:vAlign w:val="bottom"/>
          </w:tcPr>
          <w:p w:rsidR="004A32F1" w:rsidRPr="00FD5C11" w:rsidP="00AB1FCC" w14:paraId="103FE5C6" w14:textId="77777777">
            <w:pPr>
              <w:jc w:val="right"/>
              <w:rPr>
                <w:b/>
                <w:bCs/>
              </w:rPr>
            </w:pPr>
            <w:r w:rsidRPr="00FD5C11">
              <w:rPr>
                <w:b/>
                <w:bCs/>
              </w:rPr>
              <w:t>Totals</w:t>
            </w:r>
          </w:p>
        </w:tc>
        <w:tc>
          <w:tcPr>
            <w:tcW w:w="795" w:type="pct"/>
            <w:vAlign w:val="bottom"/>
          </w:tcPr>
          <w:p w:rsidR="004A32F1" w:rsidRPr="00FD5C11" w:rsidP="00AB1FCC" w14:paraId="7E5E8D68" w14:textId="77777777">
            <w:pPr>
              <w:jc w:val="right"/>
            </w:pPr>
            <w:r w:rsidRPr="00FD5C11">
              <w:t>616</w:t>
            </w:r>
          </w:p>
        </w:tc>
        <w:tc>
          <w:tcPr>
            <w:tcW w:w="746" w:type="pct"/>
            <w:vAlign w:val="bottom"/>
          </w:tcPr>
          <w:p w:rsidR="004A32F1" w:rsidRPr="00FD5C11" w:rsidP="00AB1FCC" w14:paraId="0C63BCA1" w14:textId="77777777">
            <w:pPr>
              <w:jc w:val="right"/>
            </w:pPr>
            <w:r w:rsidRPr="00FD5C11">
              <w:t>N/A</w:t>
            </w:r>
          </w:p>
        </w:tc>
        <w:tc>
          <w:tcPr>
            <w:tcW w:w="662" w:type="pct"/>
            <w:vAlign w:val="bottom"/>
          </w:tcPr>
          <w:p w:rsidR="004A32F1" w:rsidRPr="00FD5C11" w:rsidP="00AB1FCC" w14:paraId="69482B0D" w14:textId="77777777">
            <w:pPr>
              <w:jc w:val="right"/>
            </w:pPr>
            <w:r w:rsidRPr="00FD5C11">
              <w:t>616</w:t>
            </w:r>
          </w:p>
        </w:tc>
        <w:tc>
          <w:tcPr>
            <w:tcW w:w="1342" w:type="dxa"/>
            <w:vAlign w:val="bottom"/>
          </w:tcPr>
          <w:p w:rsidR="004A32F1" w:rsidRPr="00FD5C11" w:rsidP="00AB1FCC" w14:paraId="10A88544" w14:textId="77777777">
            <w:pPr>
              <w:jc w:val="right"/>
            </w:pPr>
            <w:r w:rsidRPr="00FD5C11">
              <w:t>N/A</w:t>
            </w:r>
          </w:p>
        </w:tc>
        <w:tc>
          <w:tcPr>
            <w:tcW w:w="1221" w:type="dxa"/>
            <w:vAlign w:val="bottom"/>
          </w:tcPr>
          <w:p w:rsidR="004A32F1" w:rsidRPr="00FD5C11" w:rsidP="00AB1FCC" w14:paraId="2C0D38A1" w14:textId="77777777">
            <w:pPr>
              <w:jc w:val="right"/>
            </w:pPr>
            <w:r w:rsidRPr="00FD5C11">
              <w:t>4,825 hrs.;</w:t>
            </w:r>
          </w:p>
          <w:p w:rsidR="004A32F1" w:rsidRPr="00FD5C11" w:rsidP="00AB1FCC" w14:paraId="12423170" w14:textId="77777777">
            <w:pPr>
              <w:jc w:val="right"/>
            </w:pPr>
            <w:r w:rsidRPr="00FD5C11">
              <w:t xml:space="preserve">$419,775 </w:t>
            </w:r>
          </w:p>
        </w:tc>
        <w:tc>
          <w:tcPr>
            <w:tcW w:w="746" w:type="pct"/>
            <w:vAlign w:val="bottom"/>
          </w:tcPr>
          <w:p w:rsidR="004A32F1" w:rsidRPr="00FD5C11" w:rsidP="00AB1FCC" w14:paraId="106F4AF7" w14:textId="13A73A1E">
            <w:pPr>
              <w:jc w:val="right"/>
            </w:pPr>
            <w:r>
              <w:t>N/A</w:t>
            </w:r>
          </w:p>
        </w:tc>
      </w:tr>
    </w:tbl>
    <w:p w:rsidR="00BE544C" w:rsidP="00BE544C" w14:paraId="15229564" w14:textId="77777777">
      <w:pPr>
        <w:spacing w:line="480" w:lineRule="auto"/>
        <w:ind w:left="450"/>
        <w:rPr>
          <w:b/>
          <w:bCs/>
          <w:szCs w:val="26"/>
        </w:rPr>
      </w:pPr>
    </w:p>
    <w:p w:rsidR="00C9456D" w:rsidRPr="00BE544C" w:rsidP="00BE544C" w14:paraId="26E90D5A" w14:textId="0365F0CB">
      <w:pPr>
        <w:pStyle w:val="ListParagraph"/>
        <w:numPr>
          <w:ilvl w:val="0"/>
          <w:numId w:val="16"/>
        </w:numPr>
        <w:spacing w:line="480" w:lineRule="auto"/>
        <w:rPr>
          <w:b/>
          <w:bCs/>
          <w:szCs w:val="26"/>
        </w:rPr>
      </w:pPr>
      <w:r w:rsidRPr="00BE544C">
        <w:rPr>
          <w:b/>
          <w:bCs/>
          <w:szCs w:val="26"/>
        </w:rPr>
        <w:t>FERC-546</w:t>
      </w:r>
    </w:p>
    <w:p w:rsidR="00C9456D" w:rsidP="00C9456D" w14:paraId="55B1F96E" w14:textId="77777777">
      <w:pPr>
        <w:spacing w:line="480" w:lineRule="auto"/>
        <w:rPr>
          <w:szCs w:val="26"/>
        </w:rPr>
      </w:pPr>
      <w:r w:rsidRPr="00BE7A16">
        <w:rPr>
          <w:i/>
          <w:szCs w:val="26"/>
        </w:rPr>
        <w:t xml:space="preserve">Title: </w:t>
      </w:r>
      <w:r w:rsidRPr="00BE7A16">
        <w:rPr>
          <w:szCs w:val="26"/>
        </w:rPr>
        <w:t>FERC-5</w:t>
      </w:r>
      <w:r>
        <w:rPr>
          <w:szCs w:val="26"/>
        </w:rPr>
        <w:t>4</w:t>
      </w:r>
      <w:r w:rsidRPr="00BE7A16">
        <w:rPr>
          <w:szCs w:val="26"/>
        </w:rPr>
        <w:t xml:space="preserve">6, </w:t>
      </w:r>
      <w:r w:rsidRPr="00E50DAB">
        <w:rPr>
          <w:szCs w:val="26"/>
        </w:rPr>
        <w:t>Certificated Rate Filings: Gas Pipeline Rates</w:t>
      </w:r>
    </w:p>
    <w:p w:rsidR="00C9456D" w:rsidRPr="00BE7A16" w:rsidP="00C9456D" w14:paraId="27BAD298" w14:textId="77777777">
      <w:pPr>
        <w:spacing w:line="480" w:lineRule="auto"/>
        <w:rPr>
          <w:szCs w:val="26"/>
        </w:rPr>
      </w:pPr>
      <w:r w:rsidRPr="00BE7A16">
        <w:rPr>
          <w:i/>
          <w:szCs w:val="26"/>
        </w:rPr>
        <w:t>OMB Control No.:</w:t>
      </w:r>
      <w:r w:rsidRPr="00BE7A16">
        <w:rPr>
          <w:szCs w:val="26"/>
        </w:rPr>
        <w:t xml:space="preserve"> </w:t>
      </w:r>
      <w:r w:rsidRPr="00E50DAB">
        <w:rPr>
          <w:szCs w:val="26"/>
        </w:rPr>
        <w:t>1902-0155</w:t>
      </w:r>
    </w:p>
    <w:p w:rsidR="00C9456D" w:rsidRPr="00BE7A16" w:rsidP="00C9456D" w14:paraId="452DDEB2" w14:textId="77777777">
      <w:pPr>
        <w:spacing w:line="480" w:lineRule="auto"/>
        <w:rPr>
          <w:szCs w:val="26"/>
        </w:rPr>
      </w:pPr>
      <w:r w:rsidRPr="00BE7A16">
        <w:rPr>
          <w:i/>
          <w:szCs w:val="26"/>
        </w:rPr>
        <w:t>Type of Request:</w:t>
      </w:r>
      <w:r w:rsidRPr="00BE7A16">
        <w:rPr>
          <w:szCs w:val="26"/>
        </w:rPr>
        <w:t xml:space="preserve"> Three-year extension of the FERC-5</w:t>
      </w:r>
      <w:r>
        <w:rPr>
          <w:szCs w:val="26"/>
        </w:rPr>
        <w:t>46</w:t>
      </w:r>
      <w:r w:rsidRPr="00BE7A16">
        <w:rPr>
          <w:szCs w:val="26"/>
        </w:rPr>
        <w:t xml:space="preserve"> information collection requirements with no changes to the current reporting requirements. </w:t>
      </w:r>
    </w:p>
    <w:p w:rsidR="00C9456D" w:rsidRPr="005033A7" w:rsidP="00C9456D" w14:paraId="0BC52577" w14:textId="705DD268">
      <w:pPr>
        <w:spacing w:line="480" w:lineRule="auto"/>
      </w:pPr>
      <w:r w:rsidRPr="00BE7A16">
        <w:rPr>
          <w:i/>
          <w:szCs w:val="26"/>
        </w:rPr>
        <w:t xml:space="preserve">Abstract:  </w:t>
      </w:r>
      <w:r>
        <w:t xml:space="preserve"> </w:t>
      </w:r>
      <w:r w:rsidRPr="005033A7">
        <w:t xml:space="preserve">The Commission reviews the FERC-546 materials to decide whether to </w:t>
      </w:r>
      <w:r>
        <w:t xml:space="preserve">approve </w:t>
      </w:r>
      <w:r w:rsidRPr="005033A7">
        <w:t>rate</w:t>
      </w:r>
      <w:r>
        <w:t>s</w:t>
      </w:r>
      <w:r w:rsidRPr="005033A7">
        <w:t xml:space="preserve"> </w:t>
      </w:r>
      <w:r>
        <w:t xml:space="preserve">and tariff changes </w:t>
      </w:r>
      <w:r w:rsidRPr="005033A7">
        <w:t xml:space="preserve">associated with an application for a certificate under </w:t>
      </w:r>
      <w:r>
        <w:t>Natural Gas Act (</w:t>
      </w:r>
      <w:r w:rsidRPr="005033A7">
        <w:t>NGA</w:t>
      </w:r>
      <w:r>
        <w:t>)</w:t>
      </w:r>
      <w:r w:rsidRPr="005033A7">
        <w:t xml:space="preserve"> </w:t>
      </w:r>
      <w:r>
        <w:t>s</w:t>
      </w:r>
      <w:r w:rsidRPr="005033A7">
        <w:t>ection 7(c)</w:t>
      </w:r>
      <w:r w:rsidR="007A6BCF">
        <w:t xml:space="preserve"> (</w:t>
      </w:r>
      <w:r w:rsidR="00A011FE">
        <w:t xml:space="preserve">15 U.S.C. </w:t>
      </w:r>
      <w:r w:rsidR="008B70FD">
        <w:t>717</w:t>
      </w:r>
      <w:r w:rsidR="00A011FE">
        <w:t>)</w:t>
      </w:r>
      <w:r w:rsidRPr="005033A7">
        <w:t xml:space="preserve">.  </w:t>
      </w:r>
      <w:r>
        <w:t>Additionally, FERC</w:t>
      </w:r>
      <w:r w:rsidRPr="005033A7">
        <w:t xml:space="preserve"> reviews FERC-546 materials in </w:t>
      </w:r>
      <w:r>
        <w:t xml:space="preserve">NGA section </w:t>
      </w:r>
      <w:r w:rsidRPr="005033A7">
        <w:t>4(f)</w:t>
      </w:r>
      <w:r w:rsidR="001642AB">
        <w:t xml:space="preserve"> (15 U.S.C. </w:t>
      </w:r>
      <w:r w:rsidR="008B70FD">
        <w:t>717</w:t>
      </w:r>
      <w:r w:rsidR="001642AB">
        <w:t>)</w:t>
      </w:r>
      <w:r>
        <w:t>,</w:t>
      </w:r>
      <w:r w:rsidRPr="005033A7">
        <w:t xml:space="preserve"> storage applications</w:t>
      </w:r>
      <w:r>
        <w:t>,</w:t>
      </w:r>
      <w:r w:rsidRPr="005033A7">
        <w:t xml:space="preserve"> to evaluate</w:t>
      </w:r>
      <w:r>
        <w:t xml:space="preserve"> an applicant’s</w:t>
      </w:r>
      <w:r w:rsidRPr="005033A7">
        <w:t xml:space="preserve"> market power and </w:t>
      </w:r>
      <w:r>
        <w:t>determine</w:t>
      </w:r>
      <w:r w:rsidRPr="005033A7">
        <w:t xml:space="preserve"> whether to grant market</w:t>
      </w:r>
      <w:r>
        <w:t>-</w:t>
      </w:r>
      <w:r w:rsidRPr="005033A7">
        <w:t xml:space="preserve">based rate authority </w:t>
      </w:r>
      <w:r>
        <w:t>to</w:t>
      </w:r>
      <w:r w:rsidRPr="005033A7">
        <w:t xml:space="preserve"> the applicant.  The Commission uses the information </w:t>
      </w:r>
      <w:r>
        <w:t xml:space="preserve">in FERC-546 </w:t>
      </w:r>
      <w:r w:rsidRPr="005033A7">
        <w:t>to monitor jurisdictional transportation, natural gas storage, and unbundled sales activities of interstate natural gas pipelines and Hinshaw</w:t>
      </w:r>
      <w:r>
        <w:rPr>
          <w:b/>
          <w:vertAlign w:val="superscript"/>
        </w:rPr>
        <w:footnoteReference w:id="11"/>
      </w:r>
      <w:r w:rsidRPr="005033A7">
        <w:t xml:space="preserve"> pipelines.  In addition to fulfilling the </w:t>
      </w:r>
      <w:r w:rsidRPr="005033A7">
        <w:t xml:space="preserve">Commission’s obligations under the NGA, the FERC-546 enables the Commission to monitor the activities and evaluate transactions of the natural gas industry, ensure competitiveness, and improve efficiency of the industry's operations.  In summary, the Commission uses the information to: </w:t>
      </w:r>
    </w:p>
    <w:p w:rsidR="00C9456D" w:rsidRPr="005033A7" w:rsidP="00C9456D" w14:paraId="253AEEB2" w14:textId="77777777">
      <w:pPr>
        <w:numPr>
          <w:ilvl w:val="0"/>
          <w:numId w:val="22"/>
        </w:numPr>
        <w:spacing w:line="480" w:lineRule="auto"/>
      </w:pPr>
      <w:r w:rsidRPr="005033A7">
        <w:t xml:space="preserve">ensure adequate customer protections under </w:t>
      </w:r>
      <w:r>
        <w:t xml:space="preserve">NGA </w:t>
      </w:r>
      <w:r w:rsidRPr="005033A7">
        <w:t>section 4(f);</w:t>
      </w:r>
    </w:p>
    <w:p w:rsidR="00C9456D" w:rsidRPr="005033A7" w:rsidP="00C9456D" w14:paraId="60E3D96F" w14:textId="77777777">
      <w:pPr>
        <w:numPr>
          <w:ilvl w:val="0"/>
          <w:numId w:val="22"/>
        </w:numPr>
        <w:spacing w:line="480" w:lineRule="auto"/>
      </w:pPr>
      <w:r w:rsidRPr="005033A7">
        <w:t xml:space="preserve">review rate and tariff changes </w:t>
      </w:r>
      <w:r>
        <w:t xml:space="preserve">filed under NGA section 7(c) for certification of </w:t>
      </w:r>
      <w:r w:rsidRPr="005033A7">
        <w:t xml:space="preserve">natural gas </w:t>
      </w:r>
      <w:r>
        <w:t xml:space="preserve">pipeline </w:t>
      </w:r>
      <w:r w:rsidRPr="005033A7">
        <w:t xml:space="preserve">transportation </w:t>
      </w:r>
      <w:r>
        <w:t>and</w:t>
      </w:r>
      <w:r w:rsidRPr="005033A7">
        <w:t xml:space="preserve"> storage services;</w:t>
      </w:r>
    </w:p>
    <w:p w:rsidR="00C9456D" w:rsidRPr="005033A7" w:rsidP="00C9456D" w14:paraId="20196F10" w14:textId="77777777">
      <w:pPr>
        <w:numPr>
          <w:ilvl w:val="0"/>
          <w:numId w:val="22"/>
        </w:numPr>
        <w:spacing w:line="480" w:lineRule="auto"/>
      </w:pPr>
      <w:r w:rsidRPr="005033A7">
        <w:t>provide general industry oversight;</w:t>
      </w:r>
      <w:r w:rsidRPr="00AF413F">
        <w:t xml:space="preserve"> </w:t>
      </w:r>
      <w:r w:rsidRPr="005033A7">
        <w:t>and</w:t>
      </w:r>
    </w:p>
    <w:p w:rsidR="00C9456D" w:rsidRPr="005033A7" w:rsidP="00C9456D" w14:paraId="0AC67655" w14:textId="77777777">
      <w:pPr>
        <w:numPr>
          <w:ilvl w:val="0"/>
          <w:numId w:val="22"/>
        </w:numPr>
        <w:spacing w:line="480" w:lineRule="auto"/>
      </w:pPr>
      <w:r w:rsidRPr="005033A7">
        <w:t>sup</w:t>
      </w:r>
      <w:r>
        <w:t xml:space="preserve">plement documentation during the pipeline </w:t>
      </w:r>
      <w:r w:rsidRPr="005033A7">
        <w:t>audits process.</w:t>
      </w:r>
    </w:p>
    <w:p w:rsidR="00C9456D" w:rsidP="00C9456D" w14:paraId="7AB65339" w14:textId="77777777">
      <w:pPr>
        <w:spacing w:line="480" w:lineRule="auto"/>
      </w:pPr>
      <w:r w:rsidRPr="005033A7">
        <w:t>Failure to collect this information would prevent the Commission from monitor</w:t>
      </w:r>
      <w:r>
        <w:t>ing</w:t>
      </w:r>
      <w:r w:rsidRPr="005033A7">
        <w:t xml:space="preserve"> and evaluat</w:t>
      </w:r>
      <w:r>
        <w:t>ing</w:t>
      </w:r>
      <w:r w:rsidRPr="005033A7">
        <w:t xml:space="preserve"> transactions and operations of </w:t>
      </w:r>
      <w:r>
        <w:t xml:space="preserve">jurisdictional </w:t>
      </w:r>
      <w:r w:rsidRPr="005033A7">
        <w:t>pipelines and perform</w:t>
      </w:r>
      <w:r>
        <w:t>ing</w:t>
      </w:r>
      <w:r w:rsidRPr="005033A7">
        <w:t xml:space="preserve"> its regulatory functions</w:t>
      </w:r>
      <w:r>
        <w:t xml:space="preserve">.  </w:t>
      </w:r>
    </w:p>
    <w:p w:rsidR="00C9456D" w:rsidRPr="001A50A7" w:rsidP="00C9456D" w14:paraId="3FA3A253" w14:textId="77777777">
      <w:pPr>
        <w:spacing w:line="480" w:lineRule="auto"/>
        <w:rPr>
          <w:bCs/>
          <w:szCs w:val="26"/>
        </w:rPr>
      </w:pPr>
      <w:r w:rsidRPr="001A50A7">
        <w:rPr>
          <w:bCs/>
          <w:i/>
          <w:szCs w:val="26"/>
        </w:rPr>
        <w:t xml:space="preserve">Type of Respondents: </w:t>
      </w:r>
      <w:r>
        <w:rPr>
          <w:bCs/>
          <w:iCs/>
          <w:szCs w:val="26"/>
        </w:rPr>
        <w:t>Jurisdictional pipeline companies and storage operators</w:t>
      </w:r>
    </w:p>
    <w:p w:rsidR="00C9456D" w:rsidRPr="00BE7A16" w:rsidP="00C9456D" w14:paraId="46ADFCDE" w14:textId="67C3A4CB">
      <w:pPr>
        <w:spacing w:line="480" w:lineRule="auto"/>
        <w:rPr>
          <w:szCs w:val="26"/>
        </w:rPr>
      </w:pPr>
      <w:r w:rsidRPr="00BE7A16">
        <w:rPr>
          <w:i/>
          <w:szCs w:val="26"/>
        </w:rPr>
        <w:t>Estimate of Annual Burden:</w:t>
      </w:r>
      <w:r>
        <w:rPr>
          <w:rStyle w:val="FootnoteReference"/>
          <w:i/>
        </w:rPr>
        <w:footnoteReference w:id="12"/>
      </w:r>
      <w:r w:rsidRPr="00BE7A16">
        <w:rPr>
          <w:i/>
          <w:szCs w:val="26"/>
        </w:rPr>
        <w:t xml:space="preserve"> </w:t>
      </w:r>
      <w:r w:rsidRPr="00BE7A16">
        <w:rPr>
          <w:szCs w:val="26"/>
        </w:rPr>
        <w:t>The Commission estimates the burden and cost for this information collection as follows:</w:t>
      </w:r>
    </w:p>
    <w:tbl>
      <w:tblPr>
        <w:tblW w:w="547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1247"/>
        <w:gridCol w:w="1441"/>
        <w:gridCol w:w="1451"/>
        <w:gridCol w:w="1351"/>
        <w:gridCol w:w="1885"/>
        <w:gridCol w:w="1443"/>
      </w:tblGrid>
      <w:tr w14:paraId="4777408A" w14:textId="77777777" w:rsidTr="23DC8365">
        <w:tblPrEx>
          <w:tblW w:w="547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C9456D" w:rsidRPr="001A50A7" w:rsidP="00AB1FCC" w14:paraId="1BCAA060" w14:textId="77777777">
            <w:pPr>
              <w:widowControl w:val="0"/>
              <w:autoSpaceDE w:val="0"/>
              <w:autoSpaceDN w:val="0"/>
              <w:adjustRightInd w:val="0"/>
              <w:jc w:val="center"/>
              <w:rPr>
                <w:rFonts w:eastAsia="Calibri"/>
                <w:b/>
                <w:szCs w:val="26"/>
              </w:rPr>
            </w:pPr>
            <w:r w:rsidRPr="001A50A7">
              <w:rPr>
                <w:rFonts w:eastAsia="Calibri"/>
                <w:b/>
                <w:szCs w:val="26"/>
              </w:rPr>
              <w:t>FERC-546 (Certificated Rate Filings: Gas Pipeline Rates)</w:t>
            </w:r>
          </w:p>
        </w:tc>
      </w:tr>
      <w:tr w14:paraId="6B127DB3" w14:textId="77777777" w:rsidTr="23DC8365">
        <w:tblPrEx>
          <w:tblW w:w="5474" w:type="pct"/>
          <w:tblInd w:w="-72" w:type="dxa"/>
          <w:tblLayout w:type="fixed"/>
          <w:tblLook w:val="01E0"/>
        </w:tblPrEx>
        <w:trPr>
          <w:cantSplit/>
        </w:trPr>
        <w:tc>
          <w:tcPr>
            <w:tcW w:w="692" w:type="pct"/>
            <w:shd w:val="clear" w:color="auto" w:fill="D9D9D9" w:themeFill="background1" w:themeFillShade="D9"/>
          </w:tcPr>
          <w:p w:rsidR="00C9456D" w:rsidRPr="001A50A7" w:rsidP="00AB1FCC" w14:paraId="44F3DAC7" w14:textId="77777777">
            <w:pPr>
              <w:widowControl w:val="0"/>
              <w:autoSpaceDE w:val="0"/>
              <w:autoSpaceDN w:val="0"/>
              <w:adjustRightInd w:val="0"/>
              <w:jc w:val="center"/>
              <w:rPr>
                <w:rFonts w:eastAsia="Calibri"/>
                <w:b/>
                <w:szCs w:val="26"/>
              </w:rPr>
            </w:pPr>
          </w:p>
        </w:tc>
        <w:tc>
          <w:tcPr>
            <w:tcW w:w="609" w:type="pct"/>
            <w:shd w:val="clear" w:color="auto" w:fill="D9D9D9" w:themeFill="background1" w:themeFillShade="D9"/>
            <w:vAlign w:val="bottom"/>
          </w:tcPr>
          <w:p w:rsidR="00C9456D" w:rsidRPr="001A50A7" w:rsidP="00AB1FCC" w14:paraId="5A1CECAB" w14:textId="77777777">
            <w:pPr>
              <w:widowControl w:val="0"/>
              <w:autoSpaceDE w:val="0"/>
              <w:autoSpaceDN w:val="0"/>
              <w:adjustRightInd w:val="0"/>
              <w:jc w:val="center"/>
              <w:rPr>
                <w:rFonts w:eastAsia="Calibri"/>
                <w:b/>
                <w:szCs w:val="26"/>
              </w:rPr>
            </w:pPr>
            <w:r w:rsidRPr="001A50A7">
              <w:rPr>
                <w:rFonts w:eastAsia="Calibri"/>
                <w:b/>
                <w:szCs w:val="26"/>
              </w:rPr>
              <w:t>Annual Number of Respondents</w:t>
            </w:r>
            <w:r w:rsidRPr="001A50A7">
              <w:rPr>
                <w:rFonts w:eastAsia="Calibri"/>
                <w:b/>
                <w:szCs w:val="26"/>
              </w:rPr>
              <w:br/>
              <w:t>(1)</w:t>
            </w:r>
          </w:p>
        </w:tc>
        <w:tc>
          <w:tcPr>
            <w:tcW w:w="704" w:type="pct"/>
            <w:shd w:val="clear" w:color="auto" w:fill="D9D9D9" w:themeFill="background1" w:themeFillShade="D9"/>
            <w:vAlign w:val="bottom"/>
          </w:tcPr>
          <w:p w:rsidR="00C9456D" w:rsidRPr="001A50A7" w:rsidP="00AB1FCC" w14:paraId="22B036F0" w14:textId="77777777">
            <w:pPr>
              <w:widowControl w:val="0"/>
              <w:autoSpaceDE w:val="0"/>
              <w:autoSpaceDN w:val="0"/>
              <w:adjustRightInd w:val="0"/>
              <w:jc w:val="center"/>
              <w:rPr>
                <w:rFonts w:eastAsia="Calibri"/>
                <w:b/>
                <w:szCs w:val="26"/>
              </w:rPr>
            </w:pPr>
            <w:r w:rsidRPr="001A50A7">
              <w:rPr>
                <w:rFonts w:eastAsia="Calibri"/>
                <w:b/>
                <w:szCs w:val="26"/>
              </w:rPr>
              <w:t>Annual Number of Responses per Respondent</w:t>
            </w:r>
          </w:p>
          <w:p w:rsidR="00C9456D" w:rsidRPr="001A50A7" w:rsidP="00AB1FCC" w14:paraId="5D384E5B" w14:textId="77777777">
            <w:pPr>
              <w:widowControl w:val="0"/>
              <w:autoSpaceDE w:val="0"/>
              <w:autoSpaceDN w:val="0"/>
              <w:adjustRightInd w:val="0"/>
              <w:jc w:val="center"/>
              <w:rPr>
                <w:rFonts w:eastAsia="Calibri"/>
                <w:b/>
                <w:szCs w:val="26"/>
              </w:rPr>
            </w:pPr>
            <w:r w:rsidRPr="001A50A7">
              <w:rPr>
                <w:rFonts w:eastAsia="Calibri"/>
                <w:b/>
                <w:szCs w:val="26"/>
              </w:rPr>
              <w:t>(2)</w:t>
            </w:r>
          </w:p>
        </w:tc>
        <w:tc>
          <w:tcPr>
            <w:tcW w:w="709" w:type="pct"/>
            <w:shd w:val="clear" w:color="auto" w:fill="D9D9D9" w:themeFill="background1" w:themeFillShade="D9"/>
            <w:vAlign w:val="bottom"/>
          </w:tcPr>
          <w:p w:rsidR="00C9456D" w:rsidRPr="001A50A7" w:rsidP="00AB1FCC" w14:paraId="5422E99A" w14:textId="77777777">
            <w:pPr>
              <w:widowControl w:val="0"/>
              <w:autoSpaceDE w:val="0"/>
              <w:autoSpaceDN w:val="0"/>
              <w:adjustRightInd w:val="0"/>
              <w:jc w:val="center"/>
              <w:rPr>
                <w:rFonts w:eastAsia="Calibri"/>
                <w:b/>
                <w:szCs w:val="26"/>
              </w:rPr>
            </w:pPr>
            <w:r w:rsidRPr="001A50A7">
              <w:rPr>
                <w:rFonts w:eastAsia="Calibri"/>
                <w:b/>
                <w:szCs w:val="26"/>
              </w:rPr>
              <w:t xml:space="preserve">Total Number of Responses </w:t>
            </w:r>
          </w:p>
          <w:p w:rsidR="00C9456D" w:rsidRPr="001A50A7" w:rsidP="00AB1FCC" w14:paraId="5A688C0A" w14:textId="77777777">
            <w:pPr>
              <w:widowControl w:val="0"/>
              <w:autoSpaceDE w:val="0"/>
              <w:autoSpaceDN w:val="0"/>
              <w:adjustRightInd w:val="0"/>
              <w:jc w:val="center"/>
              <w:rPr>
                <w:rFonts w:eastAsia="Calibri"/>
                <w:b/>
                <w:szCs w:val="26"/>
              </w:rPr>
            </w:pPr>
            <w:r w:rsidRPr="001A50A7">
              <w:rPr>
                <w:rFonts w:eastAsia="Calibri"/>
                <w:b/>
                <w:szCs w:val="26"/>
              </w:rPr>
              <w:t>(rounded)</w:t>
            </w:r>
          </w:p>
          <w:p w:rsidR="00C9456D" w:rsidRPr="001A50A7" w:rsidP="00AB1FCC" w14:paraId="77D14654" w14:textId="77777777">
            <w:pPr>
              <w:widowControl w:val="0"/>
              <w:autoSpaceDE w:val="0"/>
              <w:autoSpaceDN w:val="0"/>
              <w:adjustRightInd w:val="0"/>
              <w:jc w:val="center"/>
              <w:rPr>
                <w:rFonts w:eastAsia="Calibri"/>
                <w:b/>
                <w:szCs w:val="26"/>
              </w:rPr>
            </w:pPr>
            <w:r w:rsidRPr="001A50A7">
              <w:rPr>
                <w:rFonts w:eastAsia="Calibri"/>
                <w:b/>
                <w:szCs w:val="26"/>
              </w:rPr>
              <w:t>(1)*(2)=(3)</w:t>
            </w:r>
          </w:p>
        </w:tc>
        <w:tc>
          <w:tcPr>
            <w:tcW w:w="660" w:type="pct"/>
            <w:shd w:val="clear" w:color="auto" w:fill="D9D9D9" w:themeFill="background1" w:themeFillShade="D9"/>
            <w:vAlign w:val="bottom"/>
          </w:tcPr>
          <w:p w:rsidR="00C9456D" w:rsidRPr="001A50A7" w:rsidP="00AB1FCC" w14:paraId="3283F788" w14:textId="32967C39">
            <w:pPr>
              <w:widowControl w:val="0"/>
              <w:autoSpaceDE w:val="0"/>
              <w:autoSpaceDN w:val="0"/>
              <w:adjustRightInd w:val="0"/>
              <w:jc w:val="center"/>
              <w:rPr>
                <w:rFonts w:eastAsia="Calibri"/>
                <w:b/>
                <w:szCs w:val="26"/>
              </w:rPr>
            </w:pPr>
            <w:r w:rsidRPr="001A50A7">
              <w:rPr>
                <w:rFonts w:eastAsia="Calibri"/>
                <w:b/>
                <w:szCs w:val="26"/>
              </w:rPr>
              <w:t>Average Burden &amp; Cost Per Response</w:t>
            </w:r>
          </w:p>
          <w:p w:rsidR="00C9456D" w:rsidRPr="001A50A7" w:rsidP="00AB1FCC" w14:paraId="0BBBEF5B" w14:textId="77777777">
            <w:pPr>
              <w:widowControl w:val="0"/>
              <w:autoSpaceDE w:val="0"/>
              <w:autoSpaceDN w:val="0"/>
              <w:adjustRightInd w:val="0"/>
              <w:jc w:val="center"/>
              <w:rPr>
                <w:rFonts w:eastAsia="Calibri"/>
                <w:b/>
                <w:szCs w:val="26"/>
              </w:rPr>
            </w:pPr>
            <w:r w:rsidRPr="001A50A7">
              <w:rPr>
                <w:rFonts w:eastAsia="Calibri"/>
                <w:b/>
                <w:szCs w:val="26"/>
              </w:rPr>
              <w:t>(rounded)</w:t>
            </w:r>
          </w:p>
          <w:p w:rsidR="00C9456D" w:rsidRPr="001A50A7" w:rsidP="00AB1FCC" w14:paraId="43DA2C75" w14:textId="77777777">
            <w:pPr>
              <w:widowControl w:val="0"/>
              <w:autoSpaceDE w:val="0"/>
              <w:autoSpaceDN w:val="0"/>
              <w:adjustRightInd w:val="0"/>
              <w:jc w:val="center"/>
              <w:rPr>
                <w:rFonts w:eastAsia="Calibri"/>
                <w:b/>
                <w:szCs w:val="26"/>
              </w:rPr>
            </w:pPr>
            <w:r w:rsidRPr="001A50A7">
              <w:rPr>
                <w:rFonts w:eastAsia="Calibri"/>
                <w:b/>
                <w:szCs w:val="26"/>
              </w:rPr>
              <w:t>(4)</w:t>
            </w:r>
          </w:p>
        </w:tc>
        <w:tc>
          <w:tcPr>
            <w:tcW w:w="921" w:type="pct"/>
            <w:shd w:val="clear" w:color="auto" w:fill="D9D9D9" w:themeFill="background1" w:themeFillShade="D9"/>
            <w:vAlign w:val="bottom"/>
          </w:tcPr>
          <w:p w:rsidR="00C9456D" w:rsidRPr="001A50A7" w:rsidP="00AB1FCC" w14:paraId="23E85966" w14:textId="77777777">
            <w:pPr>
              <w:widowControl w:val="0"/>
              <w:autoSpaceDE w:val="0"/>
              <w:autoSpaceDN w:val="0"/>
              <w:adjustRightInd w:val="0"/>
              <w:jc w:val="center"/>
              <w:rPr>
                <w:rFonts w:eastAsia="Calibri"/>
                <w:b/>
                <w:szCs w:val="26"/>
              </w:rPr>
            </w:pPr>
            <w:r w:rsidRPr="001A50A7">
              <w:rPr>
                <w:rFonts w:eastAsia="Calibri"/>
                <w:b/>
                <w:szCs w:val="26"/>
              </w:rPr>
              <w:t>Total Annual Burden Hours &amp; Total Annual Cost</w:t>
            </w:r>
          </w:p>
          <w:p w:rsidR="00C9456D" w:rsidRPr="001A50A7" w:rsidP="00AB1FCC" w14:paraId="23BA702E" w14:textId="77777777">
            <w:pPr>
              <w:widowControl w:val="0"/>
              <w:autoSpaceDE w:val="0"/>
              <w:autoSpaceDN w:val="0"/>
              <w:adjustRightInd w:val="0"/>
              <w:jc w:val="center"/>
              <w:rPr>
                <w:rFonts w:eastAsia="Calibri"/>
                <w:b/>
                <w:szCs w:val="26"/>
              </w:rPr>
            </w:pPr>
            <w:r w:rsidRPr="001A50A7">
              <w:rPr>
                <w:rFonts w:eastAsia="Calibri"/>
                <w:b/>
                <w:szCs w:val="26"/>
              </w:rPr>
              <w:t>(rounded)</w:t>
            </w:r>
          </w:p>
          <w:p w:rsidR="00C9456D" w:rsidRPr="001A50A7" w:rsidP="00AB1FCC" w14:paraId="426E4B2F" w14:textId="77777777">
            <w:pPr>
              <w:widowControl w:val="0"/>
              <w:autoSpaceDE w:val="0"/>
              <w:autoSpaceDN w:val="0"/>
              <w:adjustRightInd w:val="0"/>
              <w:jc w:val="center"/>
              <w:rPr>
                <w:rFonts w:eastAsia="Calibri"/>
                <w:b/>
                <w:szCs w:val="26"/>
              </w:rPr>
            </w:pPr>
            <w:r w:rsidRPr="001A50A7">
              <w:rPr>
                <w:rFonts w:eastAsia="Calibri"/>
                <w:b/>
                <w:szCs w:val="26"/>
              </w:rPr>
              <w:t>(3)*(4)=(5)</w:t>
            </w:r>
          </w:p>
        </w:tc>
        <w:tc>
          <w:tcPr>
            <w:tcW w:w="705" w:type="pct"/>
            <w:shd w:val="clear" w:color="auto" w:fill="D9D9D9" w:themeFill="background1" w:themeFillShade="D9"/>
            <w:vAlign w:val="bottom"/>
          </w:tcPr>
          <w:p w:rsidR="00C9456D" w:rsidRPr="001A50A7" w:rsidP="00AB1FCC" w14:paraId="1C4725F0" w14:textId="77777777">
            <w:pPr>
              <w:widowControl w:val="0"/>
              <w:autoSpaceDE w:val="0"/>
              <w:autoSpaceDN w:val="0"/>
              <w:adjustRightInd w:val="0"/>
              <w:jc w:val="center"/>
              <w:rPr>
                <w:rFonts w:eastAsia="Calibri"/>
                <w:b/>
                <w:szCs w:val="26"/>
              </w:rPr>
            </w:pPr>
            <w:r w:rsidRPr="001A50A7">
              <w:rPr>
                <w:rFonts w:eastAsia="Calibri"/>
                <w:b/>
                <w:szCs w:val="26"/>
              </w:rPr>
              <w:t>Cost per Respondent</w:t>
            </w:r>
          </w:p>
          <w:p w:rsidR="00C9456D" w:rsidRPr="001A50A7" w:rsidP="00AB1FCC" w14:paraId="7087362F" w14:textId="77777777">
            <w:pPr>
              <w:widowControl w:val="0"/>
              <w:autoSpaceDE w:val="0"/>
              <w:autoSpaceDN w:val="0"/>
              <w:adjustRightInd w:val="0"/>
              <w:jc w:val="center"/>
              <w:rPr>
                <w:rFonts w:eastAsia="Calibri"/>
                <w:b/>
                <w:szCs w:val="26"/>
              </w:rPr>
            </w:pPr>
            <w:r w:rsidRPr="001A50A7">
              <w:rPr>
                <w:rFonts w:eastAsia="Calibri"/>
                <w:b/>
                <w:szCs w:val="26"/>
              </w:rPr>
              <w:t xml:space="preserve"> ($)</w:t>
            </w:r>
          </w:p>
          <w:p w:rsidR="00C9456D" w:rsidRPr="001A50A7" w:rsidP="00AB1FCC" w14:paraId="0E36ACA7" w14:textId="77777777">
            <w:pPr>
              <w:widowControl w:val="0"/>
              <w:autoSpaceDE w:val="0"/>
              <w:autoSpaceDN w:val="0"/>
              <w:adjustRightInd w:val="0"/>
              <w:jc w:val="center"/>
              <w:rPr>
                <w:rFonts w:eastAsia="Calibri"/>
                <w:b/>
                <w:szCs w:val="26"/>
              </w:rPr>
            </w:pPr>
            <w:r w:rsidRPr="001A50A7">
              <w:rPr>
                <w:rFonts w:eastAsia="Calibri"/>
                <w:b/>
                <w:szCs w:val="26"/>
              </w:rPr>
              <w:t>(rounded)</w:t>
            </w:r>
          </w:p>
          <w:p w:rsidR="00C9456D" w:rsidRPr="001A50A7" w:rsidP="00AB1FCC" w14:paraId="628A34A5" w14:textId="77777777">
            <w:pPr>
              <w:widowControl w:val="0"/>
              <w:autoSpaceDE w:val="0"/>
              <w:autoSpaceDN w:val="0"/>
              <w:adjustRightInd w:val="0"/>
              <w:jc w:val="center"/>
              <w:rPr>
                <w:rFonts w:eastAsia="Calibri"/>
                <w:b/>
                <w:szCs w:val="26"/>
              </w:rPr>
            </w:pPr>
            <w:r w:rsidRPr="001A50A7">
              <w:rPr>
                <w:rFonts w:eastAsia="Calibri"/>
                <w:b/>
                <w:szCs w:val="26"/>
              </w:rPr>
              <w:t>(5)÷(1)</w:t>
            </w:r>
          </w:p>
        </w:tc>
      </w:tr>
      <w:tr w14:paraId="70EDDFF3" w14:textId="77777777" w:rsidTr="23DC8365">
        <w:tblPrEx>
          <w:tblW w:w="5474" w:type="pct"/>
          <w:tblInd w:w="-72" w:type="dxa"/>
          <w:tblLayout w:type="fixed"/>
          <w:tblLook w:val="01E0"/>
        </w:tblPrEx>
        <w:trPr>
          <w:cantSplit/>
        </w:trPr>
        <w:tc>
          <w:tcPr>
            <w:tcW w:w="692" w:type="pct"/>
          </w:tcPr>
          <w:p w:rsidR="00C9456D" w:rsidRPr="001A50A7" w:rsidP="00AB1FCC" w14:paraId="3F6D1B1D" w14:textId="77777777">
            <w:pPr>
              <w:widowControl w:val="0"/>
              <w:autoSpaceDE w:val="0"/>
              <w:autoSpaceDN w:val="0"/>
              <w:adjustRightInd w:val="0"/>
              <w:rPr>
                <w:rFonts w:eastAsia="Calibri"/>
                <w:szCs w:val="26"/>
              </w:rPr>
            </w:pPr>
            <w:r w:rsidRPr="001A50A7">
              <w:rPr>
                <w:rFonts w:eastAsia="Calibri"/>
                <w:szCs w:val="26"/>
              </w:rPr>
              <w:t>Pipeline Certificate Filings and Storage Applications</w:t>
            </w:r>
          </w:p>
        </w:tc>
        <w:tc>
          <w:tcPr>
            <w:tcW w:w="609" w:type="pct"/>
          </w:tcPr>
          <w:p w:rsidR="00C9456D" w:rsidRPr="001A50A7" w:rsidP="5508D2D3" w14:paraId="57B5EE57" w14:textId="3C0B3BD9">
            <w:pPr>
              <w:widowControl w:val="0"/>
              <w:autoSpaceDE w:val="0"/>
              <w:autoSpaceDN w:val="0"/>
              <w:adjustRightInd w:val="0"/>
              <w:jc w:val="right"/>
              <w:rPr>
                <w:rFonts w:eastAsia="Calibri"/>
              </w:rPr>
            </w:pPr>
            <w:r w:rsidRPr="5508D2D3">
              <w:rPr>
                <w:rFonts w:eastAsia="Calibri"/>
              </w:rPr>
              <w:t>4</w:t>
            </w:r>
            <w:r w:rsidRPr="5508D2D3" w:rsidR="1E9D98F1">
              <w:rPr>
                <w:rFonts w:eastAsia="Calibri"/>
              </w:rPr>
              <w:t>8</w:t>
            </w:r>
          </w:p>
          <w:p w:rsidR="00C9456D" w:rsidRPr="001A50A7" w:rsidP="00AB1FCC" w14:paraId="79857264" w14:textId="77777777">
            <w:pPr>
              <w:widowControl w:val="0"/>
              <w:autoSpaceDE w:val="0"/>
              <w:autoSpaceDN w:val="0"/>
              <w:adjustRightInd w:val="0"/>
              <w:jc w:val="right"/>
              <w:rPr>
                <w:rFonts w:eastAsia="Calibri"/>
                <w:szCs w:val="26"/>
              </w:rPr>
            </w:pPr>
          </w:p>
        </w:tc>
        <w:tc>
          <w:tcPr>
            <w:tcW w:w="704" w:type="pct"/>
          </w:tcPr>
          <w:p w:rsidR="00C9456D" w:rsidRPr="001A50A7" w:rsidP="5508D2D3" w14:paraId="0F827106" w14:textId="2F2788AD">
            <w:pPr>
              <w:widowControl w:val="0"/>
              <w:autoSpaceDE w:val="0"/>
              <w:autoSpaceDN w:val="0"/>
              <w:adjustRightInd w:val="0"/>
              <w:jc w:val="right"/>
              <w:rPr>
                <w:rFonts w:eastAsia="Calibri"/>
              </w:rPr>
            </w:pPr>
            <w:r w:rsidRPr="5508D2D3">
              <w:rPr>
                <w:rFonts w:eastAsia="Calibri"/>
              </w:rPr>
              <w:t>1</w:t>
            </w:r>
            <w:r>
              <w:rPr>
                <w:rFonts w:eastAsia="Calibri"/>
                <w:b/>
                <w:bCs/>
                <w:vertAlign w:val="superscript"/>
              </w:rPr>
              <w:footnoteReference w:id="13"/>
            </w:r>
          </w:p>
        </w:tc>
        <w:tc>
          <w:tcPr>
            <w:tcW w:w="709" w:type="pct"/>
          </w:tcPr>
          <w:p w:rsidR="00C9456D" w:rsidRPr="001A50A7" w:rsidP="5508D2D3" w14:paraId="1A36AF0D" w14:textId="2C516E85">
            <w:pPr>
              <w:widowControl w:val="0"/>
              <w:autoSpaceDE w:val="0"/>
              <w:autoSpaceDN w:val="0"/>
              <w:adjustRightInd w:val="0"/>
              <w:jc w:val="right"/>
              <w:rPr>
                <w:rFonts w:eastAsia="Calibri"/>
              </w:rPr>
            </w:pPr>
            <w:r w:rsidRPr="5508D2D3">
              <w:rPr>
                <w:rFonts w:eastAsia="Calibri"/>
              </w:rPr>
              <w:t>48</w:t>
            </w:r>
          </w:p>
        </w:tc>
        <w:tc>
          <w:tcPr>
            <w:tcW w:w="660" w:type="pct"/>
            <w:shd w:val="clear" w:color="auto" w:fill="auto"/>
          </w:tcPr>
          <w:p w:rsidR="00C9456D" w:rsidRPr="001A50A7" w:rsidP="00AB1FCC" w14:paraId="3EE63E38" w14:textId="77777777">
            <w:pPr>
              <w:widowControl w:val="0"/>
              <w:autoSpaceDE w:val="0"/>
              <w:autoSpaceDN w:val="0"/>
              <w:adjustRightInd w:val="0"/>
              <w:jc w:val="right"/>
              <w:rPr>
                <w:rFonts w:eastAsia="Calibri"/>
                <w:szCs w:val="26"/>
              </w:rPr>
            </w:pPr>
            <w:r w:rsidRPr="001A50A7">
              <w:rPr>
                <w:rFonts w:eastAsia="Calibri"/>
                <w:szCs w:val="26"/>
              </w:rPr>
              <w:t xml:space="preserve">500 hrs.; </w:t>
            </w:r>
          </w:p>
          <w:p w:rsidR="00C9456D" w:rsidRPr="001A50A7" w:rsidP="5508D2D3" w14:paraId="21EDC289" w14:textId="32A383F4">
            <w:pPr>
              <w:widowControl w:val="0"/>
              <w:autoSpaceDE w:val="0"/>
              <w:autoSpaceDN w:val="0"/>
              <w:adjustRightInd w:val="0"/>
              <w:jc w:val="right"/>
              <w:rPr>
                <w:rFonts w:eastAsia="Calibri"/>
              </w:rPr>
            </w:pPr>
            <w:r w:rsidRPr="7506D664">
              <w:rPr>
                <w:rFonts w:eastAsia="Calibri"/>
              </w:rPr>
              <w:t>$</w:t>
            </w:r>
            <w:r w:rsidRPr="7506D664" w:rsidR="2A9323F1">
              <w:rPr>
                <w:rFonts w:eastAsia="Calibri"/>
              </w:rPr>
              <w:t>50,000</w:t>
            </w:r>
          </w:p>
        </w:tc>
        <w:tc>
          <w:tcPr>
            <w:tcW w:w="921" w:type="pct"/>
            <w:shd w:val="clear" w:color="auto" w:fill="auto"/>
          </w:tcPr>
          <w:p w:rsidR="00C9456D" w:rsidRPr="001A50A7" w:rsidP="5508D2D3" w14:paraId="394CD398" w14:textId="5F0D6F10">
            <w:pPr>
              <w:widowControl w:val="0"/>
              <w:autoSpaceDE w:val="0"/>
              <w:autoSpaceDN w:val="0"/>
              <w:adjustRightInd w:val="0"/>
              <w:jc w:val="right"/>
              <w:rPr>
                <w:rFonts w:eastAsia="Calibri"/>
              </w:rPr>
            </w:pPr>
            <w:r w:rsidRPr="5508D2D3">
              <w:rPr>
                <w:rFonts w:eastAsia="Calibri"/>
              </w:rPr>
              <w:t xml:space="preserve">  </w:t>
            </w:r>
            <w:r w:rsidRPr="5508D2D3" w:rsidR="1875726B">
              <w:rPr>
                <w:rFonts w:eastAsia="Calibri"/>
              </w:rPr>
              <w:t>24,000</w:t>
            </w:r>
            <w:r w:rsidRPr="5508D2D3">
              <w:rPr>
                <w:rFonts w:eastAsia="Calibri"/>
              </w:rPr>
              <w:t xml:space="preserve"> hrs.; </w:t>
            </w:r>
          </w:p>
          <w:p w:rsidR="00C9456D" w:rsidRPr="001A50A7" w:rsidP="5508D2D3" w14:paraId="535E2F2E" w14:textId="32CB27DE">
            <w:pPr>
              <w:widowControl w:val="0"/>
              <w:autoSpaceDE w:val="0"/>
              <w:autoSpaceDN w:val="0"/>
              <w:adjustRightInd w:val="0"/>
              <w:jc w:val="right"/>
              <w:rPr>
                <w:rFonts w:eastAsia="Calibri"/>
              </w:rPr>
            </w:pPr>
            <w:r w:rsidRPr="5508D2D3">
              <w:rPr>
                <w:rFonts w:eastAsia="Calibri"/>
              </w:rPr>
              <w:t>$</w:t>
            </w:r>
            <w:r w:rsidRPr="5508D2D3" w:rsidR="1C1E9AF3">
              <w:rPr>
                <w:rFonts w:eastAsia="Calibri"/>
              </w:rPr>
              <w:t>2,</w:t>
            </w:r>
            <w:r w:rsidRPr="7506D664" w:rsidR="7C070380">
              <w:rPr>
                <w:rFonts w:eastAsia="Calibri"/>
              </w:rPr>
              <w:t>400</w:t>
            </w:r>
            <w:r w:rsidRPr="5508D2D3" w:rsidR="1C1E9AF3">
              <w:rPr>
                <w:rFonts w:eastAsia="Calibri"/>
              </w:rPr>
              <w:t>,000</w:t>
            </w:r>
          </w:p>
        </w:tc>
        <w:tc>
          <w:tcPr>
            <w:tcW w:w="705" w:type="pct"/>
            <w:shd w:val="clear" w:color="auto" w:fill="auto"/>
          </w:tcPr>
          <w:p w:rsidR="00C9456D" w:rsidRPr="001A50A7" w:rsidP="5508D2D3" w14:paraId="5F44E40E" w14:textId="2E39D620">
            <w:pPr>
              <w:widowControl w:val="0"/>
              <w:autoSpaceDE w:val="0"/>
              <w:autoSpaceDN w:val="0"/>
              <w:adjustRightInd w:val="0"/>
              <w:jc w:val="right"/>
              <w:rPr>
                <w:rFonts w:eastAsia="Calibri"/>
              </w:rPr>
            </w:pPr>
            <w:r w:rsidRPr="7506D664">
              <w:rPr>
                <w:rFonts w:eastAsia="Calibri"/>
              </w:rPr>
              <w:t>$</w:t>
            </w:r>
            <w:r w:rsidRPr="7506D664" w:rsidR="22FF2B58">
              <w:rPr>
                <w:rFonts w:eastAsia="Calibri"/>
              </w:rPr>
              <w:t>50,000</w:t>
            </w:r>
          </w:p>
        </w:tc>
      </w:tr>
      <w:tr w14:paraId="34CF0B6B" w14:textId="77777777" w:rsidTr="23DC8365">
        <w:tblPrEx>
          <w:tblW w:w="5474" w:type="pct"/>
          <w:tblInd w:w="-72" w:type="dxa"/>
          <w:tblLayout w:type="fixed"/>
          <w:tblLook w:val="01E0"/>
        </w:tblPrEx>
        <w:trPr>
          <w:cantSplit/>
        </w:trPr>
        <w:tc>
          <w:tcPr>
            <w:tcW w:w="692" w:type="pct"/>
          </w:tcPr>
          <w:p w:rsidR="00EC24C9" w:rsidRPr="001A50A7" w:rsidP="5508D2D3" w14:paraId="03240E8F" w14:textId="1B1BA807">
            <w:pPr>
              <w:widowControl w:val="0"/>
              <w:autoSpaceDE w:val="0"/>
              <w:autoSpaceDN w:val="0"/>
              <w:adjustRightInd w:val="0"/>
              <w:rPr>
                <w:rFonts w:eastAsia="Calibri"/>
              </w:rPr>
            </w:pPr>
            <w:r w:rsidRPr="23DC8365">
              <w:rPr>
                <w:rFonts w:eastAsia="Calibri"/>
              </w:rPr>
              <w:t>Project Area Labor Wage</w:t>
            </w:r>
            <w:r>
              <w:rPr>
                <w:rFonts w:eastAsia="Calibri"/>
                <w:b/>
                <w:bCs/>
                <w:sz w:val="22"/>
                <w:szCs w:val="22"/>
              </w:rPr>
              <w:footnoteReference w:id="14"/>
            </w:r>
          </w:p>
        </w:tc>
        <w:tc>
          <w:tcPr>
            <w:tcW w:w="609" w:type="pct"/>
          </w:tcPr>
          <w:p w:rsidR="00EC24C9" w:rsidP="00AB1FCC" w14:paraId="194F3900" w14:textId="4547BEAF">
            <w:pPr>
              <w:widowControl w:val="0"/>
              <w:autoSpaceDE w:val="0"/>
              <w:autoSpaceDN w:val="0"/>
              <w:adjustRightInd w:val="0"/>
              <w:jc w:val="right"/>
              <w:rPr>
                <w:rFonts w:eastAsia="Calibri"/>
                <w:szCs w:val="26"/>
              </w:rPr>
            </w:pPr>
            <w:r>
              <w:rPr>
                <w:rFonts w:eastAsia="Calibri"/>
                <w:szCs w:val="26"/>
              </w:rPr>
              <w:t>16</w:t>
            </w:r>
          </w:p>
        </w:tc>
        <w:tc>
          <w:tcPr>
            <w:tcW w:w="704" w:type="pct"/>
          </w:tcPr>
          <w:p w:rsidR="00EC24C9" w:rsidP="00AB1FCC" w14:paraId="0F4A7F8F" w14:textId="6C6B2AFB">
            <w:pPr>
              <w:widowControl w:val="0"/>
              <w:autoSpaceDE w:val="0"/>
              <w:autoSpaceDN w:val="0"/>
              <w:adjustRightInd w:val="0"/>
              <w:jc w:val="right"/>
              <w:rPr>
                <w:rFonts w:eastAsia="Calibri"/>
                <w:szCs w:val="26"/>
              </w:rPr>
            </w:pPr>
            <w:r>
              <w:rPr>
                <w:rFonts w:eastAsia="Calibri"/>
                <w:szCs w:val="26"/>
              </w:rPr>
              <w:t>1</w:t>
            </w:r>
          </w:p>
        </w:tc>
        <w:tc>
          <w:tcPr>
            <w:tcW w:w="709" w:type="pct"/>
          </w:tcPr>
          <w:p w:rsidR="00EC24C9" w:rsidRPr="001A50A7" w:rsidP="00AB1FCC" w14:paraId="380C512A" w14:textId="1A91351B">
            <w:pPr>
              <w:widowControl w:val="0"/>
              <w:autoSpaceDE w:val="0"/>
              <w:autoSpaceDN w:val="0"/>
              <w:adjustRightInd w:val="0"/>
              <w:jc w:val="right"/>
              <w:rPr>
                <w:rFonts w:eastAsia="Calibri"/>
                <w:szCs w:val="26"/>
              </w:rPr>
            </w:pPr>
            <w:r>
              <w:rPr>
                <w:rFonts w:eastAsia="Calibri"/>
                <w:szCs w:val="26"/>
              </w:rPr>
              <w:t>16</w:t>
            </w:r>
          </w:p>
        </w:tc>
        <w:tc>
          <w:tcPr>
            <w:tcW w:w="660" w:type="pct"/>
            <w:shd w:val="clear" w:color="auto" w:fill="auto"/>
          </w:tcPr>
          <w:p w:rsidR="00EC24C9" w:rsidRPr="001A50A7" w:rsidP="23DC8365" w14:paraId="44CACDA4" w14:textId="06CB9517">
            <w:pPr>
              <w:widowControl w:val="0"/>
              <w:autoSpaceDE w:val="0"/>
              <w:autoSpaceDN w:val="0"/>
              <w:adjustRightInd w:val="0"/>
              <w:jc w:val="right"/>
              <w:rPr>
                <w:rFonts w:eastAsia="Calibri"/>
              </w:rPr>
            </w:pPr>
            <w:r w:rsidRPr="23DC8365">
              <w:rPr>
                <w:rFonts w:eastAsia="Calibri"/>
              </w:rPr>
              <w:t xml:space="preserve">15 </w:t>
            </w:r>
            <w:r w:rsidRPr="23DC8365">
              <w:rPr>
                <w:rFonts w:eastAsia="Calibri"/>
              </w:rPr>
              <w:t>hrs</w:t>
            </w:r>
            <w:r w:rsidRPr="23DC8365">
              <w:rPr>
                <w:rFonts w:eastAsia="Calibri"/>
              </w:rPr>
              <w:t>;</w:t>
            </w:r>
          </w:p>
          <w:p w:rsidR="00EC24C9" w:rsidRPr="001A50A7" w:rsidP="23DC8365" w14:paraId="4B928549" w14:textId="15346FCE">
            <w:pPr>
              <w:widowControl w:val="0"/>
              <w:autoSpaceDE w:val="0"/>
              <w:autoSpaceDN w:val="0"/>
              <w:adjustRightInd w:val="0"/>
              <w:jc w:val="right"/>
              <w:rPr>
                <w:rFonts w:eastAsia="Calibri"/>
              </w:rPr>
            </w:pPr>
            <w:r w:rsidRPr="23DC8365">
              <w:rPr>
                <w:rFonts w:eastAsia="Calibri"/>
              </w:rPr>
              <w:t>$1,500</w:t>
            </w:r>
          </w:p>
        </w:tc>
        <w:tc>
          <w:tcPr>
            <w:tcW w:w="921" w:type="pct"/>
            <w:shd w:val="clear" w:color="auto" w:fill="auto"/>
          </w:tcPr>
          <w:p w:rsidR="00036696" w:rsidP="00AB1FCC" w14:paraId="651378E9" w14:textId="77777777">
            <w:pPr>
              <w:widowControl w:val="0"/>
              <w:autoSpaceDE w:val="0"/>
              <w:autoSpaceDN w:val="0"/>
              <w:adjustRightInd w:val="0"/>
              <w:jc w:val="right"/>
              <w:rPr>
                <w:rFonts w:eastAsia="Calibri"/>
                <w:szCs w:val="26"/>
              </w:rPr>
            </w:pPr>
            <w:r>
              <w:rPr>
                <w:rFonts w:eastAsia="Calibri"/>
                <w:szCs w:val="26"/>
              </w:rPr>
              <w:t xml:space="preserve">240 </w:t>
            </w:r>
            <w:r>
              <w:rPr>
                <w:rFonts w:eastAsia="Calibri"/>
                <w:szCs w:val="26"/>
              </w:rPr>
              <w:t>hrs</w:t>
            </w:r>
            <w:r>
              <w:rPr>
                <w:rFonts w:eastAsia="Calibri"/>
                <w:szCs w:val="26"/>
              </w:rPr>
              <w:t>;</w:t>
            </w:r>
          </w:p>
          <w:p w:rsidR="00EC24C9" w:rsidRPr="001A50A7" w:rsidP="23DC8365" w14:paraId="4F1010DE" w14:textId="61DCA9F0">
            <w:pPr>
              <w:widowControl w:val="0"/>
              <w:autoSpaceDE w:val="0"/>
              <w:autoSpaceDN w:val="0"/>
              <w:adjustRightInd w:val="0"/>
              <w:jc w:val="right"/>
              <w:rPr>
                <w:rFonts w:eastAsia="Calibri"/>
              </w:rPr>
            </w:pPr>
            <w:r w:rsidRPr="23DC8365">
              <w:rPr>
                <w:rFonts w:eastAsia="Calibri"/>
              </w:rPr>
              <w:t>$24,000</w:t>
            </w:r>
          </w:p>
        </w:tc>
        <w:tc>
          <w:tcPr>
            <w:tcW w:w="705" w:type="pct"/>
            <w:shd w:val="clear" w:color="auto" w:fill="auto"/>
          </w:tcPr>
          <w:p w:rsidR="00036696" w:rsidP="00AB1FCC" w14:paraId="0D58EEB9" w14:textId="77777777">
            <w:pPr>
              <w:widowControl w:val="0"/>
              <w:autoSpaceDE w:val="0"/>
              <w:autoSpaceDN w:val="0"/>
              <w:adjustRightInd w:val="0"/>
              <w:jc w:val="right"/>
              <w:rPr>
                <w:rFonts w:eastAsia="Calibri"/>
                <w:szCs w:val="26"/>
              </w:rPr>
            </w:pPr>
            <w:r>
              <w:rPr>
                <w:rFonts w:eastAsia="Calibri"/>
                <w:szCs w:val="26"/>
              </w:rPr>
              <w:t xml:space="preserve">15 </w:t>
            </w:r>
            <w:r>
              <w:rPr>
                <w:rFonts w:eastAsia="Calibri"/>
                <w:szCs w:val="26"/>
              </w:rPr>
              <w:t>hrs</w:t>
            </w:r>
            <w:r>
              <w:rPr>
                <w:rFonts w:eastAsia="Calibri"/>
                <w:szCs w:val="26"/>
              </w:rPr>
              <w:t>:</w:t>
            </w:r>
          </w:p>
          <w:p w:rsidR="00EC24C9" w:rsidRPr="001A50A7" w:rsidP="23DC8365" w14:paraId="3663FC33" w14:textId="63942142">
            <w:pPr>
              <w:widowControl w:val="0"/>
              <w:autoSpaceDE w:val="0"/>
              <w:autoSpaceDN w:val="0"/>
              <w:adjustRightInd w:val="0"/>
              <w:jc w:val="right"/>
              <w:rPr>
                <w:rFonts w:eastAsia="Calibri"/>
              </w:rPr>
            </w:pPr>
            <w:r w:rsidRPr="23DC8365">
              <w:rPr>
                <w:rFonts w:eastAsia="Calibri"/>
              </w:rPr>
              <w:t>$1,500</w:t>
            </w:r>
          </w:p>
        </w:tc>
      </w:tr>
    </w:tbl>
    <w:p w:rsidR="4B3AC782" w:rsidP="4B3AC782" w14:paraId="24CF61FE" w14:textId="42824458">
      <w:pPr>
        <w:spacing w:line="480" w:lineRule="auto"/>
        <w:rPr>
          <w:i/>
          <w:iCs/>
        </w:rPr>
      </w:pPr>
    </w:p>
    <w:p w:rsidR="00357E62" w:rsidRPr="001C71A5" w:rsidP="001C71A5" w14:paraId="444DAB6C" w14:textId="091AD486">
      <w:pPr>
        <w:pStyle w:val="ListParagraph"/>
        <w:numPr>
          <w:ilvl w:val="0"/>
          <w:numId w:val="16"/>
        </w:numPr>
        <w:spacing w:line="480" w:lineRule="auto"/>
        <w:rPr>
          <w:b/>
          <w:bCs/>
        </w:rPr>
      </w:pPr>
      <w:r w:rsidRPr="001C71A5">
        <w:rPr>
          <w:b/>
          <w:bCs/>
        </w:rPr>
        <w:t>FERC-580</w:t>
      </w:r>
    </w:p>
    <w:p w:rsidR="00357E62" w:rsidRPr="00A45A26" w:rsidP="00357E62" w14:paraId="7BD6318B" w14:textId="3E1FF6D1">
      <w:pPr>
        <w:spacing w:line="480" w:lineRule="auto"/>
      </w:pPr>
      <w:r w:rsidRPr="002073D8">
        <w:rPr>
          <w:i/>
          <w:iCs/>
        </w:rPr>
        <w:t>Title:</w:t>
      </w:r>
      <w:r w:rsidRPr="00A45A26">
        <w:t xml:space="preserve">  FERC Form 580: Interrogatory on Fuel and Energy Purchase Practices Pursuant to Section 205 of the Federal Power Act</w:t>
      </w:r>
    </w:p>
    <w:p w:rsidR="00357E62" w:rsidRPr="00A45A26" w:rsidP="00357E62" w14:paraId="6337A2F8" w14:textId="77777777">
      <w:pPr>
        <w:spacing w:line="480" w:lineRule="auto"/>
      </w:pPr>
      <w:r w:rsidRPr="002073D8">
        <w:rPr>
          <w:i/>
          <w:iCs/>
        </w:rPr>
        <w:t>OMB Control No.:</w:t>
      </w:r>
      <w:r w:rsidRPr="00A45A26">
        <w:t xml:space="preserve"> 1902-0137  </w:t>
      </w:r>
    </w:p>
    <w:p w:rsidR="00357E62" w:rsidRPr="00A45A26" w:rsidP="00357E62" w14:paraId="6873FF80" w14:textId="7C449C05">
      <w:pPr>
        <w:spacing w:line="480" w:lineRule="auto"/>
      </w:pPr>
      <w:r w:rsidRPr="002073D8">
        <w:rPr>
          <w:i/>
          <w:iCs/>
        </w:rPr>
        <w:t>Type of Request:</w:t>
      </w:r>
      <w:r>
        <w:t xml:space="preserve"> </w:t>
      </w:r>
      <w:r w:rsidRPr="00A45A26">
        <w:t xml:space="preserve"> Three-year extension of the FERC Form 580 with no substantive changes to the current reporting requirements.  Administrative changes to update the form are being made, as described below. </w:t>
      </w:r>
    </w:p>
    <w:p w:rsidR="00357E62" w:rsidRPr="00A45A26" w:rsidP="00357E62" w14:paraId="451DB18F" w14:textId="0383A5C3">
      <w:pPr>
        <w:spacing w:line="480" w:lineRule="auto"/>
        <w:rPr>
          <w:bCs/>
        </w:rPr>
      </w:pPr>
      <w:r w:rsidRPr="00A45A26">
        <w:rPr>
          <w:bCs/>
        </w:rPr>
        <w:t>Abstract:  The Commission collects FERC Form 580 information every other year as required under Section 205(f)(2) of the FPA,</w:t>
      </w:r>
      <w:r>
        <w:rPr>
          <w:b/>
          <w:bCs/>
          <w:vertAlign w:val="superscript"/>
        </w:rPr>
        <w:footnoteReference w:id="15"/>
      </w:r>
      <w:r w:rsidRPr="00A45A26">
        <w:rPr>
          <w:bCs/>
        </w:rPr>
        <w:t xml:space="preserve"> which provides that the Commission must review,</w:t>
      </w:r>
      <w:r w:rsidR="00506015">
        <w:rPr>
          <w:bCs/>
        </w:rPr>
        <w:t xml:space="preserve"> </w:t>
      </w:r>
      <w:r w:rsidRPr="00A45A26">
        <w:rPr>
          <w:bCs/>
        </w:rPr>
        <w:t>“not less frequently than every 2 years,” practices under automatic adjustment clauses (AACs).</w:t>
      </w:r>
      <w:r>
        <w:rPr>
          <w:b/>
          <w:bCs/>
          <w:vertAlign w:val="superscript"/>
        </w:rPr>
        <w:footnoteReference w:id="16"/>
      </w:r>
      <w:r w:rsidRPr="00A45A26">
        <w:rPr>
          <w:bCs/>
        </w:rPr>
        <w:t xml:space="preserve"> </w:t>
      </w:r>
      <w:r w:rsidR="6867F224">
        <w:t xml:space="preserve"> </w:t>
      </w:r>
      <w:r w:rsidRPr="00A45A26">
        <w:rPr>
          <w:bCs/>
        </w:rPr>
        <w:t xml:space="preserve">As required by FPA section 205(f)(2), the Commission uses the information collected through the FERC Form 580 interrogatory to </w:t>
      </w:r>
      <w:bookmarkStart w:id="7" w:name="_Hlk20292649"/>
      <w:r w:rsidRPr="00A45A26">
        <w:rPr>
          <w:bCs/>
        </w:rPr>
        <w:t xml:space="preserve">review utility purchase and cost recovery practices </w:t>
      </w:r>
      <w:bookmarkEnd w:id="7"/>
      <w:r w:rsidRPr="00A45A26">
        <w:rPr>
          <w:bCs/>
        </w:rPr>
        <w:t>under AACs in order to ensure efficient use of resources.</w:t>
      </w:r>
      <w:r>
        <w:rPr>
          <w:bCs/>
          <w:vertAlign w:val="superscript"/>
        </w:rPr>
        <w:footnoteReference w:id="17"/>
      </w:r>
      <w:r w:rsidRPr="00A45A26">
        <w:rPr>
          <w:bCs/>
        </w:rPr>
        <w:t xml:space="preserve">  The Commission uses the information to evaluate costs in individual rate filings and to supplement periodic utility audits.  The public also uses the information in this manner.  Without the FERC Form 580 interrogatory, the Commission would not have the requisite information available to conduct the necessary review the FPA mandates. </w:t>
      </w:r>
    </w:p>
    <w:p w:rsidR="00357E62" w:rsidRPr="00A45A26" w:rsidP="00357E62" w14:paraId="1F318F8C" w14:textId="0C7AEC8A">
      <w:pPr>
        <w:spacing w:line="480" w:lineRule="auto"/>
      </w:pPr>
      <w:r w:rsidRPr="002073D8">
        <w:rPr>
          <w:bCs/>
          <w:i/>
          <w:iCs/>
        </w:rPr>
        <w:t>Type of Respondents:</w:t>
      </w:r>
      <w:r w:rsidR="1BCFF7B2">
        <w:t xml:space="preserve"> </w:t>
      </w:r>
      <w:r w:rsidRPr="00A45A26">
        <w:rPr>
          <w:bCs/>
        </w:rPr>
        <w:t xml:space="preserve"> </w:t>
      </w:r>
      <w:r w:rsidRPr="00A45A26">
        <w:t xml:space="preserve">The filing must be submitted by all FERC-jurisdictional utilities owning and/or operating at least one steam-electric generating station of 50 MW or greater capacity or having a majority ownership interest in a </w:t>
      </w:r>
      <w:r w:rsidRPr="00A45A26">
        <w:t>jointly-owned</w:t>
      </w:r>
      <w:r w:rsidRPr="00A45A26">
        <w:t xml:space="preserve"> steam-electric generating station of at least 50 MW.  A jurisdictional utility without a cost-based tariff on file with the Commission is not required to file the form.</w:t>
      </w:r>
    </w:p>
    <w:p w:rsidR="00357E62" w:rsidRPr="00A45A26" w:rsidP="00357E62" w14:paraId="3C108D21" w14:textId="191B5A9D">
      <w:pPr>
        <w:spacing w:line="480" w:lineRule="auto"/>
      </w:pPr>
      <w:r w:rsidRPr="002073D8">
        <w:rPr>
          <w:i/>
          <w:iCs/>
        </w:rPr>
        <w:t>Estimate of Annual Burden</w:t>
      </w:r>
      <w:r w:rsidR="797CDB17">
        <w:t>:</w:t>
      </w:r>
      <w:r w:rsidR="7BA4C57A">
        <w:t xml:space="preserve"> </w:t>
      </w:r>
      <w:r w:rsidRPr="00A45A26">
        <w:t>The Commission estimates the annual</w:t>
      </w:r>
      <w:r>
        <w:rPr>
          <w:b/>
          <w:vertAlign w:val="superscript"/>
        </w:rPr>
        <w:footnoteReference w:id="18"/>
      </w:r>
      <w:r w:rsidRPr="00A45A26">
        <w:t xml:space="preserve"> public reporting burden</w:t>
      </w:r>
      <w:r>
        <w:rPr>
          <w:vertAlign w:val="superscript"/>
        </w:rPr>
        <w:footnoteReference w:id="19"/>
      </w:r>
      <w:r w:rsidRPr="00A45A26" w:rsidR="002073D8">
        <w:t xml:space="preserve"> </w:t>
      </w:r>
      <w:r w:rsidRPr="00A45A26">
        <w:t>and cost</w:t>
      </w:r>
      <w:r>
        <w:rPr>
          <w:b/>
          <w:vertAlign w:val="superscript"/>
        </w:rPr>
        <w:footnoteReference w:id="20"/>
      </w:r>
      <w:r w:rsidRPr="00A45A26">
        <w:t xml:space="preserve"> for the information collection as:</w:t>
      </w:r>
    </w:p>
    <w:tbl>
      <w:tblPr>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0"/>
        <w:gridCol w:w="1584"/>
        <w:gridCol w:w="1486"/>
        <w:gridCol w:w="1"/>
        <w:gridCol w:w="1362"/>
        <w:gridCol w:w="1"/>
        <w:gridCol w:w="1219"/>
        <w:gridCol w:w="1"/>
        <w:gridCol w:w="1362"/>
        <w:gridCol w:w="1"/>
        <w:gridCol w:w="1487"/>
      </w:tblGrid>
      <w:tr w14:paraId="57BA383A" w14:textId="77777777" w:rsidTr="31704021">
        <w:tblPrEx>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5000" w:type="pct"/>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1738" w:rsidRPr="0075295E" w:rsidP="001F284C" w14:paraId="101540F3" w14:textId="77777777">
            <w:pPr>
              <w:widowControl w:val="0"/>
              <w:autoSpaceDE w:val="0"/>
              <w:autoSpaceDN w:val="0"/>
              <w:adjustRightInd w:val="0"/>
              <w:spacing w:line="276" w:lineRule="auto"/>
              <w:jc w:val="center"/>
              <w:rPr>
                <w:rFonts w:eastAsia="Calibri"/>
                <w:b/>
                <w:szCs w:val="26"/>
              </w:rPr>
            </w:pPr>
            <w:r w:rsidRPr="0075295E">
              <w:rPr>
                <w:rFonts w:eastAsia="Calibri"/>
                <w:b/>
                <w:szCs w:val="26"/>
              </w:rPr>
              <w:t xml:space="preserve">FERC Form 580 (Interrogatory on Fuel and Energy Purchase Practices Pursuant to </w:t>
            </w:r>
          </w:p>
          <w:p w:rsidR="00161738" w:rsidRPr="0075295E" w:rsidP="001F284C" w14:paraId="1A6960FB" w14:textId="42D68396">
            <w:pPr>
              <w:widowControl w:val="0"/>
              <w:autoSpaceDE w:val="0"/>
              <w:autoSpaceDN w:val="0"/>
              <w:adjustRightInd w:val="0"/>
              <w:spacing w:line="276" w:lineRule="auto"/>
              <w:jc w:val="center"/>
              <w:rPr>
                <w:rFonts w:eastAsia="Calibri"/>
                <w:b/>
              </w:rPr>
            </w:pPr>
            <w:r w:rsidRPr="57420D20">
              <w:rPr>
                <w:rFonts w:eastAsia="Calibri"/>
                <w:b/>
              </w:rPr>
              <w:t>Section 205 of the Federal Power Act)</w:t>
            </w:r>
          </w:p>
        </w:tc>
      </w:tr>
      <w:tr w14:paraId="2596002D" w14:textId="77777777" w:rsidTr="31704021">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1738" w:rsidRPr="0075295E" w:rsidP="001F284C" w14:paraId="1E0BE802" w14:textId="77777777">
            <w:pPr>
              <w:widowControl w:val="0"/>
              <w:autoSpaceDE w:val="0"/>
              <w:autoSpaceDN w:val="0"/>
              <w:adjustRightInd w:val="0"/>
              <w:spacing w:line="276" w:lineRule="auto"/>
              <w:jc w:val="center"/>
              <w:rPr>
                <w:rFonts w:eastAsia="Calibri"/>
                <w:b/>
                <w:szCs w:val="26"/>
              </w:rPr>
            </w:pP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161738" w:rsidRPr="0075295E" w:rsidP="001F284C" w14:paraId="49D04D86" w14:textId="77777777">
            <w:pPr>
              <w:widowControl w:val="0"/>
              <w:autoSpaceDE w:val="0"/>
              <w:autoSpaceDN w:val="0"/>
              <w:adjustRightInd w:val="0"/>
              <w:spacing w:line="276" w:lineRule="auto"/>
              <w:jc w:val="center"/>
              <w:rPr>
                <w:rFonts w:eastAsia="Calibri"/>
                <w:b/>
                <w:szCs w:val="26"/>
              </w:rPr>
            </w:pPr>
            <w:r w:rsidRPr="0075295E">
              <w:rPr>
                <w:rFonts w:eastAsia="Calibri"/>
                <w:b/>
                <w:szCs w:val="26"/>
              </w:rPr>
              <w:t>Number of Respondents</w:t>
            </w:r>
            <w:r w:rsidRPr="0075295E">
              <w:rPr>
                <w:rFonts w:eastAsia="Calibri"/>
                <w:b/>
                <w:szCs w:val="26"/>
              </w:rPr>
              <w:br/>
              <w:t>(1)</w:t>
            </w: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161738" w:rsidRPr="0075295E" w:rsidP="001F284C" w14:paraId="573ADB61" w14:textId="77777777">
            <w:pPr>
              <w:widowControl w:val="0"/>
              <w:autoSpaceDE w:val="0"/>
              <w:autoSpaceDN w:val="0"/>
              <w:adjustRightInd w:val="0"/>
              <w:spacing w:line="276" w:lineRule="auto"/>
              <w:jc w:val="center"/>
              <w:rPr>
                <w:rFonts w:eastAsia="Calibri"/>
                <w:b/>
                <w:szCs w:val="26"/>
              </w:rPr>
            </w:pPr>
            <w:r w:rsidRPr="0075295E">
              <w:rPr>
                <w:rFonts w:eastAsia="Calibri"/>
                <w:b/>
                <w:szCs w:val="26"/>
              </w:rPr>
              <w:t>Annual Number of Responses per Respondent</w:t>
            </w:r>
          </w:p>
          <w:p w:rsidR="00161738" w:rsidRPr="0075295E" w:rsidP="001F284C" w14:paraId="07FEFFF1" w14:textId="77777777">
            <w:pPr>
              <w:widowControl w:val="0"/>
              <w:autoSpaceDE w:val="0"/>
              <w:autoSpaceDN w:val="0"/>
              <w:adjustRightInd w:val="0"/>
              <w:spacing w:line="276" w:lineRule="auto"/>
              <w:jc w:val="center"/>
              <w:rPr>
                <w:rFonts w:eastAsia="Calibri"/>
                <w:b/>
                <w:szCs w:val="26"/>
              </w:rPr>
            </w:pPr>
            <w:r w:rsidRPr="0075295E">
              <w:rPr>
                <w:rFonts w:eastAsia="Calibri"/>
                <w:b/>
                <w:szCs w:val="26"/>
              </w:rPr>
              <w:t>(2)</w:t>
            </w:r>
          </w:p>
        </w:tc>
        <w:tc>
          <w:tcPr>
            <w:tcW w:w="7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161738" w:rsidRPr="0075295E" w:rsidP="001F284C" w14:paraId="5CAD8303" w14:textId="77777777">
            <w:pPr>
              <w:widowControl w:val="0"/>
              <w:autoSpaceDE w:val="0"/>
              <w:autoSpaceDN w:val="0"/>
              <w:adjustRightInd w:val="0"/>
              <w:spacing w:line="276" w:lineRule="auto"/>
              <w:jc w:val="center"/>
              <w:rPr>
                <w:rFonts w:eastAsia="Calibri"/>
                <w:b/>
                <w:szCs w:val="26"/>
              </w:rPr>
            </w:pPr>
            <w:r w:rsidRPr="0075295E">
              <w:rPr>
                <w:rFonts w:eastAsia="Calibri"/>
                <w:b/>
                <w:szCs w:val="26"/>
              </w:rPr>
              <w:t>Total Number of Responses (1)*(2)=(3)</w:t>
            </w:r>
          </w:p>
        </w:tc>
        <w:tc>
          <w:tcPr>
            <w:tcW w:w="65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161738" w:rsidRPr="0075295E" w:rsidP="001F284C" w14:paraId="0787E85A" w14:textId="77777777">
            <w:pPr>
              <w:widowControl w:val="0"/>
              <w:autoSpaceDE w:val="0"/>
              <w:autoSpaceDN w:val="0"/>
              <w:adjustRightInd w:val="0"/>
              <w:spacing w:line="276" w:lineRule="auto"/>
              <w:jc w:val="center"/>
              <w:rPr>
                <w:rFonts w:eastAsia="Calibri"/>
                <w:b/>
                <w:szCs w:val="26"/>
              </w:rPr>
            </w:pPr>
            <w:r w:rsidRPr="0075295E">
              <w:rPr>
                <w:rFonts w:eastAsia="Calibri"/>
                <w:b/>
                <w:szCs w:val="26"/>
              </w:rPr>
              <w:t xml:space="preserve">Average Burden &amp; Cost Per Response </w:t>
            </w:r>
          </w:p>
          <w:p w:rsidR="00161738" w:rsidRPr="0075295E" w:rsidP="001F284C" w14:paraId="03E98B82" w14:textId="77777777">
            <w:pPr>
              <w:widowControl w:val="0"/>
              <w:autoSpaceDE w:val="0"/>
              <w:autoSpaceDN w:val="0"/>
              <w:adjustRightInd w:val="0"/>
              <w:spacing w:line="276" w:lineRule="auto"/>
              <w:jc w:val="center"/>
              <w:rPr>
                <w:rFonts w:eastAsia="Calibri"/>
                <w:b/>
                <w:szCs w:val="26"/>
              </w:rPr>
            </w:pPr>
            <w:r w:rsidRPr="0075295E">
              <w:rPr>
                <w:rFonts w:eastAsia="Calibri"/>
                <w:b/>
                <w:szCs w:val="26"/>
              </w:rPr>
              <w:t>(4)</w:t>
            </w:r>
          </w:p>
        </w:tc>
        <w:tc>
          <w:tcPr>
            <w:tcW w:w="65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161738" w:rsidRPr="0075295E" w:rsidP="001F284C" w14:paraId="3199A04B" w14:textId="77777777">
            <w:pPr>
              <w:widowControl w:val="0"/>
              <w:autoSpaceDE w:val="0"/>
              <w:autoSpaceDN w:val="0"/>
              <w:adjustRightInd w:val="0"/>
              <w:spacing w:line="276" w:lineRule="auto"/>
              <w:jc w:val="center"/>
              <w:rPr>
                <w:rFonts w:eastAsia="Calibri"/>
                <w:b/>
                <w:szCs w:val="26"/>
              </w:rPr>
            </w:pPr>
            <w:r w:rsidRPr="0075295E">
              <w:rPr>
                <w:rFonts w:eastAsia="Calibri"/>
                <w:b/>
                <w:szCs w:val="26"/>
              </w:rPr>
              <w:t>Total Annual Burden Hours &amp; Total Annual Cost</w:t>
            </w:r>
          </w:p>
          <w:p w:rsidR="00161738" w:rsidRPr="0075295E" w:rsidP="001F284C" w14:paraId="6DA71B36" w14:textId="77777777">
            <w:pPr>
              <w:widowControl w:val="0"/>
              <w:autoSpaceDE w:val="0"/>
              <w:autoSpaceDN w:val="0"/>
              <w:adjustRightInd w:val="0"/>
              <w:spacing w:line="276" w:lineRule="auto"/>
              <w:jc w:val="center"/>
              <w:rPr>
                <w:rFonts w:eastAsia="Calibri"/>
                <w:b/>
                <w:szCs w:val="26"/>
              </w:rPr>
            </w:pPr>
            <w:r w:rsidRPr="0075295E">
              <w:rPr>
                <w:rFonts w:eastAsia="Calibri"/>
                <w:b/>
                <w:szCs w:val="26"/>
              </w:rPr>
              <w:t>(3)*(4)=(5)</w:t>
            </w:r>
          </w:p>
        </w:tc>
        <w:tc>
          <w:tcPr>
            <w:tcW w:w="61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161738" w:rsidRPr="0075295E" w:rsidP="001F284C" w14:paraId="3ECBC8C6" w14:textId="77777777">
            <w:pPr>
              <w:widowControl w:val="0"/>
              <w:autoSpaceDE w:val="0"/>
              <w:autoSpaceDN w:val="0"/>
              <w:adjustRightInd w:val="0"/>
              <w:spacing w:line="276" w:lineRule="auto"/>
              <w:jc w:val="center"/>
              <w:rPr>
                <w:rFonts w:eastAsia="Calibri"/>
                <w:b/>
                <w:szCs w:val="26"/>
              </w:rPr>
            </w:pPr>
            <w:r w:rsidRPr="0075295E">
              <w:rPr>
                <w:rFonts w:eastAsia="Calibri"/>
                <w:b/>
                <w:szCs w:val="26"/>
              </w:rPr>
              <w:t>Annual Cost per Respondent</w:t>
            </w:r>
          </w:p>
          <w:p w:rsidR="00161738" w:rsidRPr="0075295E" w:rsidP="001F284C" w14:paraId="2AE22BF9" w14:textId="77777777">
            <w:pPr>
              <w:widowControl w:val="0"/>
              <w:autoSpaceDE w:val="0"/>
              <w:autoSpaceDN w:val="0"/>
              <w:adjustRightInd w:val="0"/>
              <w:spacing w:line="276" w:lineRule="auto"/>
              <w:jc w:val="center"/>
              <w:rPr>
                <w:rFonts w:eastAsia="Calibri"/>
                <w:b/>
                <w:szCs w:val="26"/>
              </w:rPr>
            </w:pPr>
            <w:r w:rsidRPr="0075295E">
              <w:rPr>
                <w:rFonts w:eastAsia="Calibri"/>
                <w:b/>
                <w:szCs w:val="26"/>
              </w:rPr>
              <w:t xml:space="preserve"> ($)</w:t>
            </w:r>
          </w:p>
          <w:p w:rsidR="00161738" w:rsidRPr="0075295E" w:rsidP="001F284C" w14:paraId="41BDB358" w14:textId="77777777">
            <w:pPr>
              <w:widowControl w:val="0"/>
              <w:autoSpaceDE w:val="0"/>
              <w:autoSpaceDN w:val="0"/>
              <w:adjustRightInd w:val="0"/>
              <w:spacing w:line="276" w:lineRule="auto"/>
              <w:jc w:val="center"/>
              <w:rPr>
                <w:rFonts w:eastAsia="Calibri"/>
                <w:b/>
                <w:szCs w:val="26"/>
              </w:rPr>
            </w:pPr>
            <w:r w:rsidRPr="0075295E">
              <w:rPr>
                <w:rFonts w:eastAsia="Calibri"/>
                <w:b/>
                <w:szCs w:val="26"/>
              </w:rPr>
              <w:t>(5)÷(1)</w:t>
            </w:r>
          </w:p>
        </w:tc>
      </w:tr>
      <w:tr w14:paraId="2167C3A9" w14:textId="77777777" w:rsidTr="31704021">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hideMark/>
          </w:tcPr>
          <w:p w:rsidR="00161738" w:rsidRPr="0075295E" w:rsidP="001F284C" w14:paraId="06918396" w14:textId="77777777">
            <w:pPr>
              <w:widowControl w:val="0"/>
              <w:autoSpaceDE w:val="0"/>
              <w:autoSpaceDN w:val="0"/>
              <w:adjustRightInd w:val="0"/>
              <w:spacing w:line="276" w:lineRule="auto"/>
              <w:rPr>
                <w:rFonts w:eastAsia="Calibri"/>
                <w:szCs w:val="26"/>
              </w:rPr>
            </w:pPr>
            <w:r w:rsidRPr="0075295E">
              <w:rPr>
                <w:rFonts w:eastAsia="Calibri"/>
                <w:szCs w:val="26"/>
              </w:rPr>
              <w:t>Respondents with FAC</w:t>
            </w:r>
            <w:r>
              <w:rPr>
                <w:rStyle w:val="FootnoteReference"/>
                <w:rFonts w:eastAsia="Calibri"/>
              </w:rPr>
              <w:footnoteReference w:id="21"/>
            </w:r>
            <w:r w:rsidRPr="0075295E">
              <w:rPr>
                <w:rFonts w:eastAsia="Calibri"/>
                <w:szCs w:val="26"/>
              </w:rPr>
              <w:t>s</w:t>
            </w:r>
          </w:p>
        </w:tc>
        <w:tc>
          <w:tcPr>
            <w:tcW w:w="746" w:type="pct"/>
            <w:tcBorders>
              <w:top w:val="single" w:sz="4" w:space="0" w:color="auto"/>
              <w:left w:val="single" w:sz="4" w:space="0" w:color="auto"/>
              <w:bottom w:val="single" w:sz="4" w:space="0" w:color="auto"/>
              <w:right w:val="single" w:sz="4" w:space="0" w:color="auto"/>
            </w:tcBorders>
            <w:vAlign w:val="bottom"/>
          </w:tcPr>
          <w:p w:rsidR="00161738" w:rsidRPr="0075295E" w:rsidP="001F284C" w14:paraId="1771BEAD" w14:textId="77777777">
            <w:pPr>
              <w:widowControl w:val="0"/>
              <w:autoSpaceDE w:val="0"/>
              <w:autoSpaceDN w:val="0"/>
              <w:adjustRightInd w:val="0"/>
              <w:spacing w:line="276" w:lineRule="auto"/>
              <w:jc w:val="right"/>
              <w:rPr>
                <w:rFonts w:eastAsia="Calibri"/>
                <w:szCs w:val="26"/>
              </w:rPr>
            </w:pPr>
            <w:r w:rsidRPr="0075295E">
              <w:rPr>
                <w:rFonts w:eastAsia="Calibri"/>
                <w:szCs w:val="26"/>
              </w:rPr>
              <w:t>24</w:t>
            </w:r>
          </w:p>
        </w:tc>
        <w:tc>
          <w:tcPr>
            <w:tcW w:w="746" w:type="pct"/>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01ACBAA2" w14:textId="77777777">
            <w:pPr>
              <w:widowControl w:val="0"/>
              <w:autoSpaceDE w:val="0"/>
              <w:autoSpaceDN w:val="0"/>
              <w:adjustRightInd w:val="0"/>
              <w:spacing w:line="276" w:lineRule="auto"/>
              <w:jc w:val="right"/>
              <w:rPr>
                <w:rFonts w:eastAsia="Calibri"/>
                <w:szCs w:val="26"/>
              </w:rPr>
            </w:pPr>
            <w:r w:rsidRPr="0075295E">
              <w:rPr>
                <w:rFonts w:eastAsia="Calibri"/>
                <w:szCs w:val="26"/>
              </w:rPr>
              <w:t>0.5</w:t>
            </w:r>
          </w:p>
        </w:tc>
        <w:tc>
          <w:tcPr>
            <w:tcW w:w="703" w:type="pct"/>
            <w:gridSpan w:val="2"/>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5A808CC7" w14:textId="77777777">
            <w:pPr>
              <w:widowControl w:val="0"/>
              <w:autoSpaceDE w:val="0"/>
              <w:autoSpaceDN w:val="0"/>
              <w:adjustRightInd w:val="0"/>
              <w:spacing w:line="276" w:lineRule="auto"/>
              <w:jc w:val="right"/>
              <w:rPr>
                <w:rFonts w:eastAsia="Calibri"/>
                <w:szCs w:val="26"/>
              </w:rPr>
            </w:pPr>
            <w:r w:rsidRPr="0075295E">
              <w:rPr>
                <w:rFonts w:eastAsia="Calibri"/>
                <w:szCs w:val="26"/>
              </w:rPr>
              <w:t>12</w:t>
            </w:r>
          </w:p>
        </w:tc>
        <w:tc>
          <w:tcPr>
            <w:tcW w:w="654" w:type="pct"/>
            <w:gridSpan w:val="2"/>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10A5836B" w14:textId="77777777">
            <w:pPr>
              <w:widowControl w:val="0"/>
              <w:autoSpaceDE w:val="0"/>
              <w:autoSpaceDN w:val="0"/>
              <w:adjustRightInd w:val="0"/>
              <w:spacing w:line="276" w:lineRule="auto"/>
              <w:jc w:val="right"/>
              <w:rPr>
                <w:rFonts w:eastAsia="Calibri"/>
                <w:szCs w:val="26"/>
              </w:rPr>
            </w:pPr>
            <w:r w:rsidRPr="0075295E">
              <w:rPr>
                <w:rFonts w:eastAsia="Calibri"/>
                <w:szCs w:val="26"/>
              </w:rPr>
              <w:t>103 hrs.;</w:t>
            </w:r>
          </w:p>
          <w:p w:rsidR="00161738" w:rsidRPr="0075295E" w:rsidP="001F284C" w14:paraId="38AF512D" w14:textId="72C38308">
            <w:pPr>
              <w:widowControl w:val="0"/>
              <w:autoSpaceDE w:val="0"/>
              <w:autoSpaceDN w:val="0"/>
              <w:adjustRightInd w:val="0"/>
              <w:spacing w:line="276" w:lineRule="auto"/>
              <w:jc w:val="right"/>
              <w:rPr>
                <w:rFonts w:eastAsia="Calibri"/>
                <w:szCs w:val="26"/>
              </w:rPr>
            </w:pPr>
            <w:r w:rsidRPr="0075295E">
              <w:rPr>
                <w:rFonts w:eastAsia="Calibri"/>
                <w:szCs w:val="26"/>
              </w:rPr>
              <w:t>$</w:t>
            </w:r>
            <w:r w:rsidRPr="005B1E0D" w:rsidR="005B1E0D">
              <w:rPr>
                <w:rFonts w:eastAsia="Calibri"/>
                <w:szCs w:val="26"/>
              </w:rPr>
              <w:t>10,300</w:t>
            </w:r>
          </w:p>
        </w:tc>
        <w:tc>
          <w:tcPr>
            <w:tcW w:w="657" w:type="pct"/>
            <w:gridSpan w:val="2"/>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38C9F2C1" w14:textId="5186CED4">
            <w:pPr>
              <w:widowControl w:val="0"/>
              <w:autoSpaceDE w:val="0"/>
              <w:autoSpaceDN w:val="0"/>
              <w:adjustRightInd w:val="0"/>
              <w:spacing w:line="276" w:lineRule="auto"/>
              <w:jc w:val="right"/>
              <w:rPr>
                <w:rFonts w:eastAsia="Calibri"/>
                <w:szCs w:val="26"/>
              </w:rPr>
            </w:pPr>
            <w:r w:rsidRPr="0075295E">
              <w:rPr>
                <w:rFonts w:eastAsia="Calibri"/>
                <w:szCs w:val="26"/>
              </w:rPr>
              <w:t xml:space="preserve"> 1,236 hrs.;</w:t>
            </w:r>
          </w:p>
          <w:p w:rsidR="00161738" w:rsidRPr="0075295E" w:rsidP="001F284C" w14:paraId="3672B3ED" w14:textId="4D1D9EB4">
            <w:pPr>
              <w:widowControl w:val="0"/>
              <w:autoSpaceDE w:val="0"/>
              <w:autoSpaceDN w:val="0"/>
              <w:adjustRightInd w:val="0"/>
              <w:spacing w:line="276" w:lineRule="auto"/>
              <w:jc w:val="right"/>
              <w:rPr>
                <w:rFonts w:eastAsia="Calibri"/>
                <w:szCs w:val="26"/>
              </w:rPr>
            </w:pPr>
            <w:r w:rsidRPr="0075295E">
              <w:rPr>
                <w:rFonts w:eastAsia="Calibri"/>
                <w:szCs w:val="26"/>
              </w:rPr>
              <w:t>$</w:t>
            </w:r>
            <w:r w:rsidRPr="00B73C6B" w:rsidR="00B73C6B">
              <w:rPr>
                <w:rFonts w:eastAsia="Calibri"/>
                <w:szCs w:val="26"/>
              </w:rPr>
              <w:t>123,600</w:t>
            </w:r>
          </w:p>
        </w:tc>
        <w:tc>
          <w:tcPr>
            <w:tcW w:w="616" w:type="pct"/>
            <w:gridSpan w:val="2"/>
            <w:tcBorders>
              <w:top w:val="single" w:sz="4" w:space="0" w:color="auto"/>
              <w:left w:val="single" w:sz="4" w:space="0" w:color="auto"/>
              <w:bottom w:val="single" w:sz="4" w:space="0" w:color="auto"/>
              <w:right w:val="single" w:sz="4" w:space="0" w:color="auto"/>
            </w:tcBorders>
            <w:vAlign w:val="bottom"/>
          </w:tcPr>
          <w:p w:rsidR="00161738" w:rsidRPr="0075295E" w:rsidP="001F284C" w14:paraId="696D4E75" w14:textId="6B5CF524">
            <w:pPr>
              <w:widowControl w:val="0"/>
              <w:autoSpaceDE w:val="0"/>
              <w:autoSpaceDN w:val="0"/>
              <w:adjustRightInd w:val="0"/>
              <w:spacing w:line="276" w:lineRule="auto"/>
              <w:jc w:val="right"/>
              <w:rPr>
                <w:rFonts w:eastAsia="Calibri"/>
                <w:szCs w:val="26"/>
              </w:rPr>
            </w:pPr>
            <w:r w:rsidRPr="0075295E">
              <w:rPr>
                <w:rFonts w:eastAsia="Calibri"/>
                <w:szCs w:val="26"/>
              </w:rPr>
              <w:t>$</w:t>
            </w:r>
            <w:r w:rsidRPr="00F14C23" w:rsidR="00F14C23">
              <w:rPr>
                <w:rFonts w:eastAsia="Calibri"/>
                <w:szCs w:val="26"/>
              </w:rPr>
              <w:t>5,150</w:t>
            </w:r>
          </w:p>
        </w:tc>
      </w:tr>
      <w:tr w14:paraId="73639E08" w14:textId="77777777" w:rsidTr="31704021">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hideMark/>
          </w:tcPr>
          <w:p w:rsidR="00161738" w:rsidRPr="0075295E" w:rsidP="001F284C" w14:paraId="24C9E61D" w14:textId="77777777">
            <w:pPr>
              <w:widowControl w:val="0"/>
              <w:autoSpaceDE w:val="0"/>
              <w:autoSpaceDN w:val="0"/>
              <w:adjustRightInd w:val="0"/>
              <w:spacing w:line="276" w:lineRule="auto"/>
              <w:rPr>
                <w:rFonts w:eastAsia="Calibri"/>
                <w:szCs w:val="26"/>
              </w:rPr>
            </w:pPr>
            <w:r w:rsidRPr="0075295E">
              <w:rPr>
                <w:rFonts w:eastAsia="Calibri"/>
                <w:szCs w:val="26"/>
              </w:rPr>
              <w:t>Respondents with AACs, but no FACs</w:t>
            </w:r>
          </w:p>
        </w:tc>
        <w:tc>
          <w:tcPr>
            <w:tcW w:w="746" w:type="pct"/>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708DB774" w14:textId="77777777">
            <w:pPr>
              <w:widowControl w:val="0"/>
              <w:autoSpaceDE w:val="0"/>
              <w:autoSpaceDN w:val="0"/>
              <w:adjustRightInd w:val="0"/>
              <w:spacing w:line="276" w:lineRule="auto"/>
              <w:jc w:val="right"/>
              <w:rPr>
                <w:rFonts w:eastAsia="Calibri"/>
                <w:szCs w:val="26"/>
              </w:rPr>
            </w:pPr>
            <w:r w:rsidRPr="0075295E">
              <w:rPr>
                <w:rFonts w:eastAsia="Calibri"/>
                <w:szCs w:val="26"/>
              </w:rPr>
              <w:t>12</w:t>
            </w:r>
          </w:p>
        </w:tc>
        <w:tc>
          <w:tcPr>
            <w:tcW w:w="746" w:type="pct"/>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07C3E3F1" w14:textId="77777777">
            <w:pPr>
              <w:widowControl w:val="0"/>
              <w:autoSpaceDE w:val="0"/>
              <w:autoSpaceDN w:val="0"/>
              <w:adjustRightInd w:val="0"/>
              <w:spacing w:line="276" w:lineRule="auto"/>
              <w:jc w:val="right"/>
              <w:rPr>
                <w:rFonts w:eastAsia="Calibri"/>
                <w:szCs w:val="26"/>
              </w:rPr>
            </w:pPr>
            <w:r w:rsidRPr="0075295E">
              <w:rPr>
                <w:rFonts w:eastAsia="Calibri"/>
                <w:szCs w:val="26"/>
              </w:rPr>
              <w:t>0.5</w:t>
            </w:r>
          </w:p>
        </w:tc>
        <w:tc>
          <w:tcPr>
            <w:tcW w:w="703" w:type="pct"/>
            <w:gridSpan w:val="2"/>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010C3F57" w14:textId="77777777">
            <w:pPr>
              <w:widowControl w:val="0"/>
              <w:autoSpaceDE w:val="0"/>
              <w:autoSpaceDN w:val="0"/>
              <w:adjustRightInd w:val="0"/>
              <w:spacing w:line="276" w:lineRule="auto"/>
              <w:jc w:val="right"/>
              <w:rPr>
                <w:rFonts w:eastAsia="Calibri"/>
                <w:szCs w:val="26"/>
              </w:rPr>
            </w:pPr>
            <w:r w:rsidRPr="0075295E">
              <w:rPr>
                <w:rFonts w:eastAsia="Calibri"/>
                <w:szCs w:val="26"/>
              </w:rPr>
              <w:t>6</w:t>
            </w:r>
          </w:p>
        </w:tc>
        <w:tc>
          <w:tcPr>
            <w:tcW w:w="654" w:type="pct"/>
            <w:gridSpan w:val="2"/>
            <w:tcBorders>
              <w:top w:val="single" w:sz="4" w:space="0" w:color="auto"/>
              <w:left w:val="single" w:sz="4" w:space="0" w:color="auto"/>
              <w:bottom w:val="single" w:sz="4" w:space="0" w:color="auto"/>
              <w:right w:val="single" w:sz="4" w:space="0" w:color="auto"/>
            </w:tcBorders>
            <w:vAlign w:val="bottom"/>
            <w:hideMark/>
          </w:tcPr>
          <w:p w:rsidR="00161738" w:rsidRPr="0075295E" w:rsidP="31704021" w14:paraId="4DE69537" w14:textId="77777777">
            <w:pPr>
              <w:widowControl w:val="0"/>
              <w:autoSpaceDE w:val="0"/>
              <w:autoSpaceDN w:val="0"/>
              <w:adjustRightInd w:val="0"/>
              <w:spacing w:line="276" w:lineRule="auto"/>
              <w:jc w:val="right"/>
              <w:rPr>
                <w:rFonts w:eastAsia="Calibri"/>
              </w:rPr>
            </w:pPr>
            <w:r w:rsidRPr="31704021">
              <w:rPr>
                <w:rFonts w:eastAsia="Calibri"/>
              </w:rPr>
              <w:t>20 hrs.;</w:t>
            </w:r>
          </w:p>
          <w:p w:rsidR="00161738" w:rsidRPr="0075295E" w:rsidP="31704021" w14:paraId="21F74A0E" w14:textId="475A2A67">
            <w:pPr>
              <w:widowControl w:val="0"/>
              <w:autoSpaceDE w:val="0"/>
              <w:autoSpaceDN w:val="0"/>
              <w:adjustRightInd w:val="0"/>
              <w:spacing w:line="276" w:lineRule="auto"/>
              <w:jc w:val="right"/>
              <w:rPr>
                <w:rFonts w:eastAsia="Calibri"/>
              </w:rPr>
            </w:pPr>
            <w:r w:rsidRPr="31704021">
              <w:rPr>
                <w:rFonts w:eastAsia="Calibri"/>
              </w:rPr>
              <w:t>$</w:t>
            </w:r>
            <w:r w:rsidRPr="31704021" w:rsidR="456E3663">
              <w:rPr>
                <w:rFonts w:eastAsia="Calibri"/>
              </w:rPr>
              <w:t>2,000</w:t>
            </w:r>
          </w:p>
        </w:tc>
        <w:tc>
          <w:tcPr>
            <w:tcW w:w="657" w:type="pct"/>
            <w:gridSpan w:val="2"/>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26E0CFAF" w14:textId="77777777">
            <w:pPr>
              <w:widowControl w:val="0"/>
              <w:autoSpaceDE w:val="0"/>
              <w:autoSpaceDN w:val="0"/>
              <w:adjustRightInd w:val="0"/>
              <w:spacing w:line="276" w:lineRule="auto"/>
              <w:jc w:val="right"/>
              <w:rPr>
                <w:rFonts w:eastAsia="Calibri"/>
                <w:szCs w:val="26"/>
              </w:rPr>
            </w:pPr>
            <w:r w:rsidRPr="0075295E">
              <w:rPr>
                <w:rFonts w:eastAsia="Calibri"/>
                <w:szCs w:val="26"/>
              </w:rPr>
              <w:t>120.0 hrs.;</w:t>
            </w:r>
          </w:p>
          <w:p w:rsidR="00161738" w:rsidRPr="0075295E" w:rsidP="001F284C" w14:paraId="198C22D3" w14:textId="34B9D266">
            <w:pPr>
              <w:widowControl w:val="0"/>
              <w:autoSpaceDE w:val="0"/>
              <w:autoSpaceDN w:val="0"/>
              <w:adjustRightInd w:val="0"/>
              <w:spacing w:line="276" w:lineRule="auto"/>
              <w:jc w:val="right"/>
              <w:rPr>
                <w:rFonts w:eastAsia="Calibri"/>
                <w:szCs w:val="26"/>
              </w:rPr>
            </w:pPr>
            <w:r w:rsidRPr="0075295E">
              <w:rPr>
                <w:rFonts w:eastAsia="Calibri"/>
                <w:szCs w:val="26"/>
              </w:rPr>
              <w:t>$</w:t>
            </w:r>
            <w:r w:rsidRPr="00EE6227" w:rsidR="00EE6227">
              <w:rPr>
                <w:rFonts w:eastAsia="Calibri"/>
                <w:szCs w:val="26"/>
              </w:rPr>
              <w:t>12,000</w:t>
            </w:r>
          </w:p>
        </w:tc>
        <w:tc>
          <w:tcPr>
            <w:tcW w:w="616" w:type="pct"/>
            <w:gridSpan w:val="2"/>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3020BF9C" w14:textId="36D7EF7B">
            <w:pPr>
              <w:widowControl w:val="0"/>
              <w:autoSpaceDE w:val="0"/>
              <w:autoSpaceDN w:val="0"/>
              <w:adjustRightInd w:val="0"/>
              <w:spacing w:line="276" w:lineRule="auto"/>
              <w:jc w:val="right"/>
              <w:rPr>
                <w:rFonts w:eastAsia="Calibri"/>
                <w:szCs w:val="26"/>
              </w:rPr>
            </w:pPr>
            <w:r w:rsidRPr="0075295E">
              <w:rPr>
                <w:rFonts w:eastAsia="Calibri"/>
                <w:szCs w:val="26"/>
              </w:rPr>
              <w:t>$</w:t>
            </w:r>
            <w:r w:rsidRPr="001C43CF" w:rsidR="001C43CF">
              <w:rPr>
                <w:rFonts w:eastAsia="Calibri"/>
                <w:szCs w:val="26"/>
              </w:rPr>
              <w:t>1,000</w:t>
            </w:r>
          </w:p>
        </w:tc>
      </w:tr>
      <w:tr w14:paraId="4B3B4034" w14:textId="77777777" w:rsidTr="31704021">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hideMark/>
          </w:tcPr>
          <w:p w:rsidR="00161738" w:rsidRPr="0075295E" w:rsidP="001F284C" w14:paraId="4FB29B5B" w14:textId="77777777">
            <w:pPr>
              <w:widowControl w:val="0"/>
              <w:autoSpaceDE w:val="0"/>
              <w:autoSpaceDN w:val="0"/>
              <w:adjustRightInd w:val="0"/>
              <w:spacing w:line="276" w:lineRule="auto"/>
              <w:rPr>
                <w:rFonts w:eastAsia="Calibri"/>
                <w:szCs w:val="26"/>
              </w:rPr>
            </w:pPr>
            <w:r w:rsidRPr="0075295E">
              <w:rPr>
                <w:rFonts w:eastAsia="Calibri"/>
                <w:szCs w:val="26"/>
              </w:rPr>
              <w:t>Respondents with no AACs and no FACs</w:t>
            </w:r>
          </w:p>
        </w:tc>
        <w:tc>
          <w:tcPr>
            <w:tcW w:w="746" w:type="pct"/>
            <w:tcBorders>
              <w:top w:val="single" w:sz="4" w:space="0" w:color="auto"/>
              <w:left w:val="single" w:sz="4" w:space="0" w:color="auto"/>
              <w:bottom w:val="single" w:sz="4" w:space="0" w:color="auto"/>
              <w:right w:val="single" w:sz="4" w:space="0" w:color="auto"/>
            </w:tcBorders>
            <w:vAlign w:val="bottom"/>
            <w:hideMark/>
          </w:tcPr>
          <w:p w:rsidR="00161738" w:rsidRPr="0075295E" w14:paraId="11FED50B" w14:textId="3A82EA22">
            <w:pPr>
              <w:widowControl w:val="0"/>
              <w:spacing w:line="276" w:lineRule="auto"/>
              <w:jc w:val="right"/>
              <w:rPr>
                <w:rFonts w:eastAsia="Calibri"/>
                <w:szCs w:val="26"/>
              </w:rPr>
            </w:pPr>
            <w:r w:rsidRPr="6B3CBAE3">
              <w:rPr>
                <w:rFonts w:eastAsia="Calibri"/>
              </w:rPr>
              <w:t>4</w:t>
            </w:r>
          </w:p>
        </w:tc>
        <w:tc>
          <w:tcPr>
            <w:tcW w:w="746" w:type="pct"/>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783FB872" w14:textId="77777777">
            <w:pPr>
              <w:widowControl w:val="0"/>
              <w:autoSpaceDE w:val="0"/>
              <w:autoSpaceDN w:val="0"/>
              <w:adjustRightInd w:val="0"/>
              <w:spacing w:line="276" w:lineRule="auto"/>
              <w:jc w:val="right"/>
              <w:rPr>
                <w:rFonts w:eastAsia="Calibri"/>
                <w:szCs w:val="26"/>
              </w:rPr>
            </w:pPr>
            <w:r w:rsidRPr="0075295E">
              <w:rPr>
                <w:rFonts w:eastAsia="Calibri"/>
                <w:szCs w:val="26"/>
              </w:rPr>
              <w:t>0.5</w:t>
            </w:r>
          </w:p>
        </w:tc>
        <w:tc>
          <w:tcPr>
            <w:tcW w:w="703" w:type="pct"/>
            <w:gridSpan w:val="2"/>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3F93E91F" w14:textId="4B5CEF9F">
            <w:pPr>
              <w:widowControl w:val="0"/>
              <w:autoSpaceDE w:val="0"/>
              <w:autoSpaceDN w:val="0"/>
              <w:adjustRightInd w:val="0"/>
              <w:spacing w:line="276" w:lineRule="auto"/>
              <w:jc w:val="right"/>
              <w:rPr>
                <w:rFonts w:eastAsia="Calibri"/>
              </w:rPr>
            </w:pPr>
            <w:r w:rsidRPr="489AA6CF">
              <w:rPr>
                <w:rFonts w:eastAsia="Calibri"/>
              </w:rPr>
              <w:t>2</w:t>
            </w:r>
          </w:p>
        </w:tc>
        <w:tc>
          <w:tcPr>
            <w:tcW w:w="654" w:type="pct"/>
            <w:gridSpan w:val="2"/>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28631FE8" w14:textId="77777777">
            <w:pPr>
              <w:widowControl w:val="0"/>
              <w:autoSpaceDE w:val="0"/>
              <w:autoSpaceDN w:val="0"/>
              <w:adjustRightInd w:val="0"/>
              <w:spacing w:line="276" w:lineRule="auto"/>
              <w:jc w:val="right"/>
              <w:rPr>
                <w:rFonts w:eastAsia="Calibri"/>
                <w:szCs w:val="26"/>
              </w:rPr>
            </w:pPr>
            <w:r w:rsidRPr="0075295E">
              <w:rPr>
                <w:rFonts w:eastAsia="Calibri"/>
                <w:szCs w:val="26"/>
              </w:rPr>
              <w:t>2 hrs.;</w:t>
            </w:r>
          </w:p>
          <w:p w:rsidR="00161738" w:rsidRPr="0075295E" w:rsidP="001F284C" w14:paraId="7DCBD25B" w14:textId="3ACDC19F">
            <w:pPr>
              <w:widowControl w:val="0"/>
              <w:autoSpaceDE w:val="0"/>
              <w:autoSpaceDN w:val="0"/>
              <w:adjustRightInd w:val="0"/>
              <w:spacing w:line="276" w:lineRule="auto"/>
              <w:jc w:val="right"/>
              <w:rPr>
                <w:rFonts w:eastAsia="Calibri"/>
                <w:szCs w:val="26"/>
              </w:rPr>
            </w:pPr>
            <w:r w:rsidRPr="0075295E">
              <w:rPr>
                <w:rFonts w:eastAsia="Calibri"/>
                <w:szCs w:val="26"/>
              </w:rPr>
              <w:t>$</w:t>
            </w:r>
            <w:r w:rsidR="00B73C6B">
              <w:rPr>
                <w:rFonts w:eastAsia="Calibri"/>
                <w:szCs w:val="26"/>
              </w:rPr>
              <w:t>200</w:t>
            </w:r>
          </w:p>
        </w:tc>
        <w:tc>
          <w:tcPr>
            <w:tcW w:w="657" w:type="pct"/>
            <w:gridSpan w:val="2"/>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0F51ED6A" w14:textId="4761755D">
            <w:pPr>
              <w:widowControl w:val="0"/>
              <w:autoSpaceDE w:val="0"/>
              <w:autoSpaceDN w:val="0"/>
              <w:adjustRightInd w:val="0"/>
              <w:spacing w:line="276" w:lineRule="auto"/>
              <w:jc w:val="right"/>
              <w:rPr>
                <w:rFonts w:eastAsia="Calibri"/>
              </w:rPr>
            </w:pPr>
            <w:r w:rsidRPr="3755D901">
              <w:rPr>
                <w:rFonts w:eastAsia="Calibri"/>
              </w:rPr>
              <w:t>4</w:t>
            </w:r>
            <w:r w:rsidRPr="3755D901">
              <w:rPr>
                <w:rFonts w:eastAsia="Calibri"/>
              </w:rPr>
              <w:t>.0 hrs.;</w:t>
            </w:r>
          </w:p>
          <w:p w:rsidR="00161738" w:rsidRPr="0075295E" w:rsidP="001F284C" w14:paraId="550DB4D4" w14:textId="0F441883">
            <w:pPr>
              <w:widowControl w:val="0"/>
              <w:autoSpaceDE w:val="0"/>
              <w:autoSpaceDN w:val="0"/>
              <w:adjustRightInd w:val="0"/>
              <w:spacing w:line="276" w:lineRule="auto"/>
              <w:jc w:val="right"/>
              <w:rPr>
                <w:rFonts w:eastAsia="Calibri"/>
              </w:rPr>
            </w:pPr>
            <w:r w:rsidRPr="6D1DF64B">
              <w:rPr>
                <w:rFonts w:eastAsia="Calibri"/>
              </w:rPr>
              <w:t>$</w:t>
            </w:r>
            <w:r w:rsidR="00EE6227">
              <w:rPr>
                <w:rFonts w:eastAsia="Calibri"/>
              </w:rPr>
              <w:t>400</w:t>
            </w:r>
          </w:p>
        </w:tc>
        <w:tc>
          <w:tcPr>
            <w:tcW w:w="616" w:type="pct"/>
            <w:gridSpan w:val="2"/>
            <w:tcBorders>
              <w:top w:val="single" w:sz="4" w:space="0" w:color="auto"/>
              <w:left w:val="single" w:sz="4" w:space="0" w:color="auto"/>
              <w:bottom w:val="single" w:sz="4" w:space="0" w:color="auto"/>
              <w:right w:val="single" w:sz="4" w:space="0" w:color="auto"/>
            </w:tcBorders>
            <w:vAlign w:val="bottom"/>
            <w:hideMark/>
          </w:tcPr>
          <w:p w:rsidR="00161738" w:rsidRPr="0075295E" w:rsidP="001F284C" w14:paraId="09DF0123" w14:textId="44A5973D">
            <w:pPr>
              <w:widowControl w:val="0"/>
              <w:autoSpaceDE w:val="0"/>
              <w:autoSpaceDN w:val="0"/>
              <w:adjustRightInd w:val="0"/>
              <w:spacing w:line="276" w:lineRule="auto"/>
              <w:jc w:val="right"/>
              <w:rPr>
                <w:rFonts w:eastAsia="Calibri"/>
                <w:szCs w:val="26"/>
              </w:rPr>
            </w:pPr>
            <w:r w:rsidRPr="0075295E">
              <w:rPr>
                <w:rFonts w:eastAsia="Calibri"/>
                <w:szCs w:val="26"/>
              </w:rPr>
              <w:t>$</w:t>
            </w:r>
            <w:r w:rsidR="001C43CF">
              <w:rPr>
                <w:rFonts w:eastAsia="Calibri"/>
                <w:szCs w:val="26"/>
              </w:rPr>
              <w:t>100</w:t>
            </w:r>
          </w:p>
        </w:tc>
      </w:tr>
      <w:tr w14:paraId="379E62AD" w14:textId="77777777" w:rsidTr="31704021">
        <w:tblPrEx>
          <w:tblW w:w="5350" w:type="pct"/>
          <w:tblInd w:w="-72" w:type="dxa"/>
          <w:tblLook w:val="01E0"/>
        </w:tblPrEx>
        <w:trPr>
          <w:cantSplit/>
          <w:trHeight w:val="485"/>
        </w:trPr>
        <w:tc>
          <w:tcPr>
            <w:tcW w:w="878" w:type="pct"/>
            <w:tcBorders>
              <w:top w:val="single" w:sz="4" w:space="0" w:color="auto"/>
              <w:left w:val="single" w:sz="4" w:space="0" w:color="auto"/>
              <w:bottom w:val="single" w:sz="4" w:space="0" w:color="auto"/>
              <w:right w:val="single" w:sz="4" w:space="0" w:color="auto"/>
            </w:tcBorders>
            <w:hideMark/>
          </w:tcPr>
          <w:p w:rsidR="00161738" w:rsidRPr="0075295E" w:rsidP="001F284C" w14:paraId="3B1AF657" w14:textId="77777777">
            <w:pPr>
              <w:widowControl w:val="0"/>
              <w:autoSpaceDE w:val="0"/>
              <w:autoSpaceDN w:val="0"/>
              <w:adjustRightInd w:val="0"/>
              <w:spacing w:line="276" w:lineRule="auto"/>
              <w:rPr>
                <w:rFonts w:eastAsia="Calibri"/>
                <w:b/>
                <w:szCs w:val="26"/>
              </w:rPr>
            </w:pPr>
            <w:r w:rsidRPr="0075295E">
              <w:rPr>
                <w:rFonts w:eastAsia="Calibri"/>
                <w:b/>
                <w:szCs w:val="26"/>
              </w:rPr>
              <w:t>TOTAL</w:t>
            </w:r>
          </w:p>
        </w:tc>
        <w:tc>
          <w:tcPr>
            <w:tcW w:w="149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1738" w:rsidRPr="0075295E" w:rsidP="001F284C" w14:paraId="14692D38" w14:textId="77777777">
            <w:pPr>
              <w:widowControl w:val="0"/>
              <w:autoSpaceDE w:val="0"/>
              <w:autoSpaceDN w:val="0"/>
              <w:adjustRightInd w:val="0"/>
              <w:spacing w:line="276" w:lineRule="auto"/>
              <w:jc w:val="right"/>
              <w:rPr>
                <w:rFonts w:eastAsia="Calibri"/>
                <w:szCs w:val="26"/>
              </w:rPr>
            </w:pPr>
          </w:p>
        </w:tc>
        <w:tc>
          <w:tcPr>
            <w:tcW w:w="703" w:type="pct"/>
            <w:gridSpan w:val="2"/>
            <w:tcBorders>
              <w:top w:val="single" w:sz="4" w:space="0" w:color="auto"/>
              <w:left w:val="single" w:sz="4" w:space="0" w:color="auto"/>
              <w:bottom w:val="single" w:sz="4" w:space="0" w:color="auto"/>
              <w:right w:val="single" w:sz="4" w:space="0" w:color="auto"/>
            </w:tcBorders>
            <w:hideMark/>
          </w:tcPr>
          <w:p w:rsidR="00161738" w:rsidRPr="0075295E" w:rsidP="001F284C" w14:paraId="21F86702" w14:textId="2FC41032">
            <w:pPr>
              <w:widowControl w:val="0"/>
              <w:autoSpaceDE w:val="0"/>
              <w:autoSpaceDN w:val="0"/>
              <w:adjustRightInd w:val="0"/>
              <w:spacing w:line="276" w:lineRule="auto"/>
              <w:jc w:val="right"/>
              <w:rPr>
                <w:rFonts w:eastAsia="Calibri"/>
                <w:b/>
              </w:rPr>
            </w:pPr>
            <w:r w:rsidRPr="5D5F3F8F">
              <w:rPr>
                <w:rFonts w:eastAsia="Calibri"/>
                <w:b/>
                <w:bCs/>
              </w:rPr>
              <w:t>2</w:t>
            </w:r>
            <w:r w:rsidRPr="5D5F3F8F" w:rsidR="73204108">
              <w:rPr>
                <w:rFonts w:eastAsia="Calibri"/>
                <w:b/>
                <w:bCs/>
              </w:rPr>
              <w:t>0</w:t>
            </w:r>
          </w:p>
        </w:tc>
        <w:tc>
          <w:tcPr>
            <w:tcW w:w="65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1738" w:rsidRPr="0075295E" w:rsidP="001F284C" w14:paraId="51946AE7" w14:textId="77777777">
            <w:pPr>
              <w:widowControl w:val="0"/>
              <w:autoSpaceDE w:val="0"/>
              <w:autoSpaceDN w:val="0"/>
              <w:adjustRightInd w:val="0"/>
              <w:spacing w:line="276" w:lineRule="auto"/>
              <w:jc w:val="right"/>
              <w:rPr>
                <w:rFonts w:eastAsia="Calibri"/>
                <w:szCs w:val="26"/>
              </w:rPr>
            </w:pPr>
          </w:p>
        </w:tc>
        <w:tc>
          <w:tcPr>
            <w:tcW w:w="657" w:type="pct"/>
            <w:gridSpan w:val="2"/>
            <w:tcBorders>
              <w:top w:val="single" w:sz="4" w:space="0" w:color="auto"/>
              <w:left w:val="single" w:sz="4" w:space="0" w:color="auto"/>
              <w:bottom w:val="single" w:sz="4" w:space="0" w:color="auto"/>
              <w:right w:val="single" w:sz="4" w:space="0" w:color="auto"/>
            </w:tcBorders>
            <w:hideMark/>
          </w:tcPr>
          <w:p w:rsidR="00161738" w:rsidRPr="0075295E" w:rsidP="001F284C" w14:paraId="45D5FC14" w14:textId="0FAE1C94">
            <w:pPr>
              <w:widowControl w:val="0"/>
              <w:autoSpaceDE w:val="0"/>
              <w:autoSpaceDN w:val="0"/>
              <w:adjustRightInd w:val="0"/>
              <w:spacing w:line="276" w:lineRule="auto"/>
              <w:jc w:val="right"/>
              <w:rPr>
                <w:rFonts w:eastAsia="Calibri"/>
                <w:b/>
              </w:rPr>
            </w:pPr>
            <w:r w:rsidRPr="26321F82">
              <w:rPr>
                <w:rFonts w:eastAsia="Calibri"/>
                <w:b/>
              </w:rPr>
              <w:t>1,</w:t>
            </w:r>
            <w:r w:rsidRPr="3AE4C167" w:rsidR="3E0D3D6B">
              <w:rPr>
                <w:rFonts w:eastAsia="Calibri"/>
                <w:b/>
                <w:bCs/>
              </w:rPr>
              <w:t>3</w:t>
            </w:r>
            <w:r w:rsidRPr="3AE4C167" w:rsidR="7F94C4DD">
              <w:rPr>
                <w:rFonts w:eastAsia="Calibri"/>
                <w:b/>
                <w:bCs/>
              </w:rPr>
              <w:t>60</w:t>
            </w:r>
            <w:r w:rsidRPr="26321F82">
              <w:rPr>
                <w:rFonts w:eastAsia="Calibri"/>
                <w:b/>
              </w:rPr>
              <w:t>.0 hrs.;</w:t>
            </w:r>
          </w:p>
          <w:p w:rsidR="00161738" w:rsidRPr="0075295E" w:rsidP="001F284C" w14:paraId="3D347524" w14:textId="5E1F5F1A">
            <w:pPr>
              <w:widowControl w:val="0"/>
              <w:autoSpaceDE w:val="0"/>
              <w:autoSpaceDN w:val="0"/>
              <w:adjustRightInd w:val="0"/>
              <w:spacing w:line="276" w:lineRule="auto"/>
              <w:jc w:val="right"/>
              <w:rPr>
                <w:rFonts w:eastAsia="Calibri"/>
                <w:b/>
              </w:rPr>
            </w:pPr>
            <w:r w:rsidRPr="7564D3A0">
              <w:rPr>
                <w:rFonts w:eastAsia="Calibri"/>
                <w:b/>
              </w:rPr>
              <w:t>$</w:t>
            </w:r>
            <w:r w:rsidRPr="00831F9E" w:rsidR="00831F9E">
              <w:rPr>
                <w:rFonts w:eastAsia="Calibri"/>
                <w:b/>
                <w:bCs/>
              </w:rPr>
              <w:t>136,000</w:t>
            </w:r>
          </w:p>
        </w:tc>
        <w:tc>
          <w:tcPr>
            <w:tcW w:w="61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1738" w:rsidRPr="0075295E" w:rsidP="001F284C" w14:paraId="207EB2CF" w14:textId="77777777">
            <w:pPr>
              <w:widowControl w:val="0"/>
              <w:autoSpaceDE w:val="0"/>
              <w:autoSpaceDN w:val="0"/>
              <w:adjustRightInd w:val="0"/>
              <w:spacing w:line="276" w:lineRule="auto"/>
              <w:jc w:val="right"/>
              <w:rPr>
                <w:rFonts w:eastAsia="Calibri"/>
                <w:b/>
                <w:szCs w:val="26"/>
              </w:rPr>
            </w:pPr>
          </w:p>
        </w:tc>
      </w:tr>
    </w:tbl>
    <w:p w:rsidR="00357E62" w:rsidRPr="00A45A26" w:rsidP="00357E62" w14:paraId="6203055A" w14:textId="77777777">
      <w:pPr>
        <w:spacing w:line="480" w:lineRule="auto"/>
      </w:pPr>
    </w:p>
    <w:p w:rsidR="00881405" w:rsidRPr="00BE7A16" w:rsidP="4B3AC782" w14:paraId="40735770" w14:textId="768CCF6D">
      <w:pPr>
        <w:autoSpaceDE w:val="0"/>
        <w:autoSpaceDN w:val="0"/>
        <w:adjustRightInd w:val="0"/>
        <w:spacing w:line="480" w:lineRule="auto"/>
        <w:rPr>
          <w:b/>
          <w:bCs/>
        </w:rPr>
      </w:pPr>
      <w:r w:rsidRPr="4B3AC782">
        <w:rPr>
          <w:i/>
          <w:iCs/>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RPr="00BE7A16" w:rsidP="00AE1F12" w14:paraId="23EE29AC" w14:textId="77777777">
      <w:pPr>
        <w:spacing w:line="480" w:lineRule="auto"/>
        <w:rPr>
          <w:szCs w:val="26"/>
        </w:rPr>
      </w:pPr>
      <w:r w:rsidRPr="00BE7A16">
        <w:rPr>
          <w:szCs w:val="26"/>
        </w:rPr>
        <w:t xml:space="preserve">collection of information on those who are to respond, including the use of automated collection techniques or other forms of information technology.  </w:t>
      </w:r>
    </w:p>
    <w:p w:rsidR="00AE1F12" w:rsidRPr="00BE7A16" w:rsidP="00AE1F12" w14:paraId="02C177FD" w14:textId="77777777">
      <w:pPr>
        <w:rPr>
          <w:szCs w:val="26"/>
        </w:rPr>
      </w:pPr>
    </w:p>
    <w:p w:rsidR="00AE1F12" w:rsidRPr="00BE7A16" w:rsidP="00AE1F12" w14:paraId="5324E9D8" w14:textId="77777777">
      <w:pPr>
        <w:rPr>
          <w:szCs w:val="26"/>
        </w:rPr>
      </w:pPr>
    </w:p>
    <w:p w:rsidR="00AE1F12" w:rsidRPr="00BE7A16" w:rsidP="00AE1F12" w14:paraId="4A2BE181" w14:textId="31E85159">
      <w:pPr>
        <w:ind w:firstLine="2174"/>
        <w:jc w:val="center"/>
        <w:rPr>
          <w:szCs w:val="26"/>
        </w:rPr>
      </w:pPr>
      <w:r w:rsidRPr="004216A7">
        <w:rPr>
          <w:szCs w:val="26"/>
        </w:rPr>
        <w:t>Debbie-Anne A. Reese</w:t>
      </w:r>
      <w:r w:rsidRPr="00BE7A16">
        <w:rPr>
          <w:szCs w:val="26"/>
        </w:rPr>
        <w:t>,</w:t>
      </w:r>
    </w:p>
    <w:p w:rsidR="00AE1F12" w:rsidRPr="00BE7A16" w:rsidP="00AE1F12" w14:paraId="10770123" w14:textId="68AAF133">
      <w:pPr>
        <w:ind w:firstLine="2174"/>
        <w:jc w:val="center"/>
        <w:rPr>
          <w:szCs w:val="26"/>
        </w:rPr>
      </w:pPr>
      <w:r>
        <w:rPr>
          <w:szCs w:val="26"/>
        </w:rPr>
        <w:t xml:space="preserve">Acting </w:t>
      </w:r>
      <w:r w:rsidRPr="00BE7A16">
        <w:rPr>
          <w:szCs w:val="26"/>
        </w:rPr>
        <w:t>Secretary.</w:t>
      </w:r>
    </w:p>
    <w:p w:rsidR="00853ABC" w:rsidRPr="00BE7A16" w14:paraId="212DCDEF" w14:textId="77777777">
      <w:pPr>
        <w:spacing w:after="160" w:line="259" w:lineRule="auto"/>
        <w:rPr>
          <w:szCs w:val="26"/>
        </w:rPr>
      </w:pPr>
    </w:p>
    <w:sectPr w:rsidSect="00BF2D74">
      <w:head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0AF2" w:rsidP="00B01B16" w14:paraId="640C5AC6" w14:textId="77777777">
      <w:r>
        <w:separator/>
      </w:r>
    </w:p>
  </w:footnote>
  <w:footnote w:type="continuationSeparator" w:id="1">
    <w:p w:rsidR="00CE0AF2" w:rsidP="00B01B16" w14:paraId="20C65575" w14:textId="77777777">
      <w:r>
        <w:continuationSeparator/>
      </w:r>
    </w:p>
  </w:footnote>
  <w:footnote w:type="continuationNotice" w:id="2">
    <w:p w:rsidR="00CE0AF2" w14:paraId="084979C0" w14:textId="77777777"/>
  </w:footnote>
  <w:footnote w:id="3">
    <w:p w:rsidR="00706A16" w:rsidRPr="001B134D" w14:paraId="601977CF" w14:textId="247F7F1E">
      <w:pPr>
        <w:pStyle w:val="FootnoteText"/>
        <w:rPr>
          <w:sz w:val="26"/>
          <w:szCs w:val="26"/>
        </w:rPr>
      </w:pPr>
      <w:r w:rsidRPr="001B134D">
        <w:rPr>
          <w:rStyle w:val="FootnoteReference"/>
        </w:rPr>
        <w:footnoteRef/>
      </w:r>
      <w:r w:rsidRPr="001B134D">
        <w:rPr>
          <w:sz w:val="26"/>
          <w:szCs w:val="26"/>
        </w:rPr>
        <w:t xml:space="preserve"> 16 USC 824b</w:t>
      </w:r>
    </w:p>
  </w:footnote>
  <w:footnote w:id="4">
    <w:p w:rsidR="00186C4F" w:rsidRPr="00010429" w:rsidP="00186C4F" w14:paraId="40098599" w14:textId="77777777">
      <w:pPr>
        <w:pStyle w:val="FootnoteText"/>
        <w:rPr>
          <w:sz w:val="26"/>
          <w:szCs w:val="26"/>
        </w:rPr>
      </w:pPr>
      <w:r w:rsidRPr="00010429">
        <w:rPr>
          <w:rStyle w:val="FootnoteReference"/>
        </w:rPr>
        <w:footnoteRef/>
      </w:r>
      <w:r w:rsidRPr="00010429">
        <w:rPr>
          <w:sz w:val="26"/>
          <w:szCs w:val="26"/>
        </w:rPr>
        <w:t xml:space="preserve"> “Burden” is the total time, effort, or financial resources expended by persons to generate, maintain, retain, or disclose or provide information to or for a </w:t>
      </w:r>
      <w:r w:rsidRPr="00010429">
        <w:rPr>
          <w:sz w:val="26"/>
          <w:szCs w:val="26"/>
        </w:rPr>
        <w:t>Federal</w:t>
      </w:r>
      <w:r w:rsidRPr="00010429">
        <w:rPr>
          <w:sz w:val="26"/>
          <w:szCs w:val="26"/>
        </w:rPr>
        <w:t xml:space="preserve"> agency.  For further explanation of what is included in the information collection burden, refer to Title 5 Code of Federal Regulations 1320.3.</w:t>
      </w:r>
    </w:p>
    <w:p w:rsidR="00186C4F" w:rsidRPr="00010429" w:rsidP="00186C4F" w14:paraId="4857064A" w14:textId="77777777">
      <w:pPr>
        <w:pStyle w:val="FootnoteText"/>
        <w:rPr>
          <w:sz w:val="26"/>
          <w:szCs w:val="26"/>
        </w:rPr>
      </w:pPr>
    </w:p>
  </w:footnote>
  <w:footnote w:id="5">
    <w:p w:rsidR="00186C4F" w:rsidRPr="00010429" w:rsidP="00186C4F" w14:paraId="4D991834" w14:textId="465F0B56">
      <w:pPr>
        <w:pStyle w:val="FootnoteText"/>
        <w:rPr>
          <w:sz w:val="26"/>
          <w:szCs w:val="26"/>
        </w:rPr>
      </w:pPr>
      <w:r w:rsidRPr="00010429">
        <w:rPr>
          <w:rStyle w:val="FootnoteReference"/>
        </w:rPr>
        <w:footnoteRef/>
      </w:r>
      <w:r w:rsidRPr="00010429">
        <w:rPr>
          <w:sz w:val="26"/>
          <w:szCs w:val="26"/>
        </w:rPr>
        <w:t xml:space="preserve"> </w:t>
      </w:r>
      <w:r w:rsidRPr="00073790" w:rsidR="005A66C2">
        <w:rPr>
          <w:sz w:val="26"/>
          <w:szCs w:val="26"/>
        </w:rPr>
        <w:t>Commission staff estimates that the industry’s skill set and cost (for wages and benefits) for FERC-</w:t>
      </w:r>
      <w:r w:rsidR="005A66C2">
        <w:rPr>
          <w:sz w:val="26"/>
          <w:szCs w:val="26"/>
        </w:rPr>
        <w:t>520</w:t>
      </w:r>
      <w:r w:rsidRPr="00073790" w:rsidR="005A66C2">
        <w:rPr>
          <w:sz w:val="26"/>
          <w:szCs w:val="26"/>
        </w:rPr>
        <w:t xml:space="preserve"> are approximately the same as the Commission’s average cost.  The FERC 202</w:t>
      </w:r>
      <w:r w:rsidR="005A66C2">
        <w:rPr>
          <w:sz w:val="26"/>
          <w:szCs w:val="26"/>
        </w:rPr>
        <w:t>4</w:t>
      </w:r>
      <w:r w:rsidRPr="00073790" w:rsidR="005A66C2">
        <w:rPr>
          <w:sz w:val="26"/>
          <w:szCs w:val="26"/>
        </w:rPr>
        <w:t xml:space="preserve"> average salary plus benefits for one FERC full-time equivalent (FTE) is $</w:t>
      </w:r>
      <w:r w:rsidR="005A66C2">
        <w:rPr>
          <w:sz w:val="26"/>
          <w:szCs w:val="26"/>
        </w:rPr>
        <w:t>207,786</w:t>
      </w:r>
      <w:r w:rsidRPr="00073790" w:rsidR="005A66C2">
        <w:rPr>
          <w:sz w:val="26"/>
          <w:szCs w:val="26"/>
        </w:rPr>
        <w:t>/year (or $</w:t>
      </w:r>
      <w:r w:rsidR="005A66C2">
        <w:rPr>
          <w:sz w:val="26"/>
          <w:szCs w:val="26"/>
        </w:rPr>
        <w:t>100</w:t>
      </w:r>
      <w:r w:rsidRPr="00073790" w:rsidR="005A66C2">
        <w:rPr>
          <w:sz w:val="26"/>
          <w:szCs w:val="26"/>
        </w:rPr>
        <w:t>/hour)</w:t>
      </w:r>
      <w:r w:rsidR="005A66C2">
        <w:rPr>
          <w:sz w:val="26"/>
          <w:szCs w:val="26"/>
        </w:rPr>
        <w:t>.</w:t>
      </w:r>
    </w:p>
    <w:p w:rsidR="00186C4F" w:rsidRPr="00010429" w:rsidP="00186C4F" w14:paraId="05425C22" w14:textId="77777777">
      <w:pPr>
        <w:pStyle w:val="FootnoteText"/>
        <w:rPr>
          <w:sz w:val="26"/>
          <w:szCs w:val="26"/>
        </w:rPr>
      </w:pPr>
    </w:p>
  </w:footnote>
  <w:footnote w:id="6">
    <w:p w:rsidR="00AA1630" w:rsidP="00AA1630" w14:paraId="568232FA" w14:textId="5BDE37F2">
      <w:pPr>
        <w:pStyle w:val="FootnoteText"/>
        <w:rPr>
          <w:sz w:val="26"/>
          <w:szCs w:val="26"/>
        </w:rPr>
      </w:pPr>
      <w:r w:rsidRPr="00EA1CB5">
        <w:rPr>
          <w:rStyle w:val="FootnoteReference"/>
        </w:rPr>
        <w:footnoteRef/>
      </w:r>
      <w:r w:rsidRPr="00EA1CB5">
        <w:rPr>
          <w:sz w:val="26"/>
          <w:szCs w:val="26"/>
          <w:vertAlign w:val="superscript"/>
        </w:rPr>
        <w:t xml:space="preserve"> </w:t>
      </w:r>
      <w:r w:rsidRPr="00375F6B">
        <w:rPr>
          <w:sz w:val="26"/>
          <w:szCs w:val="26"/>
        </w:rPr>
        <w:t xml:space="preserve">Commission staff estimates that approximately </w:t>
      </w:r>
      <w:r>
        <w:rPr>
          <w:sz w:val="26"/>
          <w:szCs w:val="26"/>
        </w:rPr>
        <w:t>26 s</w:t>
      </w:r>
      <w:r w:rsidRPr="00375F6B">
        <w:rPr>
          <w:sz w:val="26"/>
          <w:szCs w:val="26"/>
        </w:rPr>
        <w:t>ection 203</w:t>
      </w:r>
      <w:r>
        <w:rPr>
          <w:sz w:val="26"/>
          <w:szCs w:val="26"/>
        </w:rPr>
        <w:t xml:space="preserve"> filings will change from full s</w:t>
      </w:r>
      <w:r w:rsidRPr="00375F6B">
        <w:rPr>
          <w:sz w:val="26"/>
          <w:szCs w:val="26"/>
        </w:rPr>
        <w:t>ection 203 filings to the notification filing described above and will take one burden hour to complete.  The number of respondents and responses is based on Commission staff’s estimate that 13 percent of the approximately 200 section 203 fi</w:t>
      </w:r>
      <w:r>
        <w:rPr>
          <w:sz w:val="26"/>
          <w:szCs w:val="26"/>
        </w:rPr>
        <w:t>lings received will be affected. This</w:t>
      </w:r>
      <w:r w:rsidRPr="00375F6B">
        <w:rPr>
          <w:sz w:val="26"/>
          <w:szCs w:val="26"/>
        </w:rPr>
        <w:t xml:space="preserve"> represents a significant reduction in burden hours.</w:t>
      </w:r>
    </w:p>
    <w:p w:rsidR="001B134D" w:rsidRPr="00375F6B" w:rsidP="00AA1630" w14:paraId="77151BF9" w14:textId="77777777">
      <w:pPr>
        <w:pStyle w:val="FootnoteText"/>
        <w:rPr>
          <w:sz w:val="26"/>
          <w:szCs w:val="26"/>
        </w:rPr>
      </w:pPr>
    </w:p>
  </w:footnote>
  <w:footnote w:id="7">
    <w:p w:rsidR="00AA1630" w:rsidRPr="00375F6B" w:rsidP="00AA1630" w14:paraId="5BEA79C2" w14:textId="1E3E6CBC">
      <w:pPr>
        <w:pStyle w:val="FootnoteText"/>
        <w:rPr>
          <w:sz w:val="26"/>
          <w:szCs w:val="26"/>
        </w:rPr>
      </w:pPr>
      <w:r w:rsidRPr="00EA1CB5">
        <w:rPr>
          <w:rStyle w:val="FootnoteReference"/>
        </w:rPr>
        <w:footnoteRef/>
      </w:r>
      <w:r w:rsidRPr="00375F6B">
        <w:rPr>
          <w:sz w:val="26"/>
          <w:szCs w:val="26"/>
        </w:rPr>
        <w:t xml:space="preserve"> With this amendment each </w:t>
      </w:r>
      <w:r>
        <w:rPr>
          <w:sz w:val="26"/>
          <w:szCs w:val="26"/>
        </w:rPr>
        <w:t xml:space="preserve">of the 26 affected entities and their related filings (i.e., the entities that now only have to file the section 203 notification filings) </w:t>
      </w:r>
      <w:r w:rsidRPr="00375F6B">
        <w:rPr>
          <w:sz w:val="26"/>
          <w:szCs w:val="26"/>
        </w:rPr>
        <w:t>is reduce</w:t>
      </w:r>
      <w:r>
        <w:rPr>
          <w:sz w:val="26"/>
          <w:szCs w:val="26"/>
        </w:rPr>
        <w:t>d</w:t>
      </w:r>
      <w:r w:rsidRPr="00375F6B">
        <w:rPr>
          <w:sz w:val="26"/>
          <w:szCs w:val="26"/>
        </w:rPr>
        <w:t xml:space="preserve"> to 1 hour </w:t>
      </w:r>
    </w:p>
    <w:p w:rsidR="00AA1630" w:rsidRPr="00375F6B" w:rsidP="00AA1630" w14:paraId="4D4DF89E" w14:textId="77777777">
      <w:pPr>
        <w:pStyle w:val="FootnoteText"/>
        <w:rPr>
          <w:sz w:val="26"/>
          <w:szCs w:val="26"/>
        </w:rPr>
      </w:pPr>
    </w:p>
  </w:footnote>
  <w:footnote w:id="8">
    <w:p w:rsidR="00DF3C0E" w:rsidRPr="007A6880" w:rsidP="00DF3C0E" w14:paraId="45B938E5" w14:textId="77777777">
      <w:pPr>
        <w:pStyle w:val="FootnoteText"/>
        <w:rPr>
          <w:sz w:val="26"/>
        </w:rPr>
      </w:pPr>
      <w:r w:rsidRPr="007A6880">
        <w:rPr>
          <w:rStyle w:val="FootnoteReference"/>
        </w:rPr>
        <w:footnoteRef/>
      </w:r>
      <w:r w:rsidRPr="007A6880">
        <w:rPr>
          <w:sz w:val="26"/>
        </w:rPr>
        <w:t xml:space="preserve"> 16 U.S.C 825d</w:t>
      </w:r>
      <w:r>
        <w:rPr>
          <w:sz w:val="26"/>
        </w:rPr>
        <w:t>(b)(1).</w:t>
      </w:r>
    </w:p>
  </w:footnote>
  <w:footnote w:id="9">
    <w:p w:rsidR="00786737" w:rsidRPr="00073790" w:rsidP="00786737" w14:paraId="62053C75" w14:textId="77777777">
      <w:pPr>
        <w:pStyle w:val="FootnoteText"/>
        <w:rPr>
          <w:sz w:val="26"/>
          <w:szCs w:val="26"/>
        </w:rPr>
      </w:pPr>
      <w:r w:rsidRPr="00073790">
        <w:rPr>
          <w:rStyle w:val="FootnoteReference"/>
        </w:rPr>
        <w:footnoteRef/>
      </w:r>
      <w:r w:rsidRPr="00073790">
        <w:rPr>
          <w:sz w:val="26"/>
          <w:szCs w:val="26"/>
        </w:rPr>
        <w:t xml:space="preserve"> “Burden” is the total time, effort, or financial resources expended by persons to generate, maintain, retain, or disclose or provide information to or for a </w:t>
      </w:r>
      <w:r w:rsidRPr="00073790">
        <w:rPr>
          <w:sz w:val="26"/>
          <w:szCs w:val="26"/>
        </w:rPr>
        <w:t>Federal</w:t>
      </w:r>
      <w:r w:rsidRPr="00073790">
        <w:rPr>
          <w:sz w:val="26"/>
          <w:szCs w:val="26"/>
        </w:rPr>
        <w:t xml:space="preserve"> agency.  For further explanation of what is included in the information collection burden, refer to Title 5 Code of Federal Regulations 1320.3.</w:t>
      </w:r>
    </w:p>
    <w:p w:rsidR="00786737" w:rsidRPr="00073790" w:rsidP="00786737" w14:paraId="7DED3455" w14:textId="77777777">
      <w:pPr>
        <w:pStyle w:val="FootnoteText"/>
        <w:rPr>
          <w:sz w:val="26"/>
          <w:szCs w:val="26"/>
        </w:rPr>
      </w:pPr>
    </w:p>
  </w:footnote>
  <w:footnote w:id="10">
    <w:p w:rsidR="00786737" w:rsidRPr="00073790" w:rsidP="00786737" w14:paraId="0FFDAD4C" w14:textId="5631C3A2">
      <w:pPr>
        <w:pStyle w:val="FootnoteText"/>
        <w:rPr>
          <w:sz w:val="26"/>
          <w:szCs w:val="26"/>
        </w:rPr>
      </w:pPr>
      <w:r w:rsidRPr="00073790">
        <w:rPr>
          <w:rStyle w:val="FootnoteReference"/>
        </w:rPr>
        <w:footnoteRef/>
      </w:r>
      <w:r w:rsidRPr="00073790">
        <w:rPr>
          <w:sz w:val="26"/>
          <w:szCs w:val="26"/>
        </w:rPr>
        <w:t xml:space="preserve"> Commission staff estimates that the industry’s skill set and cost (for wages and benefits) for FERC-</w:t>
      </w:r>
      <w:r w:rsidR="00984949">
        <w:rPr>
          <w:sz w:val="26"/>
          <w:szCs w:val="26"/>
        </w:rPr>
        <w:t>520</w:t>
      </w:r>
      <w:r w:rsidRPr="00073790">
        <w:rPr>
          <w:sz w:val="26"/>
          <w:szCs w:val="26"/>
        </w:rPr>
        <w:t xml:space="preserve"> are approximately the same as the Commission’s average cost.  </w:t>
      </w:r>
      <w:bookmarkStart w:id="6" w:name="_Hlk84516404"/>
      <w:r w:rsidRPr="00073790">
        <w:rPr>
          <w:sz w:val="26"/>
          <w:szCs w:val="26"/>
        </w:rPr>
        <w:t>The FERC 202</w:t>
      </w:r>
      <w:r w:rsidR="00984949">
        <w:rPr>
          <w:sz w:val="26"/>
          <w:szCs w:val="26"/>
        </w:rPr>
        <w:t>4</w:t>
      </w:r>
      <w:r w:rsidRPr="00073790">
        <w:rPr>
          <w:sz w:val="26"/>
          <w:szCs w:val="26"/>
        </w:rPr>
        <w:t xml:space="preserve"> average salary plus benefits for one FERC full-time equivalent (FTE) is $</w:t>
      </w:r>
      <w:r w:rsidR="00984949">
        <w:rPr>
          <w:sz w:val="26"/>
          <w:szCs w:val="26"/>
        </w:rPr>
        <w:t>207</w:t>
      </w:r>
      <w:r w:rsidR="00AF4A51">
        <w:rPr>
          <w:sz w:val="26"/>
          <w:szCs w:val="26"/>
        </w:rPr>
        <w:t>,7</w:t>
      </w:r>
      <w:r w:rsidR="00BA4745">
        <w:rPr>
          <w:sz w:val="26"/>
          <w:szCs w:val="26"/>
        </w:rPr>
        <w:t>8</w:t>
      </w:r>
      <w:r w:rsidR="00AF4A51">
        <w:rPr>
          <w:sz w:val="26"/>
          <w:szCs w:val="26"/>
        </w:rPr>
        <w:t>6</w:t>
      </w:r>
      <w:r w:rsidRPr="00073790">
        <w:rPr>
          <w:sz w:val="26"/>
          <w:szCs w:val="26"/>
        </w:rPr>
        <w:t>/year (or $</w:t>
      </w:r>
      <w:r w:rsidR="00AF4A51">
        <w:rPr>
          <w:sz w:val="26"/>
          <w:szCs w:val="26"/>
        </w:rPr>
        <w:t>100</w:t>
      </w:r>
      <w:r w:rsidRPr="00073790">
        <w:rPr>
          <w:sz w:val="26"/>
          <w:szCs w:val="26"/>
        </w:rPr>
        <w:t>/hour)</w:t>
      </w:r>
      <w:r w:rsidR="00AF4A51">
        <w:rPr>
          <w:sz w:val="26"/>
          <w:szCs w:val="26"/>
        </w:rPr>
        <w:t>.</w:t>
      </w:r>
    </w:p>
    <w:bookmarkEnd w:id="6"/>
    <w:p w:rsidR="00786737" w:rsidRPr="00073790" w:rsidP="00786737" w14:paraId="11EDFF60" w14:textId="77777777">
      <w:pPr>
        <w:pStyle w:val="FootnoteText"/>
        <w:rPr>
          <w:sz w:val="26"/>
          <w:szCs w:val="26"/>
        </w:rPr>
      </w:pPr>
    </w:p>
  </w:footnote>
  <w:footnote w:id="11">
    <w:p w:rsidR="00C9456D" w:rsidP="00C9456D" w14:paraId="5AFF3098" w14:textId="25D4D809">
      <w:pPr>
        <w:pStyle w:val="FootnoteText"/>
        <w:rPr>
          <w:sz w:val="26"/>
          <w:szCs w:val="26"/>
        </w:rPr>
      </w:pPr>
      <w:r w:rsidRPr="00982653">
        <w:rPr>
          <w:rStyle w:val="FootnoteReference"/>
        </w:rPr>
        <w:footnoteRef/>
      </w:r>
      <w:r w:rsidRPr="00982653">
        <w:rPr>
          <w:sz w:val="26"/>
          <w:szCs w:val="26"/>
        </w:rPr>
        <w:t xml:space="preserve"> Hinshaw pipelines are those that receive all out-of-state gas from entities within or at the boundary of a state if all the natural gas so received is ultimately consumed within the state in which it is received, 15 U.S.C. § 717(c). </w:t>
      </w:r>
      <w:r>
        <w:rPr>
          <w:sz w:val="26"/>
          <w:szCs w:val="26"/>
        </w:rPr>
        <w:t xml:space="preserve"> </w:t>
      </w:r>
      <w:r w:rsidRPr="00982653">
        <w:rPr>
          <w:sz w:val="26"/>
          <w:szCs w:val="26"/>
        </w:rPr>
        <w:t>Congress concluded that Hinshaw pipelines are "matters primarily of local concern," and so are more appropriately regulated by pertinent state agencies rather than by FERC.  The Natural Gas Act section 1(c) exempts Hinshaw pipelines from FERC jurisdiction.  A Hinshaw pipeline, however, may apply for a FERC certificate to transport gas outside of state lines.</w:t>
      </w:r>
    </w:p>
    <w:p w:rsidR="001B134D" w:rsidRPr="00982653" w:rsidP="00C9456D" w14:paraId="7170A1E4" w14:textId="77777777">
      <w:pPr>
        <w:pStyle w:val="FootnoteText"/>
        <w:rPr>
          <w:sz w:val="26"/>
          <w:szCs w:val="26"/>
        </w:rPr>
      </w:pPr>
    </w:p>
  </w:footnote>
  <w:footnote w:id="12">
    <w:p w:rsidR="00C9456D" w:rsidRPr="006536D8" w:rsidP="00C9456D" w14:paraId="0AF82345" w14:textId="77777777">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xml:space="preserve">” is </w:t>
      </w:r>
      <w:r w:rsidRPr="006536D8">
        <w:rPr>
          <w:sz w:val="26"/>
          <w:szCs w:val="26"/>
        </w:rPr>
        <w:t xml:space="preserve">the total time, effort, or financial resources expended by persons to generate, maintain, retain, or disclose or provide information to or for a </w:t>
      </w:r>
      <w:r w:rsidRPr="006536D8">
        <w:rPr>
          <w:sz w:val="26"/>
          <w:szCs w:val="26"/>
        </w:rPr>
        <w:t>Federal</w:t>
      </w:r>
      <w:r w:rsidRPr="006536D8">
        <w:rPr>
          <w:sz w:val="26"/>
          <w:szCs w:val="26"/>
        </w:rPr>
        <w:t xml:space="preserve"> agency. For further explanation of what is included in the information collection burden, refer to Title 5 Code of Federal Regulations 1320.3.</w:t>
      </w:r>
    </w:p>
  </w:footnote>
  <w:footnote w:id="13">
    <w:p w:rsidR="00C9456D" w:rsidRPr="00073790" w:rsidP="00C9456D" w14:paraId="3AEA8879" w14:textId="688B3237">
      <w:pPr>
        <w:pStyle w:val="FootnoteText"/>
        <w:rPr>
          <w:sz w:val="26"/>
          <w:szCs w:val="26"/>
        </w:rPr>
      </w:pPr>
      <w:r w:rsidRPr="00CF6342">
        <w:rPr>
          <w:rStyle w:val="FootnoteReference"/>
        </w:rPr>
        <w:footnoteRef/>
      </w:r>
      <w:r w:rsidRPr="00CF6342" w:rsidR="5508D2D3">
        <w:rPr>
          <w:sz w:val="26"/>
          <w:szCs w:val="26"/>
        </w:rPr>
        <w:t xml:space="preserve"> This figure was calculated by dividing the total number of responses (111) by the total number of respondents (83).  The resulting figure was then rounded to the nearest thousandth place.</w:t>
      </w:r>
    </w:p>
  </w:footnote>
  <w:footnote w:id="14">
    <w:p w:rsidR="23DC8365" w14:paraId="4CE85C59" w14:textId="26393995">
      <w:r w:rsidRPr="00A45A26">
        <w:rPr>
          <w:b/>
          <w:bCs/>
          <w:sz w:val="24"/>
          <w:szCs w:val="22"/>
          <w:vertAlign w:val="superscript"/>
        </w:rPr>
        <w:footnoteRef/>
      </w:r>
      <w:r w:rsidRPr="00A45A26">
        <w:rPr>
          <w:sz w:val="24"/>
          <w:szCs w:val="22"/>
          <w:vertAlign w:val="superscript"/>
        </w:rPr>
        <w:t xml:space="preserve"> </w:t>
      </w:r>
      <w:r>
        <w:t>Project-Area Wage Standards in the Labor Cost Component of Cost-of-Service Rates under Docket No. PL24-1-000 was issued on March 21, 2024, which allows jurisdictional entities to include wages consistent with project-area standards in cost-of-service rates filed with the Commission where the record supports that outcome.</w:t>
      </w:r>
    </w:p>
  </w:footnote>
  <w:footnote w:id="15">
    <w:p w:rsidR="00357E62" w:rsidRPr="00A45A26" w:rsidP="00357E62" w14:paraId="07AF42C5" w14:textId="77777777">
      <w:pPr>
        <w:pStyle w:val="FootnoteText"/>
        <w:rPr>
          <w:sz w:val="24"/>
          <w:szCs w:val="24"/>
        </w:rPr>
      </w:pPr>
      <w:r w:rsidRPr="00A45A26">
        <w:rPr>
          <w:rStyle w:val="FootnoteReference"/>
          <w:sz w:val="24"/>
          <w:szCs w:val="24"/>
        </w:rPr>
        <w:footnoteRef/>
      </w:r>
      <w:r w:rsidRPr="00A45A26">
        <w:rPr>
          <w:sz w:val="24"/>
          <w:szCs w:val="24"/>
        </w:rPr>
        <w:t xml:space="preserve"> 16 U.S.C. 824d</w:t>
      </w:r>
    </w:p>
  </w:footnote>
  <w:footnote w:id="16">
    <w:p w:rsidR="00357E62" w:rsidRPr="00A45A26" w:rsidP="00357E62" w14:paraId="69A1239B" w14:textId="77777777">
      <w:pPr>
        <w:pStyle w:val="FootnoteText"/>
        <w:rPr>
          <w:sz w:val="24"/>
          <w:szCs w:val="24"/>
        </w:rPr>
      </w:pPr>
      <w:r w:rsidRPr="00A45A26">
        <w:rPr>
          <w:rStyle w:val="FootnoteReference"/>
          <w:sz w:val="24"/>
          <w:szCs w:val="24"/>
        </w:rPr>
        <w:footnoteRef/>
      </w:r>
      <w:r w:rsidRPr="00A45A26">
        <w:rPr>
          <w:sz w:val="24"/>
          <w:szCs w:val="24"/>
        </w:rPr>
        <w:t xml:space="preserve"> An automatic adjustment clause is a provision of a rate schedule which provides for increases or decreases (or both), without prior hearing, in rates reflecting increases or decreases (or both) in costs incurred by an electric utility.</w:t>
      </w:r>
    </w:p>
    <w:p w:rsidR="00357E62" w:rsidRPr="00A45A26" w:rsidP="00357E62" w14:paraId="65DFD94F" w14:textId="77777777">
      <w:pPr>
        <w:pStyle w:val="FootnoteText"/>
        <w:rPr>
          <w:sz w:val="24"/>
          <w:szCs w:val="24"/>
        </w:rPr>
      </w:pPr>
      <w:r w:rsidRPr="00A45A26">
        <w:rPr>
          <w:sz w:val="24"/>
          <w:szCs w:val="24"/>
        </w:rPr>
        <w:t>For additional information on AACs, see the Frequently Asked Questions (FAQs) and Desk Reference for FERC Form 580 on the Commission’s website.</w:t>
      </w:r>
    </w:p>
  </w:footnote>
  <w:footnote w:id="17">
    <w:p w:rsidR="00357E62" w:rsidP="00357E62" w14:paraId="57A08A08" w14:textId="77777777">
      <w:pPr>
        <w:pStyle w:val="FootnoteText"/>
      </w:pPr>
      <w:r w:rsidRPr="00A45A26">
        <w:rPr>
          <w:rStyle w:val="FootnoteReference"/>
          <w:sz w:val="24"/>
          <w:szCs w:val="24"/>
        </w:rPr>
        <w:footnoteRef/>
      </w:r>
      <w:r w:rsidRPr="00A45A26">
        <w:rPr>
          <w:sz w:val="24"/>
          <w:szCs w:val="24"/>
        </w:rPr>
        <w:t xml:space="preserve"> By using the data in FERC Form 580, the Commission is able to </w:t>
      </w:r>
      <w:r w:rsidRPr="00A45A26">
        <w:rPr>
          <w:bCs/>
          <w:sz w:val="24"/>
          <w:szCs w:val="24"/>
        </w:rPr>
        <w:t xml:space="preserve">review utility purchase and cost recovery practices and </w:t>
      </w:r>
      <w:r w:rsidRPr="00A45A26">
        <w:rPr>
          <w:sz w:val="24"/>
          <w:szCs w:val="24"/>
        </w:rPr>
        <w:t xml:space="preserve">ensure the resources </w:t>
      </w:r>
      <w:r w:rsidRPr="00A45A26">
        <w:rPr>
          <w:sz w:val="24"/>
          <w:szCs w:val="24"/>
        </w:rPr>
        <w:t>are in compliance with</w:t>
      </w:r>
      <w:r w:rsidRPr="00A45A26">
        <w:rPr>
          <w:sz w:val="24"/>
          <w:szCs w:val="24"/>
        </w:rPr>
        <w:t xml:space="preserve"> Commission regulations in 18 CFR 35.14</w:t>
      </w:r>
    </w:p>
  </w:footnote>
  <w:footnote w:id="18">
    <w:p w:rsidR="00357E62" w:rsidRPr="00A45A26" w:rsidP="00357E62" w14:paraId="43447376" w14:textId="77777777">
      <w:pPr>
        <w:pStyle w:val="FootnoteText"/>
        <w:rPr>
          <w:sz w:val="24"/>
          <w:szCs w:val="24"/>
        </w:rPr>
      </w:pPr>
      <w:r w:rsidRPr="00A45A26">
        <w:rPr>
          <w:rStyle w:val="FootnoteReference"/>
          <w:sz w:val="24"/>
          <w:szCs w:val="24"/>
        </w:rPr>
        <w:footnoteRef/>
      </w:r>
      <w:r w:rsidRPr="00A45A26">
        <w:rPr>
          <w:sz w:val="24"/>
          <w:szCs w:val="24"/>
        </w:rPr>
        <w:t xml:space="preserve"> The FERC Form 580 interrogatory is conducted every two years.  </w:t>
      </w:r>
    </w:p>
  </w:footnote>
  <w:footnote w:id="19">
    <w:p w:rsidR="002073D8" w:rsidRPr="00A45A26" w:rsidP="002073D8" w14:paraId="22D8A61A" w14:textId="77777777">
      <w:pPr>
        <w:pStyle w:val="FootnoteText"/>
        <w:rPr>
          <w:sz w:val="24"/>
          <w:szCs w:val="24"/>
        </w:rPr>
      </w:pPr>
      <w:r w:rsidRPr="00A45A26">
        <w:rPr>
          <w:rStyle w:val="FootnoteReference"/>
          <w:sz w:val="24"/>
          <w:szCs w:val="24"/>
        </w:rPr>
        <w:footnoteRef/>
      </w:r>
      <w:r w:rsidRPr="00A45A26">
        <w:rPr>
          <w:sz w:val="24"/>
          <w:szCs w:val="24"/>
          <w:vertAlign w:val="superscript"/>
        </w:rPr>
        <w:t xml:space="preserve"> </w:t>
      </w:r>
      <w:r w:rsidRPr="00A45A26">
        <w:rPr>
          <w:sz w:val="24"/>
          <w:szCs w:val="24"/>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20">
    <w:p w:rsidR="00357E62" w:rsidRPr="00A45A26" w:rsidP="00357E62" w14:paraId="340E5481" w14:textId="265CAAB2">
      <w:pPr>
        <w:pStyle w:val="FootnoteText"/>
        <w:rPr>
          <w:sz w:val="24"/>
          <w:szCs w:val="24"/>
        </w:rPr>
      </w:pPr>
      <w:r w:rsidRPr="00A45A26">
        <w:rPr>
          <w:rStyle w:val="FootnoteReference"/>
          <w:sz w:val="24"/>
          <w:szCs w:val="24"/>
        </w:rPr>
        <w:footnoteRef/>
      </w:r>
      <w:r w:rsidRPr="00A45A26">
        <w:rPr>
          <w:sz w:val="24"/>
          <w:szCs w:val="24"/>
        </w:rPr>
        <w:t xml:space="preserve"> </w:t>
      </w:r>
      <w:r w:rsidRPr="00A45A26" w:rsidR="003B6440">
        <w:rPr>
          <w:sz w:val="24"/>
          <w:szCs w:val="24"/>
        </w:rPr>
        <w:t>Commission staff estimates that the industry’s skill set and cost (for wages and benefits) for FERC-520 are approximately the same as the Commission’s average cost.  The FERC 2024 average salary plus benefits for one FERC full-time equivalent (FTE) is $207,786/year (or $100/hour).</w:t>
      </w:r>
    </w:p>
  </w:footnote>
  <w:footnote w:id="21">
    <w:p w:rsidR="00161738" w:rsidP="00161738" w14:paraId="523C5885" w14:textId="77777777">
      <w:pPr>
        <w:pStyle w:val="FootnoteText"/>
      </w:pPr>
      <w:r w:rsidRPr="00A45A26">
        <w:rPr>
          <w:rStyle w:val="FootnoteReference"/>
          <w:sz w:val="24"/>
          <w:szCs w:val="24"/>
        </w:rPr>
        <w:footnoteRef/>
      </w:r>
      <w:r w:rsidRPr="00A45A26">
        <w:rPr>
          <w:sz w:val="24"/>
          <w:szCs w:val="24"/>
        </w:rPr>
        <w:t xml:space="preserve"> Fuel Adjustment Clause (FAC)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4212B90E">
        <w:pPr>
          <w:pStyle w:val="Header"/>
        </w:pPr>
        <w:r w:rsidRPr="00D954AE">
          <w:t xml:space="preserve">Docket No. </w:t>
        </w:r>
        <w:r w:rsidRPr="00FC07CD">
          <w:t>IC2</w:t>
        </w:r>
        <w:r w:rsidRPr="00FC07CD" w:rsidR="00FC07CD">
          <w:t>5</w:t>
        </w:r>
        <w:r w:rsidRPr="00FC07CD">
          <w:t>-</w:t>
        </w:r>
        <w:r w:rsidRPr="00FC07CD" w:rsidR="00FC07CD">
          <w:t>1</w:t>
        </w:r>
        <w:r w:rsidRPr="00FC07CD">
          <w:t>-000</w:t>
        </w:r>
        <w:r>
          <w:tab/>
        </w:r>
        <w:r>
          <w:fldChar w:fldCharType="begin"/>
        </w:r>
        <w:r>
          <w:instrText xml:space="preserve"> PAGE   \* MERGEFORMAT </w:instrText>
        </w:r>
        <w:r>
          <w:fldChar w:fldCharType="separate"/>
        </w:r>
        <w:r>
          <w:rPr>
            <w:noProof/>
          </w:rPr>
          <w:t>2</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D5C4A"/>
    <w:multiLevelType w:val="hybridMultilevel"/>
    <w:tmpl w:val="7B8AE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7851FA"/>
    <w:multiLevelType w:val="hybridMultilevel"/>
    <w:tmpl w:val="C150CD52"/>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1A5ED7"/>
    <w:multiLevelType w:val="hybridMultilevel"/>
    <w:tmpl w:val="C150CD52"/>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8">
    <w:nsid w:val="270A5E69"/>
    <w:multiLevelType w:val="hybridMultilevel"/>
    <w:tmpl w:val="3D80A4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9696221"/>
    <w:multiLevelType w:val="hybridMultilevel"/>
    <w:tmpl w:val="E97E2F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B3306C"/>
    <w:multiLevelType w:val="hybridMultilevel"/>
    <w:tmpl w:val="9C609F50"/>
    <w:lvl w:ilvl="0">
      <w:start w:val="2"/>
      <w:numFmt w:val="decimal"/>
      <w:lvlText w:val="%1."/>
      <w:lvlJc w:val="left"/>
      <w:pPr>
        <w:tabs>
          <w:tab w:val="num" w:pos="1095"/>
        </w:tabs>
        <w:ind w:left="1095" w:hanging="1095"/>
      </w:pPr>
      <w:rPr>
        <w:rFonts w:hint="default"/>
        <w:b/>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4">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381D49"/>
    <w:multiLevelType w:val="hybridMultilevel"/>
    <w:tmpl w:val="56A090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6B4C1719"/>
    <w:multiLevelType w:val="hybridMultilevel"/>
    <w:tmpl w:val="C150CD52"/>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3">
    <w:nsid w:val="7B996CF3"/>
    <w:multiLevelType w:val="hybridMultilevel"/>
    <w:tmpl w:val="E5C2F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484170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9425827">
    <w:abstractNumId w:val="7"/>
  </w:num>
  <w:num w:numId="3" w16cid:durableId="344747773">
    <w:abstractNumId w:val="15"/>
  </w:num>
  <w:num w:numId="4" w16cid:durableId="372341948">
    <w:abstractNumId w:val="12"/>
  </w:num>
  <w:num w:numId="5" w16cid:durableId="1936284972">
    <w:abstractNumId w:val="22"/>
  </w:num>
  <w:num w:numId="6" w16cid:durableId="66001721">
    <w:abstractNumId w:val="3"/>
  </w:num>
  <w:num w:numId="7" w16cid:durableId="1561936812">
    <w:abstractNumId w:val="17"/>
  </w:num>
  <w:num w:numId="8" w16cid:durableId="1249851707">
    <w:abstractNumId w:val="2"/>
  </w:num>
  <w:num w:numId="9" w16cid:durableId="971248223">
    <w:abstractNumId w:val="14"/>
  </w:num>
  <w:num w:numId="10" w16cid:durableId="715737781">
    <w:abstractNumId w:val="21"/>
  </w:num>
  <w:num w:numId="11" w16cid:durableId="554854505">
    <w:abstractNumId w:val="4"/>
  </w:num>
  <w:num w:numId="12" w16cid:durableId="1943612618">
    <w:abstractNumId w:val="19"/>
  </w:num>
  <w:num w:numId="13" w16cid:durableId="205799">
    <w:abstractNumId w:val="1"/>
  </w:num>
  <w:num w:numId="14" w16cid:durableId="1655911698">
    <w:abstractNumId w:val="20"/>
  </w:num>
  <w:num w:numId="15" w16cid:durableId="228662946">
    <w:abstractNumId w:val="13"/>
  </w:num>
  <w:num w:numId="16" w16cid:durableId="876163201">
    <w:abstractNumId w:val="6"/>
  </w:num>
  <w:num w:numId="17" w16cid:durableId="1810435907">
    <w:abstractNumId w:val="0"/>
  </w:num>
  <w:num w:numId="18" w16cid:durableId="1513255476">
    <w:abstractNumId w:val="9"/>
  </w:num>
  <w:num w:numId="19" w16cid:durableId="325866612">
    <w:abstractNumId w:val="23"/>
  </w:num>
  <w:num w:numId="20" w16cid:durableId="1663000908">
    <w:abstractNumId w:val="10"/>
  </w:num>
  <w:num w:numId="21" w16cid:durableId="762187200">
    <w:abstractNumId w:val="16"/>
  </w:num>
  <w:num w:numId="22" w16cid:durableId="1617366644">
    <w:abstractNumId w:val="8"/>
  </w:num>
  <w:num w:numId="23" w16cid:durableId="772945390">
    <w:abstractNumId w:val="5"/>
  </w:num>
  <w:num w:numId="24" w16cid:durableId="505440659">
    <w:abstractNumId w:val="23"/>
  </w:num>
  <w:num w:numId="25" w16cid:durableId="14725561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0925"/>
    <w:rsid w:val="00002F5C"/>
    <w:rsid w:val="0000758F"/>
    <w:rsid w:val="00010429"/>
    <w:rsid w:val="00014343"/>
    <w:rsid w:val="000166DE"/>
    <w:rsid w:val="0002275B"/>
    <w:rsid w:val="00026C2D"/>
    <w:rsid w:val="00027327"/>
    <w:rsid w:val="00036696"/>
    <w:rsid w:val="000379D6"/>
    <w:rsid w:val="00042F33"/>
    <w:rsid w:val="00043D5B"/>
    <w:rsid w:val="0004476D"/>
    <w:rsid w:val="00044F64"/>
    <w:rsid w:val="000459B6"/>
    <w:rsid w:val="00047FD1"/>
    <w:rsid w:val="0005167F"/>
    <w:rsid w:val="000578D5"/>
    <w:rsid w:val="00057EA9"/>
    <w:rsid w:val="00062427"/>
    <w:rsid w:val="000667DF"/>
    <w:rsid w:val="0006681D"/>
    <w:rsid w:val="00071471"/>
    <w:rsid w:val="00072E34"/>
    <w:rsid w:val="00073790"/>
    <w:rsid w:val="00082413"/>
    <w:rsid w:val="00084E3D"/>
    <w:rsid w:val="0008692A"/>
    <w:rsid w:val="00093975"/>
    <w:rsid w:val="00097607"/>
    <w:rsid w:val="000A0250"/>
    <w:rsid w:val="000A3078"/>
    <w:rsid w:val="000A35A2"/>
    <w:rsid w:val="000A3C2F"/>
    <w:rsid w:val="000A6164"/>
    <w:rsid w:val="000A6F37"/>
    <w:rsid w:val="000A7E68"/>
    <w:rsid w:val="000B431B"/>
    <w:rsid w:val="000B5B66"/>
    <w:rsid w:val="000B5C78"/>
    <w:rsid w:val="000D318C"/>
    <w:rsid w:val="000D6969"/>
    <w:rsid w:val="000E1256"/>
    <w:rsid w:val="000E2568"/>
    <w:rsid w:val="000E4C61"/>
    <w:rsid w:val="000F3BC3"/>
    <w:rsid w:val="000F606E"/>
    <w:rsid w:val="00102432"/>
    <w:rsid w:val="00104F28"/>
    <w:rsid w:val="00110B49"/>
    <w:rsid w:val="00112B6B"/>
    <w:rsid w:val="00116326"/>
    <w:rsid w:val="00125991"/>
    <w:rsid w:val="001262D3"/>
    <w:rsid w:val="0012761F"/>
    <w:rsid w:val="001309CE"/>
    <w:rsid w:val="0013255C"/>
    <w:rsid w:val="00134BBE"/>
    <w:rsid w:val="00135FC5"/>
    <w:rsid w:val="00137823"/>
    <w:rsid w:val="00150CBC"/>
    <w:rsid w:val="0015445B"/>
    <w:rsid w:val="00156BBB"/>
    <w:rsid w:val="001600DF"/>
    <w:rsid w:val="00161738"/>
    <w:rsid w:val="00164215"/>
    <w:rsid w:val="001642AB"/>
    <w:rsid w:val="0017044A"/>
    <w:rsid w:val="0017059D"/>
    <w:rsid w:val="00171725"/>
    <w:rsid w:val="00171ECB"/>
    <w:rsid w:val="0017684C"/>
    <w:rsid w:val="00177704"/>
    <w:rsid w:val="00181BF7"/>
    <w:rsid w:val="00184A26"/>
    <w:rsid w:val="00184B43"/>
    <w:rsid w:val="00185E61"/>
    <w:rsid w:val="00186C4F"/>
    <w:rsid w:val="00187CA8"/>
    <w:rsid w:val="0019402A"/>
    <w:rsid w:val="00197435"/>
    <w:rsid w:val="001974A9"/>
    <w:rsid w:val="001A0713"/>
    <w:rsid w:val="001A2DAA"/>
    <w:rsid w:val="001A50A7"/>
    <w:rsid w:val="001A6645"/>
    <w:rsid w:val="001A6AD6"/>
    <w:rsid w:val="001B0BD2"/>
    <w:rsid w:val="001B134D"/>
    <w:rsid w:val="001B78B8"/>
    <w:rsid w:val="001C43CF"/>
    <w:rsid w:val="001C543C"/>
    <w:rsid w:val="001C7064"/>
    <w:rsid w:val="001C71A5"/>
    <w:rsid w:val="001D578A"/>
    <w:rsid w:val="001D6260"/>
    <w:rsid w:val="001E3237"/>
    <w:rsid w:val="001F1CDF"/>
    <w:rsid w:val="001F284C"/>
    <w:rsid w:val="001F3B1B"/>
    <w:rsid w:val="001F3CFA"/>
    <w:rsid w:val="001F6C68"/>
    <w:rsid w:val="00202E41"/>
    <w:rsid w:val="002073D8"/>
    <w:rsid w:val="00207AE7"/>
    <w:rsid w:val="00211105"/>
    <w:rsid w:val="002131D0"/>
    <w:rsid w:val="00213696"/>
    <w:rsid w:val="00224BF8"/>
    <w:rsid w:val="00224DD2"/>
    <w:rsid w:val="00237AB9"/>
    <w:rsid w:val="0024271E"/>
    <w:rsid w:val="00242DB7"/>
    <w:rsid w:val="00242EC6"/>
    <w:rsid w:val="0024309C"/>
    <w:rsid w:val="0024414C"/>
    <w:rsid w:val="00246E0D"/>
    <w:rsid w:val="00253F98"/>
    <w:rsid w:val="00257CC2"/>
    <w:rsid w:val="00262096"/>
    <w:rsid w:val="00264D56"/>
    <w:rsid w:val="00265B23"/>
    <w:rsid w:val="00266431"/>
    <w:rsid w:val="0026784B"/>
    <w:rsid w:val="00284976"/>
    <w:rsid w:val="002906E5"/>
    <w:rsid w:val="00292A4C"/>
    <w:rsid w:val="00292C33"/>
    <w:rsid w:val="002945A8"/>
    <w:rsid w:val="0029537D"/>
    <w:rsid w:val="00297211"/>
    <w:rsid w:val="002A37CD"/>
    <w:rsid w:val="002B3E9C"/>
    <w:rsid w:val="002B5874"/>
    <w:rsid w:val="002C2C8B"/>
    <w:rsid w:val="002C3223"/>
    <w:rsid w:val="002C3579"/>
    <w:rsid w:val="002C5E0E"/>
    <w:rsid w:val="002D17E5"/>
    <w:rsid w:val="002D57E8"/>
    <w:rsid w:val="002D7145"/>
    <w:rsid w:val="002E06A0"/>
    <w:rsid w:val="002E1C29"/>
    <w:rsid w:val="002E498B"/>
    <w:rsid w:val="002E68D4"/>
    <w:rsid w:val="002E6DAA"/>
    <w:rsid w:val="002F0F44"/>
    <w:rsid w:val="002F21D2"/>
    <w:rsid w:val="002F3F34"/>
    <w:rsid w:val="002F4401"/>
    <w:rsid w:val="002F708A"/>
    <w:rsid w:val="002F7214"/>
    <w:rsid w:val="00301E3D"/>
    <w:rsid w:val="00302724"/>
    <w:rsid w:val="00303234"/>
    <w:rsid w:val="00303516"/>
    <w:rsid w:val="00306318"/>
    <w:rsid w:val="00307BDB"/>
    <w:rsid w:val="00311D90"/>
    <w:rsid w:val="00312A14"/>
    <w:rsid w:val="00314219"/>
    <w:rsid w:val="003149BC"/>
    <w:rsid w:val="0032027E"/>
    <w:rsid w:val="0032386C"/>
    <w:rsid w:val="0033340D"/>
    <w:rsid w:val="0033675A"/>
    <w:rsid w:val="00336AD9"/>
    <w:rsid w:val="00340D3C"/>
    <w:rsid w:val="00342537"/>
    <w:rsid w:val="00353270"/>
    <w:rsid w:val="00353974"/>
    <w:rsid w:val="00357E62"/>
    <w:rsid w:val="00365468"/>
    <w:rsid w:val="003658A2"/>
    <w:rsid w:val="003673EC"/>
    <w:rsid w:val="00373A2E"/>
    <w:rsid w:val="00374A3C"/>
    <w:rsid w:val="00374DE1"/>
    <w:rsid w:val="00375F6B"/>
    <w:rsid w:val="00376525"/>
    <w:rsid w:val="003816CB"/>
    <w:rsid w:val="00382178"/>
    <w:rsid w:val="00385FC5"/>
    <w:rsid w:val="00394BCB"/>
    <w:rsid w:val="00397ABE"/>
    <w:rsid w:val="003A2C3F"/>
    <w:rsid w:val="003B2144"/>
    <w:rsid w:val="003B435C"/>
    <w:rsid w:val="003B5B0B"/>
    <w:rsid w:val="003B6440"/>
    <w:rsid w:val="003B74DF"/>
    <w:rsid w:val="003C03DB"/>
    <w:rsid w:val="003C08DE"/>
    <w:rsid w:val="003C3E7A"/>
    <w:rsid w:val="003C5E1A"/>
    <w:rsid w:val="003C6345"/>
    <w:rsid w:val="003C65F9"/>
    <w:rsid w:val="003D0BB4"/>
    <w:rsid w:val="003D28D2"/>
    <w:rsid w:val="003D5F49"/>
    <w:rsid w:val="003E1657"/>
    <w:rsid w:val="003E1B25"/>
    <w:rsid w:val="003E1B5A"/>
    <w:rsid w:val="003E40B2"/>
    <w:rsid w:val="003E44AD"/>
    <w:rsid w:val="003F0FE7"/>
    <w:rsid w:val="003F2E32"/>
    <w:rsid w:val="003F2E94"/>
    <w:rsid w:val="003F2EC7"/>
    <w:rsid w:val="003F3548"/>
    <w:rsid w:val="003F402D"/>
    <w:rsid w:val="003F570B"/>
    <w:rsid w:val="003F5F04"/>
    <w:rsid w:val="003F6466"/>
    <w:rsid w:val="00407BCE"/>
    <w:rsid w:val="00410A8B"/>
    <w:rsid w:val="00411B62"/>
    <w:rsid w:val="00413AA8"/>
    <w:rsid w:val="00413FDE"/>
    <w:rsid w:val="004177CD"/>
    <w:rsid w:val="004179D7"/>
    <w:rsid w:val="004216A7"/>
    <w:rsid w:val="0042688C"/>
    <w:rsid w:val="0042765E"/>
    <w:rsid w:val="00427AE5"/>
    <w:rsid w:val="00440123"/>
    <w:rsid w:val="00443282"/>
    <w:rsid w:val="00447C9E"/>
    <w:rsid w:val="00450D64"/>
    <w:rsid w:val="004562F1"/>
    <w:rsid w:val="0046100A"/>
    <w:rsid w:val="0046113B"/>
    <w:rsid w:val="004628F2"/>
    <w:rsid w:val="00465456"/>
    <w:rsid w:val="00471921"/>
    <w:rsid w:val="00480D2D"/>
    <w:rsid w:val="00491543"/>
    <w:rsid w:val="004935AB"/>
    <w:rsid w:val="00497A62"/>
    <w:rsid w:val="00497B09"/>
    <w:rsid w:val="004A14FA"/>
    <w:rsid w:val="004A32F1"/>
    <w:rsid w:val="004A661D"/>
    <w:rsid w:val="004A6FC8"/>
    <w:rsid w:val="004B0209"/>
    <w:rsid w:val="004B0AE2"/>
    <w:rsid w:val="004C0BC3"/>
    <w:rsid w:val="004C70C8"/>
    <w:rsid w:val="004C7384"/>
    <w:rsid w:val="004D489B"/>
    <w:rsid w:val="004D7789"/>
    <w:rsid w:val="004E44F8"/>
    <w:rsid w:val="004E683E"/>
    <w:rsid w:val="004F06B9"/>
    <w:rsid w:val="004F2193"/>
    <w:rsid w:val="004F2F05"/>
    <w:rsid w:val="004F56E3"/>
    <w:rsid w:val="0050262D"/>
    <w:rsid w:val="005033A7"/>
    <w:rsid w:val="00506015"/>
    <w:rsid w:val="0050762D"/>
    <w:rsid w:val="005078CF"/>
    <w:rsid w:val="00511F43"/>
    <w:rsid w:val="00517C1A"/>
    <w:rsid w:val="00524164"/>
    <w:rsid w:val="00526FDB"/>
    <w:rsid w:val="00527733"/>
    <w:rsid w:val="00531000"/>
    <w:rsid w:val="00531C01"/>
    <w:rsid w:val="00536B4E"/>
    <w:rsid w:val="005401E0"/>
    <w:rsid w:val="00544424"/>
    <w:rsid w:val="0054746C"/>
    <w:rsid w:val="00547A5B"/>
    <w:rsid w:val="0055763E"/>
    <w:rsid w:val="00563269"/>
    <w:rsid w:val="00565830"/>
    <w:rsid w:val="00565B5E"/>
    <w:rsid w:val="00566B5F"/>
    <w:rsid w:val="00567315"/>
    <w:rsid w:val="00567C88"/>
    <w:rsid w:val="005739F7"/>
    <w:rsid w:val="005749DE"/>
    <w:rsid w:val="0058195F"/>
    <w:rsid w:val="00584A11"/>
    <w:rsid w:val="00587D1F"/>
    <w:rsid w:val="00590B50"/>
    <w:rsid w:val="0059196D"/>
    <w:rsid w:val="005953A1"/>
    <w:rsid w:val="00596242"/>
    <w:rsid w:val="00597970"/>
    <w:rsid w:val="00597BF6"/>
    <w:rsid w:val="005A0B82"/>
    <w:rsid w:val="005A0D62"/>
    <w:rsid w:val="005A1E8A"/>
    <w:rsid w:val="005A2F24"/>
    <w:rsid w:val="005A5AB9"/>
    <w:rsid w:val="005A6119"/>
    <w:rsid w:val="005A66C2"/>
    <w:rsid w:val="005B0254"/>
    <w:rsid w:val="005B1E0D"/>
    <w:rsid w:val="005B4DA4"/>
    <w:rsid w:val="005B7039"/>
    <w:rsid w:val="005B7231"/>
    <w:rsid w:val="005C09F1"/>
    <w:rsid w:val="005C12CF"/>
    <w:rsid w:val="005C180F"/>
    <w:rsid w:val="005C2FE1"/>
    <w:rsid w:val="005C77BE"/>
    <w:rsid w:val="005D0259"/>
    <w:rsid w:val="005D238D"/>
    <w:rsid w:val="005D3D34"/>
    <w:rsid w:val="005D4628"/>
    <w:rsid w:val="005E0B1A"/>
    <w:rsid w:val="005E45C6"/>
    <w:rsid w:val="005E68E7"/>
    <w:rsid w:val="005F548D"/>
    <w:rsid w:val="005F7CE1"/>
    <w:rsid w:val="00600682"/>
    <w:rsid w:val="00602995"/>
    <w:rsid w:val="006073B2"/>
    <w:rsid w:val="006128A5"/>
    <w:rsid w:val="00612A45"/>
    <w:rsid w:val="00613169"/>
    <w:rsid w:val="00617E9D"/>
    <w:rsid w:val="00623467"/>
    <w:rsid w:val="0062572C"/>
    <w:rsid w:val="00627BE4"/>
    <w:rsid w:val="00630E07"/>
    <w:rsid w:val="0063275F"/>
    <w:rsid w:val="0063784F"/>
    <w:rsid w:val="00637F43"/>
    <w:rsid w:val="006405C5"/>
    <w:rsid w:val="00641F0D"/>
    <w:rsid w:val="00643772"/>
    <w:rsid w:val="00644A1B"/>
    <w:rsid w:val="0064604E"/>
    <w:rsid w:val="00650E6C"/>
    <w:rsid w:val="006536D8"/>
    <w:rsid w:val="00654399"/>
    <w:rsid w:val="00654BA4"/>
    <w:rsid w:val="0066195A"/>
    <w:rsid w:val="00663FBE"/>
    <w:rsid w:val="00664931"/>
    <w:rsid w:val="00666620"/>
    <w:rsid w:val="00666831"/>
    <w:rsid w:val="006670C8"/>
    <w:rsid w:val="006726FC"/>
    <w:rsid w:val="00676E71"/>
    <w:rsid w:val="006841A7"/>
    <w:rsid w:val="00687348"/>
    <w:rsid w:val="00693721"/>
    <w:rsid w:val="00694C22"/>
    <w:rsid w:val="006963BC"/>
    <w:rsid w:val="006970F4"/>
    <w:rsid w:val="006970F5"/>
    <w:rsid w:val="006A2E15"/>
    <w:rsid w:val="006A4398"/>
    <w:rsid w:val="006B3479"/>
    <w:rsid w:val="006C0BF6"/>
    <w:rsid w:val="006C412B"/>
    <w:rsid w:val="006D3D27"/>
    <w:rsid w:val="006D5669"/>
    <w:rsid w:val="006D69BE"/>
    <w:rsid w:val="006E53AF"/>
    <w:rsid w:val="006E722A"/>
    <w:rsid w:val="006E7CBB"/>
    <w:rsid w:val="006E7EBE"/>
    <w:rsid w:val="006F7028"/>
    <w:rsid w:val="006F749E"/>
    <w:rsid w:val="007024F1"/>
    <w:rsid w:val="0070303C"/>
    <w:rsid w:val="00706A16"/>
    <w:rsid w:val="00707D60"/>
    <w:rsid w:val="00713417"/>
    <w:rsid w:val="0071495D"/>
    <w:rsid w:val="00714EDD"/>
    <w:rsid w:val="0071596F"/>
    <w:rsid w:val="007170F9"/>
    <w:rsid w:val="00723505"/>
    <w:rsid w:val="007263B9"/>
    <w:rsid w:val="00727872"/>
    <w:rsid w:val="00734C78"/>
    <w:rsid w:val="007352F2"/>
    <w:rsid w:val="0075009F"/>
    <w:rsid w:val="0075295E"/>
    <w:rsid w:val="00752A48"/>
    <w:rsid w:val="00757503"/>
    <w:rsid w:val="00757707"/>
    <w:rsid w:val="00760277"/>
    <w:rsid w:val="00761148"/>
    <w:rsid w:val="007633DD"/>
    <w:rsid w:val="007727A5"/>
    <w:rsid w:val="00774FCC"/>
    <w:rsid w:val="007755E3"/>
    <w:rsid w:val="0078072E"/>
    <w:rsid w:val="00781E6A"/>
    <w:rsid w:val="00786737"/>
    <w:rsid w:val="007A6880"/>
    <w:rsid w:val="007A6BCF"/>
    <w:rsid w:val="007B1F57"/>
    <w:rsid w:val="007B370F"/>
    <w:rsid w:val="007B4938"/>
    <w:rsid w:val="007B64DA"/>
    <w:rsid w:val="007C168F"/>
    <w:rsid w:val="007D02D8"/>
    <w:rsid w:val="007D372F"/>
    <w:rsid w:val="007D4CA6"/>
    <w:rsid w:val="007E3706"/>
    <w:rsid w:val="007F4CD3"/>
    <w:rsid w:val="007F61C2"/>
    <w:rsid w:val="00801456"/>
    <w:rsid w:val="008018DB"/>
    <w:rsid w:val="00801CE5"/>
    <w:rsid w:val="00803CA2"/>
    <w:rsid w:val="00807B51"/>
    <w:rsid w:val="00807CAC"/>
    <w:rsid w:val="008115BF"/>
    <w:rsid w:val="008143B0"/>
    <w:rsid w:val="00816942"/>
    <w:rsid w:val="008212DA"/>
    <w:rsid w:val="00821503"/>
    <w:rsid w:val="00823681"/>
    <w:rsid w:val="00824D81"/>
    <w:rsid w:val="0082638F"/>
    <w:rsid w:val="00831F9E"/>
    <w:rsid w:val="00835322"/>
    <w:rsid w:val="00837591"/>
    <w:rsid w:val="008376AE"/>
    <w:rsid w:val="008416FD"/>
    <w:rsid w:val="008427EE"/>
    <w:rsid w:val="00845FCF"/>
    <w:rsid w:val="008507FE"/>
    <w:rsid w:val="00853ABC"/>
    <w:rsid w:val="0086105B"/>
    <w:rsid w:val="008635A6"/>
    <w:rsid w:val="00863E08"/>
    <w:rsid w:val="00871D53"/>
    <w:rsid w:val="00871DCE"/>
    <w:rsid w:val="008755D6"/>
    <w:rsid w:val="00880340"/>
    <w:rsid w:val="00881405"/>
    <w:rsid w:val="00883F45"/>
    <w:rsid w:val="00886E29"/>
    <w:rsid w:val="0089069F"/>
    <w:rsid w:val="0089387F"/>
    <w:rsid w:val="00893C9F"/>
    <w:rsid w:val="00895B40"/>
    <w:rsid w:val="00895DA2"/>
    <w:rsid w:val="00897359"/>
    <w:rsid w:val="0089782D"/>
    <w:rsid w:val="00897EF2"/>
    <w:rsid w:val="008A050A"/>
    <w:rsid w:val="008A1C9C"/>
    <w:rsid w:val="008A55FC"/>
    <w:rsid w:val="008A7371"/>
    <w:rsid w:val="008B70FD"/>
    <w:rsid w:val="008B7EC5"/>
    <w:rsid w:val="008C16A1"/>
    <w:rsid w:val="008C5E58"/>
    <w:rsid w:val="008D25B7"/>
    <w:rsid w:val="008D2AE7"/>
    <w:rsid w:val="008D5479"/>
    <w:rsid w:val="008E0DC0"/>
    <w:rsid w:val="008E0DF5"/>
    <w:rsid w:val="008E3273"/>
    <w:rsid w:val="008E5B0E"/>
    <w:rsid w:val="008E73D9"/>
    <w:rsid w:val="008F0C45"/>
    <w:rsid w:val="008F7BDA"/>
    <w:rsid w:val="00904B00"/>
    <w:rsid w:val="00905441"/>
    <w:rsid w:val="009112D0"/>
    <w:rsid w:val="0091295F"/>
    <w:rsid w:val="00912961"/>
    <w:rsid w:val="00913B00"/>
    <w:rsid w:val="00921225"/>
    <w:rsid w:val="009363D5"/>
    <w:rsid w:val="00940C0F"/>
    <w:rsid w:val="00944F40"/>
    <w:rsid w:val="00951DC3"/>
    <w:rsid w:val="009522D3"/>
    <w:rsid w:val="0095548F"/>
    <w:rsid w:val="00960D2B"/>
    <w:rsid w:val="00963428"/>
    <w:rsid w:val="009647B6"/>
    <w:rsid w:val="009651B7"/>
    <w:rsid w:val="00970063"/>
    <w:rsid w:val="009708B2"/>
    <w:rsid w:val="00972037"/>
    <w:rsid w:val="009744C8"/>
    <w:rsid w:val="00974530"/>
    <w:rsid w:val="009745BF"/>
    <w:rsid w:val="00980E58"/>
    <w:rsid w:val="009815BD"/>
    <w:rsid w:val="00981886"/>
    <w:rsid w:val="00982653"/>
    <w:rsid w:val="00984949"/>
    <w:rsid w:val="00990102"/>
    <w:rsid w:val="00990FEC"/>
    <w:rsid w:val="00992257"/>
    <w:rsid w:val="009928CD"/>
    <w:rsid w:val="00992C43"/>
    <w:rsid w:val="00994233"/>
    <w:rsid w:val="009949AA"/>
    <w:rsid w:val="00995921"/>
    <w:rsid w:val="009A1B08"/>
    <w:rsid w:val="009B0524"/>
    <w:rsid w:val="009C08B1"/>
    <w:rsid w:val="009C1804"/>
    <w:rsid w:val="009C3CB9"/>
    <w:rsid w:val="009C4A13"/>
    <w:rsid w:val="009C745D"/>
    <w:rsid w:val="009D14CF"/>
    <w:rsid w:val="009D4E45"/>
    <w:rsid w:val="009D50C1"/>
    <w:rsid w:val="009D5817"/>
    <w:rsid w:val="009D6808"/>
    <w:rsid w:val="009D6F9A"/>
    <w:rsid w:val="009E02C5"/>
    <w:rsid w:val="009E2D84"/>
    <w:rsid w:val="009E7256"/>
    <w:rsid w:val="009F279E"/>
    <w:rsid w:val="009F5168"/>
    <w:rsid w:val="009F613A"/>
    <w:rsid w:val="009F7DE3"/>
    <w:rsid w:val="00A011FE"/>
    <w:rsid w:val="00A04C8E"/>
    <w:rsid w:val="00A07154"/>
    <w:rsid w:val="00A11868"/>
    <w:rsid w:val="00A127D3"/>
    <w:rsid w:val="00A1386C"/>
    <w:rsid w:val="00A14335"/>
    <w:rsid w:val="00A14B43"/>
    <w:rsid w:val="00A166E7"/>
    <w:rsid w:val="00A178B0"/>
    <w:rsid w:val="00A23612"/>
    <w:rsid w:val="00A2604E"/>
    <w:rsid w:val="00A27C67"/>
    <w:rsid w:val="00A3030D"/>
    <w:rsid w:val="00A32860"/>
    <w:rsid w:val="00A417A2"/>
    <w:rsid w:val="00A42FB1"/>
    <w:rsid w:val="00A45A26"/>
    <w:rsid w:val="00A471D8"/>
    <w:rsid w:val="00A52189"/>
    <w:rsid w:val="00A55E6E"/>
    <w:rsid w:val="00A57463"/>
    <w:rsid w:val="00A61326"/>
    <w:rsid w:val="00A664DF"/>
    <w:rsid w:val="00A66D95"/>
    <w:rsid w:val="00A67D32"/>
    <w:rsid w:val="00A71219"/>
    <w:rsid w:val="00A713D0"/>
    <w:rsid w:val="00A722D4"/>
    <w:rsid w:val="00A75AAA"/>
    <w:rsid w:val="00A820C1"/>
    <w:rsid w:val="00A82A29"/>
    <w:rsid w:val="00A840A9"/>
    <w:rsid w:val="00A86B6F"/>
    <w:rsid w:val="00A87A51"/>
    <w:rsid w:val="00A92CEC"/>
    <w:rsid w:val="00A96C8E"/>
    <w:rsid w:val="00AA1630"/>
    <w:rsid w:val="00AA38EF"/>
    <w:rsid w:val="00AA516A"/>
    <w:rsid w:val="00AA5B0E"/>
    <w:rsid w:val="00AA6A4A"/>
    <w:rsid w:val="00AA779C"/>
    <w:rsid w:val="00AB1FCC"/>
    <w:rsid w:val="00AC0504"/>
    <w:rsid w:val="00AC1DB7"/>
    <w:rsid w:val="00AC381D"/>
    <w:rsid w:val="00AC3A7C"/>
    <w:rsid w:val="00AC4313"/>
    <w:rsid w:val="00AC4BF5"/>
    <w:rsid w:val="00AC62A6"/>
    <w:rsid w:val="00AC664F"/>
    <w:rsid w:val="00AC750B"/>
    <w:rsid w:val="00AD1E15"/>
    <w:rsid w:val="00AD5778"/>
    <w:rsid w:val="00AD6937"/>
    <w:rsid w:val="00AE1F12"/>
    <w:rsid w:val="00AE21EC"/>
    <w:rsid w:val="00AE24CC"/>
    <w:rsid w:val="00AE4155"/>
    <w:rsid w:val="00AE4B7C"/>
    <w:rsid w:val="00AE66F6"/>
    <w:rsid w:val="00AF0341"/>
    <w:rsid w:val="00AF0671"/>
    <w:rsid w:val="00AF143C"/>
    <w:rsid w:val="00AF17CE"/>
    <w:rsid w:val="00AF336D"/>
    <w:rsid w:val="00AF349B"/>
    <w:rsid w:val="00AF413F"/>
    <w:rsid w:val="00AF4A51"/>
    <w:rsid w:val="00AF65F0"/>
    <w:rsid w:val="00B009E9"/>
    <w:rsid w:val="00B01711"/>
    <w:rsid w:val="00B01B16"/>
    <w:rsid w:val="00B062D0"/>
    <w:rsid w:val="00B11D16"/>
    <w:rsid w:val="00B17A95"/>
    <w:rsid w:val="00B24588"/>
    <w:rsid w:val="00B24871"/>
    <w:rsid w:val="00B30F2D"/>
    <w:rsid w:val="00B34928"/>
    <w:rsid w:val="00B35B74"/>
    <w:rsid w:val="00B403F1"/>
    <w:rsid w:val="00B4163B"/>
    <w:rsid w:val="00B43DB9"/>
    <w:rsid w:val="00B447D7"/>
    <w:rsid w:val="00B556C9"/>
    <w:rsid w:val="00B60113"/>
    <w:rsid w:val="00B6081E"/>
    <w:rsid w:val="00B61016"/>
    <w:rsid w:val="00B624EB"/>
    <w:rsid w:val="00B7014B"/>
    <w:rsid w:val="00B71BAA"/>
    <w:rsid w:val="00B73C6B"/>
    <w:rsid w:val="00B76A1F"/>
    <w:rsid w:val="00B76FA7"/>
    <w:rsid w:val="00B806DD"/>
    <w:rsid w:val="00B816D6"/>
    <w:rsid w:val="00B82F8C"/>
    <w:rsid w:val="00B8460F"/>
    <w:rsid w:val="00B84D34"/>
    <w:rsid w:val="00B86CA3"/>
    <w:rsid w:val="00B8718C"/>
    <w:rsid w:val="00B9249E"/>
    <w:rsid w:val="00B95477"/>
    <w:rsid w:val="00BA0478"/>
    <w:rsid w:val="00BA1D81"/>
    <w:rsid w:val="00BA4745"/>
    <w:rsid w:val="00BA7130"/>
    <w:rsid w:val="00BA773E"/>
    <w:rsid w:val="00BB077D"/>
    <w:rsid w:val="00BB436B"/>
    <w:rsid w:val="00BC4B2B"/>
    <w:rsid w:val="00BC58DF"/>
    <w:rsid w:val="00BC6431"/>
    <w:rsid w:val="00BD205B"/>
    <w:rsid w:val="00BD74AE"/>
    <w:rsid w:val="00BE16BC"/>
    <w:rsid w:val="00BE3FE7"/>
    <w:rsid w:val="00BE544C"/>
    <w:rsid w:val="00BE6EDF"/>
    <w:rsid w:val="00BE7A16"/>
    <w:rsid w:val="00BF2922"/>
    <w:rsid w:val="00BF2D74"/>
    <w:rsid w:val="00BF4CC8"/>
    <w:rsid w:val="00BF51ED"/>
    <w:rsid w:val="00BF75B6"/>
    <w:rsid w:val="00BF77DD"/>
    <w:rsid w:val="00BF7E65"/>
    <w:rsid w:val="00C01B88"/>
    <w:rsid w:val="00C0204F"/>
    <w:rsid w:val="00C02547"/>
    <w:rsid w:val="00C025C8"/>
    <w:rsid w:val="00C04E54"/>
    <w:rsid w:val="00C058D5"/>
    <w:rsid w:val="00C1124F"/>
    <w:rsid w:val="00C14903"/>
    <w:rsid w:val="00C1686C"/>
    <w:rsid w:val="00C30486"/>
    <w:rsid w:val="00C30740"/>
    <w:rsid w:val="00C30DED"/>
    <w:rsid w:val="00C32FB9"/>
    <w:rsid w:val="00C33619"/>
    <w:rsid w:val="00C354A3"/>
    <w:rsid w:val="00C35ED6"/>
    <w:rsid w:val="00C35FF8"/>
    <w:rsid w:val="00C367A6"/>
    <w:rsid w:val="00C37BFF"/>
    <w:rsid w:val="00C42500"/>
    <w:rsid w:val="00C44774"/>
    <w:rsid w:val="00C45E9A"/>
    <w:rsid w:val="00C45F17"/>
    <w:rsid w:val="00C507F7"/>
    <w:rsid w:val="00C50BD5"/>
    <w:rsid w:val="00C50EB1"/>
    <w:rsid w:val="00C51458"/>
    <w:rsid w:val="00C51E5F"/>
    <w:rsid w:val="00C52E2C"/>
    <w:rsid w:val="00C53580"/>
    <w:rsid w:val="00C55838"/>
    <w:rsid w:val="00C56745"/>
    <w:rsid w:val="00C615A4"/>
    <w:rsid w:val="00C63C66"/>
    <w:rsid w:val="00C70729"/>
    <w:rsid w:val="00C71475"/>
    <w:rsid w:val="00C75472"/>
    <w:rsid w:val="00C75818"/>
    <w:rsid w:val="00C767FA"/>
    <w:rsid w:val="00C76958"/>
    <w:rsid w:val="00C77EF7"/>
    <w:rsid w:val="00C80D25"/>
    <w:rsid w:val="00C82053"/>
    <w:rsid w:val="00C820F1"/>
    <w:rsid w:val="00C822C1"/>
    <w:rsid w:val="00C8367C"/>
    <w:rsid w:val="00C859F7"/>
    <w:rsid w:val="00C85A38"/>
    <w:rsid w:val="00C87901"/>
    <w:rsid w:val="00C909CE"/>
    <w:rsid w:val="00C91512"/>
    <w:rsid w:val="00C9456D"/>
    <w:rsid w:val="00C94A53"/>
    <w:rsid w:val="00CA0DEC"/>
    <w:rsid w:val="00CA2C56"/>
    <w:rsid w:val="00CA2DE2"/>
    <w:rsid w:val="00CA3A85"/>
    <w:rsid w:val="00CA6636"/>
    <w:rsid w:val="00CA6D76"/>
    <w:rsid w:val="00CA7FBE"/>
    <w:rsid w:val="00CB3B87"/>
    <w:rsid w:val="00CB51CC"/>
    <w:rsid w:val="00CC0389"/>
    <w:rsid w:val="00CC1A72"/>
    <w:rsid w:val="00CC3633"/>
    <w:rsid w:val="00CC5692"/>
    <w:rsid w:val="00CC65F3"/>
    <w:rsid w:val="00CC7E3E"/>
    <w:rsid w:val="00CD09E8"/>
    <w:rsid w:val="00CD56E5"/>
    <w:rsid w:val="00CE0AF2"/>
    <w:rsid w:val="00CE0C1B"/>
    <w:rsid w:val="00CF0C67"/>
    <w:rsid w:val="00CF0F40"/>
    <w:rsid w:val="00CF3AED"/>
    <w:rsid w:val="00CF4753"/>
    <w:rsid w:val="00CF6342"/>
    <w:rsid w:val="00D0083B"/>
    <w:rsid w:val="00D01A50"/>
    <w:rsid w:val="00D03A72"/>
    <w:rsid w:val="00D04DF4"/>
    <w:rsid w:val="00D15403"/>
    <w:rsid w:val="00D172D8"/>
    <w:rsid w:val="00D17650"/>
    <w:rsid w:val="00D2097B"/>
    <w:rsid w:val="00D22E9E"/>
    <w:rsid w:val="00D26488"/>
    <w:rsid w:val="00D3231A"/>
    <w:rsid w:val="00D35B2D"/>
    <w:rsid w:val="00D35C35"/>
    <w:rsid w:val="00D37F5E"/>
    <w:rsid w:val="00D44183"/>
    <w:rsid w:val="00D44A55"/>
    <w:rsid w:val="00D47931"/>
    <w:rsid w:val="00D47B74"/>
    <w:rsid w:val="00D47F3F"/>
    <w:rsid w:val="00D50626"/>
    <w:rsid w:val="00D5276C"/>
    <w:rsid w:val="00D601D4"/>
    <w:rsid w:val="00D61B79"/>
    <w:rsid w:val="00D62C84"/>
    <w:rsid w:val="00D6384D"/>
    <w:rsid w:val="00D653F3"/>
    <w:rsid w:val="00D65EC2"/>
    <w:rsid w:val="00D66B24"/>
    <w:rsid w:val="00D67307"/>
    <w:rsid w:val="00D71FC6"/>
    <w:rsid w:val="00D72D66"/>
    <w:rsid w:val="00D83B6C"/>
    <w:rsid w:val="00D85E13"/>
    <w:rsid w:val="00D86288"/>
    <w:rsid w:val="00D872BC"/>
    <w:rsid w:val="00D90F86"/>
    <w:rsid w:val="00D94290"/>
    <w:rsid w:val="00D954AE"/>
    <w:rsid w:val="00D96929"/>
    <w:rsid w:val="00DA1B6F"/>
    <w:rsid w:val="00DA529F"/>
    <w:rsid w:val="00DB53F0"/>
    <w:rsid w:val="00DB5AAE"/>
    <w:rsid w:val="00DB636B"/>
    <w:rsid w:val="00DB6882"/>
    <w:rsid w:val="00DB7FE4"/>
    <w:rsid w:val="00DC4B63"/>
    <w:rsid w:val="00DC5017"/>
    <w:rsid w:val="00DC5129"/>
    <w:rsid w:val="00DD7F1B"/>
    <w:rsid w:val="00DE1A87"/>
    <w:rsid w:val="00DE451F"/>
    <w:rsid w:val="00DE54A9"/>
    <w:rsid w:val="00DF0AA1"/>
    <w:rsid w:val="00DF3C0E"/>
    <w:rsid w:val="00E03D2D"/>
    <w:rsid w:val="00E12A7A"/>
    <w:rsid w:val="00E13AAF"/>
    <w:rsid w:val="00E2199E"/>
    <w:rsid w:val="00E25BD6"/>
    <w:rsid w:val="00E27FD6"/>
    <w:rsid w:val="00E30D02"/>
    <w:rsid w:val="00E32644"/>
    <w:rsid w:val="00E36A0F"/>
    <w:rsid w:val="00E400C7"/>
    <w:rsid w:val="00E40322"/>
    <w:rsid w:val="00E40CB4"/>
    <w:rsid w:val="00E41DB9"/>
    <w:rsid w:val="00E435C6"/>
    <w:rsid w:val="00E43E98"/>
    <w:rsid w:val="00E46EF8"/>
    <w:rsid w:val="00E50DAB"/>
    <w:rsid w:val="00E563D9"/>
    <w:rsid w:val="00E56612"/>
    <w:rsid w:val="00E71CC0"/>
    <w:rsid w:val="00E731AE"/>
    <w:rsid w:val="00E74310"/>
    <w:rsid w:val="00E762BB"/>
    <w:rsid w:val="00E83C3B"/>
    <w:rsid w:val="00E865C8"/>
    <w:rsid w:val="00E8661B"/>
    <w:rsid w:val="00E9084E"/>
    <w:rsid w:val="00E962E6"/>
    <w:rsid w:val="00E971DC"/>
    <w:rsid w:val="00E975D0"/>
    <w:rsid w:val="00E97D7C"/>
    <w:rsid w:val="00EA1793"/>
    <w:rsid w:val="00EA1CB5"/>
    <w:rsid w:val="00EA689F"/>
    <w:rsid w:val="00EA70FF"/>
    <w:rsid w:val="00EC1434"/>
    <w:rsid w:val="00EC24C9"/>
    <w:rsid w:val="00EC72B0"/>
    <w:rsid w:val="00EC77B3"/>
    <w:rsid w:val="00ED0142"/>
    <w:rsid w:val="00EE18F2"/>
    <w:rsid w:val="00EE1FD4"/>
    <w:rsid w:val="00EE35A5"/>
    <w:rsid w:val="00EE365D"/>
    <w:rsid w:val="00EE6227"/>
    <w:rsid w:val="00EF165E"/>
    <w:rsid w:val="00EF33BE"/>
    <w:rsid w:val="00EF4F97"/>
    <w:rsid w:val="00EF5662"/>
    <w:rsid w:val="00F05673"/>
    <w:rsid w:val="00F10C06"/>
    <w:rsid w:val="00F126FC"/>
    <w:rsid w:val="00F12983"/>
    <w:rsid w:val="00F1302F"/>
    <w:rsid w:val="00F14C23"/>
    <w:rsid w:val="00F15359"/>
    <w:rsid w:val="00F158F8"/>
    <w:rsid w:val="00F16138"/>
    <w:rsid w:val="00F165E7"/>
    <w:rsid w:val="00F175C4"/>
    <w:rsid w:val="00F21D19"/>
    <w:rsid w:val="00F23714"/>
    <w:rsid w:val="00F245A2"/>
    <w:rsid w:val="00F309CB"/>
    <w:rsid w:val="00F327AA"/>
    <w:rsid w:val="00F33EED"/>
    <w:rsid w:val="00F33EEE"/>
    <w:rsid w:val="00F37677"/>
    <w:rsid w:val="00F37B05"/>
    <w:rsid w:val="00F44A0E"/>
    <w:rsid w:val="00F4763C"/>
    <w:rsid w:val="00F52C8A"/>
    <w:rsid w:val="00F540BA"/>
    <w:rsid w:val="00F56194"/>
    <w:rsid w:val="00F570F0"/>
    <w:rsid w:val="00F5770F"/>
    <w:rsid w:val="00F5790D"/>
    <w:rsid w:val="00F60E60"/>
    <w:rsid w:val="00F6253E"/>
    <w:rsid w:val="00F64069"/>
    <w:rsid w:val="00F64D6D"/>
    <w:rsid w:val="00F654D4"/>
    <w:rsid w:val="00F66182"/>
    <w:rsid w:val="00F71399"/>
    <w:rsid w:val="00F71CF9"/>
    <w:rsid w:val="00F76D6C"/>
    <w:rsid w:val="00F82EE1"/>
    <w:rsid w:val="00F93134"/>
    <w:rsid w:val="00FA44D7"/>
    <w:rsid w:val="00FB078F"/>
    <w:rsid w:val="00FB3586"/>
    <w:rsid w:val="00FC07CD"/>
    <w:rsid w:val="00FC3F00"/>
    <w:rsid w:val="00FC750D"/>
    <w:rsid w:val="00FD0EA3"/>
    <w:rsid w:val="00FD387B"/>
    <w:rsid w:val="00FD55F1"/>
    <w:rsid w:val="00FD5C11"/>
    <w:rsid w:val="00FD7D88"/>
    <w:rsid w:val="00FE34E4"/>
    <w:rsid w:val="00FE6948"/>
    <w:rsid w:val="00FE7EF9"/>
    <w:rsid w:val="00FF1D71"/>
    <w:rsid w:val="00FF4CB8"/>
    <w:rsid w:val="00FF5141"/>
    <w:rsid w:val="00FF735F"/>
    <w:rsid w:val="040D5065"/>
    <w:rsid w:val="15E6F7DE"/>
    <w:rsid w:val="16564D7B"/>
    <w:rsid w:val="16D74512"/>
    <w:rsid w:val="1875726B"/>
    <w:rsid w:val="19F2E1C7"/>
    <w:rsid w:val="1BCFF7B2"/>
    <w:rsid w:val="1C1E9AF3"/>
    <w:rsid w:val="1E9D98F1"/>
    <w:rsid w:val="226BD9E6"/>
    <w:rsid w:val="22FF2B58"/>
    <w:rsid w:val="23DC8365"/>
    <w:rsid w:val="253DAF7F"/>
    <w:rsid w:val="26321F82"/>
    <w:rsid w:val="28954174"/>
    <w:rsid w:val="28F789A1"/>
    <w:rsid w:val="2A9323F1"/>
    <w:rsid w:val="2AB0ECE8"/>
    <w:rsid w:val="307B452B"/>
    <w:rsid w:val="30AB0AAC"/>
    <w:rsid w:val="31704021"/>
    <w:rsid w:val="32341057"/>
    <w:rsid w:val="3755D901"/>
    <w:rsid w:val="39B9EDE4"/>
    <w:rsid w:val="3AE4C167"/>
    <w:rsid w:val="3B5F9D77"/>
    <w:rsid w:val="3C259A3F"/>
    <w:rsid w:val="3CFD5AAE"/>
    <w:rsid w:val="3E0D3D6B"/>
    <w:rsid w:val="3EF5D9B1"/>
    <w:rsid w:val="42ECC7A1"/>
    <w:rsid w:val="456E3663"/>
    <w:rsid w:val="489AA6CF"/>
    <w:rsid w:val="4B3AC782"/>
    <w:rsid w:val="4BE5436A"/>
    <w:rsid w:val="5508D2D3"/>
    <w:rsid w:val="57420D20"/>
    <w:rsid w:val="59FA33EA"/>
    <w:rsid w:val="5ADF3421"/>
    <w:rsid w:val="5C135A81"/>
    <w:rsid w:val="5D5F3F8F"/>
    <w:rsid w:val="674045C3"/>
    <w:rsid w:val="6867F224"/>
    <w:rsid w:val="6957A0FB"/>
    <w:rsid w:val="6A2029F1"/>
    <w:rsid w:val="6A4D55A4"/>
    <w:rsid w:val="6B3CBAE3"/>
    <w:rsid w:val="6BAD6A3F"/>
    <w:rsid w:val="6D1DF64B"/>
    <w:rsid w:val="73204108"/>
    <w:rsid w:val="739432A7"/>
    <w:rsid w:val="74360A44"/>
    <w:rsid w:val="7506D664"/>
    <w:rsid w:val="75333269"/>
    <w:rsid w:val="7564D3A0"/>
    <w:rsid w:val="797CDB17"/>
    <w:rsid w:val="7B019675"/>
    <w:rsid w:val="7BA4C57A"/>
    <w:rsid w:val="7C070380"/>
    <w:rsid w:val="7F94C4D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A71459E4-203B-4FB7-95FE-780BB5B6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B1B"/>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8B937-91EC-4E0F-9F38-4BD864C9D76E}">
  <ds:schemaRefs>
    <ds:schemaRef ds:uri="http://schemas.openxmlformats.org/officeDocument/2006/bibliography"/>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6359828A-F9DB-4BF7-84D6-A487BD1FAF16}">
  <ds:schemaRefs>
    <ds:schemaRef ds:uri="Microsoft.SharePoint.Taxonomy.ContentTypeSync"/>
  </ds:schemaRefs>
</ds:datastoreItem>
</file>

<file path=customXml/itemProps4.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5.xml><?xml version="1.0" encoding="utf-8"?>
<ds:datastoreItem xmlns:ds="http://schemas.openxmlformats.org/officeDocument/2006/customXml" ds:itemID="{CB8B1E5C-51CD-421F-9A25-41F26A942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8</TotalTime>
  <Pages>13</Pages>
  <Words>2175</Words>
  <Characters>12404</Characters>
  <Application>Microsoft Office Word</Application>
  <DocSecurity>0</DocSecurity>
  <Lines>103</Lines>
  <Paragraphs>29</Paragraphs>
  <ScaleCrop>false</ScaleCrop>
  <Company/>
  <LinksUpToDate>false</LinksUpToDate>
  <CharactersWithSpaces>14550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2016-12-20T22:40:00Z</cp:lastPrinted>
  <dcterms:created xsi:type="dcterms:W3CDTF">2024-11-25T18:05:00Z</dcterms:created>
  <dcterms:modified xsi:type="dcterms:W3CDTF">2024-11-25T18:25:00Z</dcterms:modified>
</cp:coreProperties>
</file>