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120159AD"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F3090">
        <w:rPr>
          <w:rFonts w:ascii="Times New Roman" w:hAnsi="Times New Roman"/>
          <w:szCs w:val="24"/>
        </w:rPr>
        <w:t>1840</w:t>
      </w:r>
      <w:r w:rsidRPr="00C875E8">
        <w:rPr>
          <w:rFonts w:ascii="Times New Roman" w:hAnsi="Times New Roman"/>
          <w:szCs w:val="24"/>
        </w:rPr>
        <w:t>-</w:t>
      </w:r>
      <w:r w:rsidR="003F3090">
        <w:rPr>
          <w:rFonts w:ascii="Times New Roman" w:hAnsi="Times New Roman"/>
          <w:szCs w:val="24"/>
        </w:rPr>
        <w:t>0748</w:t>
      </w:r>
    </w:p>
    <w:p w:rsidR="00EA1767" w:rsidP="002313E2" w14:paraId="58DA007D" w14:textId="680EB1D9">
      <w:pPr>
        <w:pStyle w:val="Header"/>
        <w:rPr>
          <w:rFonts w:ascii="Times New Roman" w:hAnsi="Times New Roman"/>
          <w:szCs w:val="24"/>
        </w:rPr>
      </w:pPr>
      <w:r w:rsidRPr="00C875E8">
        <w:rPr>
          <w:rFonts w:ascii="Times New Roman" w:hAnsi="Times New Roman"/>
          <w:szCs w:val="24"/>
        </w:rPr>
        <w:t xml:space="preserve">Revised: </w:t>
      </w:r>
      <w:r w:rsidR="007F0490">
        <w:rPr>
          <w:rFonts w:ascii="Times New Roman" w:hAnsi="Times New Roman"/>
          <w:szCs w:val="24"/>
        </w:rPr>
        <w:t>3/1</w:t>
      </w:r>
      <w:r w:rsidR="006420A3">
        <w:rPr>
          <w:rFonts w:ascii="Times New Roman" w:hAnsi="Times New Roman"/>
          <w:szCs w:val="24"/>
        </w:rPr>
        <w:t>4</w:t>
      </w:r>
      <w:r w:rsidR="007F0490">
        <w:rPr>
          <w:rFonts w:ascii="Times New Roman" w:hAnsi="Times New Roman"/>
          <w:szCs w:val="24"/>
        </w:rPr>
        <w:t>/25</w:t>
      </w:r>
    </w:p>
    <w:p w:rsidR="002313E2" w:rsidRPr="00AD381B" w:rsidP="002313E2" w14:paraId="3E518F8E" w14:textId="77777777">
      <w:pPr>
        <w:pStyle w:val="Header"/>
        <w:rPr>
          <w:rFonts w:ascii="Times New Roman" w:hAnsi="Times New Roman"/>
          <w:color w:val="FFFFFF" w:themeColor="background1"/>
          <w:szCs w:val="24"/>
        </w:rPr>
      </w:pPr>
    </w:p>
    <w:p w:rsidR="00043C32" w:rsidRPr="00AD381B" w:rsidP="002313E2" w14:paraId="59FD13C0" w14:textId="77777777">
      <w:pPr>
        <w:pStyle w:val="Heading1"/>
        <w:rPr>
          <w:sz w:val="24"/>
          <w:szCs w:val="24"/>
        </w:rPr>
      </w:pPr>
      <w:r w:rsidRPr="00AD381B">
        <w:rPr>
          <w:sz w:val="24"/>
          <w:szCs w:val="24"/>
        </w:rPr>
        <w:t>SUPPORTING STATEMENT</w:t>
      </w:r>
    </w:p>
    <w:p w:rsidR="00043C32" w:rsidRPr="00AD381B" w:rsidP="002313E2" w14:paraId="5CEB8C6F" w14:textId="77777777">
      <w:pPr>
        <w:pStyle w:val="Heading1"/>
        <w:rPr>
          <w:sz w:val="24"/>
          <w:szCs w:val="24"/>
        </w:rPr>
      </w:pPr>
      <w:r w:rsidRPr="00AD381B">
        <w:rPr>
          <w:sz w:val="24"/>
          <w:szCs w:val="24"/>
        </w:rPr>
        <w:t>FOR PAPERWORK REDUCTION ACT SUBMISSION</w:t>
      </w:r>
    </w:p>
    <w:p w:rsidR="00043C32" w:rsidRPr="00AD381B" w:rsidP="002313E2" w14:paraId="53775670" w14:textId="77777777">
      <w:pPr>
        <w:tabs>
          <w:tab w:val="left" w:pos="0"/>
        </w:tabs>
        <w:suppressAutoHyphens/>
        <w:rPr>
          <w:rFonts w:ascii="Times New Roman" w:hAnsi="Times New Roman"/>
          <w:szCs w:val="24"/>
        </w:rPr>
      </w:pPr>
    </w:p>
    <w:p w:rsidR="00EA1767" w:rsidRPr="00AD381B" w:rsidP="002313E2" w14:paraId="243BF7E8"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D5A1D" w:rsidP="005D5A1D" w14:paraId="2BA2445E" w14:textId="77777777">
      <w:pPr>
        <w:pStyle w:val="ListParagraph"/>
        <w:rPr>
          <w:rFonts w:ascii="Times New Roman" w:hAnsi="Times New Roman"/>
          <w:szCs w:val="24"/>
        </w:rPr>
      </w:pPr>
    </w:p>
    <w:p w:rsidR="005D5A1D" w:rsidP="005D5A1D" w14:paraId="0B258FC3" w14:textId="77777777">
      <w:pPr>
        <w:pStyle w:val="ListParagraph"/>
        <w:rPr>
          <w:rFonts w:ascii="Times New Roman" w:hAnsi="Times New Roman"/>
          <w:szCs w:val="24"/>
        </w:rPr>
      </w:pPr>
      <w:r w:rsidRPr="005D5A1D">
        <w:rPr>
          <w:rFonts w:ascii="Times New Roman" w:hAnsi="Times New Roman"/>
          <w:szCs w:val="24"/>
        </w:rPr>
        <w:t xml:space="preserve">The U.S. Department of Education (Department) is requesting </w:t>
      </w:r>
      <w:r w:rsidRPr="00A14867">
        <w:rPr>
          <w:rFonts w:ascii="Times New Roman" w:hAnsi="Times New Roman"/>
          <w:szCs w:val="24"/>
        </w:rPr>
        <w:t>an extension</w:t>
      </w:r>
      <w:r w:rsidRPr="005D5A1D">
        <w:rPr>
          <w:rFonts w:ascii="Times New Roman" w:hAnsi="Times New Roman"/>
          <w:szCs w:val="24"/>
        </w:rPr>
        <w:t xml:space="preserve"> of the previously approved GAANN performance report </w:t>
      </w:r>
      <w:r w:rsidR="007455A0">
        <w:rPr>
          <w:rFonts w:ascii="Times New Roman" w:hAnsi="Times New Roman"/>
          <w:szCs w:val="24"/>
        </w:rPr>
        <w:t xml:space="preserve">package </w:t>
      </w:r>
      <w:r w:rsidRPr="005D5A1D">
        <w:rPr>
          <w:rFonts w:ascii="Times New Roman" w:hAnsi="Times New Roman"/>
          <w:szCs w:val="24"/>
        </w:rPr>
        <w:t xml:space="preserve">that </w:t>
      </w:r>
      <w:r w:rsidRPr="00A14867">
        <w:rPr>
          <w:rFonts w:ascii="Times New Roman" w:hAnsi="Times New Roman"/>
          <w:szCs w:val="24"/>
        </w:rPr>
        <w:t xml:space="preserve">expires on </w:t>
      </w:r>
      <w:r w:rsidRPr="00A14867" w:rsidR="00A14867">
        <w:rPr>
          <w:rFonts w:ascii="Times New Roman" w:hAnsi="Times New Roman"/>
          <w:szCs w:val="24"/>
        </w:rPr>
        <w:t>September 30</w:t>
      </w:r>
      <w:r w:rsidRPr="00A14867">
        <w:rPr>
          <w:rFonts w:ascii="Times New Roman" w:hAnsi="Times New Roman"/>
          <w:szCs w:val="24"/>
        </w:rPr>
        <w:t xml:space="preserve">, </w:t>
      </w:r>
      <w:r w:rsidRPr="00A14867" w:rsidR="00A14867">
        <w:rPr>
          <w:rFonts w:ascii="Times New Roman" w:hAnsi="Times New Roman"/>
          <w:szCs w:val="24"/>
        </w:rPr>
        <w:t>2024</w:t>
      </w:r>
      <w:r w:rsidRPr="00A14867">
        <w:rPr>
          <w:rFonts w:ascii="Times New Roman" w:hAnsi="Times New Roman"/>
          <w:szCs w:val="24"/>
        </w:rPr>
        <w:t>.  The</w:t>
      </w:r>
      <w:r w:rsidRPr="00A14867">
        <w:rPr>
          <w:rFonts w:ascii="Times New Roman" w:hAnsi="Times New Roman"/>
        </w:rPr>
        <w:t xml:space="preserve"> goal of the program</w:t>
      </w:r>
      <w:r w:rsidRPr="00A14867">
        <w:rPr>
          <w:rFonts w:ascii="Times New Roman" w:hAnsi="Times New Roman"/>
          <w:szCs w:val="24"/>
        </w:rPr>
        <w:t xml:space="preserve"> is to increase the number of students with degrees in areas of</w:t>
      </w:r>
      <w:r w:rsidRPr="005D5A1D">
        <w:rPr>
          <w:rFonts w:ascii="Times New Roman" w:hAnsi="Times New Roman"/>
          <w:szCs w:val="24"/>
        </w:rPr>
        <w:t xml:space="preserve"> national need by providing fellowships through academic departments of institutions of higher education to assist graduate students of superior ability who demonstrate financial need.</w:t>
      </w:r>
    </w:p>
    <w:p w:rsidR="005D5A1D" w:rsidP="005D5A1D" w14:paraId="3B08D580" w14:textId="77777777">
      <w:pPr>
        <w:pStyle w:val="ListParagraph"/>
        <w:rPr>
          <w:rFonts w:ascii="Times New Roman" w:hAnsi="Times New Roman"/>
          <w:szCs w:val="24"/>
        </w:rPr>
      </w:pPr>
    </w:p>
    <w:p w:rsidR="005D5A1D" w:rsidP="005D5A1D" w14:paraId="5CF3690A" w14:textId="77777777">
      <w:pPr>
        <w:ind w:left="720"/>
        <w:rPr>
          <w:rFonts w:ascii="Times New Roman" w:hAnsi="Times New Roman"/>
          <w:szCs w:val="24"/>
        </w:rPr>
      </w:pPr>
      <w:r w:rsidRPr="00666333">
        <w:rPr>
          <w:rFonts w:ascii="Times New Roman" w:hAnsi="Times New Roman"/>
          <w:szCs w:val="24"/>
        </w:rPr>
        <w:t xml:space="preserve">There are </w:t>
      </w:r>
      <w:r>
        <w:rPr>
          <w:rFonts w:ascii="Times New Roman" w:hAnsi="Times New Roman"/>
          <w:szCs w:val="24"/>
        </w:rPr>
        <w:t>three</w:t>
      </w:r>
      <w:r w:rsidRPr="00666333">
        <w:rPr>
          <w:rFonts w:ascii="Times New Roman" w:hAnsi="Times New Roman"/>
          <w:szCs w:val="24"/>
        </w:rPr>
        <w:t xml:space="preserve"> versions of the performance report that are part of this package: the </w:t>
      </w:r>
      <w:r>
        <w:rPr>
          <w:rFonts w:ascii="Times New Roman" w:hAnsi="Times New Roman"/>
          <w:szCs w:val="24"/>
        </w:rPr>
        <w:t>A</w:t>
      </w:r>
      <w:r w:rsidRPr="00666333">
        <w:rPr>
          <w:rFonts w:ascii="Times New Roman" w:hAnsi="Times New Roman"/>
          <w:szCs w:val="24"/>
        </w:rPr>
        <w:t xml:space="preserve">nnual </w:t>
      </w:r>
      <w:r>
        <w:rPr>
          <w:rFonts w:ascii="Times New Roman" w:hAnsi="Times New Roman"/>
          <w:szCs w:val="24"/>
        </w:rPr>
        <w:t>R</w:t>
      </w:r>
      <w:r w:rsidRPr="00666333">
        <w:rPr>
          <w:rFonts w:ascii="Times New Roman" w:hAnsi="Times New Roman"/>
          <w:szCs w:val="24"/>
        </w:rPr>
        <w:t>eport</w:t>
      </w:r>
      <w:r>
        <w:rPr>
          <w:rFonts w:ascii="Times New Roman" w:hAnsi="Times New Roman"/>
          <w:szCs w:val="24"/>
        </w:rPr>
        <w:t>,</w:t>
      </w:r>
      <w:r w:rsidRPr="00666333">
        <w:rPr>
          <w:rFonts w:ascii="Times New Roman" w:hAnsi="Times New Roman"/>
          <w:szCs w:val="24"/>
        </w:rPr>
        <w:t xml:space="preserve"> </w:t>
      </w:r>
      <w:r>
        <w:rPr>
          <w:rFonts w:ascii="Times New Roman" w:hAnsi="Times New Roman"/>
          <w:szCs w:val="24"/>
        </w:rPr>
        <w:t>F</w:t>
      </w:r>
      <w:r w:rsidRPr="00666333">
        <w:rPr>
          <w:rFonts w:ascii="Times New Roman" w:hAnsi="Times New Roman"/>
          <w:szCs w:val="24"/>
        </w:rPr>
        <w:t xml:space="preserve">inal </w:t>
      </w:r>
      <w:r>
        <w:rPr>
          <w:rFonts w:ascii="Times New Roman" w:hAnsi="Times New Roman"/>
          <w:szCs w:val="24"/>
        </w:rPr>
        <w:t>R</w:t>
      </w:r>
      <w:r w:rsidRPr="00666333">
        <w:rPr>
          <w:rFonts w:ascii="Times New Roman" w:hAnsi="Times New Roman"/>
          <w:szCs w:val="24"/>
        </w:rPr>
        <w:t>eport</w:t>
      </w:r>
      <w:r>
        <w:rPr>
          <w:rFonts w:ascii="Times New Roman" w:hAnsi="Times New Roman"/>
          <w:szCs w:val="24"/>
        </w:rPr>
        <w:t>, and Supplement to the Final Report</w:t>
      </w:r>
      <w:r w:rsidRPr="00666333">
        <w:rPr>
          <w:rFonts w:ascii="Times New Roman" w:hAnsi="Times New Roman"/>
          <w:szCs w:val="24"/>
        </w:rPr>
        <w:t xml:space="preserve">.  GAANN grants are awarded for a period of three years.  Grantees are required to submit an annual performance report in </w:t>
      </w:r>
      <w:r>
        <w:rPr>
          <w:rFonts w:ascii="Times New Roman" w:hAnsi="Times New Roman"/>
          <w:szCs w:val="24"/>
        </w:rPr>
        <w:t>May</w:t>
      </w:r>
      <w:r w:rsidRPr="00666333">
        <w:rPr>
          <w:rFonts w:ascii="Times New Roman" w:hAnsi="Times New Roman"/>
          <w:szCs w:val="24"/>
        </w:rPr>
        <w:t xml:space="preserve"> for each budget period of the grant, and a </w:t>
      </w:r>
      <w:r w:rsidRPr="00B32DF9">
        <w:rPr>
          <w:rFonts w:ascii="Times New Roman" w:hAnsi="Times New Roman"/>
          <w:szCs w:val="24"/>
        </w:rPr>
        <w:t xml:space="preserve">final performance report </w:t>
      </w:r>
      <w:r w:rsidRPr="00B32DF9" w:rsidR="00A14867">
        <w:rPr>
          <w:rFonts w:ascii="Times New Roman" w:hAnsi="Times New Roman"/>
          <w:szCs w:val="24"/>
        </w:rPr>
        <w:t>up to 120</w:t>
      </w:r>
      <w:r w:rsidRPr="00B32DF9">
        <w:rPr>
          <w:rFonts w:ascii="Times New Roman" w:hAnsi="Times New Roman"/>
          <w:szCs w:val="24"/>
        </w:rPr>
        <w:t xml:space="preserve"> days after the grant expires.  The annual performance report asks for information specific to the budget year for which the report is being</w:t>
      </w:r>
      <w:r w:rsidRPr="00666333">
        <w:rPr>
          <w:rFonts w:ascii="Times New Roman" w:hAnsi="Times New Roman"/>
          <w:szCs w:val="24"/>
        </w:rPr>
        <w:t xml:space="preserve"> submitted.  The final performance report asks for information specific to the third budget year of the grant, and also requires the grantee to update the educational status of all students who have received a GAANN fellowship at any time during the project period.  </w:t>
      </w:r>
      <w:r>
        <w:rPr>
          <w:rFonts w:ascii="Times New Roman" w:hAnsi="Times New Roman"/>
          <w:szCs w:val="24"/>
        </w:rPr>
        <w:t xml:space="preserve">In addition, GAANN grantees are required to submit a supplemental report two years after submission of the final performance report.  </w:t>
      </w:r>
      <w:r w:rsidRPr="00666333">
        <w:rPr>
          <w:rFonts w:ascii="Times New Roman" w:hAnsi="Times New Roman"/>
          <w:szCs w:val="24"/>
        </w:rPr>
        <w:t>This information allows the Department to track the number of GAANN fellows who obtain their graduate degree</w:t>
      </w:r>
      <w:r>
        <w:rPr>
          <w:rFonts w:ascii="Times New Roman" w:hAnsi="Times New Roman"/>
          <w:szCs w:val="24"/>
        </w:rPr>
        <w:t xml:space="preserve"> an</w:t>
      </w:r>
      <w:r>
        <w:rPr>
          <w:rFonts w:ascii="Times New Roman" w:hAnsi="Times New Roman"/>
          <w:szCs w:val="24"/>
        </w:rPr>
        <w:t>d who are employed in the area of need</w:t>
      </w:r>
      <w:r w:rsidRPr="00666333">
        <w:rPr>
          <w:rFonts w:ascii="Times New Roman" w:hAnsi="Times New Roman"/>
          <w:szCs w:val="24"/>
        </w:rPr>
        <w:t>.</w:t>
      </w:r>
    </w:p>
    <w:p w:rsidR="005D5A1D" w:rsidP="005D5A1D" w14:paraId="011180CC" w14:textId="77777777">
      <w:pPr>
        <w:ind w:left="720"/>
        <w:rPr>
          <w:rFonts w:ascii="Times New Roman" w:hAnsi="Times New Roman"/>
          <w:szCs w:val="24"/>
        </w:rPr>
      </w:pPr>
    </w:p>
    <w:p w:rsidR="005D5A1D" w:rsidP="005D5A1D" w14:paraId="1786D59F" w14:textId="77777777">
      <w:pPr>
        <w:ind w:left="648"/>
        <w:rPr>
          <w:rFonts w:ascii="Times New Roman" w:hAnsi="Times New Roman"/>
          <w:b/>
          <w:i/>
          <w:szCs w:val="24"/>
        </w:rPr>
      </w:pPr>
      <w:r w:rsidRPr="00296801">
        <w:rPr>
          <w:rFonts w:ascii="Times New Roman" w:hAnsi="Times New Roman"/>
          <w:szCs w:val="24"/>
        </w:rPr>
        <w:t>T</w:t>
      </w:r>
      <w:r w:rsidRPr="00666333">
        <w:rPr>
          <w:rFonts w:ascii="Times New Roman" w:hAnsi="Times New Roman"/>
          <w:szCs w:val="24"/>
        </w:rPr>
        <w:t>he information is collected under the authority of Title VII, Part A, Subpart 2, Section 711 of the Higher Education Act of 1965, as amended; the program regulations in 34 CFR 648; and</w:t>
      </w:r>
      <w:r>
        <w:rPr>
          <w:rFonts w:ascii="Times New Roman" w:hAnsi="Times New Roman"/>
          <w:szCs w:val="24"/>
        </w:rPr>
        <w:t xml:space="preserve"> under 2 CFR 200.328 (</w:t>
      </w:r>
      <w:r w:rsidRPr="006D06E9">
        <w:rPr>
          <w:rFonts w:ascii="Times New Roman" w:hAnsi="Times New Roman"/>
          <w:szCs w:val="24"/>
        </w:rPr>
        <w:t>Monitoring and reporting program performance)</w:t>
      </w:r>
      <w:r w:rsidRPr="0067094A">
        <w:rPr>
          <w:rFonts w:ascii="Times New Roman" w:hAnsi="Times New Roman"/>
          <w:szCs w:val="24"/>
        </w:rPr>
        <w:t>.</w:t>
      </w:r>
      <w:r w:rsidRPr="00666333">
        <w:rPr>
          <w:rFonts w:ascii="Times New Roman" w:hAnsi="Times New Roman"/>
          <w:b/>
          <w:i/>
          <w:szCs w:val="24"/>
        </w:rPr>
        <w:t xml:space="preserve">  </w:t>
      </w:r>
    </w:p>
    <w:p w:rsidR="005D5A1D" w:rsidRPr="00666333" w:rsidP="005D5A1D" w14:paraId="2ABE017E" w14:textId="77777777">
      <w:pPr>
        <w:ind w:left="720"/>
        <w:rPr>
          <w:rFonts w:ascii="Times New Roman" w:hAnsi="Times New Roman"/>
          <w:szCs w:val="24"/>
        </w:rPr>
      </w:pPr>
    </w:p>
    <w:p w:rsidR="005D5A1D" w:rsidP="005D5A1D" w14:paraId="564BFDC0" w14:textId="77777777">
      <w:pPr>
        <w:ind w:left="648"/>
        <w:rPr>
          <w:rFonts w:ascii="Times New Roman" w:hAnsi="Times New Roman"/>
        </w:rPr>
      </w:pPr>
      <w:r w:rsidRPr="001C58F7">
        <w:rPr>
          <w:rFonts w:ascii="Times New Roman" w:hAnsi="Times New Roman"/>
        </w:rPr>
        <w:t xml:space="preserve">The link to the statute: </w:t>
      </w:r>
      <w:hyperlink r:id="rId9" w:history="1">
        <w:r w:rsidRPr="001C58F7">
          <w:rPr>
            <w:rStyle w:val="Hyperlink"/>
            <w:rFonts w:ascii="Times New Roman" w:hAnsi="Times New Roman"/>
          </w:rPr>
          <w:t>http://www.law.cornell.edu/uscode/text/20/chapter-28/subchapter-VII/part-A/subpart-2</w:t>
        </w:r>
      </w:hyperlink>
      <w:r w:rsidRPr="001C58F7">
        <w:rPr>
          <w:rFonts w:ascii="Times New Roman" w:hAnsi="Times New Roman"/>
        </w:rPr>
        <w:t>.</w:t>
      </w:r>
    </w:p>
    <w:p w:rsidR="00AD381B" w:rsidP="002313E2" w14:paraId="3C528F12" w14:textId="77777777">
      <w:pPr>
        <w:pStyle w:val="ListParagraph"/>
        <w:suppressAutoHyphens/>
        <w:rPr>
          <w:rFonts w:ascii="Times New Roman" w:hAnsi="Times New Roman"/>
          <w:szCs w:val="24"/>
        </w:rPr>
      </w:pPr>
    </w:p>
    <w:p w:rsidR="002430BF" w:rsidRPr="000F5EC2" w:rsidP="002313E2" w14:paraId="2D8831CC" w14:textId="53B7410A">
      <w:pPr>
        <w:pStyle w:val="ListParagraph"/>
        <w:suppressAutoHyphens/>
        <w:rPr>
          <w:rFonts w:ascii="Times New Roman" w:hAnsi="Times New Roman"/>
          <w:color w:val="FF0000"/>
          <w:szCs w:val="24"/>
        </w:rPr>
      </w:pPr>
      <w:r w:rsidRPr="000F5EC2">
        <w:rPr>
          <w:rFonts w:ascii="Times New Roman" w:hAnsi="Times New Roman"/>
          <w:color w:val="FF0000"/>
          <w:szCs w:val="24"/>
        </w:rPr>
        <w:t>3/1</w:t>
      </w:r>
      <w:r w:rsidR="006420A3">
        <w:rPr>
          <w:rFonts w:ascii="Times New Roman" w:hAnsi="Times New Roman"/>
          <w:color w:val="FF0000"/>
          <w:szCs w:val="24"/>
        </w:rPr>
        <w:t>4</w:t>
      </w:r>
      <w:r w:rsidRPr="000F5EC2">
        <w:rPr>
          <w:rFonts w:ascii="Times New Roman" w:hAnsi="Times New Roman"/>
          <w:color w:val="FF0000"/>
          <w:szCs w:val="24"/>
        </w:rPr>
        <w:t>/25:</w:t>
      </w:r>
    </w:p>
    <w:p w:rsidR="002430BF" w:rsidRPr="000F5EC2" w:rsidP="002313E2" w14:paraId="53DEC62C" w14:textId="77777777">
      <w:pPr>
        <w:pStyle w:val="ListParagraph"/>
        <w:suppressAutoHyphens/>
        <w:rPr>
          <w:rFonts w:ascii="Times New Roman" w:hAnsi="Times New Roman"/>
          <w:color w:val="FF0000"/>
          <w:szCs w:val="24"/>
        </w:rPr>
      </w:pPr>
    </w:p>
    <w:p w:rsidR="000F5EC2" w:rsidRPr="000F5EC2" w:rsidP="000F5EC2" w14:paraId="077382DE" w14:textId="77777777">
      <w:pPr>
        <w:pStyle w:val="ListParagraph"/>
        <w:rPr>
          <w:rFonts w:ascii="Times New Roman" w:hAnsi="Times New Roman"/>
          <w:color w:val="FF0000"/>
          <w:szCs w:val="24"/>
        </w:rPr>
      </w:pPr>
      <w:r w:rsidRPr="000F5EC2">
        <w:rPr>
          <w:rFonts w:ascii="Times New Roman" w:hAnsi="Times New Roman"/>
          <w:color w:val="FF0000"/>
          <w:szCs w:val="24"/>
        </w:rPr>
        <w:t xml:space="preserve">The U.S. Department of Education (Department) is requesting approval of a non-substantive change to a collection that is currently active. The Graduate Assistance in Areas of National Need (GAANN) annual (APR) and final (FPR) performance and supplement to the final performance reports, which are used to collect data from academic departments at institutions of higher education about fellows funded through the GAANN Program grants, expire December 31, 2027.  </w:t>
      </w:r>
    </w:p>
    <w:p w:rsidR="000F5EC2" w:rsidRPr="000F5EC2" w:rsidP="000F5EC2" w14:paraId="75704261" w14:textId="77777777">
      <w:pPr>
        <w:pStyle w:val="ListParagraph"/>
        <w:rPr>
          <w:rFonts w:ascii="Times New Roman" w:hAnsi="Times New Roman"/>
          <w:color w:val="FF0000"/>
          <w:szCs w:val="24"/>
        </w:rPr>
      </w:pPr>
    </w:p>
    <w:p w:rsidR="000F5EC2" w:rsidRPr="000F5EC2" w:rsidP="000F5EC2" w14:paraId="6EAF8B3B" w14:textId="77777777">
      <w:pPr>
        <w:pStyle w:val="ListParagraph"/>
        <w:suppressAutoHyphens/>
        <w:rPr>
          <w:rFonts w:ascii="Times New Roman" w:hAnsi="Times New Roman"/>
          <w:color w:val="FF0000"/>
          <w:szCs w:val="24"/>
        </w:rPr>
      </w:pPr>
      <w:r w:rsidRPr="000F5EC2">
        <w:rPr>
          <w:rFonts w:ascii="Times New Roman" w:hAnsi="Times New Roman"/>
          <w:color w:val="FF0000"/>
          <w:szCs w:val="24"/>
        </w:rPr>
        <w:t xml:space="preserve">There are three performance reports used; however, revision is made only on the annual and final performance report. The </w:t>
      </w:r>
      <w:r w:rsidRPr="000F5EC2">
        <w:rPr>
          <w:rFonts w:ascii="Times New Roman" w:hAnsi="Times New Roman"/>
          <w:color w:val="FF0000"/>
        </w:rPr>
        <w:t>revision</w:t>
      </w:r>
      <w:r w:rsidRPr="000F5EC2">
        <w:rPr>
          <w:rFonts w:ascii="Times New Roman" w:hAnsi="Times New Roman"/>
          <w:color w:val="FF0000"/>
          <w:szCs w:val="24"/>
        </w:rPr>
        <w:t xml:space="preserve"> made in the GAANN annual and final performance reports involves changes to a single field (Field #5) in Section II of the collection. The change entails a change to the Field Name as it is presented in the APR and in the FPR and the deletion of two of the four response options. These changes are pursuant to Executive Order “Defending Women From Gender Ideology Extremism and Restoring Biological Truth to the Federal Government” (January 20, 2025). Following this executive order the name of Field #5 will be changed from “Gender” to “Sex” and response options “Nonbinary” and “Unknown” will be deleted. </w:t>
      </w:r>
      <w:r w:rsidRPr="000F5EC2">
        <w:rPr>
          <w:rFonts w:ascii="Times New Roman" w:hAnsi="Times New Roman"/>
          <w:color w:val="FF0000"/>
        </w:rPr>
        <w:t>Response options “Male” and “Female” will remain. This change does not meaningfully change burden to the respondent.</w:t>
      </w:r>
    </w:p>
    <w:p w:rsidR="000F5EC2" w:rsidP="002313E2" w14:paraId="25D8C111" w14:textId="77777777">
      <w:pPr>
        <w:pStyle w:val="ListParagraph"/>
        <w:suppressAutoHyphens/>
        <w:rPr>
          <w:rFonts w:ascii="Times New Roman" w:hAnsi="Times New Roman"/>
          <w:szCs w:val="24"/>
        </w:rPr>
      </w:pPr>
    </w:p>
    <w:p w:rsidR="00AD381B" w:rsidRPr="00A14867" w:rsidP="002313E2" w14:paraId="46477F4E"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14867" w:rsidP="00A14867" w14:paraId="3FEB9E0A" w14:textId="77777777">
      <w:pPr>
        <w:pStyle w:val="ListParagraph"/>
        <w:suppressAutoHyphens/>
        <w:contextualSpacing w:val="0"/>
        <w:rPr>
          <w:rFonts w:ascii="Times New Roman" w:hAnsi="Times New Roman"/>
          <w:szCs w:val="24"/>
        </w:rPr>
      </w:pPr>
    </w:p>
    <w:p w:rsidR="005D5A1D" w:rsidRPr="005D5A1D" w:rsidP="005D5A1D" w14:paraId="4D1AC325" w14:textId="77777777">
      <w:pPr>
        <w:pStyle w:val="ListParagraph"/>
        <w:rPr>
          <w:rFonts w:ascii="Times New Roman" w:hAnsi="Times New Roman"/>
          <w:szCs w:val="24"/>
        </w:rPr>
      </w:pPr>
      <w:r w:rsidRPr="005D5A1D">
        <w:rPr>
          <w:rFonts w:ascii="Times New Roman" w:hAnsi="Times New Roman"/>
          <w:szCs w:val="24"/>
        </w:rPr>
        <w:t xml:space="preserve">The </w:t>
      </w:r>
      <w:r w:rsidRPr="005D5A1D">
        <w:rPr>
          <w:rFonts w:ascii="Times New Roman" w:hAnsi="Times New Roman"/>
          <w:szCs w:val="24"/>
        </w:rPr>
        <w:t>Department uses the data collected from the performance reports to: (a) monitor grantee compliance with program regulations (34 CFR 648) in administering grant funds and selecting GAANN fellows; (b) collect the quantifiable data needed to evaluate project outcomes; and (c) assist in providing technical assistance to strengthen individual projects.</w:t>
      </w:r>
    </w:p>
    <w:p w:rsidR="005D5A1D" w:rsidRPr="005D5A1D" w:rsidP="005D5A1D" w14:paraId="16BD304B" w14:textId="77777777">
      <w:pPr>
        <w:pStyle w:val="ListParagraph"/>
        <w:rPr>
          <w:rFonts w:ascii="Times New Roman" w:hAnsi="Times New Roman"/>
          <w:szCs w:val="24"/>
        </w:rPr>
      </w:pPr>
    </w:p>
    <w:p w:rsidR="005D5A1D" w:rsidRPr="005D5A1D" w:rsidP="005D5A1D" w14:paraId="72F27C84" w14:textId="77777777">
      <w:pPr>
        <w:pStyle w:val="ListParagraph"/>
        <w:tabs>
          <w:tab w:val="left" w:pos="-720"/>
        </w:tabs>
        <w:suppressAutoHyphens/>
        <w:rPr>
          <w:rFonts w:ascii="Times New Roman" w:hAnsi="Times New Roman"/>
          <w:szCs w:val="24"/>
        </w:rPr>
      </w:pPr>
      <w:r w:rsidRPr="005D5A1D">
        <w:rPr>
          <w:rFonts w:ascii="Times New Roman" w:hAnsi="Times New Roman"/>
          <w:szCs w:val="24"/>
        </w:rPr>
        <w:t xml:space="preserve">The performance reports are used to collect programmatic data for purposes of annual reporting, budget submissions to OMB, Congressional hearings, </w:t>
      </w:r>
      <w:r w:rsidRPr="005D5A1D">
        <w:rPr>
          <w:rFonts w:ascii="Times New Roman" w:hAnsi="Times New Roman"/>
          <w:szCs w:val="24"/>
        </w:rPr>
        <w:t>Congressional inquiries, and inquiries from higher education interest groups and the general public.</w:t>
      </w:r>
    </w:p>
    <w:p w:rsidR="00AD381B" w:rsidP="002313E2" w14:paraId="5B9FDAE6" w14:textId="77777777">
      <w:pPr>
        <w:suppressAutoHyphens/>
        <w:rPr>
          <w:rFonts w:ascii="Times New Roman" w:hAnsi="Times New Roman"/>
          <w:szCs w:val="24"/>
        </w:rPr>
      </w:pPr>
    </w:p>
    <w:p w:rsidR="00043C32" w:rsidRPr="00AD381B" w:rsidP="002313E2" w14:paraId="1E9D88A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14:paraId="1C8FC250" w14:textId="77777777">
      <w:pPr>
        <w:pStyle w:val="ListParagraph"/>
        <w:tabs>
          <w:tab w:val="left" w:pos="-720"/>
        </w:tabs>
        <w:suppressAutoHyphens/>
        <w:contextualSpacing w:val="0"/>
        <w:rPr>
          <w:rFonts w:ascii="Times New Roman" w:hAnsi="Times New Roman"/>
          <w:szCs w:val="24"/>
        </w:rPr>
      </w:pPr>
    </w:p>
    <w:p w:rsidR="005D5A1D" w:rsidRPr="00666333" w:rsidP="005D5A1D" w14:paraId="521E3C85" w14:textId="77777777">
      <w:pPr>
        <w:tabs>
          <w:tab w:val="left" w:pos="-720"/>
        </w:tabs>
        <w:suppressAutoHyphens/>
        <w:ind w:left="720"/>
        <w:rPr>
          <w:rFonts w:ascii="Times New Roman" w:hAnsi="Times New Roman"/>
          <w:szCs w:val="24"/>
        </w:rPr>
      </w:pPr>
      <w:r w:rsidRPr="00666333">
        <w:rPr>
          <w:rFonts w:ascii="Times New Roman" w:hAnsi="Times New Roman"/>
          <w:szCs w:val="24"/>
        </w:rPr>
        <w:t>Grantees use a web-based system to electronically retrieve and submit the requested information in the performance report</w:t>
      </w:r>
      <w:r>
        <w:rPr>
          <w:rFonts w:ascii="Times New Roman" w:hAnsi="Times New Roman"/>
          <w:szCs w:val="24"/>
        </w:rPr>
        <w:t xml:space="preserve"> </w:t>
      </w:r>
      <w:r w:rsidRPr="00B32DF9">
        <w:rPr>
          <w:rFonts w:ascii="Times New Roman" w:hAnsi="Times New Roman"/>
          <w:szCs w:val="24"/>
        </w:rPr>
        <w:t>(https://</w:t>
      </w:r>
      <w:r w:rsidRPr="00B32DF9" w:rsidR="000850B3">
        <w:rPr>
          <w:rFonts w:ascii="Times New Roman" w:hAnsi="Times New Roman"/>
          <w:szCs w:val="24"/>
        </w:rPr>
        <w:t>gaann.ed.gov</w:t>
      </w:r>
      <w:r w:rsidRPr="00B32DF9">
        <w:rPr>
          <w:rFonts w:ascii="Times New Roman" w:hAnsi="Times New Roman"/>
          <w:szCs w:val="24"/>
        </w:rPr>
        <w:t>).</w:t>
      </w:r>
      <w:r w:rsidRPr="00666333">
        <w:rPr>
          <w:rFonts w:ascii="Times New Roman" w:hAnsi="Times New Roman"/>
          <w:szCs w:val="24"/>
        </w:rPr>
        <w:t xml:space="preserve">  The electronic version of the performance report automatically saves grantee information and student level data entered in one year for use in the following year.  Therefore, the data does not need to be </w:t>
      </w:r>
      <w:r w:rsidRPr="00666333">
        <w:rPr>
          <w:rFonts w:ascii="Times New Roman" w:hAnsi="Times New Roman"/>
          <w:szCs w:val="24"/>
        </w:rPr>
        <w:t xml:space="preserve">re-entered, only updated when changes occur.  This assists in reducing the burden </w:t>
      </w:r>
      <w:r>
        <w:rPr>
          <w:rFonts w:ascii="Times New Roman" w:hAnsi="Times New Roman"/>
          <w:szCs w:val="24"/>
        </w:rPr>
        <w:t>on</w:t>
      </w:r>
      <w:r w:rsidRPr="00666333">
        <w:rPr>
          <w:rFonts w:ascii="Times New Roman" w:hAnsi="Times New Roman"/>
          <w:szCs w:val="24"/>
        </w:rPr>
        <w:t xml:space="preserve"> grantees, particularly with regard to both the final </w:t>
      </w:r>
      <w:r>
        <w:rPr>
          <w:rFonts w:ascii="Times New Roman" w:hAnsi="Times New Roman"/>
          <w:szCs w:val="24"/>
        </w:rPr>
        <w:t xml:space="preserve">performance </w:t>
      </w:r>
      <w:r w:rsidRPr="00666333">
        <w:rPr>
          <w:rFonts w:ascii="Times New Roman" w:hAnsi="Times New Roman"/>
          <w:szCs w:val="24"/>
        </w:rPr>
        <w:t>report and the supplement</w:t>
      </w:r>
      <w:r>
        <w:rPr>
          <w:rFonts w:ascii="Times New Roman" w:hAnsi="Times New Roman"/>
          <w:szCs w:val="24"/>
        </w:rPr>
        <w:t>al report</w:t>
      </w:r>
      <w:r w:rsidRPr="00666333">
        <w:rPr>
          <w:rFonts w:ascii="Times New Roman" w:hAnsi="Times New Roman"/>
          <w:szCs w:val="24"/>
        </w:rPr>
        <w:t>, which require updates to the educational and employment status of all students that have been fu</w:t>
      </w:r>
      <w:r w:rsidRPr="00666333">
        <w:rPr>
          <w:rFonts w:ascii="Times New Roman" w:hAnsi="Times New Roman"/>
          <w:szCs w:val="24"/>
        </w:rPr>
        <w:t xml:space="preserve">nded over the life of the grant.  </w:t>
      </w:r>
    </w:p>
    <w:p w:rsidR="005D5A1D" w:rsidP="002313E2" w14:paraId="6D04A2C4" w14:textId="77777777">
      <w:pPr>
        <w:pStyle w:val="ListParagraph"/>
        <w:tabs>
          <w:tab w:val="left" w:pos="-720"/>
        </w:tabs>
        <w:suppressAutoHyphens/>
        <w:contextualSpacing w:val="0"/>
        <w:rPr>
          <w:rFonts w:ascii="Times New Roman" w:hAnsi="Times New Roman"/>
          <w:szCs w:val="24"/>
        </w:rPr>
      </w:pPr>
    </w:p>
    <w:p w:rsidR="00AD381B" w:rsidP="002313E2" w14:paraId="65E51AFC"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21491109" w14:textId="77777777">
      <w:pPr>
        <w:pStyle w:val="ListParagraph"/>
        <w:tabs>
          <w:tab w:val="left" w:pos="-720"/>
        </w:tabs>
        <w:suppressAutoHyphens/>
        <w:contextualSpacing w:val="0"/>
        <w:rPr>
          <w:rFonts w:ascii="Times New Roman" w:hAnsi="Times New Roman"/>
          <w:b/>
          <w:szCs w:val="24"/>
        </w:rPr>
      </w:pPr>
    </w:p>
    <w:p w:rsidR="005D5A1D" w:rsidRPr="00666333" w:rsidP="005D5A1D" w14:paraId="0B1F57CC" w14:textId="77777777">
      <w:pPr>
        <w:tabs>
          <w:tab w:val="left" w:pos="-720"/>
        </w:tabs>
        <w:suppressAutoHyphens/>
        <w:ind w:left="720"/>
        <w:rPr>
          <w:rFonts w:ascii="Times New Roman" w:hAnsi="Times New Roman"/>
          <w:szCs w:val="24"/>
        </w:rPr>
      </w:pPr>
      <w:r w:rsidRPr="00666333">
        <w:rPr>
          <w:rFonts w:ascii="Times New Roman" w:hAnsi="Times New Roman"/>
          <w:szCs w:val="24"/>
        </w:rPr>
        <w:t xml:space="preserve">Since the information submitted in the performance reports is specific to the GAANN grant project, there is no duplication.  There is no other collection instrument </w:t>
      </w:r>
      <w:r w:rsidRPr="00666333">
        <w:rPr>
          <w:rFonts w:ascii="Times New Roman" w:hAnsi="Times New Roman"/>
          <w:szCs w:val="24"/>
        </w:rPr>
        <w:t>available to collect the information necessary to meet the purposes described in item 2 above.</w:t>
      </w:r>
    </w:p>
    <w:p w:rsidR="00043C32" w:rsidP="002313E2" w14:paraId="4C77D233"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t>
      </w:r>
      <w:r w:rsidRPr="00AD381B">
        <w:rPr>
          <w:rFonts w:ascii="Times New Roman" w:hAnsi="Times New Roman"/>
          <w:b/>
          <w:szCs w:val="24"/>
        </w:rPr>
        <w:t>wn, township, school district, or special district with a population of less than 50,000.</w:t>
      </w:r>
    </w:p>
    <w:p w:rsidR="005D5A1D" w:rsidRPr="0030072A" w:rsidP="00D416DC" w14:paraId="2BC7C4FF" w14:textId="77777777">
      <w:pPr>
        <w:pStyle w:val="pf0"/>
        <w:ind w:left="720"/>
      </w:pPr>
      <w:r w:rsidRPr="00606FAC">
        <w:rPr>
          <w:rStyle w:val="cf01"/>
          <w:rFonts w:ascii="Times New Roman" w:hAnsi="Times New Roman" w:cs="Times New Roman"/>
          <w:sz w:val="24"/>
          <w:szCs w:val="24"/>
        </w:rPr>
        <w:t>This program provides fellowships, through academic departments and programs of Institutions of Higher Education, to assist graduate students with excellent records who demonstrate financial need and plan to pursue the highest degree available in their course study at the institution in a field designated as an area of national need.</w:t>
      </w:r>
      <w:r w:rsidRPr="00606FAC">
        <w:rPr>
          <w:rStyle w:val="cf11"/>
          <w:rFonts w:ascii="Times New Roman" w:hAnsi="Times New Roman" w:cs="Times New Roman"/>
          <w:sz w:val="24"/>
          <w:szCs w:val="24"/>
        </w:rPr>
        <w:t xml:space="preserve"> </w:t>
      </w:r>
      <w:r w:rsidRPr="0030072A">
        <w:t xml:space="preserve"> There is no impact on small businesses or small entities.</w:t>
      </w:r>
    </w:p>
    <w:p w:rsidR="00043C32" w:rsidP="002313E2" w14:paraId="29DD35A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265FA79A" w14:textId="77777777">
      <w:pPr>
        <w:pStyle w:val="ListParagraph"/>
        <w:tabs>
          <w:tab w:val="left" w:pos="-720"/>
        </w:tabs>
        <w:suppressAutoHyphens/>
        <w:contextualSpacing w:val="0"/>
        <w:rPr>
          <w:rFonts w:ascii="Times New Roman" w:hAnsi="Times New Roman"/>
          <w:b/>
          <w:szCs w:val="24"/>
        </w:rPr>
      </w:pPr>
    </w:p>
    <w:p w:rsidR="005D5A1D" w:rsidP="005D5A1D" w14:paraId="3EAD7C50" w14:textId="77777777">
      <w:pPr>
        <w:ind w:left="720"/>
        <w:rPr>
          <w:rFonts w:ascii="Times New Roman" w:hAnsi="Times New Roman"/>
          <w:szCs w:val="24"/>
        </w:rPr>
      </w:pPr>
      <w:r w:rsidRPr="00666333">
        <w:rPr>
          <w:rFonts w:ascii="Times New Roman" w:hAnsi="Times New Roman"/>
          <w:szCs w:val="24"/>
        </w:rPr>
        <w:t>Collection of information is annual</w:t>
      </w:r>
      <w:r>
        <w:rPr>
          <w:rFonts w:ascii="Times New Roman" w:hAnsi="Times New Roman"/>
          <w:szCs w:val="24"/>
        </w:rPr>
        <w:t xml:space="preserve"> and the collection of information helps the agency ensure accountability for the investment of public funds</w:t>
      </w:r>
      <w:r w:rsidRPr="00666333">
        <w:rPr>
          <w:rFonts w:ascii="Times New Roman" w:hAnsi="Times New Roman"/>
          <w:szCs w:val="24"/>
        </w:rPr>
        <w:t xml:space="preserve">.  Collection of information on a less frequent basis would impede the Department’s ability to determine if the grantee is making satisfactory progress in meeting the goals and objectives proposed in its initial application for funds.  </w:t>
      </w:r>
    </w:p>
    <w:p w:rsidR="005D5A1D" w:rsidP="005D5A1D" w14:paraId="2086D9D6" w14:textId="77777777">
      <w:pPr>
        <w:ind w:left="720"/>
        <w:rPr>
          <w:rFonts w:ascii="Times New Roman" w:hAnsi="Times New Roman"/>
          <w:szCs w:val="24"/>
        </w:rPr>
      </w:pPr>
    </w:p>
    <w:p w:rsidR="005D5A1D" w:rsidP="00952EFE" w14:paraId="705FB93C" w14:textId="77777777">
      <w:pPr>
        <w:tabs>
          <w:tab w:val="left" w:pos="-720"/>
        </w:tabs>
        <w:suppressAutoHyphens/>
        <w:ind w:left="720"/>
        <w:rPr>
          <w:rFonts w:ascii="Times New Roman" w:hAnsi="Times New Roman"/>
          <w:b/>
          <w:szCs w:val="24"/>
        </w:rPr>
      </w:pPr>
      <w:r w:rsidRPr="00666333">
        <w:rPr>
          <w:rFonts w:ascii="Times New Roman" w:hAnsi="Times New Roman"/>
          <w:szCs w:val="24"/>
        </w:rPr>
        <w:t>Further, failure to collect this information would hinder the Department’s ability to carry out its required responsibility to perform an overall assessment of the GAANN Program and its impact.</w:t>
      </w:r>
    </w:p>
    <w:p w:rsidR="00C54FF0" w:rsidRPr="005D5A1D" w:rsidP="005D5A1D" w14:paraId="2352327A" w14:textId="77777777">
      <w:pPr>
        <w:pStyle w:val="ListParagraph"/>
        <w:rPr>
          <w:rFonts w:ascii="Times New Roman" w:hAnsi="Times New Roman"/>
          <w:b/>
          <w:szCs w:val="24"/>
        </w:rPr>
      </w:pPr>
    </w:p>
    <w:p w:rsidR="00043C32" w:rsidRPr="00AD381B" w:rsidP="002313E2" w14:paraId="2367399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4A18B2A4" w14:textId="77777777">
      <w:pPr>
        <w:tabs>
          <w:tab w:val="left" w:pos="-720"/>
        </w:tabs>
        <w:suppressAutoHyphens/>
        <w:rPr>
          <w:rFonts w:ascii="Times New Roman" w:hAnsi="Times New Roman"/>
          <w:b/>
          <w:szCs w:val="24"/>
        </w:rPr>
      </w:pPr>
    </w:p>
    <w:p w:rsidR="00043C32" w:rsidRPr="00AD381B" w:rsidP="002313E2" w14:paraId="308A092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3A8F0E1E" w14:textId="77777777">
      <w:pPr>
        <w:numPr>
          <w:ilvl w:val="12"/>
          <w:numId w:val="0"/>
        </w:numPr>
        <w:tabs>
          <w:tab w:val="left" w:pos="-720"/>
        </w:tabs>
        <w:suppressAutoHyphens/>
        <w:ind w:left="340"/>
        <w:rPr>
          <w:rFonts w:ascii="Times New Roman" w:hAnsi="Times New Roman"/>
          <w:b/>
          <w:szCs w:val="24"/>
        </w:rPr>
      </w:pPr>
    </w:p>
    <w:p w:rsidR="00043C32" w:rsidRPr="00AD381B" w:rsidP="002313E2" w14:paraId="1D1D57A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09B8C22B" w14:textId="77777777">
      <w:pPr>
        <w:numPr>
          <w:ilvl w:val="12"/>
          <w:numId w:val="0"/>
        </w:numPr>
        <w:tabs>
          <w:tab w:val="left" w:pos="-720"/>
        </w:tabs>
        <w:suppressAutoHyphens/>
        <w:rPr>
          <w:rFonts w:ascii="Times New Roman" w:hAnsi="Times New Roman"/>
          <w:b/>
          <w:szCs w:val="24"/>
        </w:rPr>
      </w:pPr>
    </w:p>
    <w:p w:rsidR="00043C32" w:rsidRPr="00AD381B" w:rsidP="002313E2" w14:paraId="0FFDA1F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103A8ED8" w14:textId="77777777">
      <w:pPr>
        <w:numPr>
          <w:ilvl w:val="12"/>
          <w:numId w:val="0"/>
        </w:numPr>
        <w:tabs>
          <w:tab w:val="left" w:pos="-720"/>
        </w:tabs>
        <w:suppressAutoHyphens/>
        <w:rPr>
          <w:rFonts w:ascii="Times New Roman" w:hAnsi="Times New Roman"/>
          <w:b/>
          <w:szCs w:val="24"/>
        </w:rPr>
      </w:pPr>
    </w:p>
    <w:p w:rsidR="00043C32" w:rsidRPr="00AD381B" w:rsidP="002313E2" w14:paraId="3186A45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155BC6CC" w14:textId="77777777">
      <w:pPr>
        <w:numPr>
          <w:ilvl w:val="12"/>
          <w:numId w:val="0"/>
        </w:numPr>
        <w:tabs>
          <w:tab w:val="left" w:pos="-720"/>
        </w:tabs>
        <w:suppressAutoHyphens/>
        <w:rPr>
          <w:rFonts w:ascii="Times New Roman" w:hAnsi="Times New Roman"/>
          <w:b/>
          <w:szCs w:val="24"/>
        </w:rPr>
      </w:pPr>
    </w:p>
    <w:p w:rsidR="00043C32" w:rsidRPr="00AD381B" w:rsidP="002313E2" w14:paraId="7CE639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272A8999" w14:textId="77777777">
      <w:pPr>
        <w:numPr>
          <w:ilvl w:val="12"/>
          <w:numId w:val="0"/>
        </w:numPr>
        <w:tabs>
          <w:tab w:val="left" w:pos="-720"/>
        </w:tabs>
        <w:suppressAutoHyphens/>
        <w:rPr>
          <w:rFonts w:ascii="Times New Roman" w:hAnsi="Times New Roman"/>
          <w:b/>
          <w:szCs w:val="24"/>
        </w:rPr>
      </w:pPr>
    </w:p>
    <w:p w:rsidR="00043C32" w:rsidRPr="00AD381B" w:rsidP="002313E2" w14:paraId="25ED678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1FAA9C89" w14:textId="77777777">
      <w:pPr>
        <w:numPr>
          <w:ilvl w:val="12"/>
          <w:numId w:val="0"/>
        </w:numPr>
        <w:tabs>
          <w:tab w:val="left" w:pos="-720"/>
        </w:tabs>
        <w:suppressAutoHyphens/>
        <w:rPr>
          <w:rFonts w:ascii="Times New Roman" w:hAnsi="Times New Roman"/>
          <w:b/>
          <w:szCs w:val="24"/>
        </w:rPr>
      </w:pPr>
    </w:p>
    <w:p w:rsidR="00043C32" w:rsidRPr="00AD381B" w:rsidP="002313E2" w14:paraId="6F4407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1FDF35F3" w14:textId="77777777">
      <w:pPr>
        <w:numPr>
          <w:ilvl w:val="12"/>
          <w:numId w:val="0"/>
        </w:numPr>
        <w:tabs>
          <w:tab w:val="left" w:pos="-720"/>
        </w:tabs>
        <w:suppressAutoHyphens/>
        <w:rPr>
          <w:rFonts w:ascii="Times New Roman" w:hAnsi="Times New Roman"/>
          <w:b/>
          <w:szCs w:val="24"/>
        </w:rPr>
      </w:pPr>
    </w:p>
    <w:p w:rsidR="00043C32" w:rsidP="002313E2" w14:paraId="51257D5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14:paraId="2645AF06" w14:textId="77777777">
      <w:pPr>
        <w:pStyle w:val="ListParagraph"/>
        <w:rPr>
          <w:rFonts w:ascii="Times New Roman" w:hAnsi="Times New Roman"/>
          <w:b/>
          <w:szCs w:val="24"/>
        </w:rPr>
      </w:pPr>
    </w:p>
    <w:p w:rsidR="00E212BA" w:rsidRPr="00296801" w:rsidP="00E212BA" w14:paraId="5A5832CC" w14:textId="77777777">
      <w:pPr>
        <w:ind w:left="720"/>
        <w:rPr>
          <w:rFonts w:ascii="Times New Roman" w:hAnsi="Times New Roman"/>
          <w:sz w:val="22"/>
        </w:rPr>
      </w:pPr>
      <w:r w:rsidRPr="00296801">
        <w:rPr>
          <w:rFonts w:ascii="Times New Roman" w:hAnsi="Times New Roman"/>
        </w:rPr>
        <w:t xml:space="preserve">In March 2024, the Office of Management and Budget (OMB) announced revisions to Statistical Policy Directive No. 15: Standards for Maintaining, Collecting, and Presenting Federal Data on Race and Ethnicity (SPD 15) and published the revised SPD 15 standard in the Federal Register (89 FR 22182). The present ICR contains no changes to the race and ethnicity items that have historically been part of this collection and is therefore compliant with the 1997 SPD 15 standard. </w:t>
      </w:r>
      <w:r w:rsidRPr="00296801">
        <w:rPr>
          <w:rFonts w:ascii="Times New Roman" w:hAnsi="Times New Roman"/>
          <w:i/>
          <w:iCs/>
        </w:rPr>
        <w:t>A request to revise the standards for this information collection will be submitted to OMB by (September 2025). The (September 2025) revision request will address the new federal statistical standard for race/ethnicity items.</w:t>
      </w:r>
      <w:r w:rsidRPr="00296801">
        <w:rPr>
          <w:rFonts w:ascii="Times New Roman" w:hAnsi="Times New Roman"/>
        </w:rPr>
        <w:t xml:space="preserve"> The Department is currently working on an action plan for compliance with the newly revised SPD 15 standards, which will fully take effect on March 28, 2029.  Early discussions suggest that implementation of these standards will be particularly complex and delicate in data collections </w:t>
      </w:r>
      <w:r w:rsidRPr="00296801">
        <w:rPr>
          <w:rFonts w:ascii="Times New Roman" w:hAnsi="Times New Roman"/>
        </w:rPr>
        <w:t>where race and ethnicity data is reported, to the Department, both by individuals about themselves and also provided by third parties providing aggregate data on the individuals they serve and represent (e.g., state and local education agencies, institutions of higher education). </w:t>
      </w:r>
    </w:p>
    <w:p w:rsidR="00E212BA" w:rsidRPr="00296801" w:rsidP="00E212BA" w14:paraId="04A1B01A" w14:textId="77777777">
      <w:pPr>
        <w:ind w:left="648"/>
        <w:rPr>
          <w:rFonts w:ascii="Times New Roman" w:hAnsi="Times New Roman"/>
          <w:szCs w:val="24"/>
        </w:rPr>
      </w:pPr>
    </w:p>
    <w:p w:rsidR="00D75313" w:rsidP="002313E2" w14:paraId="49ED8FD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39B30B82"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24CD581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74BA1AD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22A57152" w14:textId="77777777">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3FF912F5" w14:textId="77777777">
      <w:pPr>
        <w:tabs>
          <w:tab w:val="left" w:pos="-720"/>
        </w:tabs>
        <w:suppressAutoHyphens/>
        <w:rPr>
          <w:rStyle w:val="a"/>
          <w:rFonts w:ascii="Times New Roman" w:hAnsi="Times New Roman"/>
          <w:b/>
          <w:szCs w:val="24"/>
        </w:rPr>
      </w:pPr>
    </w:p>
    <w:p w:rsidR="00043C32" w:rsidP="002313E2" w14:paraId="5159155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w:t>
      </w:r>
      <w:r w:rsidRPr="00AD381B">
        <w:rPr>
          <w:rStyle w:val="a"/>
          <w:rFonts w:ascii="Times New Roman" w:hAnsi="Times New Roman"/>
          <w:b/>
          <w:szCs w:val="24"/>
        </w:rPr>
        <w:t>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6195CB94" w14:textId="77777777">
      <w:pPr>
        <w:tabs>
          <w:tab w:val="left" w:pos="-720"/>
        </w:tabs>
        <w:suppressAutoHyphens/>
        <w:ind w:left="720"/>
        <w:rPr>
          <w:rFonts w:ascii="Times New Roman" w:hAnsi="Times New Roman"/>
          <w:b/>
          <w:szCs w:val="24"/>
        </w:rPr>
      </w:pPr>
    </w:p>
    <w:p w:rsidR="005D5A1D" w:rsidP="005D5A1D" w14:paraId="4AAFE673" w14:textId="77777777">
      <w:pPr>
        <w:ind w:left="720"/>
        <w:rPr>
          <w:rFonts w:ascii="Times New Roman" w:hAnsi="Times New Roman"/>
          <w:szCs w:val="24"/>
        </w:rPr>
      </w:pPr>
      <w:r>
        <w:rPr>
          <w:rFonts w:ascii="Times New Roman" w:hAnsi="Times New Roman"/>
          <w:szCs w:val="24"/>
        </w:rPr>
        <w:t>No</w:t>
      </w:r>
      <w:r w:rsidR="00470DC1">
        <w:rPr>
          <w:rFonts w:ascii="Times New Roman" w:hAnsi="Times New Roman"/>
          <w:szCs w:val="24"/>
        </w:rPr>
        <w:t>n-</w:t>
      </w:r>
      <w:r w:rsidR="006234DC">
        <w:rPr>
          <w:rFonts w:ascii="Times New Roman" w:hAnsi="Times New Roman"/>
          <w:szCs w:val="24"/>
        </w:rPr>
        <w:t>substantive</w:t>
      </w:r>
      <w:r>
        <w:rPr>
          <w:rFonts w:ascii="Times New Roman" w:hAnsi="Times New Roman"/>
          <w:szCs w:val="24"/>
        </w:rPr>
        <w:t xml:space="preserve"> </w:t>
      </w:r>
      <w:r w:rsidR="00470DC1">
        <w:rPr>
          <w:rFonts w:ascii="Times New Roman" w:hAnsi="Times New Roman"/>
          <w:szCs w:val="24"/>
        </w:rPr>
        <w:t xml:space="preserve">editorial </w:t>
      </w:r>
      <w:r w:rsidRPr="00666333">
        <w:rPr>
          <w:rFonts w:ascii="Times New Roman" w:hAnsi="Times New Roman"/>
          <w:szCs w:val="24"/>
        </w:rPr>
        <w:t>changes</w:t>
      </w:r>
      <w:r>
        <w:rPr>
          <w:rFonts w:ascii="Times New Roman" w:hAnsi="Times New Roman"/>
          <w:szCs w:val="24"/>
        </w:rPr>
        <w:t xml:space="preserve"> have been</w:t>
      </w:r>
      <w:r w:rsidRPr="00666333">
        <w:rPr>
          <w:rFonts w:ascii="Times New Roman" w:hAnsi="Times New Roman"/>
          <w:szCs w:val="24"/>
        </w:rPr>
        <w:t xml:space="preserve"> made </w:t>
      </w:r>
      <w:r w:rsidR="00470DC1">
        <w:rPr>
          <w:rFonts w:ascii="Times New Roman" w:hAnsi="Times New Roman"/>
          <w:szCs w:val="24"/>
        </w:rPr>
        <w:t xml:space="preserve">for clarification </w:t>
      </w:r>
      <w:r>
        <w:rPr>
          <w:rFonts w:ascii="Times New Roman" w:hAnsi="Times New Roman"/>
          <w:szCs w:val="24"/>
        </w:rPr>
        <w:t>to</w:t>
      </w:r>
      <w:r w:rsidRPr="00666333">
        <w:rPr>
          <w:rFonts w:ascii="Times New Roman" w:hAnsi="Times New Roman"/>
          <w:szCs w:val="24"/>
        </w:rPr>
        <w:t xml:space="preserve"> the form</w:t>
      </w:r>
      <w:r>
        <w:rPr>
          <w:rFonts w:ascii="Times New Roman" w:hAnsi="Times New Roman"/>
          <w:szCs w:val="24"/>
        </w:rPr>
        <w:t>s</w:t>
      </w:r>
      <w:r w:rsidRPr="00666333">
        <w:rPr>
          <w:rFonts w:ascii="Times New Roman" w:hAnsi="Times New Roman"/>
          <w:szCs w:val="24"/>
        </w:rPr>
        <w:t xml:space="preserve"> since the last OMB submission.  We will publish 60-day and 30-day </w:t>
      </w:r>
      <w:r w:rsidRPr="0067094A">
        <w:rPr>
          <w:rFonts w:ascii="Times New Roman" w:hAnsi="Times New Roman"/>
          <w:szCs w:val="24"/>
          <w:u w:val="single"/>
        </w:rPr>
        <w:t>Federal Register</w:t>
      </w:r>
      <w:r w:rsidRPr="00666333">
        <w:rPr>
          <w:rFonts w:ascii="Times New Roman" w:hAnsi="Times New Roman"/>
          <w:szCs w:val="24"/>
        </w:rPr>
        <w:t xml:space="preserve"> Notices to allow public comment.</w:t>
      </w:r>
    </w:p>
    <w:p w:rsidR="00E66550" w:rsidP="005D5A1D" w14:paraId="5928A304" w14:textId="77777777">
      <w:pPr>
        <w:tabs>
          <w:tab w:val="left" w:pos="-720"/>
          <w:tab w:val="left" w:pos="1640"/>
        </w:tabs>
        <w:suppressAutoHyphens/>
        <w:ind w:left="720"/>
        <w:rPr>
          <w:rFonts w:ascii="Times New Roman" w:hAnsi="Times New Roman"/>
          <w:szCs w:val="24"/>
        </w:rPr>
      </w:pPr>
    </w:p>
    <w:p w:rsidR="00267A81" w:rsidRPr="000F5EC2" w:rsidP="00267A81" w14:paraId="379BA10F" w14:textId="77777777">
      <w:pPr>
        <w:pStyle w:val="ListParagraph"/>
        <w:suppressAutoHyphens/>
        <w:rPr>
          <w:rFonts w:ascii="Times New Roman" w:hAnsi="Times New Roman"/>
          <w:color w:val="FF0000"/>
          <w:szCs w:val="24"/>
        </w:rPr>
      </w:pPr>
      <w:r w:rsidRPr="000F5EC2">
        <w:rPr>
          <w:rFonts w:ascii="Times New Roman" w:hAnsi="Times New Roman"/>
          <w:color w:val="FF0000"/>
          <w:szCs w:val="24"/>
        </w:rPr>
        <w:t>3/1</w:t>
      </w:r>
      <w:r>
        <w:rPr>
          <w:rFonts w:ascii="Times New Roman" w:hAnsi="Times New Roman"/>
          <w:color w:val="FF0000"/>
          <w:szCs w:val="24"/>
        </w:rPr>
        <w:t>4</w:t>
      </w:r>
      <w:r w:rsidRPr="000F5EC2">
        <w:rPr>
          <w:rFonts w:ascii="Times New Roman" w:hAnsi="Times New Roman"/>
          <w:color w:val="FF0000"/>
          <w:szCs w:val="24"/>
        </w:rPr>
        <w:t>/25:</w:t>
      </w:r>
    </w:p>
    <w:p w:rsidR="00AC6054" w:rsidRPr="00AC6054" w:rsidP="00AC6054" w14:paraId="213B1576" w14:textId="77777777">
      <w:pPr>
        <w:pStyle w:val="NoSpacing"/>
        <w:ind w:left="720"/>
        <w:rPr>
          <w:rFonts w:ascii="Times New Roman" w:hAnsi="Times New Roman" w:cs="Times New Roman"/>
          <w:color w:val="FF0000"/>
          <w:sz w:val="24"/>
          <w:szCs w:val="24"/>
        </w:rPr>
      </w:pPr>
      <w:r w:rsidRPr="00AC6054">
        <w:rPr>
          <w:rFonts w:ascii="Times New Roman" w:hAnsi="Times New Roman" w:cs="Times New Roman"/>
          <w:color w:val="FF0000"/>
          <w:sz w:val="24"/>
          <w:szCs w:val="24"/>
        </w:rPr>
        <w:t>This is a currently approved information collection, and this non-substantive change request does not require any public comment periods.</w:t>
      </w:r>
    </w:p>
    <w:p w:rsidR="00267A81" w:rsidP="005D5A1D" w14:paraId="79FE9B60" w14:textId="77777777">
      <w:pPr>
        <w:tabs>
          <w:tab w:val="left" w:pos="-720"/>
          <w:tab w:val="left" w:pos="1640"/>
        </w:tabs>
        <w:suppressAutoHyphens/>
        <w:ind w:left="720"/>
        <w:rPr>
          <w:rFonts w:ascii="Times New Roman" w:hAnsi="Times New Roman"/>
          <w:szCs w:val="24"/>
        </w:rPr>
      </w:pPr>
    </w:p>
    <w:p w:rsidR="00043C32" w:rsidP="002313E2" w14:paraId="0702B71C"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0E375ACE" w14:textId="77777777">
      <w:pPr>
        <w:pStyle w:val="ListParagraph"/>
        <w:tabs>
          <w:tab w:val="left" w:pos="-720"/>
        </w:tabs>
        <w:suppressAutoHyphens/>
        <w:contextualSpacing w:val="0"/>
        <w:rPr>
          <w:rFonts w:ascii="Times New Roman" w:hAnsi="Times New Roman"/>
          <w:b/>
          <w:szCs w:val="24"/>
        </w:rPr>
      </w:pPr>
    </w:p>
    <w:p w:rsidR="005D5A1D" w:rsidP="005D5A1D" w14:paraId="7CA35C10" w14:textId="77777777">
      <w:pPr>
        <w:tabs>
          <w:tab w:val="left" w:pos="-720"/>
        </w:tabs>
        <w:suppressAutoHyphens/>
        <w:ind w:left="720"/>
        <w:rPr>
          <w:rFonts w:ascii="Times New Roman" w:hAnsi="Times New Roman"/>
          <w:szCs w:val="24"/>
        </w:rPr>
      </w:pPr>
      <w:r w:rsidRPr="00666333">
        <w:rPr>
          <w:rFonts w:ascii="Times New Roman" w:hAnsi="Times New Roman"/>
          <w:szCs w:val="24"/>
        </w:rPr>
        <w:t>The Department will not provide any payments or gifts to respondents.</w:t>
      </w:r>
    </w:p>
    <w:p w:rsidR="00920F63" w:rsidRPr="00920F63" w:rsidP="002313E2" w14:paraId="220FB9BD" w14:textId="77777777">
      <w:pPr>
        <w:pStyle w:val="ListParagraph"/>
        <w:tabs>
          <w:tab w:val="left" w:pos="-720"/>
        </w:tabs>
        <w:suppressAutoHyphens/>
        <w:contextualSpacing w:val="0"/>
        <w:rPr>
          <w:rFonts w:ascii="Times New Roman" w:hAnsi="Times New Roman"/>
          <w:b/>
          <w:szCs w:val="24"/>
        </w:rPr>
      </w:pPr>
    </w:p>
    <w:p w:rsidR="00043C32" w:rsidRPr="00D75313" w:rsidP="002313E2" w14:paraId="50555F1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w:t>
      </w:r>
      <w:r w:rsidRPr="00920F63">
        <w:rPr>
          <w:rFonts w:ascii="Times New Roman" w:hAnsi="Times New Roman"/>
          <w:b/>
          <w:szCs w:val="24"/>
        </w:rPr>
        <w:t xml:space="preserve">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5D5A1D" w:rsidP="005D5A1D" w14:paraId="762E414F" w14:textId="77777777">
      <w:pPr>
        <w:pStyle w:val="ListParagraph"/>
        <w:tabs>
          <w:tab w:val="left" w:pos="-720"/>
        </w:tabs>
        <w:suppressAutoHyphens/>
        <w:rPr>
          <w:rFonts w:ascii="Times New Roman" w:hAnsi="Times New Roman"/>
          <w:szCs w:val="24"/>
        </w:rPr>
      </w:pPr>
    </w:p>
    <w:p w:rsidR="005D5A1D" w:rsidP="005D5A1D" w14:paraId="678C5DDF" w14:textId="77777777">
      <w:pPr>
        <w:pStyle w:val="ListParagraph"/>
        <w:tabs>
          <w:tab w:val="left" w:pos="-720"/>
        </w:tabs>
        <w:suppressAutoHyphens/>
        <w:rPr>
          <w:rFonts w:ascii="Times New Roman" w:hAnsi="Times New Roman"/>
          <w:szCs w:val="24"/>
        </w:rPr>
      </w:pPr>
      <w:r w:rsidRPr="005D5A1D">
        <w:rPr>
          <w:rFonts w:ascii="Times New Roman" w:hAnsi="Times New Roman"/>
          <w:szCs w:val="24"/>
        </w:rPr>
        <w:t>There is no program regulatory requirement for assuring confidentiality, except as provided by EDGAR (34 CFR 75.740 – Privacy), and the Family Educational Rights and Privacy Act of 1974.</w:t>
      </w:r>
    </w:p>
    <w:p w:rsidR="00804AC0" w:rsidP="005D5A1D" w14:paraId="0EFA1CB1" w14:textId="77777777">
      <w:pPr>
        <w:pStyle w:val="ListParagraph"/>
        <w:tabs>
          <w:tab w:val="left" w:pos="-720"/>
        </w:tabs>
        <w:suppressAutoHyphens/>
        <w:rPr>
          <w:rFonts w:ascii="Times New Roman" w:hAnsi="Times New Roman"/>
          <w:szCs w:val="24"/>
        </w:rPr>
      </w:pPr>
    </w:p>
    <w:p w:rsidR="003E72E9" w:rsidRPr="00EB7943" w:rsidP="003E72E9" w14:paraId="2C2B5C43" w14:textId="77777777">
      <w:pPr>
        <w:ind w:firstLine="720"/>
        <w:rPr>
          <w:rFonts w:ascii="Times New Roman" w:hAnsi="Times New Roman"/>
          <w:bCs/>
        </w:rPr>
      </w:pPr>
      <w:r w:rsidRPr="00EB7943">
        <w:rPr>
          <w:rFonts w:ascii="Times New Roman" w:hAnsi="Times New Roman"/>
          <w:bCs/>
        </w:rPr>
        <w:t xml:space="preserve">The </w:t>
      </w:r>
      <w:r>
        <w:rPr>
          <w:rFonts w:ascii="Times New Roman" w:hAnsi="Times New Roman"/>
          <w:bCs/>
        </w:rPr>
        <w:t>collection instruments</w:t>
      </w:r>
      <w:r w:rsidRPr="00EB7943">
        <w:rPr>
          <w:rFonts w:ascii="Times New Roman" w:hAnsi="Times New Roman"/>
          <w:bCs/>
        </w:rPr>
        <w:t xml:space="preserve"> include the </w:t>
      </w:r>
      <w:r>
        <w:rPr>
          <w:rFonts w:ascii="Times New Roman" w:hAnsi="Times New Roman"/>
          <w:bCs/>
        </w:rPr>
        <w:t xml:space="preserve">following </w:t>
      </w:r>
      <w:r w:rsidRPr="00EB7943">
        <w:rPr>
          <w:rFonts w:ascii="Times New Roman" w:hAnsi="Times New Roman"/>
          <w:bCs/>
        </w:rPr>
        <w:t>privacy notice</w:t>
      </w:r>
      <w:r>
        <w:rPr>
          <w:rFonts w:ascii="Times New Roman" w:hAnsi="Times New Roman"/>
          <w:bCs/>
        </w:rPr>
        <w:t>:</w:t>
      </w:r>
    </w:p>
    <w:p w:rsidR="003E72E9" w:rsidP="003E72E9" w14:paraId="167F4564" w14:textId="77777777">
      <w:pPr>
        <w:pStyle w:val="ListParagraph"/>
        <w:tabs>
          <w:tab w:val="left" w:pos="-720"/>
        </w:tabs>
        <w:suppressAutoHyphens/>
        <w:rPr>
          <w:rFonts w:ascii="Times New Roman" w:hAnsi="Times New Roman"/>
          <w:szCs w:val="24"/>
        </w:rPr>
      </w:pPr>
    </w:p>
    <w:p w:rsidR="00606FAC" w:rsidRPr="009C639F" w:rsidP="003E72E9" w14:paraId="2B95D902" w14:textId="77777777">
      <w:pPr>
        <w:ind w:left="720"/>
        <w:rPr>
          <w:rFonts w:ascii="Times New Roman" w:hAnsi="Times New Roman"/>
          <w:i/>
          <w:iCs/>
          <w:color w:val="000000"/>
        </w:rPr>
      </w:pPr>
      <w:r w:rsidRPr="009C639F">
        <w:rPr>
          <w:rFonts w:ascii="Times New Roman" w:hAnsi="Times New Roman"/>
          <w:i/>
          <w:iCs/>
          <w:color w:val="000000"/>
        </w:rPr>
        <w:t>The information you provide is voluntary, however, you will need to fill in all the fields in order for the performance report to be complete, unless noted otherwise. While your information will not be disclosed outside of the Department, there may be circumstances where information may be shared with a third party, such as a Freedom of Information Act request, court order or subpoena, or if a breach or security incident would occur affecting the system.</w:t>
      </w:r>
    </w:p>
    <w:p w:rsidR="00920F63" w:rsidRPr="00920F63" w:rsidP="002313E2" w14:paraId="2EB2E6BD" w14:textId="77777777">
      <w:pPr>
        <w:tabs>
          <w:tab w:val="left" w:pos="-720"/>
        </w:tabs>
        <w:suppressAutoHyphens/>
        <w:rPr>
          <w:rFonts w:ascii="Times New Roman" w:hAnsi="Times New Roman"/>
          <w:szCs w:val="24"/>
        </w:rPr>
      </w:pPr>
    </w:p>
    <w:p w:rsidR="00043C32" w:rsidP="002313E2" w14:paraId="204A9F4D"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69CE211D" w14:textId="77777777">
      <w:pPr>
        <w:tabs>
          <w:tab w:val="left" w:pos="-720"/>
        </w:tabs>
        <w:suppressAutoHyphens/>
        <w:rPr>
          <w:rFonts w:ascii="Times New Roman" w:hAnsi="Times New Roman"/>
          <w:b/>
          <w:szCs w:val="24"/>
        </w:rPr>
      </w:pPr>
    </w:p>
    <w:p w:rsidR="005D5A1D" w:rsidRPr="00666333" w:rsidP="00E83A23" w14:paraId="23D95511" w14:textId="77777777">
      <w:pPr>
        <w:ind w:left="720"/>
        <w:rPr>
          <w:rFonts w:ascii="Times New Roman" w:hAnsi="Times New Roman"/>
          <w:szCs w:val="24"/>
        </w:rPr>
      </w:pPr>
      <w:r w:rsidRPr="00666333">
        <w:rPr>
          <w:rFonts w:ascii="Times New Roman" w:hAnsi="Times New Roman"/>
          <w:szCs w:val="24"/>
        </w:rPr>
        <w:t>This application does not include questions about sexual behavior and attitudes, religious beliefs, or other items that are commonly considered sensitive and private.</w:t>
      </w:r>
    </w:p>
    <w:p w:rsidR="00920F63" w:rsidRPr="00920F63" w:rsidP="002313E2" w14:paraId="63A1267E" w14:textId="77777777">
      <w:pPr>
        <w:tabs>
          <w:tab w:val="left" w:pos="-720"/>
        </w:tabs>
        <w:suppressAutoHyphens/>
        <w:ind w:left="180"/>
        <w:rPr>
          <w:rFonts w:ascii="Times New Roman" w:hAnsi="Times New Roman"/>
          <w:szCs w:val="24"/>
        </w:rPr>
      </w:pPr>
    </w:p>
    <w:p w:rsidR="00043C32" w:rsidRPr="00920F63" w:rsidP="002313E2" w14:paraId="384EAE4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3D7FBE78" w14:textId="77777777">
      <w:pPr>
        <w:tabs>
          <w:tab w:val="left" w:pos="-720"/>
        </w:tabs>
        <w:suppressAutoHyphens/>
        <w:rPr>
          <w:rStyle w:val="a"/>
          <w:rFonts w:ascii="Times New Roman" w:hAnsi="Times New Roman"/>
          <w:b/>
          <w:szCs w:val="24"/>
        </w:rPr>
      </w:pPr>
    </w:p>
    <w:p w:rsidR="00C224FD" w:rsidP="002313E2" w14:paraId="68BAC6A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 xml:space="preserve">Provide an </w:t>
      </w:r>
      <w:r w:rsidRPr="00756FD3">
        <w:rPr>
          <w:rStyle w:val="a"/>
          <w:rFonts w:ascii="Times New Roman" w:hAnsi="Times New Roman"/>
          <w:b/>
          <w:szCs w:val="24"/>
        </w:rPr>
        <w:t>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6064C6D1"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152C365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C2C749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3082141C"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094A39B0" w14:textId="77777777">
      <w:pPr>
        <w:tabs>
          <w:tab w:val="left" w:pos="-720"/>
          <w:tab w:val="left" w:pos="1247"/>
        </w:tabs>
        <w:suppressAutoHyphens/>
        <w:rPr>
          <w:rStyle w:val="a"/>
          <w:rFonts w:ascii="Times New Roman" w:hAnsi="Times New Roman"/>
          <w:b/>
          <w:szCs w:val="24"/>
        </w:rPr>
      </w:pPr>
    </w:p>
    <w:p w:rsidR="00946126" w:rsidRPr="00641ED8" w:rsidP="002313E2" w14:paraId="7F93BB4C"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5D5A1D" w:rsidP="002313E2" w14:paraId="618552CF" w14:textId="77777777">
      <w:pPr>
        <w:pStyle w:val="ListParagraph"/>
        <w:tabs>
          <w:tab w:val="left" w:pos="-720"/>
        </w:tabs>
        <w:suppressAutoHyphens/>
        <w:rPr>
          <w:rStyle w:val="a"/>
          <w:rFonts w:ascii="Times New Roman" w:hAnsi="Times New Roman"/>
          <w:szCs w:val="24"/>
        </w:rPr>
      </w:pPr>
    </w:p>
    <w:p w:rsidR="005D5A1D" w:rsidP="005D5A1D" w14:paraId="52C6C74F" w14:textId="77777777">
      <w:pPr>
        <w:ind w:left="720"/>
        <w:rPr>
          <w:rFonts w:ascii="Times New Roman" w:hAnsi="Times New Roman"/>
          <w:szCs w:val="24"/>
        </w:rPr>
      </w:pPr>
      <w:r>
        <w:rPr>
          <w:rFonts w:ascii="Times New Roman" w:hAnsi="Times New Roman"/>
          <w:szCs w:val="24"/>
        </w:rPr>
        <w:t>The package includes three performance reports</w:t>
      </w:r>
      <w:r w:rsidR="00326B70">
        <w:rPr>
          <w:rFonts w:ascii="Times New Roman" w:hAnsi="Times New Roman"/>
          <w:szCs w:val="24"/>
        </w:rPr>
        <w:t xml:space="preserve"> - </w:t>
      </w:r>
      <w:r>
        <w:rPr>
          <w:rFonts w:ascii="Times New Roman" w:hAnsi="Times New Roman"/>
          <w:szCs w:val="24"/>
        </w:rPr>
        <w:t xml:space="preserve">an annual performance report submitted in years one and two of a grant, a final performance report submitted in the third year of a grant, and a </w:t>
      </w:r>
      <w:r>
        <w:rPr>
          <w:rFonts w:ascii="Times New Roman" w:hAnsi="Times New Roman"/>
          <w:szCs w:val="24"/>
        </w:rPr>
        <w:t>supplemental report</w:t>
      </w:r>
      <w:r w:rsidR="004A2AB7">
        <w:rPr>
          <w:rFonts w:ascii="Times New Roman" w:hAnsi="Times New Roman"/>
          <w:szCs w:val="24"/>
        </w:rPr>
        <w:t xml:space="preserve"> submitted two years after the grant concludes</w:t>
      </w:r>
      <w:r>
        <w:rPr>
          <w:rFonts w:ascii="Times New Roman" w:hAnsi="Times New Roman"/>
          <w:szCs w:val="24"/>
        </w:rPr>
        <w:t xml:space="preserve">.  </w:t>
      </w:r>
      <w:r w:rsidRPr="003F7E29">
        <w:rPr>
          <w:rFonts w:ascii="Times New Roman" w:hAnsi="Times New Roman"/>
          <w:szCs w:val="24"/>
        </w:rPr>
        <w:t>The estimated total reporting burden for</w:t>
      </w:r>
      <w:r>
        <w:rPr>
          <w:rFonts w:ascii="Times New Roman" w:hAnsi="Times New Roman"/>
          <w:szCs w:val="24"/>
        </w:rPr>
        <w:t xml:space="preserve"> </w:t>
      </w:r>
      <w:r w:rsidR="00E44E3A">
        <w:rPr>
          <w:rFonts w:ascii="Times New Roman" w:hAnsi="Times New Roman"/>
          <w:szCs w:val="24"/>
        </w:rPr>
        <w:t xml:space="preserve">these </w:t>
      </w:r>
      <w:r>
        <w:rPr>
          <w:rFonts w:ascii="Times New Roman" w:hAnsi="Times New Roman"/>
          <w:szCs w:val="24"/>
        </w:rPr>
        <w:t xml:space="preserve">reports is indicated below. </w:t>
      </w:r>
      <w:r w:rsidRPr="003F7E29">
        <w:rPr>
          <w:rFonts w:ascii="Times New Roman" w:hAnsi="Times New Roman"/>
          <w:szCs w:val="24"/>
        </w:rPr>
        <w:t xml:space="preserve"> This includes a total of </w:t>
      </w:r>
      <w:r w:rsidRPr="00B95404">
        <w:rPr>
          <w:rFonts w:ascii="Times New Roman" w:hAnsi="Times New Roman"/>
          <w:szCs w:val="24"/>
        </w:rPr>
        <w:t>291</w:t>
      </w:r>
      <w:r w:rsidRPr="003F7E29">
        <w:rPr>
          <w:rFonts w:ascii="Times New Roman" w:hAnsi="Times New Roman"/>
          <w:szCs w:val="24"/>
        </w:rPr>
        <w:t xml:space="preserve"> respondents, each with an estimated response time of 11</w:t>
      </w:r>
      <w:r>
        <w:rPr>
          <w:rFonts w:ascii="Times New Roman" w:hAnsi="Times New Roman"/>
          <w:szCs w:val="24"/>
        </w:rPr>
        <w:t>.25</w:t>
      </w:r>
      <w:r w:rsidRPr="003F7E29">
        <w:rPr>
          <w:rFonts w:ascii="Times New Roman" w:hAnsi="Times New Roman"/>
          <w:szCs w:val="24"/>
        </w:rPr>
        <w:t xml:space="preserve"> hours</w:t>
      </w:r>
      <w:r w:rsidR="00CF77A5">
        <w:rPr>
          <w:rFonts w:ascii="Times New Roman" w:hAnsi="Times New Roman"/>
          <w:szCs w:val="24"/>
        </w:rPr>
        <w:t xml:space="preserve"> per report</w:t>
      </w:r>
      <w:r w:rsidRPr="003F7E29">
        <w:rPr>
          <w:rFonts w:ascii="Times New Roman" w:hAnsi="Times New Roman"/>
          <w:szCs w:val="24"/>
        </w:rPr>
        <w:t xml:space="preserve">.  </w:t>
      </w:r>
      <w:r w:rsidRPr="00666333">
        <w:rPr>
          <w:rFonts w:ascii="Times New Roman" w:hAnsi="Times New Roman"/>
          <w:szCs w:val="24"/>
        </w:rPr>
        <w:t xml:space="preserve">The </w:t>
      </w:r>
      <w:r>
        <w:rPr>
          <w:rFonts w:ascii="Times New Roman" w:hAnsi="Times New Roman"/>
          <w:szCs w:val="24"/>
        </w:rPr>
        <w:t xml:space="preserve">total </w:t>
      </w:r>
      <w:r w:rsidRPr="00666333">
        <w:rPr>
          <w:rFonts w:ascii="Times New Roman" w:hAnsi="Times New Roman"/>
          <w:szCs w:val="24"/>
        </w:rPr>
        <w:t xml:space="preserve">burden hours </w:t>
      </w:r>
      <w:r>
        <w:rPr>
          <w:rFonts w:ascii="Times New Roman" w:hAnsi="Times New Roman"/>
          <w:szCs w:val="24"/>
        </w:rPr>
        <w:t>have</w:t>
      </w:r>
      <w:r w:rsidRPr="00666333">
        <w:rPr>
          <w:rFonts w:ascii="Times New Roman" w:hAnsi="Times New Roman"/>
          <w:szCs w:val="24"/>
        </w:rPr>
        <w:t xml:space="preserve"> not </w:t>
      </w:r>
      <w:r>
        <w:rPr>
          <w:rFonts w:ascii="Times New Roman" w:hAnsi="Times New Roman"/>
          <w:szCs w:val="24"/>
        </w:rPr>
        <w:t>changed</w:t>
      </w:r>
      <w:r w:rsidRPr="00666333">
        <w:rPr>
          <w:rFonts w:ascii="Times New Roman" w:hAnsi="Times New Roman"/>
          <w:szCs w:val="24"/>
        </w:rPr>
        <w:t xml:space="preserve"> since the previous collection package was submitted for clearance.</w:t>
      </w:r>
      <w:r>
        <w:rPr>
          <w:rFonts w:ascii="Times New Roman" w:hAnsi="Times New Roman"/>
          <w:szCs w:val="24"/>
        </w:rPr>
        <w:t xml:space="preserve">  </w:t>
      </w:r>
    </w:p>
    <w:p w:rsidR="00CF77A5" w:rsidP="005D5A1D" w14:paraId="2ED9020F" w14:textId="77777777">
      <w:pPr>
        <w:ind w:left="720"/>
        <w:rPr>
          <w:rFonts w:ascii="Times New Roman" w:hAnsi="Times New Roman"/>
          <w:szCs w:val="24"/>
        </w:rPr>
      </w:pPr>
    </w:p>
    <w:p w:rsidR="00CF77A5" w:rsidP="005D5A1D" w14:paraId="5630C38D" w14:textId="77777777">
      <w:pPr>
        <w:ind w:left="720"/>
        <w:rPr>
          <w:rFonts w:ascii="Times New Roman" w:hAnsi="Times New Roman"/>
          <w:szCs w:val="24"/>
        </w:rPr>
      </w:pPr>
    </w:p>
    <w:p w:rsidR="00E83A23" w:rsidP="005D5A1D" w14:paraId="27CAEAB7" w14:textId="77777777">
      <w:pPr>
        <w:ind w:left="720"/>
        <w:rPr>
          <w:rFonts w:ascii="Times New Roman" w:hAnsi="Times New Roman"/>
          <w:szCs w:val="24"/>
        </w:rPr>
      </w:pPr>
    </w:p>
    <w:p w:rsidR="00E83A23" w:rsidP="005D5A1D" w14:paraId="2E9B36F0" w14:textId="77777777">
      <w:pPr>
        <w:ind w:left="720"/>
        <w:rPr>
          <w:rFonts w:ascii="Times New Roman" w:hAnsi="Times New Roman"/>
          <w:szCs w:val="24"/>
        </w:rPr>
      </w:pPr>
    </w:p>
    <w:p w:rsidR="00ED7195" w:rsidP="002313E2" w14:paraId="13976178"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515" w:type="dxa"/>
        <w:tblLayout w:type="fixed"/>
        <w:tblLook w:val="0020"/>
      </w:tblPr>
      <w:tblGrid>
        <w:gridCol w:w="1345"/>
        <w:gridCol w:w="1170"/>
        <w:gridCol w:w="1170"/>
        <w:gridCol w:w="1260"/>
        <w:gridCol w:w="1080"/>
        <w:gridCol w:w="1170"/>
        <w:gridCol w:w="1350"/>
        <w:gridCol w:w="1440"/>
        <w:gridCol w:w="1530"/>
      </w:tblGrid>
      <w:tr w14:paraId="59FD8B98" w14:textId="77777777" w:rsidTr="009262D6">
        <w:tblPrEx>
          <w:tblW w:w="11515" w:type="dxa"/>
          <w:tblLayout w:type="fixed"/>
          <w:tblLook w:val="0020"/>
        </w:tblPrEx>
        <w:trPr>
          <w:tblHeader/>
        </w:trPr>
        <w:tc>
          <w:tcPr>
            <w:tcW w:w="1345" w:type="dxa"/>
            <w:vAlign w:val="center"/>
          </w:tcPr>
          <w:p w:rsidR="00952EFE" w:rsidRPr="00105570" w:rsidP="009262D6" w14:paraId="3182E8A0" w14:textId="77777777">
            <w:pPr>
              <w:jc w:val="center"/>
              <w:rPr>
                <w:rFonts w:ascii="Times New Roman" w:hAnsi="Times New Roman"/>
                <w:color w:val="000000" w:themeColor="text1"/>
                <w:sz w:val="20"/>
              </w:rPr>
            </w:pPr>
            <w:r w:rsidRPr="00105570">
              <w:rPr>
                <w:rFonts w:ascii="Times New Roman" w:hAnsi="Times New Roman"/>
                <w:color w:val="000000" w:themeColor="text1"/>
                <w:sz w:val="20"/>
              </w:rPr>
              <w:t>Information Activity or IC (with type of respondent)</w:t>
            </w:r>
          </w:p>
        </w:tc>
        <w:tc>
          <w:tcPr>
            <w:tcW w:w="1170" w:type="dxa"/>
            <w:vAlign w:val="center"/>
          </w:tcPr>
          <w:p w:rsidR="00952EFE" w:rsidRPr="007F6104" w:rsidP="009262D6" w14:paraId="0623062A"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vAlign w:val="center"/>
          </w:tcPr>
          <w:p w:rsidR="00952EFE" w:rsidRPr="007F6104" w:rsidP="009262D6" w14:paraId="08B02A0A"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vAlign w:val="center"/>
          </w:tcPr>
          <w:p w:rsidR="00952EFE" w:rsidRPr="007F6104" w:rsidP="009262D6" w14:paraId="69497E9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952EFE" w:rsidRPr="007F6104" w:rsidP="009262D6" w14:paraId="438B946B" w14:textId="77777777">
            <w:pPr>
              <w:jc w:val="center"/>
              <w:rPr>
                <w:rFonts w:ascii="Times New Roman" w:hAnsi="Times New Roman"/>
                <w:sz w:val="20"/>
              </w:rPr>
            </w:pPr>
            <w:r w:rsidRPr="007F6104">
              <w:rPr>
                <w:rFonts w:ascii="Times New Roman" w:hAnsi="Times New Roman"/>
                <w:sz w:val="20"/>
              </w:rPr>
              <w:t>Number of Responses</w:t>
            </w:r>
          </w:p>
        </w:tc>
        <w:tc>
          <w:tcPr>
            <w:tcW w:w="1170" w:type="dxa"/>
            <w:vAlign w:val="center"/>
          </w:tcPr>
          <w:p w:rsidR="00952EFE" w:rsidRPr="007F6104" w:rsidP="009262D6" w14:paraId="5CC9B3F9"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vAlign w:val="center"/>
          </w:tcPr>
          <w:p w:rsidR="00952EFE" w:rsidRPr="007F6104" w:rsidP="009262D6" w14:paraId="410A2EE6"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440" w:type="dxa"/>
            <w:vAlign w:val="center"/>
          </w:tcPr>
          <w:p w:rsidR="00952EFE" w:rsidRPr="003D4295" w:rsidP="009262D6" w14:paraId="3EB6066C" w14:textId="77777777">
            <w:pPr>
              <w:jc w:val="center"/>
              <w:rPr>
                <w:rFonts w:ascii="Times New Roman" w:hAnsi="Times New Roman"/>
                <w:sz w:val="20"/>
              </w:rPr>
            </w:pPr>
            <w:r w:rsidRPr="003D4295">
              <w:rPr>
                <w:rFonts w:ascii="Times New Roman" w:hAnsi="Times New Roman"/>
                <w:sz w:val="20"/>
              </w:rPr>
              <w:t xml:space="preserve">Estimated </w:t>
            </w:r>
            <w:r w:rsidRPr="00FE1BAE">
              <w:rPr>
                <w:rFonts w:ascii="Times New Roman" w:hAnsi="Times New Roman"/>
                <w:sz w:val="20"/>
              </w:rPr>
              <w:t>Respondent Average Hourly Wage</w:t>
            </w:r>
          </w:p>
        </w:tc>
        <w:tc>
          <w:tcPr>
            <w:tcW w:w="1530" w:type="dxa"/>
            <w:vAlign w:val="center"/>
          </w:tcPr>
          <w:p w:rsidR="00952EFE" w:rsidRPr="003D4295" w:rsidP="009262D6" w14:paraId="6821210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A6B449" w14:textId="77777777" w:rsidTr="009262D6">
        <w:tblPrEx>
          <w:tblW w:w="11515" w:type="dxa"/>
          <w:tblLayout w:type="fixed"/>
          <w:tblLook w:val="0020"/>
        </w:tblPrEx>
        <w:tc>
          <w:tcPr>
            <w:tcW w:w="1345" w:type="dxa"/>
          </w:tcPr>
          <w:p w:rsidR="00952EFE" w:rsidRPr="00442E07" w:rsidP="009262D6" w14:paraId="6EE135EF" w14:textId="77777777">
            <w:pPr>
              <w:rPr>
                <w:rFonts w:ascii="Times New Roman" w:hAnsi="Times New Roman"/>
                <w:szCs w:val="24"/>
              </w:rPr>
            </w:pPr>
            <w:r>
              <w:rPr>
                <w:rFonts w:ascii="Times New Roman" w:hAnsi="Times New Roman"/>
                <w:szCs w:val="24"/>
              </w:rPr>
              <w:t>APR- Public</w:t>
            </w:r>
          </w:p>
        </w:tc>
        <w:tc>
          <w:tcPr>
            <w:tcW w:w="1170" w:type="dxa"/>
          </w:tcPr>
          <w:p w:rsidR="00952EFE" w:rsidP="009262D6" w14:paraId="50DF0B5B" w14:textId="77777777">
            <w:pPr>
              <w:rPr>
                <w:rFonts w:ascii="Times New Roman" w:hAnsi="Times New Roman"/>
              </w:rPr>
            </w:pPr>
            <w:r>
              <w:rPr>
                <w:rFonts w:ascii="Times New Roman" w:hAnsi="Times New Roman"/>
              </w:rPr>
              <w:t>NA</w:t>
            </w:r>
          </w:p>
        </w:tc>
        <w:tc>
          <w:tcPr>
            <w:tcW w:w="1170" w:type="dxa"/>
          </w:tcPr>
          <w:p w:rsidR="00952EFE" w:rsidP="009262D6" w14:paraId="17C393E1" w14:textId="77777777">
            <w:pPr>
              <w:rPr>
                <w:rFonts w:ascii="Times New Roman" w:hAnsi="Times New Roman"/>
              </w:rPr>
            </w:pPr>
            <w:r>
              <w:rPr>
                <w:rFonts w:ascii="Times New Roman" w:hAnsi="Times New Roman"/>
              </w:rPr>
              <w:t>NA</w:t>
            </w:r>
          </w:p>
        </w:tc>
        <w:tc>
          <w:tcPr>
            <w:tcW w:w="1260" w:type="dxa"/>
          </w:tcPr>
          <w:p w:rsidR="00952EFE" w:rsidP="009262D6" w14:paraId="450CCED8" w14:textId="77777777">
            <w:pPr>
              <w:rPr>
                <w:rFonts w:ascii="Times New Roman" w:hAnsi="Times New Roman"/>
                <w:szCs w:val="24"/>
              </w:rPr>
            </w:pPr>
            <w:r>
              <w:rPr>
                <w:rFonts w:ascii="Times New Roman" w:hAnsi="Times New Roman"/>
                <w:szCs w:val="24"/>
              </w:rPr>
              <w:t>223</w:t>
            </w:r>
          </w:p>
        </w:tc>
        <w:tc>
          <w:tcPr>
            <w:tcW w:w="1080" w:type="dxa"/>
          </w:tcPr>
          <w:p w:rsidR="00952EFE" w:rsidP="009262D6" w14:paraId="1767FF7A" w14:textId="77777777">
            <w:pPr>
              <w:rPr>
                <w:rFonts w:ascii="Times New Roman" w:hAnsi="Times New Roman"/>
                <w:szCs w:val="24"/>
              </w:rPr>
            </w:pPr>
            <w:r>
              <w:rPr>
                <w:rFonts w:ascii="Times New Roman" w:hAnsi="Times New Roman"/>
                <w:szCs w:val="24"/>
              </w:rPr>
              <w:t>223</w:t>
            </w:r>
          </w:p>
        </w:tc>
        <w:tc>
          <w:tcPr>
            <w:tcW w:w="1170" w:type="dxa"/>
          </w:tcPr>
          <w:p w:rsidR="00952EFE" w:rsidP="009262D6" w14:paraId="0BC097FB" w14:textId="77777777">
            <w:pPr>
              <w:rPr>
                <w:rFonts w:ascii="Times New Roman" w:hAnsi="Times New Roman"/>
                <w:szCs w:val="24"/>
              </w:rPr>
            </w:pPr>
            <w:r>
              <w:rPr>
                <w:rFonts w:ascii="Times New Roman" w:hAnsi="Times New Roman"/>
                <w:szCs w:val="24"/>
              </w:rPr>
              <w:t>11</w:t>
            </w:r>
          </w:p>
        </w:tc>
        <w:tc>
          <w:tcPr>
            <w:tcW w:w="1350" w:type="dxa"/>
          </w:tcPr>
          <w:p w:rsidR="00952EFE" w:rsidP="009262D6" w14:paraId="7693358C" w14:textId="77777777">
            <w:pPr>
              <w:rPr>
                <w:rFonts w:ascii="Times New Roman" w:hAnsi="Times New Roman"/>
                <w:szCs w:val="24"/>
              </w:rPr>
            </w:pPr>
            <w:r>
              <w:rPr>
                <w:rFonts w:ascii="Times New Roman" w:hAnsi="Times New Roman"/>
                <w:szCs w:val="24"/>
              </w:rPr>
              <w:t>223x11x2=</w:t>
            </w:r>
          </w:p>
          <w:p w:rsidR="00952EFE" w:rsidP="009262D6" w14:paraId="087A3300" w14:textId="77777777">
            <w:pPr>
              <w:rPr>
                <w:rFonts w:ascii="Times New Roman" w:hAnsi="Times New Roman"/>
                <w:szCs w:val="24"/>
              </w:rPr>
            </w:pPr>
          </w:p>
          <w:p w:rsidR="00952EFE" w:rsidP="009262D6" w14:paraId="53033348" w14:textId="77777777">
            <w:pPr>
              <w:rPr>
                <w:rFonts w:ascii="Times New Roman" w:hAnsi="Times New Roman"/>
                <w:szCs w:val="24"/>
              </w:rPr>
            </w:pPr>
            <w:r>
              <w:rPr>
                <w:rFonts w:ascii="Times New Roman" w:hAnsi="Times New Roman"/>
                <w:szCs w:val="24"/>
              </w:rPr>
              <w:t>4906</w:t>
            </w:r>
          </w:p>
          <w:p w:rsidR="00952EFE" w:rsidP="009262D6" w14:paraId="3CD33868" w14:textId="77777777">
            <w:pPr>
              <w:rPr>
                <w:rFonts w:ascii="Times New Roman" w:hAnsi="Times New Roman"/>
                <w:szCs w:val="24"/>
              </w:rPr>
            </w:pPr>
          </w:p>
        </w:tc>
        <w:tc>
          <w:tcPr>
            <w:tcW w:w="1440" w:type="dxa"/>
          </w:tcPr>
          <w:p w:rsidR="00952EFE" w:rsidP="009262D6" w14:paraId="0E27D32A" w14:textId="77777777">
            <w:pPr>
              <w:rPr>
                <w:rFonts w:ascii="Times New Roman" w:hAnsi="Times New Roman"/>
                <w:szCs w:val="24"/>
              </w:rPr>
            </w:pPr>
            <w:r>
              <w:rPr>
                <w:rFonts w:ascii="Times New Roman" w:hAnsi="Times New Roman"/>
                <w:szCs w:val="24"/>
              </w:rPr>
              <w:t>$45/hr -</w:t>
            </w:r>
          </w:p>
          <w:p w:rsidR="00952EFE" w:rsidP="009262D6" w14:paraId="28DC9C85" w14:textId="77777777">
            <w:pPr>
              <w:rPr>
                <w:rFonts w:ascii="Times New Roman" w:hAnsi="Times New Roman"/>
                <w:szCs w:val="24"/>
              </w:rPr>
            </w:pPr>
            <w:r>
              <w:rPr>
                <w:rFonts w:ascii="Times New Roman" w:hAnsi="Times New Roman"/>
                <w:szCs w:val="24"/>
              </w:rPr>
              <w:t>professional</w:t>
            </w:r>
          </w:p>
          <w:p w:rsidR="00952EFE" w:rsidP="009262D6" w14:paraId="326D5EE0" w14:textId="77777777">
            <w:pPr>
              <w:rPr>
                <w:rFonts w:ascii="Times New Roman" w:hAnsi="Times New Roman"/>
                <w:szCs w:val="24"/>
              </w:rPr>
            </w:pPr>
            <w:r>
              <w:rPr>
                <w:rFonts w:ascii="Times New Roman" w:hAnsi="Times New Roman"/>
                <w:szCs w:val="24"/>
              </w:rPr>
              <w:t>$15/hr –</w:t>
            </w:r>
          </w:p>
          <w:p w:rsidR="00952EFE" w:rsidP="009262D6" w14:paraId="28DD98EF" w14:textId="77777777">
            <w:pPr>
              <w:rPr>
                <w:rFonts w:ascii="Times New Roman" w:hAnsi="Times New Roman"/>
                <w:szCs w:val="24"/>
              </w:rPr>
            </w:pPr>
            <w:r>
              <w:rPr>
                <w:rFonts w:ascii="Times New Roman" w:hAnsi="Times New Roman"/>
                <w:szCs w:val="24"/>
              </w:rPr>
              <w:t xml:space="preserve">Clerical </w:t>
            </w:r>
          </w:p>
        </w:tc>
        <w:tc>
          <w:tcPr>
            <w:tcW w:w="1530" w:type="dxa"/>
          </w:tcPr>
          <w:p w:rsidR="00952EFE" w:rsidP="009262D6" w14:paraId="5840CF55" w14:textId="77777777">
            <w:pPr>
              <w:rPr>
                <w:rFonts w:ascii="Times New Roman" w:hAnsi="Times New Roman"/>
                <w:szCs w:val="24"/>
              </w:rPr>
            </w:pPr>
            <w:r>
              <w:rPr>
                <w:rFonts w:ascii="Times New Roman" w:hAnsi="Times New Roman"/>
                <w:szCs w:val="24"/>
              </w:rPr>
              <w:t>$110,385 +</w:t>
            </w:r>
          </w:p>
          <w:p w:rsidR="00952EFE" w:rsidP="009262D6" w14:paraId="495EC6CC" w14:textId="77777777">
            <w:pPr>
              <w:rPr>
                <w:rFonts w:ascii="Times New Roman" w:hAnsi="Times New Roman"/>
                <w:szCs w:val="24"/>
              </w:rPr>
            </w:pPr>
            <w:r>
              <w:rPr>
                <w:rFonts w:ascii="Times New Roman" w:hAnsi="Times New Roman"/>
                <w:szCs w:val="24"/>
              </w:rPr>
              <w:t>$36,795=</w:t>
            </w:r>
          </w:p>
          <w:p w:rsidR="00952EFE" w:rsidP="009262D6" w14:paraId="53FD4E8F" w14:textId="77777777">
            <w:pPr>
              <w:rPr>
                <w:rFonts w:ascii="Times New Roman" w:hAnsi="Times New Roman"/>
                <w:szCs w:val="24"/>
              </w:rPr>
            </w:pPr>
          </w:p>
          <w:p w:rsidR="00952EFE" w:rsidP="009262D6" w14:paraId="37BBA49C" w14:textId="77777777">
            <w:pPr>
              <w:rPr>
                <w:rFonts w:ascii="Times New Roman" w:hAnsi="Times New Roman"/>
                <w:szCs w:val="24"/>
              </w:rPr>
            </w:pPr>
            <w:r>
              <w:rPr>
                <w:rFonts w:ascii="Times New Roman" w:hAnsi="Times New Roman"/>
                <w:szCs w:val="24"/>
              </w:rPr>
              <w:t>$147,180</w:t>
            </w:r>
          </w:p>
        </w:tc>
      </w:tr>
      <w:tr w14:paraId="589D8DF5" w14:textId="77777777" w:rsidTr="009262D6">
        <w:tblPrEx>
          <w:tblW w:w="11515" w:type="dxa"/>
          <w:tblLayout w:type="fixed"/>
          <w:tblLook w:val="0020"/>
        </w:tblPrEx>
        <w:tc>
          <w:tcPr>
            <w:tcW w:w="1345" w:type="dxa"/>
          </w:tcPr>
          <w:p w:rsidR="00952EFE" w:rsidRPr="00442E07" w:rsidP="009262D6" w14:paraId="7A5F3686" w14:textId="77777777">
            <w:pPr>
              <w:rPr>
                <w:rFonts w:ascii="Times New Roman" w:hAnsi="Times New Roman"/>
                <w:szCs w:val="24"/>
              </w:rPr>
            </w:pPr>
            <w:r>
              <w:rPr>
                <w:rFonts w:ascii="Times New Roman" w:hAnsi="Times New Roman"/>
                <w:szCs w:val="24"/>
              </w:rPr>
              <w:t>APR -Private</w:t>
            </w:r>
          </w:p>
        </w:tc>
        <w:tc>
          <w:tcPr>
            <w:tcW w:w="1170" w:type="dxa"/>
          </w:tcPr>
          <w:p w:rsidR="00952EFE" w:rsidRPr="00442E07" w:rsidP="009262D6" w14:paraId="31BBA300" w14:textId="77777777">
            <w:pPr>
              <w:rPr>
                <w:rFonts w:ascii="Times New Roman" w:hAnsi="Times New Roman"/>
                <w:szCs w:val="24"/>
              </w:rPr>
            </w:pPr>
            <w:r>
              <w:rPr>
                <w:rFonts w:ascii="Times New Roman" w:hAnsi="Times New Roman"/>
              </w:rPr>
              <w:t>NA</w:t>
            </w:r>
          </w:p>
        </w:tc>
        <w:tc>
          <w:tcPr>
            <w:tcW w:w="1170" w:type="dxa"/>
          </w:tcPr>
          <w:p w:rsidR="00952EFE" w:rsidRPr="00442E07" w:rsidP="009262D6" w14:paraId="0668F545" w14:textId="77777777">
            <w:pPr>
              <w:rPr>
                <w:rFonts w:ascii="Times New Roman" w:hAnsi="Times New Roman"/>
                <w:szCs w:val="24"/>
              </w:rPr>
            </w:pPr>
            <w:r>
              <w:rPr>
                <w:rFonts w:ascii="Times New Roman" w:hAnsi="Times New Roman"/>
              </w:rPr>
              <w:t>NA</w:t>
            </w:r>
          </w:p>
        </w:tc>
        <w:tc>
          <w:tcPr>
            <w:tcW w:w="1260" w:type="dxa"/>
          </w:tcPr>
          <w:p w:rsidR="00952EFE" w:rsidRPr="00442E07" w:rsidP="009262D6" w14:paraId="03960960" w14:textId="77777777">
            <w:pPr>
              <w:rPr>
                <w:rFonts w:ascii="Times New Roman" w:hAnsi="Times New Roman"/>
                <w:szCs w:val="24"/>
              </w:rPr>
            </w:pPr>
            <w:r>
              <w:rPr>
                <w:rFonts w:ascii="Times New Roman" w:hAnsi="Times New Roman"/>
                <w:szCs w:val="24"/>
              </w:rPr>
              <w:t>68</w:t>
            </w:r>
          </w:p>
        </w:tc>
        <w:tc>
          <w:tcPr>
            <w:tcW w:w="1080" w:type="dxa"/>
          </w:tcPr>
          <w:p w:rsidR="00952EFE" w:rsidRPr="00442E07" w:rsidP="009262D6" w14:paraId="2DF248EB" w14:textId="77777777">
            <w:pPr>
              <w:rPr>
                <w:rFonts w:ascii="Times New Roman" w:hAnsi="Times New Roman"/>
                <w:szCs w:val="24"/>
              </w:rPr>
            </w:pPr>
            <w:r>
              <w:rPr>
                <w:rFonts w:ascii="Times New Roman" w:hAnsi="Times New Roman"/>
                <w:szCs w:val="24"/>
              </w:rPr>
              <w:t>68</w:t>
            </w:r>
          </w:p>
        </w:tc>
        <w:tc>
          <w:tcPr>
            <w:tcW w:w="1170" w:type="dxa"/>
          </w:tcPr>
          <w:p w:rsidR="00952EFE" w:rsidRPr="00442E07" w:rsidP="009262D6" w14:paraId="42E43D2E" w14:textId="77777777">
            <w:pPr>
              <w:rPr>
                <w:rFonts w:ascii="Times New Roman" w:hAnsi="Times New Roman"/>
                <w:szCs w:val="24"/>
              </w:rPr>
            </w:pPr>
            <w:r>
              <w:rPr>
                <w:rFonts w:ascii="Times New Roman" w:hAnsi="Times New Roman"/>
                <w:szCs w:val="24"/>
              </w:rPr>
              <w:t>11</w:t>
            </w:r>
          </w:p>
        </w:tc>
        <w:tc>
          <w:tcPr>
            <w:tcW w:w="1350" w:type="dxa"/>
          </w:tcPr>
          <w:p w:rsidR="00952EFE" w:rsidP="009262D6" w14:paraId="490BF76F" w14:textId="77777777">
            <w:pPr>
              <w:pStyle w:val="EndnoteText"/>
              <w:tabs>
                <w:tab w:val="clear" w:pos="-720"/>
              </w:tabs>
              <w:suppressAutoHyphens w:val="0"/>
              <w:rPr>
                <w:rFonts w:ascii="Times New Roman" w:hAnsi="Times New Roman"/>
                <w:szCs w:val="24"/>
              </w:rPr>
            </w:pPr>
            <w:r>
              <w:rPr>
                <w:rFonts w:ascii="Times New Roman" w:hAnsi="Times New Roman"/>
                <w:szCs w:val="24"/>
              </w:rPr>
              <w:t>68x11x2</w:t>
            </w:r>
            <w:r w:rsidR="00417F8B">
              <w:rPr>
                <w:rFonts w:ascii="Times New Roman" w:hAnsi="Times New Roman"/>
                <w:szCs w:val="24"/>
              </w:rPr>
              <w:t>=</w:t>
            </w:r>
          </w:p>
          <w:p w:rsidR="00417F8B" w:rsidP="009262D6" w14:paraId="6B20427A" w14:textId="77777777">
            <w:pPr>
              <w:pStyle w:val="EndnoteText"/>
              <w:tabs>
                <w:tab w:val="clear" w:pos="-720"/>
              </w:tabs>
              <w:suppressAutoHyphens w:val="0"/>
              <w:rPr>
                <w:rFonts w:ascii="Times New Roman" w:hAnsi="Times New Roman"/>
                <w:szCs w:val="24"/>
              </w:rPr>
            </w:pPr>
          </w:p>
          <w:p w:rsidR="00952EFE" w:rsidP="009262D6" w14:paraId="4FA32467" w14:textId="77777777">
            <w:pPr>
              <w:pStyle w:val="EndnoteText"/>
              <w:tabs>
                <w:tab w:val="clear" w:pos="-720"/>
              </w:tabs>
              <w:suppressAutoHyphens w:val="0"/>
              <w:rPr>
                <w:rFonts w:ascii="Times New Roman" w:hAnsi="Times New Roman"/>
                <w:szCs w:val="24"/>
              </w:rPr>
            </w:pPr>
            <w:r>
              <w:rPr>
                <w:rFonts w:ascii="Times New Roman" w:hAnsi="Times New Roman"/>
                <w:szCs w:val="24"/>
              </w:rPr>
              <w:t>1496</w:t>
            </w:r>
          </w:p>
          <w:p w:rsidR="00952EFE" w:rsidRPr="00442E07" w:rsidP="009262D6" w14:paraId="40B8546A" w14:textId="77777777">
            <w:pPr>
              <w:pStyle w:val="EndnoteText"/>
              <w:tabs>
                <w:tab w:val="clear" w:pos="-720"/>
              </w:tabs>
              <w:suppressAutoHyphens w:val="0"/>
              <w:rPr>
                <w:rFonts w:ascii="Times New Roman" w:hAnsi="Times New Roman"/>
                <w:szCs w:val="24"/>
              </w:rPr>
            </w:pPr>
          </w:p>
        </w:tc>
        <w:tc>
          <w:tcPr>
            <w:tcW w:w="1440" w:type="dxa"/>
          </w:tcPr>
          <w:p w:rsidR="00952EFE" w:rsidP="009262D6" w14:paraId="7A8B4DE8" w14:textId="77777777">
            <w:pPr>
              <w:rPr>
                <w:rFonts w:ascii="Times New Roman" w:hAnsi="Times New Roman"/>
                <w:szCs w:val="24"/>
              </w:rPr>
            </w:pPr>
            <w:r>
              <w:rPr>
                <w:rFonts w:ascii="Times New Roman" w:hAnsi="Times New Roman"/>
                <w:szCs w:val="24"/>
              </w:rPr>
              <w:t>$45/hr -</w:t>
            </w:r>
          </w:p>
          <w:p w:rsidR="00952EFE" w:rsidP="009262D6" w14:paraId="4D38B098" w14:textId="77777777">
            <w:pPr>
              <w:rPr>
                <w:rFonts w:ascii="Times New Roman" w:hAnsi="Times New Roman"/>
                <w:szCs w:val="24"/>
              </w:rPr>
            </w:pPr>
            <w:r>
              <w:rPr>
                <w:rFonts w:ascii="Times New Roman" w:hAnsi="Times New Roman"/>
                <w:szCs w:val="24"/>
              </w:rPr>
              <w:t>professional</w:t>
            </w:r>
          </w:p>
          <w:p w:rsidR="00952EFE" w:rsidP="009262D6" w14:paraId="12DBA60A" w14:textId="77777777">
            <w:pPr>
              <w:rPr>
                <w:rFonts w:ascii="Times New Roman" w:hAnsi="Times New Roman"/>
                <w:szCs w:val="24"/>
              </w:rPr>
            </w:pPr>
            <w:r>
              <w:rPr>
                <w:rFonts w:ascii="Times New Roman" w:hAnsi="Times New Roman"/>
                <w:szCs w:val="24"/>
              </w:rPr>
              <w:t>$15/hr –</w:t>
            </w:r>
          </w:p>
          <w:p w:rsidR="00952EFE" w:rsidRPr="00442E07" w:rsidP="009262D6" w14:paraId="0F7D99EA" w14:textId="77777777">
            <w:pPr>
              <w:rPr>
                <w:rFonts w:ascii="Times New Roman" w:hAnsi="Times New Roman"/>
                <w:szCs w:val="24"/>
              </w:rPr>
            </w:pPr>
            <w:r>
              <w:rPr>
                <w:rFonts w:ascii="Times New Roman" w:hAnsi="Times New Roman"/>
                <w:szCs w:val="24"/>
              </w:rPr>
              <w:t xml:space="preserve">Clerical </w:t>
            </w:r>
          </w:p>
        </w:tc>
        <w:tc>
          <w:tcPr>
            <w:tcW w:w="1530" w:type="dxa"/>
          </w:tcPr>
          <w:p w:rsidR="00952EFE" w:rsidP="009262D6" w14:paraId="60865609" w14:textId="77777777">
            <w:pPr>
              <w:rPr>
                <w:rFonts w:ascii="Times New Roman" w:hAnsi="Times New Roman"/>
                <w:szCs w:val="24"/>
              </w:rPr>
            </w:pPr>
            <w:r>
              <w:rPr>
                <w:rFonts w:ascii="Times New Roman" w:hAnsi="Times New Roman"/>
                <w:szCs w:val="24"/>
              </w:rPr>
              <w:t>$33,660 +</w:t>
            </w:r>
          </w:p>
          <w:p w:rsidR="00952EFE" w:rsidP="009262D6" w14:paraId="1C9F81AC" w14:textId="77777777">
            <w:pPr>
              <w:rPr>
                <w:rFonts w:ascii="Times New Roman" w:hAnsi="Times New Roman"/>
                <w:szCs w:val="24"/>
              </w:rPr>
            </w:pPr>
            <w:r>
              <w:rPr>
                <w:rFonts w:ascii="Times New Roman" w:hAnsi="Times New Roman"/>
                <w:szCs w:val="24"/>
              </w:rPr>
              <w:t>$11,220=</w:t>
            </w:r>
          </w:p>
          <w:p w:rsidR="00952EFE" w:rsidP="009262D6" w14:paraId="2E3E5444" w14:textId="77777777">
            <w:pPr>
              <w:rPr>
                <w:rFonts w:ascii="Times New Roman" w:hAnsi="Times New Roman"/>
                <w:szCs w:val="24"/>
              </w:rPr>
            </w:pPr>
          </w:p>
          <w:p w:rsidR="00952EFE" w:rsidRPr="00442E07" w:rsidP="009262D6" w14:paraId="283371B2" w14:textId="77777777">
            <w:pPr>
              <w:rPr>
                <w:rFonts w:ascii="Times New Roman" w:hAnsi="Times New Roman"/>
                <w:szCs w:val="24"/>
              </w:rPr>
            </w:pPr>
            <w:r>
              <w:rPr>
                <w:rFonts w:ascii="Times New Roman" w:hAnsi="Times New Roman"/>
                <w:szCs w:val="24"/>
              </w:rPr>
              <w:t>$44,880</w:t>
            </w:r>
          </w:p>
        </w:tc>
      </w:tr>
      <w:tr w14:paraId="06AD4089" w14:textId="77777777" w:rsidTr="009262D6">
        <w:tblPrEx>
          <w:tblW w:w="11515" w:type="dxa"/>
          <w:tblLayout w:type="fixed"/>
          <w:tblLook w:val="0020"/>
        </w:tblPrEx>
        <w:tc>
          <w:tcPr>
            <w:tcW w:w="1345" w:type="dxa"/>
          </w:tcPr>
          <w:p w:rsidR="00952EFE" w:rsidP="009262D6" w14:paraId="2F5BD71B" w14:textId="77777777">
            <w:pPr>
              <w:rPr>
                <w:rFonts w:ascii="Times New Roman" w:hAnsi="Times New Roman"/>
                <w:szCs w:val="24"/>
              </w:rPr>
            </w:pPr>
            <w:r>
              <w:rPr>
                <w:rFonts w:ascii="Times New Roman" w:hAnsi="Times New Roman"/>
                <w:szCs w:val="24"/>
              </w:rPr>
              <w:t>FPR – Public</w:t>
            </w:r>
          </w:p>
        </w:tc>
        <w:tc>
          <w:tcPr>
            <w:tcW w:w="1170" w:type="dxa"/>
          </w:tcPr>
          <w:p w:rsidR="00952EFE" w:rsidRPr="00442E07" w:rsidP="009262D6" w14:paraId="7157FE3F" w14:textId="77777777">
            <w:pPr>
              <w:rPr>
                <w:rFonts w:ascii="Times New Roman" w:hAnsi="Times New Roman"/>
                <w:szCs w:val="24"/>
              </w:rPr>
            </w:pPr>
            <w:r>
              <w:rPr>
                <w:rFonts w:ascii="Times New Roman" w:hAnsi="Times New Roman"/>
              </w:rPr>
              <w:t>NA</w:t>
            </w:r>
          </w:p>
        </w:tc>
        <w:tc>
          <w:tcPr>
            <w:tcW w:w="1170" w:type="dxa"/>
          </w:tcPr>
          <w:p w:rsidR="00952EFE" w:rsidRPr="00442E07" w:rsidP="009262D6" w14:paraId="57C1B61D" w14:textId="77777777">
            <w:pPr>
              <w:rPr>
                <w:rFonts w:ascii="Times New Roman" w:hAnsi="Times New Roman"/>
                <w:szCs w:val="24"/>
              </w:rPr>
            </w:pPr>
            <w:r>
              <w:rPr>
                <w:rFonts w:ascii="Times New Roman" w:hAnsi="Times New Roman"/>
              </w:rPr>
              <w:t>NA</w:t>
            </w:r>
          </w:p>
        </w:tc>
        <w:tc>
          <w:tcPr>
            <w:tcW w:w="1260" w:type="dxa"/>
          </w:tcPr>
          <w:p w:rsidR="00952EFE" w:rsidP="009262D6" w14:paraId="3D7460DC" w14:textId="77777777">
            <w:pPr>
              <w:rPr>
                <w:rFonts w:ascii="Times New Roman" w:hAnsi="Times New Roman"/>
                <w:szCs w:val="24"/>
              </w:rPr>
            </w:pPr>
            <w:r>
              <w:rPr>
                <w:rFonts w:ascii="Times New Roman" w:hAnsi="Times New Roman"/>
                <w:szCs w:val="24"/>
              </w:rPr>
              <w:t>223</w:t>
            </w:r>
          </w:p>
        </w:tc>
        <w:tc>
          <w:tcPr>
            <w:tcW w:w="1080" w:type="dxa"/>
          </w:tcPr>
          <w:p w:rsidR="00952EFE" w:rsidP="009262D6" w14:paraId="34B4A819" w14:textId="77777777">
            <w:pPr>
              <w:rPr>
                <w:rFonts w:ascii="Times New Roman" w:hAnsi="Times New Roman"/>
                <w:szCs w:val="24"/>
              </w:rPr>
            </w:pPr>
            <w:r>
              <w:rPr>
                <w:rFonts w:ascii="Times New Roman" w:hAnsi="Times New Roman"/>
                <w:szCs w:val="24"/>
              </w:rPr>
              <w:t>223</w:t>
            </w:r>
          </w:p>
        </w:tc>
        <w:tc>
          <w:tcPr>
            <w:tcW w:w="1170" w:type="dxa"/>
          </w:tcPr>
          <w:p w:rsidR="00952EFE" w:rsidP="009262D6" w14:paraId="11A18833" w14:textId="77777777">
            <w:pPr>
              <w:rPr>
                <w:rFonts w:ascii="Times New Roman" w:hAnsi="Times New Roman"/>
                <w:szCs w:val="24"/>
              </w:rPr>
            </w:pPr>
            <w:r>
              <w:rPr>
                <w:rFonts w:ascii="Times New Roman" w:hAnsi="Times New Roman"/>
                <w:szCs w:val="24"/>
              </w:rPr>
              <w:t>12</w:t>
            </w:r>
          </w:p>
        </w:tc>
        <w:tc>
          <w:tcPr>
            <w:tcW w:w="1350" w:type="dxa"/>
          </w:tcPr>
          <w:p w:rsidR="00952EFE" w:rsidRPr="00442E07" w:rsidP="009262D6" w14:paraId="7CF2BA15" w14:textId="77777777">
            <w:pPr>
              <w:pStyle w:val="EndnoteText"/>
              <w:tabs>
                <w:tab w:val="clear" w:pos="-720"/>
              </w:tabs>
              <w:suppressAutoHyphens w:val="0"/>
              <w:rPr>
                <w:rFonts w:ascii="Times New Roman" w:hAnsi="Times New Roman"/>
                <w:szCs w:val="24"/>
              </w:rPr>
            </w:pPr>
            <w:r>
              <w:rPr>
                <w:rFonts w:ascii="Times New Roman" w:hAnsi="Times New Roman"/>
                <w:szCs w:val="24"/>
              </w:rPr>
              <w:t>2676</w:t>
            </w:r>
          </w:p>
        </w:tc>
        <w:tc>
          <w:tcPr>
            <w:tcW w:w="1440" w:type="dxa"/>
          </w:tcPr>
          <w:p w:rsidR="00952EFE" w:rsidP="009262D6" w14:paraId="06D9A241" w14:textId="77777777">
            <w:pPr>
              <w:rPr>
                <w:rFonts w:ascii="Times New Roman" w:hAnsi="Times New Roman"/>
                <w:szCs w:val="24"/>
              </w:rPr>
            </w:pPr>
            <w:r>
              <w:rPr>
                <w:rFonts w:ascii="Times New Roman" w:hAnsi="Times New Roman"/>
                <w:szCs w:val="24"/>
              </w:rPr>
              <w:t>$45/hr -</w:t>
            </w:r>
          </w:p>
          <w:p w:rsidR="00952EFE" w:rsidP="009262D6" w14:paraId="66325D5F" w14:textId="77777777">
            <w:pPr>
              <w:rPr>
                <w:rFonts w:ascii="Times New Roman" w:hAnsi="Times New Roman"/>
                <w:szCs w:val="24"/>
              </w:rPr>
            </w:pPr>
            <w:r>
              <w:rPr>
                <w:rFonts w:ascii="Times New Roman" w:hAnsi="Times New Roman"/>
                <w:szCs w:val="24"/>
              </w:rPr>
              <w:t>professional</w:t>
            </w:r>
          </w:p>
          <w:p w:rsidR="00952EFE" w:rsidP="009262D6" w14:paraId="3534E379" w14:textId="77777777">
            <w:pPr>
              <w:rPr>
                <w:rFonts w:ascii="Times New Roman" w:hAnsi="Times New Roman"/>
                <w:szCs w:val="24"/>
              </w:rPr>
            </w:pPr>
            <w:r>
              <w:rPr>
                <w:rFonts w:ascii="Times New Roman" w:hAnsi="Times New Roman"/>
                <w:szCs w:val="24"/>
              </w:rPr>
              <w:t>$15/hr –</w:t>
            </w:r>
          </w:p>
          <w:p w:rsidR="00952EFE" w:rsidRPr="00442E07" w:rsidP="009262D6" w14:paraId="49076A41" w14:textId="77777777">
            <w:pPr>
              <w:rPr>
                <w:rFonts w:ascii="Times New Roman" w:hAnsi="Times New Roman"/>
                <w:szCs w:val="24"/>
              </w:rPr>
            </w:pPr>
            <w:r>
              <w:rPr>
                <w:rFonts w:ascii="Times New Roman" w:hAnsi="Times New Roman"/>
                <w:szCs w:val="24"/>
              </w:rPr>
              <w:t xml:space="preserve">Clerical </w:t>
            </w:r>
          </w:p>
        </w:tc>
        <w:tc>
          <w:tcPr>
            <w:tcW w:w="1530" w:type="dxa"/>
          </w:tcPr>
          <w:p w:rsidR="00952EFE" w:rsidP="009262D6" w14:paraId="3C841C86" w14:textId="77777777">
            <w:pPr>
              <w:rPr>
                <w:rFonts w:ascii="Times New Roman" w:hAnsi="Times New Roman"/>
                <w:szCs w:val="24"/>
              </w:rPr>
            </w:pPr>
            <w:r>
              <w:rPr>
                <w:rFonts w:ascii="Times New Roman" w:hAnsi="Times New Roman"/>
                <w:szCs w:val="24"/>
              </w:rPr>
              <w:t>$60,210 +</w:t>
            </w:r>
          </w:p>
          <w:p w:rsidR="00952EFE" w:rsidP="009262D6" w14:paraId="33472383" w14:textId="77777777">
            <w:pPr>
              <w:rPr>
                <w:rFonts w:ascii="Times New Roman" w:hAnsi="Times New Roman"/>
                <w:szCs w:val="24"/>
              </w:rPr>
            </w:pPr>
            <w:r>
              <w:rPr>
                <w:rFonts w:ascii="Times New Roman" w:hAnsi="Times New Roman"/>
                <w:szCs w:val="24"/>
              </w:rPr>
              <w:t>$20,070 =</w:t>
            </w:r>
          </w:p>
          <w:p w:rsidR="00952EFE" w:rsidP="009262D6" w14:paraId="4B2A2278" w14:textId="77777777">
            <w:pPr>
              <w:rPr>
                <w:rFonts w:ascii="Times New Roman" w:hAnsi="Times New Roman"/>
                <w:szCs w:val="24"/>
              </w:rPr>
            </w:pPr>
          </w:p>
          <w:p w:rsidR="00952EFE" w:rsidRPr="00442E07" w:rsidP="009262D6" w14:paraId="2A79332E" w14:textId="77777777">
            <w:pPr>
              <w:rPr>
                <w:rFonts w:ascii="Times New Roman" w:hAnsi="Times New Roman"/>
                <w:szCs w:val="24"/>
              </w:rPr>
            </w:pPr>
            <w:r>
              <w:rPr>
                <w:rFonts w:ascii="Times New Roman" w:hAnsi="Times New Roman"/>
                <w:szCs w:val="24"/>
              </w:rPr>
              <w:t>$80,280</w:t>
            </w:r>
          </w:p>
        </w:tc>
      </w:tr>
      <w:tr w14:paraId="4CC213FB" w14:textId="77777777" w:rsidTr="009262D6">
        <w:tblPrEx>
          <w:tblW w:w="11515" w:type="dxa"/>
          <w:tblLayout w:type="fixed"/>
          <w:tblLook w:val="0020"/>
        </w:tblPrEx>
        <w:tc>
          <w:tcPr>
            <w:tcW w:w="1345" w:type="dxa"/>
          </w:tcPr>
          <w:p w:rsidR="00952EFE" w:rsidP="009262D6" w14:paraId="3F916C8F" w14:textId="77777777">
            <w:pPr>
              <w:rPr>
                <w:rFonts w:ascii="Times New Roman" w:hAnsi="Times New Roman"/>
                <w:szCs w:val="24"/>
              </w:rPr>
            </w:pPr>
            <w:r>
              <w:rPr>
                <w:rFonts w:ascii="Times New Roman" w:hAnsi="Times New Roman"/>
                <w:szCs w:val="24"/>
              </w:rPr>
              <w:t>FPR – Private</w:t>
            </w:r>
          </w:p>
        </w:tc>
        <w:tc>
          <w:tcPr>
            <w:tcW w:w="1170" w:type="dxa"/>
          </w:tcPr>
          <w:p w:rsidR="00952EFE" w:rsidRPr="00442E07" w:rsidP="009262D6" w14:paraId="48FE8AE8" w14:textId="77777777">
            <w:pPr>
              <w:rPr>
                <w:rFonts w:ascii="Times New Roman" w:hAnsi="Times New Roman"/>
                <w:szCs w:val="24"/>
              </w:rPr>
            </w:pPr>
            <w:r>
              <w:rPr>
                <w:rFonts w:ascii="Times New Roman" w:hAnsi="Times New Roman"/>
              </w:rPr>
              <w:t>NA</w:t>
            </w:r>
          </w:p>
        </w:tc>
        <w:tc>
          <w:tcPr>
            <w:tcW w:w="1170" w:type="dxa"/>
          </w:tcPr>
          <w:p w:rsidR="00952EFE" w:rsidRPr="00442E07" w:rsidP="009262D6" w14:paraId="6823C1C4" w14:textId="77777777">
            <w:pPr>
              <w:rPr>
                <w:rFonts w:ascii="Times New Roman" w:hAnsi="Times New Roman"/>
                <w:szCs w:val="24"/>
              </w:rPr>
            </w:pPr>
            <w:r>
              <w:rPr>
                <w:rFonts w:ascii="Times New Roman" w:hAnsi="Times New Roman"/>
              </w:rPr>
              <w:t>NA</w:t>
            </w:r>
          </w:p>
        </w:tc>
        <w:tc>
          <w:tcPr>
            <w:tcW w:w="1260" w:type="dxa"/>
          </w:tcPr>
          <w:p w:rsidR="00952EFE" w:rsidP="009262D6" w14:paraId="3ECD7417" w14:textId="77777777">
            <w:pPr>
              <w:rPr>
                <w:rFonts w:ascii="Times New Roman" w:hAnsi="Times New Roman"/>
                <w:szCs w:val="24"/>
              </w:rPr>
            </w:pPr>
            <w:r>
              <w:rPr>
                <w:rFonts w:ascii="Times New Roman" w:hAnsi="Times New Roman"/>
                <w:szCs w:val="24"/>
              </w:rPr>
              <w:t>68</w:t>
            </w:r>
          </w:p>
        </w:tc>
        <w:tc>
          <w:tcPr>
            <w:tcW w:w="1080" w:type="dxa"/>
          </w:tcPr>
          <w:p w:rsidR="00952EFE" w:rsidP="009262D6" w14:paraId="6AEB61CE" w14:textId="77777777">
            <w:pPr>
              <w:rPr>
                <w:rFonts w:ascii="Times New Roman" w:hAnsi="Times New Roman"/>
                <w:szCs w:val="24"/>
              </w:rPr>
            </w:pPr>
            <w:r>
              <w:rPr>
                <w:rFonts w:ascii="Times New Roman" w:hAnsi="Times New Roman"/>
                <w:szCs w:val="24"/>
              </w:rPr>
              <w:t>68</w:t>
            </w:r>
          </w:p>
        </w:tc>
        <w:tc>
          <w:tcPr>
            <w:tcW w:w="1170" w:type="dxa"/>
          </w:tcPr>
          <w:p w:rsidR="00952EFE" w:rsidP="009262D6" w14:paraId="631418AA" w14:textId="77777777">
            <w:pPr>
              <w:rPr>
                <w:rFonts w:ascii="Times New Roman" w:hAnsi="Times New Roman"/>
                <w:szCs w:val="24"/>
              </w:rPr>
            </w:pPr>
            <w:r>
              <w:rPr>
                <w:rFonts w:ascii="Times New Roman" w:hAnsi="Times New Roman"/>
                <w:szCs w:val="24"/>
              </w:rPr>
              <w:t>12</w:t>
            </w:r>
          </w:p>
        </w:tc>
        <w:tc>
          <w:tcPr>
            <w:tcW w:w="1350" w:type="dxa"/>
          </w:tcPr>
          <w:p w:rsidR="00952EFE" w:rsidRPr="00442E07" w:rsidP="009262D6" w14:paraId="15032347" w14:textId="77777777">
            <w:pPr>
              <w:pStyle w:val="EndnoteText"/>
              <w:tabs>
                <w:tab w:val="clear" w:pos="-720"/>
              </w:tabs>
              <w:suppressAutoHyphens w:val="0"/>
              <w:rPr>
                <w:rFonts w:ascii="Times New Roman" w:hAnsi="Times New Roman"/>
                <w:szCs w:val="24"/>
              </w:rPr>
            </w:pPr>
            <w:r>
              <w:rPr>
                <w:rFonts w:ascii="Times New Roman" w:hAnsi="Times New Roman"/>
                <w:szCs w:val="24"/>
              </w:rPr>
              <w:t>816</w:t>
            </w:r>
          </w:p>
        </w:tc>
        <w:tc>
          <w:tcPr>
            <w:tcW w:w="1440" w:type="dxa"/>
          </w:tcPr>
          <w:p w:rsidR="00952EFE" w:rsidP="009262D6" w14:paraId="346D1563" w14:textId="77777777">
            <w:pPr>
              <w:rPr>
                <w:rFonts w:ascii="Times New Roman" w:hAnsi="Times New Roman"/>
                <w:szCs w:val="24"/>
              </w:rPr>
            </w:pPr>
            <w:r>
              <w:rPr>
                <w:rFonts w:ascii="Times New Roman" w:hAnsi="Times New Roman"/>
                <w:szCs w:val="24"/>
              </w:rPr>
              <w:t>$45/hr -</w:t>
            </w:r>
          </w:p>
          <w:p w:rsidR="00952EFE" w:rsidP="009262D6" w14:paraId="57DA5273" w14:textId="77777777">
            <w:pPr>
              <w:rPr>
                <w:rFonts w:ascii="Times New Roman" w:hAnsi="Times New Roman"/>
                <w:szCs w:val="24"/>
              </w:rPr>
            </w:pPr>
            <w:r>
              <w:rPr>
                <w:rFonts w:ascii="Times New Roman" w:hAnsi="Times New Roman"/>
                <w:szCs w:val="24"/>
              </w:rPr>
              <w:t>professional</w:t>
            </w:r>
          </w:p>
          <w:p w:rsidR="00952EFE" w:rsidP="009262D6" w14:paraId="6D99FDA9" w14:textId="77777777">
            <w:pPr>
              <w:rPr>
                <w:rFonts w:ascii="Times New Roman" w:hAnsi="Times New Roman"/>
                <w:szCs w:val="24"/>
              </w:rPr>
            </w:pPr>
            <w:r>
              <w:rPr>
                <w:rFonts w:ascii="Times New Roman" w:hAnsi="Times New Roman"/>
                <w:szCs w:val="24"/>
              </w:rPr>
              <w:t>$15/hr –</w:t>
            </w:r>
          </w:p>
          <w:p w:rsidR="00952EFE" w:rsidRPr="00442E07" w:rsidP="009262D6" w14:paraId="47A52E36" w14:textId="77777777">
            <w:pPr>
              <w:rPr>
                <w:rFonts w:ascii="Times New Roman" w:hAnsi="Times New Roman"/>
                <w:szCs w:val="24"/>
              </w:rPr>
            </w:pPr>
            <w:r>
              <w:rPr>
                <w:rFonts w:ascii="Times New Roman" w:hAnsi="Times New Roman"/>
                <w:szCs w:val="24"/>
              </w:rPr>
              <w:t xml:space="preserve">Clerical </w:t>
            </w:r>
          </w:p>
        </w:tc>
        <w:tc>
          <w:tcPr>
            <w:tcW w:w="1530" w:type="dxa"/>
          </w:tcPr>
          <w:p w:rsidR="00952EFE" w:rsidP="009262D6" w14:paraId="26EAA429" w14:textId="77777777">
            <w:pPr>
              <w:rPr>
                <w:rFonts w:ascii="Times New Roman" w:hAnsi="Times New Roman"/>
                <w:szCs w:val="24"/>
              </w:rPr>
            </w:pPr>
            <w:r>
              <w:rPr>
                <w:rFonts w:ascii="Times New Roman" w:hAnsi="Times New Roman"/>
                <w:szCs w:val="24"/>
              </w:rPr>
              <w:t>$18,360 +</w:t>
            </w:r>
          </w:p>
          <w:p w:rsidR="00952EFE" w:rsidP="009262D6" w14:paraId="12A88ADF" w14:textId="77777777">
            <w:pPr>
              <w:rPr>
                <w:rFonts w:ascii="Times New Roman" w:hAnsi="Times New Roman"/>
                <w:szCs w:val="24"/>
              </w:rPr>
            </w:pPr>
            <w:r>
              <w:rPr>
                <w:rFonts w:ascii="Times New Roman" w:hAnsi="Times New Roman"/>
                <w:szCs w:val="24"/>
              </w:rPr>
              <w:t>$6,120 =</w:t>
            </w:r>
          </w:p>
          <w:p w:rsidR="00952EFE" w:rsidP="009262D6" w14:paraId="66E4358C" w14:textId="77777777">
            <w:pPr>
              <w:rPr>
                <w:rFonts w:ascii="Times New Roman" w:hAnsi="Times New Roman"/>
                <w:szCs w:val="24"/>
              </w:rPr>
            </w:pPr>
          </w:p>
          <w:p w:rsidR="00952EFE" w:rsidRPr="00442E07" w:rsidP="009262D6" w14:paraId="5BE71FF6" w14:textId="77777777">
            <w:pPr>
              <w:rPr>
                <w:rFonts w:ascii="Times New Roman" w:hAnsi="Times New Roman"/>
                <w:szCs w:val="24"/>
              </w:rPr>
            </w:pPr>
            <w:r>
              <w:rPr>
                <w:rFonts w:ascii="Times New Roman" w:hAnsi="Times New Roman"/>
                <w:szCs w:val="24"/>
              </w:rPr>
              <w:t>$24,480</w:t>
            </w:r>
          </w:p>
        </w:tc>
      </w:tr>
      <w:tr w14:paraId="170A2CB1" w14:textId="77777777" w:rsidTr="009262D6">
        <w:tblPrEx>
          <w:tblW w:w="11515" w:type="dxa"/>
          <w:tblLayout w:type="fixed"/>
          <w:tblLook w:val="0020"/>
        </w:tblPrEx>
        <w:tc>
          <w:tcPr>
            <w:tcW w:w="1345" w:type="dxa"/>
          </w:tcPr>
          <w:p w:rsidR="00952EFE" w:rsidP="009262D6" w14:paraId="4C856870" w14:textId="77777777">
            <w:pPr>
              <w:rPr>
                <w:rFonts w:ascii="Times New Roman" w:hAnsi="Times New Roman"/>
                <w:szCs w:val="24"/>
              </w:rPr>
            </w:pPr>
            <w:r>
              <w:rPr>
                <w:rFonts w:ascii="Times New Roman" w:hAnsi="Times New Roman"/>
                <w:szCs w:val="24"/>
              </w:rPr>
              <w:t>Supplemental – Public</w:t>
            </w:r>
          </w:p>
        </w:tc>
        <w:tc>
          <w:tcPr>
            <w:tcW w:w="1170" w:type="dxa"/>
          </w:tcPr>
          <w:p w:rsidR="00952EFE" w:rsidRPr="00442E07" w:rsidP="009262D6" w14:paraId="35046BE0" w14:textId="77777777">
            <w:pPr>
              <w:rPr>
                <w:rFonts w:ascii="Times New Roman" w:hAnsi="Times New Roman"/>
                <w:szCs w:val="24"/>
              </w:rPr>
            </w:pPr>
            <w:r>
              <w:rPr>
                <w:rFonts w:ascii="Times New Roman" w:hAnsi="Times New Roman"/>
              </w:rPr>
              <w:t>NA</w:t>
            </w:r>
          </w:p>
        </w:tc>
        <w:tc>
          <w:tcPr>
            <w:tcW w:w="1170" w:type="dxa"/>
          </w:tcPr>
          <w:p w:rsidR="00952EFE" w:rsidRPr="00442E07" w:rsidP="009262D6" w14:paraId="05AB4C64" w14:textId="77777777">
            <w:pPr>
              <w:rPr>
                <w:rFonts w:ascii="Times New Roman" w:hAnsi="Times New Roman"/>
                <w:szCs w:val="24"/>
              </w:rPr>
            </w:pPr>
            <w:r>
              <w:rPr>
                <w:rFonts w:ascii="Times New Roman" w:hAnsi="Times New Roman"/>
              </w:rPr>
              <w:t>NA</w:t>
            </w:r>
          </w:p>
        </w:tc>
        <w:tc>
          <w:tcPr>
            <w:tcW w:w="1260" w:type="dxa"/>
          </w:tcPr>
          <w:p w:rsidR="00952EFE" w:rsidP="009262D6" w14:paraId="179E4DE8" w14:textId="77777777">
            <w:pPr>
              <w:rPr>
                <w:rFonts w:ascii="Times New Roman" w:hAnsi="Times New Roman"/>
                <w:szCs w:val="24"/>
              </w:rPr>
            </w:pPr>
            <w:r>
              <w:rPr>
                <w:rFonts w:ascii="Times New Roman" w:hAnsi="Times New Roman"/>
                <w:szCs w:val="24"/>
              </w:rPr>
              <w:t>223</w:t>
            </w:r>
          </w:p>
        </w:tc>
        <w:tc>
          <w:tcPr>
            <w:tcW w:w="1080" w:type="dxa"/>
          </w:tcPr>
          <w:p w:rsidR="00952EFE" w:rsidP="009262D6" w14:paraId="2F1F6BE3" w14:textId="77777777">
            <w:pPr>
              <w:rPr>
                <w:rFonts w:ascii="Times New Roman" w:hAnsi="Times New Roman"/>
                <w:szCs w:val="24"/>
              </w:rPr>
            </w:pPr>
            <w:r>
              <w:rPr>
                <w:rFonts w:ascii="Times New Roman" w:hAnsi="Times New Roman"/>
                <w:szCs w:val="24"/>
              </w:rPr>
              <w:t>223</w:t>
            </w:r>
          </w:p>
        </w:tc>
        <w:tc>
          <w:tcPr>
            <w:tcW w:w="1170" w:type="dxa"/>
          </w:tcPr>
          <w:p w:rsidR="00952EFE" w:rsidP="009262D6" w14:paraId="637ABC8E" w14:textId="77777777">
            <w:pPr>
              <w:rPr>
                <w:rFonts w:ascii="Times New Roman" w:hAnsi="Times New Roman"/>
                <w:szCs w:val="24"/>
              </w:rPr>
            </w:pPr>
            <w:r>
              <w:rPr>
                <w:rFonts w:ascii="Times New Roman" w:hAnsi="Times New Roman"/>
                <w:szCs w:val="24"/>
              </w:rPr>
              <w:t>11</w:t>
            </w:r>
          </w:p>
        </w:tc>
        <w:tc>
          <w:tcPr>
            <w:tcW w:w="1350" w:type="dxa"/>
          </w:tcPr>
          <w:p w:rsidR="00952EFE" w:rsidRPr="00442E07" w:rsidP="009262D6" w14:paraId="76A06C4C" w14:textId="77777777">
            <w:pPr>
              <w:pStyle w:val="EndnoteText"/>
              <w:tabs>
                <w:tab w:val="clear" w:pos="-720"/>
              </w:tabs>
              <w:suppressAutoHyphens w:val="0"/>
              <w:rPr>
                <w:rFonts w:ascii="Times New Roman" w:hAnsi="Times New Roman"/>
                <w:szCs w:val="24"/>
              </w:rPr>
            </w:pPr>
            <w:r>
              <w:rPr>
                <w:rFonts w:ascii="Times New Roman" w:hAnsi="Times New Roman"/>
                <w:szCs w:val="24"/>
              </w:rPr>
              <w:t>2453</w:t>
            </w:r>
          </w:p>
        </w:tc>
        <w:tc>
          <w:tcPr>
            <w:tcW w:w="1440" w:type="dxa"/>
          </w:tcPr>
          <w:p w:rsidR="00952EFE" w:rsidP="009262D6" w14:paraId="0367A237" w14:textId="77777777">
            <w:pPr>
              <w:rPr>
                <w:rFonts w:ascii="Times New Roman" w:hAnsi="Times New Roman"/>
                <w:szCs w:val="24"/>
              </w:rPr>
            </w:pPr>
            <w:r>
              <w:rPr>
                <w:rFonts w:ascii="Times New Roman" w:hAnsi="Times New Roman"/>
                <w:szCs w:val="24"/>
              </w:rPr>
              <w:t>$45/hr -</w:t>
            </w:r>
          </w:p>
          <w:p w:rsidR="00952EFE" w:rsidP="009262D6" w14:paraId="39C6BC2C" w14:textId="77777777">
            <w:pPr>
              <w:rPr>
                <w:rFonts w:ascii="Times New Roman" w:hAnsi="Times New Roman"/>
                <w:szCs w:val="24"/>
              </w:rPr>
            </w:pPr>
            <w:r>
              <w:rPr>
                <w:rFonts w:ascii="Times New Roman" w:hAnsi="Times New Roman"/>
                <w:szCs w:val="24"/>
              </w:rPr>
              <w:t>professional</w:t>
            </w:r>
          </w:p>
          <w:p w:rsidR="00952EFE" w:rsidP="009262D6" w14:paraId="182DB390" w14:textId="77777777">
            <w:pPr>
              <w:rPr>
                <w:rFonts w:ascii="Times New Roman" w:hAnsi="Times New Roman"/>
                <w:szCs w:val="24"/>
              </w:rPr>
            </w:pPr>
            <w:r>
              <w:rPr>
                <w:rFonts w:ascii="Times New Roman" w:hAnsi="Times New Roman"/>
                <w:szCs w:val="24"/>
              </w:rPr>
              <w:t>$15/hr –</w:t>
            </w:r>
          </w:p>
          <w:p w:rsidR="00952EFE" w:rsidRPr="00442E07" w:rsidP="009262D6" w14:paraId="2C4E4B0B" w14:textId="77777777">
            <w:pPr>
              <w:rPr>
                <w:rFonts w:ascii="Times New Roman" w:hAnsi="Times New Roman"/>
                <w:szCs w:val="24"/>
              </w:rPr>
            </w:pPr>
            <w:r>
              <w:rPr>
                <w:rFonts w:ascii="Times New Roman" w:hAnsi="Times New Roman"/>
                <w:szCs w:val="24"/>
              </w:rPr>
              <w:t xml:space="preserve">Clerical </w:t>
            </w:r>
          </w:p>
        </w:tc>
        <w:tc>
          <w:tcPr>
            <w:tcW w:w="1530" w:type="dxa"/>
          </w:tcPr>
          <w:p w:rsidR="00952EFE" w:rsidP="009262D6" w14:paraId="52A1B385" w14:textId="77777777">
            <w:pPr>
              <w:rPr>
                <w:rFonts w:ascii="Times New Roman" w:hAnsi="Times New Roman"/>
                <w:szCs w:val="24"/>
              </w:rPr>
            </w:pPr>
            <w:r>
              <w:rPr>
                <w:rFonts w:ascii="Times New Roman" w:hAnsi="Times New Roman"/>
                <w:szCs w:val="24"/>
              </w:rPr>
              <w:t>$55,215 +</w:t>
            </w:r>
          </w:p>
          <w:p w:rsidR="00952EFE" w:rsidP="009262D6" w14:paraId="2070DCF2" w14:textId="77777777">
            <w:pPr>
              <w:rPr>
                <w:rFonts w:ascii="Times New Roman" w:hAnsi="Times New Roman"/>
                <w:szCs w:val="24"/>
              </w:rPr>
            </w:pPr>
            <w:r>
              <w:rPr>
                <w:rFonts w:ascii="Times New Roman" w:hAnsi="Times New Roman"/>
                <w:szCs w:val="24"/>
              </w:rPr>
              <w:t>$18,390 =</w:t>
            </w:r>
          </w:p>
          <w:p w:rsidR="00952EFE" w:rsidP="009262D6" w14:paraId="24D8EB69" w14:textId="77777777">
            <w:pPr>
              <w:rPr>
                <w:rFonts w:ascii="Times New Roman" w:hAnsi="Times New Roman"/>
                <w:szCs w:val="24"/>
              </w:rPr>
            </w:pPr>
          </w:p>
          <w:p w:rsidR="00952EFE" w:rsidRPr="00442E07" w:rsidP="009262D6" w14:paraId="30CBD72A" w14:textId="77777777">
            <w:pPr>
              <w:rPr>
                <w:rFonts w:ascii="Times New Roman" w:hAnsi="Times New Roman"/>
                <w:szCs w:val="24"/>
              </w:rPr>
            </w:pPr>
            <w:r>
              <w:rPr>
                <w:rFonts w:ascii="Times New Roman" w:hAnsi="Times New Roman"/>
                <w:szCs w:val="24"/>
              </w:rPr>
              <w:t>$73,605</w:t>
            </w:r>
          </w:p>
        </w:tc>
      </w:tr>
      <w:tr w14:paraId="4CAA5D0D" w14:textId="77777777" w:rsidTr="009262D6">
        <w:tblPrEx>
          <w:tblW w:w="11515" w:type="dxa"/>
          <w:tblLayout w:type="fixed"/>
          <w:tblLook w:val="0020"/>
        </w:tblPrEx>
        <w:tc>
          <w:tcPr>
            <w:tcW w:w="1345" w:type="dxa"/>
          </w:tcPr>
          <w:p w:rsidR="00952EFE" w:rsidP="009262D6" w14:paraId="7C61523F" w14:textId="77777777">
            <w:pPr>
              <w:rPr>
                <w:rFonts w:ascii="Times New Roman" w:hAnsi="Times New Roman"/>
                <w:szCs w:val="24"/>
              </w:rPr>
            </w:pPr>
            <w:r>
              <w:rPr>
                <w:rFonts w:ascii="Times New Roman" w:hAnsi="Times New Roman"/>
                <w:szCs w:val="24"/>
              </w:rPr>
              <w:t>Supplemental - Private</w:t>
            </w:r>
          </w:p>
        </w:tc>
        <w:tc>
          <w:tcPr>
            <w:tcW w:w="1170" w:type="dxa"/>
          </w:tcPr>
          <w:p w:rsidR="00952EFE" w:rsidRPr="00442E07" w:rsidP="009262D6" w14:paraId="3C9D33D2" w14:textId="77777777">
            <w:pPr>
              <w:rPr>
                <w:rFonts w:ascii="Times New Roman" w:hAnsi="Times New Roman"/>
                <w:szCs w:val="24"/>
              </w:rPr>
            </w:pPr>
            <w:r>
              <w:rPr>
                <w:rFonts w:ascii="Times New Roman" w:hAnsi="Times New Roman"/>
              </w:rPr>
              <w:t>NA</w:t>
            </w:r>
          </w:p>
        </w:tc>
        <w:tc>
          <w:tcPr>
            <w:tcW w:w="1170" w:type="dxa"/>
          </w:tcPr>
          <w:p w:rsidR="00952EFE" w:rsidRPr="00442E07" w:rsidP="009262D6" w14:paraId="75D9DFB8" w14:textId="77777777">
            <w:pPr>
              <w:rPr>
                <w:rFonts w:ascii="Times New Roman" w:hAnsi="Times New Roman"/>
                <w:szCs w:val="24"/>
              </w:rPr>
            </w:pPr>
            <w:r>
              <w:rPr>
                <w:rFonts w:ascii="Times New Roman" w:hAnsi="Times New Roman"/>
              </w:rPr>
              <w:t>NA</w:t>
            </w:r>
          </w:p>
        </w:tc>
        <w:tc>
          <w:tcPr>
            <w:tcW w:w="1260" w:type="dxa"/>
          </w:tcPr>
          <w:p w:rsidR="00952EFE" w:rsidP="009262D6" w14:paraId="42688D48" w14:textId="77777777">
            <w:pPr>
              <w:rPr>
                <w:rFonts w:ascii="Times New Roman" w:hAnsi="Times New Roman"/>
                <w:szCs w:val="24"/>
              </w:rPr>
            </w:pPr>
            <w:r>
              <w:rPr>
                <w:rFonts w:ascii="Times New Roman" w:hAnsi="Times New Roman"/>
                <w:szCs w:val="24"/>
              </w:rPr>
              <w:t>68</w:t>
            </w:r>
          </w:p>
        </w:tc>
        <w:tc>
          <w:tcPr>
            <w:tcW w:w="1080" w:type="dxa"/>
          </w:tcPr>
          <w:p w:rsidR="00952EFE" w:rsidP="009262D6" w14:paraId="4000CB50" w14:textId="77777777">
            <w:pPr>
              <w:rPr>
                <w:rFonts w:ascii="Times New Roman" w:hAnsi="Times New Roman"/>
                <w:szCs w:val="24"/>
              </w:rPr>
            </w:pPr>
            <w:r>
              <w:rPr>
                <w:rFonts w:ascii="Times New Roman" w:hAnsi="Times New Roman"/>
                <w:szCs w:val="24"/>
              </w:rPr>
              <w:t>68</w:t>
            </w:r>
          </w:p>
        </w:tc>
        <w:tc>
          <w:tcPr>
            <w:tcW w:w="1170" w:type="dxa"/>
          </w:tcPr>
          <w:p w:rsidR="00952EFE" w:rsidP="009262D6" w14:paraId="798492D4" w14:textId="77777777">
            <w:pPr>
              <w:rPr>
                <w:rFonts w:ascii="Times New Roman" w:hAnsi="Times New Roman"/>
                <w:szCs w:val="24"/>
              </w:rPr>
            </w:pPr>
            <w:r>
              <w:rPr>
                <w:rFonts w:ascii="Times New Roman" w:hAnsi="Times New Roman"/>
                <w:szCs w:val="24"/>
              </w:rPr>
              <w:t>11</w:t>
            </w:r>
          </w:p>
        </w:tc>
        <w:tc>
          <w:tcPr>
            <w:tcW w:w="1350" w:type="dxa"/>
          </w:tcPr>
          <w:p w:rsidR="00952EFE" w:rsidRPr="00442E07" w:rsidP="009262D6" w14:paraId="6E01B5E4" w14:textId="77777777">
            <w:pPr>
              <w:pStyle w:val="EndnoteText"/>
              <w:tabs>
                <w:tab w:val="clear" w:pos="-720"/>
              </w:tabs>
              <w:suppressAutoHyphens w:val="0"/>
              <w:rPr>
                <w:rFonts w:ascii="Times New Roman" w:hAnsi="Times New Roman"/>
                <w:szCs w:val="24"/>
              </w:rPr>
            </w:pPr>
            <w:r>
              <w:rPr>
                <w:rFonts w:ascii="Times New Roman" w:hAnsi="Times New Roman"/>
                <w:szCs w:val="24"/>
              </w:rPr>
              <w:t>748</w:t>
            </w:r>
          </w:p>
        </w:tc>
        <w:tc>
          <w:tcPr>
            <w:tcW w:w="1440" w:type="dxa"/>
          </w:tcPr>
          <w:p w:rsidR="00952EFE" w:rsidP="009262D6" w14:paraId="52ABD4CD" w14:textId="77777777">
            <w:pPr>
              <w:rPr>
                <w:rFonts w:ascii="Times New Roman" w:hAnsi="Times New Roman"/>
                <w:szCs w:val="24"/>
              </w:rPr>
            </w:pPr>
            <w:r>
              <w:rPr>
                <w:rFonts w:ascii="Times New Roman" w:hAnsi="Times New Roman"/>
                <w:szCs w:val="24"/>
              </w:rPr>
              <w:t>$45/hr -</w:t>
            </w:r>
          </w:p>
          <w:p w:rsidR="00952EFE" w:rsidP="009262D6" w14:paraId="250FA8BF" w14:textId="77777777">
            <w:pPr>
              <w:rPr>
                <w:rFonts w:ascii="Times New Roman" w:hAnsi="Times New Roman"/>
                <w:szCs w:val="24"/>
              </w:rPr>
            </w:pPr>
            <w:r>
              <w:rPr>
                <w:rFonts w:ascii="Times New Roman" w:hAnsi="Times New Roman"/>
                <w:szCs w:val="24"/>
              </w:rPr>
              <w:t>professional</w:t>
            </w:r>
          </w:p>
          <w:p w:rsidR="00952EFE" w:rsidP="009262D6" w14:paraId="64C96CEB" w14:textId="77777777">
            <w:pPr>
              <w:rPr>
                <w:rFonts w:ascii="Times New Roman" w:hAnsi="Times New Roman"/>
                <w:szCs w:val="24"/>
              </w:rPr>
            </w:pPr>
            <w:r>
              <w:rPr>
                <w:rFonts w:ascii="Times New Roman" w:hAnsi="Times New Roman"/>
                <w:szCs w:val="24"/>
              </w:rPr>
              <w:t>$15/hr –</w:t>
            </w:r>
          </w:p>
          <w:p w:rsidR="00952EFE" w:rsidRPr="00442E07" w:rsidP="009262D6" w14:paraId="1E6462CB" w14:textId="77777777">
            <w:pPr>
              <w:rPr>
                <w:rFonts w:ascii="Times New Roman" w:hAnsi="Times New Roman"/>
                <w:szCs w:val="24"/>
              </w:rPr>
            </w:pPr>
            <w:r>
              <w:rPr>
                <w:rFonts w:ascii="Times New Roman" w:hAnsi="Times New Roman"/>
                <w:szCs w:val="24"/>
              </w:rPr>
              <w:t xml:space="preserve">Clerical </w:t>
            </w:r>
          </w:p>
        </w:tc>
        <w:tc>
          <w:tcPr>
            <w:tcW w:w="1530" w:type="dxa"/>
          </w:tcPr>
          <w:p w:rsidR="00952EFE" w:rsidP="009262D6" w14:paraId="0C2EBD0C" w14:textId="77777777">
            <w:pPr>
              <w:rPr>
                <w:rFonts w:ascii="Times New Roman" w:hAnsi="Times New Roman"/>
                <w:szCs w:val="24"/>
              </w:rPr>
            </w:pPr>
            <w:r>
              <w:rPr>
                <w:rFonts w:ascii="Times New Roman" w:hAnsi="Times New Roman"/>
                <w:szCs w:val="24"/>
              </w:rPr>
              <w:t>$16,830 +</w:t>
            </w:r>
          </w:p>
          <w:p w:rsidR="00952EFE" w:rsidP="009262D6" w14:paraId="78172AC8" w14:textId="77777777">
            <w:pPr>
              <w:rPr>
                <w:rFonts w:ascii="Times New Roman" w:hAnsi="Times New Roman"/>
                <w:szCs w:val="24"/>
              </w:rPr>
            </w:pPr>
            <w:r>
              <w:rPr>
                <w:rFonts w:ascii="Times New Roman" w:hAnsi="Times New Roman"/>
                <w:szCs w:val="24"/>
              </w:rPr>
              <w:t>$5,610 =</w:t>
            </w:r>
          </w:p>
          <w:p w:rsidR="00952EFE" w:rsidP="009262D6" w14:paraId="2BD1280E" w14:textId="77777777">
            <w:pPr>
              <w:rPr>
                <w:rFonts w:ascii="Times New Roman" w:hAnsi="Times New Roman"/>
                <w:szCs w:val="24"/>
              </w:rPr>
            </w:pPr>
          </w:p>
          <w:p w:rsidR="00952EFE" w:rsidRPr="00442E07" w:rsidP="009262D6" w14:paraId="11FA5C0F" w14:textId="77777777">
            <w:pPr>
              <w:rPr>
                <w:rFonts w:ascii="Times New Roman" w:hAnsi="Times New Roman"/>
                <w:szCs w:val="24"/>
              </w:rPr>
            </w:pPr>
            <w:r>
              <w:rPr>
                <w:rFonts w:ascii="Times New Roman" w:hAnsi="Times New Roman"/>
                <w:szCs w:val="24"/>
              </w:rPr>
              <w:t>$22,440</w:t>
            </w:r>
          </w:p>
        </w:tc>
      </w:tr>
      <w:tr w14:paraId="572A8B3E" w14:textId="77777777" w:rsidTr="009262D6">
        <w:tblPrEx>
          <w:tblW w:w="11515" w:type="dxa"/>
          <w:tblLayout w:type="fixed"/>
          <w:tblLook w:val="0020"/>
        </w:tblPrEx>
        <w:trPr>
          <w:trHeight w:val="1374"/>
        </w:trPr>
        <w:tc>
          <w:tcPr>
            <w:tcW w:w="1345" w:type="dxa"/>
          </w:tcPr>
          <w:p w:rsidR="00952EFE" w:rsidP="009262D6" w14:paraId="3EC09F01" w14:textId="77777777">
            <w:pPr>
              <w:rPr>
                <w:rFonts w:ascii="Times New Roman" w:hAnsi="Times New Roman"/>
                <w:szCs w:val="24"/>
              </w:rPr>
            </w:pPr>
            <w:r>
              <w:rPr>
                <w:rFonts w:ascii="Times New Roman" w:hAnsi="Times New Roman"/>
                <w:szCs w:val="24"/>
              </w:rPr>
              <w:t>Average Annualized Totals</w:t>
            </w:r>
          </w:p>
          <w:p w:rsidR="00952EFE" w:rsidP="009262D6" w14:paraId="7EA0B6B0" w14:textId="77777777">
            <w:pPr>
              <w:jc w:val="center"/>
              <w:rPr>
                <w:rFonts w:ascii="Times New Roman" w:hAnsi="Times New Roman"/>
                <w:szCs w:val="24"/>
              </w:rPr>
            </w:pPr>
            <w:r>
              <w:rPr>
                <w:rFonts w:ascii="Times New Roman" w:hAnsi="Times New Roman"/>
                <w:szCs w:val="24"/>
              </w:rPr>
              <w:t>Public</w:t>
            </w:r>
          </w:p>
          <w:p w:rsidR="00952EFE" w:rsidP="009262D6" w14:paraId="768D6928" w14:textId="77777777">
            <w:pPr>
              <w:jc w:val="center"/>
              <w:rPr>
                <w:rFonts w:ascii="Times New Roman" w:hAnsi="Times New Roman"/>
                <w:szCs w:val="24"/>
              </w:rPr>
            </w:pPr>
          </w:p>
          <w:p w:rsidR="00952EFE" w:rsidRPr="00442E07" w:rsidP="009262D6" w14:paraId="2A08210A" w14:textId="77777777">
            <w:pPr>
              <w:jc w:val="center"/>
              <w:rPr>
                <w:rFonts w:ascii="Times New Roman" w:hAnsi="Times New Roman"/>
                <w:szCs w:val="24"/>
              </w:rPr>
            </w:pPr>
            <w:r>
              <w:rPr>
                <w:rFonts w:ascii="Times New Roman" w:hAnsi="Times New Roman"/>
                <w:szCs w:val="24"/>
              </w:rPr>
              <w:t>Private</w:t>
            </w:r>
          </w:p>
        </w:tc>
        <w:tc>
          <w:tcPr>
            <w:tcW w:w="1170" w:type="dxa"/>
          </w:tcPr>
          <w:p w:rsidR="00952EFE" w:rsidRPr="00442E07" w:rsidP="009262D6" w14:paraId="14E839B4" w14:textId="77777777">
            <w:pPr>
              <w:rPr>
                <w:rFonts w:ascii="Times New Roman" w:hAnsi="Times New Roman"/>
                <w:szCs w:val="24"/>
              </w:rPr>
            </w:pPr>
            <w:r>
              <w:rPr>
                <w:rFonts w:ascii="Times New Roman" w:hAnsi="Times New Roman"/>
              </w:rPr>
              <w:t>NA</w:t>
            </w:r>
          </w:p>
        </w:tc>
        <w:tc>
          <w:tcPr>
            <w:tcW w:w="1170" w:type="dxa"/>
          </w:tcPr>
          <w:p w:rsidR="00952EFE" w:rsidRPr="00442E07" w:rsidP="009262D6" w14:paraId="2BFA634B" w14:textId="77777777">
            <w:pPr>
              <w:rPr>
                <w:rFonts w:ascii="Times New Roman" w:hAnsi="Times New Roman"/>
                <w:szCs w:val="24"/>
              </w:rPr>
            </w:pPr>
            <w:r>
              <w:rPr>
                <w:rFonts w:ascii="Times New Roman" w:hAnsi="Times New Roman"/>
              </w:rPr>
              <w:t>NA</w:t>
            </w:r>
          </w:p>
        </w:tc>
        <w:tc>
          <w:tcPr>
            <w:tcW w:w="1260" w:type="dxa"/>
          </w:tcPr>
          <w:p w:rsidR="00952EFE" w:rsidP="009262D6" w14:paraId="3FBFF0DD" w14:textId="77777777">
            <w:pPr>
              <w:rPr>
                <w:rFonts w:ascii="Times New Roman" w:hAnsi="Times New Roman"/>
                <w:szCs w:val="24"/>
              </w:rPr>
            </w:pPr>
          </w:p>
          <w:p w:rsidR="00952EFE" w:rsidP="009262D6" w14:paraId="4188261A" w14:textId="77777777">
            <w:pPr>
              <w:rPr>
                <w:rFonts w:ascii="Times New Roman" w:hAnsi="Times New Roman"/>
                <w:szCs w:val="24"/>
              </w:rPr>
            </w:pPr>
          </w:p>
          <w:p w:rsidR="00952EFE" w:rsidP="009262D6" w14:paraId="1F2A88CA" w14:textId="77777777">
            <w:pPr>
              <w:rPr>
                <w:rFonts w:ascii="Times New Roman" w:hAnsi="Times New Roman"/>
                <w:szCs w:val="24"/>
              </w:rPr>
            </w:pPr>
          </w:p>
          <w:p w:rsidR="00952EFE" w:rsidP="009262D6" w14:paraId="3DCE82F4" w14:textId="77777777">
            <w:pPr>
              <w:rPr>
                <w:rFonts w:ascii="Times New Roman" w:hAnsi="Times New Roman"/>
                <w:szCs w:val="24"/>
              </w:rPr>
            </w:pPr>
            <w:r>
              <w:rPr>
                <w:rFonts w:ascii="Times New Roman" w:hAnsi="Times New Roman"/>
                <w:szCs w:val="24"/>
              </w:rPr>
              <w:t>223</w:t>
            </w:r>
          </w:p>
          <w:p w:rsidR="00952EFE" w:rsidP="009262D6" w14:paraId="36828EC0" w14:textId="77777777">
            <w:pPr>
              <w:rPr>
                <w:rFonts w:ascii="Times New Roman" w:hAnsi="Times New Roman"/>
                <w:szCs w:val="24"/>
              </w:rPr>
            </w:pPr>
          </w:p>
          <w:p w:rsidR="00952EFE" w:rsidRPr="00442E07" w:rsidP="009262D6" w14:paraId="49AB39DC" w14:textId="77777777">
            <w:pPr>
              <w:rPr>
                <w:rFonts w:ascii="Times New Roman" w:hAnsi="Times New Roman"/>
                <w:szCs w:val="24"/>
              </w:rPr>
            </w:pPr>
            <w:r>
              <w:rPr>
                <w:rFonts w:ascii="Times New Roman" w:hAnsi="Times New Roman"/>
                <w:szCs w:val="24"/>
              </w:rPr>
              <w:t>65</w:t>
            </w:r>
          </w:p>
        </w:tc>
        <w:tc>
          <w:tcPr>
            <w:tcW w:w="1080" w:type="dxa"/>
          </w:tcPr>
          <w:p w:rsidR="00952EFE" w:rsidP="009262D6" w14:paraId="48D78C28" w14:textId="77777777">
            <w:pPr>
              <w:rPr>
                <w:rFonts w:ascii="Times New Roman" w:hAnsi="Times New Roman"/>
                <w:szCs w:val="24"/>
              </w:rPr>
            </w:pPr>
          </w:p>
          <w:p w:rsidR="00952EFE" w:rsidP="009262D6" w14:paraId="1028AF34" w14:textId="77777777">
            <w:pPr>
              <w:rPr>
                <w:rFonts w:ascii="Times New Roman" w:hAnsi="Times New Roman"/>
                <w:szCs w:val="24"/>
              </w:rPr>
            </w:pPr>
          </w:p>
          <w:p w:rsidR="00952EFE" w:rsidP="009262D6" w14:paraId="03D61B1C" w14:textId="77777777">
            <w:pPr>
              <w:rPr>
                <w:rFonts w:ascii="Times New Roman" w:hAnsi="Times New Roman"/>
                <w:szCs w:val="24"/>
              </w:rPr>
            </w:pPr>
          </w:p>
          <w:p w:rsidR="00952EFE" w:rsidP="009262D6" w14:paraId="47DAC402" w14:textId="77777777">
            <w:pPr>
              <w:rPr>
                <w:rFonts w:ascii="Times New Roman" w:hAnsi="Times New Roman"/>
                <w:szCs w:val="24"/>
              </w:rPr>
            </w:pPr>
            <w:r>
              <w:rPr>
                <w:rFonts w:ascii="Times New Roman" w:hAnsi="Times New Roman"/>
                <w:szCs w:val="24"/>
              </w:rPr>
              <w:t>223</w:t>
            </w:r>
          </w:p>
          <w:p w:rsidR="00952EFE" w:rsidP="009262D6" w14:paraId="2E9E5B77" w14:textId="77777777">
            <w:pPr>
              <w:rPr>
                <w:rFonts w:ascii="Times New Roman" w:hAnsi="Times New Roman"/>
                <w:szCs w:val="24"/>
              </w:rPr>
            </w:pPr>
          </w:p>
          <w:p w:rsidR="00952EFE" w:rsidRPr="00442E07" w:rsidP="009262D6" w14:paraId="0C27BCCD" w14:textId="77777777">
            <w:pPr>
              <w:rPr>
                <w:rFonts w:ascii="Times New Roman" w:hAnsi="Times New Roman"/>
                <w:szCs w:val="24"/>
              </w:rPr>
            </w:pPr>
            <w:r>
              <w:rPr>
                <w:rFonts w:ascii="Times New Roman" w:hAnsi="Times New Roman"/>
                <w:szCs w:val="24"/>
              </w:rPr>
              <w:t>68</w:t>
            </w:r>
          </w:p>
        </w:tc>
        <w:tc>
          <w:tcPr>
            <w:tcW w:w="1170" w:type="dxa"/>
          </w:tcPr>
          <w:p w:rsidR="00952EFE" w:rsidP="009262D6" w14:paraId="6B82AC68" w14:textId="77777777">
            <w:pPr>
              <w:rPr>
                <w:rFonts w:ascii="Times New Roman" w:hAnsi="Times New Roman"/>
                <w:szCs w:val="24"/>
              </w:rPr>
            </w:pPr>
            <w:r>
              <w:rPr>
                <w:rFonts w:ascii="Times New Roman" w:hAnsi="Times New Roman"/>
                <w:szCs w:val="24"/>
              </w:rPr>
              <w:t>[(11x2)+12+11]/4</w:t>
            </w:r>
          </w:p>
          <w:p w:rsidR="00952EFE" w:rsidP="009262D6" w14:paraId="0F1D0ADE" w14:textId="77777777">
            <w:pPr>
              <w:rPr>
                <w:rFonts w:ascii="Times New Roman" w:hAnsi="Times New Roman"/>
                <w:szCs w:val="24"/>
              </w:rPr>
            </w:pPr>
          </w:p>
          <w:p w:rsidR="00952EFE" w:rsidP="009262D6" w14:paraId="6836AE81" w14:textId="77777777">
            <w:pPr>
              <w:rPr>
                <w:rFonts w:ascii="Times New Roman" w:hAnsi="Times New Roman"/>
                <w:szCs w:val="24"/>
              </w:rPr>
            </w:pPr>
            <w:r>
              <w:rPr>
                <w:rFonts w:ascii="Times New Roman" w:hAnsi="Times New Roman"/>
                <w:szCs w:val="24"/>
              </w:rPr>
              <w:t>11.25</w:t>
            </w:r>
          </w:p>
          <w:p w:rsidR="00952EFE" w:rsidP="009262D6" w14:paraId="14D16C20" w14:textId="77777777">
            <w:pPr>
              <w:rPr>
                <w:rFonts w:ascii="Times New Roman" w:hAnsi="Times New Roman"/>
                <w:szCs w:val="24"/>
              </w:rPr>
            </w:pPr>
          </w:p>
          <w:p w:rsidR="00952EFE" w:rsidRPr="00442E07" w:rsidP="009262D6" w14:paraId="412DB242" w14:textId="77777777">
            <w:pPr>
              <w:rPr>
                <w:rFonts w:ascii="Times New Roman" w:hAnsi="Times New Roman"/>
                <w:szCs w:val="24"/>
              </w:rPr>
            </w:pPr>
            <w:r>
              <w:rPr>
                <w:rFonts w:ascii="Times New Roman" w:hAnsi="Times New Roman"/>
                <w:szCs w:val="24"/>
              </w:rPr>
              <w:t>11.25</w:t>
            </w:r>
          </w:p>
        </w:tc>
        <w:tc>
          <w:tcPr>
            <w:tcW w:w="1350" w:type="dxa"/>
          </w:tcPr>
          <w:p w:rsidR="00952EFE" w:rsidP="009262D6" w14:paraId="111C7561" w14:textId="77777777">
            <w:pPr>
              <w:rPr>
                <w:rFonts w:ascii="Times New Roman" w:hAnsi="Times New Roman"/>
                <w:szCs w:val="24"/>
              </w:rPr>
            </w:pPr>
            <w:r>
              <w:rPr>
                <w:rFonts w:ascii="Times New Roman" w:hAnsi="Times New Roman"/>
                <w:szCs w:val="24"/>
              </w:rPr>
              <w:t>(APR+FPR+Sup)/4</w:t>
            </w:r>
          </w:p>
          <w:p w:rsidR="00952EFE" w:rsidP="009262D6" w14:paraId="0BCFD731" w14:textId="77777777">
            <w:pPr>
              <w:rPr>
                <w:rFonts w:ascii="Times New Roman" w:hAnsi="Times New Roman"/>
                <w:szCs w:val="24"/>
              </w:rPr>
            </w:pPr>
          </w:p>
          <w:p w:rsidR="00952EFE" w:rsidP="009262D6" w14:paraId="3F7F3B2F" w14:textId="77777777">
            <w:pPr>
              <w:rPr>
                <w:rFonts w:ascii="Times New Roman" w:hAnsi="Times New Roman"/>
                <w:szCs w:val="24"/>
              </w:rPr>
            </w:pPr>
            <w:r>
              <w:rPr>
                <w:rFonts w:ascii="Times New Roman" w:hAnsi="Times New Roman"/>
                <w:szCs w:val="24"/>
              </w:rPr>
              <w:t>2508.75</w:t>
            </w:r>
          </w:p>
          <w:p w:rsidR="00952EFE" w:rsidP="009262D6" w14:paraId="0F0E3F63" w14:textId="77777777">
            <w:pPr>
              <w:rPr>
                <w:rFonts w:ascii="Times New Roman" w:hAnsi="Times New Roman"/>
                <w:szCs w:val="24"/>
              </w:rPr>
            </w:pPr>
          </w:p>
          <w:p w:rsidR="00952EFE" w:rsidRPr="00442E07" w:rsidP="009262D6" w14:paraId="30A26D1E" w14:textId="77777777">
            <w:pPr>
              <w:rPr>
                <w:rFonts w:ascii="Times New Roman" w:hAnsi="Times New Roman"/>
                <w:szCs w:val="24"/>
              </w:rPr>
            </w:pPr>
            <w:r>
              <w:rPr>
                <w:rFonts w:ascii="Times New Roman" w:hAnsi="Times New Roman"/>
                <w:szCs w:val="24"/>
              </w:rPr>
              <w:t>765</w:t>
            </w:r>
          </w:p>
        </w:tc>
        <w:tc>
          <w:tcPr>
            <w:tcW w:w="1440" w:type="dxa"/>
          </w:tcPr>
          <w:p w:rsidR="00952EFE" w:rsidRPr="00442E07" w:rsidP="009262D6" w14:paraId="6240DB8F" w14:textId="77777777">
            <w:pPr>
              <w:rPr>
                <w:rFonts w:ascii="Times New Roman" w:hAnsi="Times New Roman"/>
                <w:szCs w:val="24"/>
              </w:rPr>
            </w:pPr>
            <w:r>
              <w:rPr>
                <w:rFonts w:ascii="Times New Roman" w:hAnsi="Times New Roman"/>
                <w:szCs w:val="24"/>
              </w:rPr>
              <w:t xml:space="preserve"> </w:t>
            </w:r>
          </w:p>
        </w:tc>
        <w:tc>
          <w:tcPr>
            <w:tcW w:w="1530" w:type="dxa"/>
          </w:tcPr>
          <w:p w:rsidR="00952EFE" w:rsidP="009262D6" w14:paraId="6D33D79C" w14:textId="77777777">
            <w:pPr>
              <w:rPr>
                <w:rFonts w:ascii="Times New Roman" w:hAnsi="Times New Roman"/>
                <w:szCs w:val="24"/>
              </w:rPr>
            </w:pPr>
          </w:p>
          <w:p w:rsidR="00952EFE" w:rsidP="009262D6" w14:paraId="78E373A1" w14:textId="77777777">
            <w:pPr>
              <w:rPr>
                <w:rFonts w:ascii="Times New Roman" w:hAnsi="Times New Roman"/>
                <w:szCs w:val="24"/>
              </w:rPr>
            </w:pPr>
          </w:p>
          <w:p w:rsidR="00952EFE" w:rsidP="009262D6" w14:paraId="48D7E059" w14:textId="77777777">
            <w:pPr>
              <w:rPr>
                <w:rFonts w:ascii="Times New Roman" w:hAnsi="Times New Roman"/>
                <w:szCs w:val="24"/>
              </w:rPr>
            </w:pPr>
          </w:p>
          <w:p w:rsidR="00952EFE" w:rsidP="009262D6" w14:paraId="1CC68FB9" w14:textId="77777777">
            <w:pPr>
              <w:rPr>
                <w:rFonts w:ascii="Times New Roman" w:hAnsi="Times New Roman"/>
                <w:szCs w:val="24"/>
              </w:rPr>
            </w:pPr>
            <w:r>
              <w:rPr>
                <w:rFonts w:ascii="Times New Roman" w:hAnsi="Times New Roman"/>
                <w:szCs w:val="24"/>
              </w:rPr>
              <w:t>$75,266.25</w:t>
            </w:r>
          </w:p>
          <w:p w:rsidR="00952EFE" w:rsidP="009262D6" w14:paraId="08847A70" w14:textId="77777777">
            <w:pPr>
              <w:rPr>
                <w:rFonts w:ascii="Times New Roman" w:hAnsi="Times New Roman"/>
                <w:szCs w:val="24"/>
              </w:rPr>
            </w:pPr>
          </w:p>
          <w:p w:rsidR="00952EFE" w:rsidRPr="00442E07" w:rsidP="009262D6" w14:paraId="5D59C013" w14:textId="77777777">
            <w:pPr>
              <w:rPr>
                <w:rFonts w:ascii="Times New Roman" w:hAnsi="Times New Roman"/>
                <w:szCs w:val="24"/>
              </w:rPr>
            </w:pPr>
            <w:r>
              <w:rPr>
                <w:rFonts w:ascii="Times New Roman" w:hAnsi="Times New Roman"/>
                <w:szCs w:val="24"/>
              </w:rPr>
              <w:t>$22,950</w:t>
            </w:r>
          </w:p>
        </w:tc>
      </w:tr>
    </w:tbl>
    <w:p w:rsidR="00952EFE" w:rsidRPr="00952EFE" w:rsidP="00952EFE" w14:paraId="162CAA69" w14:textId="77777777"/>
    <w:p w:rsidR="00F31BEC" w:rsidRPr="00AF5D1A" w:rsidP="002313E2" w14:paraId="4A922C4D"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64BA5B9D" w14:textId="77777777">
      <w:pPr>
        <w:pStyle w:val="ListParagraph"/>
        <w:tabs>
          <w:tab w:val="left" w:pos="-720"/>
        </w:tabs>
        <w:suppressAutoHyphens/>
        <w:rPr>
          <w:rStyle w:val="a"/>
          <w:rFonts w:ascii="Times New Roman" w:hAnsi="Times New Roman"/>
          <w:szCs w:val="24"/>
        </w:rPr>
      </w:pPr>
    </w:p>
    <w:p w:rsidR="00B623A1" w:rsidP="002313E2" w14:paraId="5C59877A" w14:textId="77777777">
      <w:pPr>
        <w:pStyle w:val="ListParagraph"/>
        <w:tabs>
          <w:tab w:val="left" w:pos="-720"/>
        </w:tabs>
        <w:suppressAutoHyphens/>
        <w:rPr>
          <w:rStyle w:val="a"/>
          <w:rFonts w:ascii="Times New Roman" w:hAnsi="Times New Roman"/>
          <w:szCs w:val="24"/>
        </w:rPr>
      </w:pPr>
    </w:p>
    <w:p w:rsidR="00043C32" w:rsidRPr="00ED7195" w:rsidP="002313E2" w14:paraId="71AF2D4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 xml:space="preserve">Provide an estimate of the total annual cost burden to respondents or record keepers resulting from the collection of information.  (Do not </w:t>
      </w:r>
      <w:r w:rsidRPr="00ED7195">
        <w:rPr>
          <w:rStyle w:val="a"/>
          <w:rFonts w:ascii="Times New Roman" w:hAnsi="Times New Roman"/>
          <w:b/>
          <w:szCs w:val="24"/>
        </w:rPr>
        <w:t>include the cost of any hour burden shown in Items 12 and 14.)</w:t>
      </w:r>
    </w:p>
    <w:p w:rsidR="00043C32" w:rsidRPr="00ED7195" w:rsidP="002313E2" w14:paraId="686A0F4E" w14:textId="77777777">
      <w:pPr>
        <w:tabs>
          <w:tab w:val="left" w:pos="-720"/>
        </w:tabs>
        <w:suppressAutoHyphens/>
        <w:rPr>
          <w:rFonts w:ascii="Times New Roman" w:hAnsi="Times New Roman"/>
          <w:b/>
          <w:szCs w:val="24"/>
        </w:rPr>
      </w:pPr>
    </w:p>
    <w:p w:rsidR="00043C32" w:rsidRPr="00ED7195" w:rsidP="002313E2" w14:paraId="47DA1AD9"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sidRPr="00ED7195">
        <w:rPr>
          <w:rFonts w:ascii="Times New Roman" w:hAnsi="Times New Roman"/>
          <w:b/>
          <w:szCs w:val="24"/>
        </w:rPr>
        <w:t xml:space="preserve">,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t>monitoring, sampling, drilling and testing equipment; and acquiring and maintaining record storage facilities.</w:t>
      </w:r>
    </w:p>
    <w:p w:rsidR="00043C32" w:rsidRPr="00AD381B" w:rsidP="002313E2" w14:paraId="1544C5CF" w14:textId="77777777">
      <w:pPr>
        <w:numPr>
          <w:ilvl w:val="12"/>
          <w:numId w:val="0"/>
        </w:numPr>
        <w:tabs>
          <w:tab w:val="left" w:pos="-720"/>
        </w:tabs>
        <w:suppressAutoHyphens/>
        <w:ind w:left="340"/>
        <w:rPr>
          <w:rFonts w:ascii="Times New Roman" w:hAnsi="Times New Roman"/>
          <w:szCs w:val="24"/>
        </w:rPr>
      </w:pPr>
    </w:p>
    <w:p w:rsidR="00043C32" w:rsidRPr="00ED7195" w:rsidP="002313E2" w14:paraId="0A655AE9"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w:t>
      </w:r>
      <w:r w:rsidRPr="00ED7195">
        <w:rPr>
          <w:rFonts w:ascii="Times New Roman" w:hAnsi="Times New Roman"/>
          <w:b/>
          <w:szCs w:val="24"/>
        </w:rPr>
        <w:t>information collection, as appropriate.</w:t>
      </w:r>
    </w:p>
    <w:p w:rsidR="00043C32" w:rsidRPr="00ED7195" w:rsidP="002313E2" w14:paraId="6D5D65C6" w14:textId="77777777">
      <w:pPr>
        <w:tabs>
          <w:tab w:val="left" w:pos="-720"/>
          <w:tab w:val="left" w:pos="1247"/>
        </w:tabs>
        <w:suppressAutoHyphens/>
        <w:ind w:left="340"/>
        <w:rPr>
          <w:rFonts w:ascii="Times New Roman" w:hAnsi="Times New Roman"/>
          <w:b/>
          <w:szCs w:val="24"/>
        </w:rPr>
      </w:pPr>
    </w:p>
    <w:p w:rsidR="00043C32" w:rsidRPr="00ED7195" w:rsidP="002313E2" w14:paraId="3316418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77DDE2B0" w14:textId="77777777">
      <w:pPr>
        <w:tabs>
          <w:tab w:val="left" w:pos="-720"/>
        </w:tabs>
        <w:suppressAutoHyphens/>
        <w:rPr>
          <w:rFonts w:ascii="Times New Roman" w:hAnsi="Times New Roman"/>
          <w:b/>
          <w:szCs w:val="24"/>
        </w:rPr>
      </w:pPr>
    </w:p>
    <w:p w:rsidR="00043C32" w:rsidRPr="00ED7195" w:rsidP="002313E2" w14:paraId="164E6EA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9F8BCA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366B7D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4BEA30F" w14:textId="77777777">
      <w:pPr>
        <w:tabs>
          <w:tab w:val="left" w:pos="-720"/>
        </w:tabs>
        <w:suppressAutoHyphens/>
        <w:rPr>
          <w:rFonts w:ascii="Times New Roman" w:hAnsi="Times New Roman"/>
          <w:szCs w:val="24"/>
        </w:rPr>
      </w:pPr>
    </w:p>
    <w:p w:rsidR="00016EAA" w:rsidRPr="00DA159D" w:rsidP="00016EAA" w14:paraId="30826B0A" w14:textId="77777777">
      <w:pPr>
        <w:pStyle w:val="BodyTextIndent"/>
        <w:spacing w:after="0"/>
        <w:ind w:left="720"/>
        <w:rPr>
          <w:rFonts w:ascii="Times New Roman" w:hAnsi="Times New Roman"/>
        </w:rPr>
      </w:pPr>
      <w:r w:rsidRPr="00DA159D">
        <w:rPr>
          <w:rFonts w:ascii="Times New Roman" w:hAnsi="Times New Roman"/>
        </w:rPr>
        <w:t>There are no other costs to the respondent except those that would be customary and usual business practices.</w:t>
      </w:r>
    </w:p>
    <w:p w:rsidR="00B623A1" w:rsidP="00016EAA" w14:paraId="16512A63" w14:textId="77777777">
      <w:pPr>
        <w:tabs>
          <w:tab w:val="left" w:pos="-720"/>
          <w:tab w:val="left" w:pos="2764"/>
        </w:tabs>
        <w:suppressAutoHyphens/>
        <w:rPr>
          <w:rFonts w:ascii="Times New Roman" w:hAnsi="Times New Roman"/>
          <w:szCs w:val="24"/>
        </w:rPr>
      </w:pPr>
    </w:p>
    <w:p w:rsidR="00043C32" w:rsidRPr="00534B4A" w:rsidP="00952EFE" w14:paraId="42D3E3F1"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16EAA" w:rsidP="00016EAA" w14:paraId="55DC756F" w14:textId="77777777">
      <w:pPr>
        <w:pStyle w:val="BodyTextIndent"/>
        <w:spacing w:after="0"/>
        <w:ind w:left="720"/>
        <w:rPr>
          <w:rFonts w:ascii="Times New Roman" w:hAnsi="Times New Roman"/>
        </w:rPr>
      </w:pPr>
    </w:p>
    <w:p w:rsidR="00016EAA" w:rsidP="00016EAA" w14:paraId="0591F7D9" w14:textId="77777777">
      <w:pPr>
        <w:pStyle w:val="BodyTextIndent"/>
        <w:spacing w:after="0"/>
        <w:ind w:left="720"/>
        <w:rPr>
          <w:rFonts w:ascii="Times New Roman" w:hAnsi="Times New Roman"/>
        </w:rPr>
      </w:pPr>
      <w:r w:rsidRPr="008345A6">
        <w:rPr>
          <w:rFonts w:ascii="Times New Roman" w:hAnsi="Times New Roman"/>
        </w:rPr>
        <w:t>Based on the number of estimated staff needed to review the performance report package</w:t>
      </w:r>
      <w:r>
        <w:rPr>
          <w:rFonts w:ascii="Times New Roman" w:hAnsi="Times New Roman"/>
        </w:rPr>
        <w:t>,</w:t>
      </w:r>
      <w:r w:rsidRPr="008345A6">
        <w:rPr>
          <w:rFonts w:ascii="Times New Roman" w:hAnsi="Times New Roman"/>
        </w:rPr>
        <w:t xml:space="preserve"> the estimated cost to the Federal Government is revised to account for an increase in </w:t>
      </w:r>
      <w:r>
        <w:rPr>
          <w:rFonts w:ascii="Times New Roman" w:hAnsi="Times New Roman"/>
        </w:rPr>
        <w:t xml:space="preserve">personnel </w:t>
      </w:r>
      <w:r w:rsidRPr="008345A6">
        <w:rPr>
          <w:rFonts w:ascii="Times New Roman" w:hAnsi="Times New Roman"/>
        </w:rPr>
        <w:t>cost</w:t>
      </w:r>
      <w:r w:rsidR="00811107">
        <w:rPr>
          <w:rFonts w:ascii="Times New Roman" w:hAnsi="Times New Roman"/>
        </w:rPr>
        <w:t>s</w:t>
      </w:r>
      <w:r w:rsidRPr="008345A6">
        <w:rPr>
          <w:rFonts w:ascii="Times New Roman" w:hAnsi="Times New Roman"/>
        </w:rPr>
        <w:t>:</w:t>
      </w:r>
      <w:r w:rsidRPr="00DA159D">
        <w:rPr>
          <w:rFonts w:ascii="Times New Roman" w:hAnsi="Times New Roman"/>
        </w:rPr>
        <w:t xml:space="preserve"> </w:t>
      </w:r>
    </w:p>
    <w:p w:rsidR="00016EAA" w:rsidP="00016EAA" w14:paraId="4BDDEF1D" w14:textId="77777777">
      <w:pPr>
        <w:pStyle w:val="BodyTextIndent"/>
        <w:spacing w:after="0"/>
        <w:ind w:left="720"/>
        <w:rPr>
          <w:rFonts w:ascii="Times New Roman" w:hAnsi="Times New Roman"/>
        </w:rPr>
      </w:pP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898"/>
        <w:gridCol w:w="857"/>
        <w:gridCol w:w="1070"/>
        <w:gridCol w:w="875"/>
        <w:gridCol w:w="1070"/>
      </w:tblGrid>
      <w:tr w14:paraId="744CB031" w14:textId="77777777" w:rsidTr="00587A4B">
        <w:tblPrEx>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590" w:type="dxa"/>
            <w:shd w:val="clear" w:color="auto" w:fill="C0C0C0"/>
          </w:tcPr>
          <w:p w:rsidR="00016EAA" w:rsidRPr="009D422B" w:rsidP="00587A4B" w14:paraId="1C2AF69E" w14:textId="77777777">
            <w:pPr>
              <w:pStyle w:val="BodyTextIndent"/>
              <w:spacing w:after="0"/>
              <w:ind w:left="0"/>
              <w:jc w:val="center"/>
              <w:rPr>
                <w:rFonts w:ascii="Times New Roman" w:hAnsi="Times New Roman"/>
                <w:b/>
                <w:bCs/>
                <w:szCs w:val="24"/>
              </w:rPr>
            </w:pPr>
            <w:r w:rsidRPr="009D422B">
              <w:rPr>
                <w:rFonts w:ascii="Times New Roman" w:hAnsi="Times New Roman"/>
                <w:b/>
                <w:bCs/>
                <w:szCs w:val="24"/>
              </w:rPr>
              <w:t>Task</w:t>
            </w:r>
          </w:p>
        </w:tc>
        <w:tc>
          <w:tcPr>
            <w:tcW w:w="898" w:type="dxa"/>
            <w:shd w:val="clear" w:color="auto" w:fill="C0C0C0"/>
          </w:tcPr>
          <w:p w:rsidR="00016EAA" w:rsidRPr="009D422B" w:rsidP="00587A4B" w14:paraId="3743BF06" w14:textId="77777777">
            <w:pPr>
              <w:pStyle w:val="BodyTextIndent"/>
              <w:spacing w:after="0"/>
              <w:ind w:left="0"/>
              <w:jc w:val="center"/>
              <w:rPr>
                <w:rFonts w:ascii="Times New Roman" w:hAnsi="Times New Roman"/>
                <w:b/>
                <w:bCs/>
                <w:szCs w:val="24"/>
              </w:rPr>
            </w:pPr>
            <w:r w:rsidRPr="009D422B">
              <w:rPr>
                <w:rFonts w:ascii="Times New Roman" w:hAnsi="Times New Roman"/>
                <w:b/>
                <w:bCs/>
                <w:szCs w:val="24"/>
              </w:rPr>
              <w:t>Cost</w:t>
            </w:r>
          </w:p>
        </w:tc>
        <w:tc>
          <w:tcPr>
            <w:tcW w:w="857" w:type="dxa"/>
            <w:shd w:val="clear" w:color="auto" w:fill="C0C0C0"/>
          </w:tcPr>
          <w:p w:rsidR="00016EAA" w:rsidRPr="009D422B" w:rsidP="00587A4B" w14:paraId="3D0428CA"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Hours</w:t>
            </w:r>
          </w:p>
        </w:tc>
        <w:tc>
          <w:tcPr>
            <w:tcW w:w="1070" w:type="dxa"/>
            <w:shd w:val="clear" w:color="auto" w:fill="C0C0C0"/>
          </w:tcPr>
          <w:p w:rsidR="00016EAA" w:rsidRPr="009D422B" w:rsidP="00587A4B" w14:paraId="639D9E87"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Number of Staff</w:t>
            </w:r>
          </w:p>
        </w:tc>
        <w:tc>
          <w:tcPr>
            <w:tcW w:w="875" w:type="dxa"/>
            <w:shd w:val="clear" w:color="auto" w:fill="C0C0C0"/>
          </w:tcPr>
          <w:p w:rsidR="00016EAA" w:rsidRPr="009D422B" w:rsidP="00587A4B" w14:paraId="30D79662"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Hours Total</w:t>
            </w:r>
          </w:p>
        </w:tc>
        <w:tc>
          <w:tcPr>
            <w:tcW w:w="1070" w:type="dxa"/>
            <w:shd w:val="clear" w:color="auto" w:fill="C0C0C0"/>
          </w:tcPr>
          <w:p w:rsidR="00016EAA" w:rsidRPr="009D422B" w:rsidP="00587A4B" w14:paraId="59B0F24F"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Total Cost</w:t>
            </w:r>
          </w:p>
        </w:tc>
      </w:tr>
      <w:tr w14:paraId="6C01EA68" w14:textId="77777777" w:rsidTr="00587A4B">
        <w:tblPrEx>
          <w:tblW w:w="9360" w:type="dxa"/>
          <w:tblInd w:w="648" w:type="dxa"/>
          <w:tblLayout w:type="fixed"/>
          <w:tblLook w:val="0000"/>
        </w:tblPrEx>
        <w:trPr>
          <w:trHeight w:val="269"/>
        </w:trPr>
        <w:tc>
          <w:tcPr>
            <w:tcW w:w="4590" w:type="dxa"/>
          </w:tcPr>
          <w:p w:rsidR="00016EAA" w:rsidRPr="009D422B" w:rsidP="00587A4B" w14:paraId="3D102C6E" w14:textId="77777777">
            <w:pPr>
              <w:pStyle w:val="BodyTextIndent"/>
              <w:spacing w:after="0"/>
              <w:ind w:left="0"/>
              <w:rPr>
                <w:rFonts w:ascii="Times New Roman" w:hAnsi="Times New Roman"/>
                <w:szCs w:val="24"/>
              </w:rPr>
            </w:pPr>
            <w:r w:rsidRPr="009D422B">
              <w:rPr>
                <w:rFonts w:ascii="Times New Roman" w:hAnsi="Times New Roman"/>
                <w:szCs w:val="24"/>
              </w:rPr>
              <w:t>Securing OMB approval once every 3 years</w:t>
            </w:r>
          </w:p>
        </w:tc>
        <w:tc>
          <w:tcPr>
            <w:tcW w:w="898" w:type="dxa"/>
          </w:tcPr>
          <w:p w:rsidR="00016EAA" w:rsidRPr="009D422B" w:rsidP="00587A4B" w14:paraId="30854FB4" w14:textId="77777777">
            <w:pPr>
              <w:pStyle w:val="BodyTextIndent"/>
              <w:spacing w:after="0"/>
              <w:ind w:left="0"/>
              <w:jc w:val="right"/>
              <w:rPr>
                <w:rFonts w:ascii="Times New Roman" w:hAnsi="Times New Roman"/>
                <w:szCs w:val="24"/>
              </w:rPr>
            </w:pPr>
            <w:r w:rsidRPr="009D422B">
              <w:rPr>
                <w:rFonts w:ascii="Times New Roman" w:hAnsi="Times New Roman"/>
                <w:szCs w:val="24"/>
              </w:rPr>
              <w:t>$</w:t>
            </w:r>
            <w:r>
              <w:rPr>
                <w:rFonts w:ascii="Times New Roman" w:hAnsi="Times New Roman"/>
                <w:szCs w:val="24"/>
              </w:rPr>
              <w:t>5</w:t>
            </w:r>
            <w:r w:rsidR="00B32DF9">
              <w:rPr>
                <w:rFonts w:ascii="Times New Roman" w:hAnsi="Times New Roman"/>
                <w:szCs w:val="24"/>
              </w:rPr>
              <w:t>4</w:t>
            </w:r>
            <w:r w:rsidRPr="009D422B">
              <w:rPr>
                <w:rFonts w:ascii="Times New Roman" w:hAnsi="Times New Roman"/>
                <w:szCs w:val="24"/>
              </w:rPr>
              <w:t>/hr</w:t>
            </w:r>
          </w:p>
        </w:tc>
        <w:tc>
          <w:tcPr>
            <w:tcW w:w="857" w:type="dxa"/>
          </w:tcPr>
          <w:p w:rsidR="00016EAA" w:rsidRPr="009D422B" w:rsidP="00587A4B" w14:paraId="054F7AC5" w14:textId="77777777">
            <w:pPr>
              <w:pStyle w:val="BodyTextIndent"/>
              <w:spacing w:after="0"/>
              <w:ind w:left="0"/>
              <w:jc w:val="right"/>
              <w:rPr>
                <w:rFonts w:ascii="Times New Roman" w:hAnsi="Times New Roman"/>
                <w:szCs w:val="24"/>
              </w:rPr>
            </w:pPr>
            <w:r w:rsidRPr="009D422B">
              <w:rPr>
                <w:rFonts w:ascii="Times New Roman" w:hAnsi="Times New Roman"/>
                <w:szCs w:val="24"/>
              </w:rPr>
              <w:t>15</w:t>
            </w:r>
          </w:p>
        </w:tc>
        <w:tc>
          <w:tcPr>
            <w:tcW w:w="1070" w:type="dxa"/>
          </w:tcPr>
          <w:p w:rsidR="00016EAA" w:rsidRPr="009D422B" w:rsidP="00587A4B" w14:paraId="55258AE4" w14:textId="77777777">
            <w:pPr>
              <w:pStyle w:val="BodyTextIndent"/>
              <w:spacing w:after="0"/>
              <w:ind w:left="0"/>
              <w:jc w:val="right"/>
              <w:rPr>
                <w:rFonts w:ascii="Times New Roman" w:hAnsi="Times New Roman"/>
                <w:szCs w:val="24"/>
              </w:rPr>
            </w:pPr>
            <w:r w:rsidRPr="009D422B">
              <w:rPr>
                <w:rFonts w:ascii="Times New Roman" w:hAnsi="Times New Roman"/>
                <w:szCs w:val="24"/>
              </w:rPr>
              <w:t>4</w:t>
            </w:r>
          </w:p>
        </w:tc>
        <w:tc>
          <w:tcPr>
            <w:tcW w:w="875" w:type="dxa"/>
          </w:tcPr>
          <w:p w:rsidR="00016EAA" w:rsidRPr="009D422B" w:rsidP="00587A4B" w14:paraId="1C4E36EE" w14:textId="77777777">
            <w:pPr>
              <w:pStyle w:val="BodyTextIndent"/>
              <w:spacing w:after="0"/>
              <w:ind w:left="0"/>
              <w:jc w:val="right"/>
              <w:rPr>
                <w:rFonts w:ascii="Times New Roman" w:hAnsi="Times New Roman"/>
                <w:szCs w:val="24"/>
              </w:rPr>
            </w:pPr>
            <w:r w:rsidRPr="009D422B">
              <w:rPr>
                <w:rFonts w:ascii="Times New Roman" w:hAnsi="Times New Roman"/>
                <w:szCs w:val="24"/>
              </w:rPr>
              <w:t>60</w:t>
            </w:r>
          </w:p>
        </w:tc>
        <w:tc>
          <w:tcPr>
            <w:tcW w:w="1070" w:type="dxa"/>
          </w:tcPr>
          <w:p w:rsidR="00016EAA" w:rsidRPr="009D422B" w:rsidP="00587A4B" w14:paraId="7F9E03BA" w14:textId="77777777">
            <w:pPr>
              <w:pStyle w:val="BodyTextIndent"/>
              <w:spacing w:after="0"/>
              <w:ind w:left="0"/>
              <w:jc w:val="right"/>
              <w:rPr>
                <w:rFonts w:ascii="Times New Roman" w:hAnsi="Times New Roman"/>
                <w:szCs w:val="24"/>
              </w:rPr>
            </w:pPr>
            <w:r w:rsidRPr="009D422B">
              <w:rPr>
                <w:rFonts w:ascii="Times New Roman" w:hAnsi="Times New Roman"/>
                <w:szCs w:val="24"/>
              </w:rPr>
              <w:t>$</w:t>
            </w:r>
            <w:r>
              <w:rPr>
                <w:rFonts w:ascii="Times New Roman" w:hAnsi="Times New Roman"/>
                <w:szCs w:val="24"/>
              </w:rPr>
              <w:t>3,</w:t>
            </w:r>
            <w:r w:rsidR="00B32DF9">
              <w:rPr>
                <w:rFonts w:ascii="Times New Roman" w:hAnsi="Times New Roman"/>
                <w:szCs w:val="24"/>
              </w:rPr>
              <w:t>240</w:t>
            </w:r>
          </w:p>
        </w:tc>
      </w:tr>
      <w:tr w14:paraId="4E4E74F5" w14:textId="77777777" w:rsidTr="00587A4B">
        <w:tblPrEx>
          <w:tblW w:w="9360" w:type="dxa"/>
          <w:tblInd w:w="648" w:type="dxa"/>
          <w:tblLayout w:type="fixed"/>
          <w:tblLook w:val="0000"/>
        </w:tblPrEx>
        <w:tc>
          <w:tcPr>
            <w:tcW w:w="4590" w:type="dxa"/>
          </w:tcPr>
          <w:p w:rsidR="00016EAA" w:rsidRPr="009D422B" w:rsidP="00587A4B" w14:paraId="208A9118" w14:textId="77777777">
            <w:pPr>
              <w:pStyle w:val="BodyTextIndent"/>
              <w:spacing w:after="0"/>
              <w:ind w:left="0"/>
              <w:rPr>
                <w:rFonts w:ascii="Times New Roman" w:hAnsi="Times New Roman"/>
                <w:szCs w:val="24"/>
              </w:rPr>
            </w:pPr>
            <w:r w:rsidRPr="009D422B">
              <w:rPr>
                <w:rFonts w:ascii="Times New Roman" w:hAnsi="Times New Roman"/>
                <w:szCs w:val="24"/>
              </w:rPr>
              <w:t xml:space="preserve">Other </w:t>
            </w:r>
            <w:r w:rsidRPr="009D422B">
              <w:rPr>
                <w:rFonts w:ascii="Times New Roman" w:hAnsi="Times New Roman"/>
                <w:szCs w:val="24"/>
              </w:rPr>
              <w:t>Departmental staff to review and approve the request</w:t>
            </w:r>
          </w:p>
        </w:tc>
        <w:tc>
          <w:tcPr>
            <w:tcW w:w="898" w:type="dxa"/>
          </w:tcPr>
          <w:p w:rsidR="00016EAA" w:rsidRPr="009D422B" w:rsidP="00587A4B" w14:paraId="7EECFC30" w14:textId="77777777">
            <w:pPr>
              <w:pStyle w:val="BodyTextIndent"/>
              <w:spacing w:after="0"/>
              <w:ind w:left="0"/>
              <w:jc w:val="right"/>
              <w:rPr>
                <w:rFonts w:ascii="Times New Roman" w:hAnsi="Times New Roman"/>
                <w:szCs w:val="24"/>
              </w:rPr>
            </w:pPr>
            <w:r w:rsidRPr="009D422B">
              <w:rPr>
                <w:rFonts w:ascii="Times New Roman" w:hAnsi="Times New Roman"/>
                <w:szCs w:val="24"/>
              </w:rPr>
              <w:t>$</w:t>
            </w:r>
            <w:r w:rsidR="00B32DF9">
              <w:rPr>
                <w:rFonts w:ascii="Times New Roman" w:hAnsi="Times New Roman"/>
                <w:szCs w:val="24"/>
              </w:rPr>
              <w:t>60</w:t>
            </w:r>
            <w:r w:rsidRPr="009D422B">
              <w:rPr>
                <w:rFonts w:ascii="Times New Roman" w:hAnsi="Times New Roman"/>
                <w:szCs w:val="24"/>
              </w:rPr>
              <w:t>/hr</w:t>
            </w:r>
          </w:p>
        </w:tc>
        <w:tc>
          <w:tcPr>
            <w:tcW w:w="857" w:type="dxa"/>
          </w:tcPr>
          <w:p w:rsidR="00016EAA" w:rsidRPr="009D422B" w:rsidP="00587A4B" w14:paraId="6493BFA9" w14:textId="77777777">
            <w:pPr>
              <w:pStyle w:val="BodyTextIndent"/>
              <w:spacing w:after="0"/>
              <w:ind w:left="0"/>
              <w:jc w:val="right"/>
              <w:rPr>
                <w:rFonts w:ascii="Times New Roman" w:hAnsi="Times New Roman"/>
                <w:szCs w:val="24"/>
              </w:rPr>
            </w:pPr>
            <w:r w:rsidRPr="009D422B">
              <w:rPr>
                <w:rFonts w:ascii="Times New Roman" w:hAnsi="Times New Roman"/>
                <w:szCs w:val="24"/>
              </w:rPr>
              <w:t>5</w:t>
            </w:r>
          </w:p>
        </w:tc>
        <w:tc>
          <w:tcPr>
            <w:tcW w:w="1070" w:type="dxa"/>
          </w:tcPr>
          <w:p w:rsidR="00016EAA" w:rsidRPr="009D422B" w:rsidP="00587A4B" w14:paraId="132CAAE9" w14:textId="77777777">
            <w:pPr>
              <w:pStyle w:val="BodyTextIndent"/>
              <w:spacing w:after="0"/>
              <w:ind w:left="0"/>
              <w:jc w:val="right"/>
              <w:rPr>
                <w:rFonts w:ascii="Times New Roman" w:hAnsi="Times New Roman"/>
                <w:szCs w:val="24"/>
              </w:rPr>
            </w:pPr>
            <w:r w:rsidRPr="009D422B">
              <w:rPr>
                <w:rFonts w:ascii="Times New Roman" w:hAnsi="Times New Roman"/>
                <w:szCs w:val="24"/>
              </w:rPr>
              <w:t>3</w:t>
            </w:r>
          </w:p>
        </w:tc>
        <w:tc>
          <w:tcPr>
            <w:tcW w:w="875" w:type="dxa"/>
          </w:tcPr>
          <w:p w:rsidR="00016EAA" w:rsidRPr="009D422B" w:rsidP="00587A4B" w14:paraId="33A5716E" w14:textId="77777777">
            <w:pPr>
              <w:pStyle w:val="BodyTextIndent"/>
              <w:spacing w:after="0"/>
              <w:ind w:left="0"/>
              <w:jc w:val="right"/>
              <w:rPr>
                <w:rFonts w:ascii="Times New Roman" w:hAnsi="Times New Roman"/>
                <w:szCs w:val="24"/>
              </w:rPr>
            </w:pPr>
            <w:r w:rsidRPr="009D422B">
              <w:rPr>
                <w:rFonts w:ascii="Times New Roman" w:hAnsi="Times New Roman"/>
                <w:szCs w:val="24"/>
              </w:rPr>
              <w:t>15</w:t>
            </w:r>
          </w:p>
        </w:tc>
        <w:tc>
          <w:tcPr>
            <w:tcW w:w="1070" w:type="dxa"/>
          </w:tcPr>
          <w:p w:rsidR="00016EAA" w:rsidRPr="009D422B" w:rsidP="00587A4B" w14:paraId="6CFD590F" w14:textId="77777777">
            <w:pPr>
              <w:pStyle w:val="BodyTextIndent"/>
              <w:spacing w:after="0"/>
              <w:ind w:left="0"/>
              <w:jc w:val="right"/>
              <w:rPr>
                <w:rFonts w:ascii="Times New Roman" w:hAnsi="Times New Roman"/>
                <w:szCs w:val="24"/>
              </w:rPr>
            </w:pPr>
            <w:r w:rsidRPr="009D422B">
              <w:rPr>
                <w:rFonts w:ascii="Times New Roman" w:hAnsi="Times New Roman"/>
                <w:szCs w:val="24"/>
              </w:rPr>
              <w:t>$</w:t>
            </w:r>
            <w:r w:rsidR="00B32DF9">
              <w:rPr>
                <w:rFonts w:ascii="Times New Roman" w:hAnsi="Times New Roman"/>
                <w:szCs w:val="24"/>
              </w:rPr>
              <w:t>900</w:t>
            </w:r>
          </w:p>
        </w:tc>
      </w:tr>
      <w:tr w14:paraId="11DB2DA3" w14:textId="77777777" w:rsidTr="00587A4B">
        <w:tblPrEx>
          <w:tblW w:w="9360" w:type="dxa"/>
          <w:tblInd w:w="648" w:type="dxa"/>
          <w:tblLayout w:type="fixed"/>
          <w:tblLook w:val="0000"/>
        </w:tblPrEx>
        <w:tc>
          <w:tcPr>
            <w:tcW w:w="4590" w:type="dxa"/>
          </w:tcPr>
          <w:p w:rsidR="00016EAA" w:rsidRPr="009D422B" w:rsidP="00587A4B" w14:paraId="32E9B30C" w14:textId="77777777">
            <w:pPr>
              <w:pStyle w:val="BodyTextIndent"/>
              <w:spacing w:after="0"/>
              <w:ind w:left="0"/>
              <w:rPr>
                <w:rFonts w:ascii="Times New Roman" w:hAnsi="Times New Roman"/>
                <w:szCs w:val="24"/>
              </w:rPr>
            </w:pPr>
            <w:r w:rsidRPr="009D422B">
              <w:rPr>
                <w:rFonts w:ascii="Times New Roman" w:hAnsi="Times New Roman"/>
                <w:szCs w:val="24"/>
              </w:rPr>
              <w:t xml:space="preserve">Estimated OMB review </w:t>
            </w:r>
          </w:p>
        </w:tc>
        <w:tc>
          <w:tcPr>
            <w:tcW w:w="898" w:type="dxa"/>
          </w:tcPr>
          <w:p w:rsidR="00016EAA" w:rsidRPr="009D422B" w:rsidP="00587A4B" w14:paraId="4A86973E" w14:textId="77777777">
            <w:pPr>
              <w:pStyle w:val="BodyTextIndent"/>
              <w:spacing w:after="0"/>
              <w:ind w:left="0"/>
              <w:jc w:val="right"/>
              <w:rPr>
                <w:rFonts w:ascii="Times New Roman" w:hAnsi="Times New Roman"/>
                <w:szCs w:val="24"/>
              </w:rPr>
            </w:pPr>
            <w:r w:rsidRPr="009D422B">
              <w:rPr>
                <w:rFonts w:ascii="Times New Roman" w:hAnsi="Times New Roman"/>
                <w:szCs w:val="24"/>
              </w:rPr>
              <w:t>$</w:t>
            </w:r>
            <w:r w:rsidR="00B32DF9">
              <w:rPr>
                <w:rFonts w:ascii="Times New Roman" w:hAnsi="Times New Roman"/>
                <w:szCs w:val="24"/>
              </w:rPr>
              <w:t>60</w:t>
            </w:r>
            <w:r w:rsidRPr="009D422B">
              <w:rPr>
                <w:rFonts w:ascii="Times New Roman" w:hAnsi="Times New Roman"/>
                <w:szCs w:val="24"/>
              </w:rPr>
              <w:t>/hr</w:t>
            </w:r>
          </w:p>
        </w:tc>
        <w:tc>
          <w:tcPr>
            <w:tcW w:w="857" w:type="dxa"/>
          </w:tcPr>
          <w:p w:rsidR="00016EAA" w:rsidRPr="009D422B" w:rsidP="00587A4B" w14:paraId="28651518" w14:textId="77777777">
            <w:pPr>
              <w:pStyle w:val="BodyTextIndent"/>
              <w:spacing w:after="0"/>
              <w:ind w:left="0"/>
              <w:jc w:val="right"/>
              <w:rPr>
                <w:rFonts w:ascii="Times New Roman" w:hAnsi="Times New Roman"/>
                <w:szCs w:val="24"/>
              </w:rPr>
            </w:pPr>
            <w:r w:rsidRPr="009D422B">
              <w:rPr>
                <w:rFonts w:ascii="Times New Roman" w:hAnsi="Times New Roman"/>
                <w:szCs w:val="24"/>
              </w:rPr>
              <w:t>8</w:t>
            </w:r>
          </w:p>
        </w:tc>
        <w:tc>
          <w:tcPr>
            <w:tcW w:w="1070" w:type="dxa"/>
          </w:tcPr>
          <w:p w:rsidR="00016EAA" w:rsidRPr="009D422B" w:rsidP="00587A4B" w14:paraId="48E6FEF4" w14:textId="77777777">
            <w:pPr>
              <w:pStyle w:val="BodyTextIndent"/>
              <w:spacing w:after="0"/>
              <w:ind w:left="0"/>
              <w:jc w:val="right"/>
              <w:rPr>
                <w:rFonts w:ascii="Times New Roman" w:hAnsi="Times New Roman"/>
                <w:szCs w:val="24"/>
              </w:rPr>
            </w:pPr>
            <w:r w:rsidRPr="009D422B">
              <w:rPr>
                <w:rFonts w:ascii="Times New Roman" w:hAnsi="Times New Roman"/>
                <w:szCs w:val="24"/>
              </w:rPr>
              <w:t>2</w:t>
            </w:r>
          </w:p>
        </w:tc>
        <w:tc>
          <w:tcPr>
            <w:tcW w:w="875" w:type="dxa"/>
          </w:tcPr>
          <w:p w:rsidR="00016EAA" w:rsidRPr="009D422B" w:rsidP="00587A4B" w14:paraId="60CFAA2F" w14:textId="77777777">
            <w:pPr>
              <w:pStyle w:val="BodyTextIndent"/>
              <w:spacing w:after="0"/>
              <w:ind w:left="0"/>
              <w:jc w:val="right"/>
              <w:rPr>
                <w:rFonts w:ascii="Times New Roman" w:hAnsi="Times New Roman"/>
                <w:szCs w:val="24"/>
              </w:rPr>
            </w:pPr>
            <w:r w:rsidRPr="009D422B">
              <w:rPr>
                <w:rFonts w:ascii="Times New Roman" w:hAnsi="Times New Roman"/>
                <w:szCs w:val="24"/>
              </w:rPr>
              <w:t>16</w:t>
            </w:r>
          </w:p>
        </w:tc>
        <w:tc>
          <w:tcPr>
            <w:tcW w:w="1070" w:type="dxa"/>
          </w:tcPr>
          <w:p w:rsidR="00016EAA" w:rsidRPr="009D422B" w:rsidP="00587A4B" w14:paraId="19C0BB39" w14:textId="77777777">
            <w:pPr>
              <w:pStyle w:val="BodyTextIndent"/>
              <w:spacing w:after="0"/>
              <w:ind w:left="0"/>
              <w:jc w:val="right"/>
              <w:rPr>
                <w:rFonts w:ascii="Times New Roman" w:hAnsi="Times New Roman"/>
                <w:szCs w:val="24"/>
              </w:rPr>
            </w:pPr>
            <w:r w:rsidRPr="009D422B">
              <w:rPr>
                <w:rFonts w:ascii="Times New Roman" w:hAnsi="Times New Roman"/>
                <w:szCs w:val="24"/>
              </w:rPr>
              <w:t>$</w:t>
            </w:r>
            <w:r w:rsidR="00B32DF9">
              <w:rPr>
                <w:rFonts w:ascii="Times New Roman" w:hAnsi="Times New Roman"/>
                <w:szCs w:val="24"/>
              </w:rPr>
              <w:t>960</w:t>
            </w:r>
          </w:p>
        </w:tc>
      </w:tr>
      <w:tr w14:paraId="4300DAB1" w14:textId="77777777" w:rsidTr="00587A4B">
        <w:tblPrEx>
          <w:tblW w:w="9360" w:type="dxa"/>
          <w:tblInd w:w="648" w:type="dxa"/>
          <w:tblLayout w:type="fixed"/>
          <w:tblLook w:val="0000"/>
        </w:tblPrEx>
        <w:tc>
          <w:tcPr>
            <w:tcW w:w="4590" w:type="dxa"/>
            <w:tcBorders>
              <w:bottom w:val="single" w:sz="4" w:space="0" w:color="auto"/>
            </w:tcBorders>
          </w:tcPr>
          <w:p w:rsidR="00016EAA" w:rsidRPr="009D422B" w:rsidP="00587A4B" w14:paraId="207274F9" w14:textId="77777777">
            <w:pPr>
              <w:pStyle w:val="BodyTextIndent"/>
              <w:spacing w:after="0"/>
              <w:ind w:left="0"/>
              <w:rPr>
                <w:rFonts w:ascii="Times New Roman" w:hAnsi="Times New Roman"/>
                <w:szCs w:val="24"/>
              </w:rPr>
            </w:pPr>
            <w:r w:rsidRPr="009D422B">
              <w:rPr>
                <w:rFonts w:ascii="Times New Roman" w:hAnsi="Times New Roman"/>
                <w:szCs w:val="24"/>
              </w:rPr>
              <w:t>Review of reports and analysis of data</w:t>
            </w:r>
          </w:p>
        </w:tc>
        <w:tc>
          <w:tcPr>
            <w:tcW w:w="898" w:type="dxa"/>
            <w:tcBorders>
              <w:bottom w:val="single" w:sz="4" w:space="0" w:color="auto"/>
            </w:tcBorders>
          </w:tcPr>
          <w:p w:rsidR="00016EAA" w:rsidRPr="009D422B" w:rsidP="00587A4B" w14:paraId="61FE351E" w14:textId="77777777">
            <w:pPr>
              <w:pStyle w:val="BodyTextIndent"/>
              <w:spacing w:after="0"/>
              <w:ind w:left="0"/>
              <w:jc w:val="right"/>
              <w:rPr>
                <w:rFonts w:ascii="Times New Roman" w:hAnsi="Times New Roman"/>
                <w:szCs w:val="24"/>
              </w:rPr>
            </w:pPr>
            <w:r w:rsidRPr="009D422B">
              <w:rPr>
                <w:rFonts w:ascii="Times New Roman" w:hAnsi="Times New Roman"/>
                <w:szCs w:val="24"/>
              </w:rPr>
              <w:t>$</w:t>
            </w:r>
            <w:r>
              <w:rPr>
                <w:rFonts w:ascii="Times New Roman" w:hAnsi="Times New Roman"/>
                <w:szCs w:val="24"/>
              </w:rPr>
              <w:t>5</w:t>
            </w:r>
            <w:r w:rsidR="00B32DF9">
              <w:rPr>
                <w:rFonts w:ascii="Times New Roman" w:hAnsi="Times New Roman"/>
                <w:szCs w:val="24"/>
              </w:rPr>
              <w:t>4</w:t>
            </w:r>
            <w:r w:rsidRPr="009D422B">
              <w:rPr>
                <w:rFonts w:ascii="Times New Roman" w:hAnsi="Times New Roman"/>
                <w:szCs w:val="24"/>
              </w:rPr>
              <w:t>/hr</w:t>
            </w:r>
          </w:p>
        </w:tc>
        <w:tc>
          <w:tcPr>
            <w:tcW w:w="857" w:type="dxa"/>
            <w:tcBorders>
              <w:bottom w:val="single" w:sz="4" w:space="0" w:color="auto"/>
            </w:tcBorders>
          </w:tcPr>
          <w:p w:rsidR="00016EAA" w:rsidRPr="009D422B" w:rsidP="00587A4B" w14:paraId="7048B6BB" w14:textId="77777777">
            <w:pPr>
              <w:pStyle w:val="BodyTextIndent"/>
              <w:spacing w:after="0"/>
              <w:ind w:left="0"/>
              <w:jc w:val="right"/>
              <w:rPr>
                <w:rFonts w:ascii="Times New Roman" w:hAnsi="Times New Roman"/>
                <w:szCs w:val="24"/>
              </w:rPr>
            </w:pPr>
            <w:r w:rsidRPr="009D422B">
              <w:rPr>
                <w:rFonts w:ascii="Times New Roman" w:hAnsi="Times New Roman"/>
                <w:szCs w:val="24"/>
              </w:rPr>
              <w:t>120</w:t>
            </w:r>
          </w:p>
        </w:tc>
        <w:tc>
          <w:tcPr>
            <w:tcW w:w="1070" w:type="dxa"/>
            <w:tcBorders>
              <w:bottom w:val="single" w:sz="4" w:space="0" w:color="auto"/>
            </w:tcBorders>
          </w:tcPr>
          <w:p w:rsidR="00016EAA" w:rsidRPr="009D422B" w:rsidP="00587A4B" w14:paraId="30972749" w14:textId="77777777">
            <w:pPr>
              <w:pStyle w:val="BodyTextIndent"/>
              <w:spacing w:after="0"/>
              <w:ind w:left="0"/>
              <w:jc w:val="right"/>
              <w:rPr>
                <w:rFonts w:ascii="Times New Roman" w:hAnsi="Times New Roman"/>
                <w:szCs w:val="24"/>
              </w:rPr>
            </w:pPr>
            <w:r>
              <w:rPr>
                <w:rFonts w:ascii="Times New Roman" w:hAnsi="Times New Roman"/>
                <w:szCs w:val="24"/>
              </w:rPr>
              <w:t>4</w:t>
            </w:r>
          </w:p>
        </w:tc>
        <w:tc>
          <w:tcPr>
            <w:tcW w:w="875" w:type="dxa"/>
            <w:tcBorders>
              <w:bottom w:val="single" w:sz="4" w:space="0" w:color="auto"/>
            </w:tcBorders>
          </w:tcPr>
          <w:p w:rsidR="00016EAA" w:rsidRPr="009D422B" w:rsidP="00587A4B" w14:paraId="31CADF08" w14:textId="77777777">
            <w:pPr>
              <w:pStyle w:val="BodyTextIndent"/>
              <w:spacing w:after="0"/>
              <w:ind w:left="0"/>
              <w:jc w:val="right"/>
              <w:rPr>
                <w:rFonts w:ascii="Times New Roman" w:hAnsi="Times New Roman"/>
                <w:szCs w:val="24"/>
              </w:rPr>
            </w:pPr>
            <w:r>
              <w:rPr>
                <w:rFonts w:ascii="Times New Roman" w:hAnsi="Times New Roman"/>
                <w:szCs w:val="24"/>
              </w:rPr>
              <w:t>480</w:t>
            </w:r>
          </w:p>
        </w:tc>
        <w:tc>
          <w:tcPr>
            <w:tcW w:w="1070" w:type="dxa"/>
            <w:tcBorders>
              <w:bottom w:val="single" w:sz="4" w:space="0" w:color="auto"/>
            </w:tcBorders>
          </w:tcPr>
          <w:p w:rsidR="00016EAA" w:rsidRPr="009D422B" w:rsidP="00587A4B" w14:paraId="4EDB02A2" w14:textId="77777777">
            <w:pPr>
              <w:pStyle w:val="BodyTextIndent"/>
              <w:spacing w:after="0"/>
              <w:ind w:left="0"/>
              <w:jc w:val="right"/>
              <w:rPr>
                <w:rFonts w:ascii="Times New Roman" w:hAnsi="Times New Roman"/>
                <w:szCs w:val="24"/>
              </w:rPr>
            </w:pPr>
            <w:r w:rsidRPr="009D422B">
              <w:rPr>
                <w:rFonts w:ascii="Times New Roman" w:hAnsi="Times New Roman"/>
                <w:szCs w:val="24"/>
              </w:rPr>
              <w:t>$</w:t>
            </w:r>
            <w:r w:rsidR="00B32DF9">
              <w:rPr>
                <w:rFonts w:ascii="Times New Roman" w:hAnsi="Times New Roman"/>
                <w:szCs w:val="24"/>
              </w:rPr>
              <w:t>25</w:t>
            </w:r>
            <w:r>
              <w:rPr>
                <w:rFonts w:ascii="Times New Roman" w:hAnsi="Times New Roman"/>
                <w:szCs w:val="24"/>
              </w:rPr>
              <w:t>,</w:t>
            </w:r>
            <w:r w:rsidR="00B32DF9">
              <w:rPr>
                <w:rFonts w:ascii="Times New Roman" w:hAnsi="Times New Roman"/>
                <w:szCs w:val="24"/>
              </w:rPr>
              <w:t>920</w:t>
            </w:r>
          </w:p>
        </w:tc>
      </w:tr>
      <w:tr w14:paraId="4E047CAB" w14:textId="77777777" w:rsidTr="00587A4B">
        <w:tblPrEx>
          <w:tblW w:w="9360" w:type="dxa"/>
          <w:tblInd w:w="648" w:type="dxa"/>
          <w:tblLayout w:type="fixed"/>
          <w:tblLook w:val="0000"/>
        </w:tblPrEx>
        <w:tc>
          <w:tcPr>
            <w:tcW w:w="4590" w:type="dxa"/>
            <w:shd w:val="clear" w:color="auto" w:fill="C0C0C0"/>
          </w:tcPr>
          <w:p w:rsidR="00016EAA" w:rsidRPr="009D422B" w:rsidP="00587A4B" w14:paraId="12D289FA"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Total Annual Cost</w:t>
            </w:r>
          </w:p>
        </w:tc>
        <w:tc>
          <w:tcPr>
            <w:tcW w:w="898" w:type="dxa"/>
            <w:shd w:val="clear" w:color="auto" w:fill="C0C0C0"/>
          </w:tcPr>
          <w:p w:rsidR="00016EAA" w:rsidRPr="009D422B" w:rsidP="00587A4B" w14:paraId="3203EED9" w14:textId="77777777">
            <w:pPr>
              <w:pStyle w:val="BodyTextIndent"/>
              <w:spacing w:after="0"/>
              <w:ind w:left="0"/>
              <w:jc w:val="right"/>
              <w:rPr>
                <w:rFonts w:ascii="Times New Roman" w:hAnsi="Times New Roman"/>
                <w:szCs w:val="24"/>
              </w:rPr>
            </w:pPr>
          </w:p>
        </w:tc>
        <w:tc>
          <w:tcPr>
            <w:tcW w:w="857" w:type="dxa"/>
            <w:shd w:val="clear" w:color="auto" w:fill="C0C0C0"/>
          </w:tcPr>
          <w:p w:rsidR="00016EAA" w:rsidRPr="009D422B" w:rsidP="00587A4B" w14:paraId="5BEEC90E" w14:textId="77777777">
            <w:pPr>
              <w:pStyle w:val="BodyTextIndent"/>
              <w:spacing w:after="0"/>
              <w:ind w:left="0"/>
              <w:jc w:val="right"/>
              <w:rPr>
                <w:rFonts w:ascii="Times New Roman" w:hAnsi="Times New Roman"/>
                <w:szCs w:val="24"/>
              </w:rPr>
            </w:pPr>
          </w:p>
        </w:tc>
        <w:tc>
          <w:tcPr>
            <w:tcW w:w="1070" w:type="dxa"/>
            <w:shd w:val="clear" w:color="auto" w:fill="C0C0C0"/>
          </w:tcPr>
          <w:p w:rsidR="00016EAA" w:rsidRPr="009D422B" w:rsidP="00587A4B" w14:paraId="72A41033" w14:textId="77777777">
            <w:pPr>
              <w:pStyle w:val="BodyTextIndent"/>
              <w:spacing w:after="0"/>
              <w:ind w:left="0"/>
              <w:jc w:val="right"/>
              <w:rPr>
                <w:rFonts w:ascii="Times New Roman" w:hAnsi="Times New Roman"/>
                <w:szCs w:val="24"/>
              </w:rPr>
            </w:pPr>
          </w:p>
        </w:tc>
        <w:tc>
          <w:tcPr>
            <w:tcW w:w="875" w:type="dxa"/>
            <w:shd w:val="clear" w:color="auto" w:fill="C0C0C0"/>
          </w:tcPr>
          <w:p w:rsidR="00016EAA" w:rsidRPr="009D422B" w:rsidP="00587A4B" w14:paraId="1B0E66DF" w14:textId="77777777">
            <w:pPr>
              <w:pStyle w:val="BodyTextIndent"/>
              <w:spacing w:after="0"/>
              <w:ind w:left="0"/>
              <w:jc w:val="right"/>
              <w:rPr>
                <w:rFonts w:ascii="Times New Roman" w:hAnsi="Times New Roman"/>
                <w:b/>
                <w:bCs/>
                <w:szCs w:val="24"/>
              </w:rPr>
            </w:pPr>
          </w:p>
        </w:tc>
        <w:tc>
          <w:tcPr>
            <w:tcW w:w="1070" w:type="dxa"/>
            <w:shd w:val="clear" w:color="auto" w:fill="C0C0C0"/>
          </w:tcPr>
          <w:p w:rsidR="00B32DF9" w:rsidRPr="009D422B" w:rsidP="00B32DF9" w14:paraId="128D33AF" w14:textId="77777777">
            <w:pPr>
              <w:pStyle w:val="BodyTextIndent"/>
              <w:spacing w:after="0"/>
              <w:ind w:left="0"/>
              <w:jc w:val="right"/>
              <w:rPr>
                <w:rFonts w:ascii="Times New Roman" w:hAnsi="Times New Roman"/>
                <w:b/>
                <w:bCs/>
                <w:szCs w:val="24"/>
              </w:rPr>
            </w:pPr>
            <w:r w:rsidRPr="009D422B">
              <w:rPr>
                <w:rFonts w:ascii="Times New Roman" w:hAnsi="Times New Roman"/>
                <w:b/>
                <w:bCs/>
                <w:szCs w:val="24"/>
              </w:rPr>
              <w:t>$3</w:t>
            </w:r>
            <w:r>
              <w:rPr>
                <w:rFonts w:ascii="Times New Roman" w:hAnsi="Times New Roman"/>
                <w:b/>
                <w:bCs/>
                <w:szCs w:val="24"/>
              </w:rPr>
              <w:t>1</w:t>
            </w:r>
            <w:r w:rsidRPr="009D422B">
              <w:rPr>
                <w:rFonts w:ascii="Times New Roman" w:hAnsi="Times New Roman"/>
                <w:b/>
                <w:bCs/>
                <w:szCs w:val="24"/>
              </w:rPr>
              <w:t>,</w:t>
            </w:r>
            <w:r>
              <w:rPr>
                <w:rFonts w:ascii="Times New Roman" w:hAnsi="Times New Roman"/>
                <w:b/>
                <w:bCs/>
                <w:szCs w:val="24"/>
              </w:rPr>
              <w:t>020</w:t>
            </w:r>
          </w:p>
        </w:tc>
      </w:tr>
    </w:tbl>
    <w:p w:rsidR="00534B4A" w:rsidP="002313E2" w14:paraId="1D2F7986" w14:textId="77777777">
      <w:pPr>
        <w:pStyle w:val="ListParagraph"/>
        <w:tabs>
          <w:tab w:val="left" w:pos="-720"/>
        </w:tabs>
        <w:suppressAutoHyphens/>
        <w:ind w:left="907"/>
        <w:contextualSpacing w:val="0"/>
        <w:rPr>
          <w:rFonts w:ascii="Times New Roman" w:hAnsi="Times New Roman"/>
          <w:szCs w:val="24"/>
        </w:rPr>
      </w:pPr>
    </w:p>
    <w:p w:rsidR="00800D30" w:rsidP="002313E2" w14:paraId="4155D58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w:t>
      </w:r>
      <w:r w:rsidRPr="00800D30">
        <w:rPr>
          <w:rFonts w:ascii="Times New Roman" w:hAnsi="Times New Roman"/>
          <w:b/>
          <w:szCs w:val="24"/>
        </w:rPr>
        <w:t>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w:t>
      </w:r>
      <w:r w:rsidRPr="00800D30">
        <w:rPr>
          <w:rFonts w:ascii="Times New Roman" w:hAnsi="Times New Roman"/>
          <w:b/>
          <w:szCs w:val="24"/>
        </w:rPr>
        <w:t xml:space="preserve">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2313E2" w14:paraId="14ECAF2D" w14:textId="77777777">
      <w:pPr>
        <w:pStyle w:val="ListParagraph"/>
        <w:tabs>
          <w:tab w:val="left" w:pos="-720"/>
        </w:tabs>
        <w:suppressAutoHyphens/>
        <w:contextualSpacing w:val="0"/>
        <w:rPr>
          <w:rFonts w:ascii="Times New Roman" w:hAnsi="Times New Roman"/>
          <w:b/>
          <w:szCs w:val="24"/>
        </w:rPr>
      </w:pPr>
    </w:p>
    <w:p w:rsidR="00800D30" w:rsidRPr="003F0326" w:rsidP="002313E2" w14:paraId="570907BF"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016EAA" w:rsidP="00016EAA" w14:paraId="107AFF49" w14:textId="77777777">
      <w:pPr>
        <w:tabs>
          <w:tab w:val="left" w:pos="-720"/>
        </w:tabs>
        <w:suppressAutoHyphens/>
        <w:ind w:left="806"/>
        <w:rPr>
          <w:rFonts w:ascii="Times New Roman" w:hAnsi="Times New Roman"/>
          <w:szCs w:val="24"/>
        </w:rPr>
      </w:pPr>
    </w:p>
    <w:p w:rsidR="00016EAA" w:rsidRPr="00666333" w:rsidP="00952EFE" w14:paraId="59A03F47" w14:textId="77777777">
      <w:pPr>
        <w:tabs>
          <w:tab w:val="left" w:pos="-720"/>
        </w:tabs>
        <w:suppressAutoHyphens/>
        <w:ind w:left="720"/>
        <w:rPr>
          <w:rFonts w:ascii="Times New Roman" w:hAnsi="Times New Roman"/>
          <w:szCs w:val="24"/>
        </w:rPr>
      </w:pPr>
      <w:r>
        <w:rPr>
          <w:rFonts w:ascii="Times New Roman" w:hAnsi="Times New Roman"/>
          <w:szCs w:val="24"/>
        </w:rPr>
        <w:t>No</w:t>
      </w:r>
      <w:r w:rsidRPr="00C058A1">
        <w:rPr>
          <w:rFonts w:ascii="Times New Roman" w:hAnsi="Times New Roman"/>
          <w:szCs w:val="24"/>
        </w:rPr>
        <w:t xml:space="preserve"> material changes </w:t>
      </w:r>
      <w:r>
        <w:rPr>
          <w:rFonts w:ascii="Times New Roman" w:hAnsi="Times New Roman"/>
          <w:szCs w:val="24"/>
        </w:rPr>
        <w:t xml:space="preserve">were made to the reports </w:t>
      </w:r>
      <w:r w:rsidRPr="00C058A1">
        <w:rPr>
          <w:rFonts w:ascii="Times New Roman" w:hAnsi="Times New Roman"/>
          <w:szCs w:val="24"/>
        </w:rPr>
        <w:t xml:space="preserve">that would </w:t>
      </w:r>
      <w:r>
        <w:rPr>
          <w:rFonts w:ascii="Times New Roman" w:hAnsi="Times New Roman"/>
          <w:szCs w:val="24"/>
        </w:rPr>
        <w:t xml:space="preserve">change the burden currently on file. </w:t>
      </w:r>
    </w:p>
    <w:p w:rsidR="00016EAA" w:rsidP="002313E2" w14:paraId="73A863A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DE93763" w14:textId="77777777" w:rsidTr="0052073E">
        <w:tblPrEx>
          <w:tblW w:w="9445" w:type="dxa"/>
          <w:tblLook w:val="04A0"/>
        </w:tblPrEx>
        <w:tc>
          <w:tcPr>
            <w:tcW w:w="2048" w:type="dxa"/>
            <w:shd w:val="clear" w:color="auto" w:fill="D9D9D9" w:themeFill="background1" w:themeFillShade="D9"/>
          </w:tcPr>
          <w:p w:rsidR="0052073E" w:rsidP="002313E2" w14:paraId="1E02F35A" w14:textId="77777777">
            <w:pPr>
              <w:tabs>
                <w:tab w:val="left" w:pos="-720"/>
              </w:tabs>
              <w:suppressAutoHyphens/>
              <w:rPr>
                <w:rFonts w:ascii="Times New Roman" w:hAnsi="Times New Roman"/>
                <w:b/>
                <w:szCs w:val="24"/>
              </w:rPr>
            </w:pPr>
          </w:p>
        </w:tc>
        <w:tc>
          <w:tcPr>
            <w:tcW w:w="2048" w:type="dxa"/>
          </w:tcPr>
          <w:p w:rsidR="0052073E" w:rsidP="002313E2" w14:paraId="723E91D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14:paraId="656DF69D"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14:paraId="469ADBA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1585E76F" w14:textId="77777777" w:rsidTr="0052073E">
        <w:tblPrEx>
          <w:tblW w:w="9445" w:type="dxa"/>
          <w:tblLook w:val="04A0"/>
        </w:tblPrEx>
        <w:tc>
          <w:tcPr>
            <w:tcW w:w="2048" w:type="dxa"/>
          </w:tcPr>
          <w:p w:rsidR="00795ACD" w:rsidP="00795ACD" w14:paraId="36FEA0C4"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795ACD" w:rsidRPr="00795ACD" w:rsidP="00795ACD" w14:paraId="616A43D6" w14:textId="051D5D8E">
            <w:pPr>
              <w:tabs>
                <w:tab w:val="left" w:pos="-720"/>
              </w:tabs>
              <w:suppressAutoHyphens/>
              <w:rPr>
                <w:rFonts w:ascii="Times New Roman" w:hAnsi="Times New Roman"/>
                <w:bCs/>
                <w:szCs w:val="24"/>
              </w:rPr>
            </w:pPr>
            <w:r w:rsidRPr="00795ACD">
              <w:rPr>
                <w:rFonts w:ascii="Times New Roman" w:hAnsi="Times New Roman"/>
                <w:bCs/>
                <w:szCs w:val="24"/>
              </w:rPr>
              <w:t>N/A</w:t>
            </w:r>
          </w:p>
        </w:tc>
        <w:tc>
          <w:tcPr>
            <w:tcW w:w="2829" w:type="dxa"/>
          </w:tcPr>
          <w:p w:rsidR="00795ACD" w:rsidP="00795ACD" w14:paraId="44B95144" w14:textId="7CD23058">
            <w:pPr>
              <w:tabs>
                <w:tab w:val="left" w:pos="-720"/>
              </w:tabs>
              <w:suppressAutoHyphens/>
              <w:rPr>
                <w:rFonts w:ascii="Times New Roman" w:hAnsi="Times New Roman"/>
                <w:b/>
                <w:szCs w:val="24"/>
              </w:rPr>
            </w:pPr>
            <w:r w:rsidRPr="00795ACD">
              <w:rPr>
                <w:rFonts w:ascii="Times New Roman" w:hAnsi="Times New Roman"/>
                <w:bCs/>
                <w:szCs w:val="24"/>
              </w:rPr>
              <w:t>N/A</w:t>
            </w:r>
          </w:p>
        </w:tc>
        <w:tc>
          <w:tcPr>
            <w:tcW w:w="2520" w:type="dxa"/>
          </w:tcPr>
          <w:p w:rsidR="00795ACD" w:rsidP="00795ACD" w14:paraId="146F8675" w14:textId="26958E31">
            <w:pPr>
              <w:tabs>
                <w:tab w:val="left" w:pos="-720"/>
              </w:tabs>
              <w:suppressAutoHyphens/>
              <w:rPr>
                <w:rFonts w:ascii="Times New Roman" w:hAnsi="Times New Roman"/>
                <w:b/>
                <w:szCs w:val="24"/>
              </w:rPr>
            </w:pPr>
            <w:r w:rsidRPr="00795ACD">
              <w:rPr>
                <w:rFonts w:ascii="Times New Roman" w:hAnsi="Times New Roman"/>
                <w:bCs/>
                <w:szCs w:val="24"/>
              </w:rPr>
              <w:t>N/A</w:t>
            </w:r>
          </w:p>
        </w:tc>
      </w:tr>
      <w:tr w14:paraId="4834C34C" w14:textId="77777777" w:rsidTr="0052073E">
        <w:tblPrEx>
          <w:tblW w:w="9445" w:type="dxa"/>
          <w:tblLook w:val="04A0"/>
        </w:tblPrEx>
        <w:tc>
          <w:tcPr>
            <w:tcW w:w="2048" w:type="dxa"/>
          </w:tcPr>
          <w:p w:rsidR="00795ACD" w:rsidP="00795ACD" w14:paraId="4D0C584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795ACD" w:rsidP="00795ACD" w14:paraId="6DA281AA" w14:textId="2ABCFDDC">
            <w:pPr>
              <w:tabs>
                <w:tab w:val="left" w:pos="-720"/>
              </w:tabs>
              <w:suppressAutoHyphens/>
              <w:rPr>
                <w:rFonts w:ascii="Times New Roman" w:hAnsi="Times New Roman"/>
                <w:b/>
                <w:szCs w:val="24"/>
              </w:rPr>
            </w:pPr>
            <w:r w:rsidRPr="00795ACD">
              <w:rPr>
                <w:rFonts w:ascii="Times New Roman" w:hAnsi="Times New Roman"/>
                <w:bCs/>
                <w:szCs w:val="24"/>
              </w:rPr>
              <w:t>N/A</w:t>
            </w:r>
          </w:p>
        </w:tc>
        <w:tc>
          <w:tcPr>
            <w:tcW w:w="2829" w:type="dxa"/>
          </w:tcPr>
          <w:p w:rsidR="00795ACD" w:rsidP="00795ACD" w14:paraId="0E553E9D" w14:textId="1F8AC1D1">
            <w:pPr>
              <w:tabs>
                <w:tab w:val="left" w:pos="-720"/>
              </w:tabs>
              <w:suppressAutoHyphens/>
              <w:rPr>
                <w:rFonts w:ascii="Times New Roman" w:hAnsi="Times New Roman"/>
                <w:b/>
                <w:szCs w:val="24"/>
              </w:rPr>
            </w:pPr>
            <w:r w:rsidRPr="00795ACD">
              <w:rPr>
                <w:rFonts w:ascii="Times New Roman" w:hAnsi="Times New Roman"/>
                <w:bCs/>
                <w:szCs w:val="24"/>
              </w:rPr>
              <w:t>N/A</w:t>
            </w:r>
          </w:p>
        </w:tc>
        <w:tc>
          <w:tcPr>
            <w:tcW w:w="2520" w:type="dxa"/>
          </w:tcPr>
          <w:p w:rsidR="00795ACD" w:rsidP="00795ACD" w14:paraId="774FB737" w14:textId="38886119">
            <w:pPr>
              <w:tabs>
                <w:tab w:val="left" w:pos="-720"/>
              </w:tabs>
              <w:suppressAutoHyphens/>
              <w:rPr>
                <w:rFonts w:ascii="Times New Roman" w:hAnsi="Times New Roman"/>
                <w:b/>
                <w:szCs w:val="24"/>
              </w:rPr>
            </w:pPr>
            <w:r w:rsidRPr="00795ACD">
              <w:rPr>
                <w:rFonts w:ascii="Times New Roman" w:hAnsi="Times New Roman"/>
                <w:bCs/>
                <w:szCs w:val="24"/>
              </w:rPr>
              <w:t>N/A</w:t>
            </w:r>
          </w:p>
        </w:tc>
      </w:tr>
      <w:tr w14:paraId="764AE09F" w14:textId="77777777" w:rsidTr="0052073E">
        <w:tblPrEx>
          <w:tblW w:w="9445" w:type="dxa"/>
          <w:tblLook w:val="04A0"/>
        </w:tblPrEx>
        <w:tc>
          <w:tcPr>
            <w:tcW w:w="2048" w:type="dxa"/>
          </w:tcPr>
          <w:p w:rsidR="00795ACD" w:rsidP="00795ACD" w14:paraId="2B35207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795ACD" w:rsidP="00795ACD" w14:paraId="302A3CC2" w14:textId="2F63B7B1">
            <w:pPr>
              <w:tabs>
                <w:tab w:val="left" w:pos="-720"/>
              </w:tabs>
              <w:suppressAutoHyphens/>
              <w:rPr>
                <w:rFonts w:ascii="Times New Roman" w:hAnsi="Times New Roman"/>
                <w:b/>
                <w:szCs w:val="24"/>
              </w:rPr>
            </w:pPr>
            <w:r w:rsidRPr="00795ACD">
              <w:rPr>
                <w:rFonts w:ascii="Times New Roman" w:hAnsi="Times New Roman"/>
                <w:bCs/>
                <w:szCs w:val="24"/>
              </w:rPr>
              <w:t>N/A</w:t>
            </w:r>
          </w:p>
        </w:tc>
        <w:tc>
          <w:tcPr>
            <w:tcW w:w="2829" w:type="dxa"/>
          </w:tcPr>
          <w:p w:rsidR="00795ACD" w:rsidP="00795ACD" w14:paraId="5F69B0AC" w14:textId="293A3177">
            <w:pPr>
              <w:tabs>
                <w:tab w:val="left" w:pos="-720"/>
              </w:tabs>
              <w:suppressAutoHyphens/>
              <w:rPr>
                <w:rFonts w:ascii="Times New Roman" w:hAnsi="Times New Roman"/>
                <w:b/>
                <w:szCs w:val="24"/>
              </w:rPr>
            </w:pPr>
            <w:r w:rsidRPr="00795ACD">
              <w:rPr>
                <w:rFonts w:ascii="Times New Roman" w:hAnsi="Times New Roman"/>
                <w:bCs/>
                <w:szCs w:val="24"/>
              </w:rPr>
              <w:t>N/A</w:t>
            </w:r>
          </w:p>
        </w:tc>
        <w:tc>
          <w:tcPr>
            <w:tcW w:w="2520" w:type="dxa"/>
          </w:tcPr>
          <w:p w:rsidR="00795ACD" w:rsidP="00795ACD" w14:paraId="74AB9A49" w14:textId="6301BEC4">
            <w:pPr>
              <w:tabs>
                <w:tab w:val="left" w:pos="-720"/>
              </w:tabs>
              <w:suppressAutoHyphens/>
              <w:rPr>
                <w:rFonts w:ascii="Times New Roman" w:hAnsi="Times New Roman"/>
                <w:b/>
                <w:szCs w:val="24"/>
              </w:rPr>
            </w:pPr>
            <w:r w:rsidRPr="00795ACD">
              <w:rPr>
                <w:rFonts w:ascii="Times New Roman" w:hAnsi="Times New Roman"/>
                <w:bCs/>
                <w:szCs w:val="24"/>
              </w:rPr>
              <w:t>N/A</w:t>
            </w:r>
          </w:p>
        </w:tc>
      </w:tr>
    </w:tbl>
    <w:p w:rsidR="002A4569" w:rsidP="00F64320" w14:paraId="5D1DB0D6" w14:textId="77777777">
      <w:pPr>
        <w:pStyle w:val="ListParagraph"/>
        <w:suppressAutoHyphens/>
        <w:rPr>
          <w:rFonts w:ascii="Times New Roman" w:hAnsi="Times New Roman"/>
          <w:color w:val="FF0000"/>
          <w:szCs w:val="24"/>
        </w:rPr>
      </w:pPr>
    </w:p>
    <w:p w:rsidR="00F64320" w:rsidP="00F64320" w14:paraId="27A78AE7" w14:textId="476086BC">
      <w:pPr>
        <w:pStyle w:val="ListParagraph"/>
        <w:suppressAutoHyphens/>
        <w:rPr>
          <w:rFonts w:ascii="Times New Roman" w:hAnsi="Times New Roman"/>
          <w:color w:val="FF0000"/>
          <w:szCs w:val="24"/>
        </w:rPr>
      </w:pPr>
      <w:r w:rsidRPr="000F5EC2">
        <w:rPr>
          <w:rFonts w:ascii="Times New Roman" w:hAnsi="Times New Roman"/>
          <w:color w:val="FF0000"/>
          <w:szCs w:val="24"/>
        </w:rPr>
        <w:t>3/1</w:t>
      </w:r>
      <w:r>
        <w:rPr>
          <w:rFonts w:ascii="Times New Roman" w:hAnsi="Times New Roman"/>
          <w:color w:val="FF0000"/>
          <w:szCs w:val="24"/>
        </w:rPr>
        <w:t>4</w:t>
      </w:r>
      <w:r w:rsidRPr="000F5EC2">
        <w:rPr>
          <w:rFonts w:ascii="Times New Roman" w:hAnsi="Times New Roman"/>
          <w:color w:val="FF0000"/>
          <w:szCs w:val="24"/>
        </w:rPr>
        <w:t>/25:</w:t>
      </w:r>
    </w:p>
    <w:p w:rsidR="00F64320" w:rsidRPr="00F64320" w:rsidP="00F64320" w14:paraId="1197E984" w14:textId="31C09DBC">
      <w:pPr>
        <w:pStyle w:val="ListParagraph"/>
        <w:suppressAutoHyphens/>
        <w:rPr>
          <w:rFonts w:ascii="Times New Roman" w:hAnsi="Times New Roman"/>
          <w:color w:val="FF0000"/>
          <w:szCs w:val="24"/>
        </w:rPr>
      </w:pPr>
      <w:r w:rsidRPr="00F64320">
        <w:rPr>
          <w:rFonts w:ascii="Times New Roman" w:hAnsi="Times New Roman"/>
          <w:color w:val="FF0000"/>
          <w:szCs w:val="24"/>
        </w:rPr>
        <w:t>There are no program changes or adjustments associated with this change request.</w:t>
      </w:r>
    </w:p>
    <w:p w:rsidR="009E7F4D" w14:paraId="35597023" w14:textId="61888CDE">
      <w:pPr>
        <w:rPr>
          <w:rFonts w:ascii="Times New Roman" w:hAnsi="Times New Roman"/>
          <w:szCs w:val="24"/>
        </w:rPr>
      </w:pPr>
    </w:p>
    <w:p w:rsidR="00534B4A" w:rsidRPr="00534B4A" w:rsidP="002313E2" w14:paraId="432FB54C" w14:textId="77777777">
      <w:pPr>
        <w:tabs>
          <w:tab w:val="left" w:pos="-720"/>
        </w:tabs>
        <w:suppressAutoHyphens/>
        <w:rPr>
          <w:rFonts w:ascii="Times New Roman" w:hAnsi="Times New Roman"/>
          <w:szCs w:val="24"/>
        </w:rPr>
      </w:pPr>
    </w:p>
    <w:p w:rsidR="00043C32" w:rsidP="00952EFE" w14:paraId="184B027F"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w:t>
      </w:r>
      <w:r w:rsidRPr="00534B4A">
        <w:rPr>
          <w:rStyle w:val="a"/>
          <w:rFonts w:ascii="Times New Roman" w:hAnsi="Times New Roman"/>
          <w:b/>
          <w:szCs w:val="24"/>
        </w:rPr>
        <w:t>project, including beginning and ending dates of the collection of information, completion of report, publication dates, and other actions.</w:t>
      </w:r>
    </w:p>
    <w:p w:rsidR="00016EAA" w:rsidP="00016EAA" w14:paraId="10AB8C78" w14:textId="77777777">
      <w:pPr>
        <w:pStyle w:val="ListParagraph"/>
        <w:rPr>
          <w:rFonts w:ascii="Times New Roman" w:hAnsi="Times New Roman"/>
          <w:szCs w:val="24"/>
        </w:rPr>
      </w:pPr>
    </w:p>
    <w:p w:rsidR="00016EAA" w:rsidP="00016EAA" w14:paraId="20389244" w14:textId="77777777">
      <w:pPr>
        <w:pStyle w:val="ListParagraph"/>
        <w:rPr>
          <w:rFonts w:ascii="Times New Roman" w:hAnsi="Times New Roman"/>
          <w:szCs w:val="24"/>
        </w:rPr>
      </w:pPr>
      <w:r w:rsidRPr="00016EAA">
        <w:rPr>
          <w:rFonts w:ascii="Times New Roman" w:hAnsi="Times New Roman"/>
          <w:szCs w:val="24"/>
        </w:rPr>
        <w:t xml:space="preserve">The information collected from the performance reports will be analyzed to determine if each grantee is meeting the approved goals and objectives for the project.  Further, the information will be aggregated into a single program report and evaluated to determine if the program as a whole is meeting its purpose.  The aggregated data in the report will include </w:t>
      </w:r>
      <w:r w:rsidRPr="00AC1644">
        <w:rPr>
          <w:rFonts w:ascii="Times New Roman" w:hAnsi="Times New Roman"/>
          <w:szCs w:val="24"/>
        </w:rPr>
        <w:t>demographic profiles of project participants</w:t>
      </w:r>
      <w:r w:rsidRPr="00016EAA">
        <w:rPr>
          <w:rFonts w:ascii="Times New Roman" w:hAnsi="Times New Roman"/>
          <w:szCs w:val="24"/>
        </w:rPr>
        <w:t>, interim and final project outcomes (such as progress towards and attainment of the Masters or Doctoral degrees), and program profiles o</w:t>
      </w:r>
      <w:r w:rsidRPr="00AC1644">
        <w:rPr>
          <w:rFonts w:ascii="Times New Roman" w:hAnsi="Times New Roman"/>
          <w:szCs w:val="24"/>
        </w:rPr>
        <w:t>f types of services provided.</w:t>
      </w:r>
      <w:r w:rsidRPr="00016EAA">
        <w:rPr>
          <w:rFonts w:ascii="Times New Roman" w:hAnsi="Times New Roman"/>
          <w:szCs w:val="24"/>
        </w:rPr>
        <w:t xml:space="preserve">  </w:t>
      </w:r>
    </w:p>
    <w:p w:rsidR="00016EAA" w:rsidP="00016EAA" w14:paraId="354FF6CC" w14:textId="77777777">
      <w:pPr>
        <w:pStyle w:val="ListParagraph"/>
        <w:rPr>
          <w:rFonts w:ascii="Times New Roman" w:hAnsi="Times New Roman"/>
          <w:szCs w:val="24"/>
        </w:rPr>
      </w:pPr>
    </w:p>
    <w:p w:rsidR="00016EAA" w:rsidRPr="00666333" w:rsidP="00016EAA" w14:paraId="57BBBD82" w14:textId="77777777">
      <w:pPr>
        <w:tabs>
          <w:tab w:val="left" w:pos="-720"/>
        </w:tabs>
        <w:suppressAutoHyphens/>
        <w:ind w:left="720"/>
        <w:rPr>
          <w:rFonts w:ascii="Times New Roman" w:hAnsi="Times New Roman"/>
          <w:szCs w:val="24"/>
        </w:rPr>
      </w:pPr>
      <w:r w:rsidRPr="00666333">
        <w:rPr>
          <w:rFonts w:ascii="Times New Roman" w:hAnsi="Times New Roman"/>
          <w:szCs w:val="24"/>
        </w:rPr>
        <w:t xml:space="preserve">The data will be reported at the conclusion of the three-year grant period.  Grants are scheduled to expire in </w:t>
      </w:r>
      <w:r>
        <w:rPr>
          <w:rFonts w:ascii="Times New Roman" w:hAnsi="Times New Roman"/>
          <w:szCs w:val="24"/>
        </w:rPr>
        <w:t>September</w:t>
      </w:r>
      <w:r w:rsidRPr="00666333">
        <w:rPr>
          <w:rFonts w:ascii="Times New Roman" w:hAnsi="Times New Roman"/>
          <w:szCs w:val="24"/>
        </w:rPr>
        <w:t xml:space="preserve"> of the third year of funding.  Final reports are then due to the program office 90 days after the expiration of the grant.  Program staff will analyze the data for reporting in January.  No complex analytical or statistical techniques will be used.</w:t>
      </w:r>
    </w:p>
    <w:p w:rsidR="00534B4A" w:rsidRPr="00534B4A" w:rsidP="002313E2" w14:paraId="5862166B" w14:textId="77777777">
      <w:pPr>
        <w:tabs>
          <w:tab w:val="left" w:pos="-720"/>
        </w:tabs>
        <w:suppressAutoHyphens/>
        <w:rPr>
          <w:rFonts w:ascii="Times New Roman" w:hAnsi="Times New Roman"/>
          <w:szCs w:val="24"/>
        </w:rPr>
      </w:pPr>
    </w:p>
    <w:p w:rsidR="00043C32" w:rsidRPr="00534B4A" w:rsidP="00952EFE" w14:paraId="4602D9D1"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766B03AF" w14:textId="77777777">
      <w:pPr>
        <w:tabs>
          <w:tab w:val="left" w:pos="-720"/>
        </w:tabs>
        <w:suppressAutoHyphens/>
        <w:ind w:left="360"/>
        <w:rPr>
          <w:rFonts w:ascii="Times New Roman" w:hAnsi="Times New Roman"/>
          <w:b/>
          <w:szCs w:val="24"/>
        </w:rPr>
      </w:pPr>
    </w:p>
    <w:p w:rsidR="00016EAA" w:rsidRPr="007964C5" w:rsidP="00016EAA" w14:paraId="02794BD6" w14:textId="77777777">
      <w:pPr>
        <w:tabs>
          <w:tab w:val="left" w:pos="-720"/>
        </w:tabs>
        <w:suppressAutoHyphens/>
        <w:ind w:left="720"/>
        <w:rPr>
          <w:rFonts w:ascii="Times New Roman" w:hAnsi="Times New Roman"/>
          <w:szCs w:val="24"/>
        </w:rPr>
      </w:pPr>
      <w:r w:rsidRPr="007964C5">
        <w:rPr>
          <w:rFonts w:ascii="Times New Roman" w:hAnsi="Times New Roman"/>
          <w:szCs w:val="24"/>
        </w:rPr>
        <w:t>The Department will display on the forms the expiration date for the OMB approval as required.</w:t>
      </w:r>
    </w:p>
    <w:p w:rsidR="00534B4A" w:rsidRPr="00534B4A" w:rsidP="002313E2" w14:paraId="025EFC94" w14:textId="77777777">
      <w:pPr>
        <w:tabs>
          <w:tab w:val="left" w:pos="-720"/>
        </w:tabs>
        <w:suppressAutoHyphens/>
        <w:ind w:left="360"/>
        <w:rPr>
          <w:rFonts w:ascii="Times New Roman" w:hAnsi="Times New Roman"/>
          <w:szCs w:val="24"/>
        </w:rPr>
      </w:pPr>
    </w:p>
    <w:p w:rsidR="001C73C0" w:rsidP="00952EFE" w14:paraId="110C7736"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016EAA" w:rsidP="00016EAA" w14:paraId="26461AFF" w14:textId="77777777">
      <w:pPr>
        <w:tabs>
          <w:tab w:val="left" w:pos="-720"/>
        </w:tabs>
        <w:suppressAutoHyphens/>
        <w:rPr>
          <w:rFonts w:ascii="Times New Roman" w:hAnsi="Times New Roman"/>
          <w:b/>
          <w:szCs w:val="24"/>
        </w:rPr>
      </w:pPr>
    </w:p>
    <w:p w:rsidR="00016EAA" w:rsidRPr="00016EAA" w:rsidP="00952EFE" w14:paraId="6A866652" w14:textId="77777777">
      <w:pPr>
        <w:tabs>
          <w:tab w:val="left" w:pos="-720"/>
        </w:tabs>
        <w:suppressAutoHyphens/>
        <w:ind w:left="720"/>
        <w:rPr>
          <w:rFonts w:ascii="Times New Roman" w:hAnsi="Times New Roman"/>
          <w:b/>
          <w:szCs w:val="24"/>
        </w:rPr>
      </w:pPr>
      <w:r w:rsidRPr="00666333">
        <w:rPr>
          <w:rFonts w:ascii="Times New Roman" w:hAnsi="Times New Roman"/>
          <w:szCs w:val="24"/>
        </w:rPr>
        <w:t xml:space="preserve">There are no </w:t>
      </w:r>
      <w:r w:rsidRPr="00666333">
        <w:rPr>
          <w:rFonts w:ascii="Times New Roman" w:hAnsi="Times New Roman"/>
          <w:szCs w:val="24"/>
        </w:rPr>
        <w:t>exceptions to the certification statement.</w:t>
      </w:r>
    </w:p>
    <w:sectPr w:rsidSect="009758F9">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C" w14:paraId="354F8FE6" w14:textId="77777777">
    <w:pPr>
      <w:spacing w:before="140" w:line="100" w:lineRule="exact"/>
      <w:rPr>
        <w:sz w:val="10"/>
      </w:rPr>
    </w:pPr>
  </w:p>
  <w:p w:rsidR="0056627C" w14:paraId="48504B83" w14:textId="77777777">
    <w:pPr>
      <w:tabs>
        <w:tab w:val="left" w:pos="0"/>
      </w:tabs>
      <w:suppressAutoHyphens/>
    </w:pPr>
  </w:p>
  <w:p w:rsidR="0056627C" w14:paraId="4B6DBC14"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56627C"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56627C" w:rsidRPr="00534B4A" w14:paraId="2ED146BD"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2097" w:rsidP="00043C32" w14:paraId="41103C91" w14:textId="77777777">
      <w:r>
        <w:separator/>
      </w:r>
    </w:p>
  </w:footnote>
  <w:footnote w:type="continuationSeparator" w:id="1">
    <w:p w:rsidR="00492097" w:rsidP="00043C32" w14:paraId="7076C551" w14:textId="77777777">
      <w:r>
        <w:continuationSeparator/>
      </w:r>
    </w:p>
  </w:footnote>
  <w:footnote w:id="2">
    <w:p w:rsidR="00043C32" w:rsidP="00043C32" w14:paraId="246814C9"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w:t>
      </w:r>
      <w:r>
        <w:rPr>
          <w:rFonts w:ascii="Times New Roman" w:hAnsi="Times New Roman"/>
          <w:sz w:val="20"/>
        </w:rPr>
        <w:t>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7594777">
    <w:abstractNumId w:val="0"/>
  </w:num>
  <w:num w:numId="2" w16cid:durableId="1949460092">
    <w:abstractNumId w:val="2"/>
  </w:num>
  <w:num w:numId="3" w16cid:durableId="1970085109">
    <w:abstractNumId w:val="1"/>
  </w:num>
  <w:num w:numId="4" w16cid:durableId="1788963317">
    <w:abstractNumId w:val="3"/>
  </w:num>
  <w:num w:numId="5" w16cid:durableId="207462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EAA"/>
    <w:rsid w:val="00035ED5"/>
    <w:rsid w:val="00043C32"/>
    <w:rsid w:val="000446F5"/>
    <w:rsid w:val="00063A39"/>
    <w:rsid w:val="00071797"/>
    <w:rsid w:val="00074A64"/>
    <w:rsid w:val="000850B3"/>
    <w:rsid w:val="00093017"/>
    <w:rsid w:val="000F5EC2"/>
    <w:rsid w:val="00105570"/>
    <w:rsid w:val="001223FC"/>
    <w:rsid w:val="00127996"/>
    <w:rsid w:val="00163BB2"/>
    <w:rsid w:val="001660AC"/>
    <w:rsid w:val="001706D6"/>
    <w:rsid w:val="001824F3"/>
    <w:rsid w:val="001A6AE0"/>
    <w:rsid w:val="001B3F44"/>
    <w:rsid w:val="001B4FCB"/>
    <w:rsid w:val="001C58F7"/>
    <w:rsid w:val="001C73C0"/>
    <w:rsid w:val="001E7294"/>
    <w:rsid w:val="001E79BD"/>
    <w:rsid w:val="00200ECC"/>
    <w:rsid w:val="00221318"/>
    <w:rsid w:val="002225CC"/>
    <w:rsid w:val="00224A3B"/>
    <w:rsid w:val="002313E2"/>
    <w:rsid w:val="00240A39"/>
    <w:rsid w:val="002430BF"/>
    <w:rsid w:val="00246FE9"/>
    <w:rsid w:val="00250100"/>
    <w:rsid w:val="00262A69"/>
    <w:rsid w:val="00267A81"/>
    <w:rsid w:val="00270AF7"/>
    <w:rsid w:val="00296801"/>
    <w:rsid w:val="002A3221"/>
    <w:rsid w:val="002A4569"/>
    <w:rsid w:val="002C3520"/>
    <w:rsid w:val="002E14E0"/>
    <w:rsid w:val="002F0981"/>
    <w:rsid w:val="002F30C9"/>
    <w:rsid w:val="002F55E5"/>
    <w:rsid w:val="0030072A"/>
    <w:rsid w:val="0032078A"/>
    <w:rsid w:val="0032539E"/>
    <w:rsid w:val="00326B70"/>
    <w:rsid w:val="003860E4"/>
    <w:rsid w:val="0038669E"/>
    <w:rsid w:val="003B1545"/>
    <w:rsid w:val="003D4295"/>
    <w:rsid w:val="003E72E9"/>
    <w:rsid w:val="003F0326"/>
    <w:rsid w:val="003F3090"/>
    <w:rsid w:val="003F73D5"/>
    <w:rsid w:val="003F7E29"/>
    <w:rsid w:val="00412915"/>
    <w:rsid w:val="00417F8B"/>
    <w:rsid w:val="00442E07"/>
    <w:rsid w:val="00470938"/>
    <w:rsid w:val="00470DC1"/>
    <w:rsid w:val="00471F11"/>
    <w:rsid w:val="004767B2"/>
    <w:rsid w:val="00485217"/>
    <w:rsid w:val="00492097"/>
    <w:rsid w:val="004A2AB7"/>
    <w:rsid w:val="004E0A0E"/>
    <w:rsid w:val="00501EAE"/>
    <w:rsid w:val="0052073E"/>
    <w:rsid w:val="005237D9"/>
    <w:rsid w:val="00534B4A"/>
    <w:rsid w:val="00537272"/>
    <w:rsid w:val="00537E2B"/>
    <w:rsid w:val="00544F67"/>
    <w:rsid w:val="0056627C"/>
    <w:rsid w:val="0056644B"/>
    <w:rsid w:val="00566F06"/>
    <w:rsid w:val="00575DDA"/>
    <w:rsid w:val="00581C11"/>
    <w:rsid w:val="00587A4B"/>
    <w:rsid w:val="005B4823"/>
    <w:rsid w:val="005D5A1D"/>
    <w:rsid w:val="00604F30"/>
    <w:rsid w:val="00606FAC"/>
    <w:rsid w:val="006234DC"/>
    <w:rsid w:val="00630ABB"/>
    <w:rsid w:val="00632BBE"/>
    <w:rsid w:val="00641ED8"/>
    <w:rsid w:val="006420A3"/>
    <w:rsid w:val="00666333"/>
    <w:rsid w:val="0067094A"/>
    <w:rsid w:val="00676195"/>
    <w:rsid w:val="0068567A"/>
    <w:rsid w:val="006A292A"/>
    <w:rsid w:val="006A38F7"/>
    <w:rsid w:val="006A4EBB"/>
    <w:rsid w:val="006B4172"/>
    <w:rsid w:val="006D06E9"/>
    <w:rsid w:val="00713B69"/>
    <w:rsid w:val="00734009"/>
    <w:rsid w:val="007455A0"/>
    <w:rsid w:val="00753F18"/>
    <w:rsid w:val="00754F3D"/>
    <w:rsid w:val="00755D99"/>
    <w:rsid w:val="00756FD3"/>
    <w:rsid w:val="00765392"/>
    <w:rsid w:val="00774529"/>
    <w:rsid w:val="00790E3E"/>
    <w:rsid w:val="00795ACD"/>
    <w:rsid w:val="007964C5"/>
    <w:rsid w:val="007A5FC8"/>
    <w:rsid w:val="007C0A4C"/>
    <w:rsid w:val="007F0490"/>
    <w:rsid w:val="007F6104"/>
    <w:rsid w:val="00800D30"/>
    <w:rsid w:val="00804AC0"/>
    <w:rsid w:val="00807C0E"/>
    <w:rsid w:val="00807D1A"/>
    <w:rsid w:val="00810034"/>
    <w:rsid w:val="00811107"/>
    <w:rsid w:val="008138D6"/>
    <w:rsid w:val="008345A6"/>
    <w:rsid w:val="00842E3C"/>
    <w:rsid w:val="00860E11"/>
    <w:rsid w:val="00874EFE"/>
    <w:rsid w:val="00882126"/>
    <w:rsid w:val="0088265E"/>
    <w:rsid w:val="00884A42"/>
    <w:rsid w:val="008933F1"/>
    <w:rsid w:val="008B1D96"/>
    <w:rsid w:val="008B1FA8"/>
    <w:rsid w:val="008D0601"/>
    <w:rsid w:val="008D1F11"/>
    <w:rsid w:val="008E5919"/>
    <w:rsid w:val="008F6953"/>
    <w:rsid w:val="00905951"/>
    <w:rsid w:val="00912D2C"/>
    <w:rsid w:val="00912F5A"/>
    <w:rsid w:val="00916EE4"/>
    <w:rsid w:val="00920F63"/>
    <w:rsid w:val="0092231A"/>
    <w:rsid w:val="009243F3"/>
    <w:rsid w:val="009262D6"/>
    <w:rsid w:val="0093366B"/>
    <w:rsid w:val="00934185"/>
    <w:rsid w:val="00946126"/>
    <w:rsid w:val="00952DF9"/>
    <w:rsid w:val="00952EFE"/>
    <w:rsid w:val="0095421D"/>
    <w:rsid w:val="00960C86"/>
    <w:rsid w:val="009720AF"/>
    <w:rsid w:val="009758F9"/>
    <w:rsid w:val="009767AF"/>
    <w:rsid w:val="00981F58"/>
    <w:rsid w:val="00986D0A"/>
    <w:rsid w:val="009B299B"/>
    <w:rsid w:val="009B3448"/>
    <w:rsid w:val="009C4356"/>
    <w:rsid w:val="009C639F"/>
    <w:rsid w:val="009D422B"/>
    <w:rsid w:val="009E1EB0"/>
    <w:rsid w:val="009E3E86"/>
    <w:rsid w:val="009E7F4D"/>
    <w:rsid w:val="009E7F52"/>
    <w:rsid w:val="00A06788"/>
    <w:rsid w:val="00A118A2"/>
    <w:rsid w:val="00A14867"/>
    <w:rsid w:val="00A23F26"/>
    <w:rsid w:val="00A4001C"/>
    <w:rsid w:val="00A40AAB"/>
    <w:rsid w:val="00A46D01"/>
    <w:rsid w:val="00A52661"/>
    <w:rsid w:val="00A70816"/>
    <w:rsid w:val="00A73590"/>
    <w:rsid w:val="00A7636D"/>
    <w:rsid w:val="00A9138E"/>
    <w:rsid w:val="00AC1644"/>
    <w:rsid w:val="00AC1C89"/>
    <w:rsid w:val="00AC361D"/>
    <w:rsid w:val="00AC3695"/>
    <w:rsid w:val="00AC6054"/>
    <w:rsid w:val="00AD381B"/>
    <w:rsid w:val="00AE0C0C"/>
    <w:rsid w:val="00AF5B5B"/>
    <w:rsid w:val="00AF5D1A"/>
    <w:rsid w:val="00B017F9"/>
    <w:rsid w:val="00B07213"/>
    <w:rsid w:val="00B10A05"/>
    <w:rsid w:val="00B32A45"/>
    <w:rsid w:val="00B32DF9"/>
    <w:rsid w:val="00B54167"/>
    <w:rsid w:val="00B623A1"/>
    <w:rsid w:val="00B62E06"/>
    <w:rsid w:val="00B64B1D"/>
    <w:rsid w:val="00B92ADB"/>
    <w:rsid w:val="00B94170"/>
    <w:rsid w:val="00B95404"/>
    <w:rsid w:val="00B9671B"/>
    <w:rsid w:val="00B97089"/>
    <w:rsid w:val="00BA1D31"/>
    <w:rsid w:val="00BC1143"/>
    <w:rsid w:val="00BE43D2"/>
    <w:rsid w:val="00BF12B4"/>
    <w:rsid w:val="00BF1A99"/>
    <w:rsid w:val="00C058A1"/>
    <w:rsid w:val="00C13297"/>
    <w:rsid w:val="00C164D3"/>
    <w:rsid w:val="00C20670"/>
    <w:rsid w:val="00C2134A"/>
    <w:rsid w:val="00C224FD"/>
    <w:rsid w:val="00C41D8D"/>
    <w:rsid w:val="00C54FF0"/>
    <w:rsid w:val="00C766B8"/>
    <w:rsid w:val="00C86713"/>
    <w:rsid w:val="00C875E8"/>
    <w:rsid w:val="00C92035"/>
    <w:rsid w:val="00CA5CB4"/>
    <w:rsid w:val="00CC2A72"/>
    <w:rsid w:val="00CC3FB5"/>
    <w:rsid w:val="00CD2067"/>
    <w:rsid w:val="00CD47BC"/>
    <w:rsid w:val="00CF77A5"/>
    <w:rsid w:val="00D23A97"/>
    <w:rsid w:val="00D34984"/>
    <w:rsid w:val="00D36C35"/>
    <w:rsid w:val="00D416DC"/>
    <w:rsid w:val="00D45812"/>
    <w:rsid w:val="00D46379"/>
    <w:rsid w:val="00D47252"/>
    <w:rsid w:val="00D75313"/>
    <w:rsid w:val="00D80017"/>
    <w:rsid w:val="00D859C3"/>
    <w:rsid w:val="00DA159D"/>
    <w:rsid w:val="00DA220D"/>
    <w:rsid w:val="00DF582E"/>
    <w:rsid w:val="00E16ACD"/>
    <w:rsid w:val="00E17134"/>
    <w:rsid w:val="00E17883"/>
    <w:rsid w:val="00E212BA"/>
    <w:rsid w:val="00E25EBC"/>
    <w:rsid w:val="00E44E3A"/>
    <w:rsid w:val="00E66550"/>
    <w:rsid w:val="00E83A23"/>
    <w:rsid w:val="00E877BF"/>
    <w:rsid w:val="00EA1767"/>
    <w:rsid w:val="00EA472B"/>
    <w:rsid w:val="00EB0842"/>
    <w:rsid w:val="00EB0929"/>
    <w:rsid w:val="00EB0FA5"/>
    <w:rsid w:val="00EB7943"/>
    <w:rsid w:val="00EC004E"/>
    <w:rsid w:val="00EC01DD"/>
    <w:rsid w:val="00EC0DEE"/>
    <w:rsid w:val="00EC0EEC"/>
    <w:rsid w:val="00EC35E3"/>
    <w:rsid w:val="00ED7195"/>
    <w:rsid w:val="00EE2921"/>
    <w:rsid w:val="00F0414F"/>
    <w:rsid w:val="00F070F3"/>
    <w:rsid w:val="00F27AAF"/>
    <w:rsid w:val="00F31BEC"/>
    <w:rsid w:val="00F52395"/>
    <w:rsid w:val="00F554B5"/>
    <w:rsid w:val="00F5782B"/>
    <w:rsid w:val="00F57FF9"/>
    <w:rsid w:val="00F64320"/>
    <w:rsid w:val="00F73131"/>
    <w:rsid w:val="00F73C9A"/>
    <w:rsid w:val="00F84DBC"/>
    <w:rsid w:val="00FC3288"/>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F0C8C3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BodyTextIndent2">
    <w:name w:val="Body Text Indent 2"/>
    <w:basedOn w:val="Normal"/>
    <w:link w:val="BodyTextIndent2Char"/>
    <w:semiHidden/>
    <w:rsid w:val="005D5A1D"/>
    <w:pPr>
      <w:ind w:left="432" w:hanging="432"/>
    </w:pPr>
    <w:rPr>
      <w:rFonts w:ascii="Times New Roman" w:hAnsi="Times New Roman"/>
      <w:szCs w:val="24"/>
    </w:rPr>
  </w:style>
  <w:style w:type="character" w:customStyle="1" w:styleId="BodyTextIndent2Char">
    <w:name w:val="Body Text Indent 2 Char"/>
    <w:basedOn w:val="DefaultParagraphFont"/>
    <w:link w:val="BodyTextIndent2"/>
    <w:semiHidden/>
    <w:rsid w:val="005D5A1D"/>
    <w:rPr>
      <w:sz w:val="24"/>
      <w:szCs w:val="24"/>
    </w:rPr>
  </w:style>
  <w:style w:type="paragraph" w:styleId="BodyTextIndent">
    <w:name w:val="Body Text Indent"/>
    <w:basedOn w:val="Normal"/>
    <w:link w:val="BodyTextIndentChar"/>
    <w:uiPriority w:val="99"/>
    <w:unhideWhenUsed/>
    <w:rsid w:val="00016EAA"/>
    <w:pPr>
      <w:spacing w:after="120"/>
      <w:ind w:left="360"/>
    </w:pPr>
  </w:style>
  <w:style w:type="character" w:customStyle="1" w:styleId="BodyTextIndentChar">
    <w:name w:val="Body Text Indent Char"/>
    <w:basedOn w:val="DefaultParagraphFont"/>
    <w:link w:val="BodyTextIndent"/>
    <w:uiPriority w:val="99"/>
    <w:rsid w:val="00016EAA"/>
    <w:rPr>
      <w:rFonts w:ascii="Courier" w:hAnsi="Courier"/>
      <w:sz w:val="24"/>
    </w:rPr>
  </w:style>
  <w:style w:type="paragraph" w:styleId="Revision">
    <w:name w:val="Revision"/>
    <w:hidden/>
    <w:uiPriority w:val="99"/>
    <w:semiHidden/>
    <w:rsid w:val="00A52661"/>
    <w:rPr>
      <w:rFonts w:ascii="Courier" w:hAnsi="Courier"/>
      <w:sz w:val="24"/>
    </w:rPr>
  </w:style>
  <w:style w:type="paragraph" w:customStyle="1" w:styleId="pf0">
    <w:name w:val="pf0"/>
    <w:basedOn w:val="Normal"/>
    <w:rsid w:val="00606FAC"/>
    <w:pPr>
      <w:spacing w:before="100" w:beforeAutospacing="1" w:after="100" w:afterAutospacing="1"/>
    </w:pPr>
    <w:rPr>
      <w:rFonts w:ascii="Times New Roman" w:hAnsi="Times New Roman"/>
      <w:szCs w:val="24"/>
    </w:rPr>
  </w:style>
  <w:style w:type="character" w:customStyle="1" w:styleId="cf01">
    <w:name w:val="cf01"/>
    <w:basedOn w:val="DefaultParagraphFont"/>
    <w:rsid w:val="00606FAC"/>
    <w:rPr>
      <w:rFonts w:ascii="Segoe UI" w:hAnsi="Segoe UI" w:cs="Segoe UI" w:hint="default"/>
      <w:color w:val="030A13"/>
      <w:sz w:val="18"/>
      <w:szCs w:val="18"/>
      <w:shd w:val="clear" w:color="auto" w:fill="FFFFFF"/>
    </w:rPr>
  </w:style>
  <w:style w:type="character" w:customStyle="1" w:styleId="cf11">
    <w:name w:val="cf11"/>
    <w:basedOn w:val="DefaultParagraphFont"/>
    <w:rsid w:val="00606FAC"/>
    <w:rPr>
      <w:rFonts w:ascii="Segoe UI" w:hAnsi="Segoe UI" w:cs="Segoe UI" w:hint="default"/>
      <w:sz w:val="18"/>
      <w:szCs w:val="18"/>
    </w:rPr>
  </w:style>
  <w:style w:type="paragraph" w:styleId="NoSpacing">
    <w:name w:val="No Spacing"/>
    <w:basedOn w:val="Normal"/>
    <w:uiPriority w:val="1"/>
    <w:qFormat/>
    <w:rsid w:val="00AC6054"/>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law.cornell.edu/uscode/text/20/chapter-28/subchapter-VII/part-A/subpart-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E97A3CF00AE4FB891EC9BE2A6160F" ma:contentTypeVersion="2" ma:contentTypeDescription="Create a new document." ma:contentTypeScope="" ma:versionID="b7529c655a4220c793f680ed246ec430">
  <xsd:schema xmlns:xsd="http://www.w3.org/2001/XMLSchema" xmlns:xs="http://www.w3.org/2001/XMLSchema" xmlns:p="http://schemas.microsoft.com/office/2006/metadata/properties" xmlns:ns2="9ba86f94-801f-45cb-a176-822b507a5615" targetNamespace="http://schemas.microsoft.com/office/2006/metadata/properties" ma:root="true" ma:fieldsID="4d5f8f77c930013785232bf21403aaf9" ns2:_="">
    <xsd:import namespace="9ba86f94-801f-45cb-a176-822b507a561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52C0C-43E2-42AB-8C84-10290740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4144</TotalTime>
  <Pages>11</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14</cp:revision>
  <dcterms:created xsi:type="dcterms:W3CDTF">2025-03-11T21:01:00Z</dcterms:created>
  <dcterms:modified xsi:type="dcterms:W3CDTF">2025-03-14T19:22:00Z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0x0101001F6E97A3CF00AE4FB891EC9BE2A6160F</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