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6F59ED" w:rsidP="002313E2" w14:paraId="1ECBD66F" w14:textId="77777777">
      <w:pPr>
        <w:pStyle w:val="Header"/>
        <w:rPr>
          <w:rFonts w:ascii="Times New Roman" w:hAnsi="Times New Roman"/>
          <w:color w:val="FFFFFF" w:themeColor="background1"/>
          <w:szCs w:val="24"/>
        </w:rPr>
      </w:pPr>
      <w:r w:rsidRPr="006F59ED">
        <w:rPr>
          <w:rFonts w:ascii="Times New Roman" w:hAnsi="Times New Roman"/>
          <w:szCs w:val="24"/>
        </w:rPr>
        <w:t xml:space="preserve">Tracking and OMB Number: (XX) </w:t>
      </w:r>
      <w:r w:rsidRPr="006F59ED" w:rsidR="00E62B06">
        <w:rPr>
          <w:rFonts w:ascii="Times New Roman" w:hAnsi="Times New Roman"/>
          <w:szCs w:val="24"/>
        </w:rPr>
        <w:t>1840</w:t>
      </w:r>
      <w:r w:rsidRPr="006F59ED" w:rsidR="006D2718">
        <w:rPr>
          <w:rFonts w:ascii="Times New Roman" w:hAnsi="Times New Roman"/>
          <w:szCs w:val="24"/>
        </w:rPr>
        <w:t>-0830</w:t>
      </w:r>
    </w:p>
    <w:p w:rsidR="00EA1767" w:rsidP="002313E2" w14:paraId="0CEE24E3" w14:textId="51B22624">
      <w:pPr>
        <w:pStyle w:val="Header"/>
        <w:rPr>
          <w:rFonts w:ascii="Times New Roman" w:hAnsi="Times New Roman"/>
        </w:rPr>
      </w:pPr>
      <w:r w:rsidRPr="006F59ED">
        <w:rPr>
          <w:rFonts w:ascii="Times New Roman" w:hAnsi="Times New Roman"/>
        </w:rPr>
        <w:t xml:space="preserve">Revised: </w:t>
      </w:r>
      <w:r w:rsidR="00DD422E">
        <w:rPr>
          <w:rFonts w:ascii="Times New Roman" w:hAnsi="Times New Roman"/>
        </w:rPr>
        <w:t>3/1</w:t>
      </w:r>
      <w:r w:rsidR="009B2093">
        <w:rPr>
          <w:rFonts w:ascii="Times New Roman" w:hAnsi="Times New Roman"/>
        </w:rPr>
        <w:t>8</w:t>
      </w:r>
      <w:r w:rsidR="00DD422E">
        <w:rPr>
          <w:rFonts w:ascii="Times New Roman" w:hAnsi="Times New Roman"/>
        </w:rPr>
        <w:t>/25</w:t>
      </w:r>
    </w:p>
    <w:p w:rsidR="002313E2" w:rsidRPr="00AD381B" w:rsidP="002313E2" w14:paraId="2709D3A9" w14:textId="77777777">
      <w:pPr>
        <w:pStyle w:val="Header"/>
        <w:rPr>
          <w:rFonts w:ascii="Times New Roman" w:hAnsi="Times New Roman"/>
          <w:color w:val="FFFFFF" w:themeColor="background1"/>
          <w:szCs w:val="24"/>
        </w:rPr>
      </w:pPr>
    </w:p>
    <w:p w:rsidR="00043C32" w:rsidRPr="00AD381B" w:rsidP="002313E2" w14:paraId="3F09C0E7" w14:textId="77777777">
      <w:pPr>
        <w:pStyle w:val="Heading1"/>
        <w:rPr>
          <w:sz w:val="24"/>
          <w:szCs w:val="24"/>
        </w:rPr>
      </w:pPr>
      <w:r w:rsidRPr="00AD381B">
        <w:rPr>
          <w:sz w:val="24"/>
          <w:szCs w:val="24"/>
        </w:rPr>
        <w:t>SUPPORTING STATEMENT</w:t>
      </w:r>
    </w:p>
    <w:p w:rsidR="00043C32" w:rsidRPr="00AD381B" w:rsidP="002313E2" w14:paraId="743A34D5" w14:textId="77777777">
      <w:pPr>
        <w:pStyle w:val="Heading1"/>
        <w:rPr>
          <w:sz w:val="24"/>
          <w:szCs w:val="24"/>
        </w:rPr>
      </w:pPr>
      <w:r w:rsidRPr="00AD381B">
        <w:rPr>
          <w:sz w:val="24"/>
          <w:szCs w:val="24"/>
        </w:rPr>
        <w:t>FOR PAPERWORK REDUCTION ACT SUBMISSION</w:t>
      </w:r>
    </w:p>
    <w:p w:rsidR="00043C32" w:rsidRPr="00AD381B" w:rsidP="002313E2" w14:paraId="7809C430" w14:textId="77777777">
      <w:pPr>
        <w:tabs>
          <w:tab w:val="left" w:pos="0"/>
        </w:tabs>
        <w:suppressAutoHyphens/>
        <w:rPr>
          <w:rFonts w:ascii="Times New Roman" w:hAnsi="Times New Roman"/>
          <w:szCs w:val="24"/>
        </w:rPr>
      </w:pPr>
    </w:p>
    <w:p w:rsidR="00EA1767" w:rsidRPr="00AD381B" w:rsidP="002313E2" w14:paraId="29B86C89"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BA171B" w:rsidRPr="00541F86" w:rsidP="002313E2" w14:paraId="23288A6E" w14:textId="77777777">
      <w:pPr>
        <w:pStyle w:val="ListParagraph"/>
        <w:suppressAutoHyphens/>
        <w:rPr>
          <w:rFonts w:asciiTheme="minorHAnsi" w:hAnsiTheme="minorHAnsi" w:cstheme="minorHAnsi"/>
          <w:szCs w:val="24"/>
        </w:rPr>
      </w:pPr>
    </w:p>
    <w:p w:rsidR="00F11179" w:rsidRPr="00541F86" w:rsidP="002313E2" w14:paraId="65535C73" w14:textId="77777777">
      <w:pPr>
        <w:pStyle w:val="ListParagraph"/>
        <w:suppressAutoHyphens/>
        <w:rPr>
          <w:rFonts w:asciiTheme="minorHAnsi" w:hAnsiTheme="minorHAnsi" w:cstheme="minorHAnsi"/>
        </w:rPr>
      </w:pPr>
      <w:r w:rsidRPr="00ED0CAA">
        <w:rPr>
          <w:rFonts w:asciiTheme="minorHAnsi" w:hAnsiTheme="minorHAnsi" w:cstheme="minorHAnsi"/>
        </w:rPr>
        <w:t xml:space="preserve">The Department of Education (Department) is requesting approval for </w:t>
      </w:r>
      <w:r w:rsidRPr="00ED0CAA" w:rsidR="00351BC7">
        <w:rPr>
          <w:rFonts w:asciiTheme="minorHAnsi" w:hAnsiTheme="minorHAnsi" w:cstheme="minorHAnsi"/>
        </w:rPr>
        <w:t xml:space="preserve">a </w:t>
      </w:r>
      <w:r w:rsidRPr="00ED0CAA" w:rsidR="00193113">
        <w:rPr>
          <w:rFonts w:asciiTheme="minorHAnsi" w:hAnsiTheme="minorHAnsi" w:cstheme="minorHAnsi"/>
        </w:rPr>
        <w:t xml:space="preserve">revision </w:t>
      </w:r>
      <w:r w:rsidRPr="00ED0CAA">
        <w:rPr>
          <w:rFonts w:asciiTheme="minorHAnsi" w:hAnsiTheme="minorHAnsi" w:cstheme="minorHAnsi"/>
        </w:rPr>
        <w:t xml:space="preserve">of the Educational Opportunity Centers (EOC) Annual Performance Report (APR) that </w:t>
      </w:r>
      <w:r w:rsidRPr="00ED0CAA" w:rsidR="00AC613C">
        <w:rPr>
          <w:rFonts w:asciiTheme="minorHAnsi" w:hAnsiTheme="minorHAnsi" w:cstheme="minorHAnsi"/>
        </w:rPr>
        <w:t>currently expires on February 2</w:t>
      </w:r>
      <w:r w:rsidRPr="00ED0CAA" w:rsidR="00B6504A">
        <w:rPr>
          <w:rFonts w:asciiTheme="minorHAnsi" w:hAnsiTheme="minorHAnsi" w:cstheme="minorHAnsi"/>
        </w:rPr>
        <w:t>8</w:t>
      </w:r>
      <w:r w:rsidRPr="00ED0CAA" w:rsidR="00AC613C">
        <w:rPr>
          <w:rFonts w:asciiTheme="minorHAnsi" w:hAnsiTheme="minorHAnsi" w:cstheme="minorHAnsi"/>
        </w:rPr>
        <w:t xml:space="preserve">, 2026 </w:t>
      </w:r>
      <w:r w:rsidRPr="00ED0CAA">
        <w:rPr>
          <w:rFonts w:asciiTheme="minorHAnsi" w:hAnsiTheme="minorHAnsi" w:cstheme="minorHAnsi"/>
        </w:rPr>
        <w:t>(OMB No.: 1840-0830). The EOC</w:t>
      </w:r>
      <w:r w:rsidRPr="00541F86">
        <w:rPr>
          <w:rFonts w:asciiTheme="minorHAnsi" w:hAnsiTheme="minorHAnsi" w:cstheme="minorHAnsi"/>
        </w:rPr>
        <w:t xml:space="preserve"> APR form is used to collect annual performance report data from projects funded by EOC program grants. </w:t>
      </w:r>
    </w:p>
    <w:p w:rsidR="00F11179" w:rsidRPr="00541F86" w:rsidP="002313E2" w14:paraId="4A0E9459" w14:textId="77777777">
      <w:pPr>
        <w:pStyle w:val="ListParagraph"/>
        <w:suppressAutoHyphens/>
        <w:rPr>
          <w:rFonts w:asciiTheme="minorHAnsi" w:hAnsiTheme="minorHAnsi" w:cstheme="minorHAnsi"/>
        </w:rPr>
      </w:pPr>
    </w:p>
    <w:p w:rsidR="002A66A9" w:rsidRPr="00541F86" w:rsidP="002313E2" w14:paraId="2C5DFBBE" w14:textId="77777777">
      <w:pPr>
        <w:pStyle w:val="ListParagraph"/>
        <w:suppressAutoHyphens/>
        <w:rPr>
          <w:rFonts w:asciiTheme="minorHAnsi" w:hAnsiTheme="minorHAnsi" w:cstheme="minorHAnsi"/>
        </w:rPr>
      </w:pPr>
      <w:r w:rsidRPr="00541F86">
        <w:rPr>
          <w:rFonts w:asciiTheme="minorHAnsi" w:hAnsiTheme="minorHAnsi" w:cstheme="minorHAnsi"/>
        </w:rPr>
        <w:t xml:space="preserve">The EOC program is a Student Service program that provides Federal financial assistance in the form of discretionary grants to: (a) institutions of higher education; (b) public and private agencies and organizations including community-based organizations with experience in serving disadvantaged youth; (c) secondary schools; and (d) combinations of such institutions, agencies and organizations. The specific goal of the EOC program is to help youth and adults from disadvantaged backgrounds complete secondary education and enroll in programs of postsecondary education; and to publicize the availability of, and facilitate the application for, student financial assistance for persons who seek to pursue postsecondary education (20 U.S.C. 1070a–11 and 1070a–16). </w:t>
      </w:r>
    </w:p>
    <w:p w:rsidR="002A66A9" w:rsidRPr="00541F86" w:rsidP="002313E2" w14:paraId="2C8F6099" w14:textId="77777777">
      <w:pPr>
        <w:pStyle w:val="ListParagraph"/>
        <w:suppressAutoHyphens/>
        <w:rPr>
          <w:rFonts w:asciiTheme="minorHAnsi" w:hAnsiTheme="minorHAnsi" w:cstheme="minorHAnsi"/>
        </w:rPr>
      </w:pPr>
    </w:p>
    <w:p w:rsidR="002A66A9" w:rsidRPr="00541F86" w:rsidP="002313E2" w14:paraId="13798661" w14:textId="77777777">
      <w:pPr>
        <w:pStyle w:val="ListParagraph"/>
        <w:suppressAutoHyphens/>
        <w:rPr>
          <w:rFonts w:asciiTheme="minorHAnsi" w:hAnsiTheme="minorHAnsi" w:cstheme="minorHAnsi"/>
        </w:rPr>
      </w:pPr>
      <w:r w:rsidRPr="00541F86">
        <w:rPr>
          <w:rFonts w:asciiTheme="minorHAnsi" w:hAnsiTheme="minorHAnsi" w:cstheme="minorHAnsi"/>
        </w:rPr>
        <w:t xml:space="preserve">The information that grantees submit in the APR allows the Department to annually assess each grantee's progress in meeting their project's approved goals and objectives. The APR data are compared with the projects’ approved objectives to determine the projects’ accomplishments, to make decisions regarding whether funding should be continued, and to award "prior experience" points. The regulations for this program provide for awarding up to 15 points for prior experience (34 CR 644.22). During a competition for new grant awards, the prior experience points are added to the average of the field reader scores to arrive at a total score for each application. Funding recommendations and decisions are primarily based on the rank order of applications on the slate; therefore, assessment of prior experience points, based on data in the annual performance report, is a crucial part of the overall application process. </w:t>
      </w:r>
    </w:p>
    <w:p w:rsidR="002A66A9" w:rsidRPr="00541F86" w:rsidP="002313E2" w14:paraId="382504F1" w14:textId="77777777">
      <w:pPr>
        <w:pStyle w:val="ListParagraph"/>
        <w:suppressAutoHyphens/>
        <w:rPr>
          <w:rFonts w:asciiTheme="minorHAnsi" w:hAnsiTheme="minorHAnsi" w:cstheme="minorHAnsi"/>
        </w:rPr>
      </w:pPr>
    </w:p>
    <w:p w:rsidR="00D7761F" w:rsidP="002313E2" w14:paraId="7F3B52E2" w14:textId="77777777">
      <w:pPr>
        <w:pStyle w:val="ListParagraph"/>
        <w:suppressAutoHyphens/>
        <w:rPr>
          <w:rFonts w:asciiTheme="minorHAnsi" w:hAnsiTheme="minorHAnsi" w:cstheme="minorHAnsi"/>
        </w:rPr>
      </w:pPr>
      <w:r w:rsidRPr="00541F86">
        <w:rPr>
          <w:rFonts w:asciiTheme="minorHAnsi" w:hAnsiTheme="minorHAnsi" w:cstheme="minorHAnsi"/>
        </w:rPr>
        <w:t xml:space="preserve">Further, this performance report form </w:t>
      </w:r>
      <w:r w:rsidRPr="00D7761F">
        <w:rPr>
          <w:rFonts w:asciiTheme="minorHAnsi" w:hAnsiTheme="minorHAnsi" w:cstheme="minorHAnsi"/>
        </w:rPr>
        <w:t xml:space="preserve">collects aggregate and quantifiable data in order to respond to the requirements of the Education Department General Administrative </w:t>
      </w:r>
      <w:r w:rsidRPr="00D7761F">
        <w:rPr>
          <w:rFonts w:asciiTheme="minorHAnsi" w:hAnsiTheme="minorHAnsi" w:cstheme="minorHAnsi"/>
        </w:rPr>
        <w:t>Regulations (EDGAR) in 34 CFR §75.110 - Information regarding performance measurement.</w:t>
      </w:r>
    </w:p>
    <w:p w:rsidR="00D7761F" w:rsidRPr="00541F86" w:rsidP="002313E2" w14:paraId="21E7B74B" w14:textId="77777777">
      <w:pPr>
        <w:pStyle w:val="ListParagraph"/>
        <w:suppressAutoHyphens/>
        <w:rPr>
          <w:rFonts w:asciiTheme="minorHAnsi" w:hAnsiTheme="minorHAnsi" w:cstheme="minorHAnsi"/>
        </w:rPr>
      </w:pPr>
    </w:p>
    <w:p w:rsidR="00BA171B" w:rsidRPr="00541F86" w:rsidP="002313E2" w14:paraId="516F7037" w14:textId="77777777">
      <w:pPr>
        <w:pStyle w:val="ListParagraph"/>
        <w:suppressAutoHyphens/>
        <w:rPr>
          <w:rFonts w:asciiTheme="minorHAnsi" w:hAnsiTheme="minorHAnsi" w:cstheme="minorHAnsi"/>
        </w:rPr>
      </w:pPr>
      <w:r w:rsidRPr="00541F86">
        <w:rPr>
          <w:rFonts w:asciiTheme="minorHAnsi" w:hAnsiTheme="minorHAnsi" w:cstheme="minorHAnsi"/>
        </w:rPr>
        <w:t>The Department collects information from EOC grantees under the authority of Title IV, Part A, Subpart 2, Division 1, Sections 402A and 402B of the Higher Education Act of 1965, as amended, the program regulations in 34 CFR 644, and the Education Department General Administrative Regulations (EDGAR), in 34 CFR 74.51, 75.720, and 75.732.</w:t>
      </w:r>
    </w:p>
    <w:p w:rsidR="006267DE" w:rsidRPr="00541F86" w:rsidP="002313E2" w14:paraId="3B30E21F" w14:textId="77777777">
      <w:pPr>
        <w:pStyle w:val="ListParagraph"/>
        <w:suppressAutoHyphens/>
        <w:rPr>
          <w:rFonts w:asciiTheme="minorHAnsi" w:hAnsiTheme="minorHAnsi" w:cstheme="minorHAnsi"/>
        </w:rPr>
      </w:pPr>
    </w:p>
    <w:p w:rsidR="006267DE" w:rsidRPr="00541F86" w:rsidP="002313E2" w14:paraId="5D5F8791" w14:textId="77777777">
      <w:pPr>
        <w:pStyle w:val="ListParagraph"/>
        <w:suppressAutoHyphens/>
        <w:rPr>
          <w:rFonts w:asciiTheme="minorHAnsi" w:hAnsiTheme="minorHAnsi" w:cstheme="minorHAnsi"/>
          <w:szCs w:val="24"/>
        </w:rPr>
      </w:pPr>
      <w:hyperlink r:id="rId9" w:history="1">
        <w:r w:rsidRPr="00541F86" w:rsidR="00342CB3">
          <w:rPr>
            <w:rStyle w:val="Hyperlink"/>
            <w:rFonts w:asciiTheme="minorHAnsi" w:hAnsiTheme="minorHAnsi" w:cstheme="minorHAnsi"/>
          </w:rPr>
          <w:t>Legislation, Regulations, and Guidance -- Educational Opportunity Centers</w:t>
        </w:r>
      </w:hyperlink>
    </w:p>
    <w:p w:rsidR="00AD381B" w:rsidRPr="00541F86" w:rsidP="002313E2" w14:paraId="34E0AA61" w14:textId="77777777">
      <w:pPr>
        <w:pStyle w:val="ListParagraph"/>
        <w:suppressAutoHyphens/>
        <w:contextualSpacing w:val="0"/>
        <w:rPr>
          <w:rFonts w:asciiTheme="minorHAnsi" w:hAnsiTheme="minorHAnsi" w:cstheme="minorHAnsi"/>
          <w:szCs w:val="24"/>
        </w:rPr>
      </w:pPr>
    </w:p>
    <w:p w:rsidR="005B2E52" w:rsidP="005B2E52" w14:paraId="29F529E0" w14:textId="77777777">
      <w:pPr>
        <w:pStyle w:val="ListParagraph"/>
        <w:suppressAutoHyphens/>
        <w:contextualSpacing w:val="0"/>
        <w:rPr>
          <w:rFonts w:asciiTheme="minorHAnsi" w:hAnsiTheme="minorHAnsi" w:cstheme="minorHAnsi"/>
          <w:szCs w:val="24"/>
        </w:rPr>
      </w:pPr>
      <w:r w:rsidRPr="00984915">
        <w:rPr>
          <w:rFonts w:asciiTheme="minorHAnsi" w:hAnsiTheme="minorHAnsi" w:cstheme="minorHAnsi"/>
          <w:szCs w:val="24"/>
        </w:rPr>
        <w:t>The proposed revision to the APR entails replacement of Competitive Preference Priority (CPP) questions with new CPP questions of equal response time. In addition, the annual number of responses and total annual burden hours have been adjusted to reflect an increase in the size of the reporting universe.</w:t>
      </w:r>
    </w:p>
    <w:p w:rsidR="00DC5F78" w:rsidP="005B2E52" w14:paraId="3D5439A9" w14:textId="77777777">
      <w:pPr>
        <w:pStyle w:val="ListParagraph"/>
        <w:suppressAutoHyphens/>
        <w:contextualSpacing w:val="0"/>
        <w:rPr>
          <w:rFonts w:asciiTheme="minorHAnsi" w:hAnsiTheme="minorHAnsi" w:cstheme="minorHAnsi"/>
          <w:szCs w:val="24"/>
        </w:rPr>
      </w:pPr>
    </w:p>
    <w:p w:rsidR="00DD422E" w:rsidRPr="00A93F1A" w:rsidP="005B2E52" w14:paraId="4E3EB4A3" w14:textId="378ECDB4">
      <w:pPr>
        <w:pStyle w:val="ListParagraph"/>
        <w:suppressAutoHyphens/>
        <w:contextualSpacing w:val="0"/>
        <w:rPr>
          <w:rFonts w:asciiTheme="minorHAnsi" w:hAnsiTheme="minorHAnsi" w:cstheme="minorHAnsi"/>
          <w:color w:val="FF0000"/>
          <w:szCs w:val="24"/>
        </w:rPr>
      </w:pPr>
      <w:r w:rsidRPr="00A93F1A">
        <w:rPr>
          <w:rFonts w:asciiTheme="minorHAnsi" w:hAnsiTheme="minorHAnsi" w:cstheme="minorHAnsi"/>
          <w:color w:val="FF0000"/>
          <w:szCs w:val="24"/>
        </w:rPr>
        <w:t>3/17/25:</w:t>
      </w:r>
    </w:p>
    <w:p w:rsidR="00411836" w:rsidRPr="00411836" w:rsidP="00411836" w14:paraId="27CCE64B" w14:textId="77777777">
      <w:pPr>
        <w:pStyle w:val="ListParagraph"/>
        <w:suppressAutoHyphens/>
        <w:rPr>
          <w:rFonts w:asciiTheme="minorHAnsi" w:hAnsiTheme="minorHAnsi" w:cstheme="minorHAnsi"/>
          <w:color w:val="FF0000"/>
        </w:rPr>
      </w:pPr>
      <w:r w:rsidRPr="00411836">
        <w:rPr>
          <w:rFonts w:asciiTheme="minorHAnsi" w:hAnsiTheme="minorHAnsi" w:cstheme="minorHAnsi"/>
          <w:color w:val="FF0000"/>
        </w:rPr>
        <w:t xml:space="preserve">The Department of Education (Department) is requesting approval for a non-substantive change to the Educational Opportunity Centers (EOC) Annual Performance Report (APR) that currently expires on November 30, 2026 (OMB No.: 1840-0830). The EOC APR form is used to collect annual performance report data from projects funded by EOC program grants. </w:t>
      </w:r>
    </w:p>
    <w:p w:rsidR="00411836" w:rsidRPr="00411836" w:rsidP="00411836" w14:paraId="7AAB9679" w14:textId="77777777">
      <w:pPr>
        <w:pStyle w:val="ListParagraph"/>
        <w:suppressAutoHyphens/>
        <w:rPr>
          <w:rFonts w:asciiTheme="minorHAnsi" w:hAnsiTheme="minorHAnsi" w:cstheme="minorHAnsi"/>
          <w:color w:val="FF0000"/>
        </w:rPr>
      </w:pPr>
    </w:p>
    <w:p w:rsidR="00411836" w:rsidRPr="00411836" w:rsidP="00411836" w14:paraId="23B887E2" w14:textId="77777777">
      <w:pPr>
        <w:ind w:left="720"/>
        <w:rPr>
          <w:rFonts w:asciiTheme="minorHAnsi" w:hAnsiTheme="minorHAnsi" w:cstheme="minorHAnsi"/>
          <w:color w:val="FF0000"/>
          <w:szCs w:val="24"/>
        </w:rPr>
      </w:pPr>
      <w:r w:rsidRPr="00411836">
        <w:rPr>
          <w:rFonts w:asciiTheme="minorHAnsi" w:hAnsiTheme="minorHAnsi" w:cstheme="minorHAnsi"/>
          <w:color w:val="FF0000"/>
          <w:szCs w:val="24"/>
        </w:rPr>
        <w:t>Three small revisions are made in the EOC annual performance report. None involves change in burden to respondents.</w:t>
      </w:r>
    </w:p>
    <w:p w:rsidR="00411836" w:rsidRPr="00411836" w:rsidP="00411836" w14:paraId="7941C08A" w14:textId="77777777">
      <w:pPr>
        <w:ind w:left="720"/>
        <w:rPr>
          <w:rFonts w:asciiTheme="minorHAnsi" w:hAnsiTheme="minorHAnsi" w:cstheme="minorHAnsi"/>
          <w:color w:val="FF0000"/>
          <w:szCs w:val="24"/>
        </w:rPr>
      </w:pPr>
    </w:p>
    <w:p w:rsidR="00411836" w:rsidRPr="00411836" w:rsidP="00411836" w14:paraId="6A846D5C" w14:textId="77777777">
      <w:pPr>
        <w:ind w:left="720"/>
        <w:rPr>
          <w:rFonts w:asciiTheme="minorHAnsi" w:hAnsiTheme="minorHAnsi" w:cstheme="minorHAnsi"/>
          <w:color w:val="FF0000"/>
          <w:szCs w:val="24"/>
        </w:rPr>
      </w:pPr>
      <w:r w:rsidRPr="00411836">
        <w:rPr>
          <w:rFonts w:asciiTheme="minorHAnsi" w:hAnsiTheme="minorHAnsi" w:cstheme="minorHAnsi"/>
          <w:color w:val="FF0000"/>
          <w:szCs w:val="24"/>
        </w:rPr>
        <w:t xml:space="preserve">The first involves changes to a single field (Section II.D). The Field Name changes as it is presented in the APR and two of the four response options are deleted. These changes are pursuant to Executive Order “Defending Women From Gender Ideology Extremism and Restoring Biological Truth to the Federal Government” (January 20, 2025). Following this executive order the name of field will be changed from “Participant Distribution by Gender” to “Participant Distribution by Sex” and the response options “3=Nonbinary or another gender” and “4=Unknown” will be deleted. </w:t>
      </w:r>
      <w:r w:rsidRPr="00411836">
        <w:rPr>
          <w:rFonts w:asciiTheme="minorHAnsi" w:hAnsiTheme="minorHAnsi" w:cstheme="minorHAnsi"/>
          <w:color w:val="FF0000"/>
        </w:rPr>
        <w:t xml:space="preserve">Response options “1=Male” and “2=Female” will remain. </w:t>
      </w:r>
      <w:r w:rsidRPr="00411836">
        <w:rPr>
          <w:rFonts w:asciiTheme="minorHAnsi" w:hAnsiTheme="minorHAnsi" w:cstheme="minorHAnsi"/>
          <w:color w:val="FF0000"/>
          <w:szCs w:val="24"/>
        </w:rPr>
        <w:t>This change does not meaningfully change burden to the respondent.</w:t>
      </w:r>
    </w:p>
    <w:p w:rsidR="00411836" w:rsidRPr="00411836" w:rsidP="00411836" w14:paraId="75644CBE" w14:textId="77777777">
      <w:pPr>
        <w:ind w:left="720"/>
        <w:rPr>
          <w:rFonts w:asciiTheme="minorHAnsi" w:hAnsiTheme="minorHAnsi" w:cstheme="minorHAnsi"/>
          <w:color w:val="FF0000"/>
          <w:szCs w:val="24"/>
        </w:rPr>
      </w:pPr>
    </w:p>
    <w:p w:rsidR="00411836" w:rsidRPr="00411836" w:rsidP="00411836" w14:paraId="23E10B90" w14:textId="77777777">
      <w:pPr>
        <w:ind w:left="720"/>
        <w:rPr>
          <w:rFonts w:asciiTheme="minorHAnsi" w:hAnsiTheme="minorHAnsi" w:cstheme="minorHAnsi"/>
          <w:color w:val="FF0000"/>
          <w:szCs w:val="24"/>
        </w:rPr>
      </w:pPr>
      <w:r w:rsidRPr="00411836">
        <w:rPr>
          <w:rFonts w:asciiTheme="minorHAnsi" w:hAnsiTheme="minorHAnsi" w:cstheme="minorHAnsi"/>
          <w:color w:val="FF0000"/>
          <w:szCs w:val="24"/>
        </w:rPr>
        <w:t>The second change pertains to language addressing certification (in Section I.B). The APR now uses a digital signature authenticated using LOGIN.GOV. The language and the structure of the certification has been adjusted to fit the digital signature process, rather than the hand signature process. This change does not meaningfully change burden to the respondent.</w:t>
      </w:r>
    </w:p>
    <w:p w:rsidR="00411836" w:rsidRPr="00411836" w:rsidP="00411836" w14:paraId="0B855494" w14:textId="77777777">
      <w:pPr>
        <w:ind w:left="720"/>
        <w:rPr>
          <w:rFonts w:asciiTheme="minorHAnsi" w:hAnsiTheme="minorHAnsi" w:cstheme="minorHAnsi"/>
          <w:color w:val="FF0000"/>
          <w:szCs w:val="24"/>
        </w:rPr>
      </w:pPr>
    </w:p>
    <w:p w:rsidR="00411836" w:rsidRPr="00411836" w:rsidP="00411836" w14:paraId="150A6D43" w14:textId="77777777">
      <w:pPr>
        <w:ind w:left="720"/>
        <w:rPr>
          <w:rFonts w:asciiTheme="minorHAnsi" w:hAnsiTheme="minorHAnsi" w:cstheme="minorHAnsi"/>
          <w:color w:val="FF0000"/>
          <w:szCs w:val="24"/>
        </w:rPr>
      </w:pPr>
      <w:r w:rsidRPr="00411836">
        <w:rPr>
          <w:rFonts w:asciiTheme="minorHAnsi" w:hAnsiTheme="minorHAnsi" w:cstheme="minorHAnsi"/>
          <w:color w:val="FF0000"/>
          <w:szCs w:val="24"/>
        </w:rPr>
        <w:t xml:space="preserve">The third change occurs within Section II.I (eye), where respondents report information pertaining to Competitive Preference Priorities. For item #1 within Section II.I, options </w:t>
      </w:r>
      <w:r w:rsidRPr="00411836">
        <w:rPr>
          <w:rFonts w:asciiTheme="minorHAnsi" w:hAnsiTheme="minorHAnsi" w:cstheme="minorHAnsi"/>
          <w:color w:val="FF0000"/>
          <w:szCs w:val="24"/>
        </w:rPr>
        <w:t>number 3 and number 4, the term “or veteran” was added to the end of the option. This additional term was added so that option #3 is inclusive of spouses of veterans and option #4 is inclusive of children of veterans. This change has been made to align the APR with the language in the Notice Inviting Applications (NIA) posted in the Federal Register on January 13, 2021. In that notice “Military-or veteran-connected student” is explicitly defined to be inclusive of veterans. This change does not meaningfully change burden to the respondent.</w:t>
      </w:r>
    </w:p>
    <w:p w:rsidR="00DD422E" w:rsidRPr="00984915" w:rsidP="005B2E52" w14:paraId="628DB723" w14:textId="77777777">
      <w:pPr>
        <w:pStyle w:val="ListParagraph"/>
        <w:suppressAutoHyphens/>
        <w:contextualSpacing w:val="0"/>
        <w:rPr>
          <w:rFonts w:asciiTheme="minorHAnsi" w:hAnsiTheme="minorHAnsi" w:cstheme="minorHAnsi"/>
          <w:szCs w:val="24"/>
        </w:rPr>
      </w:pPr>
    </w:p>
    <w:p w:rsidR="00E76A10" w:rsidRPr="00AD381B" w:rsidP="002313E2" w14:paraId="6334E694" w14:textId="77777777">
      <w:pPr>
        <w:pStyle w:val="ListParagraph"/>
        <w:suppressAutoHyphens/>
        <w:contextualSpacing w:val="0"/>
        <w:rPr>
          <w:rFonts w:ascii="Times New Roman" w:hAnsi="Times New Roman"/>
          <w:szCs w:val="24"/>
        </w:rPr>
      </w:pPr>
    </w:p>
    <w:p w:rsidR="00AD381B" w:rsidRPr="002D4406" w:rsidP="002313E2" w14:paraId="7F7EA1F7"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2D4406" w:rsidP="002D4406" w14:paraId="381877A4" w14:textId="77777777">
      <w:pPr>
        <w:suppressAutoHyphens/>
        <w:rPr>
          <w:rFonts w:ascii="Times New Roman" w:hAnsi="Times New Roman"/>
          <w:szCs w:val="24"/>
        </w:rPr>
      </w:pPr>
    </w:p>
    <w:p w:rsidR="0018628C" w:rsidRPr="00541F86" w:rsidP="0018628C" w14:paraId="1DB2B29C" w14:textId="77777777">
      <w:pPr>
        <w:suppressAutoHyphens/>
        <w:ind w:left="720"/>
        <w:rPr>
          <w:rFonts w:asciiTheme="minorHAnsi" w:hAnsiTheme="minorHAnsi" w:cstheme="minorHAnsi"/>
        </w:rPr>
      </w:pPr>
      <w:r w:rsidRPr="00541F86">
        <w:rPr>
          <w:rFonts w:asciiTheme="minorHAnsi" w:hAnsiTheme="minorHAnsi" w:cstheme="minorHAnsi"/>
        </w:rPr>
        <w:t xml:space="preserve">The Department uses the data collected to (a) evaluate projects' accomplishments; (b) determine the number of prior experience points to be awarded to current grantees; and (c) aid in compliance monitoring (i.e., to determine whether grantees are in compliance with the selection requirements for project participants [34 CFR 644.3]). </w:t>
      </w:r>
    </w:p>
    <w:p w:rsidR="0018628C" w:rsidRPr="00541F86" w:rsidP="0018628C" w14:paraId="6B7AD0F4" w14:textId="77777777">
      <w:pPr>
        <w:suppressAutoHyphens/>
        <w:ind w:left="720"/>
        <w:rPr>
          <w:rFonts w:asciiTheme="minorHAnsi" w:hAnsiTheme="minorHAnsi" w:cstheme="minorHAnsi"/>
        </w:rPr>
      </w:pPr>
    </w:p>
    <w:p w:rsidR="002D4406" w:rsidRPr="00541F86" w:rsidP="0018628C" w14:paraId="61AF0904" w14:textId="77777777">
      <w:pPr>
        <w:suppressAutoHyphens/>
        <w:ind w:left="720"/>
        <w:rPr>
          <w:rFonts w:asciiTheme="minorHAnsi" w:hAnsiTheme="minorHAnsi" w:cstheme="minorHAnsi"/>
          <w:szCs w:val="24"/>
        </w:rPr>
      </w:pPr>
      <w:r w:rsidRPr="00541F86">
        <w:rPr>
          <w:rFonts w:asciiTheme="minorHAnsi" w:hAnsiTheme="minorHAnsi" w:cstheme="minorHAnsi"/>
        </w:rPr>
        <w:t>In addition, the Department uses the annual performance reports to produce program</w:t>
      </w:r>
      <w:r w:rsidRPr="00541F86" w:rsidR="008E44E0">
        <w:rPr>
          <w:rFonts w:asciiTheme="minorHAnsi" w:hAnsiTheme="minorHAnsi" w:cstheme="minorHAnsi"/>
        </w:rPr>
        <w:t>-</w:t>
      </w:r>
      <w:r w:rsidRPr="00541F86">
        <w:rPr>
          <w:rFonts w:asciiTheme="minorHAnsi" w:hAnsiTheme="minorHAnsi" w:cstheme="minorHAnsi"/>
        </w:rPr>
        <w:t>level data for annual reporting, budget submissions to OMB, Congressional hearings and inquiries, and responding to inquiries from higher education interest groups and the general public.</w:t>
      </w:r>
    </w:p>
    <w:p w:rsidR="00AD381B" w:rsidRPr="00541F86" w:rsidP="002313E2" w14:paraId="12F9B958" w14:textId="77777777">
      <w:pPr>
        <w:suppressAutoHyphens/>
        <w:rPr>
          <w:rFonts w:asciiTheme="minorHAnsi" w:hAnsiTheme="minorHAnsi" w:cstheme="minorHAnsi"/>
          <w:szCs w:val="24"/>
        </w:rPr>
      </w:pPr>
    </w:p>
    <w:p w:rsidR="00043C32" w:rsidRPr="00AD381B" w:rsidP="002313E2" w14:paraId="1148251C" w14:textId="77777777">
      <w:pPr>
        <w:suppressAutoHyphens/>
        <w:rPr>
          <w:rFonts w:ascii="Times New Roman" w:hAnsi="Times New Roman"/>
          <w:szCs w:val="24"/>
        </w:rPr>
      </w:pPr>
    </w:p>
    <w:p w:rsidR="00043C32" w:rsidP="002313E2" w14:paraId="17C4693C"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864469">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553944" w:rsidP="00553944" w14:paraId="6505CFE7" w14:textId="77777777">
      <w:pPr>
        <w:tabs>
          <w:tab w:val="left" w:pos="-720"/>
        </w:tabs>
        <w:suppressAutoHyphens/>
        <w:ind w:left="720"/>
        <w:rPr>
          <w:rFonts w:ascii="Times New Roman" w:hAnsi="Times New Roman"/>
          <w:b/>
          <w:szCs w:val="24"/>
        </w:rPr>
      </w:pPr>
    </w:p>
    <w:p w:rsidR="00553944" w:rsidRPr="00541F86" w:rsidP="002A3D72" w14:paraId="2B05B819" w14:textId="77777777">
      <w:pPr>
        <w:tabs>
          <w:tab w:val="left" w:pos="-720"/>
        </w:tabs>
        <w:suppressAutoHyphens/>
        <w:ind w:left="720"/>
        <w:rPr>
          <w:rFonts w:asciiTheme="minorHAnsi" w:hAnsiTheme="minorHAnsi" w:cstheme="minorHAnsi"/>
        </w:rPr>
      </w:pPr>
      <w:r w:rsidRPr="00541F86">
        <w:rPr>
          <w:rFonts w:asciiTheme="minorHAnsi" w:hAnsiTheme="minorHAnsi" w:cstheme="minorHAnsi"/>
        </w:rPr>
        <w:t>The data collection method allows the grantees to use computerized data systems to collect, retrieve, and report the requested information. A Web-based software application has been developed for grantees to enter the data online and submit the entire report</w:t>
      </w:r>
      <w:r w:rsidR="00003CBB">
        <w:rPr>
          <w:rFonts w:asciiTheme="minorHAnsi" w:hAnsiTheme="minorHAnsi" w:cstheme="minorHAnsi"/>
        </w:rPr>
        <w:t>,</w:t>
      </w:r>
      <w:r w:rsidRPr="00541F86">
        <w:rPr>
          <w:rFonts w:asciiTheme="minorHAnsi" w:hAnsiTheme="minorHAnsi" w:cstheme="minorHAnsi"/>
        </w:rPr>
        <w:t xml:space="preserve"> via the Internet. The EOC projects have been submitting </w:t>
      </w:r>
      <w:r w:rsidR="00E70531">
        <w:rPr>
          <w:rFonts w:asciiTheme="minorHAnsi" w:hAnsiTheme="minorHAnsi" w:cstheme="minorHAnsi"/>
        </w:rPr>
        <w:t>an electronic</w:t>
      </w:r>
      <w:r w:rsidRPr="00541F86" w:rsidR="00E70531">
        <w:rPr>
          <w:rFonts w:asciiTheme="minorHAnsi" w:hAnsiTheme="minorHAnsi" w:cstheme="minorHAnsi"/>
        </w:rPr>
        <w:t xml:space="preserve"> </w:t>
      </w:r>
      <w:r w:rsidRPr="00541F86">
        <w:rPr>
          <w:rFonts w:asciiTheme="minorHAnsi" w:hAnsiTheme="minorHAnsi" w:cstheme="minorHAnsi"/>
        </w:rPr>
        <w:t>annual performance report since 1998.</w:t>
      </w:r>
    </w:p>
    <w:p w:rsidR="000E0131" w:rsidRPr="00541F86" w:rsidP="002A3D72" w14:paraId="15744F22" w14:textId="77777777">
      <w:pPr>
        <w:tabs>
          <w:tab w:val="left" w:pos="-720"/>
        </w:tabs>
        <w:suppressAutoHyphens/>
        <w:ind w:left="720"/>
        <w:rPr>
          <w:rFonts w:asciiTheme="minorHAnsi" w:hAnsiTheme="minorHAnsi" w:cstheme="minorHAnsi"/>
        </w:rPr>
      </w:pPr>
    </w:p>
    <w:p w:rsidR="000E0131" w:rsidRPr="00541F86" w:rsidP="002A3D72" w14:paraId="2A0C79BC" w14:textId="77777777">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The data collected are program</w:t>
      </w:r>
      <w:r w:rsidRPr="00541F86" w:rsidR="00AD78CF">
        <w:rPr>
          <w:rFonts w:asciiTheme="minorHAnsi" w:hAnsiTheme="minorHAnsi" w:cstheme="minorHAnsi"/>
        </w:rPr>
        <w:t>-</w:t>
      </w:r>
      <w:r w:rsidRPr="00541F86">
        <w:rPr>
          <w:rFonts w:asciiTheme="minorHAnsi" w:hAnsiTheme="minorHAnsi" w:cstheme="minorHAnsi"/>
        </w:rPr>
        <w:t>level</w:t>
      </w:r>
      <w:r w:rsidRPr="00541F86" w:rsidR="009C18AF">
        <w:rPr>
          <w:rFonts w:asciiTheme="minorHAnsi" w:hAnsiTheme="minorHAnsi" w:cstheme="minorHAnsi"/>
        </w:rPr>
        <w:t xml:space="preserve"> information</w:t>
      </w:r>
      <w:r w:rsidRPr="00541F86" w:rsidR="002F5423">
        <w:rPr>
          <w:rFonts w:asciiTheme="minorHAnsi" w:hAnsiTheme="minorHAnsi" w:cstheme="minorHAnsi"/>
        </w:rPr>
        <w:t xml:space="preserve"> only</w:t>
      </w:r>
      <w:r w:rsidRPr="00541F86" w:rsidR="009779C9">
        <w:rPr>
          <w:rFonts w:asciiTheme="minorHAnsi" w:hAnsiTheme="minorHAnsi" w:cstheme="minorHAnsi"/>
        </w:rPr>
        <w:t xml:space="preserve">.  </w:t>
      </w:r>
      <w:r w:rsidRPr="00541F86" w:rsidR="002F5423">
        <w:rPr>
          <w:rFonts w:asciiTheme="minorHAnsi" w:hAnsiTheme="minorHAnsi" w:cstheme="minorHAnsi"/>
        </w:rPr>
        <w:t xml:space="preserve">Some program level information consists of </w:t>
      </w:r>
      <w:r w:rsidRPr="00541F86" w:rsidR="009779C9">
        <w:rPr>
          <w:rFonts w:asciiTheme="minorHAnsi" w:hAnsiTheme="minorHAnsi" w:cstheme="minorHAnsi"/>
        </w:rPr>
        <w:t xml:space="preserve">aggregated counts of individuals. </w:t>
      </w:r>
      <w:r w:rsidRPr="00541F86" w:rsidR="00AD78CF">
        <w:rPr>
          <w:rFonts w:asciiTheme="minorHAnsi" w:hAnsiTheme="minorHAnsi" w:cstheme="minorHAnsi"/>
        </w:rPr>
        <w:t>However, no individual-level (participant-level)</w:t>
      </w:r>
      <w:r w:rsidRPr="00541F86" w:rsidR="00B23AAF">
        <w:rPr>
          <w:rFonts w:asciiTheme="minorHAnsi" w:hAnsiTheme="minorHAnsi" w:cstheme="minorHAnsi"/>
        </w:rPr>
        <w:t xml:space="preserve"> </w:t>
      </w:r>
      <w:r w:rsidRPr="00541F86" w:rsidR="00AD78CF">
        <w:rPr>
          <w:rFonts w:asciiTheme="minorHAnsi" w:hAnsiTheme="minorHAnsi" w:cstheme="minorHAnsi"/>
        </w:rPr>
        <w:t xml:space="preserve">information is collected. </w:t>
      </w:r>
      <w:r w:rsidRPr="00541F86" w:rsidR="00AE5174">
        <w:rPr>
          <w:rFonts w:asciiTheme="minorHAnsi" w:hAnsiTheme="minorHAnsi" w:cstheme="minorHAnsi"/>
        </w:rPr>
        <w:t>Thus,</w:t>
      </w:r>
      <w:r w:rsidRPr="00541F86">
        <w:rPr>
          <w:rFonts w:asciiTheme="minorHAnsi" w:hAnsiTheme="minorHAnsi" w:cstheme="minorHAnsi"/>
        </w:rPr>
        <w:t xml:space="preserve"> the reports are a low-level security risk. Nonetheless, the </w:t>
      </w:r>
      <w:r w:rsidR="00AE5174">
        <w:rPr>
          <w:rFonts w:asciiTheme="minorHAnsi" w:hAnsiTheme="minorHAnsi" w:cstheme="minorHAnsi"/>
        </w:rPr>
        <w:t>APR Application W</w:t>
      </w:r>
      <w:r w:rsidRPr="00541F86">
        <w:rPr>
          <w:rFonts w:asciiTheme="minorHAnsi" w:hAnsiTheme="minorHAnsi" w:cstheme="minorHAnsi"/>
        </w:rPr>
        <w:t xml:space="preserve">ebsite is secured to ensure that the data are seen </w:t>
      </w:r>
      <w:r w:rsidRPr="00541F86">
        <w:rPr>
          <w:rFonts w:asciiTheme="minorHAnsi" w:hAnsiTheme="minorHAnsi" w:cstheme="minorHAnsi"/>
        </w:rPr>
        <w:t>only by authorized individuals and are protected from network hackers. Further, online data edits are in place to ensure the accuracy and integrity of the data submitted</w:t>
      </w:r>
      <w:r w:rsidRPr="00541F86" w:rsidR="00F27CD6">
        <w:rPr>
          <w:rFonts w:asciiTheme="minorHAnsi" w:hAnsiTheme="minorHAnsi" w:cstheme="minorHAnsi"/>
        </w:rPr>
        <w:t>.</w:t>
      </w:r>
    </w:p>
    <w:p w:rsidR="00AD381B" w:rsidP="002313E2" w14:paraId="3BA6E57B" w14:textId="77777777">
      <w:pPr>
        <w:pStyle w:val="ListParagraph"/>
        <w:tabs>
          <w:tab w:val="left" w:pos="-720"/>
        </w:tabs>
        <w:suppressAutoHyphens/>
        <w:contextualSpacing w:val="0"/>
        <w:rPr>
          <w:rFonts w:ascii="Times New Roman" w:hAnsi="Times New Roman"/>
          <w:szCs w:val="24"/>
        </w:rPr>
      </w:pPr>
    </w:p>
    <w:p w:rsidR="00AD381B" w:rsidP="002313E2" w14:paraId="0CBE84C4" w14:textId="77777777">
      <w:pPr>
        <w:pStyle w:val="ListParagraph"/>
        <w:tabs>
          <w:tab w:val="left" w:pos="-720"/>
        </w:tabs>
        <w:suppressAutoHyphens/>
        <w:contextualSpacing w:val="0"/>
        <w:rPr>
          <w:rFonts w:ascii="Times New Roman" w:hAnsi="Times New Roman"/>
          <w:szCs w:val="24"/>
        </w:rPr>
      </w:pPr>
    </w:p>
    <w:p w:rsidR="00AD381B" w:rsidP="002313E2" w14:paraId="03F807F5"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27CD6" w:rsidP="00F27CD6" w14:paraId="5D55F0AF" w14:textId="77777777">
      <w:pPr>
        <w:tabs>
          <w:tab w:val="left" w:pos="-720"/>
        </w:tabs>
        <w:suppressAutoHyphens/>
        <w:rPr>
          <w:rFonts w:ascii="Times New Roman" w:hAnsi="Times New Roman"/>
          <w:b/>
          <w:szCs w:val="24"/>
        </w:rPr>
      </w:pPr>
    </w:p>
    <w:p w:rsidR="00F27CD6" w:rsidRPr="00541F86" w:rsidP="00F27CD6" w14:paraId="44FF49A2" w14:textId="77777777">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Since the information grantees submit in their performance reports is unique to each project and is not collected elsewhere, no duplication exists. No other instrument is available to collect the information that the program needs to assess prior experience or program outcomes. The data collected in the APR are fundamental to this program.</w:t>
      </w:r>
    </w:p>
    <w:p w:rsidR="00246FE9" w:rsidRPr="00246FE9" w:rsidP="002313E2" w14:paraId="10B8A073" w14:textId="77777777">
      <w:pPr>
        <w:pStyle w:val="ListParagraph"/>
        <w:tabs>
          <w:tab w:val="left" w:pos="-720"/>
        </w:tabs>
        <w:suppressAutoHyphens/>
        <w:contextualSpacing w:val="0"/>
        <w:rPr>
          <w:rFonts w:ascii="Times New Roman" w:hAnsi="Times New Roman"/>
          <w:b/>
          <w:szCs w:val="24"/>
        </w:rPr>
      </w:pPr>
    </w:p>
    <w:p w:rsidR="00043C32" w:rsidP="002313E2" w14:paraId="15F01207"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35F05D80" w14:textId="77777777">
      <w:pPr>
        <w:pStyle w:val="ListParagraph"/>
        <w:contextualSpacing w:val="0"/>
        <w:rPr>
          <w:rFonts w:ascii="Times New Roman" w:hAnsi="Times New Roman"/>
          <w:szCs w:val="24"/>
        </w:rPr>
      </w:pPr>
    </w:p>
    <w:p w:rsidR="00AD381B" w:rsidRPr="00541F86" w:rsidP="002313E2" w14:paraId="613FD1DD" w14:textId="77777777">
      <w:pPr>
        <w:pStyle w:val="ListParagraph"/>
        <w:contextualSpacing w:val="0"/>
        <w:rPr>
          <w:rFonts w:asciiTheme="minorHAnsi" w:hAnsiTheme="minorHAnsi" w:cstheme="minorHAnsi"/>
        </w:rPr>
      </w:pPr>
      <w:r w:rsidRPr="00541F86">
        <w:rPr>
          <w:rFonts w:asciiTheme="minorHAnsi" w:hAnsiTheme="minorHAnsi" w:cstheme="minorHAnsi"/>
        </w:rPr>
        <w:t>This information collection does not affect small businesses or other small entities.</w:t>
      </w:r>
    </w:p>
    <w:p w:rsidR="00B23AAF" w:rsidRPr="00541F86" w:rsidP="002313E2" w14:paraId="6862E75F" w14:textId="77777777">
      <w:pPr>
        <w:pStyle w:val="ListParagraph"/>
        <w:contextualSpacing w:val="0"/>
        <w:rPr>
          <w:rFonts w:asciiTheme="minorHAnsi" w:hAnsiTheme="minorHAnsi" w:cstheme="minorHAnsi"/>
        </w:rPr>
      </w:pPr>
    </w:p>
    <w:p w:rsidR="00B23AAF" w:rsidP="002313E2" w14:paraId="35530A6B" w14:textId="77777777">
      <w:pPr>
        <w:pStyle w:val="ListParagraph"/>
        <w:contextualSpacing w:val="0"/>
        <w:rPr>
          <w:rFonts w:ascii="Times New Roman" w:hAnsi="Times New Roman"/>
          <w:szCs w:val="24"/>
        </w:rPr>
      </w:pPr>
    </w:p>
    <w:p w:rsidR="00043C32" w:rsidP="002313E2" w14:paraId="4DC37BB8"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B11C1" w:rsidP="002B11C1" w14:paraId="5F6E1B4E" w14:textId="77777777">
      <w:pPr>
        <w:tabs>
          <w:tab w:val="left" w:pos="-720"/>
        </w:tabs>
        <w:suppressAutoHyphens/>
        <w:rPr>
          <w:rFonts w:ascii="Times New Roman" w:hAnsi="Times New Roman"/>
          <w:b/>
          <w:szCs w:val="24"/>
        </w:rPr>
      </w:pPr>
    </w:p>
    <w:p w:rsidR="002B11C1" w:rsidRPr="00541F86" w:rsidP="002B11C1" w14:paraId="1E1A7AE5" w14:textId="77777777">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 xml:space="preserve">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prior experience points to grantees. Without this data collection, the Department would not have the data to assess the prior experience provision of the authorizing statute, </w:t>
      </w:r>
      <w:r w:rsidRPr="00D35798" w:rsidR="00D35798">
        <w:rPr>
          <w:rFonts w:asciiTheme="minorHAnsi" w:hAnsiTheme="minorHAnsi" w:cstheme="minorHAnsi"/>
        </w:rPr>
        <w:t>respond to EDGAR requirements</w:t>
      </w:r>
      <w:r w:rsidRPr="00541F86">
        <w:rPr>
          <w:rFonts w:asciiTheme="minorHAnsi" w:hAnsiTheme="minorHAnsi" w:cstheme="minorHAnsi"/>
        </w:rPr>
        <w:t>, and other program performance and efficiency measures, or develop improved policies for program administration.</w:t>
      </w:r>
    </w:p>
    <w:p w:rsidR="002313E2" w:rsidP="002313E2" w14:paraId="78E96AD2" w14:textId="77777777">
      <w:pPr>
        <w:pStyle w:val="ListParagraph"/>
        <w:tabs>
          <w:tab w:val="left" w:pos="-720"/>
        </w:tabs>
        <w:suppressAutoHyphens/>
        <w:contextualSpacing w:val="0"/>
        <w:rPr>
          <w:rFonts w:ascii="Times New Roman" w:hAnsi="Times New Roman"/>
          <w:b/>
          <w:szCs w:val="24"/>
        </w:rPr>
      </w:pPr>
    </w:p>
    <w:p w:rsidR="00063A39" w:rsidRPr="00AD381B" w:rsidP="002313E2" w14:paraId="2DB3ED01" w14:textId="77777777">
      <w:pPr>
        <w:pStyle w:val="ListParagraph"/>
        <w:tabs>
          <w:tab w:val="left" w:pos="-720"/>
        </w:tabs>
        <w:suppressAutoHyphens/>
        <w:contextualSpacing w:val="0"/>
        <w:rPr>
          <w:rFonts w:ascii="Times New Roman" w:hAnsi="Times New Roman"/>
          <w:b/>
          <w:szCs w:val="24"/>
        </w:rPr>
      </w:pPr>
    </w:p>
    <w:p w:rsidR="00043C32" w:rsidRPr="00AD381B" w:rsidP="002313E2" w14:paraId="6A981CCC"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6895AB5A" w14:textId="77777777">
      <w:pPr>
        <w:tabs>
          <w:tab w:val="left" w:pos="-720"/>
        </w:tabs>
        <w:suppressAutoHyphens/>
        <w:rPr>
          <w:rFonts w:ascii="Times New Roman" w:hAnsi="Times New Roman"/>
          <w:b/>
          <w:szCs w:val="24"/>
        </w:rPr>
      </w:pPr>
    </w:p>
    <w:p w:rsidR="00043C32" w:rsidRPr="00AD381B" w:rsidP="002313E2" w14:paraId="50DB95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1301635A" w14:textId="77777777">
      <w:pPr>
        <w:numPr>
          <w:ilvl w:val="12"/>
          <w:numId w:val="0"/>
        </w:numPr>
        <w:tabs>
          <w:tab w:val="left" w:pos="-720"/>
        </w:tabs>
        <w:suppressAutoHyphens/>
        <w:ind w:left="340"/>
        <w:rPr>
          <w:rFonts w:ascii="Times New Roman" w:hAnsi="Times New Roman"/>
          <w:b/>
          <w:szCs w:val="24"/>
        </w:rPr>
      </w:pPr>
    </w:p>
    <w:p w:rsidR="00043C32" w:rsidRPr="00AD381B" w:rsidP="002313E2" w14:paraId="374D2FD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273205A8" w14:textId="77777777">
      <w:pPr>
        <w:numPr>
          <w:ilvl w:val="12"/>
          <w:numId w:val="0"/>
        </w:numPr>
        <w:tabs>
          <w:tab w:val="left" w:pos="-720"/>
        </w:tabs>
        <w:suppressAutoHyphens/>
        <w:rPr>
          <w:rFonts w:ascii="Times New Roman" w:hAnsi="Times New Roman"/>
          <w:b/>
          <w:szCs w:val="24"/>
        </w:rPr>
      </w:pPr>
    </w:p>
    <w:p w:rsidR="00043C32" w:rsidRPr="00AD381B" w:rsidP="002313E2" w14:paraId="450FC5B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0921B6FC" w14:textId="77777777">
      <w:pPr>
        <w:numPr>
          <w:ilvl w:val="12"/>
          <w:numId w:val="0"/>
        </w:numPr>
        <w:tabs>
          <w:tab w:val="left" w:pos="-720"/>
        </w:tabs>
        <w:suppressAutoHyphens/>
        <w:rPr>
          <w:rFonts w:ascii="Times New Roman" w:hAnsi="Times New Roman"/>
          <w:b/>
          <w:szCs w:val="24"/>
        </w:rPr>
      </w:pPr>
    </w:p>
    <w:p w:rsidR="00043C32" w:rsidRPr="00AD381B" w:rsidP="002313E2" w14:paraId="6D7594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2CBD9E3" w14:textId="77777777">
      <w:pPr>
        <w:numPr>
          <w:ilvl w:val="12"/>
          <w:numId w:val="0"/>
        </w:numPr>
        <w:tabs>
          <w:tab w:val="left" w:pos="-720"/>
        </w:tabs>
        <w:suppressAutoHyphens/>
        <w:rPr>
          <w:rFonts w:ascii="Times New Roman" w:hAnsi="Times New Roman"/>
          <w:b/>
          <w:szCs w:val="24"/>
        </w:rPr>
      </w:pPr>
    </w:p>
    <w:p w:rsidR="00043C32" w:rsidRPr="00AD381B" w:rsidP="002313E2" w14:paraId="7172AD9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77B12D6" w14:textId="77777777">
      <w:pPr>
        <w:numPr>
          <w:ilvl w:val="12"/>
          <w:numId w:val="0"/>
        </w:numPr>
        <w:tabs>
          <w:tab w:val="left" w:pos="-720"/>
        </w:tabs>
        <w:suppressAutoHyphens/>
        <w:rPr>
          <w:rFonts w:ascii="Times New Roman" w:hAnsi="Times New Roman"/>
          <w:b/>
          <w:szCs w:val="24"/>
        </w:rPr>
      </w:pPr>
    </w:p>
    <w:p w:rsidR="00043C32" w:rsidRPr="00AD381B" w:rsidP="002313E2" w14:paraId="278E7B9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20279C75" w14:textId="77777777">
      <w:pPr>
        <w:numPr>
          <w:ilvl w:val="12"/>
          <w:numId w:val="0"/>
        </w:numPr>
        <w:tabs>
          <w:tab w:val="left" w:pos="-720"/>
        </w:tabs>
        <w:suppressAutoHyphens/>
        <w:rPr>
          <w:rFonts w:ascii="Times New Roman" w:hAnsi="Times New Roman"/>
          <w:b/>
          <w:szCs w:val="24"/>
        </w:rPr>
      </w:pPr>
    </w:p>
    <w:p w:rsidR="00043C32" w:rsidRPr="00AD381B" w:rsidP="002313E2" w14:paraId="2AA9F7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579FFBB" w14:textId="77777777">
      <w:pPr>
        <w:numPr>
          <w:ilvl w:val="12"/>
          <w:numId w:val="0"/>
        </w:numPr>
        <w:tabs>
          <w:tab w:val="left" w:pos="-720"/>
        </w:tabs>
        <w:suppressAutoHyphens/>
        <w:rPr>
          <w:rFonts w:ascii="Times New Roman" w:hAnsi="Times New Roman"/>
          <w:b/>
          <w:szCs w:val="24"/>
        </w:rPr>
      </w:pPr>
    </w:p>
    <w:p w:rsidR="00043C32" w:rsidP="002313E2" w14:paraId="44548DD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71A55" w:rsidP="00F71A55" w14:paraId="7AD32475" w14:textId="77777777">
      <w:pPr>
        <w:pStyle w:val="ListParagraph"/>
        <w:rPr>
          <w:rFonts w:ascii="Times New Roman" w:hAnsi="Times New Roman"/>
          <w:b/>
          <w:szCs w:val="24"/>
        </w:rPr>
      </w:pPr>
    </w:p>
    <w:p w:rsidR="00F71A55" w:rsidRPr="00541F86" w:rsidP="0001326E" w14:paraId="112AA028" w14:textId="77777777">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This information collection is conducted in a manner consistent with 5 CFR 1320.5(d)(2).</w:t>
      </w:r>
    </w:p>
    <w:p w:rsidR="00AD381B" w:rsidRPr="00541F86" w:rsidP="002313E2" w14:paraId="2B4ED78E" w14:textId="77777777">
      <w:pPr>
        <w:pStyle w:val="ListParagraph"/>
        <w:rPr>
          <w:rFonts w:asciiTheme="minorHAnsi" w:hAnsiTheme="minorHAnsi" w:cstheme="minorHAnsi"/>
          <w:b/>
          <w:szCs w:val="24"/>
        </w:rPr>
      </w:pPr>
    </w:p>
    <w:p w:rsidR="00A23091" w:rsidRPr="00A93F1A" w:rsidP="00A23091" w14:paraId="77F1F95D" w14:textId="0EDE2438">
      <w:pPr>
        <w:pStyle w:val="ListParagraph"/>
        <w:suppressAutoHyphens/>
        <w:contextualSpacing w:val="0"/>
        <w:rPr>
          <w:rFonts w:asciiTheme="minorHAnsi" w:hAnsiTheme="minorHAnsi" w:cstheme="minorHAnsi"/>
          <w:color w:val="FF0000"/>
          <w:szCs w:val="24"/>
        </w:rPr>
      </w:pPr>
      <w:r w:rsidRPr="00A93F1A">
        <w:rPr>
          <w:rFonts w:asciiTheme="minorHAnsi" w:hAnsiTheme="minorHAnsi" w:cstheme="minorHAnsi"/>
          <w:color w:val="FF0000"/>
          <w:szCs w:val="24"/>
        </w:rPr>
        <w:t>3/1</w:t>
      </w:r>
      <w:r w:rsidR="00596D2A">
        <w:rPr>
          <w:rFonts w:asciiTheme="minorHAnsi" w:hAnsiTheme="minorHAnsi" w:cstheme="minorHAnsi"/>
          <w:color w:val="FF0000"/>
          <w:szCs w:val="24"/>
        </w:rPr>
        <w:t>8</w:t>
      </w:r>
      <w:r w:rsidRPr="00A93F1A">
        <w:rPr>
          <w:rFonts w:asciiTheme="minorHAnsi" w:hAnsiTheme="minorHAnsi" w:cstheme="minorHAnsi"/>
          <w:color w:val="FF0000"/>
          <w:szCs w:val="24"/>
        </w:rPr>
        <w:t>/25:</w:t>
      </w:r>
    </w:p>
    <w:p w:rsidR="00A23091" w:rsidRPr="00A23091" w:rsidP="00A23091" w14:paraId="30703066" w14:textId="07E56D66">
      <w:pPr>
        <w:ind w:left="720"/>
        <w:rPr>
          <w:rFonts w:asciiTheme="minorHAnsi" w:hAnsiTheme="minorHAnsi" w:cstheme="minorHAnsi"/>
          <w:color w:val="FF0000"/>
        </w:rPr>
      </w:pPr>
      <w:r w:rsidRPr="00A23091">
        <w:rPr>
          <w:rFonts w:asciiTheme="minorHAnsi" w:hAnsiTheme="minorHAnsi" w:cstheme="minorHAnsi"/>
          <w:color w:val="FF0000"/>
        </w:rPr>
        <w:t>In March 2024, the Office of Management and Budget (OMB) announced revisions to Statistical Policy Directive No. 15: Standards for Maintaining, Collecting, and Presenting Federal Data on Race and Ethnicity (SPD 15) and published the revised SPD</w:t>
      </w:r>
      <w:r w:rsidR="00B128D2">
        <w:rPr>
          <w:rFonts w:asciiTheme="minorHAnsi" w:hAnsiTheme="minorHAnsi" w:cstheme="minorHAnsi"/>
          <w:color w:val="FF0000"/>
        </w:rPr>
        <w:t xml:space="preserve"> </w:t>
      </w:r>
      <w:r w:rsidRPr="00A23091">
        <w:rPr>
          <w:rFonts w:asciiTheme="minorHAnsi" w:hAnsiTheme="minorHAnsi" w:cstheme="minorHAnsi"/>
          <w:color w:val="FF0000"/>
        </w:rPr>
        <w:t>15 standard</w:t>
      </w:r>
      <w:r w:rsidR="005F253A">
        <w:rPr>
          <w:rFonts w:asciiTheme="minorHAnsi" w:hAnsiTheme="minorHAnsi" w:cstheme="minorHAnsi"/>
          <w:color w:val="FF0000"/>
        </w:rPr>
        <w:t>s</w:t>
      </w:r>
      <w:r w:rsidRPr="00A23091">
        <w:rPr>
          <w:rFonts w:asciiTheme="minorHAnsi" w:hAnsiTheme="minorHAnsi" w:cstheme="minorHAnsi"/>
          <w:color w:val="FF0000"/>
        </w:rPr>
        <w:t xml:space="preserve"> in the </w:t>
      </w:r>
      <w:r w:rsidRPr="002C27E7">
        <w:rPr>
          <w:rFonts w:asciiTheme="minorHAnsi" w:hAnsiTheme="minorHAnsi" w:cstheme="minorHAnsi"/>
          <w:color w:val="FF0000"/>
          <w:u w:val="single"/>
        </w:rPr>
        <w:t>Federal Register</w:t>
      </w:r>
      <w:r w:rsidRPr="00A23091">
        <w:rPr>
          <w:rFonts w:asciiTheme="minorHAnsi" w:hAnsiTheme="minorHAnsi" w:cstheme="minorHAnsi"/>
          <w:color w:val="FF0000"/>
        </w:rPr>
        <w:t xml:space="preserve"> (89 FR 22182). Th</w:t>
      </w:r>
      <w:r w:rsidR="006601F6">
        <w:rPr>
          <w:rFonts w:asciiTheme="minorHAnsi" w:hAnsiTheme="minorHAnsi" w:cstheme="minorHAnsi"/>
          <w:color w:val="FF0000"/>
        </w:rPr>
        <w:t>is information collection request</w:t>
      </w:r>
      <w:r w:rsidRPr="00A23091">
        <w:rPr>
          <w:rFonts w:asciiTheme="minorHAnsi" w:hAnsiTheme="minorHAnsi" w:cstheme="minorHAnsi"/>
          <w:color w:val="FF0000"/>
        </w:rPr>
        <w:t xml:space="preserve"> is not compliant with the new standard</w:t>
      </w:r>
      <w:r w:rsidR="001F4BA3">
        <w:rPr>
          <w:rFonts w:asciiTheme="minorHAnsi" w:hAnsiTheme="minorHAnsi" w:cstheme="minorHAnsi"/>
          <w:color w:val="FF0000"/>
        </w:rPr>
        <w:t>s</w:t>
      </w:r>
      <w:r w:rsidRPr="00A23091">
        <w:rPr>
          <w:rFonts w:asciiTheme="minorHAnsi" w:hAnsiTheme="minorHAnsi" w:cstheme="minorHAnsi"/>
          <w:color w:val="FF0000"/>
        </w:rPr>
        <w:t xml:space="preserve"> as it contains no changes to the race and ethnicity items that are part of this collection. </w:t>
      </w:r>
      <w:r w:rsidRPr="00A23091">
        <w:rPr>
          <w:rFonts w:asciiTheme="minorHAnsi" w:hAnsiTheme="minorHAnsi" w:cstheme="minorHAnsi"/>
          <w:i/>
          <w:iCs/>
          <w:color w:val="FF0000"/>
        </w:rPr>
        <w:t>A request to revise the standards for this information collection will be submitted to OMB by</w:t>
      </w:r>
      <w:r w:rsidR="009F702C">
        <w:rPr>
          <w:rFonts w:asciiTheme="minorHAnsi" w:hAnsiTheme="minorHAnsi" w:cstheme="minorHAnsi"/>
          <w:i/>
          <w:iCs/>
          <w:color w:val="FF0000"/>
        </w:rPr>
        <w:t xml:space="preserve"> January 2029</w:t>
      </w:r>
      <w:r w:rsidRPr="00A23091">
        <w:rPr>
          <w:rFonts w:asciiTheme="minorHAnsi" w:hAnsiTheme="minorHAnsi" w:cstheme="minorHAnsi"/>
          <w:i/>
          <w:iCs/>
          <w:color w:val="FF0000"/>
        </w:rPr>
        <w:t xml:space="preserve">. The </w:t>
      </w:r>
      <w:r w:rsidR="009F702C">
        <w:rPr>
          <w:rFonts w:asciiTheme="minorHAnsi" w:hAnsiTheme="minorHAnsi" w:cstheme="minorHAnsi"/>
          <w:i/>
          <w:iCs/>
          <w:color w:val="FF0000"/>
        </w:rPr>
        <w:t>January 2029</w:t>
      </w:r>
      <w:r w:rsidRPr="00A23091">
        <w:rPr>
          <w:rFonts w:asciiTheme="minorHAnsi" w:hAnsiTheme="minorHAnsi" w:cstheme="minorHAnsi"/>
          <w:i/>
          <w:iCs/>
          <w:color w:val="FF0000"/>
        </w:rPr>
        <w:t xml:space="preserve"> revision request will address the new federal statistical standard</w:t>
      </w:r>
      <w:r w:rsidR="00CF3877">
        <w:rPr>
          <w:rFonts w:asciiTheme="minorHAnsi" w:hAnsiTheme="minorHAnsi" w:cstheme="minorHAnsi"/>
          <w:i/>
          <w:iCs/>
          <w:color w:val="FF0000"/>
        </w:rPr>
        <w:t>s</w:t>
      </w:r>
      <w:r w:rsidRPr="00A23091">
        <w:rPr>
          <w:rFonts w:asciiTheme="minorHAnsi" w:hAnsiTheme="minorHAnsi" w:cstheme="minorHAnsi"/>
          <w:i/>
          <w:iCs/>
          <w:color w:val="FF0000"/>
        </w:rPr>
        <w:t xml:space="preserve"> for race/ethnicity items.</w:t>
      </w:r>
      <w:r w:rsidRPr="00A23091">
        <w:rPr>
          <w:rFonts w:asciiTheme="minorHAnsi" w:hAnsiTheme="minorHAnsi" w:cstheme="minorHAnsi"/>
          <w:color w:val="FF0000"/>
        </w:rPr>
        <w:t xml:space="preserve"> The Department is currently working on an action plan for compliance with the newly revised SPD</w:t>
      </w:r>
      <w:r w:rsidR="00E609A9">
        <w:rPr>
          <w:rFonts w:asciiTheme="minorHAnsi" w:hAnsiTheme="minorHAnsi" w:cstheme="minorHAnsi"/>
          <w:color w:val="FF0000"/>
        </w:rPr>
        <w:t xml:space="preserve"> </w:t>
      </w:r>
      <w:r w:rsidRPr="00A23091">
        <w:rPr>
          <w:rFonts w:asciiTheme="minorHAnsi" w:hAnsiTheme="minorHAnsi" w:cstheme="minorHAnsi"/>
          <w:color w:val="FF0000"/>
        </w:rPr>
        <w:t xml:space="preserve">15 standards, which will fully take effect on March 28, 2029. Early discussions suggest that implementation of these standards will be particularly complex and delicate in data collections where race and ethnicity data is reported both by individuals about themselves and also provided by third parties providing aggregate data on the individuals they serve and represent (e.g., state and local education agencies, institutions of higher education). </w:t>
      </w:r>
    </w:p>
    <w:p w:rsidR="00AD381B" w:rsidRPr="00AD381B" w:rsidP="002313E2" w14:paraId="0AB01ED5" w14:textId="77777777">
      <w:pPr>
        <w:tabs>
          <w:tab w:val="left" w:pos="-720"/>
        </w:tabs>
        <w:suppressAutoHyphens/>
        <w:rPr>
          <w:rFonts w:ascii="Times New Roman" w:hAnsi="Times New Roman"/>
          <w:szCs w:val="24"/>
        </w:rPr>
      </w:pPr>
    </w:p>
    <w:p w:rsidR="00D75313" w:rsidP="002313E2" w14:paraId="219B86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667E14A4"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0DEAD1A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04792FF0"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3830B5DF" w14:textId="77777777">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3FBE01E1" w14:textId="77777777">
      <w:pPr>
        <w:tabs>
          <w:tab w:val="left" w:pos="-720"/>
        </w:tabs>
        <w:suppressAutoHyphens/>
        <w:rPr>
          <w:rStyle w:val="a"/>
          <w:rFonts w:ascii="Times New Roman" w:hAnsi="Times New Roman"/>
          <w:b/>
          <w:szCs w:val="24"/>
        </w:rPr>
      </w:pPr>
    </w:p>
    <w:p w:rsidR="00043C32" w:rsidP="002313E2" w14:paraId="775AF4B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776B2AD4" w14:textId="77777777">
      <w:pPr>
        <w:tabs>
          <w:tab w:val="left" w:pos="-720"/>
        </w:tabs>
        <w:suppressAutoHyphens/>
        <w:ind w:left="720"/>
        <w:rPr>
          <w:rFonts w:ascii="Times New Roman" w:hAnsi="Times New Roman"/>
          <w:b/>
          <w:szCs w:val="24"/>
        </w:rPr>
      </w:pPr>
    </w:p>
    <w:p w:rsidR="00314C68" w:rsidRPr="00A84DD4" w:rsidP="00314C68" w14:paraId="65570E1C" w14:textId="77777777">
      <w:pPr>
        <w:pStyle w:val="NoSpacing"/>
        <w:ind w:left="720"/>
        <w:rPr>
          <w:rFonts w:cstheme="minorHAnsi"/>
          <w:sz w:val="24"/>
          <w:szCs w:val="24"/>
        </w:rPr>
      </w:pPr>
      <w:r w:rsidRPr="00A84DD4">
        <w:rPr>
          <w:rFonts w:cstheme="minorHAnsi"/>
          <w:sz w:val="24"/>
          <w:szCs w:val="24"/>
        </w:rPr>
        <w:t xml:space="preserve">The Department published a 60-day </w:t>
      </w:r>
      <w:r w:rsidRPr="00A84DD4">
        <w:rPr>
          <w:rFonts w:cstheme="minorHAnsi"/>
          <w:sz w:val="24"/>
          <w:szCs w:val="24"/>
          <w:u w:val="single"/>
        </w:rPr>
        <w:t>Federal Register</w:t>
      </w:r>
      <w:r w:rsidRPr="00A84DD4">
        <w:rPr>
          <w:rFonts w:cstheme="minorHAnsi"/>
          <w:sz w:val="24"/>
          <w:szCs w:val="24"/>
        </w:rPr>
        <w:t xml:space="preserve"> notice as required by 5 CFR 1320.8(d) on </w:t>
      </w:r>
      <w:r w:rsidRPr="00A84DD4" w:rsidR="00A84DD4">
        <w:rPr>
          <w:rFonts w:cstheme="minorHAnsi"/>
          <w:sz w:val="24"/>
          <w:szCs w:val="24"/>
        </w:rPr>
        <w:t>July 6</w:t>
      </w:r>
      <w:r w:rsidRPr="00A84DD4">
        <w:rPr>
          <w:rFonts w:cstheme="minorHAnsi"/>
          <w:sz w:val="24"/>
          <w:szCs w:val="24"/>
        </w:rPr>
        <w:t xml:space="preserve">, 2023, to solicit comments on the information collection prior to submission to OMB. </w:t>
      </w:r>
      <w:r w:rsidRPr="00A84DD4" w:rsidR="00A84DD4">
        <w:rPr>
          <w:rFonts w:cstheme="minorHAnsi"/>
          <w:sz w:val="24"/>
          <w:szCs w:val="24"/>
        </w:rPr>
        <w:t>Two</w:t>
      </w:r>
      <w:r w:rsidRPr="00A84DD4">
        <w:rPr>
          <w:rFonts w:cstheme="minorHAnsi"/>
          <w:sz w:val="24"/>
          <w:szCs w:val="24"/>
        </w:rPr>
        <w:t xml:space="preserve"> comment</w:t>
      </w:r>
      <w:r w:rsidRPr="00A84DD4" w:rsidR="00A84DD4">
        <w:rPr>
          <w:rFonts w:cstheme="minorHAnsi"/>
          <w:sz w:val="24"/>
          <w:szCs w:val="24"/>
        </w:rPr>
        <w:t>s</w:t>
      </w:r>
      <w:r w:rsidRPr="00A84DD4">
        <w:rPr>
          <w:rFonts w:cstheme="minorHAnsi"/>
          <w:sz w:val="24"/>
          <w:szCs w:val="24"/>
        </w:rPr>
        <w:t xml:space="preserve"> w</w:t>
      </w:r>
      <w:r w:rsidRPr="00A84DD4" w:rsidR="00A84DD4">
        <w:rPr>
          <w:rFonts w:cstheme="minorHAnsi"/>
          <w:sz w:val="24"/>
          <w:szCs w:val="24"/>
        </w:rPr>
        <w:t xml:space="preserve">ere </w:t>
      </w:r>
      <w:r w:rsidRPr="00A84DD4">
        <w:rPr>
          <w:rFonts w:cstheme="minorHAnsi"/>
          <w:sz w:val="24"/>
          <w:szCs w:val="24"/>
        </w:rPr>
        <w:t xml:space="preserve">received but </w:t>
      </w:r>
      <w:r w:rsidRPr="00A84DD4" w:rsidR="00A84DD4">
        <w:rPr>
          <w:rFonts w:cstheme="minorHAnsi"/>
          <w:sz w:val="24"/>
          <w:szCs w:val="24"/>
        </w:rPr>
        <w:t>they were</w:t>
      </w:r>
      <w:r w:rsidRPr="00A84DD4">
        <w:rPr>
          <w:rFonts w:cstheme="minorHAnsi"/>
          <w:sz w:val="24"/>
          <w:szCs w:val="24"/>
        </w:rPr>
        <w:t xml:space="preserve"> not related to the collection.  </w:t>
      </w:r>
    </w:p>
    <w:p w:rsidR="00314C68" w:rsidRPr="00A84DD4" w:rsidP="00314C68" w14:paraId="57C53531" w14:textId="77777777">
      <w:pPr>
        <w:pStyle w:val="NoSpacing"/>
        <w:ind w:left="720"/>
        <w:rPr>
          <w:rFonts w:cstheme="minorHAnsi"/>
          <w:sz w:val="24"/>
          <w:szCs w:val="24"/>
        </w:rPr>
      </w:pPr>
    </w:p>
    <w:p w:rsidR="00314C68" w:rsidRPr="00A84DD4" w:rsidP="00314C68" w14:paraId="43967DA8" w14:textId="77777777">
      <w:pPr>
        <w:pStyle w:val="NoSpacing"/>
        <w:ind w:left="720"/>
        <w:rPr>
          <w:rFonts w:cstheme="minorHAnsi"/>
          <w:bCs/>
          <w:sz w:val="24"/>
          <w:szCs w:val="24"/>
        </w:rPr>
      </w:pPr>
      <w:r w:rsidRPr="00A84DD4">
        <w:rPr>
          <w:rFonts w:cstheme="minorHAnsi"/>
          <w:sz w:val="24"/>
          <w:szCs w:val="24"/>
        </w:rPr>
        <w:t xml:space="preserve">A separate 30-day </w:t>
      </w:r>
      <w:r w:rsidRPr="00A84DD4">
        <w:rPr>
          <w:rFonts w:cstheme="minorHAnsi"/>
          <w:sz w:val="24"/>
          <w:szCs w:val="24"/>
          <w:u w:val="single"/>
        </w:rPr>
        <w:t>Federal Register</w:t>
      </w:r>
      <w:r w:rsidRPr="00A84DD4">
        <w:rPr>
          <w:rFonts w:cstheme="minorHAnsi"/>
          <w:sz w:val="24"/>
          <w:szCs w:val="24"/>
        </w:rPr>
        <w:t xml:space="preserve"> notice will be published to solicit public comment on the APR. The Department will summarize public comments received in response to this notice and describe actions taken by the agency in response to these comments.</w:t>
      </w:r>
    </w:p>
    <w:p w:rsidR="00E66550" w:rsidP="002313E2" w14:paraId="7F5F5C3C" w14:textId="77777777">
      <w:pPr>
        <w:tabs>
          <w:tab w:val="left" w:pos="-720"/>
        </w:tabs>
        <w:suppressAutoHyphens/>
        <w:ind w:left="720"/>
        <w:rPr>
          <w:rFonts w:ascii="Times New Roman" w:hAnsi="Times New Roman"/>
          <w:szCs w:val="24"/>
        </w:rPr>
      </w:pPr>
    </w:p>
    <w:p w:rsidR="00C45162" w:rsidP="00C45162" w14:paraId="7E004101" w14:textId="77777777">
      <w:pPr>
        <w:pStyle w:val="ListParagraph"/>
        <w:suppressAutoHyphens/>
        <w:contextualSpacing w:val="0"/>
        <w:rPr>
          <w:rFonts w:asciiTheme="minorHAnsi" w:hAnsiTheme="minorHAnsi" w:cstheme="minorHAnsi"/>
          <w:color w:val="FF0000"/>
          <w:szCs w:val="24"/>
        </w:rPr>
      </w:pPr>
      <w:r w:rsidRPr="00A93F1A">
        <w:rPr>
          <w:rFonts w:asciiTheme="minorHAnsi" w:hAnsiTheme="minorHAnsi" w:cstheme="minorHAnsi"/>
          <w:color w:val="FF0000"/>
          <w:szCs w:val="24"/>
        </w:rPr>
        <w:t>3/17/25:</w:t>
      </w:r>
    </w:p>
    <w:p w:rsidR="00053DF7" w:rsidRPr="00053DF7" w:rsidP="00053DF7" w14:paraId="6FF63C80" w14:textId="77777777">
      <w:pPr>
        <w:pStyle w:val="NoSpacing"/>
        <w:ind w:left="720"/>
        <w:rPr>
          <w:rFonts w:cstheme="minorHAnsi"/>
          <w:color w:val="FF0000"/>
          <w:sz w:val="24"/>
          <w:szCs w:val="24"/>
        </w:rPr>
      </w:pPr>
      <w:r w:rsidRPr="00053DF7">
        <w:rPr>
          <w:rFonts w:cstheme="minorHAnsi"/>
          <w:color w:val="FF0000"/>
          <w:sz w:val="24"/>
          <w:szCs w:val="24"/>
        </w:rPr>
        <w:t>This is a currently approved information collection, and this non-substantive change request does not require any public comment periods.</w:t>
      </w:r>
    </w:p>
    <w:p w:rsidR="00053DF7" w:rsidRPr="00A93F1A" w:rsidP="00C45162" w14:paraId="754B973F" w14:textId="77777777">
      <w:pPr>
        <w:pStyle w:val="ListParagraph"/>
        <w:suppressAutoHyphens/>
        <w:contextualSpacing w:val="0"/>
        <w:rPr>
          <w:rFonts w:asciiTheme="minorHAnsi" w:hAnsiTheme="minorHAnsi" w:cstheme="minorHAnsi"/>
          <w:color w:val="FF0000"/>
          <w:szCs w:val="24"/>
        </w:rPr>
      </w:pPr>
    </w:p>
    <w:p w:rsidR="00A84DD4" w:rsidP="002313E2" w14:paraId="08627192" w14:textId="77777777">
      <w:pPr>
        <w:tabs>
          <w:tab w:val="left" w:pos="-720"/>
        </w:tabs>
        <w:suppressAutoHyphens/>
        <w:ind w:left="720"/>
        <w:rPr>
          <w:rFonts w:ascii="Times New Roman" w:hAnsi="Times New Roman"/>
          <w:szCs w:val="24"/>
        </w:rPr>
      </w:pPr>
    </w:p>
    <w:p w:rsidR="00043C32" w:rsidP="002313E2" w14:paraId="43ABA69C"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2B238DD5" w14:textId="77777777">
      <w:pPr>
        <w:pStyle w:val="ListParagraph"/>
        <w:tabs>
          <w:tab w:val="left" w:pos="-720"/>
        </w:tabs>
        <w:suppressAutoHyphens/>
        <w:contextualSpacing w:val="0"/>
        <w:rPr>
          <w:rFonts w:ascii="Times New Roman" w:hAnsi="Times New Roman"/>
          <w:b/>
          <w:szCs w:val="24"/>
        </w:rPr>
      </w:pPr>
    </w:p>
    <w:p w:rsidR="00511CBF" w:rsidRPr="00541F86" w:rsidP="002313E2" w14:paraId="0E04F215" w14:textId="77777777">
      <w:pPr>
        <w:pStyle w:val="ListParagraph"/>
        <w:tabs>
          <w:tab w:val="left" w:pos="-720"/>
        </w:tabs>
        <w:suppressAutoHyphens/>
        <w:contextualSpacing w:val="0"/>
        <w:rPr>
          <w:rFonts w:asciiTheme="minorHAnsi" w:hAnsiTheme="minorHAnsi" w:cstheme="minorHAnsi"/>
          <w:b/>
          <w:szCs w:val="24"/>
        </w:rPr>
      </w:pPr>
      <w:r w:rsidRPr="00541F86">
        <w:rPr>
          <w:rFonts w:asciiTheme="minorHAnsi" w:hAnsiTheme="minorHAnsi" w:cstheme="minorHAnsi"/>
        </w:rPr>
        <w:t>The Department will not provide payment or gifts to respondents.</w:t>
      </w:r>
    </w:p>
    <w:p w:rsidR="00920F63" w:rsidRPr="00541F86" w:rsidP="002313E2" w14:paraId="6EC7D0F7" w14:textId="77777777">
      <w:pPr>
        <w:pStyle w:val="ListParagraph"/>
        <w:tabs>
          <w:tab w:val="left" w:pos="-720"/>
        </w:tabs>
        <w:suppressAutoHyphens/>
        <w:contextualSpacing w:val="0"/>
        <w:rPr>
          <w:rFonts w:asciiTheme="minorHAnsi" w:hAnsiTheme="minorHAnsi" w:cstheme="minorHAnsi"/>
          <w:b/>
          <w:szCs w:val="24"/>
        </w:rPr>
      </w:pPr>
    </w:p>
    <w:p w:rsidR="003133D4" w:rsidRPr="00920F63" w:rsidP="002313E2" w14:paraId="02A87C8F" w14:textId="77777777">
      <w:pPr>
        <w:pStyle w:val="ListParagraph"/>
        <w:tabs>
          <w:tab w:val="left" w:pos="-720"/>
        </w:tabs>
        <w:suppressAutoHyphens/>
        <w:contextualSpacing w:val="0"/>
        <w:rPr>
          <w:rFonts w:ascii="Times New Roman" w:hAnsi="Times New Roman"/>
          <w:b/>
          <w:szCs w:val="24"/>
        </w:rPr>
      </w:pPr>
    </w:p>
    <w:p w:rsidR="00043C32" w:rsidRPr="00D75313" w:rsidP="002313E2" w14:paraId="14BF31E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313E2" w14:paraId="05EAF884" w14:textId="77777777">
      <w:pPr>
        <w:tabs>
          <w:tab w:val="left" w:pos="-720"/>
        </w:tabs>
        <w:suppressAutoHyphens/>
        <w:rPr>
          <w:rFonts w:ascii="Times New Roman" w:hAnsi="Times New Roman"/>
          <w:b/>
          <w:szCs w:val="24"/>
        </w:rPr>
      </w:pPr>
    </w:p>
    <w:p w:rsidR="00A01DBD" w:rsidRPr="00541F86" w:rsidP="00F30C32" w14:paraId="224C98E7" w14:textId="77777777">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No assurances of confidentiality are provided to the respondents. The Department makes no pledge about the confidentiality of the data.</w:t>
      </w:r>
    </w:p>
    <w:p w:rsidR="00920F63" w:rsidRPr="00541F86" w:rsidP="002313E2" w14:paraId="6F928B30" w14:textId="77777777">
      <w:pPr>
        <w:tabs>
          <w:tab w:val="left" w:pos="-720"/>
        </w:tabs>
        <w:suppressAutoHyphens/>
        <w:rPr>
          <w:rFonts w:asciiTheme="minorHAnsi" w:hAnsiTheme="minorHAnsi" w:cstheme="minorHAnsi"/>
          <w:szCs w:val="24"/>
        </w:rPr>
      </w:pPr>
    </w:p>
    <w:p w:rsidR="003133D4" w:rsidRPr="00920F63" w:rsidP="002313E2" w14:paraId="63F2B642" w14:textId="77777777">
      <w:pPr>
        <w:tabs>
          <w:tab w:val="left" w:pos="-720"/>
        </w:tabs>
        <w:suppressAutoHyphens/>
        <w:rPr>
          <w:rFonts w:ascii="Times New Roman" w:hAnsi="Times New Roman"/>
          <w:szCs w:val="24"/>
        </w:rPr>
      </w:pPr>
    </w:p>
    <w:p w:rsidR="00043C32" w:rsidP="002313E2" w14:paraId="7146EBB3"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48CD172E" w14:textId="77777777">
      <w:pPr>
        <w:tabs>
          <w:tab w:val="left" w:pos="-720"/>
        </w:tabs>
        <w:suppressAutoHyphens/>
        <w:rPr>
          <w:rFonts w:ascii="Times New Roman" w:hAnsi="Times New Roman"/>
          <w:b/>
          <w:szCs w:val="24"/>
        </w:rPr>
      </w:pPr>
    </w:p>
    <w:p w:rsidR="00CB0D66" w:rsidRPr="00541F86" w:rsidP="00CB0D66" w14:paraId="7EFF21F0" w14:textId="77777777">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The performance report form does not include questions about sexual behavior and attitudes, religious beliefs, or other matters that are commonly considered sensitive and private</w:t>
      </w:r>
      <w:r w:rsidRPr="00541F86" w:rsidR="006C4A4D">
        <w:rPr>
          <w:rFonts w:asciiTheme="minorHAnsi" w:hAnsiTheme="minorHAnsi" w:cstheme="minorHAnsi"/>
        </w:rPr>
        <w:t>.</w:t>
      </w:r>
    </w:p>
    <w:p w:rsidR="00920F63" w:rsidP="002313E2" w14:paraId="1CC5F96A" w14:textId="77777777">
      <w:pPr>
        <w:tabs>
          <w:tab w:val="left" w:pos="-720"/>
        </w:tabs>
        <w:suppressAutoHyphens/>
        <w:ind w:left="180"/>
        <w:rPr>
          <w:rFonts w:ascii="Times New Roman" w:hAnsi="Times New Roman"/>
          <w:szCs w:val="24"/>
        </w:rPr>
      </w:pPr>
    </w:p>
    <w:p w:rsidR="003133D4" w:rsidRPr="00920F63" w:rsidP="002313E2" w14:paraId="71FE097B" w14:textId="77777777">
      <w:pPr>
        <w:tabs>
          <w:tab w:val="left" w:pos="-720"/>
        </w:tabs>
        <w:suppressAutoHyphens/>
        <w:ind w:left="180"/>
        <w:rPr>
          <w:rFonts w:ascii="Times New Roman" w:hAnsi="Times New Roman"/>
          <w:szCs w:val="24"/>
        </w:rPr>
      </w:pPr>
    </w:p>
    <w:p w:rsidR="00043C32" w:rsidRPr="00920F63" w:rsidP="002313E2" w14:paraId="39BEB9CE"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64EAF311" w14:textId="77777777">
      <w:pPr>
        <w:tabs>
          <w:tab w:val="left" w:pos="-720"/>
        </w:tabs>
        <w:suppressAutoHyphens/>
        <w:rPr>
          <w:rStyle w:val="a"/>
          <w:rFonts w:ascii="Times New Roman" w:hAnsi="Times New Roman"/>
          <w:b/>
          <w:szCs w:val="24"/>
        </w:rPr>
      </w:pPr>
    </w:p>
    <w:p w:rsidR="00C224FD" w:rsidP="002313E2" w14:paraId="247BCE36"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3CA2AAD6"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47809694"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2B1D868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26BDDB6E"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C97D942" w14:textId="77777777">
      <w:pPr>
        <w:tabs>
          <w:tab w:val="left" w:pos="-720"/>
          <w:tab w:val="left" w:pos="1247"/>
        </w:tabs>
        <w:suppressAutoHyphens/>
        <w:rPr>
          <w:rStyle w:val="a"/>
          <w:rFonts w:ascii="Times New Roman" w:hAnsi="Times New Roman"/>
          <w:b/>
          <w:szCs w:val="24"/>
        </w:rPr>
      </w:pPr>
    </w:p>
    <w:p w:rsidR="00946126" w:rsidRPr="00756FD3" w:rsidP="002313E2" w14:paraId="4876B20F"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7708D2" w:rsidP="007708D2" w14:paraId="0C99D7AC" w14:textId="77777777">
      <w:pPr>
        <w:tabs>
          <w:tab w:val="left" w:pos="-720"/>
        </w:tabs>
        <w:suppressAutoHyphens/>
        <w:rPr>
          <w:rStyle w:val="a"/>
          <w:rFonts w:ascii="Times New Roman" w:hAnsi="Times New Roman"/>
          <w:szCs w:val="24"/>
        </w:rPr>
      </w:pPr>
    </w:p>
    <w:p w:rsidR="00AA796A" w:rsidRPr="00541F86" w:rsidP="00AA796A" w14:paraId="04F39C62" w14:textId="77777777">
      <w:pPr>
        <w:tabs>
          <w:tab w:val="left" w:pos="-720"/>
        </w:tabs>
        <w:suppressAutoHyphens/>
        <w:ind w:left="720"/>
        <w:rPr>
          <w:rFonts w:asciiTheme="minorHAnsi" w:hAnsiTheme="minorHAnsi" w:cstheme="minorHAnsi"/>
        </w:rPr>
      </w:pPr>
      <w:r w:rsidRPr="00541F86">
        <w:rPr>
          <w:rFonts w:asciiTheme="minorHAnsi" w:hAnsiTheme="minorHAnsi" w:cstheme="minorHAnsi"/>
        </w:rPr>
        <w:t>The performance reports are submitted annually.</w:t>
      </w:r>
      <w:r w:rsidRPr="00541F86" w:rsidR="00D46506">
        <w:rPr>
          <w:rFonts w:asciiTheme="minorHAnsi" w:hAnsiTheme="minorHAnsi" w:cstheme="minorHAnsi"/>
        </w:rPr>
        <w:t xml:space="preserve"> Each grant project submits one report per year. </w:t>
      </w:r>
      <w:r w:rsidRPr="00541F86" w:rsidR="003C3234">
        <w:rPr>
          <w:rFonts w:asciiTheme="minorHAnsi" w:hAnsiTheme="minorHAnsi" w:cstheme="minorHAnsi"/>
        </w:rPr>
        <w:t xml:space="preserve">On average, eight hours should be sufficient </w:t>
      </w:r>
      <w:r w:rsidRPr="00541F86" w:rsidR="002B7491">
        <w:rPr>
          <w:rFonts w:asciiTheme="minorHAnsi" w:hAnsiTheme="minorHAnsi" w:cstheme="minorHAnsi"/>
        </w:rPr>
        <w:t>to gather and</w:t>
      </w:r>
      <w:r w:rsidRPr="00541F86" w:rsidR="00DC62DD">
        <w:rPr>
          <w:rFonts w:asciiTheme="minorHAnsi" w:hAnsiTheme="minorHAnsi" w:cstheme="minorHAnsi"/>
        </w:rPr>
        <w:t xml:space="preserve"> upload</w:t>
      </w:r>
      <w:r w:rsidRPr="00541F86" w:rsidR="002B7491">
        <w:rPr>
          <w:rFonts w:asciiTheme="minorHAnsi" w:hAnsiTheme="minorHAnsi" w:cstheme="minorHAnsi"/>
        </w:rPr>
        <w:t xml:space="preserve"> information to complete </w:t>
      </w:r>
      <w:r w:rsidRPr="00541F86" w:rsidR="00DC62DD">
        <w:rPr>
          <w:rFonts w:asciiTheme="minorHAnsi" w:hAnsiTheme="minorHAnsi" w:cstheme="minorHAnsi"/>
        </w:rPr>
        <w:t xml:space="preserve">the </w:t>
      </w:r>
      <w:r w:rsidRPr="00541F86" w:rsidR="003C3234">
        <w:rPr>
          <w:rFonts w:asciiTheme="minorHAnsi" w:hAnsiTheme="minorHAnsi" w:cstheme="minorHAnsi"/>
        </w:rPr>
        <w:t xml:space="preserve">EOC APR submission.  </w:t>
      </w:r>
    </w:p>
    <w:p w:rsidR="007F4143" w:rsidRPr="00541F86" w:rsidP="00AA796A" w14:paraId="10C3063D" w14:textId="77777777">
      <w:pPr>
        <w:tabs>
          <w:tab w:val="left" w:pos="-720"/>
        </w:tabs>
        <w:suppressAutoHyphens/>
        <w:ind w:left="720"/>
        <w:rPr>
          <w:rFonts w:asciiTheme="minorHAnsi" w:hAnsiTheme="minorHAnsi" w:cstheme="minorHAnsi"/>
        </w:rPr>
      </w:pPr>
    </w:p>
    <w:p w:rsidR="007F4143" w:rsidRPr="00541F86" w:rsidP="00AA796A" w14:paraId="24D31333" w14:textId="77777777">
      <w:pPr>
        <w:tabs>
          <w:tab w:val="left" w:pos="-720"/>
        </w:tabs>
        <w:suppressAutoHyphens/>
        <w:ind w:left="720"/>
        <w:rPr>
          <w:rFonts w:asciiTheme="minorHAnsi" w:hAnsiTheme="minorHAnsi" w:cstheme="minorHAnsi"/>
        </w:rPr>
      </w:pPr>
      <w:r w:rsidRPr="00541F86">
        <w:rPr>
          <w:rFonts w:asciiTheme="minorHAnsi" w:hAnsiTheme="minorHAnsi" w:cstheme="minorHAnsi"/>
        </w:rPr>
        <w:t xml:space="preserve">This </w:t>
      </w:r>
      <w:r w:rsidRPr="00541F86" w:rsidR="00FD7FF8">
        <w:rPr>
          <w:rFonts w:asciiTheme="minorHAnsi" w:hAnsiTheme="minorHAnsi" w:cstheme="minorHAnsi"/>
        </w:rPr>
        <w:t xml:space="preserve">average </w:t>
      </w:r>
      <w:r w:rsidRPr="00541F86" w:rsidR="00771FF0">
        <w:rPr>
          <w:rFonts w:asciiTheme="minorHAnsi" w:hAnsiTheme="minorHAnsi" w:cstheme="minorHAnsi"/>
        </w:rPr>
        <w:t>eight-hour</w:t>
      </w:r>
      <w:r w:rsidRPr="00541F86">
        <w:rPr>
          <w:rFonts w:asciiTheme="minorHAnsi" w:hAnsiTheme="minorHAnsi" w:cstheme="minorHAnsi"/>
        </w:rPr>
        <w:t xml:space="preserve"> response burden </w:t>
      </w:r>
      <w:r w:rsidRPr="00541F86" w:rsidR="00FD7FF8">
        <w:rPr>
          <w:rFonts w:asciiTheme="minorHAnsi" w:hAnsiTheme="minorHAnsi" w:cstheme="minorHAnsi"/>
        </w:rPr>
        <w:t xml:space="preserve">is distributed across the </w:t>
      </w:r>
      <w:r w:rsidRPr="00541F86" w:rsidR="00771FF0">
        <w:rPr>
          <w:rFonts w:asciiTheme="minorHAnsi" w:hAnsiTheme="minorHAnsi" w:cstheme="minorHAnsi"/>
        </w:rPr>
        <w:t>1</w:t>
      </w:r>
      <w:r w:rsidR="00771FF0">
        <w:rPr>
          <w:rFonts w:asciiTheme="minorHAnsi" w:hAnsiTheme="minorHAnsi" w:cstheme="minorHAnsi"/>
        </w:rPr>
        <w:t>83</w:t>
      </w:r>
      <w:r w:rsidRPr="00541F86" w:rsidR="00771FF0">
        <w:rPr>
          <w:rFonts w:asciiTheme="minorHAnsi" w:hAnsiTheme="minorHAnsi" w:cstheme="minorHAnsi"/>
        </w:rPr>
        <w:t xml:space="preserve"> </w:t>
      </w:r>
      <w:r w:rsidRPr="00541F86" w:rsidR="00FD7FF8">
        <w:rPr>
          <w:rFonts w:asciiTheme="minorHAnsi" w:hAnsiTheme="minorHAnsi" w:cstheme="minorHAnsi"/>
        </w:rPr>
        <w:t xml:space="preserve">EOC grant projects </w:t>
      </w:r>
      <w:r w:rsidRPr="00541F86" w:rsidR="00BB4F75">
        <w:rPr>
          <w:rFonts w:asciiTheme="minorHAnsi" w:hAnsiTheme="minorHAnsi" w:cstheme="minorHAnsi"/>
        </w:rPr>
        <w:t>for total annual burden hours of 1,</w:t>
      </w:r>
      <w:r w:rsidR="00597C9A">
        <w:rPr>
          <w:rFonts w:asciiTheme="minorHAnsi" w:hAnsiTheme="minorHAnsi" w:cstheme="minorHAnsi"/>
        </w:rPr>
        <w:t>464</w:t>
      </w:r>
      <w:r w:rsidRPr="00541F86" w:rsidR="00BB4F75">
        <w:rPr>
          <w:rFonts w:asciiTheme="minorHAnsi" w:hAnsiTheme="minorHAnsi" w:cstheme="minorHAnsi"/>
        </w:rPr>
        <w:t xml:space="preserve">.  </w:t>
      </w:r>
    </w:p>
    <w:p w:rsidR="00FB7FCE" w:rsidRPr="00541F86" w:rsidP="00AA796A" w14:paraId="5094587A" w14:textId="77777777">
      <w:pPr>
        <w:tabs>
          <w:tab w:val="left" w:pos="-720"/>
        </w:tabs>
        <w:suppressAutoHyphens/>
        <w:ind w:left="720"/>
        <w:rPr>
          <w:rFonts w:asciiTheme="minorHAnsi" w:hAnsiTheme="minorHAnsi" w:cstheme="minorHAnsi"/>
        </w:rPr>
      </w:pPr>
    </w:p>
    <w:p w:rsidR="000C7127" w:rsidP="007B779A" w14:paraId="66132F10" w14:textId="77777777">
      <w:pPr>
        <w:tabs>
          <w:tab w:val="left" w:pos="-720"/>
        </w:tabs>
        <w:suppressAutoHyphens/>
        <w:ind w:left="720"/>
      </w:pPr>
      <w:r w:rsidRPr="00541F86">
        <w:rPr>
          <w:rFonts w:asciiTheme="minorHAnsi" w:hAnsiTheme="minorHAnsi" w:cstheme="minorHAnsi"/>
        </w:rPr>
        <w:t>On average, each project is estimated to require 7.5 hours from a project director and 0.5 hours of effort from an administrative support staff person</w:t>
      </w:r>
      <w:r w:rsidRPr="00541F86" w:rsidR="006477C1">
        <w:rPr>
          <w:rFonts w:asciiTheme="minorHAnsi" w:hAnsiTheme="minorHAnsi" w:cstheme="minorHAnsi"/>
        </w:rPr>
        <w:t xml:space="preserve"> to support the submission process. </w:t>
      </w:r>
      <w:r w:rsidRPr="00541F86" w:rsidR="00D579DE">
        <w:rPr>
          <w:rFonts w:asciiTheme="minorHAnsi" w:hAnsiTheme="minorHAnsi" w:cstheme="minorHAnsi"/>
        </w:rPr>
        <w:t>T</w:t>
      </w:r>
      <w:r w:rsidRPr="00541F86" w:rsidR="00810F45">
        <w:rPr>
          <w:rFonts w:asciiTheme="minorHAnsi" w:hAnsiTheme="minorHAnsi" w:cstheme="minorHAnsi"/>
        </w:rPr>
        <w:t>he project director</w:t>
      </w:r>
      <w:r w:rsidRPr="00541F86" w:rsidR="00D579DE">
        <w:rPr>
          <w:rFonts w:asciiTheme="minorHAnsi" w:hAnsiTheme="minorHAnsi" w:cstheme="minorHAnsi"/>
        </w:rPr>
        <w:t>’</w:t>
      </w:r>
      <w:r w:rsidRPr="00541F86" w:rsidR="00810F45">
        <w:rPr>
          <w:rFonts w:asciiTheme="minorHAnsi" w:hAnsiTheme="minorHAnsi" w:cstheme="minorHAnsi"/>
        </w:rPr>
        <w:t xml:space="preserve">s hours are valued at </w:t>
      </w:r>
      <w:r w:rsidRPr="00541F86" w:rsidR="00AF1EBE">
        <w:rPr>
          <w:rFonts w:asciiTheme="minorHAnsi" w:hAnsiTheme="minorHAnsi" w:cstheme="minorHAnsi"/>
        </w:rPr>
        <w:t>$42 per hour and the support staff is valued at $23 per hour</w:t>
      </w:r>
      <w:r w:rsidRPr="00541F86" w:rsidR="00D579DE">
        <w:rPr>
          <w:rFonts w:asciiTheme="minorHAnsi" w:hAnsiTheme="minorHAnsi" w:cstheme="minorHAnsi"/>
        </w:rPr>
        <w:t>.</w:t>
      </w:r>
    </w:p>
    <w:p w:rsidR="007708D2" w:rsidRPr="007708D2" w:rsidP="007708D2" w14:paraId="0901647D" w14:textId="77777777">
      <w:pPr>
        <w:tabs>
          <w:tab w:val="left" w:pos="-720"/>
        </w:tabs>
        <w:suppressAutoHyphens/>
        <w:rPr>
          <w:rStyle w:val="a"/>
          <w:rFonts w:ascii="Times New Roman" w:hAnsi="Times New Roman"/>
          <w:szCs w:val="24"/>
        </w:rPr>
      </w:pPr>
    </w:p>
    <w:p w:rsidR="00ED7195" w:rsidRPr="00920F63" w:rsidP="002313E2" w14:paraId="1578C390"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0825" w:type="dxa"/>
        <w:tblLayout w:type="fixed"/>
        <w:tblLook w:val="0020"/>
      </w:tblPr>
      <w:tblGrid>
        <w:gridCol w:w="1285"/>
        <w:gridCol w:w="1208"/>
        <w:gridCol w:w="1199"/>
        <w:gridCol w:w="1203"/>
        <w:gridCol w:w="1046"/>
        <w:gridCol w:w="1017"/>
        <w:gridCol w:w="945"/>
        <w:gridCol w:w="1461"/>
        <w:gridCol w:w="1461"/>
      </w:tblGrid>
      <w:tr w14:paraId="28BED413" w14:textId="77777777" w:rsidTr="007B779A">
        <w:tblPrEx>
          <w:tblW w:w="10825" w:type="dxa"/>
          <w:tblLayout w:type="fixed"/>
          <w:tblLook w:val="0020"/>
        </w:tblPrEx>
        <w:trPr>
          <w:trHeight w:val="1025"/>
          <w:tblHeader/>
        </w:trPr>
        <w:tc>
          <w:tcPr>
            <w:tcW w:w="1285" w:type="dxa"/>
            <w:vAlign w:val="center"/>
          </w:tcPr>
          <w:p w:rsidR="00C86713" w:rsidRPr="007F6104" w:rsidP="00860E11" w14:paraId="54F32EF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08" w:type="dxa"/>
            <w:vAlign w:val="center"/>
          </w:tcPr>
          <w:p w:rsidR="00C86713" w:rsidRPr="007F6104" w:rsidP="00860E11" w14:paraId="105DE120"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99" w:type="dxa"/>
            <w:vAlign w:val="center"/>
          </w:tcPr>
          <w:p w:rsidR="00C86713" w:rsidRPr="007F6104" w:rsidP="00860E11" w14:paraId="7C9233DB"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03" w:type="dxa"/>
            <w:vAlign w:val="center"/>
          </w:tcPr>
          <w:p w:rsidR="00C86713" w:rsidRPr="007F6104" w:rsidP="00860E11" w14:paraId="0FDC515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46" w:type="dxa"/>
            <w:vAlign w:val="center"/>
          </w:tcPr>
          <w:p w:rsidR="00C86713" w:rsidRPr="007F6104" w:rsidP="00860E11" w14:paraId="12296F51" w14:textId="77777777">
            <w:pPr>
              <w:jc w:val="center"/>
              <w:rPr>
                <w:rFonts w:ascii="Times New Roman" w:hAnsi="Times New Roman"/>
                <w:sz w:val="20"/>
              </w:rPr>
            </w:pPr>
            <w:r w:rsidRPr="007F6104">
              <w:rPr>
                <w:rFonts w:ascii="Times New Roman" w:hAnsi="Times New Roman"/>
                <w:sz w:val="20"/>
              </w:rPr>
              <w:t>Number of Responses</w:t>
            </w:r>
          </w:p>
        </w:tc>
        <w:tc>
          <w:tcPr>
            <w:tcW w:w="1017" w:type="dxa"/>
            <w:vAlign w:val="center"/>
          </w:tcPr>
          <w:p w:rsidR="00C86713" w:rsidRPr="007F6104" w:rsidP="00860E11" w14:paraId="5AA041CD" w14:textId="77777777">
            <w:pPr>
              <w:jc w:val="center"/>
              <w:rPr>
                <w:rFonts w:ascii="Times New Roman" w:hAnsi="Times New Roman"/>
                <w:sz w:val="20"/>
              </w:rPr>
            </w:pPr>
            <w:r w:rsidRPr="007F6104">
              <w:rPr>
                <w:rFonts w:ascii="Times New Roman" w:hAnsi="Times New Roman"/>
                <w:sz w:val="20"/>
              </w:rPr>
              <w:t>Average Burden Hours per Response</w:t>
            </w:r>
          </w:p>
        </w:tc>
        <w:tc>
          <w:tcPr>
            <w:tcW w:w="945" w:type="dxa"/>
            <w:vAlign w:val="center"/>
          </w:tcPr>
          <w:p w:rsidR="00C86713" w:rsidRPr="007F6104" w:rsidP="00860E11" w14:paraId="51094B56"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461" w:type="dxa"/>
            <w:vAlign w:val="center"/>
          </w:tcPr>
          <w:p w:rsidR="00C86713" w:rsidRPr="007F6104" w:rsidP="00860E11" w14:paraId="6C9BF15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61" w:type="dxa"/>
            <w:vAlign w:val="center"/>
          </w:tcPr>
          <w:p w:rsidR="00C86713" w:rsidRPr="007F6104" w:rsidP="00860E11" w14:paraId="358775C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D11F82C" w14:textId="77777777" w:rsidTr="007B779A">
        <w:tblPrEx>
          <w:tblW w:w="10825" w:type="dxa"/>
          <w:tblLayout w:type="fixed"/>
          <w:tblLook w:val="0020"/>
        </w:tblPrEx>
        <w:trPr>
          <w:trHeight w:val="250"/>
        </w:trPr>
        <w:tc>
          <w:tcPr>
            <w:tcW w:w="1285" w:type="dxa"/>
          </w:tcPr>
          <w:p w:rsidR="0021632E" w:rsidRPr="007B779A" w:rsidP="00ED7E7C" w14:paraId="3BDAA2E3" w14:textId="77777777">
            <w:pPr>
              <w:rPr>
                <w:rFonts w:ascii="Times New Roman" w:hAnsi="Times New Roman"/>
                <w:sz w:val="20"/>
              </w:rPr>
            </w:pPr>
            <w:r w:rsidRPr="007B779A">
              <w:rPr>
                <w:rFonts w:ascii="Times New Roman" w:hAnsi="Times New Roman"/>
                <w:sz w:val="20"/>
              </w:rPr>
              <w:t>Public Sector</w:t>
            </w:r>
          </w:p>
        </w:tc>
        <w:tc>
          <w:tcPr>
            <w:tcW w:w="1208" w:type="dxa"/>
          </w:tcPr>
          <w:p w:rsidR="0021632E" w:rsidRPr="007B779A" w:rsidP="00ED7E7C" w14:paraId="4DA7AAF7" w14:textId="77777777">
            <w:pPr>
              <w:rPr>
                <w:rFonts w:ascii="Times New Roman" w:hAnsi="Times New Roman"/>
                <w:sz w:val="20"/>
              </w:rPr>
            </w:pPr>
            <w:r w:rsidRPr="007B779A">
              <w:rPr>
                <w:rFonts w:ascii="Times New Roman" w:hAnsi="Times New Roman"/>
                <w:sz w:val="20"/>
              </w:rPr>
              <w:t>N/A</w:t>
            </w:r>
          </w:p>
        </w:tc>
        <w:tc>
          <w:tcPr>
            <w:tcW w:w="1199" w:type="dxa"/>
          </w:tcPr>
          <w:p w:rsidR="0021632E" w:rsidRPr="007B779A" w:rsidP="00ED7E7C" w14:paraId="3456B107" w14:textId="77777777">
            <w:pPr>
              <w:rPr>
                <w:rFonts w:ascii="Times New Roman" w:hAnsi="Times New Roman"/>
                <w:sz w:val="20"/>
              </w:rPr>
            </w:pPr>
            <w:r w:rsidRPr="007B779A">
              <w:rPr>
                <w:rFonts w:ascii="Times New Roman" w:hAnsi="Times New Roman"/>
                <w:sz w:val="20"/>
              </w:rPr>
              <w:t>N/A</w:t>
            </w:r>
          </w:p>
        </w:tc>
        <w:tc>
          <w:tcPr>
            <w:tcW w:w="1203" w:type="dxa"/>
          </w:tcPr>
          <w:p w:rsidR="0021632E" w:rsidRPr="007B779A" w:rsidP="0025190E" w14:paraId="7CD23793" w14:textId="77777777">
            <w:pPr>
              <w:rPr>
                <w:rFonts w:ascii="Times New Roman" w:hAnsi="Times New Roman"/>
                <w:sz w:val="20"/>
              </w:rPr>
            </w:pPr>
            <w:r w:rsidRPr="007B779A">
              <w:rPr>
                <w:rFonts w:ascii="Times New Roman" w:hAnsi="Times New Roman"/>
                <w:sz w:val="20"/>
              </w:rPr>
              <w:t>140</w:t>
            </w:r>
          </w:p>
        </w:tc>
        <w:tc>
          <w:tcPr>
            <w:tcW w:w="1046" w:type="dxa"/>
          </w:tcPr>
          <w:p w:rsidR="0021632E" w:rsidRPr="007B779A" w:rsidP="0025190E" w14:paraId="27AB0108" w14:textId="77777777">
            <w:pPr>
              <w:rPr>
                <w:rFonts w:ascii="Times New Roman" w:hAnsi="Times New Roman"/>
                <w:sz w:val="20"/>
              </w:rPr>
            </w:pPr>
            <w:r w:rsidRPr="007B779A">
              <w:rPr>
                <w:rFonts w:ascii="Times New Roman" w:hAnsi="Times New Roman"/>
                <w:sz w:val="20"/>
              </w:rPr>
              <w:t>140</w:t>
            </w:r>
          </w:p>
        </w:tc>
        <w:tc>
          <w:tcPr>
            <w:tcW w:w="1017" w:type="dxa"/>
          </w:tcPr>
          <w:p w:rsidR="0021632E" w:rsidRPr="007B779A" w:rsidP="0025190E" w14:paraId="665368D8" w14:textId="77777777">
            <w:pPr>
              <w:rPr>
                <w:rFonts w:ascii="Times New Roman" w:hAnsi="Times New Roman"/>
                <w:sz w:val="20"/>
              </w:rPr>
            </w:pPr>
            <w:r w:rsidRPr="007B779A">
              <w:rPr>
                <w:rFonts w:ascii="Times New Roman" w:hAnsi="Times New Roman"/>
                <w:sz w:val="20"/>
              </w:rPr>
              <w:t>8</w:t>
            </w:r>
          </w:p>
        </w:tc>
        <w:tc>
          <w:tcPr>
            <w:tcW w:w="945" w:type="dxa"/>
          </w:tcPr>
          <w:p w:rsidR="0021632E" w:rsidRPr="007B779A" w:rsidP="0025190E" w14:paraId="28EA179D" w14:textId="77777777">
            <w:pPr>
              <w:rPr>
                <w:rFonts w:ascii="Times New Roman" w:hAnsi="Times New Roman"/>
                <w:sz w:val="20"/>
              </w:rPr>
            </w:pPr>
            <w:r w:rsidRPr="007B779A">
              <w:rPr>
                <w:rFonts w:ascii="Times New Roman" w:hAnsi="Times New Roman"/>
                <w:sz w:val="20"/>
              </w:rPr>
              <w:t>1,</w:t>
            </w:r>
            <w:r w:rsidRPr="007B779A" w:rsidR="004B6D99">
              <w:rPr>
                <w:rFonts w:ascii="Times New Roman" w:hAnsi="Times New Roman"/>
                <w:sz w:val="20"/>
              </w:rPr>
              <w:t>120</w:t>
            </w:r>
          </w:p>
        </w:tc>
        <w:tc>
          <w:tcPr>
            <w:tcW w:w="1461" w:type="dxa"/>
            <w:vMerge w:val="restart"/>
          </w:tcPr>
          <w:p w:rsidR="0021632E" w:rsidRPr="007B779A" w:rsidP="00ED7E7C" w14:paraId="3798A027" w14:textId="77777777">
            <w:pPr>
              <w:rPr>
                <w:rFonts w:ascii="Times New Roman" w:hAnsi="Times New Roman"/>
                <w:sz w:val="20"/>
              </w:rPr>
            </w:pPr>
          </w:p>
          <w:p w:rsidR="0021632E" w:rsidRPr="007B779A" w:rsidP="0021632E" w14:paraId="7544C1E5" w14:textId="77777777">
            <w:pPr>
              <w:jc w:val="center"/>
              <w:rPr>
                <w:rFonts w:ascii="Times New Roman" w:hAnsi="Times New Roman"/>
                <w:sz w:val="20"/>
              </w:rPr>
            </w:pPr>
            <w:r w:rsidRPr="007B779A">
              <w:rPr>
                <w:rFonts w:ascii="Times New Roman" w:hAnsi="Times New Roman"/>
                <w:sz w:val="20"/>
              </w:rPr>
              <w:t>Project Director = $42/hour</w:t>
            </w:r>
          </w:p>
          <w:p w:rsidR="0021632E" w:rsidRPr="007B779A" w:rsidP="0021632E" w14:paraId="69CF6434" w14:textId="77777777">
            <w:pPr>
              <w:jc w:val="center"/>
              <w:rPr>
                <w:rFonts w:ascii="Times New Roman" w:hAnsi="Times New Roman"/>
                <w:sz w:val="20"/>
              </w:rPr>
            </w:pPr>
          </w:p>
          <w:p w:rsidR="0021632E" w:rsidRPr="007B779A" w:rsidP="0021632E" w14:paraId="5443FC07" w14:textId="77777777">
            <w:pPr>
              <w:jc w:val="center"/>
              <w:rPr>
                <w:rFonts w:ascii="Times New Roman" w:hAnsi="Times New Roman"/>
                <w:sz w:val="20"/>
              </w:rPr>
            </w:pPr>
            <w:r w:rsidRPr="007B779A">
              <w:rPr>
                <w:rFonts w:ascii="Times New Roman" w:hAnsi="Times New Roman"/>
                <w:sz w:val="20"/>
              </w:rPr>
              <w:t>Support staff = $23/hour</w:t>
            </w:r>
          </w:p>
          <w:p w:rsidR="0021632E" w:rsidRPr="007B779A" w:rsidP="0025190E" w14:paraId="4F2869EA" w14:textId="77777777">
            <w:pPr>
              <w:rPr>
                <w:rFonts w:ascii="Times New Roman" w:hAnsi="Times New Roman"/>
                <w:sz w:val="20"/>
              </w:rPr>
            </w:pPr>
          </w:p>
        </w:tc>
        <w:tc>
          <w:tcPr>
            <w:tcW w:w="1461" w:type="dxa"/>
          </w:tcPr>
          <w:p w:rsidR="0021632E" w:rsidRPr="007B779A" w:rsidP="00804FD6" w14:paraId="5C7419E3" w14:textId="77777777">
            <w:pPr>
              <w:rPr>
                <w:rFonts w:ascii="Times New Roman" w:hAnsi="Times New Roman"/>
                <w:sz w:val="20"/>
              </w:rPr>
            </w:pPr>
            <w:r w:rsidRPr="007B779A">
              <w:rPr>
                <w:rFonts w:ascii="Times New Roman" w:hAnsi="Times New Roman"/>
                <w:sz w:val="20"/>
              </w:rPr>
              <w:t>$</w:t>
            </w:r>
            <w:r w:rsidRPr="007B779A" w:rsidR="00804FD6">
              <w:rPr>
                <w:rFonts w:ascii="Times New Roman" w:hAnsi="Times New Roman"/>
                <w:sz w:val="20"/>
              </w:rPr>
              <w:t>45,71</w:t>
            </w:r>
            <w:r w:rsidRPr="007B779A" w:rsidR="0087466F">
              <w:rPr>
                <w:rFonts w:ascii="Times New Roman" w:hAnsi="Times New Roman"/>
                <w:sz w:val="20"/>
              </w:rPr>
              <w:t>0.00</w:t>
            </w:r>
          </w:p>
        </w:tc>
      </w:tr>
      <w:tr w14:paraId="67A99F06" w14:textId="77777777" w:rsidTr="007B779A">
        <w:tblPrEx>
          <w:tblW w:w="10825" w:type="dxa"/>
          <w:tblLayout w:type="fixed"/>
          <w:tblLook w:val="0020"/>
        </w:tblPrEx>
        <w:trPr>
          <w:trHeight w:val="250"/>
        </w:trPr>
        <w:tc>
          <w:tcPr>
            <w:tcW w:w="1285" w:type="dxa"/>
          </w:tcPr>
          <w:p w:rsidR="0021632E" w:rsidRPr="007B779A" w:rsidP="00ED7E7C" w14:paraId="656AA09A" w14:textId="77777777">
            <w:pPr>
              <w:rPr>
                <w:rFonts w:ascii="Times New Roman" w:hAnsi="Times New Roman"/>
                <w:sz w:val="20"/>
              </w:rPr>
            </w:pPr>
            <w:r w:rsidRPr="007B779A">
              <w:rPr>
                <w:rFonts w:ascii="Times New Roman" w:hAnsi="Times New Roman"/>
                <w:sz w:val="20"/>
              </w:rPr>
              <w:t>Private Sector</w:t>
            </w:r>
          </w:p>
        </w:tc>
        <w:tc>
          <w:tcPr>
            <w:tcW w:w="1208" w:type="dxa"/>
          </w:tcPr>
          <w:p w:rsidR="0021632E" w:rsidRPr="007B779A" w:rsidP="00ED7E7C" w14:paraId="46A00E15" w14:textId="77777777">
            <w:pPr>
              <w:rPr>
                <w:rFonts w:ascii="Times New Roman" w:hAnsi="Times New Roman"/>
                <w:sz w:val="20"/>
              </w:rPr>
            </w:pPr>
            <w:r w:rsidRPr="007B779A">
              <w:rPr>
                <w:rFonts w:ascii="Times New Roman" w:hAnsi="Times New Roman"/>
                <w:sz w:val="20"/>
              </w:rPr>
              <w:t>N/A</w:t>
            </w:r>
          </w:p>
        </w:tc>
        <w:tc>
          <w:tcPr>
            <w:tcW w:w="1199" w:type="dxa"/>
          </w:tcPr>
          <w:p w:rsidR="0021632E" w:rsidRPr="007B779A" w:rsidP="00ED7E7C" w14:paraId="0549292E" w14:textId="77777777">
            <w:pPr>
              <w:rPr>
                <w:rFonts w:ascii="Times New Roman" w:hAnsi="Times New Roman"/>
                <w:sz w:val="20"/>
              </w:rPr>
            </w:pPr>
            <w:r w:rsidRPr="007B779A">
              <w:rPr>
                <w:rFonts w:ascii="Times New Roman" w:hAnsi="Times New Roman"/>
                <w:sz w:val="20"/>
              </w:rPr>
              <w:t>N/A</w:t>
            </w:r>
          </w:p>
        </w:tc>
        <w:tc>
          <w:tcPr>
            <w:tcW w:w="1203" w:type="dxa"/>
          </w:tcPr>
          <w:p w:rsidR="0021632E" w:rsidRPr="007B779A" w:rsidP="0025190E" w14:paraId="62BD6C40" w14:textId="77777777">
            <w:pPr>
              <w:rPr>
                <w:rFonts w:ascii="Times New Roman" w:hAnsi="Times New Roman"/>
                <w:sz w:val="20"/>
              </w:rPr>
            </w:pPr>
            <w:r w:rsidRPr="007B779A">
              <w:rPr>
                <w:rFonts w:ascii="Times New Roman" w:hAnsi="Times New Roman"/>
                <w:sz w:val="20"/>
              </w:rPr>
              <w:t>43</w:t>
            </w:r>
          </w:p>
        </w:tc>
        <w:tc>
          <w:tcPr>
            <w:tcW w:w="1046" w:type="dxa"/>
          </w:tcPr>
          <w:p w:rsidR="0021632E" w:rsidRPr="007B779A" w:rsidP="0025190E" w14:paraId="17EEC957" w14:textId="77777777">
            <w:pPr>
              <w:rPr>
                <w:rFonts w:ascii="Times New Roman" w:hAnsi="Times New Roman"/>
                <w:sz w:val="20"/>
              </w:rPr>
            </w:pPr>
            <w:r w:rsidRPr="007B779A">
              <w:rPr>
                <w:rFonts w:ascii="Times New Roman" w:hAnsi="Times New Roman"/>
                <w:sz w:val="20"/>
              </w:rPr>
              <w:t>43</w:t>
            </w:r>
          </w:p>
        </w:tc>
        <w:tc>
          <w:tcPr>
            <w:tcW w:w="1017" w:type="dxa"/>
          </w:tcPr>
          <w:p w:rsidR="0021632E" w:rsidRPr="007B779A" w:rsidP="0025190E" w14:paraId="3EAECC46" w14:textId="77777777">
            <w:pPr>
              <w:rPr>
                <w:rFonts w:ascii="Times New Roman" w:hAnsi="Times New Roman"/>
                <w:sz w:val="20"/>
              </w:rPr>
            </w:pPr>
            <w:r w:rsidRPr="007B779A">
              <w:rPr>
                <w:rFonts w:ascii="Times New Roman" w:hAnsi="Times New Roman"/>
                <w:sz w:val="20"/>
              </w:rPr>
              <w:t>8</w:t>
            </w:r>
          </w:p>
        </w:tc>
        <w:tc>
          <w:tcPr>
            <w:tcW w:w="945" w:type="dxa"/>
          </w:tcPr>
          <w:p w:rsidR="0021632E" w:rsidRPr="007B779A" w:rsidP="0025190E" w14:paraId="52DF5FB6" w14:textId="77777777">
            <w:pPr>
              <w:pStyle w:val="EndnoteText"/>
              <w:tabs>
                <w:tab w:val="clear" w:pos="-720"/>
              </w:tabs>
              <w:suppressAutoHyphens w:val="0"/>
              <w:rPr>
                <w:rFonts w:ascii="Times New Roman" w:hAnsi="Times New Roman"/>
                <w:sz w:val="20"/>
              </w:rPr>
            </w:pPr>
            <w:r w:rsidRPr="007B779A">
              <w:rPr>
                <w:rFonts w:ascii="Times New Roman" w:hAnsi="Times New Roman"/>
                <w:sz w:val="20"/>
              </w:rPr>
              <w:t>344</w:t>
            </w:r>
          </w:p>
        </w:tc>
        <w:tc>
          <w:tcPr>
            <w:tcW w:w="1461" w:type="dxa"/>
            <w:vMerge/>
          </w:tcPr>
          <w:p w:rsidR="0021632E" w:rsidRPr="007B779A" w:rsidP="0025190E" w14:paraId="5E67B17E" w14:textId="77777777">
            <w:pPr>
              <w:rPr>
                <w:rFonts w:ascii="Times New Roman" w:hAnsi="Times New Roman"/>
                <w:sz w:val="20"/>
              </w:rPr>
            </w:pPr>
          </w:p>
        </w:tc>
        <w:tc>
          <w:tcPr>
            <w:tcW w:w="1461" w:type="dxa"/>
          </w:tcPr>
          <w:p w:rsidR="0021632E" w:rsidRPr="007B779A" w:rsidP="00A86ADD" w14:paraId="4B110996" w14:textId="77777777">
            <w:pPr>
              <w:rPr>
                <w:rFonts w:ascii="Times New Roman" w:hAnsi="Times New Roman"/>
                <w:sz w:val="20"/>
              </w:rPr>
            </w:pPr>
            <w:r w:rsidRPr="007B779A">
              <w:rPr>
                <w:rFonts w:ascii="Times New Roman" w:hAnsi="Times New Roman"/>
                <w:sz w:val="20"/>
              </w:rPr>
              <w:t>$</w:t>
            </w:r>
            <w:r w:rsidRPr="007B779A" w:rsidR="00A86ADD">
              <w:rPr>
                <w:rFonts w:ascii="Times New Roman" w:hAnsi="Times New Roman"/>
                <w:sz w:val="20"/>
              </w:rPr>
              <w:t>14,039.50</w:t>
            </w:r>
          </w:p>
        </w:tc>
      </w:tr>
      <w:tr w14:paraId="1984F718" w14:textId="77777777" w:rsidTr="007B779A">
        <w:tblPrEx>
          <w:tblW w:w="10825" w:type="dxa"/>
          <w:tblLayout w:type="fixed"/>
          <w:tblLook w:val="0020"/>
        </w:tblPrEx>
        <w:trPr>
          <w:trHeight w:val="1252"/>
        </w:trPr>
        <w:tc>
          <w:tcPr>
            <w:tcW w:w="1285" w:type="dxa"/>
          </w:tcPr>
          <w:p w:rsidR="0021632E" w:rsidRPr="007B779A" w:rsidP="0025190E" w14:paraId="714699B8" w14:textId="77777777">
            <w:pPr>
              <w:rPr>
                <w:rFonts w:ascii="Times New Roman" w:hAnsi="Times New Roman"/>
                <w:sz w:val="20"/>
              </w:rPr>
            </w:pPr>
            <w:r w:rsidRPr="007B779A">
              <w:rPr>
                <w:rFonts w:ascii="Times New Roman" w:hAnsi="Times New Roman"/>
                <w:sz w:val="20"/>
              </w:rPr>
              <w:t>Annualized Totals</w:t>
            </w:r>
          </w:p>
        </w:tc>
        <w:tc>
          <w:tcPr>
            <w:tcW w:w="1208" w:type="dxa"/>
          </w:tcPr>
          <w:p w:rsidR="0021632E" w:rsidRPr="007B779A" w:rsidP="00ED7E7C" w14:paraId="3C84214E" w14:textId="77777777">
            <w:pPr>
              <w:rPr>
                <w:rFonts w:ascii="Times New Roman" w:hAnsi="Times New Roman"/>
                <w:sz w:val="20"/>
              </w:rPr>
            </w:pPr>
            <w:r w:rsidRPr="007B779A">
              <w:rPr>
                <w:rFonts w:ascii="Times New Roman" w:hAnsi="Times New Roman"/>
                <w:sz w:val="20"/>
              </w:rPr>
              <w:t>x</w:t>
            </w:r>
          </w:p>
        </w:tc>
        <w:tc>
          <w:tcPr>
            <w:tcW w:w="1199" w:type="dxa"/>
          </w:tcPr>
          <w:p w:rsidR="0021632E" w:rsidRPr="007B779A" w:rsidP="00ED7E7C" w14:paraId="33FE71BF" w14:textId="77777777">
            <w:pPr>
              <w:rPr>
                <w:rFonts w:ascii="Times New Roman" w:hAnsi="Times New Roman"/>
                <w:sz w:val="20"/>
              </w:rPr>
            </w:pPr>
            <w:r w:rsidRPr="007B779A">
              <w:rPr>
                <w:rFonts w:ascii="Times New Roman" w:hAnsi="Times New Roman"/>
                <w:sz w:val="20"/>
              </w:rPr>
              <w:t>x</w:t>
            </w:r>
          </w:p>
        </w:tc>
        <w:tc>
          <w:tcPr>
            <w:tcW w:w="1203" w:type="dxa"/>
          </w:tcPr>
          <w:p w:rsidR="0021632E" w:rsidRPr="007B779A" w:rsidP="0025190E" w14:paraId="435E8002" w14:textId="77777777">
            <w:pPr>
              <w:rPr>
                <w:rFonts w:ascii="Times New Roman" w:hAnsi="Times New Roman"/>
                <w:sz w:val="20"/>
              </w:rPr>
            </w:pPr>
            <w:r w:rsidRPr="007B779A">
              <w:rPr>
                <w:rFonts w:ascii="Times New Roman" w:hAnsi="Times New Roman"/>
                <w:sz w:val="20"/>
              </w:rPr>
              <w:t>183</w:t>
            </w:r>
          </w:p>
        </w:tc>
        <w:tc>
          <w:tcPr>
            <w:tcW w:w="1046" w:type="dxa"/>
          </w:tcPr>
          <w:p w:rsidR="0021632E" w:rsidRPr="007B779A" w:rsidP="0025190E" w14:paraId="1B619B7B" w14:textId="77777777">
            <w:pPr>
              <w:rPr>
                <w:rFonts w:ascii="Times New Roman" w:hAnsi="Times New Roman"/>
                <w:sz w:val="20"/>
              </w:rPr>
            </w:pPr>
            <w:r w:rsidRPr="007B779A">
              <w:rPr>
                <w:rFonts w:ascii="Times New Roman" w:hAnsi="Times New Roman"/>
                <w:sz w:val="20"/>
              </w:rPr>
              <w:t>183</w:t>
            </w:r>
          </w:p>
        </w:tc>
        <w:tc>
          <w:tcPr>
            <w:tcW w:w="1017" w:type="dxa"/>
          </w:tcPr>
          <w:p w:rsidR="0021632E" w:rsidRPr="007B779A" w:rsidP="00ED7E7C" w14:paraId="0A966D7E" w14:textId="77777777">
            <w:pPr>
              <w:rPr>
                <w:rFonts w:ascii="Times New Roman" w:hAnsi="Times New Roman"/>
                <w:sz w:val="20"/>
              </w:rPr>
            </w:pPr>
            <w:r w:rsidRPr="007B779A">
              <w:rPr>
                <w:rFonts w:ascii="Times New Roman" w:hAnsi="Times New Roman"/>
                <w:sz w:val="20"/>
              </w:rPr>
              <w:t>8</w:t>
            </w:r>
          </w:p>
        </w:tc>
        <w:tc>
          <w:tcPr>
            <w:tcW w:w="945" w:type="dxa"/>
          </w:tcPr>
          <w:p w:rsidR="0021632E" w:rsidRPr="007B779A" w:rsidP="0025190E" w14:paraId="47F329E7" w14:textId="77777777">
            <w:pPr>
              <w:rPr>
                <w:rFonts w:ascii="Times New Roman" w:hAnsi="Times New Roman"/>
                <w:sz w:val="20"/>
              </w:rPr>
            </w:pPr>
            <w:r w:rsidRPr="007B779A">
              <w:rPr>
                <w:rFonts w:ascii="Times New Roman" w:hAnsi="Times New Roman"/>
                <w:sz w:val="20"/>
              </w:rPr>
              <w:t>1,</w:t>
            </w:r>
            <w:r w:rsidRPr="007B779A" w:rsidR="00AA0C05">
              <w:rPr>
                <w:rFonts w:ascii="Times New Roman" w:hAnsi="Times New Roman"/>
                <w:sz w:val="20"/>
              </w:rPr>
              <w:t>464</w:t>
            </w:r>
          </w:p>
        </w:tc>
        <w:tc>
          <w:tcPr>
            <w:tcW w:w="1461" w:type="dxa"/>
            <w:vMerge/>
          </w:tcPr>
          <w:p w:rsidR="0021632E" w:rsidRPr="007B779A" w:rsidP="00ED7E7C" w14:paraId="569B666C" w14:textId="77777777">
            <w:pPr>
              <w:rPr>
                <w:rFonts w:ascii="Times New Roman" w:hAnsi="Times New Roman"/>
                <w:sz w:val="20"/>
              </w:rPr>
            </w:pPr>
          </w:p>
        </w:tc>
        <w:tc>
          <w:tcPr>
            <w:tcW w:w="1461" w:type="dxa"/>
          </w:tcPr>
          <w:p w:rsidR="0021632E" w:rsidRPr="007B779A" w:rsidP="008C3AF6" w14:paraId="22B51F78" w14:textId="77777777">
            <w:pPr>
              <w:rPr>
                <w:rFonts w:ascii="Times New Roman" w:hAnsi="Times New Roman"/>
                <w:sz w:val="20"/>
              </w:rPr>
            </w:pPr>
            <w:r w:rsidRPr="007B779A">
              <w:rPr>
                <w:rFonts w:ascii="Times New Roman" w:hAnsi="Times New Roman"/>
                <w:sz w:val="20"/>
              </w:rPr>
              <w:t>$59,749.50</w:t>
            </w:r>
          </w:p>
        </w:tc>
      </w:tr>
    </w:tbl>
    <w:p w:rsidR="00F31BEC" w:rsidRPr="00AF5D1A" w:rsidP="002313E2" w14:paraId="1D08058C"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7C99DAE" w14:textId="77777777">
      <w:pPr>
        <w:pStyle w:val="ListParagraph"/>
        <w:tabs>
          <w:tab w:val="left" w:pos="-720"/>
        </w:tabs>
        <w:suppressAutoHyphens/>
        <w:rPr>
          <w:rStyle w:val="a"/>
          <w:rFonts w:ascii="Times New Roman" w:hAnsi="Times New Roman"/>
          <w:szCs w:val="24"/>
        </w:rPr>
      </w:pPr>
    </w:p>
    <w:p w:rsidR="00F54DF8" w:rsidP="00F54DF8" w14:paraId="7CC0B39B" w14:textId="77777777">
      <w:pPr>
        <w:pStyle w:val="ListParagraph"/>
        <w:suppressAutoHyphens/>
        <w:contextualSpacing w:val="0"/>
        <w:rPr>
          <w:rFonts w:asciiTheme="minorHAnsi" w:hAnsiTheme="minorHAnsi" w:cstheme="minorHAnsi"/>
          <w:color w:val="FF0000"/>
          <w:szCs w:val="24"/>
        </w:rPr>
      </w:pPr>
      <w:r w:rsidRPr="00A93F1A">
        <w:rPr>
          <w:rFonts w:asciiTheme="minorHAnsi" w:hAnsiTheme="minorHAnsi" w:cstheme="minorHAnsi"/>
          <w:color w:val="FF0000"/>
          <w:szCs w:val="24"/>
        </w:rPr>
        <w:t>3/17/25:</w:t>
      </w:r>
    </w:p>
    <w:p w:rsidR="006F5B90" w:rsidRPr="006F5B90" w:rsidP="006F5B90" w14:paraId="7B7D061A" w14:textId="77777777">
      <w:pPr>
        <w:tabs>
          <w:tab w:val="left" w:pos="-720"/>
        </w:tabs>
        <w:suppressAutoHyphens/>
        <w:ind w:left="720"/>
        <w:rPr>
          <w:rFonts w:asciiTheme="minorHAnsi" w:hAnsiTheme="minorHAnsi" w:cstheme="minorHAnsi"/>
          <w:color w:val="FF0000"/>
        </w:rPr>
      </w:pPr>
      <w:r w:rsidRPr="006F5B90">
        <w:rPr>
          <w:rFonts w:asciiTheme="minorHAnsi" w:hAnsiTheme="minorHAnsi" w:cstheme="minorHAnsi"/>
          <w:color w:val="FF0000"/>
        </w:rPr>
        <w:t xml:space="preserve">The performance reports are submitted annually. Each grant project submits one report per year. On average, eight hours should be sufficient to gather and upload information to complete the EOC APR submission.  </w:t>
      </w:r>
    </w:p>
    <w:p w:rsidR="006F5B90" w:rsidRPr="006F5B90" w:rsidP="006F5B90" w14:paraId="06601274" w14:textId="77777777">
      <w:pPr>
        <w:tabs>
          <w:tab w:val="left" w:pos="-720"/>
        </w:tabs>
        <w:suppressAutoHyphens/>
        <w:ind w:left="720"/>
        <w:rPr>
          <w:rFonts w:asciiTheme="minorHAnsi" w:hAnsiTheme="minorHAnsi" w:cstheme="minorHAnsi"/>
          <w:color w:val="FF0000"/>
        </w:rPr>
      </w:pPr>
    </w:p>
    <w:p w:rsidR="006F5B90" w:rsidRPr="006F5B90" w:rsidP="006F5B90" w14:paraId="2EB09B1F" w14:textId="77777777">
      <w:pPr>
        <w:tabs>
          <w:tab w:val="left" w:pos="-720"/>
        </w:tabs>
        <w:suppressAutoHyphens/>
        <w:ind w:left="720"/>
        <w:rPr>
          <w:rFonts w:asciiTheme="minorHAnsi" w:hAnsiTheme="minorHAnsi" w:cstheme="minorHAnsi"/>
          <w:color w:val="FF0000"/>
        </w:rPr>
      </w:pPr>
      <w:r w:rsidRPr="006F5B90">
        <w:rPr>
          <w:rFonts w:asciiTheme="minorHAnsi" w:hAnsiTheme="minorHAnsi" w:cstheme="minorHAnsi"/>
          <w:color w:val="FF0000"/>
        </w:rPr>
        <w:t xml:space="preserve">This average eight-hour response burden is distributed across the 181 EOC grant projects for total annual burden hours of 1,448.  </w:t>
      </w:r>
    </w:p>
    <w:p w:rsidR="006F5B90" w:rsidRPr="006F5B90" w:rsidP="006F5B90" w14:paraId="483BC9D4" w14:textId="77777777">
      <w:pPr>
        <w:tabs>
          <w:tab w:val="left" w:pos="-720"/>
        </w:tabs>
        <w:suppressAutoHyphens/>
        <w:ind w:left="720"/>
        <w:rPr>
          <w:rFonts w:asciiTheme="minorHAnsi" w:hAnsiTheme="minorHAnsi" w:cstheme="minorHAnsi"/>
          <w:color w:val="FF0000"/>
        </w:rPr>
      </w:pPr>
    </w:p>
    <w:p w:rsidR="006F5B90" w:rsidRPr="006F5B90" w:rsidP="006F5B90" w14:paraId="38BAB47D" w14:textId="77777777">
      <w:pPr>
        <w:tabs>
          <w:tab w:val="left" w:pos="-720"/>
        </w:tabs>
        <w:suppressAutoHyphens/>
        <w:ind w:left="720"/>
        <w:rPr>
          <w:color w:val="FF0000"/>
        </w:rPr>
      </w:pPr>
      <w:r w:rsidRPr="006F5B90">
        <w:rPr>
          <w:rFonts w:asciiTheme="minorHAnsi" w:hAnsiTheme="minorHAnsi" w:cstheme="minorHAnsi"/>
          <w:color w:val="FF0000"/>
        </w:rPr>
        <w:t>On average, each project is estimated to require 7.5 hours from a project director and 0.5 hours of effort from an administrative support staff person to support the submission process. The project director’s hours are valued at $42 per hour and the support staff is valued at $23 per hour.</w:t>
      </w:r>
    </w:p>
    <w:p w:rsidR="006F5B90" w:rsidRPr="006F5B90" w:rsidP="006F5B90" w14:paraId="6DAAFD85" w14:textId="77777777">
      <w:pPr>
        <w:tabs>
          <w:tab w:val="left" w:pos="-720"/>
        </w:tabs>
        <w:suppressAutoHyphens/>
        <w:rPr>
          <w:rStyle w:val="a"/>
          <w:rFonts w:ascii="Times New Roman" w:hAnsi="Times New Roman"/>
          <w:color w:val="FF0000"/>
          <w:szCs w:val="24"/>
        </w:rPr>
      </w:pPr>
    </w:p>
    <w:p w:rsidR="006F5B90" w:rsidRPr="006F5B90" w:rsidP="006F5B90" w14:paraId="53CCB68D" w14:textId="77777777">
      <w:pPr>
        <w:pStyle w:val="Caption"/>
        <w:jc w:val="center"/>
        <w:rPr>
          <w:rFonts w:ascii="Times New Roman" w:hAnsi="Times New Roman"/>
          <w:color w:val="FF0000"/>
          <w:sz w:val="24"/>
          <w:szCs w:val="24"/>
        </w:rPr>
      </w:pPr>
      <w:r w:rsidRPr="006F5B90">
        <w:rPr>
          <w:rFonts w:ascii="Times New Roman" w:hAnsi="Times New Roman"/>
          <w:color w:val="FF0000"/>
          <w:sz w:val="24"/>
          <w:szCs w:val="24"/>
        </w:rPr>
        <w:t>Estimated Annual Burden and Respondent Costs Table</w:t>
      </w:r>
    </w:p>
    <w:tbl>
      <w:tblPr>
        <w:tblStyle w:val="GridTableLight"/>
        <w:tblpPr w:leftFromText="180" w:rightFromText="180" w:vertAnchor="text" w:horzAnchor="margin" w:tblpXSpec="center" w:tblpY="174"/>
        <w:tblW w:w="10825" w:type="dxa"/>
        <w:tblLayout w:type="fixed"/>
        <w:tblLook w:val="0020"/>
      </w:tblPr>
      <w:tblGrid>
        <w:gridCol w:w="1285"/>
        <w:gridCol w:w="1208"/>
        <w:gridCol w:w="1199"/>
        <w:gridCol w:w="1203"/>
        <w:gridCol w:w="1046"/>
        <w:gridCol w:w="1017"/>
        <w:gridCol w:w="945"/>
        <w:gridCol w:w="1461"/>
        <w:gridCol w:w="1461"/>
      </w:tblGrid>
      <w:tr w14:paraId="11A62944" w14:textId="77777777" w:rsidTr="0064059C">
        <w:tblPrEx>
          <w:tblW w:w="10825" w:type="dxa"/>
          <w:tblLayout w:type="fixed"/>
          <w:tblLook w:val="0020"/>
        </w:tblPrEx>
        <w:trPr>
          <w:trHeight w:val="1025"/>
          <w:tblHeader/>
        </w:trPr>
        <w:tc>
          <w:tcPr>
            <w:tcW w:w="1285" w:type="dxa"/>
            <w:vAlign w:val="center"/>
          </w:tcPr>
          <w:p w:rsidR="006F5B90" w:rsidRPr="002A4E5E" w:rsidP="0064059C" w14:paraId="6F8413F7" w14:textId="77777777">
            <w:pPr>
              <w:jc w:val="center"/>
              <w:rPr>
                <w:rFonts w:ascii="Times New Roman" w:hAnsi="Times New Roman"/>
                <w:color w:val="FF0000"/>
                <w:sz w:val="20"/>
              </w:rPr>
            </w:pPr>
            <w:r w:rsidRPr="002A4E5E">
              <w:rPr>
                <w:rFonts w:ascii="Times New Roman" w:hAnsi="Times New Roman"/>
                <w:color w:val="FF0000"/>
                <w:sz w:val="20"/>
              </w:rPr>
              <w:t>Information Activity or IC (with type of respondent)</w:t>
            </w:r>
          </w:p>
        </w:tc>
        <w:tc>
          <w:tcPr>
            <w:tcW w:w="1208" w:type="dxa"/>
            <w:vAlign w:val="center"/>
          </w:tcPr>
          <w:p w:rsidR="006F5B90" w:rsidRPr="002A4E5E" w:rsidP="0064059C" w14:paraId="38FED547" w14:textId="77777777">
            <w:pPr>
              <w:jc w:val="center"/>
              <w:rPr>
                <w:rFonts w:ascii="Times New Roman" w:hAnsi="Times New Roman"/>
                <w:color w:val="FF0000"/>
                <w:sz w:val="20"/>
              </w:rPr>
            </w:pPr>
            <w:r w:rsidRPr="002A4E5E">
              <w:rPr>
                <w:rFonts w:ascii="Times New Roman" w:hAnsi="Times New Roman"/>
                <w:color w:val="FF0000"/>
                <w:sz w:val="20"/>
              </w:rPr>
              <w:t xml:space="preserve">Sample Size </w:t>
            </w:r>
            <w:r w:rsidRPr="002A4E5E">
              <w:rPr>
                <w:rFonts w:ascii="Times New Roman" w:hAnsi="Times New Roman"/>
                <w:color w:val="FF0000"/>
                <w:sz w:val="20"/>
                <w:shd w:val="clear" w:color="auto" w:fill="D9D9D9" w:themeFill="background1" w:themeFillShade="D9"/>
              </w:rPr>
              <w:t>(if applicable)</w:t>
            </w:r>
          </w:p>
        </w:tc>
        <w:tc>
          <w:tcPr>
            <w:tcW w:w="1199" w:type="dxa"/>
            <w:vAlign w:val="center"/>
          </w:tcPr>
          <w:p w:rsidR="006F5B90" w:rsidRPr="002A4E5E" w:rsidP="0064059C" w14:paraId="2348EA06" w14:textId="77777777">
            <w:pPr>
              <w:shd w:val="clear" w:color="auto" w:fill="F2F2F2" w:themeFill="background1" w:themeFillShade="F2"/>
              <w:jc w:val="center"/>
              <w:rPr>
                <w:rFonts w:ascii="Times New Roman" w:hAnsi="Times New Roman"/>
                <w:color w:val="FF0000"/>
                <w:sz w:val="20"/>
              </w:rPr>
            </w:pPr>
            <w:r w:rsidRPr="002A4E5E">
              <w:rPr>
                <w:rFonts w:ascii="Times New Roman" w:hAnsi="Times New Roman"/>
                <w:color w:val="FF0000"/>
                <w:sz w:val="20"/>
                <w:shd w:val="clear" w:color="auto" w:fill="F2F2F2" w:themeFill="background1" w:themeFillShade="F2"/>
              </w:rPr>
              <w:t xml:space="preserve">Respondent Response Rate </w:t>
            </w:r>
            <w:r w:rsidRPr="002A4E5E">
              <w:rPr>
                <w:rFonts w:ascii="Times New Roman" w:hAnsi="Times New Roman"/>
                <w:color w:val="FF0000"/>
                <w:sz w:val="20"/>
                <w:shd w:val="clear" w:color="auto" w:fill="D9D9D9" w:themeFill="background1" w:themeFillShade="D9"/>
              </w:rPr>
              <w:t>(if applicable)</w:t>
            </w:r>
          </w:p>
        </w:tc>
        <w:tc>
          <w:tcPr>
            <w:tcW w:w="1203" w:type="dxa"/>
            <w:vAlign w:val="center"/>
          </w:tcPr>
          <w:p w:rsidR="006F5B90" w:rsidRPr="002A4E5E" w:rsidP="0064059C" w14:paraId="3F46AADE" w14:textId="77777777">
            <w:pPr>
              <w:jc w:val="center"/>
              <w:rPr>
                <w:rFonts w:ascii="Times New Roman" w:hAnsi="Times New Roman"/>
                <w:color w:val="FF0000"/>
                <w:sz w:val="20"/>
              </w:rPr>
            </w:pPr>
            <w:r w:rsidRPr="002A4E5E">
              <w:rPr>
                <w:rFonts w:ascii="Times New Roman" w:hAnsi="Times New Roman"/>
                <w:color w:val="FF0000"/>
                <w:sz w:val="20"/>
              </w:rPr>
              <w:t>Number of Respondents</w:t>
            </w:r>
          </w:p>
        </w:tc>
        <w:tc>
          <w:tcPr>
            <w:tcW w:w="1046" w:type="dxa"/>
            <w:vAlign w:val="center"/>
          </w:tcPr>
          <w:p w:rsidR="006F5B90" w:rsidRPr="002A4E5E" w:rsidP="0064059C" w14:paraId="1515D374" w14:textId="77777777">
            <w:pPr>
              <w:jc w:val="center"/>
              <w:rPr>
                <w:rFonts w:ascii="Times New Roman" w:hAnsi="Times New Roman"/>
                <w:color w:val="FF0000"/>
                <w:sz w:val="20"/>
              </w:rPr>
            </w:pPr>
            <w:r w:rsidRPr="002A4E5E">
              <w:rPr>
                <w:rFonts w:ascii="Times New Roman" w:hAnsi="Times New Roman"/>
                <w:color w:val="FF0000"/>
                <w:sz w:val="20"/>
              </w:rPr>
              <w:t>Number of Responses</w:t>
            </w:r>
          </w:p>
        </w:tc>
        <w:tc>
          <w:tcPr>
            <w:tcW w:w="1017" w:type="dxa"/>
            <w:vAlign w:val="center"/>
          </w:tcPr>
          <w:p w:rsidR="006F5B90" w:rsidRPr="002A4E5E" w:rsidP="0064059C" w14:paraId="015DC397" w14:textId="77777777">
            <w:pPr>
              <w:jc w:val="center"/>
              <w:rPr>
                <w:rFonts w:ascii="Times New Roman" w:hAnsi="Times New Roman"/>
                <w:color w:val="FF0000"/>
                <w:sz w:val="20"/>
              </w:rPr>
            </w:pPr>
            <w:r w:rsidRPr="002A4E5E">
              <w:rPr>
                <w:rFonts w:ascii="Times New Roman" w:hAnsi="Times New Roman"/>
                <w:color w:val="FF0000"/>
                <w:sz w:val="20"/>
              </w:rPr>
              <w:t>Average Burden Hours per Response</w:t>
            </w:r>
          </w:p>
        </w:tc>
        <w:tc>
          <w:tcPr>
            <w:tcW w:w="945" w:type="dxa"/>
            <w:vAlign w:val="center"/>
          </w:tcPr>
          <w:p w:rsidR="006F5B90" w:rsidRPr="002A4E5E" w:rsidP="0064059C" w14:paraId="05251F0C" w14:textId="77777777">
            <w:pPr>
              <w:jc w:val="center"/>
              <w:rPr>
                <w:rFonts w:ascii="Times New Roman" w:hAnsi="Times New Roman"/>
                <w:color w:val="FF0000"/>
                <w:sz w:val="20"/>
              </w:rPr>
            </w:pPr>
            <w:r w:rsidRPr="002A4E5E">
              <w:rPr>
                <w:rFonts w:ascii="Times New Roman" w:hAnsi="Times New Roman"/>
                <w:color w:val="FF0000"/>
                <w:sz w:val="20"/>
              </w:rPr>
              <w:t>Total Annual Burden Hours</w:t>
            </w:r>
          </w:p>
        </w:tc>
        <w:tc>
          <w:tcPr>
            <w:tcW w:w="1461" w:type="dxa"/>
            <w:vAlign w:val="center"/>
          </w:tcPr>
          <w:p w:rsidR="006F5B90" w:rsidRPr="002A4E5E" w:rsidP="0064059C" w14:paraId="7C24C2C2" w14:textId="77777777">
            <w:pPr>
              <w:jc w:val="center"/>
              <w:rPr>
                <w:rFonts w:ascii="Times New Roman" w:hAnsi="Times New Roman"/>
                <w:color w:val="FF0000"/>
                <w:sz w:val="20"/>
              </w:rPr>
            </w:pPr>
            <w:r w:rsidRPr="002A4E5E">
              <w:rPr>
                <w:rFonts w:ascii="Times New Roman" w:hAnsi="Times New Roman"/>
                <w:color w:val="FF0000"/>
                <w:sz w:val="20"/>
              </w:rPr>
              <w:t>Estimated Respondent Average Hourly Wage</w:t>
            </w:r>
          </w:p>
        </w:tc>
        <w:tc>
          <w:tcPr>
            <w:tcW w:w="1461" w:type="dxa"/>
            <w:vAlign w:val="center"/>
          </w:tcPr>
          <w:p w:rsidR="006F5B90" w:rsidRPr="002A4E5E" w:rsidP="0064059C" w14:paraId="2950890B" w14:textId="77777777">
            <w:pPr>
              <w:jc w:val="center"/>
              <w:rPr>
                <w:rFonts w:ascii="Times New Roman" w:hAnsi="Times New Roman"/>
                <w:color w:val="FF0000"/>
                <w:sz w:val="20"/>
              </w:rPr>
            </w:pPr>
            <w:r w:rsidRPr="002A4E5E">
              <w:rPr>
                <w:rFonts w:ascii="Times New Roman" w:hAnsi="Times New Roman"/>
                <w:color w:val="FF0000"/>
                <w:sz w:val="20"/>
              </w:rPr>
              <w:t>Total Annual Costs (hourly wage x total burden hours)</w:t>
            </w:r>
          </w:p>
        </w:tc>
      </w:tr>
      <w:tr w14:paraId="22A2B9F2" w14:textId="77777777" w:rsidTr="0064059C">
        <w:tblPrEx>
          <w:tblW w:w="10825" w:type="dxa"/>
          <w:tblLayout w:type="fixed"/>
          <w:tblLook w:val="0020"/>
        </w:tblPrEx>
        <w:trPr>
          <w:trHeight w:val="250"/>
        </w:trPr>
        <w:tc>
          <w:tcPr>
            <w:tcW w:w="1285" w:type="dxa"/>
          </w:tcPr>
          <w:p w:rsidR="002A4E5E" w:rsidRPr="002A4E5E" w:rsidP="002A4E5E" w14:paraId="5E62054C" w14:textId="61B1011A">
            <w:pPr>
              <w:rPr>
                <w:rFonts w:ascii="Times New Roman" w:hAnsi="Times New Roman"/>
                <w:color w:val="FF0000"/>
                <w:sz w:val="20"/>
              </w:rPr>
            </w:pPr>
            <w:r w:rsidRPr="002A4E5E">
              <w:rPr>
                <w:rFonts w:ascii="Times New Roman" w:hAnsi="Times New Roman"/>
                <w:color w:val="FF0000"/>
                <w:sz w:val="20"/>
              </w:rPr>
              <w:t>Currently Approved Totals</w:t>
            </w:r>
          </w:p>
        </w:tc>
        <w:tc>
          <w:tcPr>
            <w:tcW w:w="1208" w:type="dxa"/>
          </w:tcPr>
          <w:p w:rsidR="002A4E5E" w:rsidRPr="002A4E5E" w:rsidP="002A4E5E" w14:paraId="71722440" w14:textId="4D2899A5">
            <w:pPr>
              <w:rPr>
                <w:rFonts w:ascii="Times New Roman" w:hAnsi="Times New Roman"/>
                <w:color w:val="FF0000"/>
                <w:sz w:val="20"/>
              </w:rPr>
            </w:pPr>
            <w:r w:rsidRPr="002A4E5E">
              <w:rPr>
                <w:rFonts w:ascii="Times New Roman" w:hAnsi="Times New Roman"/>
                <w:color w:val="FF0000"/>
                <w:sz w:val="20"/>
              </w:rPr>
              <w:t>x</w:t>
            </w:r>
          </w:p>
        </w:tc>
        <w:tc>
          <w:tcPr>
            <w:tcW w:w="1199" w:type="dxa"/>
          </w:tcPr>
          <w:p w:rsidR="002A4E5E" w:rsidRPr="002A4E5E" w:rsidP="002A4E5E" w14:paraId="42E59DD1" w14:textId="299B3465">
            <w:pPr>
              <w:rPr>
                <w:rFonts w:ascii="Times New Roman" w:hAnsi="Times New Roman"/>
                <w:color w:val="FF0000"/>
                <w:sz w:val="20"/>
              </w:rPr>
            </w:pPr>
            <w:r w:rsidRPr="002A4E5E">
              <w:rPr>
                <w:rFonts w:ascii="Times New Roman" w:hAnsi="Times New Roman"/>
                <w:color w:val="FF0000"/>
                <w:sz w:val="20"/>
              </w:rPr>
              <w:t>x</w:t>
            </w:r>
          </w:p>
        </w:tc>
        <w:tc>
          <w:tcPr>
            <w:tcW w:w="1203" w:type="dxa"/>
          </w:tcPr>
          <w:p w:rsidR="002A4E5E" w:rsidRPr="002A4E5E" w:rsidP="002A4E5E" w14:paraId="7DE42A6C" w14:textId="4235DE48">
            <w:pPr>
              <w:rPr>
                <w:rFonts w:ascii="Times New Roman" w:hAnsi="Times New Roman"/>
                <w:color w:val="FF0000"/>
                <w:sz w:val="20"/>
              </w:rPr>
            </w:pPr>
            <w:r w:rsidRPr="002A4E5E">
              <w:rPr>
                <w:rFonts w:ascii="Times New Roman" w:hAnsi="Times New Roman"/>
                <w:color w:val="FF0000"/>
                <w:sz w:val="20"/>
              </w:rPr>
              <w:t>183</w:t>
            </w:r>
          </w:p>
        </w:tc>
        <w:tc>
          <w:tcPr>
            <w:tcW w:w="1046" w:type="dxa"/>
          </w:tcPr>
          <w:p w:rsidR="002A4E5E" w:rsidRPr="002A4E5E" w:rsidP="002A4E5E" w14:paraId="353C66B9" w14:textId="279D56F6">
            <w:pPr>
              <w:rPr>
                <w:rFonts w:ascii="Times New Roman" w:hAnsi="Times New Roman"/>
                <w:color w:val="FF0000"/>
                <w:sz w:val="20"/>
              </w:rPr>
            </w:pPr>
            <w:r w:rsidRPr="002A4E5E">
              <w:rPr>
                <w:rFonts w:ascii="Times New Roman" w:hAnsi="Times New Roman"/>
                <w:color w:val="FF0000"/>
                <w:sz w:val="20"/>
              </w:rPr>
              <w:t>183</w:t>
            </w:r>
          </w:p>
        </w:tc>
        <w:tc>
          <w:tcPr>
            <w:tcW w:w="1017" w:type="dxa"/>
          </w:tcPr>
          <w:p w:rsidR="002A4E5E" w:rsidRPr="002A4E5E" w:rsidP="002A4E5E" w14:paraId="693D99DA" w14:textId="6D871D4D">
            <w:pPr>
              <w:rPr>
                <w:rFonts w:ascii="Times New Roman" w:hAnsi="Times New Roman"/>
                <w:color w:val="FF0000"/>
                <w:sz w:val="20"/>
              </w:rPr>
            </w:pPr>
            <w:r w:rsidRPr="002A4E5E">
              <w:rPr>
                <w:rFonts w:ascii="Times New Roman" w:hAnsi="Times New Roman"/>
                <w:color w:val="FF0000"/>
                <w:sz w:val="20"/>
              </w:rPr>
              <w:t>x</w:t>
            </w:r>
          </w:p>
        </w:tc>
        <w:tc>
          <w:tcPr>
            <w:tcW w:w="945" w:type="dxa"/>
          </w:tcPr>
          <w:p w:rsidR="002A4E5E" w:rsidRPr="002A4E5E" w:rsidP="002A4E5E" w14:paraId="7B442771" w14:textId="45CB782C">
            <w:pPr>
              <w:rPr>
                <w:rFonts w:ascii="Times New Roman" w:hAnsi="Times New Roman"/>
                <w:color w:val="FF0000"/>
                <w:sz w:val="20"/>
              </w:rPr>
            </w:pPr>
            <w:r w:rsidRPr="002A4E5E">
              <w:rPr>
                <w:rFonts w:ascii="Times New Roman" w:hAnsi="Times New Roman"/>
                <w:color w:val="FF0000"/>
                <w:sz w:val="20"/>
              </w:rPr>
              <w:t>1,464</w:t>
            </w:r>
          </w:p>
        </w:tc>
        <w:tc>
          <w:tcPr>
            <w:tcW w:w="1461" w:type="dxa"/>
          </w:tcPr>
          <w:p w:rsidR="002A4E5E" w:rsidRPr="002A4E5E" w:rsidP="002A4E5E" w14:paraId="00AA25CC" w14:textId="77777777">
            <w:pPr>
              <w:rPr>
                <w:rFonts w:ascii="Times New Roman" w:hAnsi="Times New Roman"/>
                <w:color w:val="FF0000"/>
                <w:sz w:val="20"/>
              </w:rPr>
            </w:pPr>
          </w:p>
        </w:tc>
        <w:tc>
          <w:tcPr>
            <w:tcW w:w="1461" w:type="dxa"/>
          </w:tcPr>
          <w:p w:rsidR="002A4E5E" w:rsidRPr="002A4E5E" w:rsidP="002A4E5E" w14:paraId="1A78AD72" w14:textId="7A34D44D">
            <w:pPr>
              <w:rPr>
                <w:rFonts w:ascii="Times New Roman" w:hAnsi="Times New Roman"/>
                <w:color w:val="FF0000"/>
                <w:sz w:val="20"/>
              </w:rPr>
            </w:pPr>
            <w:r w:rsidRPr="002A4E5E">
              <w:rPr>
                <w:rFonts w:ascii="Times New Roman" w:hAnsi="Times New Roman"/>
                <w:color w:val="FF0000"/>
                <w:sz w:val="20"/>
              </w:rPr>
              <w:t>$59,749.50</w:t>
            </w:r>
          </w:p>
        </w:tc>
      </w:tr>
      <w:tr w14:paraId="5D2290E8" w14:textId="77777777" w:rsidTr="0064059C">
        <w:tblPrEx>
          <w:tblW w:w="10825" w:type="dxa"/>
          <w:tblLayout w:type="fixed"/>
          <w:tblLook w:val="0020"/>
        </w:tblPrEx>
        <w:trPr>
          <w:trHeight w:val="250"/>
        </w:trPr>
        <w:tc>
          <w:tcPr>
            <w:tcW w:w="1285" w:type="dxa"/>
          </w:tcPr>
          <w:p w:rsidR="006F5B90" w:rsidRPr="002A4E5E" w:rsidP="0064059C" w14:paraId="2E89C702" w14:textId="77777777">
            <w:pPr>
              <w:rPr>
                <w:rFonts w:ascii="Times New Roman" w:hAnsi="Times New Roman"/>
                <w:color w:val="FF0000"/>
                <w:sz w:val="20"/>
              </w:rPr>
            </w:pPr>
            <w:r w:rsidRPr="002A4E5E">
              <w:rPr>
                <w:rFonts w:ascii="Times New Roman" w:hAnsi="Times New Roman"/>
                <w:color w:val="FF0000"/>
                <w:sz w:val="20"/>
              </w:rPr>
              <w:t>Public Sector</w:t>
            </w:r>
          </w:p>
        </w:tc>
        <w:tc>
          <w:tcPr>
            <w:tcW w:w="1208" w:type="dxa"/>
          </w:tcPr>
          <w:p w:rsidR="006F5B90" w:rsidRPr="002A4E5E" w:rsidP="0064059C" w14:paraId="76A45F21" w14:textId="77777777">
            <w:pPr>
              <w:rPr>
                <w:rFonts w:ascii="Times New Roman" w:hAnsi="Times New Roman"/>
                <w:color w:val="FF0000"/>
                <w:sz w:val="20"/>
              </w:rPr>
            </w:pPr>
            <w:r w:rsidRPr="002A4E5E">
              <w:rPr>
                <w:rFonts w:ascii="Times New Roman" w:hAnsi="Times New Roman"/>
                <w:color w:val="FF0000"/>
                <w:sz w:val="20"/>
              </w:rPr>
              <w:t>N/A</w:t>
            </w:r>
          </w:p>
        </w:tc>
        <w:tc>
          <w:tcPr>
            <w:tcW w:w="1199" w:type="dxa"/>
          </w:tcPr>
          <w:p w:rsidR="006F5B90" w:rsidRPr="002A4E5E" w:rsidP="0064059C" w14:paraId="1AE2792A" w14:textId="77777777">
            <w:pPr>
              <w:rPr>
                <w:rFonts w:ascii="Times New Roman" w:hAnsi="Times New Roman"/>
                <w:color w:val="FF0000"/>
                <w:sz w:val="20"/>
              </w:rPr>
            </w:pPr>
            <w:r w:rsidRPr="002A4E5E">
              <w:rPr>
                <w:rFonts w:ascii="Times New Roman" w:hAnsi="Times New Roman"/>
                <w:color w:val="FF0000"/>
                <w:sz w:val="20"/>
              </w:rPr>
              <w:t>N/A</w:t>
            </w:r>
          </w:p>
        </w:tc>
        <w:tc>
          <w:tcPr>
            <w:tcW w:w="1203" w:type="dxa"/>
          </w:tcPr>
          <w:p w:rsidR="006F5B90" w:rsidRPr="002A4E5E" w:rsidP="0064059C" w14:paraId="7D4F039D" w14:textId="77777777">
            <w:pPr>
              <w:rPr>
                <w:rFonts w:ascii="Times New Roman" w:hAnsi="Times New Roman"/>
                <w:color w:val="FF0000"/>
                <w:sz w:val="20"/>
              </w:rPr>
            </w:pPr>
            <w:r w:rsidRPr="002A4E5E">
              <w:rPr>
                <w:rFonts w:ascii="Times New Roman" w:hAnsi="Times New Roman"/>
                <w:color w:val="FF0000"/>
                <w:sz w:val="20"/>
              </w:rPr>
              <w:t>138</w:t>
            </w:r>
          </w:p>
        </w:tc>
        <w:tc>
          <w:tcPr>
            <w:tcW w:w="1046" w:type="dxa"/>
          </w:tcPr>
          <w:p w:rsidR="006F5B90" w:rsidRPr="002A4E5E" w:rsidP="0064059C" w14:paraId="5B4AA98D" w14:textId="77777777">
            <w:pPr>
              <w:rPr>
                <w:rFonts w:ascii="Times New Roman" w:hAnsi="Times New Roman"/>
                <w:color w:val="FF0000"/>
                <w:sz w:val="20"/>
              </w:rPr>
            </w:pPr>
            <w:r w:rsidRPr="002A4E5E">
              <w:rPr>
                <w:rFonts w:ascii="Times New Roman" w:hAnsi="Times New Roman"/>
                <w:color w:val="FF0000"/>
                <w:sz w:val="20"/>
              </w:rPr>
              <w:t>138</w:t>
            </w:r>
          </w:p>
        </w:tc>
        <w:tc>
          <w:tcPr>
            <w:tcW w:w="1017" w:type="dxa"/>
          </w:tcPr>
          <w:p w:rsidR="006F5B90" w:rsidRPr="002A4E5E" w:rsidP="0064059C" w14:paraId="5A576874" w14:textId="77777777">
            <w:pPr>
              <w:rPr>
                <w:rFonts w:ascii="Times New Roman" w:hAnsi="Times New Roman"/>
                <w:color w:val="FF0000"/>
                <w:sz w:val="20"/>
              </w:rPr>
            </w:pPr>
            <w:r w:rsidRPr="002A4E5E">
              <w:rPr>
                <w:rFonts w:ascii="Times New Roman" w:hAnsi="Times New Roman"/>
                <w:color w:val="FF0000"/>
                <w:sz w:val="20"/>
              </w:rPr>
              <w:t>8</w:t>
            </w:r>
          </w:p>
        </w:tc>
        <w:tc>
          <w:tcPr>
            <w:tcW w:w="945" w:type="dxa"/>
          </w:tcPr>
          <w:p w:rsidR="006F5B90" w:rsidRPr="002A4E5E" w:rsidP="0064059C" w14:paraId="664F08FF" w14:textId="77777777">
            <w:pPr>
              <w:rPr>
                <w:rFonts w:ascii="Times New Roman" w:hAnsi="Times New Roman"/>
                <w:color w:val="FF0000"/>
                <w:sz w:val="20"/>
              </w:rPr>
            </w:pPr>
            <w:r w:rsidRPr="002A4E5E">
              <w:rPr>
                <w:rFonts w:ascii="Times New Roman" w:hAnsi="Times New Roman"/>
                <w:color w:val="FF0000"/>
                <w:sz w:val="20"/>
              </w:rPr>
              <w:t>1,104</w:t>
            </w:r>
          </w:p>
        </w:tc>
        <w:tc>
          <w:tcPr>
            <w:tcW w:w="1461" w:type="dxa"/>
            <w:vMerge w:val="restart"/>
          </w:tcPr>
          <w:p w:rsidR="006F5B90" w:rsidRPr="002A4E5E" w:rsidP="0064059C" w14:paraId="01191D32" w14:textId="77777777">
            <w:pPr>
              <w:rPr>
                <w:rFonts w:ascii="Times New Roman" w:hAnsi="Times New Roman"/>
                <w:color w:val="FF0000"/>
                <w:sz w:val="20"/>
              </w:rPr>
            </w:pPr>
          </w:p>
          <w:p w:rsidR="006F5B90" w:rsidRPr="002A4E5E" w:rsidP="0064059C" w14:paraId="3B81B2A0" w14:textId="77777777">
            <w:pPr>
              <w:jc w:val="center"/>
              <w:rPr>
                <w:rFonts w:ascii="Times New Roman" w:hAnsi="Times New Roman"/>
                <w:color w:val="FF0000"/>
                <w:sz w:val="20"/>
              </w:rPr>
            </w:pPr>
            <w:r w:rsidRPr="002A4E5E">
              <w:rPr>
                <w:rFonts w:ascii="Times New Roman" w:hAnsi="Times New Roman"/>
                <w:color w:val="FF0000"/>
                <w:sz w:val="20"/>
              </w:rPr>
              <w:t>Project Director = $42/hour</w:t>
            </w:r>
          </w:p>
          <w:p w:rsidR="006F5B90" w:rsidRPr="002A4E5E" w:rsidP="0064059C" w14:paraId="79AE6516" w14:textId="77777777">
            <w:pPr>
              <w:jc w:val="center"/>
              <w:rPr>
                <w:rFonts w:ascii="Times New Roman" w:hAnsi="Times New Roman"/>
                <w:color w:val="FF0000"/>
                <w:sz w:val="20"/>
              </w:rPr>
            </w:pPr>
          </w:p>
          <w:p w:rsidR="006F5B90" w:rsidRPr="002A4E5E" w:rsidP="0064059C" w14:paraId="3268F4CE" w14:textId="77777777">
            <w:pPr>
              <w:jc w:val="center"/>
              <w:rPr>
                <w:rFonts w:ascii="Times New Roman" w:hAnsi="Times New Roman"/>
                <w:color w:val="FF0000"/>
                <w:sz w:val="20"/>
              </w:rPr>
            </w:pPr>
            <w:r w:rsidRPr="002A4E5E">
              <w:rPr>
                <w:rFonts w:ascii="Times New Roman" w:hAnsi="Times New Roman"/>
                <w:color w:val="FF0000"/>
                <w:sz w:val="20"/>
              </w:rPr>
              <w:t>Support staff = $23/hour</w:t>
            </w:r>
          </w:p>
          <w:p w:rsidR="006F5B90" w:rsidRPr="002A4E5E" w:rsidP="0064059C" w14:paraId="7F844764" w14:textId="77777777">
            <w:pPr>
              <w:rPr>
                <w:rFonts w:ascii="Times New Roman" w:hAnsi="Times New Roman"/>
                <w:color w:val="FF0000"/>
                <w:sz w:val="20"/>
              </w:rPr>
            </w:pPr>
          </w:p>
        </w:tc>
        <w:tc>
          <w:tcPr>
            <w:tcW w:w="1461" w:type="dxa"/>
          </w:tcPr>
          <w:p w:rsidR="006F5B90" w:rsidRPr="002A4E5E" w:rsidP="0064059C" w14:paraId="10B3CF40" w14:textId="77777777">
            <w:pPr>
              <w:rPr>
                <w:rFonts w:ascii="Times New Roman" w:hAnsi="Times New Roman"/>
                <w:color w:val="FF0000"/>
                <w:sz w:val="20"/>
              </w:rPr>
            </w:pPr>
            <w:r w:rsidRPr="002A4E5E">
              <w:rPr>
                <w:rFonts w:ascii="Times New Roman" w:hAnsi="Times New Roman"/>
                <w:color w:val="FF0000"/>
                <w:sz w:val="20"/>
              </w:rPr>
              <w:t>$45,057.00</w:t>
            </w:r>
          </w:p>
        </w:tc>
      </w:tr>
      <w:tr w14:paraId="2035BBE7" w14:textId="77777777" w:rsidTr="0064059C">
        <w:tblPrEx>
          <w:tblW w:w="10825" w:type="dxa"/>
          <w:tblLayout w:type="fixed"/>
          <w:tblLook w:val="0020"/>
        </w:tblPrEx>
        <w:trPr>
          <w:trHeight w:val="250"/>
        </w:trPr>
        <w:tc>
          <w:tcPr>
            <w:tcW w:w="1285" w:type="dxa"/>
          </w:tcPr>
          <w:p w:rsidR="006F5B90" w:rsidRPr="002A4E5E" w:rsidP="0064059C" w14:paraId="121DF923" w14:textId="77777777">
            <w:pPr>
              <w:rPr>
                <w:rFonts w:ascii="Times New Roman" w:hAnsi="Times New Roman"/>
                <w:color w:val="FF0000"/>
                <w:sz w:val="20"/>
              </w:rPr>
            </w:pPr>
            <w:r w:rsidRPr="002A4E5E">
              <w:rPr>
                <w:rFonts w:ascii="Times New Roman" w:hAnsi="Times New Roman"/>
                <w:color w:val="FF0000"/>
                <w:sz w:val="20"/>
              </w:rPr>
              <w:t>Private Sector</w:t>
            </w:r>
          </w:p>
        </w:tc>
        <w:tc>
          <w:tcPr>
            <w:tcW w:w="1208" w:type="dxa"/>
          </w:tcPr>
          <w:p w:rsidR="006F5B90" w:rsidRPr="002A4E5E" w:rsidP="0064059C" w14:paraId="22EB79ED" w14:textId="77777777">
            <w:pPr>
              <w:rPr>
                <w:rFonts w:ascii="Times New Roman" w:hAnsi="Times New Roman"/>
                <w:color w:val="FF0000"/>
                <w:sz w:val="20"/>
              </w:rPr>
            </w:pPr>
            <w:r w:rsidRPr="002A4E5E">
              <w:rPr>
                <w:rFonts w:ascii="Times New Roman" w:hAnsi="Times New Roman"/>
                <w:color w:val="FF0000"/>
                <w:sz w:val="20"/>
              </w:rPr>
              <w:t>N/A</w:t>
            </w:r>
          </w:p>
        </w:tc>
        <w:tc>
          <w:tcPr>
            <w:tcW w:w="1199" w:type="dxa"/>
          </w:tcPr>
          <w:p w:rsidR="006F5B90" w:rsidRPr="002A4E5E" w:rsidP="0064059C" w14:paraId="3EB13424" w14:textId="77777777">
            <w:pPr>
              <w:rPr>
                <w:rFonts w:ascii="Times New Roman" w:hAnsi="Times New Roman"/>
                <w:color w:val="FF0000"/>
                <w:sz w:val="20"/>
              </w:rPr>
            </w:pPr>
            <w:r w:rsidRPr="002A4E5E">
              <w:rPr>
                <w:rFonts w:ascii="Times New Roman" w:hAnsi="Times New Roman"/>
                <w:color w:val="FF0000"/>
                <w:sz w:val="20"/>
              </w:rPr>
              <w:t>N/A</w:t>
            </w:r>
          </w:p>
        </w:tc>
        <w:tc>
          <w:tcPr>
            <w:tcW w:w="1203" w:type="dxa"/>
          </w:tcPr>
          <w:p w:rsidR="006F5B90" w:rsidRPr="002A4E5E" w:rsidP="0064059C" w14:paraId="2F2A2803" w14:textId="77777777">
            <w:pPr>
              <w:rPr>
                <w:rFonts w:ascii="Times New Roman" w:hAnsi="Times New Roman"/>
                <w:color w:val="FF0000"/>
                <w:sz w:val="20"/>
              </w:rPr>
            </w:pPr>
            <w:r w:rsidRPr="002A4E5E">
              <w:rPr>
                <w:rFonts w:ascii="Times New Roman" w:hAnsi="Times New Roman"/>
                <w:color w:val="FF0000"/>
                <w:sz w:val="20"/>
              </w:rPr>
              <w:t>43</w:t>
            </w:r>
          </w:p>
        </w:tc>
        <w:tc>
          <w:tcPr>
            <w:tcW w:w="1046" w:type="dxa"/>
          </w:tcPr>
          <w:p w:rsidR="006F5B90" w:rsidRPr="002A4E5E" w:rsidP="0064059C" w14:paraId="7F4DDA3F" w14:textId="77777777">
            <w:pPr>
              <w:rPr>
                <w:rFonts w:ascii="Times New Roman" w:hAnsi="Times New Roman"/>
                <w:color w:val="FF0000"/>
                <w:sz w:val="20"/>
              </w:rPr>
            </w:pPr>
            <w:r w:rsidRPr="002A4E5E">
              <w:rPr>
                <w:rFonts w:ascii="Times New Roman" w:hAnsi="Times New Roman"/>
                <w:color w:val="FF0000"/>
                <w:sz w:val="20"/>
              </w:rPr>
              <w:t>43</w:t>
            </w:r>
          </w:p>
        </w:tc>
        <w:tc>
          <w:tcPr>
            <w:tcW w:w="1017" w:type="dxa"/>
          </w:tcPr>
          <w:p w:rsidR="006F5B90" w:rsidRPr="002A4E5E" w:rsidP="0064059C" w14:paraId="68BA96F3" w14:textId="77777777">
            <w:pPr>
              <w:rPr>
                <w:rFonts w:ascii="Times New Roman" w:hAnsi="Times New Roman"/>
                <w:color w:val="FF0000"/>
                <w:sz w:val="20"/>
              </w:rPr>
            </w:pPr>
            <w:r w:rsidRPr="002A4E5E">
              <w:rPr>
                <w:rFonts w:ascii="Times New Roman" w:hAnsi="Times New Roman"/>
                <w:color w:val="FF0000"/>
                <w:sz w:val="20"/>
              </w:rPr>
              <w:t>8</w:t>
            </w:r>
          </w:p>
        </w:tc>
        <w:tc>
          <w:tcPr>
            <w:tcW w:w="945" w:type="dxa"/>
          </w:tcPr>
          <w:p w:rsidR="006F5B90" w:rsidRPr="002A4E5E" w:rsidP="0064059C" w14:paraId="593DD00D" w14:textId="77777777">
            <w:pPr>
              <w:pStyle w:val="EndnoteText"/>
              <w:tabs>
                <w:tab w:val="clear" w:pos="-720"/>
              </w:tabs>
              <w:suppressAutoHyphens w:val="0"/>
              <w:rPr>
                <w:rFonts w:ascii="Times New Roman" w:hAnsi="Times New Roman"/>
                <w:color w:val="FF0000"/>
                <w:sz w:val="20"/>
              </w:rPr>
            </w:pPr>
            <w:r w:rsidRPr="002A4E5E">
              <w:rPr>
                <w:rFonts w:ascii="Times New Roman" w:hAnsi="Times New Roman"/>
                <w:color w:val="FF0000"/>
                <w:sz w:val="20"/>
              </w:rPr>
              <w:t>344</w:t>
            </w:r>
          </w:p>
        </w:tc>
        <w:tc>
          <w:tcPr>
            <w:tcW w:w="1461" w:type="dxa"/>
            <w:vMerge/>
          </w:tcPr>
          <w:p w:rsidR="006F5B90" w:rsidRPr="002A4E5E" w:rsidP="0064059C" w14:paraId="33637284" w14:textId="77777777">
            <w:pPr>
              <w:rPr>
                <w:rFonts w:ascii="Times New Roman" w:hAnsi="Times New Roman"/>
                <w:color w:val="FF0000"/>
                <w:sz w:val="20"/>
              </w:rPr>
            </w:pPr>
          </w:p>
        </w:tc>
        <w:tc>
          <w:tcPr>
            <w:tcW w:w="1461" w:type="dxa"/>
          </w:tcPr>
          <w:p w:rsidR="006F5B90" w:rsidRPr="002A4E5E" w:rsidP="0064059C" w14:paraId="092D0C18" w14:textId="77777777">
            <w:pPr>
              <w:rPr>
                <w:rFonts w:ascii="Times New Roman" w:hAnsi="Times New Roman"/>
                <w:color w:val="FF0000"/>
                <w:sz w:val="20"/>
              </w:rPr>
            </w:pPr>
            <w:r w:rsidRPr="002A4E5E">
              <w:rPr>
                <w:rFonts w:ascii="Times New Roman" w:hAnsi="Times New Roman"/>
                <w:color w:val="FF0000"/>
                <w:sz w:val="20"/>
              </w:rPr>
              <w:t>$14,039.50</w:t>
            </w:r>
          </w:p>
        </w:tc>
      </w:tr>
      <w:tr w14:paraId="611E3E51" w14:textId="77777777" w:rsidTr="002A4E5E">
        <w:tblPrEx>
          <w:tblW w:w="10825" w:type="dxa"/>
          <w:tblLayout w:type="fixed"/>
          <w:tblLook w:val="0020"/>
        </w:tblPrEx>
        <w:trPr>
          <w:trHeight w:val="698"/>
        </w:trPr>
        <w:tc>
          <w:tcPr>
            <w:tcW w:w="1285" w:type="dxa"/>
          </w:tcPr>
          <w:p w:rsidR="006F5B90" w:rsidRPr="002A4E5E" w:rsidP="0064059C" w14:paraId="487655D3" w14:textId="77777777">
            <w:pPr>
              <w:rPr>
                <w:rFonts w:ascii="Times New Roman" w:hAnsi="Times New Roman"/>
                <w:color w:val="FF0000"/>
                <w:sz w:val="20"/>
              </w:rPr>
            </w:pPr>
            <w:r w:rsidRPr="002A4E5E">
              <w:rPr>
                <w:rFonts w:ascii="Times New Roman" w:hAnsi="Times New Roman"/>
                <w:color w:val="FF0000"/>
                <w:sz w:val="20"/>
              </w:rPr>
              <w:t>Annualized Totals</w:t>
            </w:r>
          </w:p>
        </w:tc>
        <w:tc>
          <w:tcPr>
            <w:tcW w:w="1208" w:type="dxa"/>
          </w:tcPr>
          <w:p w:rsidR="006F5B90" w:rsidRPr="002A4E5E" w:rsidP="0064059C" w14:paraId="7EC74F5F" w14:textId="77777777">
            <w:pPr>
              <w:rPr>
                <w:rFonts w:ascii="Times New Roman" w:hAnsi="Times New Roman"/>
                <w:color w:val="FF0000"/>
                <w:sz w:val="20"/>
              </w:rPr>
            </w:pPr>
            <w:r w:rsidRPr="002A4E5E">
              <w:rPr>
                <w:rFonts w:ascii="Times New Roman" w:hAnsi="Times New Roman"/>
                <w:color w:val="FF0000"/>
                <w:sz w:val="20"/>
              </w:rPr>
              <w:t>x</w:t>
            </w:r>
          </w:p>
        </w:tc>
        <w:tc>
          <w:tcPr>
            <w:tcW w:w="1199" w:type="dxa"/>
          </w:tcPr>
          <w:p w:rsidR="006F5B90" w:rsidRPr="002A4E5E" w:rsidP="0064059C" w14:paraId="3F3CF9E8" w14:textId="77777777">
            <w:pPr>
              <w:rPr>
                <w:rFonts w:ascii="Times New Roman" w:hAnsi="Times New Roman"/>
                <w:color w:val="FF0000"/>
                <w:sz w:val="20"/>
              </w:rPr>
            </w:pPr>
            <w:r w:rsidRPr="002A4E5E">
              <w:rPr>
                <w:rFonts w:ascii="Times New Roman" w:hAnsi="Times New Roman"/>
                <w:color w:val="FF0000"/>
                <w:sz w:val="20"/>
              </w:rPr>
              <w:t>x</w:t>
            </w:r>
          </w:p>
        </w:tc>
        <w:tc>
          <w:tcPr>
            <w:tcW w:w="1203" w:type="dxa"/>
          </w:tcPr>
          <w:p w:rsidR="006F5B90" w:rsidRPr="002A4E5E" w:rsidP="0064059C" w14:paraId="214BFFA4" w14:textId="77777777">
            <w:pPr>
              <w:rPr>
                <w:rFonts w:ascii="Times New Roman" w:hAnsi="Times New Roman"/>
                <w:color w:val="FF0000"/>
                <w:sz w:val="20"/>
              </w:rPr>
            </w:pPr>
            <w:r w:rsidRPr="002A4E5E">
              <w:rPr>
                <w:rFonts w:ascii="Times New Roman" w:hAnsi="Times New Roman"/>
                <w:color w:val="FF0000"/>
                <w:sz w:val="20"/>
              </w:rPr>
              <w:t>181</w:t>
            </w:r>
          </w:p>
        </w:tc>
        <w:tc>
          <w:tcPr>
            <w:tcW w:w="1046" w:type="dxa"/>
          </w:tcPr>
          <w:p w:rsidR="006F5B90" w:rsidRPr="002A4E5E" w:rsidP="0064059C" w14:paraId="7B9AFF8E" w14:textId="77777777">
            <w:pPr>
              <w:rPr>
                <w:rFonts w:ascii="Times New Roman" w:hAnsi="Times New Roman"/>
                <w:color w:val="FF0000"/>
                <w:sz w:val="20"/>
              </w:rPr>
            </w:pPr>
            <w:r w:rsidRPr="002A4E5E">
              <w:rPr>
                <w:rFonts w:ascii="Times New Roman" w:hAnsi="Times New Roman"/>
                <w:color w:val="FF0000"/>
                <w:sz w:val="20"/>
              </w:rPr>
              <w:t>181</w:t>
            </w:r>
          </w:p>
        </w:tc>
        <w:tc>
          <w:tcPr>
            <w:tcW w:w="1017" w:type="dxa"/>
          </w:tcPr>
          <w:p w:rsidR="006F5B90" w:rsidRPr="002A4E5E" w:rsidP="0064059C" w14:paraId="044AE7A5" w14:textId="77777777">
            <w:pPr>
              <w:rPr>
                <w:rFonts w:ascii="Times New Roman" w:hAnsi="Times New Roman"/>
                <w:color w:val="FF0000"/>
                <w:sz w:val="20"/>
              </w:rPr>
            </w:pPr>
            <w:r w:rsidRPr="002A4E5E">
              <w:rPr>
                <w:rFonts w:ascii="Times New Roman" w:hAnsi="Times New Roman"/>
                <w:color w:val="FF0000"/>
                <w:sz w:val="20"/>
              </w:rPr>
              <w:t>8</w:t>
            </w:r>
          </w:p>
        </w:tc>
        <w:tc>
          <w:tcPr>
            <w:tcW w:w="945" w:type="dxa"/>
          </w:tcPr>
          <w:p w:rsidR="006F5B90" w:rsidRPr="002A4E5E" w:rsidP="0064059C" w14:paraId="48A55E90" w14:textId="77777777">
            <w:pPr>
              <w:rPr>
                <w:rFonts w:ascii="Times New Roman" w:hAnsi="Times New Roman"/>
                <w:color w:val="FF0000"/>
                <w:sz w:val="20"/>
              </w:rPr>
            </w:pPr>
            <w:r w:rsidRPr="002A4E5E">
              <w:rPr>
                <w:rFonts w:ascii="Times New Roman" w:hAnsi="Times New Roman"/>
                <w:color w:val="FF0000"/>
                <w:sz w:val="20"/>
              </w:rPr>
              <w:t>1,448</w:t>
            </w:r>
          </w:p>
        </w:tc>
        <w:tc>
          <w:tcPr>
            <w:tcW w:w="1461" w:type="dxa"/>
            <w:vMerge/>
          </w:tcPr>
          <w:p w:rsidR="006F5B90" w:rsidRPr="002A4E5E" w:rsidP="0064059C" w14:paraId="0B2987F1" w14:textId="77777777">
            <w:pPr>
              <w:rPr>
                <w:rFonts w:ascii="Times New Roman" w:hAnsi="Times New Roman"/>
                <w:color w:val="FF0000"/>
                <w:sz w:val="20"/>
              </w:rPr>
            </w:pPr>
          </w:p>
        </w:tc>
        <w:tc>
          <w:tcPr>
            <w:tcW w:w="1461" w:type="dxa"/>
          </w:tcPr>
          <w:p w:rsidR="006F5B90" w:rsidRPr="002A4E5E" w:rsidP="0064059C" w14:paraId="5350E2EB" w14:textId="77777777">
            <w:pPr>
              <w:rPr>
                <w:rFonts w:ascii="Times New Roman" w:hAnsi="Times New Roman"/>
                <w:color w:val="FF0000"/>
                <w:sz w:val="20"/>
              </w:rPr>
            </w:pPr>
            <w:r w:rsidRPr="002A4E5E">
              <w:rPr>
                <w:rFonts w:ascii="Times New Roman" w:hAnsi="Times New Roman"/>
                <w:color w:val="FF0000"/>
                <w:sz w:val="20"/>
              </w:rPr>
              <w:t>$59,096.50</w:t>
            </w:r>
          </w:p>
        </w:tc>
      </w:tr>
      <w:tr w14:paraId="65AC4F45" w14:textId="77777777" w:rsidTr="002A4E5E">
        <w:tblPrEx>
          <w:tblW w:w="10825" w:type="dxa"/>
          <w:tblLayout w:type="fixed"/>
          <w:tblLook w:val="0020"/>
        </w:tblPrEx>
        <w:trPr>
          <w:trHeight w:val="968"/>
        </w:trPr>
        <w:tc>
          <w:tcPr>
            <w:tcW w:w="1285" w:type="dxa"/>
          </w:tcPr>
          <w:p w:rsidR="00AC3DF3" w:rsidRPr="002A4E5E" w:rsidP="0064059C" w14:paraId="7EAAC5B4" w14:textId="321C3052">
            <w:pPr>
              <w:rPr>
                <w:rFonts w:ascii="Times New Roman" w:hAnsi="Times New Roman"/>
                <w:color w:val="FF0000"/>
                <w:sz w:val="20"/>
              </w:rPr>
            </w:pPr>
            <w:r w:rsidRPr="002A4E5E">
              <w:rPr>
                <w:rFonts w:ascii="Times New Roman" w:hAnsi="Times New Roman"/>
                <w:color w:val="FF0000"/>
                <w:sz w:val="20"/>
              </w:rPr>
              <w:t>Difference from Currently Approved</w:t>
            </w:r>
          </w:p>
        </w:tc>
        <w:tc>
          <w:tcPr>
            <w:tcW w:w="1208" w:type="dxa"/>
          </w:tcPr>
          <w:p w:rsidR="00AC3DF3" w:rsidRPr="002A4E5E" w:rsidP="0064059C" w14:paraId="786F95FB" w14:textId="57C183FC">
            <w:pPr>
              <w:rPr>
                <w:rFonts w:ascii="Times New Roman" w:hAnsi="Times New Roman"/>
                <w:color w:val="FF0000"/>
                <w:sz w:val="20"/>
              </w:rPr>
            </w:pPr>
            <w:r w:rsidRPr="002A4E5E">
              <w:rPr>
                <w:rFonts w:ascii="Times New Roman" w:hAnsi="Times New Roman"/>
                <w:color w:val="FF0000"/>
                <w:sz w:val="20"/>
              </w:rPr>
              <w:t>x</w:t>
            </w:r>
          </w:p>
        </w:tc>
        <w:tc>
          <w:tcPr>
            <w:tcW w:w="1199" w:type="dxa"/>
          </w:tcPr>
          <w:p w:rsidR="00AC3DF3" w:rsidRPr="002A4E5E" w:rsidP="0064059C" w14:paraId="6BD9A74E" w14:textId="35F137AF">
            <w:pPr>
              <w:rPr>
                <w:rFonts w:ascii="Times New Roman" w:hAnsi="Times New Roman"/>
                <w:color w:val="FF0000"/>
                <w:sz w:val="20"/>
              </w:rPr>
            </w:pPr>
            <w:r w:rsidRPr="002A4E5E">
              <w:rPr>
                <w:rFonts w:ascii="Times New Roman" w:hAnsi="Times New Roman"/>
                <w:color w:val="FF0000"/>
                <w:sz w:val="20"/>
              </w:rPr>
              <w:t>x</w:t>
            </w:r>
          </w:p>
        </w:tc>
        <w:tc>
          <w:tcPr>
            <w:tcW w:w="1203" w:type="dxa"/>
          </w:tcPr>
          <w:p w:rsidR="00AC3DF3" w:rsidRPr="002A4E5E" w:rsidP="0064059C" w14:paraId="17F4558C" w14:textId="3CDAF8CB">
            <w:pPr>
              <w:rPr>
                <w:rFonts w:ascii="Times New Roman" w:hAnsi="Times New Roman"/>
                <w:color w:val="FF0000"/>
                <w:sz w:val="20"/>
              </w:rPr>
            </w:pPr>
            <w:r w:rsidRPr="002A4E5E">
              <w:rPr>
                <w:rFonts w:ascii="Times New Roman" w:hAnsi="Times New Roman"/>
                <w:color w:val="FF0000"/>
                <w:sz w:val="20"/>
              </w:rPr>
              <w:t>-2</w:t>
            </w:r>
          </w:p>
        </w:tc>
        <w:tc>
          <w:tcPr>
            <w:tcW w:w="1046" w:type="dxa"/>
          </w:tcPr>
          <w:p w:rsidR="00AC3DF3" w:rsidRPr="002A4E5E" w:rsidP="0064059C" w14:paraId="1382993B" w14:textId="5FD903C2">
            <w:pPr>
              <w:rPr>
                <w:rFonts w:ascii="Times New Roman" w:hAnsi="Times New Roman"/>
                <w:color w:val="FF0000"/>
                <w:sz w:val="20"/>
              </w:rPr>
            </w:pPr>
            <w:r w:rsidRPr="002A4E5E">
              <w:rPr>
                <w:rFonts w:ascii="Times New Roman" w:hAnsi="Times New Roman"/>
                <w:color w:val="FF0000"/>
                <w:sz w:val="20"/>
              </w:rPr>
              <w:t>-2</w:t>
            </w:r>
          </w:p>
        </w:tc>
        <w:tc>
          <w:tcPr>
            <w:tcW w:w="1017" w:type="dxa"/>
          </w:tcPr>
          <w:p w:rsidR="00AC3DF3" w:rsidRPr="002A4E5E" w:rsidP="0064059C" w14:paraId="143D16D9" w14:textId="237220D7">
            <w:pPr>
              <w:rPr>
                <w:rFonts w:ascii="Times New Roman" w:hAnsi="Times New Roman"/>
                <w:color w:val="FF0000"/>
                <w:sz w:val="20"/>
              </w:rPr>
            </w:pPr>
            <w:r>
              <w:rPr>
                <w:rFonts w:ascii="Times New Roman" w:hAnsi="Times New Roman"/>
                <w:color w:val="FF0000"/>
                <w:sz w:val="20"/>
              </w:rPr>
              <w:t>x</w:t>
            </w:r>
          </w:p>
        </w:tc>
        <w:tc>
          <w:tcPr>
            <w:tcW w:w="945" w:type="dxa"/>
          </w:tcPr>
          <w:p w:rsidR="00AC3DF3" w:rsidRPr="002A4E5E" w:rsidP="0064059C" w14:paraId="06A22EF8" w14:textId="20CBFB30">
            <w:pPr>
              <w:rPr>
                <w:rFonts w:ascii="Times New Roman" w:hAnsi="Times New Roman"/>
                <w:color w:val="FF0000"/>
                <w:sz w:val="20"/>
              </w:rPr>
            </w:pPr>
            <w:r>
              <w:rPr>
                <w:rFonts w:ascii="Times New Roman" w:hAnsi="Times New Roman"/>
                <w:color w:val="FF0000"/>
                <w:sz w:val="20"/>
              </w:rPr>
              <w:t>-16</w:t>
            </w:r>
          </w:p>
        </w:tc>
        <w:tc>
          <w:tcPr>
            <w:tcW w:w="1461" w:type="dxa"/>
          </w:tcPr>
          <w:p w:rsidR="00AC3DF3" w:rsidRPr="002A4E5E" w:rsidP="0064059C" w14:paraId="16F0930C" w14:textId="4C701689">
            <w:pPr>
              <w:rPr>
                <w:rFonts w:ascii="Times New Roman" w:hAnsi="Times New Roman"/>
                <w:color w:val="FF0000"/>
                <w:sz w:val="20"/>
              </w:rPr>
            </w:pPr>
            <w:r>
              <w:rPr>
                <w:rFonts w:ascii="Times New Roman" w:hAnsi="Times New Roman"/>
                <w:color w:val="FF0000"/>
                <w:sz w:val="20"/>
              </w:rPr>
              <w:t>x</w:t>
            </w:r>
          </w:p>
        </w:tc>
        <w:tc>
          <w:tcPr>
            <w:tcW w:w="1461" w:type="dxa"/>
          </w:tcPr>
          <w:p w:rsidR="00AC3DF3" w:rsidRPr="002A4E5E" w:rsidP="0064059C" w14:paraId="2645FA9E" w14:textId="2F6BDADD">
            <w:pPr>
              <w:rPr>
                <w:rFonts w:ascii="Times New Roman" w:hAnsi="Times New Roman"/>
                <w:color w:val="FF0000"/>
                <w:sz w:val="20"/>
              </w:rPr>
            </w:pPr>
            <w:r>
              <w:rPr>
                <w:rFonts w:ascii="Times New Roman" w:hAnsi="Times New Roman"/>
                <w:color w:val="FF0000"/>
                <w:sz w:val="20"/>
              </w:rPr>
              <w:t>-$653.00</w:t>
            </w:r>
          </w:p>
        </w:tc>
      </w:tr>
    </w:tbl>
    <w:p w:rsidR="00B623A1" w:rsidP="002313E2" w14:paraId="6CB30389" w14:textId="77777777">
      <w:pPr>
        <w:pStyle w:val="ListParagraph"/>
        <w:tabs>
          <w:tab w:val="left" w:pos="-720"/>
        </w:tabs>
        <w:suppressAutoHyphens/>
        <w:rPr>
          <w:rStyle w:val="a"/>
          <w:rFonts w:ascii="Times New Roman" w:hAnsi="Times New Roman"/>
          <w:szCs w:val="24"/>
        </w:rPr>
      </w:pPr>
    </w:p>
    <w:p w:rsidR="006F5B90" w:rsidP="002313E2" w14:paraId="3C2D68CC" w14:textId="77777777">
      <w:pPr>
        <w:pStyle w:val="ListParagraph"/>
        <w:tabs>
          <w:tab w:val="left" w:pos="-720"/>
        </w:tabs>
        <w:suppressAutoHyphens/>
        <w:rPr>
          <w:rStyle w:val="a"/>
          <w:rFonts w:ascii="Times New Roman" w:hAnsi="Times New Roman"/>
          <w:szCs w:val="24"/>
        </w:rPr>
      </w:pPr>
    </w:p>
    <w:p w:rsidR="00043C32" w:rsidRPr="00ED7195" w:rsidP="002313E2" w14:paraId="2A9B8B1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2C34CA8D" w14:textId="77777777">
      <w:pPr>
        <w:tabs>
          <w:tab w:val="left" w:pos="-720"/>
        </w:tabs>
        <w:suppressAutoHyphens/>
        <w:rPr>
          <w:rFonts w:ascii="Times New Roman" w:hAnsi="Times New Roman"/>
          <w:b/>
          <w:szCs w:val="24"/>
        </w:rPr>
      </w:pPr>
    </w:p>
    <w:p w:rsidR="00043C32" w:rsidRPr="00ED7195" w:rsidP="002313E2" w14:paraId="004B5619"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6532AC82" w14:textId="77777777">
      <w:pPr>
        <w:numPr>
          <w:ilvl w:val="12"/>
          <w:numId w:val="0"/>
        </w:numPr>
        <w:tabs>
          <w:tab w:val="left" w:pos="-720"/>
        </w:tabs>
        <w:suppressAutoHyphens/>
        <w:ind w:left="340"/>
        <w:rPr>
          <w:rFonts w:ascii="Times New Roman" w:hAnsi="Times New Roman"/>
          <w:szCs w:val="24"/>
        </w:rPr>
      </w:pPr>
    </w:p>
    <w:p w:rsidR="00043C32" w:rsidRPr="00ED7195" w:rsidP="002313E2" w14:paraId="6410F69B"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79D17870" w14:textId="77777777">
      <w:pPr>
        <w:tabs>
          <w:tab w:val="left" w:pos="-720"/>
          <w:tab w:val="left" w:pos="1247"/>
        </w:tabs>
        <w:suppressAutoHyphens/>
        <w:ind w:left="340"/>
        <w:rPr>
          <w:rFonts w:ascii="Times New Roman" w:hAnsi="Times New Roman"/>
          <w:b/>
          <w:szCs w:val="24"/>
        </w:rPr>
      </w:pPr>
    </w:p>
    <w:p w:rsidR="00043C32" w:rsidRPr="00ED7195" w:rsidP="002313E2" w14:paraId="7406629C"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3401F9AD" w14:textId="77777777">
      <w:pPr>
        <w:tabs>
          <w:tab w:val="left" w:pos="-720"/>
        </w:tabs>
        <w:suppressAutoHyphens/>
        <w:rPr>
          <w:rFonts w:ascii="Times New Roman" w:hAnsi="Times New Roman"/>
          <w:b/>
          <w:szCs w:val="24"/>
        </w:rPr>
      </w:pPr>
    </w:p>
    <w:p w:rsidR="00043C32" w:rsidRPr="00ED7195" w:rsidP="002313E2" w14:paraId="4AD4373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4A56285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2313E2" w14:paraId="6657889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AB4058" w:rsidRPr="00541F86" w:rsidP="002313E2" w14:paraId="472119DF" w14:textId="77777777">
      <w:pPr>
        <w:tabs>
          <w:tab w:val="left" w:pos="-720"/>
        </w:tabs>
        <w:suppressAutoHyphens/>
        <w:rPr>
          <w:rFonts w:asciiTheme="minorHAnsi" w:hAnsiTheme="minorHAnsi" w:cstheme="minorHAnsi"/>
          <w:b/>
          <w:szCs w:val="24"/>
        </w:rPr>
      </w:pPr>
    </w:p>
    <w:p w:rsidR="00043C32" w:rsidRPr="00541F86" w:rsidP="00E074C1" w14:paraId="5BEA5F3F" w14:textId="77777777">
      <w:pPr>
        <w:tabs>
          <w:tab w:val="left" w:pos="-720"/>
        </w:tabs>
        <w:suppressAutoHyphens/>
        <w:ind w:left="900"/>
        <w:rPr>
          <w:rFonts w:asciiTheme="minorHAnsi" w:hAnsiTheme="minorHAnsi" w:cstheme="minorHAnsi"/>
          <w:szCs w:val="24"/>
        </w:rPr>
      </w:pPr>
      <w:r w:rsidRPr="00541F86">
        <w:rPr>
          <w:rFonts w:asciiTheme="minorHAnsi" w:hAnsiTheme="minorHAnsi" w:cstheme="minorHAnsi"/>
        </w:rPr>
        <w:t>There are no other costs to the respondents associated with this information collection. Grantees are required by program regulations to collect and maintain this information. The costs to transmit the data electronically via the Web are customary and usual business practices.</w:t>
      </w:r>
    </w:p>
    <w:p w:rsidR="00B623A1" w:rsidP="002313E2" w14:paraId="4954C88E" w14:textId="77777777">
      <w:pPr>
        <w:tabs>
          <w:tab w:val="left" w:pos="-720"/>
        </w:tabs>
        <w:suppressAutoHyphens/>
        <w:rPr>
          <w:rFonts w:ascii="Times New Roman" w:hAnsi="Times New Roman"/>
          <w:szCs w:val="24"/>
        </w:rPr>
      </w:pPr>
    </w:p>
    <w:p w:rsidR="00AB4058" w:rsidP="002313E2" w14:paraId="549ED32A" w14:textId="77777777">
      <w:pPr>
        <w:tabs>
          <w:tab w:val="left" w:pos="-720"/>
        </w:tabs>
        <w:suppressAutoHyphens/>
        <w:rPr>
          <w:rFonts w:ascii="Times New Roman" w:hAnsi="Times New Roman"/>
          <w:szCs w:val="24"/>
        </w:rPr>
      </w:pPr>
    </w:p>
    <w:p w:rsidR="00043C32" w:rsidP="002313E2" w14:paraId="6C17DB74"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w:t>
      </w:r>
      <w:r w:rsidRPr="00534B4A">
        <w:rPr>
          <w:rStyle w:val="a"/>
          <w:rFonts w:ascii="Times New Roman" w:hAnsi="Times New Roman"/>
          <w:b/>
          <w:szCs w:val="24"/>
        </w:rPr>
        <w:t>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074C1" w:rsidP="00E074C1" w14:paraId="6A4AF23D" w14:textId="77777777">
      <w:pPr>
        <w:tabs>
          <w:tab w:val="left" w:pos="-720"/>
        </w:tabs>
        <w:suppressAutoHyphens/>
        <w:rPr>
          <w:rStyle w:val="a"/>
          <w:rFonts w:ascii="Times New Roman" w:hAnsi="Times New Roman"/>
          <w:b/>
          <w:szCs w:val="24"/>
        </w:rPr>
      </w:pPr>
    </w:p>
    <w:p w:rsidR="00E074C1" w:rsidP="00E074C1" w14:paraId="583C0D2A" w14:textId="77777777">
      <w:pPr>
        <w:tabs>
          <w:tab w:val="left" w:pos="-720"/>
        </w:tabs>
        <w:suppressAutoHyphens/>
        <w:rPr>
          <w:rStyle w:val="a"/>
          <w:rFonts w:ascii="Times New Roman" w:hAnsi="Times New Roman"/>
          <w:b/>
          <w:szCs w:val="24"/>
        </w:rPr>
      </w:pPr>
    </w:p>
    <w:tbl>
      <w:tblPr>
        <w:tblStyle w:val="TableGrid"/>
        <w:tblW w:w="0" w:type="auto"/>
        <w:tblInd w:w="900" w:type="dxa"/>
        <w:tblLook w:val="04A0"/>
      </w:tblPr>
      <w:tblGrid>
        <w:gridCol w:w="5575"/>
        <w:gridCol w:w="2875"/>
      </w:tblGrid>
      <w:tr w14:paraId="1B35FDB9" w14:textId="77777777" w:rsidTr="00567C0C">
        <w:tblPrEx>
          <w:tblW w:w="0" w:type="auto"/>
          <w:tblInd w:w="900" w:type="dxa"/>
          <w:tblLook w:val="04A0"/>
        </w:tblPrEx>
        <w:tc>
          <w:tcPr>
            <w:tcW w:w="5575" w:type="dxa"/>
          </w:tcPr>
          <w:p w:rsidR="00A0137C" w:rsidRPr="00CF6642" w:rsidP="00E074C1" w14:paraId="12D1D987" w14:textId="77777777">
            <w:pPr>
              <w:tabs>
                <w:tab w:val="left" w:pos="-720"/>
              </w:tabs>
              <w:suppressAutoHyphens/>
              <w:rPr>
                <w:rFonts w:asciiTheme="minorHAnsi" w:hAnsiTheme="minorHAnsi" w:cstheme="minorHAnsi"/>
              </w:rPr>
            </w:pPr>
            <w:r w:rsidRPr="00CF6642">
              <w:rPr>
                <w:rFonts w:asciiTheme="minorHAnsi" w:hAnsiTheme="minorHAnsi" w:cstheme="minorHAnsi"/>
              </w:rPr>
              <w:t>Designing performance report form 1</w:t>
            </w:r>
            <w:r w:rsidRPr="00CF6642" w:rsidR="003F03C8">
              <w:rPr>
                <w:rFonts w:asciiTheme="minorHAnsi" w:hAnsiTheme="minorHAnsi" w:cstheme="minorHAnsi"/>
              </w:rPr>
              <w:t>2</w:t>
            </w:r>
            <w:r w:rsidRPr="00CF6642">
              <w:rPr>
                <w:rFonts w:asciiTheme="minorHAnsi" w:hAnsiTheme="minorHAnsi" w:cstheme="minorHAnsi"/>
              </w:rPr>
              <w:t>0 hours at $</w:t>
            </w:r>
            <w:r w:rsidRPr="00CF6642" w:rsidR="00744C83">
              <w:rPr>
                <w:rFonts w:asciiTheme="minorHAnsi" w:hAnsiTheme="minorHAnsi" w:cstheme="minorHAnsi"/>
              </w:rPr>
              <w:t>62.4</w:t>
            </w:r>
            <w:r w:rsidRPr="00CF6642" w:rsidR="006E426E">
              <w:rPr>
                <w:rFonts w:asciiTheme="minorHAnsi" w:hAnsiTheme="minorHAnsi" w:cstheme="minorHAnsi"/>
              </w:rPr>
              <w:t>0</w:t>
            </w:r>
            <w:r w:rsidRPr="00CF6642">
              <w:rPr>
                <w:rFonts w:asciiTheme="minorHAnsi" w:hAnsiTheme="minorHAnsi" w:cstheme="minorHAnsi"/>
              </w:rPr>
              <w:t xml:space="preserve"> per hour </w:t>
            </w:r>
          </w:p>
          <w:p w:rsidR="00567C0C" w:rsidRPr="00CF6642" w:rsidP="00E074C1" w14:paraId="1792DEA5" w14:textId="77777777">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Overhead (est. at 50%): 1</w:t>
            </w:r>
            <w:r w:rsidRPr="00CF6642" w:rsidR="003F03C8">
              <w:rPr>
                <w:rFonts w:asciiTheme="minorHAnsi" w:hAnsiTheme="minorHAnsi" w:cstheme="minorHAnsi"/>
              </w:rPr>
              <w:t>2</w:t>
            </w:r>
            <w:r w:rsidRPr="00CF6642">
              <w:rPr>
                <w:rFonts w:asciiTheme="minorHAnsi" w:hAnsiTheme="minorHAnsi" w:cstheme="minorHAnsi"/>
              </w:rPr>
              <w:t>0 times $</w:t>
            </w:r>
            <w:r w:rsidRPr="00CF6642" w:rsidR="007B6752">
              <w:rPr>
                <w:rFonts w:asciiTheme="minorHAnsi" w:hAnsiTheme="minorHAnsi" w:cstheme="minorHAnsi"/>
              </w:rPr>
              <w:t>31.2</w:t>
            </w:r>
            <w:r w:rsidRPr="00CF6642" w:rsidR="006E426E">
              <w:rPr>
                <w:rFonts w:asciiTheme="minorHAnsi" w:hAnsiTheme="minorHAnsi" w:cstheme="minorHAnsi"/>
              </w:rPr>
              <w:t>0</w:t>
            </w:r>
          </w:p>
        </w:tc>
        <w:tc>
          <w:tcPr>
            <w:tcW w:w="2875" w:type="dxa"/>
          </w:tcPr>
          <w:p w:rsidR="00567C0C" w:rsidRPr="00CF6642" w:rsidP="0084130A" w14:paraId="7874282B" w14:textId="77777777">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$1</w:t>
            </w:r>
            <w:r w:rsidRPr="00CF6642" w:rsidR="00F50C7F">
              <w:rPr>
                <w:rStyle w:val="a"/>
                <w:rFonts w:asciiTheme="minorHAnsi" w:hAnsiTheme="minorHAnsi" w:cstheme="minorHAnsi"/>
                <w:b/>
                <w:szCs w:val="24"/>
              </w:rPr>
              <w:t>1,232</w:t>
            </w:r>
          </w:p>
        </w:tc>
      </w:tr>
      <w:tr w14:paraId="56C143F7" w14:textId="77777777" w:rsidTr="00567C0C">
        <w:tblPrEx>
          <w:tblW w:w="0" w:type="auto"/>
          <w:tblInd w:w="900" w:type="dxa"/>
          <w:tblLook w:val="04A0"/>
        </w:tblPrEx>
        <w:tc>
          <w:tcPr>
            <w:tcW w:w="5575" w:type="dxa"/>
          </w:tcPr>
          <w:p w:rsidR="00A0137C" w:rsidRPr="00CF6642" w:rsidP="00E074C1" w14:paraId="01535EAE" w14:textId="77777777">
            <w:pPr>
              <w:tabs>
                <w:tab w:val="left" w:pos="-720"/>
              </w:tabs>
              <w:suppressAutoHyphens/>
              <w:rPr>
                <w:rFonts w:asciiTheme="minorHAnsi" w:hAnsiTheme="minorHAnsi" w:cstheme="minorHAnsi"/>
              </w:rPr>
            </w:pPr>
            <w:r w:rsidRPr="00CF6642">
              <w:rPr>
                <w:rFonts w:asciiTheme="minorHAnsi" w:hAnsiTheme="minorHAnsi" w:cstheme="minorHAnsi"/>
              </w:rPr>
              <w:t>Clearing performance report form</w:t>
            </w:r>
            <w:r w:rsidRPr="00CF6642" w:rsidR="003F03C8">
              <w:rPr>
                <w:rFonts w:asciiTheme="minorHAnsi" w:hAnsiTheme="minorHAnsi" w:cstheme="minorHAnsi"/>
              </w:rPr>
              <w:t xml:space="preserve"> 120 hours at $62.4</w:t>
            </w:r>
            <w:r w:rsidRPr="00CF6642" w:rsidR="006E426E">
              <w:rPr>
                <w:rFonts w:asciiTheme="minorHAnsi" w:hAnsiTheme="minorHAnsi" w:cstheme="minorHAnsi"/>
              </w:rPr>
              <w:t>0</w:t>
            </w:r>
            <w:r w:rsidRPr="00CF6642" w:rsidR="003F03C8">
              <w:rPr>
                <w:rFonts w:asciiTheme="minorHAnsi" w:hAnsiTheme="minorHAnsi" w:cstheme="minorHAnsi"/>
              </w:rPr>
              <w:t xml:space="preserve"> per hour </w:t>
            </w:r>
          </w:p>
          <w:p w:rsidR="00567C0C" w:rsidRPr="00CF6642" w:rsidP="00E074C1" w14:paraId="7663DCB9" w14:textId="77777777">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Overhead (est. at 50%): 120 times $31.2</w:t>
            </w:r>
            <w:r w:rsidRPr="00CF6642" w:rsidR="006E426E">
              <w:rPr>
                <w:rFonts w:asciiTheme="minorHAnsi" w:hAnsiTheme="minorHAnsi" w:cstheme="minorHAnsi"/>
              </w:rPr>
              <w:t>0</w:t>
            </w:r>
          </w:p>
        </w:tc>
        <w:tc>
          <w:tcPr>
            <w:tcW w:w="2875" w:type="dxa"/>
          </w:tcPr>
          <w:p w:rsidR="00567C0C" w:rsidRPr="00CF6642" w:rsidP="0084130A" w14:paraId="7017A928" w14:textId="77777777">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$11,232</w:t>
            </w:r>
          </w:p>
        </w:tc>
      </w:tr>
      <w:tr w14:paraId="19B4A231" w14:textId="77777777" w:rsidTr="00567C0C">
        <w:tblPrEx>
          <w:tblW w:w="0" w:type="auto"/>
          <w:tblInd w:w="900" w:type="dxa"/>
          <w:tblLook w:val="04A0"/>
        </w:tblPrEx>
        <w:tc>
          <w:tcPr>
            <w:tcW w:w="5575" w:type="dxa"/>
          </w:tcPr>
          <w:p w:rsidR="00567C0C" w:rsidRPr="00CF6642" w:rsidP="00E074C1" w14:paraId="4F592BE1" w14:textId="77777777">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Annual updates to Web application, Web site hosting, help desk, and data processing (contractor’s costs)</w:t>
            </w:r>
          </w:p>
        </w:tc>
        <w:tc>
          <w:tcPr>
            <w:tcW w:w="2875" w:type="dxa"/>
          </w:tcPr>
          <w:p w:rsidR="00567C0C" w:rsidRPr="00CF6642" w:rsidP="0084130A" w14:paraId="2AF525B7" w14:textId="77777777">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$90,000</w:t>
            </w:r>
          </w:p>
        </w:tc>
      </w:tr>
      <w:tr w14:paraId="54728705" w14:textId="77777777" w:rsidTr="00567C0C">
        <w:tblPrEx>
          <w:tblW w:w="0" w:type="auto"/>
          <w:tblInd w:w="900" w:type="dxa"/>
          <w:tblLook w:val="04A0"/>
        </w:tblPrEx>
        <w:tc>
          <w:tcPr>
            <w:tcW w:w="5575" w:type="dxa"/>
          </w:tcPr>
          <w:p w:rsidR="00567C0C" w:rsidRPr="00CF6642" w:rsidP="00E074C1" w14:paraId="41BEFAEE" w14:textId="77777777">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Analyses of data and preparation of national summary reports and individual project data (contractor’s costs)</w:t>
            </w:r>
          </w:p>
        </w:tc>
        <w:tc>
          <w:tcPr>
            <w:tcW w:w="2875" w:type="dxa"/>
          </w:tcPr>
          <w:p w:rsidR="00567C0C" w:rsidRPr="00CF6642" w:rsidP="0084130A" w14:paraId="56AD6117" w14:textId="77777777">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$90,000</w:t>
            </w:r>
          </w:p>
        </w:tc>
      </w:tr>
      <w:tr w14:paraId="561108D1" w14:textId="77777777" w:rsidTr="00567C0C">
        <w:tblPrEx>
          <w:tblW w:w="0" w:type="auto"/>
          <w:tblInd w:w="900" w:type="dxa"/>
          <w:tblLook w:val="04A0"/>
        </w:tblPrEx>
        <w:tc>
          <w:tcPr>
            <w:tcW w:w="5575" w:type="dxa"/>
          </w:tcPr>
          <w:p w:rsidR="00A0137C" w:rsidRPr="00CF6642" w:rsidP="00E074C1" w14:paraId="48B2B896" w14:textId="77777777">
            <w:pPr>
              <w:tabs>
                <w:tab w:val="left" w:pos="-720"/>
              </w:tabs>
              <w:suppressAutoHyphens/>
              <w:rPr>
                <w:rFonts w:asciiTheme="minorHAnsi" w:hAnsiTheme="minorHAnsi" w:cstheme="minorHAnsi"/>
              </w:rPr>
            </w:pPr>
            <w:r w:rsidRPr="00CF6642">
              <w:rPr>
                <w:rFonts w:asciiTheme="minorHAnsi" w:hAnsiTheme="minorHAnsi" w:cstheme="minorHAnsi"/>
              </w:rPr>
              <w:t>Professional staff to review and edit reports for dissemination 160 hours at $</w:t>
            </w:r>
            <w:r w:rsidRPr="00CF6642" w:rsidR="00EA21A5">
              <w:rPr>
                <w:rFonts w:asciiTheme="minorHAnsi" w:hAnsiTheme="minorHAnsi" w:cstheme="minorHAnsi"/>
              </w:rPr>
              <w:t>62.4</w:t>
            </w:r>
            <w:r w:rsidRPr="00CF6642" w:rsidR="006E426E">
              <w:rPr>
                <w:rFonts w:asciiTheme="minorHAnsi" w:hAnsiTheme="minorHAnsi" w:cstheme="minorHAnsi"/>
              </w:rPr>
              <w:t>0</w:t>
            </w:r>
            <w:r w:rsidRPr="00CF6642">
              <w:rPr>
                <w:rFonts w:asciiTheme="minorHAnsi" w:hAnsiTheme="minorHAnsi" w:cstheme="minorHAnsi"/>
              </w:rPr>
              <w:t xml:space="preserve"> per hour </w:t>
            </w:r>
          </w:p>
          <w:p w:rsidR="00567C0C" w:rsidRPr="00CF6642" w:rsidP="00E074C1" w14:paraId="0B60304E" w14:textId="77777777">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Overhead (est. at 50%): 160 times $</w:t>
            </w:r>
            <w:r w:rsidRPr="00CF6642" w:rsidR="00EA21A5">
              <w:rPr>
                <w:rFonts w:asciiTheme="minorHAnsi" w:hAnsiTheme="minorHAnsi" w:cstheme="minorHAnsi"/>
              </w:rPr>
              <w:t>31.</w:t>
            </w:r>
            <w:r w:rsidRPr="00CF6642" w:rsidR="00CD41A8">
              <w:rPr>
                <w:rFonts w:asciiTheme="minorHAnsi" w:hAnsiTheme="minorHAnsi" w:cstheme="minorHAnsi"/>
              </w:rPr>
              <w:t>2</w:t>
            </w:r>
            <w:r w:rsidRPr="00CF6642" w:rsidR="006E426E">
              <w:rPr>
                <w:rFonts w:asciiTheme="minorHAnsi" w:hAnsiTheme="minorHAnsi" w:cstheme="minorHAnsi"/>
              </w:rPr>
              <w:t>0</w:t>
            </w:r>
          </w:p>
        </w:tc>
        <w:tc>
          <w:tcPr>
            <w:tcW w:w="2875" w:type="dxa"/>
          </w:tcPr>
          <w:p w:rsidR="00567C0C" w:rsidRPr="00CF6642" w:rsidP="0084130A" w14:paraId="0429E3B3" w14:textId="77777777">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w:t>
            </w:r>
            <w:r w:rsidRPr="00CF6642" w:rsidR="00705B05">
              <w:rPr>
                <w:rStyle w:val="a"/>
                <w:rFonts w:asciiTheme="minorHAnsi" w:hAnsiTheme="minorHAnsi" w:cstheme="minorHAnsi"/>
                <w:b/>
                <w:szCs w:val="24"/>
              </w:rPr>
              <w:t>1</w:t>
            </w:r>
            <w:r w:rsidRPr="00CF6642" w:rsidR="00705B05">
              <w:rPr>
                <w:rStyle w:val="a"/>
                <w:rFonts w:asciiTheme="minorHAnsi" w:hAnsiTheme="minorHAnsi" w:cstheme="minorHAnsi"/>
                <w:b/>
              </w:rPr>
              <w:t>4,976</w:t>
            </w:r>
          </w:p>
        </w:tc>
      </w:tr>
      <w:tr w14:paraId="39E545BD" w14:textId="77777777" w:rsidTr="00567C0C">
        <w:tblPrEx>
          <w:tblW w:w="0" w:type="auto"/>
          <w:tblInd w:w="900" w:type="dxa"/>
          <w:tblLook w:val="04A0"/>
        </w:tblPrEx>
        <w:tc>
          <w:tcPr>
            <w:tcW w:w="5575" w:type="dxa"/>
          </w:tcPr>
          <w:p w:rsidR="00567C0C" w:rsidRPr="00CF6642" w:rsidP="00E074C1" w14:paraId="668C1C01" w14:textId="77777777">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TOTAL FEDERAL COST</w:t>
            </w:r>
          </w:p>
        </w:tc>
        <w:tc>
          <w:tcPr>
            <w:tcW w:w="2875" w:type="dxa"/>
          </w:tcPr>
          <w:p w:rsidR="00567C0C" w:rsidRPr="00CF6642" w:rsidP="0084130A" w14:paraId="281B49A7" w14:textId="77777777">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w:t>
            </w:r>
            <w:r w:rsidRPr="00CF6642" w:rsidR="00CB57A6">
              <w:rPr>
                <w:rStyle w:val="a"/>
                <w:rFonts w:asciiTheme="minorHAnsi" w:hAnsiTheme="minorHAnsi" w:cstheme="minorHAnsi"/>
                <w:b/>
                <w:szCs w:val="24"/>
              </w:rPr>
              <w:t>217,</w:t>
            </w:r>
            <w:r w:rsidRPr="00CF6642" w:rsidR="00234B13">
              <w:rPr>
                <w:rStyle w:val="a"/>
                <w:rFonts w:asciiTheme="minorHAnsi" w:hAnsiTheme="minorHAnsi" w:cstheme="minorHAnsi"/>
                <w:b/>
                <w:szCs w:val="24"/>
              </w:rPr>
              <w:t>4</w:t>
            </w:r>
            <w:r w:rsidRPr="00CF6642" w:rsidR="00234B13">
              <w:rPr>
                <w:rStyle w:val="a"/>
                <w:rFonts w:asciiTheme="minorHAnsi" w:hAnsiTheme="minorHAnsi" w:cstheme="minorHAnsi"/>
                <w:b/>
              </w:rPr>
              <w:t>40</w:t>
            </w:r>
          </w:p>
        </w:tc>
      </w:tr>
    </w:tbl>
    <w:p w:rsidR="00E074C1" w:rsidRPr="00E074C1" w:rsidP="00E074C1" w14:paraId="2BB134BC" w14:textId="77777777">
      <w:pPr>
        <w:tabs>
          <w:tab w:val="left" w:pos="-720"/>
        </w:tabs>
        <w:suppressAutoHyphens/>
        <w:ind w:left="900"/>
        <w:rPr>
          <w:rStyle w:val="a"/>
          <w:rFonts w:ascii="Times New Roman" w:hAnsi="Times New Roman"/>
          <w:b/>
          <w:szCs w:val="24"/>
        </w:rPr>
      </w:pPr>
    </w:p>
    <w:p w:rsidR="00534B4A" w:rsidP="002313E2" w14:paraId="4840D84E" w14:textId="77777777">
      <w:pPr>
        <w:tabs>
          <w:tab w:val="left" w:pos="-720"/>
        </w:tabs>
        <w:suppressAutoHyphens/>
        <w:rPr>
          <w:rFonts w:ascii="Times New Roman" w:hAnsi="Times New Roman"/>
          <w:szCs w:val="24"/>
        </w:rPr>
      </w:pPr>
    </w:p>
    <w:p w:rsidR="00800D30" w:rsidP="002313E2" w14:paraId="7AB6F12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626786" w:rsidP="002313E2" w14:paraId="574EC760" w14:textId="77777777">
      <w:pPr>
        <w:pStyle w:val="ListParagraph"/>
        <w:tabs>
          <w:tab w:val="left" w:pos="-720"/>
        </w:tabs>
        <w:suppressAutoHyphens/>
        <w:contextualSpacing w:val="0"/>
        <w:rPr>
          <w:rFonts w:ascii="Times New Roman" w:hAnsi="Times New Roman"/>
          <w:b/>
          <w:szCs w:val="24"/>
        </w:rPr>
      </w:pPr>
    </w:p>
    <w:p w:rsidR="00800D30" w:rsidRPr="0025190E" w:rsidP="002313E2" w14:paraId="0443961B" w14:textId="77777777">
      <w:pPr>
        <w:pStyle w:val="ListParagraph"/>
        <w:tabs>
          <w:tab w:val="left" w:pos="-720"/>
        </w:tabs>
        <w:suppressAutoHyphens/>
        <w:contextualSpacing w:val="0"/>
        <w:rPr>
          <w:rFonts w:ascii="Times New Roman" w:hAnsi="Times New Roman"/>
          <w:b/>
          <w:szCs w:val="24"/>
        </w:rPr>
      </w:pPr>
      <w:r w:rsidRPr="0025190E">
        <w:rPr>
          <w:rFonts w:ascii="Times New Roman" w:hAnsi="Times New Roman"/>
          <w:b/>
          <w:szCs w:val="24"/>
        </w:rPr>
        <w:t>Provide a descriptive narrative for the reasons of any change in addition to completing the table with the burden hour change(s)</w:t>
      </w:r>
      <w:r w:rsidRPr="0025190E" w:rsidR="002A3221">
        <w:rPr>
          <w:rFonts w:ascii="Times New Roman" w:hAnsi="Times New Roman"/>
          <w:b/>
          <w:szCs w:val="24"/>
        </w:rPr>
        <w:t xml:space="preserve"> here</w:t>
      </w:r>
      <w:r w:rsidRPr="0025190E" w:rsidR="00946126">
        <w:rPr>
          <w:rFonts w:ascii="Times New Roman" w:hAnsi="Times New Roman"/>
          <w:b/>
          <w:szCs w:val="24"/>
        </w:rPr>
        <w:t>.</w:t>
      </w:r>
    </w:p>
    <w:p w:rsidR="00534B4A" w:rsidP="002313E2" w14:paraId="2FE2305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1A5316C6" w14:textId="77777777" w:rsidTr="0052073E">
        <w:tblPrEx>
          <w:tblW w:w="9445" w:type="dxa"/>
          <w:tblLook w:val="04A0"/>
        </w:tblPrEx>
        <w:tc>
          <w:tcPr>
            <w:tcW w:w="2048" w:type="dxa"/>
            <w:shd w:val="clear" w:color="auto" w:fill="D9D9D9" w:themeFill="background1" w:themeFillShade="D9"/>
          </w:tcPr>
          <w:p w:rsidR="0052073E" w:rsidP="002313E2" w14:paraId="1364A191" w14:textId="77777777">
            <w:pPr>
              <w:tabs>
                <w:tab w:val="left" w:pos="-720"/>
              </w:tabs>
              <w:suppressAutoHyphens/>
              <w:rPr>
                <w:rFonts w:ascii="Times New Roman" w:hAnsi="Times New Roman"/>
                <w:b/>
                <w:szCs w:val="24"/>
              </w:rPr>
            </w:pPr>
          </w:p>
        </w:tc>
        <w:tc>
          <w:tcPr>
            <w:tcW w:w="2048" w:type="dxa"/>
          </w:tcPr>
          <w:p w:rsidR="0052073E" w:rsidP="002313E2" w14:paraId="1697011C"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3A1242F3"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699F2B7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F8CEDD" w14:textId="77777777" w:rsidTr="0052073E">
        <w:tblPrEx>
          <w:tblW w:w="9445" w:type="dxa"/>
          <w:tblLook w:val="04A0"/>
        </w:tblPrEx>
        <w:tc>
          <w:tcPr>
            <w:tcW w:w="2048" w:type="dxa"/>
          </w:tcPr>
          <w:p w:rsidR="00660F87" w:rsidP="00660F87" w14:paraId="009D79A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660F87" w:rsidP="00660F87" w14:paraId="3450DFB3" w14:textId="77777777">
            <w:pPr>
              <w:tabs>
                <w:tab w:val="left" w:pos="-720"/>
              </w:tabs>
              <w:suppressAutoHyphens/>
              <w:rPr>
                <w:rFonts w:ascii="Times New Roman" w:hAnsi="Times New Roman"/>
                <w:b/>
                <w:szCs w:val="24"/>
              </w:rPr>
            </w:pPr>
          </w:p>
        </w:tc>
        <w:tc>
          <w:tcPr>
            <w:tcW w:w="2829" w:type="dxa"/>
          </w:tcPr>
          <w:p w:rsidR="00660F87" w:rsidP="00660F87" w14:paraId="1DA29C50" w14:textId="77777777">
            <w:pPr>
              <w:tabs>
                <w:tab w:val="left" w:pos="-720"/>
              </w:tabs>
              <w:suppressAutoHyphens/>
              <w:rPr>
                <w:rFonts w:ascii="Times New Roman" w:hAnsi="Times New Roman"/>
                <w:b/>
                <w:szCs w:val="24"/>
              </w:rPr>
            </w:pPr>
          </w:p>
        </w:tc>
        <w:tc>
          <w:tcPr>
            <w:tcW w:w="2520" w:type="dxa"/>
          </w:tcPr>
          <w:p w:rsidR="00660F87" w:rsidRPr="0025190E" w:rsidP="00660F87" w14:paraId="02537694" w14:textId="77777777">
            <w:pPr>
              <w:tabs>
                <w:tab w:val="left" w:pos="-720"/>
              </w:tabs>
              <w:suppressAutoHyphens/>
              <w:rPr>
                <w:rFonts w:ascii="Times New Roman" w:hAnsi="Times New Roman"/>
                <w:bCs/>
                <w:szCs w:val="24"/>
              </w:rPr>
            </w:pPr>
            <w:r>
              <w:rPr>
                <w:rFonts w:ascii="Times New Roman" w:hAnsi="Times New Roman"/>
                <w:bCs/>
                <w:szCs w:val="24"/>
              </w:rPr>
              <w:t>104</w:t>
            </w:r>
          </w:p>
        </w:tc>
      </w:tr>
      <w:tr w14:paraId="7264ED69" w14:textId="77777777" w:rsidTr="0052073E">
        <w:tblPrEx>
          <w:tblW w:w="9445" w:type="dxa"/>
          <w:tblLook w:val="04A0"/>
        </w:tblPrEx>
        <w:tc>
          <w:tcPr>
            <w:tcW w:w="2048" w:type="dxa"/>
          </w:tcPr>
          <w:p w:rsidR="00660F87" w:rsidP="00660F87" w14:paraId="2224D43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660F87" w:rsidP="00660F87" w14:paraId="79EECFB8" w14:textId="77777777">
            <w:pPr>
              <w:tabs>
                <w:tab w:val="left" w:pos="-720"/>
              </w:tabs>
              <w:suppressAutoHyphens/>
              <w:rPr>
                <w:rFonts w:ascii="Times New Roman" w:hAnsi="Times New Roman"/>
                <w:b/>
                <w:szCs w:val="24"/>
              </w:rPr>
            </w:pPr>
          </w:p>
        </w:tc>
        <w:tc>
          <w:tcPr>
            <w:tcW w:w="2829" w:type="dxa"/>
          </w:tcPr>
          <w:p w:rsidR="00660F87" w:rsidP="00660F87" w14:paraId="59A3C273" w14:textId="77777777">
            <w:pPr>
              <w:tabs>
                <w:tab w:val="left" w:pos="-720"/>
              </w:tabs>
              <w:suppressAutoHyphens/>
              <w:rPr>
                <w:rFonts w:ascii="Times New Roman" w:hAnsi="Times New Roman"/>
                <w:b/>
                <w:szCs w:val="24"/>
              </w:rPr>
            </w:pPr>
          </w:p>
        </w:tc>
        <w:tc>
          <w:tcPr>
            <w:tcW w:w="2520" w:type="dxa"/>
          </w:tcPr>
          <w:p w:rsidR="00660F87" w:rsidRPr="0025190E" w:rsidP="00660F87" w14:paraId="7A67924F" w14:textId="77777777">
            <w:pPr>
              <w:tabs>
                <w:tab w:val="left" w:pos="-720"/>
              </w:tabs>
              <w:suppressAutoHyphens/>
              <w:rPr>
                <w:rFonts w:ascii="Times New Roman" w:hAnsi="Times New Roman"/>
                <w:bCs/>
                <w:szCs w:val="24"/>
              </w:rPr>
            </w:pPr>
            <w:r>
              <w:rPr>
                <w:rFonts w:ascii="Times New Roman" w:hAnsi="Times New Roman"/>
                <w:bCs/>
                <w:szCs w:val="24"/>
              </w:rPr>
              <w:t>13</w:t>
            </w:r>
          </w:p>
        </w:tc>
      </w:tr>
      <w:tr w14:paraId="292F732E" w14:textId="77777777" w:rsidTr="0052073E">
        <w:tblPrEx>
          <w:tblW w:w="9445" w:type="dxa"/>
          <w:tblLook w:val="04A0"/>
        </w:tblPrEx>
        <w:tc>
          <w:tcPr>
            <w:tcW w:w="2048" w:type="dxa"/>
          </w:tcPr>
          <w:p w:rsidR="0052073E" w:rsidP="002313E2" w14:paraId="24F4DA25"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606180CD" w14:textId="77777777">
            <w:pPr>
              <w:tabs>
                <w:tab w:val="left" w:pos="-720"/>
              </w:tabs>
              <w:suppressAutoHyphens/>
              <w:rPr>
                <w:rFonts w:ascii="Times New Roman" w:hAnsi="Times New Roman"/>
                <w:b/>
                <w:szCs w:val="24"/>
              </w:rPr>
            </w:pPr>
          </w:p>
        </w:tc>
        <w:tc>
          <w:tcPr>
            <w:tcW w:w="2829" w:type="dxa"/>
          </w:tcPr>
          <w:p w:rsidR="0052073E" w:rsidP="002313E2" w14:paraId="17971DA1" w14:textId="77777777">
            <w:pPr>
              <w:tabs>
                <w:tab w:val="left" w:pos="-720"/>
              </w:tabs>
              <w:suppressAutoHyphens/>
              <w:rPr>
                <w:rFonts w:ascii="Times New Roman" w:hAnsi="Times New Roman"/>
                <w:b/>
                <w:szCs w:val="24"/>
              </w:rPr>
            </w:pPr>
          </w:p>
        </w:tc>
        <w:tc>
          <w:tcPr>
            <w:tcW w:w="2520" w:type="dxa"/>
          </w:tcPr>
          <w:p w:rsidR="0052073E" w:rsidP="002313E2" w14:paraId="1B586535" w14:textId="77777777">
            <w:pPr>
              <w:tabs>
                <w:tab w:val="left" w:pos="-720"/>
              </w:tabs>
              <w:suppressAutoHyphens/>
              <w:rPr>
                <w:rFonts w:ascii="Times New Roman" w:hAnsi="Times New Roman"/>
                <w:b/>
                <w:szCs w:val="24"/>
              </w:rPr>
            </w:pPr>
          </w:p>
        </w:tc>
      </w:tr>
    </w:tbl>
    <w:p w:rsidR="00534B4A" w:rsidP="002313E2" w14:paraId="1C6265C8" w14:textId="77777777">
      <w:pPr>
        <w:tabs>
          <w:tab w:val="left" w:pos="-720"/>
        </w:tabs>
        <w:suppressAutoHyphens/>
        <w:rPr>
          <w:rFonts w:ascii="Times New Roman" w:hAnsi="Times New Roman"/>
          <w:szCs w:val="24"/>
        </w:rPr>
      </w:pPr>
    </w:p>
    <w:p w:rsidR="006F41E1" w:rsidRPr="00E94521" w:rsidP="006F41E1" w14:paraId="05E77ABC" w14:textId="77777777">
      <w:pPr>
        <w:tabs>
          <w:tab w:val="left" w:pos="-720"/>
        </w:tabs>
        <w:suppressAutoHyphens/>
        <w:ind w:left="720"/>
        <w:rPr>
          <w:rFonts w:asciiTheme="minorHAnsi" w:hAnsiTheme="minorHAnsi" w:cstheme="minorHAnsi"/>
          <w:szCs w:val="24"/>
        </w:rPr>
      </w:pPr>
      <w:r w:rsidRPr="00E94521">
        <w:rPr>
          <w:rFonts w:asciiTheme="minorHAnsi" w:hAnsiTheme="minorHAnsi" w:cstheme="minorHAnsi"/>
          <w:szCs w:val="24"/>
        </w:rPr>
        <w:t xml:space="preserve">The number of respondents (funded grant projects) has increased by </w:t>
      </w:r>
      <w:r w:rsidRPr="00E94521" w:rsidR="00727854">
        <w:rPr>
          <w:rFonts w:asciiTheme="minorHAnsi" w:hAnsiTheme="minorHAnsi" w:cstheme="minorHAnsi"/>
          <w:szCs w:val="24"/>
        </w:rPr>
        <w:t>1</w:t>
      </w:r>
      <w:r w:rsidRPr="00E94521" w:rsidR="003E6853">
        <w:rPr>
          <w:rFonts w:asciiTheme="minorHAnsi" w:hAnsiTheme="minorHAnsi" w:cstheme="minorHAnsi"/>
          <w:szCs w:val="24"/>
        </w:rPr>
        <w:t>3</w:t>
      </w:r>
      <w:r w:rsidRPr="00E94521" w:rsidR="00727854">
        <w:rPr>
          <w:rFonts w:asciiTheme="minorHAnsi" w:hAnsiTheme="minorHAnsi" w:cstheme="minorHAnsi"/>
          <w:szCs w:val="24"/>
        </w:rPr>
        <w:t xml:space="preserve"> </w:t>
      </w:r>
      <w:r w:rsidRPr="00E94521">
        <w:rPr>
          <w:rFonts w:asciiTheme="minorHAnsi" w:hAnsiTheme="minorHAnsi" w:cstheme="minorHAnsi"/>
          <w:szCs w:val="24"/>
        </w:rPr>
        <w:t xml:space="preserve">from </w:t>
      </w:r>
      <w:r w:rsidRPr="00E94521" w:rsidR="003E6853">
        <w:rPr>
          <w:rFonts w:asciiTheme="minorHAnsi" w:hAnsiTheme="minorHAnsi" w:cstheme="minorHAnsi"/>
          <w:szCs w:val="24"/>
        </w:rPr>
        <w:t xml:space="preserve">170 </w:t>
      </w:r>
      <w:r w:rsidRPr="00E94521">
        <w:rPr>
          <w:rFonts w:asciiTheme="minorHAnsi" w:hAnsiTheme="minorHAnsi" w:cstheme="minorHAnsi"/>
          <w:szCs w:val="24"/>
        </w:rPr>
        <w:t xml:space="preserve">to </w:t>
      </w:r>
      <w:r w:rsidRPr="00E94521" w:rsidR="003E6853">
        <w:rPr>
          <w:rFonts w:asciiTheme="minorHAnsi" w:hAnsiTheme="minorHAnsi" w:cstheme="minorHAnsi"/>
          <w:szCs w:val="24"/>
        </w:rPr>
        <w:t>183</w:t>
      </w:r>
      <w:r w:rsidRPr="00E94521" w:rsidR="008A0D54">
        <w:rPr>
          <w:rFonts w:asciiTheme="minorHAnsi" w:hAnsiTheme="minorHAnsi" w:cstheme="minorHAnsi"/>
          <w:szCs w:val="24"/>
        </w:rPr>
        <w:t>, and total burden has increased accordingly</w:t>
      </w:r>
      <w:r w:rsidRPr="00E94521" w:rsidR="00234065">
        <w:rPr>
          <w:rFonts w:asciiTheme="minorHAnsi" w:hAnsiTheme="minorHAnsi" w:cstheme="minorHAnsi"/>
          <w:szCs w:val="24"/>
        </w:rPr>
        <w:t xml:space="preserve">. The estimated labor hour costs for a project director </w:t>
      </w:r>
      <w:r w:rsidRPr="00E94521" w:rsidR="00494AD5">
        <w:rPr>
          <w:rFonts w:asciiTheme="minorHAnsi" w:hAnsiTheme="minorHAnsi" w:cstheme="minorHAnsi"/>
          <w:szCs w:val="24"/>
        </w:rPr>
        <w:t>remain at</w:t>
      </w:r>
      <w:r w:rsidRPr="00E94521" w:rsidR="00811296">
        <w:rPr>
          <w:rFonts w:asciiTheme="minorHAnsi" w:hAnsiTheme="minorHAnsi" w:cstheme="minorHAnsi"/>
          <w:szCs w:val="24"/>
        </w:rPr>
        <w:t xml:space="preserve"> $42 per hour. </w:t>
      </w:r>
      <w:r w:rsidRPr="00E94521" w:rsidR="004E6653">
        <w:rPr>
          <w:rFonts w:asciiTheme="minorHAnsi" w:hAnsiTheme="minorHAnsi" w:cstheme="minorHAnsi"/>
          <w:szCs w:val="24"/>
        </w:rPr>
        <w:t xml:space="preserve">The total costs for clerical staff </w:t>
      </w:r>
      <w:r w:rsidRPr="00E94521" w:rsidR="00C672B3">
        <w:rPr>
          <w:rFonts w:asciiTheme="minorHAnsi" w:hAnsiTheme="minorHAnsi" w:cstheme="minorHAnsi"/>
          <w:szCs w:val="24"/>
        </w:rPr>
        <w:t>remain</w:t>
      </w:r>
      <w:r w:rsidRPr="00E94521" w:rsidR="003E3933">
        <w:rPr>
          <w:rFonts w:asciiTheme="minorHAnsi" w:hAnsiTheme="minorHAnsi" w:cstheme="minorHAnsi"/>
          <w:szCs w:val="24"/>
        </w:rPr>
        <w:t xml:space="preserve"> at</w:t>
      </w:r>
      <w:r w:rsidRPr="00E94521" w:rsidR="004E6653">
        <w:rPr>
          <w:rFonts w:asciiTheme="minorHAnsi" w:hAnsiTheme="minorHAnsi" w:cstheme="minorHAnsi"/>
          <w:szCs w:val="24"/>
        </w:rPr>
        <w:t xml:space="preserve"> $23 per hour.</w:t>
      </w:r>
    </w:p>
    <w:p w:rsidR="006F41E1" w:rsidRPr="00CF6642" w:rsidP="002313E2" w14:paraId="1C5C1FF1" w14:textId="77777777">
      <w:pPr>
        <w:tabs>
          <w:tab w:val="left" w:pos="-720"/>
        </w:tabs>
        <w:suppressAutoHyphens/>
        <w:rPr>
          <w:rFonts w:asciiTheme="minorHAnsi" w:hAnsiTheme="minorHAnsi" w:cstheme="minorHAnsi"/>
          <w:szCs w:val="24"/>
        </w:rPr>
      </w:pPr>
    </w:p>
    <w:p w:rsidR="00960D07" w:rsidRPr="003A03E4" w:rsidP="00960D07" w14:paraId="15422962" w14:textId="77777777">
      <w:pPr>
        <w:pStyle w:val="ListParagraph"/>
        <w:suppressAutoHyphens/>
        <w:contextualSpacing w:val="0"/>
        <w:rPr>
          <w:rFonts w:asciiTheme="minorHAnsi" w:hAnsiTheme="minorHAnsi" w:cstheme="minorHAnsi"/>
          <w:szCs w:val="24"/>
        </w:rPr>
      </w:pPr>
      <w:r>
        <w:rPr>
          <w:rFonts w:asciiTheme="minorHAnsi" w:hAnsiTheme="minorHAnsi" w:cstheme="minorHAnsi"/>
          <w:szCs w:val="24"/>
        </w:rPr>
        <w:t xml:space="preserve">In addition, the APR has been revised to replace </w:t>
      </w:r>
      <w:r w:rsidRPr="003A03E4">
        <w:rPr>
          <w:rFonts w:asciiTheme="minorHAnsi" w:hAnsiTheme="minorHAnsi" w:cstheme="minorHAnsi"/>
          <w:szCs w:val="24"/>
        </w:rPr>
        <w:t xml:space="preserve">CPP questions with new CPP questions of equal response time. </w:t>
      </w:r>
    </w:p>
    <w:p w:rsidR="003C715C" w:rsidRPr="003A03E4" w:rsidP="002313E2" w14:paraId="263A5D5C" w14:textId="77777777">
      <w:pPr>
        <w:tabs>
          <w:tab w:val="left" w:pos="-720"/>
        </w:tabs>
        <w:suppressAutoHyphens/>
        <w:rPr>
          <w:rFonts w:asciiTheme="minorHAnsi" w:hAnsiTheme="minorHAnsi" w:cstheme="minorHAnsi"/>
          <w:szCs w:val="24"/>
        </w:rPr>
      </w:pPr>
    </w:p>
    <w:p w:rsidR="00F6725A" w:rsidP="00F6725A" w14:paraId="0FFACC39" w14:textId="77777777">
      <w:pPr>
        <w:pStyle w:val="ListParagraph"/>
        <w:suppressAutoHyphens/>
        <w:contextualSpacing w:val="0"/>
        <w:rPr>
          <w:rFonts w:asciiTheme="minorHAnsi" w:hAnsiTheme="minorHAnsi" w:cstheme="minorHAnsi"/>
          <w:color w:val="FF0000"/>
          <w:szCs w:val="24"/>
        </w:rPr>
      </w:pPr>
      <w:r w:rsidRPr="00A93F1A">
        <w:rPr>
          <w:rFonts w:asciiTheme="minorHAnsi" w:hAnsiTheme="minorHAnsi" w:cstheme="minorHAnsi"/>
          <w:color w:val="FF0000"/>
          <w:szCs w:val="24"/>
        </w:rPr>
        <w:t>3/17/25:</w:t>
      </w:r>
    </w:p>
    <w:p w:rsidR="00342CB3" w:rsidRPr="00342CB3" w:rsidP="00342CB3" w14:paraId="5CCB41F6" w14:textId="77777777">
      <w:pPr>
        <w:tabs>
          <w:tab w:val="left" w:pos="-720"/>
        </w:tabs>
        <w:suppressAutoHyphens/>
        <w:rPr>
          <w:rFonts w:asciiTheme="minorHAnsi" w:hAnsiTheme="minorHAnsi" w:cstheme="minorHAnsi"/>
          <w:b/>
          <w:color w:val="FF0000"/>
          <w:szCs w:val="24"/>
        </w:rPr>
      </w:pPr>
    </w:p>
    <w:tbl>
      <w:tblPr>
        <w:tblStyle w:val="TableGrid"/>
        <w:tblW w:w="9445" w:type="dxa"/>
        <w:tblLook w:val="04A0"/>
      </w:tblPr>
      <w:tblGrid>
        <w:gridCol w:w="2048"/>
        <w:gridCol w:w="2048"/>
        <w:gridCol w:w="2829"/>
        <w:gridCol w:w="2520"/>
      </w:tblGrid>
      <w:tr w14:paraId="67C5C84D" w14:textId="77777777" w:rsidTr="0064059C">
        <w:tblPrEx>
          <w:tblW w:w="9445" w:type="dxa"/>
          <w:tblLook w:val="04A0"/>
        </w:tblPrEx>
        <w:tc>
          <w:tcPr>
            <w:tcW w:w="2048" w:type="dxa"/>
            <w:shd w:val="clear" w:color="auto" w:fill="D9D9D9" w:themeFill="background1" w:themeFillShade="D9"/>
          </w:tcPr>
          <w:p w:rsidR="00342CB3" w:rsidRPr="00342CB3" w:rsidP="0064059C" w14:paraId="7CAE6C7B" w14:textId="77777777">
            <w:pPr>
              <w:tabs>
                <w:tab w:val="left" w:pos="-720"/>
              </w:tabs>
              <w:suppressAutoHyphens/>
              <w:rPr>
                <w:rFonts w:asciiTheme="minorHAnsi" w:hAnsiTheme="minorHAnsi" w:cstheme="minorHAnsi"/>
                <w:b/>
                <w:color w:val="FF0000"/>
                <w:szCs w:val="24"/>
              </w:rPr>
            </w:pPr>
          </w:p>
        </w:tc>
        <w:tc>
          <w:tcPr>
            <w:tcW w:w="2048" w:type="dxa"/>
          </w:tcPr>
          <w:p w:rsidR="00342CB3" w:rsidRPr="00342CB3" w:rsidP="0064059C" w14:paraId="4A849D06" w14:textId="77777777">
            <w:pPr>
              <w:tabs>
                <w:tab w:val="left" w:pos="-720"/>
              </w:tabs>
              <w:suppressAutoHyphens/>
              <w:rPr>
                <w:rFonts w:asciiTheme="minorHAnsi" w:hAnsiTheme="minorHAnsi" w:cstheme="minorHAnsi"/>
                <w:b/>
                <w:color w:val="FF0000"/>
                <w:szCs w:val="24"/>
              </w:rPr>
            </w:pPr>
            <w:r w:rsidRPr="00342CB3">
              <w:rPr>
                <w:rFonts w:asciiTheme="minorHAnsi" w:hAnsiTheme="minorHAnsi" w:cstheme="minorHAnsi"/>
                <w:b/>
                <w:color w:val="FF0000"/>
                <w:szCs w:val="24"/>
              </w:rPr>
              <w:t>Program Change Due to New Statute</w:t>
            </w:r>
          </w:p>
        </w:tc>
        <w:tc>
          <w:tcPr>
            <w:tcW w:w="2829" w:type="dxa"/>
          </w:tcPr>
          <w:p w:rsidR="00342CB3" w:rsidRPr="00342CB3" w:rsidP="0064059C" w14:paraId="5C88D036" w14:textId="77777777">
            <w:pPr>
              <w:tabs>
                <w:tab w:val="left" w:pos="-720"/>
              </w:tabs>
              <w:suppressAutoHyphens/>
              <w:rPr>
                <w:rFonts w:asciiTheme="minorHAnsi" w:hAnsiTheme="minorHAnsi" w:cstheme="minorHAnsi"/>
                <w:b/>
                <w:color w:val="FF0000"/>
                <w:szCs w:val="24"/>
              </w:rPr>
            </w:pPr>
            <w:r w:rsidRPr="00342CB3">
              <w:rPr>
                <w:rFonts w:asciiTheme="minorHAnsi" w:hAnsiTheme="minorHAnsi" w:cstheme="minorHAnsi"/>
                <w:b/>
                <w:color w:val="FF0000"/>
                <w:szCs w:val="24"/>
              </w:rPr>
              <w:t>Program Change Due to Agency Discretion</w:t>
            </w:r>
          </w:p>
        </w:tc>
        <w:tc>
          <w:tcPr>
            <w:tcW w:w="2520" w:type="dxa"/>
          </w:tcPr>
          <w:p w:rsidR="00342CB3" w:rsidRPr="00342CB3" w:rsidP="0064059C" w14:paraId="07A88A14" w14:textId="77777777">
            <w:pPr>
              <w:tabs>
                <w:tab w:val="left" w:pos="-720"/>
              </w:tabs>
              <w:suppressAutoHyphens/>
              <w:rPr>
                <w:rFonts w:asciiTheme="minorHAnsi" w:hAnsiTheme="minorHAnsi" w:cstheme="minorHAnsi"/>
                <w:b/>
                <w:color w:val="FF0000"/>
                <w:szCs w:val="24"/>
              </w:rPr>
            </w:pPr>
            <w:r w:rsidRPr="00342CB3">
              <w:rPr>
                <w:rFonts w:asciiTheme="minorHAnsi" w:hAnsiTheme="minorHAnsi" w:cstheme="minorHAnsi"/>
                <w:b/>
                <w:color w:val="FF0000"/>
                <w:szCs w:val="24"/>
              </w:rPr>
              <w:t>Change Due to Adjustment in Agency Estimate</w:t>
            </w:r>
          </w:p>
        </w:tc>
      </w:tr>
      <w:tr w14:paraId="1C920E70" w14:textId="77777777" w:rsidTr="0064059C">
        <w:tblPrEx>
          <w:tblW w:w="9445" w:type="dxa"/>
          <w:tblLook w:val="04A0"/>
        </w:tblPrEx>
        <w:tc>
          <w:tcPr>
            <w:tcW w:w="2048" w:type="dxa"/>
          </w:tcPr>
          <w:p w:rsidR="00342CB3" w:rsidRPr="00342CB3" w:rsidP="0064059C" w14:paraId="29A2242A" w14:textId="77777777">
            <w:pPr>
              <w:tabs>
                <w:tab w:val="left" w:pos="-720"/>
              </w:tabs>
              <w:suppressAutoHyphens/>
              <w:rPr>
                <w:rFonts w:asciiTheme="minorHAnsi" w:hAnsiTheme="minorHAnsi" w:cstheme="minorHAnsi"/>
                <w:b/>
                <w:color w:val="FF0000"/>
                <w:szCs w:val="24"/>
              </w:rPr>
            </w:pPr>
            <w:r w:rsidRPr="00342CB3">
              <w:rPr>
                <w:rFonts w:asciiTheme="minorHAnsi" w:hAnsiTheme="minorHAnsi" w:cstheme="minorHAnsi"/>
                <w:b/>
                <w:color w:val="FF0000"/>
                <w:szCs w:val="24"/>
              </w:rPr>
              <w:t>Total Burden</w:t>
            </w:r>
          </w:p>
        </w:tc>
        <w:tc>
          <w:tcPr>
            <w:tcW w:w="2048" w:type="dxa"/>
          </w:tcPr>
          <w:p w:rsidR="00342CB3" w:rsidRPr="00342CB3" w:rsidP="0064059C" w14:paraId="4C523234" w14:textId="77777777">
            <w:pPr>
              <w:tabs>
                <w:tab w:val="left" w:pos="-720"/>
              </w:tabs>
              <w:suppressAutoHyphens/>
              <w:rPr>
                <w:rFonts w:asciiTheme="minorHAnsi" w:hAnsiTheme="minorHAnsi" w:cstheme="minorHAnsi"/>
                <w:b/>
                <w:color w:val="FF0000"/>
                <w:szCs w:val="24"/>
              </w:rPr>
            </w:pPr>
          </w:p>
        </w:tc>
        <w:tc>
          <w:tcPr>
            <w:tcW w:w="2829" w:type="dxa"/>
          </w:tcPr>
          <w:p w:rsidR="00342CB3" w:rsidRPr="00342CB3" w:rsidP="0064059C" w14:paraId="085CD1A8" w14:textId="77777777">
            <w:pPr>
              <w:tabs>
                <w:tab w:val="left" w:pos="-720"/>
              </w:tabs>
              <w:suppressAutoHyphens/>
              <w:rPr>
                <w:rFonts w:asciiTheme="minorHAnsi" w:hAnsiTheme="minorHAnsi" w:cstheme="minorHAnsi"/>
                <w:bCs/>
                <w:color w:val="FF0000"/>
                <w:szCs w:val="24"/>
              </w:rPr>
            </w:pPr>
          </w:p>
        </w:tc>
        <w:tc>
          <w:tcPr>
            <w:tcW w:w="2520" w:type="dxa"/>
          </w:tcPr>
          <w:p w:rsidR="00342CB3" w:rsidRPr="00342CB3" w:rsidP="0064059C" w14:paraId="6BE3C88F" w14:textId="77777777">
            <w:pPr>
              <w:tabs>
                <w:tab w:val="left" w:pos="-720"/>
              </w:tabs>
              <w:suppressAutoHyphens/>
              <w:rPr>
                <w:rFonts w:asciiTheme="minorHAnsi" w:hAnsiTheme="minorHAnsi" w:cstheme="minorHAnsi"/>
                <w:bCs/>
                <w:color w:val="FF0000"/>
                <w:szCs w:val="24"/>
              </w:rPr>
            </w:pPr>
            <w:r w:rsidRPr="00342CB3">
              <w:rPr>
                <w:rFonts w:asciiTheme="minorHAnsi" w:hAnsiTheme="minorHAnsi" w:cstheme="minorHAnsi"/>
                <w:bCs/>
                <w:color w:val="FF0000"/>
                <w:szCs w:val="24"/>
              </w:rPr>
              <w:t>-16</w:t>
            </w:r>
          </w:p>
        </w:tc>
      </w:tr>
      <w:tr w14:paraId="6D3C2FBF" w14:textId="77777777" w:rsidTr="0064059C">
        <w:tblPrEx>
          <w:tblW w:w="9445" w:type="dxa"/>
          <w:tblLook w:val="04A0"/>
        </w:tblPrEx>
        <w:tc>
          <w:tcPr>
            <w:tcW w:w="2048" w:type="dxa"/>
          </w:tcPr>
          <w:p w:rsidR="00342CB3" w:rsidRPr="00342CB3" w:rsidP="0064059C" w14:paraId="2A409529" w14:textId="77777777">
            <w:pPr>
              <w:tabs>
                <w:tab w:val="left" w:pos="-720"/>
              </w:tabs>
              <w:suppressAutoHyphens/>
              <w:rPr>
                <w:rFonts w:asciiTheme="minorHAnsi" w:hAnsiTheme="minorHAnsi" w:cstheme="minorHAnsi"/>
                <w:b/>
                <w:color w:val="FF0000"/>
                <w:szCs w:val="24"/>
              </w:rPr>
            </w:pPr>
            <w:r w:rsidRPr="00342CB3">
              <w:rPr>
                <w:rFonts w:asciiTheme="minorHAnsi" w:hAnsiTheme="minorHAnsi" w:cstheme="minorHAnsi"/>
                <w:b/>
                <w:color w:val="FF0000"/>
                <w:szCs w:val="24"/>
              </w:rPr>
              <w:t>Total Responses</w:t>
            </w:r>
          </w:p>
        </w:tc>
        <w:tc>
          <w:tcPr>
            <w:tcW w:w="2048" w:type="dxa"/>
          </w:tcPr>
          <w:p w:rsidR="00342CB3" w:rsidRPr="00342CB3" w:rsidP="0064059C" w14:paraId="0AA721C3" w14:textId="77777777">
            <w:pPr>
              <w:tabs>
                <w:tab w:val="left" w:pos="-720"/>
              </w:tabs>
              <w:suppressAutoHyphens/>
              <w:rPr>
                <w:rFonts w:asciiTheme="minorHAnsi" w:hAnsiTheme="minorHAnsi" w:cstheme="minorHAnsi"/>
                <w:b/>
                <w:color w:val="FF0000"/>
                <w:szCs w:val="24"/>
              </w:rPr>
            </w:pPr>
          </w:p>
        </w:tc>
        <w:tc>
          <w:tcPr>
            <w:tcW w:w="2829" w:type="dxa"/>
          </w:tcPr>
          <w:p w:rsidR="00342CB3" w:rsidRPr="00342CB3" w:rsidP="0064059C" w14:paraId="48C6DD7A" w14:textId="77777777">
            <w:pPr>
              <w:tabs>
                <w:tab w:val="left" w:pos="-720"/>
              </w:tabs>
              <w:suppressAutoHyphens/>
              <w:rPr>
                <w:rFonts w:asciiTheme="minorHAnsi" w:hAnsiTheme="minorHAnsi" w:cstheme="minorHAnsi"/>
                <w:b/>
                <w:color w:val="FF0000"/>
                <w:szCs w:val="24"/>
              </w:rPr>
            </w:pPr>
          </w:p>
        </w:tc>
        <w:tc>
          <w:tcPr>
            <w:tcW w:w="2520" w:type="dxa"/>
          </w:tcPr>
          <w:p w:rsidR="00342CB3" w:rsidRPr="00342CB3" w:rsidP="0064059C" w14:paraId="102B6E89" w14:textId="77777777">
            <w:pPr>
              <w:tabs>
                <w:tab w:val="left" w:pos="-720"/>
              </w:tabs>
              <w:suppressAutoHyphens/>
              <w:rPr>
                <w:rFonts w:asciiTheme="minorHAnsi" w:hAnsiTheme="minorHAnsi" w:cstheme="minorHAnsi"/>
                <w:bCs/>
                <w:color w:val="FF0000"/>
                <w:szCs w:val="24"/>
              </w:rPr>
            </w:pPr>
            <w:r w:rsidRPr="00342CB3">
              <w:rPr>
                <w:rFonts w:asciiTheme="minorHAnsi" w:hAnsiTheme="minorHAnsi" w:cstheme="minorHAnsi"/>
                <w:bCs/>
                <w:color w:val="FF0000"/>
                <w:szCs w:val="24"/>
              </w:rPr>
              <w:t>-2</w:t>
            </w:r>
          </w:p>
        </w:tc>
      </w:tr>
      <w:tr w14:paraId="08AD369C" w14:textId="77777777" w:rsidTr="0064059C">
        <w:tblPrEx>
          <w:tblW w:w="9445" w:type="dxa"/>
          <w:tblLook w:val="04A0"/>
        </w:tblPrEx>
        <w:tc>
          <w:tcPr>
            <w:tcW w:w="2048" w:type="dxa"/>
          </w:tcPr>
          <w:p w:rsidR="00342CB3" w:rsidRPr="00342CB3" w:rsidP="0064059C" w14:paraId="39009225" w14:textId="77777777">
            <w:pPr>
              <w:tabs>
                <w:tab w:val="left" w:pos="-720"/>
              </w:tabs>
              <w:suppressAutoHyphens/>
              <w:rPr>
                <w:rFonts w:asciiTheme="minorHAnsi" w:hAnsiTheme="minorHAnsi" w:cstheme="minorHAnsi"/>
                <w:b/>
                <w:color w:val="FF0000"/>
                <w:szCs w:val="24"/>
              </w:rPr>
            </w:pPr>
            <w:r w:rsidRPr="00342CB3">
              <w:rPr>
                <w:rFonts w:asciiTheme="minorHAnsi" w:hAnsiTheme="minorHAnsi" w:cstheme="minorHAnsi"/>
                <w:b/>
                <w:color w:val="FF0000"/>
                <w:szCs w:val="24"/>
              </w:rPr>
              <w:t>Total Costs (if applicable)</w:t>
            </w:r>
          </w:p>
        </w:tc>
        <w:tc>
          <w:tcPr>
            <w:tcW w:w="2048" w:type="dxa"/>
          </w:tcPr>
          <w:p w:rsidR="00342CB3" w:rsidRPr="00342CB3" w:rsidP="0064059C" w14:paraId="65F374AC" w14:textId="77777777">
            <w:pPr>
              <w:tabs>
                <w:tab w:val="left" w:pos="-720"/>
              </w:tabs>
              <w:suppressAutoHyphens/>
              <w:rPr>
                <w:rFonts w:asciiTheme="minorHAnsi" w:hAnsiTheme="minorHAnsi" w:cstheme="minorHAnsi"/>
                <w:b/>
                <w:color w:val="FF0000"/>
                <w:szCs w:val="24"/>
              </w:rPr>
            </w:pPr>
          </w:p>
        </w:tc>
        <w:tc>
          <w:tcPr>
            <w:tcW w:w="2829" w:type="dxa"/>
          </w:tcPr>
          <w:p w:rsidR="00342CB3" w:rsidRPr="00342CB3" w:rsidP="0064059C" w14:paraId="47CFE584" w14:textId="77777777">
            <w:pPr>
              <w:tabs>
                <w:tab w:val="left" w:pos="-720"/>
              </w:tabs>
              <w:suppressAutoHyphens/>
              <w:rPr>
                <w:rFonts w:asciiTheme="minorHAnsi" w:hAnsiTheme="minorHAnsi" w:cstheme="minorHAnsi"/>
                <w:b/>
                <w:color w:val="FF0000"/>
                <w:szCs w:val="24"/>
              </w:rPr>
            </w:pPr>
          </w:p>
        </w:tc>
        <w:tc>
          <w:tcPr>
            <w:tcW w:w="2520" w:type="dxa"/>
          </w:tcPr>
          <w:p w:rsidR="00342CB3" w:rsidRPr="00342CB3" w:rsidP="0064059C" w14:paraId="0DA4DC89" w14:textId="77777777">
            <w:pPr>
              <w:tabs>
                <w:tab w:val="left" w:pos="-720"/>
              </w:tabs>
              <w:suppressAutoHyphens/>
              <w:rPr>
                <w:rFonts w:asciiTheme="minorHAnsi" w:hAnsiTheme="minorHAnsi" w:cstheme="minorHAnsi"/>
                <w:b/>
                <w:color w:val="FF0000"/>
                <w:szCs w:val="24"/>
              </w:rPr>
            </w:pPr>
          </w:p>
        </w:tc>
      </w:tr>
    </w:tbl>
    <w:p w:rsidR="00342CB3" w:rsidRPr="00342CB3" w:rsidP="00342CB3" w14:paraId="7814B30B" w14:textId="77777777">
      <w:pPr>
        <w:tabs>
          <w:tab w:val="left" w:pos="-720"/>
        </w:tabs>
        <w:suppressAutoHyphens/>
        <w:rPr>
          <w:rFonts w:asciiTheme="minorHAnsi" w:hAnsiTheme="minorHAnsi" w:cstheme="minorHAnsi"/>
          <w:color w:val="FF0000"/>
          <w:szCs w:val="24"/>
        </w:rPr>
      </w:pPr>
    </w:p>
    <w:p w:rsidR="00342CB3" w:rsidRPr="00342CB3" w:rsidP="00342CB3" w14:paraId="4D25ABED" w14:textId="77777777">
      <w:pPr>
        <w:tabs>
          <w:tab w:val="left" w:pos="-720"/>
        </w:tabs>
        <w:suppressAutoHyphens/>
        <w:ind w:left="720"/>
        <w:rPr>
          <w:rFonts w:asciiTheme="minorHAnsi" w:hAnsiTheme="minorHAnsi" w:cstheme="minorHAnsi"/>
          <w:color w:val="FF0000"/>
          <w:szCs w:val="24"/>
        </w:rPr>
      </w:pPr>
      <w:r w:rsidRPr="00342CB3">
        <w:rPr>
          <w:rFonts w:asciiTheme="minorHAnsi" w:hAnsiTheme="minorHAnsi" w:cstheme="minorHAnsi"/>
          <w:color w:val="FF0000"/>
          <w:szCs w:val="24"/>
        </w:rPr>
        <w:t>The number of respondents (funded grant projects) has decreased by 2 from 183 to 181, and total burden has decreased accordingly. The estimated labor hour costs for a project director remain at $42 per hour. The total costs for clerical staff remain at $23 per hour.</w:t>
      </w:r>
    </w:p>
    <w:p w:rsidR="00F1697D" w:rsidRPr="00534B4A" w:rsidP="002313E2" w14:paraId="281C5436" w14:textId="77777777">
      <w:pPr>
        <w:tabs>
          <w:tab w:val="left" w:pos="-720"/>
        </w:tabs>
        <w:suppressAutoHyphens/>
        <w:rPr>
          <w:rFonts w:ascii="Times New Roman" w:hAnsi="Times New Roman"/>
          <w:szCs w:val="24"/>
        </w:rPr>
      </w:pPr>
    </w:p>
    <w:p w:rsidR="00043C32" w:rsidP="002313E2" w14:paraId="61D76186"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1EC53D94" w14:textId="77777777">
      <w:pPr>
        <w:tabs>
          <w:tab w:val="left" w:pos="-720"/>
        </w:tabs>
        <w:suppressAutoHyphens/>
        <w:rPr>
          <w:rFonts w:ascii="Times New Roman" w:hAnsi="Times New Roman"/>
          <w:szCs w:val="24"/>
        </w:rPr>
      </w:pPr>
    </w:p>
    <w:p w:rsidR="00EA2FB0" w:rsidRPr="00541F86" w:rsidP="009B57A2" w14:paraId="0FD81FD3" w14:textId="77777777">
      <w:pPr>
        <w:tabs>
          <w:tab w:val="left" w:pos="-720"/>
        </w:tabs>
        <w:suppressAutoHyphens/>
        <w:ind w:left="806"/>
        <w:rPr>
          <w:rFonts w:asciiTheme="minorHAnsi" w:hAnsiTheme="minorHAnsi" w:cstheme="minorHAnsi"/>
          <w:szCs w:val="24"/>
        </w:rPr>
      </w:pPr>
      <w:r w:rsidRPr="00541F86">
        <w:rPr>
          <w:rFonts w:asciiTheme="minorHAnsi" w:hAnsiTheme="minorHAnsi" w:cstheme="minorHAnsi"/>
        </w:rPr>
        <w:t>Collected information will be analyzed annually to determine if each grantee is meeting its approved goals and objectives and to award prior experience points. Performance</w:t>
      </w:r>
      <w:r w:rsidRPr="00541F86" w:rsidR="00FF448F">
        <w:rPr>
          <w:rFonts w:asciiTheme="minorHAnsi" w:hAnsiTheme="minorHAnsi" w:cstheme="minorHAnsi"/>
        </w:rPr>
        <w:t xml:space="preserve"> measures and efficiency measures for the EOC program, based on data conveyed in grantees' annual performance reports, are disseminated in the Department's Annual Program Performance Plan. In addition, the Department's Web site </w:t>
      </w:r>
      <w:r w:rsidRPr="00541F86" w:rsidR="00B858CC">
        <w:rPr>
          <w:rFonts w:asciiTheme="minorHAnsi" w:hAnsiTheme="minorHAnsi" w:cstheme="minorHAnsi"/>
        </w:rPr>
        <w:t xml:space="preserve">will </w:t>
      </w:r>
      <w:r w:rsidRPr="00541F86" w:rsidR="00FF448F">
        <w:rPr>
          <w:rFonts w:asciiTheme="minorHAnsi" w:hAnsiTheme="minorHAnsi" w:cstheme="minorHAnsi"/>
        </w:rPr>
        <w:t>provide data on performance and efficiency measure</w:t>
      </w:r>
      <w:r w:rsidRPr="00541F86" w:rsidR="00B858CC">
        <w:rPr>
          <w:rFonts w:asciiTheme="minorHAnsi" w:hAnsiTheme="minorHAnsi" w:cstheme="minorHAnsi"/>
        </w:rPr>
        <w:t>s</w:t>
      </w:r>
      <w:r w:rsidRPr="00541F86" w:rsidR="00FF448F">
        <w:rPr>
          <w:rFonts w:asciiTheme="minorHAnsi" w:hAnsiTheme="minorHAnsi" w:cstheme="minorHAnsi"/>
        </w:rPr>
        <w:t>; this more detailed reporting has been made possible due to improvements in accuracy resulting from incorporating the standard objectives into the report form</w:t>
      </w:r>
      <w:r w:rsidRPr="00541F86" w:rsidR="00CC0EBB">
        <w:rPr>
          <w:rFonts w:asciiTheme="minorHAnsi" w:hAnsiTheme="minorHAnsi" w:cstheme="minorHAnsi"/>
        </w:rPr>
        <w:t>.</w:t>
      </w:r>
    </w:p>
    <w:p w:rsidR="00EA2FB0" w:rsidRPr="00541F86" w:rsidP="002313E2" w14:paraId="714998F2" w14:textId="77777777">
      <w:pPr>
        <w:tabs>
          <w:tab w:val="left" w:pos="-720"/>
        </w:tabs>
        <w:suppressAutoHyphens/>
        <w:rPr>
          <w:rFonts w:asciiTheme="minorHAnsi" w:hAnsiTheme="minorHAnsi" w:cstheme="minorHAnsi"/>
          <w:szCs w:val="24"/>
        </w:rPr>
      </w:pPr>
    </w:p>
    <w:p w:rsidR="00534B4A" w:rsidRPr="00534B4A" w:rsidP="002313E2" w14:paraId="2F7D7E11" w14:textId="77777777">
      <w:pPr>
        <w:tabs>
          <w:tab w:val="left" w:pos="-720"/>
        </w:tabs>
        <w:suppressAutoHyphens/>
        <w:rPr>
          <w:rFonts w:ascii="Times New Roman" w:hAnsi="Times New Roman"/>
          <w:szCs w:val="24"/>
        </w:rPr>
      </w:pPr>
    </w:p>
    <w:p w:rsidR="00043C32" w:rsidP="002313E2" w14:paraId="7C5A1948"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22520A" w:rsidP="0022520A" w14:paraId="2788C775" w14:textId="77777777">
      <w:pPr>
        <w:tabs>
          <w:tab w:val="left" w:pos="-720"/>
        </w:tabs>
        <w:suppressAutoHyphens/>
        <w:rPr>
          <w:rStyle w:val="a"/>
          <w:rFonts w:ascii="Times New Roman" w:hAnsi="Times New Roman"/>
          <w:b/>
          <w:szCs w:val="24"/>
        </w:rPr>
      </w:pPr>
    </w:p>
    <w:p w:rsidR="0022520A" w:rsidRPr="00541F86" w:rsidP="0022520A" w14:paraId="4558A759" w14:textId="77777777">
      <w:pPr>
        <w:tabs>
          <w:tab w:val="left" w:pos="-720"/>
        </w:tabs>
        <w:suppressAutoHyphens/>
        <w:ind w:left="900"/>
        <w:rPr>
          <w:rStyle w:val="a"/>
          <w:rFonts w:asciiTheme="minorHAnsi" w:hAnsiTheme="minorHAnsi" w:cstheme="minorHAnsi"/>
          <w:b/>
          <w:szCs w:val="24"/>
        </w:rPr>
      </w:pPr>
      <w:r w:rsidRPr="00541F86">
        <w:rPr>
          <w:rFonts w:asciiTheme="minorHAnsi" w:hAnsiTheme="minorHAnsi" w:cstheme="minorHAnsi"/>
        </w:rPr>
        <w:t>This report form and the Web site will display the expiration date for OMB's approval of the information collection.</w:t>
      </w:r>
    </w:p>
    <w:p w:rsidR="00534B4A" w:rsidP="002313E2" w14:paraId="7518E4FC" w14:textId="77777777">
      <w:pPr>
        <w:tabs>
          <w:tab w:val="left" w:pos="-720"/>
        </w:tabs>
        <w:suppressAutoHyphens/>
        <w:ind w:left="360"/>
        <w:rPr>
          <w:rFonts w:ascii="Times New Roman" w:hAnsi="Times New Roman"/>
          <w:b/>
          <w:szCs w:val="24"/>
        </w:rPr>
      </w:pPr>
    </w:p>
    <w:p w:rsidR="00534B4A" w:rsidRPr="00534B4A" w:rsidP="002313E2" w14:paraId="571587B7" w14:textId="77777777">
      <w:pPr>
        <w:tabs>
          <w:tab w:val="left" w:pos="-720"/>
        </w:tabs>
        <w:suppressAutoHyphens/>
        <w:ind w:left="360"/>
        <w:rPr>
          <w:rFonts w:ascii="Times New Roman" w:hAnsi="Times New Roman"/>
          <w:szCs w:val="24"/>
        </w:rPr>
      </w:pPr>
    </w:p>
    <w:p w:rsidR="001C73C0" w:rsidP="002313E2" w14:paraId="70044E2B"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9789E" w:rsidP="0029789E" w14:paraId="7037CDE4" w14:textId="77777777">
      <w:pPr>
        <w:tabs>
          <w:tab w:val="left" w:pos="-720"/>
        </w:tabs>
        <w:suppressAutoHyphens/>
        <w:rPr>
          <w:rFonts w:ascii="Times New Roman" w:hAnsi="Times New Roman"/>
          <w:b/>
          <w:szCs w:val="24"/>
        </w:rPr>
      </w:pPr>
    </w:p>
    <w:p w:rsidR="0029789E" w:rsidRPr="00541F86" w:rsidP="0029789E" w14:paraId="27E290DA" w14:textId="77777777">
      <w:pPr>
        <w:tabs>
          <w:tab w:val="left" w:pos="-720"/>
        </w:tabs>
        <w:suppressAutoHyphens/>
        <w:ind w:left="900"/>
        <w:rPr>
          <w:rFonts w:asciiTheme="minorHAnsi" w:hAnsiTheme="minorHAnsi" w:cstheme="minorHAnsi"/>
          <w:b/>
          <w:szCs w:val="24"/>
        </w:rPr>
      </w:pPr>
      <w:r w:rsidRPr="00541F86">
        <w:rPr>
          <w:rFonts w:asciiTheme="minorHAnsi" w:hAnsiTheme="minorHAnsi" w:cstheme="minorHAnsi"/>
        </w:rPr>
        <w:t>There are no exceptions to the certification statement.</w:t>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933" w14:paraId="30CBA4BA" w14:textId="77777777">
    <w:pPr>
      <w:spacing w:before="140" w:line="100" w:lineRule="exact"/>
      <w:rPr>
        <w:sz w:val="10"/>
      </w:rPr>
    </w:pPr>
  </w:p>
  <w:p w:rsidR="003E3933" w14:paraId="0F7B476B" w14:textId="77777777">
    <w:pPr>
      <w:tabs>
        <w:tab w:val="left" w:pos="0"/>
      </w:tabs>
      <w:suppressAutoHyphens/>
    </w:pPr>
  </w:p>
  <w:p w:rsidR="003E3933" w14:paraId="076F912B"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E393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E3933" w:rsidRPr="00534B4A" w14:paraId="37603BA2"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4112" w:rsidP="00043C32" w14:paraId="39DBB9C3" w14:textId="77777777">
      <w:r>
        <w:separator/>
      </w:r>
    </w:p>
  </w:footnote>
  <w:footnote w:type="continuationSeparator" w:id="1">
    <w:p w:rsidR="008B4112" w:rsidP="00043C32" w14:paraId="624EE5BD" w14:textId="77777777">
      <w:r>
        <w:continuationSeparator/>
      </w:r>
    </w:p>
  </w:footnote>
  <w:footnote w:type="continuationNotice" w:id="2">
    <w:p w:rsidR="008B4112" w14:paraId="60719FBB" w14:textId="77777777"/>
  </w:footnote>
  <w:footnote w:id="3">
    <w:p w:rsidR="00043C32" w:rsidP="00043C32" w14:paraId="4AD3DB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3099636">
    <w:abstractNumId w:val="0"/>
  </w:num>
  <w:num w:numId="2" w16cid:durableId="1587685045">
    <w:abstractNumId w:val="2"/>
  </w:num>
  <w:num w:numId="3" w16cid:durableId="744843741">
    <w:abstractNumId w:val="1"/>
  </w:num>
  <w:num w:numId="4" w16cid:durableId="1101531584">
    <w:abstractNumId w:val="3"/>
  </w:num>
  <w:num w:numId="5" w16cid:durableId="1495297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B3E"/>
    <w:rsid w:val="00003CBB"/>
    <w:rsid w:val="00010D85"/>
    <w:rsid w:val="0001177F"/>
    <w:rsid w:val="0001326E"/>
    <w:rsid w:val="00022A8E"/>
    <w:rsid w:val="00035ED5"/>
    <w:rsid w:val="000405A6"/>
    <w:rsid w:val="00043C32"/>
    <w:rsid w:val="000446F5"/>
    <w:rsid w:val="00053DF7"/>
    <w:rsid w:val="00063A39"/>
    <w:rsid w:val="00064190"/>
    <w:rsid w:val="00076B61"/>
    <w:rsid w:val="00093017"/>
    <w:rsid w:val="0009304A"/>
    <w:rsid w:val="00097AA2"/>
    <w:rsid w:val="000C31FC"/>
    <w:rsid w:val="000C35C2"/>
    <w:rsid w:val="000C7127"/>
    <w:rsid w:val="000E0131"/>
    <w:rsid w:val="000F08A6"/>
    <w:rsid w:val="001400F0"/>
    <w:rsid w:val="001509AE"/>
    <w:rsid w:val="00157B9A"/>
    <w:rsid w:val="001824F3"/>
    <w:rsid w:val="0018628C"/>
    <w:rsid w:val="00193113"/>
    <w:rsid w:val="001A0CB1"/>
    <w:rsid w:val="001A6AE0"/>
    <w:rsid w:val="001B4039"/>
    <w:rsid w:val="001B4FCB"/>
    <w:rsid w:val="001C4CC2"/>
    <w:rsid w:val="001C73C0"/>
    <w:rsid w:val="001D4BE5"/>
    <w:rsid w:val="001D5FA8"/>
    <w:rsid w:val="001E509E"/>
    <w:rsid w:val="001E5BF2"/>
    <w:rsid w:val="001E79BD"/>
    <w:rsid w:val="001F3AF4"/>
    <w:rsid w:val="001F4BA3"/>
    <w:rsid w:val="00202161"/>
    <w:rsid w:val="0021632E"/>
    <w:rsid w:val="00221318"/>
    <w:rsid w:val="002225CC"/>
    <w:rsid w:val="0022455D"/>
    <w:rsid w:val="00224A3B"/>
    <w:rsid w:val="0022520A"/>
    <w:rsid w:val="0022765E"/>
    <w:rsid w:val="002313E2"/>
    <w:rsid w:val="00234065"/>
    <w:rsid w:val="00234B13"/>
    <w:rsid w:val="00240A39"/>
    <w:rsid w:val="00246FE9"/>
    <w:rsid w:val="00250100"/>
    <w:rsid w:val="0025190E"/>
    <w:rsid w:val="00257697"/>
    <w:rsid w:val="00262A69"/>
    <w:rsid w:val="00263169"/>
    <w:rsid w:val="00266B8D"/>
    <w:rsid w:val="00270AF7"/>
    <w:rsid w:val="002917B9"/>
    <w:rsid w:val="00294D5B"/>
    <w:rsid w:val="0029789E"/>
    <w:rsid w:val="002A3221"/>
    <w:rsid w:val="002A3D72"/>
    <w:rsid w:val="002A4E5E"/>
    <w:rsid w:val="002A66A9"/>
    <w:rsid w:val="002B116B"/>
    <w:rsid w:val="002B11C1"/>
    <w:rsid w:val="002B7491"/>
    <w:rsid w:val="002C27E7"/>
    <w:rsid w:val="002C3520"/>
    <w:rsid w:val="002C7E23"/>
    <w:rsid w:val="002D1FB9"/>
    <w:rsid w:val="002D4406"/>
    <w:rsid w:val="002E14E0"/>
    <w:rsid w:val="002F0981"/>
    <w:rsid w:val="002F5423"/>
    <w:rsid w:val="002F55E5"/>
    <w:rsid w:val="00303543"/>
    <w:rsid w:val="003133D4"/>
    <w:rsid w:val="00314C68"/>
    <w:rsid w:val="00315B40"/>
    <w:rsid w:val="0032078A"/>
    <w:rsid w:val="0032539E"/>
    <w:rsid w:val="0033467F"/>
    <w:rsid w:val="00342CB3"/>
    <w:rsid w:val="00343B6C"/>
    <w:rsid w:val="0034475F"/>
    <w:rsid w:val="003478AD"/>
    <w:rsid w:val="00351BC7"/>
    <w:rsid w:val="003775BF"/>
    <w:rsid w:val="00382FB5"/>
    <w:rsid w:val="003860E4"/>
    <w:rsid w:val="003A03E4"/>
    <w:rsid w:val="003B09A3"/>
    <w:rsid w:val="003B1545"/>
    <w:rsid w:val="003C3234"/>
    <w:rsid w:val="003C715C"/>
    <w:rsid w:val="003C7E1A"/>
    <w:rsid w:val="003E3933"/>
    <w:rsid w:val="003E6853"/>
    <w:rsid w:val="003F03C8"/>
    <w:rsid w:val="003F5C56"/>
    <w:rsid w:val="00411836"/>
    <w:rsid w:val="00412915"/>
    <w:rsid w:val="0043157E"/>
    <w:rsid w:val="004332AF"/>
    <w:rsid w:val="00442E07"/>
    <w:rsid w:val="00476032"/>
    <w:rsid w:val="00485217"/>
    <w:rsid w:val="00493031"/>
    <w:rsid w:val="00494AD5"/>
    <w:rsid w:val="004A1A5C"/>
    <w:rsid w:val="004B6D99"/>
    <w:rsid w:val="004C0920"/>
    <w:rsid w:val="004E62BF"/>
    <w:rsid w:val="004E6653"/>
    <w:rsid w:val="004F2665"/>
    <w:rsid w:val="00511CBF"/>
    <w:rsid w:val="0052073E"/>
    <w:rsid w:val="00524D2F"/>
    <w:rsid w:val="00534B4A"/>
    <w:rsid w:val="00541F86"/>
    <w:rsid w:val="00553944"/>
    <w:rsid w:val="0055397D"/>
    <w:rsid w:val="005636F8"/>
    <w:rsid w:val="00567C0C"/>
    <w:rsid w:val="00575DDA"/>
    <w:rsid w:val="00581C11"/>
    <w:rsid w:val="0058203F"/>
    <w:rsid w:val="005922F0"/>
    <w:rsid w:val="0059279A"/>
    <w:rsid w:val="005968AB"/>
    <w:rsid w:val="00596D2A"/>
    <w:rsid w:val="00597C9A"/>
    <w:rsid w:val="005A3405"/>
    <w:rsid w:val="005B2E52"/>
    <w:rsid w:val="005B5F5B"/>
    <w:rsid w:val="005C35CA"/>
    <w:rsid w:val="005C6228"/>
    <w:rsid w:val="005E2F10"/>
    <w:rsid w:val="005E37CB"/>
    <w:rsid w:val="005E3FDE"/>
    <w:rsid w:val="005F253A"/>
    <w:rsid w:val="006079E0"/>
    <w:rsid w:val="00626786"/>
    <w:rsid w:val="006267DE"/>
    <w:rsid w:val="0064059C"/>
    <w:rsid w:val="006477C1"/>
    <w:rsid w:val="006601F6"/>
    <w:rsid w:val="00660F87"/>
    <w:rsid w:val="006711E1"/>
    <w:rsid w:val="00676195"/>
    <w:rsid w:val="0068567A"/>
    <w:rsid w:val="006A292A"/>
    <w:rsid w:val="006A38F7"/>
    <w:rsid w:val="006A4EBB"/>
    <w:rsid w:val="006B4172"/>
    <w:rsid w:val="006B4772"/>
    <w:rsid w:val="006C1BB7"/>
    <w:rsid w:val="006C4A4D"/>
    <w:rsid w:val="006D2718"/>
    <w:rsid w:val="006D31A6"/>
    <w:rsid w:val="006E426E"/>
    <w:rsid w:val="006F41E1"/>
    <w:rsid w:val="006F59ED"/>
    <w:rsid w:val="006F5B90"/>
    <w:rsid w:val="006F78AE"/>
    <w:rsid w:val="00704F41"/>
    <w:rsid w:val="00705B05"/>
    <w:rsid w:val="007074AA"/>
    <w:rsid w:val="00713B69"/>
    <w:rsid w:val="00715B5E"/>
    <w:rsid w:val="00727854"/>
    <w:rsid w:val="00744C83"/>
    <w:rsid w:val="00755D99"/>
    <w:rsid w:val="007564F0"/>
    <w:rsid w:val="00756FD3"/>
    <w:rsid w:val="007571E3"/>
    <w:rsid w:val="00765392"/>
    <w:rsid w:val="007708D2"/>
    <w:rsid w:val="00770D4A"/>
    <w:rsid w:val="00771FF0"/>
    <w:rsid w:val="0078077F"/>
    <w:rsid w:val="00782678"/>
    <w:rsid w:val="0078504A"/>
    <w:rsid w:val="00790E3E"/>
    <w:rsid w:val="007A3323"/>
    <w:rsid w:val="007B041D"/>
    <w:rsid w:val="007B6752"/>
    <w:rsid w:val="007B779A"/>
    <w:rsid w:val="007C0A4C"/>
    <w:rsid w:val="007E43D0"/>
    <w:rsid w:val="007F4143"/>
    <w:rsid w:val="007F6104"/>
    <w:rsid w:val="007F6959"/>
    <w:rsid w:val="00800D30"/>
    <w:rsid w:val="008035C2"/>
    <w:rsid w:val="00804FD6"/>
    <w:rsid w:val="0080756C"/>
    <w:rsid w:val="00807D1A"/>
    <w:rsid w:val="00810F45"/>
    <w:rsid w:val="00811296"/>
    <w:rsid w:val="008323E4"/>
    <w:rsid w:val="0084130A"/>
    <w:rsid w:val="00855445"/>
    <w:rsid w:val="00856E65"/>
    <w:rsid w:val="00857AC8"/>
    <w:rsid w:val="00860E11"/>
    <w:rsid w:val="008642AF"/>
    <w:rsid w:val="00864469"/>
    <w:rsid w:val="0087466F"/>
    <w:rsid w:val="00874EFE"/>
    <w:rsid w:val="00876DAB"/>
    <w:rsid w:val="00877C8A"/>
    <w:rsid w:val="00882126"/>
    <w:rsid w:val="008910B9"/>
    <w:rsid w:val="00891623"/>
    <w:rsid w:val="00892630"/>
    <w:rsid w:val="008933F1"/>
    <w:rsid w:val="008A03F2"/>
    <w:rsid w:val="008A0D54"/>
    <w:rsid w:val="008B4112"/>
    <w:rsid w:val="008C0457"/>
    <w:rsid w:val="008C3012"/>
    <w:rsid w:val="008C3AF6"/>
    <w:rsid w:val="008C7E04"/>
    <w:rsid w:val="008D0601"/>
    <w:rsid w:val="008D1F11"/>
    <w:rsid w:val="008D6E92"/>
    <w:rsid w:val="008E44E0"/>
    <w:rsid w:val="008E5919"/>
    <w:rsid w:val="009000B1"/>
    <w:rsid w:val="00905951"/>
    <w:rsid w:val="00907B3D"/>
    <w:rsid w:val="00912D2C"/>
    <w:rsid w:val="00912F5A"/>
    <w:rsid w:val="00916EE4"/>
    <w:rsid w:val="00920F63"/>
    <w:rsid w:val="009243F3"/>
    <w:rsid w:val="009262D2"/>
    <w:rsid w:val="00930C4E"/>
    <w:rsid w:val="0093366B"/>
    <w:rsid w:val="00934185"/>
    <w:rsid w:val="00937A82"/>
    <w:rsid w:val="0094111A"/>
    <w:rsid w:val="0094557A"/>
    <w:rsid w:val="00946126"/>
    <w:rsid w:val="00952DF9"/>
    <w:rsid w:val="0095421D"/>
    <w:rsid w:val="00960C86"/>
    <w:rsid w:val="00960D07"/>
    <w:rsid w:val="00961C90"/>
    <w:rsid w:val="0097310E"/>
    <w:rsid w:val="009767AF"/>
    <w:rsid w:val="009779C9"/>
    <w:rsid w:val="0098075E"/>
    <w:rsid w:val="00981787"/>
    <w:rsid w:val="00981F58"/>
    <w:rsid w:val="00984915"/>
    <w:rsid w:val="00986D0A"/>
    <w:rsid w:val="009B2093"/>
    <w:rsid w:val="009B3CAC"/>
    <w:rsid w:val="009B57A2"/>
    <w:rsid w:val="009C18AF"/>
    <w:rsid w:val="009C5CC9"/>
    <w:rsid w:val="009D6CC0"/>
    <w:rsid w:val="009E3E86"/>
    <w:rsid w:val="009F702C"/>
    <w:rsid w:val="00A0137C"/>
    <w:rsid w:val="00A01DBD"/>
    <w:rsid w:val="00A06788"/>
    <w:rsid w:val="00A118A2"/>
    <w:rsid w:val="00A23091"/>
    <w:rsid w:val="00A23F26"/>
    <w:rsid w:val="00A4001C"/>
    <w:rsid w:val="00A40AAB"/>
    <w:rsid w:val="00A46D01"/>
    <w:rsid w:val="00A52B14"/>
    <w:rsid w:val="00A70816"/>
    <w:rsid w:val="00A73590"/>
    <w:rsid w:val="00A762C5"/>
    <w:rsid w:val="00A7636D"/>
    <w:rsid w:val="00A83C30"/>
    <w:rsid w:val="00A84DD4"/>
    <w:rsid w:val="00A86ADD"/>
    <w:rsid w:val="00A879B6"/>
    <w:rsid w:val="00A9138E"/>
    <w:rsid w:val="00A93F1A"/>
    <w:rsid w:val="00AA0C05"/>
    <w:rsid w:val="00AA118F"/>
    <w:rsid w:val="00AA3731"/>
    <w:rsid w:val="00AA796A"/>
    <w:rsid w:val="00AB3B26"/>
    <w:rsid w:val="00AB4058"/>
    <w:rsid w:val="00AC1C89"/>
    <w:rsid w:val="00AC3695"/>
    <w:rsid w:val="00AC3DF3"/>
    <w:rsid w:val="00AC613C"/>
    <w:rsid w:val="00AD381B"/>
    <w:rsid w:val="00AD78CF"/>
    <w:rsid w:val="00AE5174"/>
    <w:rsid w:val="00AF1EBE"/>
    <w:rsid w:val="00AF5B5B"/>
    <w:rsid w:val="00AF5D1A"/>
    <w:rsid w:val="00AF7D9F"/>
    <w:rsid w:val="00B017F9"/>
    <w:rsid w:val="00B06245"/>
    <w:rsid w:val="00B07213"/>
    <w:rsid w:val="00B10A05"/>
    <w:rsid w:val="00B128D2"/>
    <w:rsid w:val="00B12A5C"/>
    <w:rsid w:val="00B23AAF"/>
    <w:rsid w:val="00B24C10"/>
    <w:rsid w:val="00B25A5C"/>
    <w:rsid w:val="00B500F5"/>
    <w:rsid w:val="00B54167"/>
    <w:rsid w:val="00B623A1"/>
    <w:rsid w:val="00B62E06"/>
    <w:rsid w:val="00B64B1D"/>
    <w:rsid w:val="00B6504A"/>
    <w:rsid w:val="00B83E52"/>
    <w:rsid w:val="00B858CC"/>
    <w:rsid w:val="00B9671B"/>
    <w:rsid w:val="00BA171B"/>
    <w:rsid w:val="00BA1D31"/>
    <w:rsid w:val="00BB4F75"/>
    <w:rsid w:val="00BB570F"/>
    <w:rsid w:val="00BE165B"/>
    <w:rsid w:val="00BF0092"/>
    <w:rsid w:val="00C04114"/>
    <w:rsid w:val="00C164D3"/>
    <w:rsid w:val="00C20670"/>
    <w:rsid w:val="00C224FD"/>
    <w:rsid w:val="00C40717"/>
    <w:rsid w:val="00C45162"/>
    <w:rsid w:val="00C672B3"/>
    <w:rsid w:val="00C8536C"/>
    <w:rsid w:val="00C86713"/>
    <w:rsid w:val="00C875E8"/>
    <w:rsid w:val="00C92035"/>
    <w:rsid w:val="00C9681D"/>
    <w:rsid w:val="00CA093D"/>
    <w:rsid w:val="00CA2563"/>
    <w:rsid w:val="00CB0D66"/>
    <w:rsid w:val="00CB57A6"/>
    <w:rsid w:val="00CC0EBB"/>
    <w:rsid w:val="00CC2A72"/>
    <w:rsid w:val="00CC2C48"/>
    <w:rsid w:val="00CC3FB5"/>
    <w:rsid w:val="00CC62DA"/>
    <w:rsid w:val="00CD2067"/>
    <w:rsid w:val="00CD41A8"/>
    <w:rsid w:val="00CD47BC"/>
    <w:rsid w:val="00CE10D5"/>
    <w:rsid w:val="00CE359C"/>
    <w:rsid w:val="00CE77B6"/>
    <w:rsid w:val="00CF3877"/>
    <w:rsid w:val="00CF6642"/>
    <w:rsid w:val="00D00E2F"/>
    <w:rsid w:val="00D06319"/>
    <w:rsid w:val="00D14D50"/>
    <w:rsid w:val="00D20D25"/>
    <w:rsid w:val="00D34984"/>
    <w:rsid w:val="00D35798"/>
    <w:rsid w:val="00D36C35"/>
    <w:rsid w:val="00D46506"/>
    <w:rsid w:val="00D579DE"/>
    <w:rsid w:val="00D606AD"/>
    <w:rsid w:val="00D6280E"/>
    <w:rsid w:val="00D662B1"/>
    <w:rsid w:val="00D75313"/>
    <w:rsid w:val="00D7718E"/>
    <w:rsid w:val="00D7761F"/>
    <w:rsid w:val="00D82543"/>
    <w:rsid w:val="00DB33B2"/>
    <w:rsid w:val="00DC5F78"/>
    <w:rsid w:val="00DC62DD"/>
    <w:rsid w:val="00DD1C86"/>
    <w:rsid w:val="00DD422E"/>
    <w:rsid w:val="00E01A78"/>
    <w:rsid w:val="00E0545F"/>
    <w:rsid w:val="00E074C1"/>
    <w:rsid w:val="00E12D4E"/>
    <w:rsid w:val="00E16ACD"/>
    <w:rsid w:val="00E17134"/>
    <w:rsid w:val="00E25EBC"/>
    <w:rsid w:val="00E271A4"/>
    <w:rsid w:val="00E424F1"/>
    <w:rsid w:val="00E53859"/>
    <w:rsid w:val="00E546BC"/>
    <w:rsid w:val="00E54CB7"/>
    <w:rsid w:val="00E609A9"/>
    <w:rsid w:val="00E62B06"/>
    <w:rsid w:val="00E66550"/>
    <w:rsid w:val="00E70531"/>
    <w:rsid w:val="00E76A10"/>
    <w:rsid w:val="00E80176"/>
    <w:rsid w:val="00E877BF"/>
    <w:rsid w:val="00E93A85"/>
    <w:rsid w:val="00E94521"/>
    <w:rsid w:val="00E9566D"/>
    <w:rsid w:val="00EA1767"/>
    <w:rsid w:val="00EA21A5"/>
    <w:rsid w:val="00EA2559"/>
    <w:rsid w:val="00EA2FB0"/>
    <w:rsid w:val="00EB0929"/>
    <w:rsid w:val="00EB0FA5"/>
    <w:rsid w:val="00EC01DD"/>
    <w:rsid w:val="00EC054D"/>
    <w:rsid w:val="00EC35E3"/>
    <w:rsid w:val="00ED0CAA"/>
    <w:rsid w:val="00ED7195"/>
    <w:rsid w:val="00ED7E7C"/>
    <w:rsid w:val="00EF14C7"/>
    <w:rsid w:val="00F0414F"/>
    <w:rsid w:val="00F0465F"/>
    <w:rsid w:val="00F04C6C"/>
    <w:rsid w:val="00F070F3"/>
    <w:rsid w:val="00F11179"/>
    <w:rsid w:val="00F1697D"/>
    <w:rsid w:val="00F26218"/>
    <w:rsid w:val="00F27AAF"/>
    <w:rsid w:val="00F27CD6"/>
    <w:rsid w:val="00F30C32"/>
    <w:rsid w:val="00F31BEC"/>
    <w:rsid w:val="00F351FA"/>
    <w:rsid w:val="00F50C7F"/>
    <w:rsid w:val="00F54DF8"/>
    <w:rsid w:val="00F55CDA"/>
    <w:rsid w:val="00F575F0"/>
    <w:rsid w:val="00F5782B"/>
    <w:rsid w:val="00F6725A"/>
    <w:rsid w:val="00F71A55"/>
    <w:rsid w:val="00F72B47"/>
    <w:rsid w:val="00F73131"/>
    <w:rsid w:val="00F876BB"/>
    <w:rsid w:val="00F93630"/>
    <w:rsid w:val="00F93C98"/>
    <w:rsid w:val="00FA3367"/>
    <w:rsid w:val="00FA45C6"/>
    <w:rsid w:val="00FB4018"/>
    <w:rsid w:val="00FB5589"/>
    <w:rsid w:val="00FB7FCE"/>
    <w:rsid w:val="00FC669D"/>
    <w:rsid w:val="00FD11A7"/>
    <w:rsid w:val="00FD4F0B"/>
    <w:rsid w:val="00FD503F"/>
    <w:rsid w:val="00FD64F0"/>
    <w:rsid w:val="00FD7FF8"/>
    <w:rsid w:val="00FE02FC"/>
    <w:rsid w:val="00FE1BAE"/>
    <w:rsid w:val="00FF448F"/>
    <w:rsid w:val="00FF553E"/>
    <w:rsid w:val="00FF7572"/>
    <w:rsid w:val="54D0C45D"/>
    <w:rsid w:val="6EB87A4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872E1C4"/>
  <w15:docId w15:val="{7E4EBADF-2D72-4C4B-8B9D-C20E21CA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076B61"/>
    <w:rPr>
      <w:rFonts w:ascii="Courier" w:hAnsi="Courier"/>
      <w:sz w:val="24"/>
    </w:rPr>
  </w:style>
  <w:style w:type="paragraph" w:styleId="NoSpacing">
    <w:name w:val="No Spacing"/>
    <w:uiPriority w:val="1"/>
    <w:qFormat/>
    <w:rsid w:val="000C31F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trioeoc/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0" ma:contentTypeDescription="Create a new document." ma:contentTypeScope="" ma:versionID="3b3c5a5a1a84d0c055dcbab909cdebb3">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c10e3cb8d5a77b37b865786cf6475da6"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purl.org/dc/dcmitype/"/>
    <ds:schemaRef ds:uri="http://purl.org/dc/elements/1.1/"/>
    <ds:schemaRef ds:uri="http://schemas.microsoft.com/office/2006/metadata/properties"/>
    <ds:schemaRef ds:uri="9ba86f94-801f-45cb-a176-822b507a5615"/>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53b61691-3a53-426c-bb14-849d9c64307b"/>
  </ds:schemaRefs>
</ds:datastoreItem>
</file>

<file path=customXml/itemProps4.xml><?xml version="1.0" encoding="utf-8"?>
<ds:datastoreItem xmlns:ds="http://schemas.openxmlformats.org/officeDocument/2006/customXml" ds:itemID="{D47067C4-09A4-479B-9DFE-13E5278BF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91</cp:revision>
  <dcterms:created xsi:type="dcterms:W3CDTF">2025-03-17T16:14:00Z</dcterms:created>
  <dcterms:modified xsi:type="dcterms:W3CDTF">2025-03-18T16:05:00Z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0x010100D5BA036F0F0909428F520EC99425A8CE</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