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4B583530">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444FD3">
        <w:rPr>
          <w:rFonts w:cs="Arial"/>
          <w:b/>
          <w:sz w:val="18"/>
          <w:szCs w:val="18"/>
        </w:rPr>
        <w:t xml:space="preserve"> 1-13-2021</w:t>
      </w:r>
      <w:r w:rsidRPr="00AE0D1F" w:rsidR="00016546">
        <w:rPr>
          <w:rFonts w:cs="Arial"/>
          <w:sz w:val="18"/>
          <w:szCs w:val="18"/>
        </w:rPr>
        <w:tab/>
      </w:r>
    </w:p>
    <w:p w:rsidRPr="00AE0D1F" w:rsidR="00674E50" w:rsidP="00B85872" w:rsidRDefault="00391556" w14:paraId="7F327F71" w14:textId="11B182A3">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Pr="00685D04" w:rsidR="00685D04">
        <w:rPr>
          <w:rFonts w:cs="Arial"/>
          <w:lang w:bidi="en-US"/>
        </w:rPr>
        <w:t xml:space="preserve"> </w:t>
      </w:r>
      <w:r w:rsidRPr="00724929" w:rsidR="007865FB">
        <w:rPr>
          <w:rFonts w:ascii="Calibri" w:hAnsi="Calibri" w:cs="Calibri"/>
        </w:rPr>
        <w:t xml:space="preserve">Greater Yellowstone Ecosystem </w:t>
      </w:r>
      <w:r w:rsidR="007865FB">
        <w:rPr>
          <w:rFonts w:ascii="Calibri" w:hAnsi="Calibri" w:cs="Calibri"/>
        </w:rPr>
        <w:t>Wildlife</w:t>
      </w:r>
      <w:r w:rsidRPr="00724929" w:rsidR="007865FB">
        <w:rPr>
          <w:rFonts w:ascii="Calibri" w:hAnsi="Calibri" w:cs="Calibri"/>
        </w:rPr>
        <w:t xml:space="preserve"> Approach Study</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5738EA" w:rsidR="00685D04" w:rsidP="005738EA" w:rsidRDefault="007865FB" w14:paraId="672AD8B2" w14:textId="02FF4038">
      <w:pPr>
        <w:tabs>
          <w:tab w:val="left" w:pos="1800"/>
        </w:tabs>
        <w:rPr>
          <w:rFonts w:ascii="Calibri" w:hAnsi="Calibri" w:cs="Calibri"/>
          <w:i/>
        </w:rPr>
      </w:pPr>
      <w:r w:rsidRPr="00724929">
        <w:rPr>
          <w:rFonts w:ascii="Calibri" w:hAnsi="Calibri" w:cs="Calibri"/>
          <w:i/>
        </w:rPr>
        <w:t xml:space="preserve">Every year, millions of people visit parks and protected areas to view wildlife. Human-wildlife conflicts typically occur when people approach animals at inappropriately close distances. </w:t>
      </w:r>
      <w:r w:rsidR="00A40316">
        <w:rPr>
          <w:rFonts w:ascii="Calibri" w:hAnsi="Calibri" w:cs="Calibri"/>
          <w:i/>
        </w:rPr>
        <w:t>B</w:t>
      </w:r>
      <w:r w:rsidRPr="00724929">
        <w:rPr>
          <w:rFonts w:ascii="Calibri" w:hAnsi="Calibri" w:cs="Calibri"/>
          <w:i/>
        </w:rPr>
        <w:t xml:space="preserve">ison are involved in more dangerous interactions than any other species in the </w:t>
      </w:r>
      <w:bookmarkStart w:name="_Hlk32998490" w:id="0"/>
      <w:r w:rsidRPr="00724929">
        <w:rPr>
          <w:rFonts w:ascii="Calibri" w:hAnsi="Calibri" w:cs="Calibri"/>
          <w:i/>
        </w:rPr>
        <w:t>Greater Yellowstone Ecosystem (GYE</w:t>
      </w:r>
      <w:r w:rsidR="00A40316">
        <w:rPr>
          <w:rFonts w:ascii="Calibri" w:hAnsi="Calibri" w:cs="Calibri"/>
          <w:i/>
        </w:rPr>
        <w:t>), and conflict between people and elk is becoming increasingly concerning to managers.</w:t>
      </w:r>
      <w:bookmarkEnd w:id="0"/>
      <w:r w:rsidR="00A40316">
        <w:rPr>
          <w:rFonts w:ascii="Calibri" w:hAnsi="Calibri" w:cs="Calibri"/>
          <w:i/>
        </w:rPr>
        <w:t xml:space="preserve"> M</w:t>
      </w:r>
      <w:r w:rsidRPr="00724929">
        <w:rPr>
          <w:rFonts w:ascii="Calibri" w:hAnsi="Calibri" w:cs="Calibri"/>
          <w:i/>
        </w:rPr>
        <w:t>ost of these incidents occur when people approach bison at proximities less than the GYE regulation of 25 yards.</w:t>
      </w:r>
      <w:r>
        <w:rPr>
          <w:rFonts w:ascii="Calibri" w:hAnsi="Calibri" w:cs="Calibri"/>
          <w:i/>
        </w:rPr>
        <w:t xml:space="preserve"> </w:t>
      </w:r>
      <w:r w:rsidRPr="00724929">
        <w:rPr>
          <w:rFonts w:ascii="Calibri" w:hAnsi="Calibri" w:cs="Calibri"/>
          <w:i/>
        </w:rPr>
        <w:t>Developing effective communication programs can aid in addressing peoples’ perceptions about wildlife. The purpose of this study is to explore the effectiveness of distance-related human-</w:t>
      </w:r>
      <w:r>
        <w:rPr>
          <w:rFonts w:ascii="Calibri" w:hAnsi="Calibri" w:cs="Calibri"/>
          <w:i/>
        </w:rPr>
        <w:t>wildlife</w:t>
      </w:r>
      <w:r w:rsidRPr="00724929">
        <w:rPr>
          <w:rFonts w:ascii="Calibri" w:hAnsi="Calibri" w:cs="Calibri"/>
          <w:i/>
        </w:rPr>
        <w:t xml:space="preserve"> interaction communication messages currently, and potentially employed by Grand Teton National Park</w:t>
      </w:r>
      <w:r>
        <w:rPr>
          <w:rFonts w:ascii="Calibri" w:hAnsi="Calibri" w:cs="Calibri"/>
          <w:i/>
        </w:rPr>
        <w:t xml:space="preserve"> and Yellowstone National Park</w:t>
      </w:r>
      <w:r w:rsidRPr="00724929">
        <w:rPr>
          <w:rFonts w:ascii="Calibri" w:hAnsi="Calibri" w:cs="Calibri"/>
          <w:i/>
        </w:rPr>
        <w:t>. Additionally, this study will explore the effect that emotions have on park visitors’ ability to estimate distances. The results of this study will inform solutions that managers can implement to prevent resource degradation</w:t>
      </w:r>
      <w:r w:rsidR="00AC109B">
        <w:rPr>
          <w:rFonts w:ascii="Calibri" w:hAnsi="Calibri" w:cs="Calibri"/>
          <w:i/>
        </w:rPr>
        <w:t xml:space="preserve"> and </w:t>
      </w:r>
      <w:r w:rsidRPr="00724929">
        <w:rPr>
          <w:rFonts w:ascii="Calibri" w:hAnsi="Calibri" w:cs="Calibri"/>
          <w:i/>
        </w:rPr>
        <w:t>enrich visitor experience and safety.</w:t>
      </w: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1"/>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B85872" w:rsidRDefault="007865FB" w14:paraId="599E16DE" w14:textId="2AA255C6">
            <w:pPr>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Derrick Taff</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B85872" w:rsidRDefault="007865FB" w14:paraId="3D8F87C9" w14:textId="2DD977E7">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Assistant Professor – Recreation, Park, &amp; Tourism Management</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B85872" w:rsidRDefault="007865FB" w14:paraId="1CBC8E98" w14:textId="122DD72E">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Pennsylvania State University</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B85872" w:rsidRDefault="007865FB" w14:paraId="2F5317CC" w14:textId="70A705CB">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701H Donald H. Ford Building. University Park, PA. 16802</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7865FB" w14:paraId="743A9044" w14:textId="59CCD99E">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bdt3@psu.edu</w:t>
            </w:r>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AE0D1F" w:rsidR="00B85872" w:rsidP="00B85872" w:rsidRDefault="007865FB" w14:paraId="05BD85B4" w14:textId="3576AFE4">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(970)-227-2872</w:t>
            </w:r>
          </w:p>
        </w:tc>
      </w:tr>
      <w:bookmarkEnd w:id="1"/>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820AB7" w:rsidRDefault="007865FB" w14:paraId="06F66A69" w14:textId="7887D67B">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Jennifer Newton</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820AB7" w:rsidRDefault="007865FB" w14:paraId="521AF637" w14:textId="2EBAD191">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Social Scientist</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820AB7" w:rsidRDefault="007865FB" w14:paraId="73D6A1FC" w14:textId="7B511AC1">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Grand Teton National Park</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820AB7" w:rsidRDefault="007865FB" w14:paraId="07EFA66F" w14:textId="2D678DAC">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PO Drawer 170. Moose, WY. 83012</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B85872" w:rsidP="00820AB7" w:rsidRDefault="007865FB" w14:paraId="36109B7B" w14:textId="78D4CC1D">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Jennifer_newton@nps.gov</w:t>
            </w:r>
          </w:p>
        </w:tc>
        <w:tc>
          <w:tcPr>
            <w:tcW w:w="921" w:type="dxa"/>
            <w:tcBorders>
              <w:top w:val="nil"/>
              <w:left w:val="nil"/>
              <w:bottom w:val="single" w:color="auto" w:sz="4" w:space="0"/>
              <w:right w:val="single" w:color="17365D" w:themeColor="text2" w:themeShade="BF" w:sz="8" w:space="0"/>
            </w:tcBorders>
          </w:tcPr>
          <w:p w:rsidRPr="00AE0D1F"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B85872" w:rsidP="00820AB7" w:rsidRDefault="007865FB" w14:paraId="734AF0FF" w14:textId="7AA9EFE8">
            <w:pPr>
              <w:tabs>
                <w:tab w:val="left" w:pos="360"/>
                <w:tab w:val="left" w:pos="720"/>
                <w:tab w:val="left" w:pos="1440"/>
                <w:tab w:val="left" w:pos="2160"/>
                <w:tab w:val="left" w:pos="3600"/>
                <w:tab w:val="left" w:pos="5040"/>
                <w:tab w:val="left" w:pos="5760"/>
              </w:tabs>
              <w:rPr>
                <w:rFonts w:cs="Arial"/>
                <w:sz w:val="20"/>
                <w:szCs w:val="20"/>
              </w:rPr>
            </w:pPr>
            <w:r w:rsidRPr="00724929">
              <w:rPr>
                <w:rFonts w:ascii="Calibri" w:hAnsi="Calibri" w:cs="Calibri"/>
              </w:rPr>
              <w:t>(307) 739-3425</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13C8DCB3">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00A316B4">
              <w:rPr>
                <w:rFonts w:asciiTheme="minorHAnsi" w:hAnsiTheme="minorHAnsi" w:cstheme="minorHAnsi"/>
                <w:b/>
                <w:bCs/>
                <w:sz w:val="22"/>
                <w:szCs w:val="22"/>
                <w:lang w:bidi="en-US"/>
              </w:rPr>
              <w:t xml:space="preserve"> </w:t>
            </w:r>
            <w:r w:rsidR="007865FB">
              <w:rPr>
                <w:rFonts w:asciiTheme="minorHAnsi" w:hAnsiTheme="minorHAnsi" w:cstheme="minorHAnsi"/>
                <w:b/>
                <w:bCs/>
                <w:sz w:val="22"/>
                <w:szCs w:val="22"/>
                <w:lang w:bidi="en-US"/>
              </w:rPr>
              <w:t>Grand Teton National Park and Yellowstone National Park</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35B42E1C">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A316B4">
              <w:rPr>
                <w:rFonts w:asciiTheme="minorHAnsi" w:hAnsiTheme="minorHAnsi" w:cstheme="minorHAnsi"/>
                <w:b/>
                <w:bCs/>
                <w:sz w:val="22"/>
                <w:szCs w:val="22"/>
              </w:rPr>
              <w:t xml:space="preserve"> </w:t>
            </w:r>
            <w:r w:rsidRPr="005738EA" w:rsidR="007865FB">
              <w:rPr>
                <w:rFonts w:asciiTheme="minorHAnsi" w:hAnsiTheme="minorHAnsi" w:cstheme="minorHAnsi"/>
                <w:bCs/>
                <w:sz w:val="22"/>
                <w:szCs w:val="22"/>
              </w:rPr>
              <w:t>6/1/2021</w:t>
            </w:r>
          </w:p>
        </w:tc>
        <w:tc>
          <w:tcPr>
            <w:tcW w:w="5395" w:type="dxa"/>
            <w:gridSpan w:val="2"/>
            <w:tcBorders>
              <w:top w:val="nil"/>
              <w:left w:val="nil"/>
              <w:bottom w:val="nil"/>
              <w:right w:val="nil"/>
            </w:tcBorders>
          </w:tcPr>
          <w:p w:rsidRPr="00AE0D1F" w:rsidR="00B85872" w:rsidP="005B4059" w:rsidRDefault="005B4059" w14:paraId="01D022AD" w14:textId="4C21CF7E">
            <w:pPr>
              <w:pStyle w:val="NoSpacing"/>
              <w:rPr>
                <w:rFonts w:asciiTheme="minorHAnsi" w:hAnsiTheme="minorHAnsi" w:cstheme="minorHAnsi"/>
                <w:sz w:val="22"/>
                <w:szCs w:val="22"/>
              </w:rPr>
            </w:pPr>
            <w:r w:rsidRPr="005738EA">
              <w:rPr>
                <w:rFonts w:asciiTheme="minorHAnsi" w:hAnsiTheme="minorHAnsi" w:cstheme="minorHAnsi"/>
                <w:b/>
                <w:sz w:val="22"/>
                <w:szCs w:val="22"/>
              </w:rPr>
              <w:t>Sampling Period End Date:</w:t>
            </w:r>
            <w:r w:rsidRPr="00AE0D1F">
              <w:rPr>
                <w:rFonts w:asciiTheme="minorHAnsi" w:hAnsiTheme="minorHAnsi" w:cstheme="minorHAnsi"/>
                <w:sz w:val="22"/>
                <w:szCs w:val="22"/>
              </w:rPr>
              <w:t xml:space="preserve">  </w:t>
            </w:r>
            <w:r w:rsidR="00A316B4">
              <w:rPr>
                <w:rFonts w:asciiTheme="minorHAnsi" w:hAnsiTheme="minorHAnsi" w:cstheme="minorHAnsi"/>
                <w:sz w:val="22"/>
                <w:szCs w:val="22"/>
              </w:rPr>
              <w:t xml:space="preserve"> </w:t>
            </w:r>
            <w:r w:rsidR="007865FB">
              <w:rPr>
                <w:rFonts w:asciiTheme="minorHAnsi" w:hAnsiTheme="minorHAnsi" w:cstheme="minorHAnsi"/>
                <w:sz w:val="22"/>
                <w:szCs w:val="22"/>
              </w:rPr>
              <w:t>8/</w:t>
            </w:r>
            <w:r w:rsidR="003D6B66">
              <w:rPr>
                <w:rFonts w:asciiTheme="minorHAnsi" w:hAnsiTheme="minorHAnsi" w:cstheme="minorHAnsi"/>
                <w:sz w:val="22"/>
                <w:szCs w:val="22"/>
              </w:rPr>
              <w:t>31/2021</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A316B4" w14:paraId="662EF152" w14:textId="0A0D71D6">
            <w:pPr>
              <w:pStyle w:val="NoSpacing"/>
              <w:rPr>
                <w:rFonts w:asciiTheme="minorHAnsi" w:hAnsiTheme="minorHAnsi" w:cstheme="minorHAnsi"/>
                <w:sz w:val="22"/>
                <w:szCs w:val="22"/>
              </w:rPr>
            </w:pPr>
            <w:r w:rsidRPr="00A316B4">
              <w:rPr>
                <w:rFonts w:asciiTheme="minorHAnsi" w:hAnsiTheme="minorHAnsi" w:cstheme="minorHAnsi"/>
                <w:sz w:val="22"/>
                <w:szCs w:val="22"/>
              </w:rPr>
              <w:sym w:font="Wingdings 2" w:char="F0A3"/>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A316B4" w14:paraId="1F206E5D" w14:textId="076CD328">
            <w:pPr>
              <w:pStyle w:val="NoSpacing"/>
              <w:rPr>
                <w:rFonts w:asciiTheme="minorHAnsi" w:hAnsiTheme="minorHAnsi" w:cstheme="minorHAnsi"/>
                <w:sz w:val="22"/>
                <w:szCs w:val="22"/>
              </w:rPr>
            </w:pPr>
            <w:r w:rsidRPr="003D6B66">
              <w:rPr>
                <w:rFonts w:asciiTheme="minorHAnsi" w:hAnsiTheme="minorHAnsi" w:cstheme="minorHAnsi"/>
                <w:color w:val="000000" w:themeColor="text1"/>
                <w:sz w:val="22"/>
                <w:szCs w:val="22"/>
                <w:highlight w:val="black"/>
              </w:rPr>
              <w:sym w:font="Wingdings 2" w:char="F0A3"/>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bookmarkStart w:name="_Hlk52977995" w:id="2"/>
            <w:r w:rsidRPr="00AE0D1F">
              <w:rPr>
                <w:rFonts w:asciiTheme="minorHAnsi" w:hAnsiTheme="minorHAnsi" w:cstheme="minorHAnsi"/>
                <w:sz w:val="22"/>
                <w:szCs w:val="22"/>
              </w:rPr>
              <w:sym w:font="Wingdings 2" w:char="F0A3"/>
            </w:r>
            <w:bookmarkEnd w:id="2"/>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5B4059" w:rsidRDefault="005B4059" w14:paraId="1AF5CD39" w14:textId="1861E3AE">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Pr>
                <w:rFonts w:asciiTheme="minorHAnsi" w:hAnsiTheme="minorHAnsi" w:cstheme="minorHAnsi"/>
                <w:sz w:val="22"/>
                <w:szCs w:val="22"/>
              </w:rPr>
              <w:t xml:space="preserve"> </w:t>
            </w:r>
            <w:r w:rsidRPr="003D6B66" w:rsidR="003D6B66">
              <w:rPr>
                <w:rFonts w:asciiTheme="minorHAnsi" w:hAnsiTheme="minorHAnsi" w:cstheme="minorHAnsi"/>
                <w:sz w:val="22"/>
                <w:szCs w:val="22"/>
                <w:highlight w:val="black"/>
              </w:rPr>
              <w:sym w:font="Wingdings 2" w:char="F0A3"/>
            </w:r>
            <w:r w:rsidRPr="00AE0D1F">
              <w:rPr>
                <w:rFonts w:asciiTheme="minorHAnsi" w:hAnsiTheme="minorHAnsi" w:cstheme="minorHAnsi"/>
                <w:sz w:val="22"/>
                <w:szCs w:val="22"/>
              </w:rPr>
              <w:t xml:space="preserve"> Yes </w:t>
            </w:r>
            <w:proofErr w:type="gramStart"/>
            <w:r w:rsidRPr="00AE0D1F">
              <w:rPr>
                <w:rFonts w:asciiTheme="minorHAnsi" w:hAnsiTheme="minorHAnsi" w:cstheme="minorHAnsi"/>
                <w:sz w:val="22"/>
                <w:szCs w:val="22"/>
              </w:rPr>
              <w:t xml:space="preserve">– </w:t>
            </w:r>
            <w:r w:rsidR="00A316B4">
              <w:rPr>
                <w:rFonts w:asciiTheme="minorHAnsi" w:hAnsiTheme="minorHAnsi" w:cstheme="minorHAnsi"/>
                <w:sz w:val="22"/>
                <w:szCs w:val="22"/>
              </w:rPr>
              <w:t xml:space="preserve"> </w:t>
            </w:r>
            <w:r w:rsidR="003D6B66">
              <w:rPr>
                <w:rFonts w:asciiTheme="minorHAnsi" w:hAnsiTheme="minorHAnsi" w:cstheme="minorHAnsi"/>
                <w:sz w:val="22"/>
                <w:szCs w:val="22"/>
              </w:rPr>
              <w:t>iPad</w:t>
            </w:r>
            <w:proofErr w:type="gramEnd"/>
          </w:p>
        </w:tc>
      </w:tr>
    </w:tbl>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005738EA" w:rsidP="00784E36" w:rsidRDefault="00BB4F22" w14:paraId="40263510" w14:textId="72C777CC">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Pr="00784E36" w:rsidR="00784E36" w:rsidP="00784E36" w:rsidRDefault="00784E36" w14:paraId="694BBDB9" w14:textId="77777777">
      <w:pPr>
        <w:tabs>
          <w:tab w:val="left" w:pos="720"/>
          <w:tab w:val="left" w:pos="1440"/>
          <w:tab w:val="left" w:pos="2160"/>
          <w:tab w:val="left" w:pos="3600"/>
          <w:tab w:val="left" w:pos="5040"/>
          <w:tab w:val="left" w:pos="5760"/>
        </w:tabs>
        <w:spacing w:before="220" w:after="0"/>
        <w:rPr>
          <w:rFonts w:cs="Arial"/>
          <w:i/>
        </w:rPr>
      </w:pPr>
    </w:p>
    <w:p w:rsidRPr="005738EA" w:rsidR="003D6B66" w:rsidP="005738EA" w:rsidRDefault="003D6B66" w14:paraId="6F95FFB6" w14:textId="3F5DFAB4">
      <w:pPr>
        <w:tabs>
          <w:tab w:val="left" w:pos="360"/>
          <w:tab w:val="left" w:pos="540"/>
          <w:tab w:val="left" w:pos="1440"/>
          <w:tab w:val="left" w:pos="2160"/>
          <w:tab w:val="left" w:pos="3600"/>
          <w:tab w:val="left" w:pos="5040"/>
          <w:tab w:val="left" w:pos="5760"/>
        </w:tabs>
        <w:spacing w:line="360" w:lineRule="auto"/>
        <w:rPr>
          <w:rFonts w:ascii="Calibri" w:hAnsi="Calibri" w:cs="Calibri"/>
        </w:rPr>
      </w:pPr>
      <w:r w:rsidRPr="005738EA">
        <w:rPr>
          <w:rFonts w:ascii="Calibri" w:hAnsi="Calibri" w:cs="Calibri"/>
        </w:rPr>
        <w:t>Parks and protected areas are important for modern ungulate conservation. The Greater Yellowstone Ecosystem (GYE)</w:t>
      </w:r>
      <w:r w:rsidR="00432F9B">
        <w:rPr>
          <w:rFonts w:ascii="Calibri" w:hAnsi="Calibri" w:cs="Calibri"/>
        </w:rPr>
        <w:t>, which includes</w:t>
      </w:r>
      <w:r w:rsidRPr="005738EA">
        <w:rPr>
          <w:rFonts w:ascii="Calibri" w:hAnsi="Calibri" w:cs="Calibri"/>
        </w:rPr>
        <w:t xml:space="preserve"> </w:t>
      </w:r>
      <w:r w:rsidRPr="005738EA" w:rsidR="00432F9B">
        <w:rPr>
          <w:rFonts w:ascii="Calibri" w:hAnsi="Calibri" w:cs="Calibri"/>
        </w:rPr>
        <w:t>Yellowstone (YELL) and Grand Teton (GRTE) National Parks</w:t>
      </w:r>
      <w:r w:rsidR="00432F9B">
        <w:rPr>
          <w:rFonts w:ascii="Calibri" w:hAnsi="Calibri" w:cs="Calibri"/>
        </w:rPr>
        <w:t xml:space="preserve">, </w:t>
      </w:r>
      <w:r w:rsidRPr="005738EA">
        <w:rPr>
          <w:rFonts w:ascii="Calibri" w:hAnsi="Calibri" w:cs="Calibri"/>
        </w:rPr>
        <w:t>boasts some of the largest, free-roaming conservation herds within their native, historic range. GYE managers report cases of undesirable interactions between people and wildlife including grizzly and black bears, bison, moose, elk, and pronghorn. However, bison are involved in more dangerous interactions than any other species in the GYE. Furthermore, conflicts between people and elk are becoming more prominent</w:t>
      </w:r>
      <w:r w:rsidR="003D39C3">
        <w:rPr>
          <w:rFonts w:ascii="Calibri" w:hAnsi="Calibri" w:cs="Calibri"/>
        </w:rPr>
        <w:t>, especially in Mammoth in YELL</w:t>
      </w:r>
      <w:r w:rsidRPr="005738EA">
        <w:rPr>
          <w:rFonts w:ascii="Calibri" w:hAnsi="Calibri" w:cs="Calibri"/>
        </w:rPr>
        <w:t xml:space="preserve">. This study will be conducted in GRTE and YELL and will focus on the effectiveness of communication strategies for encouraging appropriate distance-related visitor-wildlife interactions. </w:t>
      </w:r>
      <w:r w:rsidR="003D39C3">
        <w:rPr>
          <w:rFonts w:ascii="Calibri" w:hAnsi="Calibri" w:cs="Calibri"/>
        </w:rPr>
        <w:t>More specifically, this study focuses on human-bison interactions in GRTE (Sample Area A) and human-elk interactions in YELL (Sample Area B).</w:t>
      </w:r>
    </w:p>
    <w:p w:rsidRPr="005738EA" w:rsidR="003D6B66" w:rsidP="005738EA" w:rsidRDefault="003D6B66" w14:paraId="687FCB0C" w14:textId="59BEE8F7">
      <w:pPr>
        <w:tabs>
          <w:tab w:val="left" w:pos="360"/>
          <w:tab w:val="left" w:pos="540"/>
          <w:tab w:val="left" w:pos="1440"/>
          <w:tab w:val="left" w:pos="2160"/>
          <w:tab w:val="left" w:pos="3600"/>
          <w:tab w:val="left" w:pos="5040"/>
          <w:tab w:val="left" w:pos="5760"/>
        </w:tabs>
        <w:spacing w:line="360" w:lineRule="auto"/>
        <w:rPr>
          <w:rFonts w:ascii="Calibri" w:hAnsi="Calibri" w:cs="Calibri"/>
        </w:rPr>
      </w:pPr>
      <w:r w:rsidRPr="005738EA">
        <w:rPr>
          <w:rFonts w:ascii="Calibri" w:hAnsi="Calibri" w:cs="Calibri"/>
        </w:rPr>
        <w:t xml:space="preserve">On average, bison injure approximately </w:t>
      </w:r>
      <w:r w:rsidR="00A81525">
        <w:rPr>
          <w:rFonts w:ascii="Calibri" w:hAnsi="Calibri" w:cs="Calibri"/>
        </w:rPr>
        <w:t>four</w:t>
      </w:r>
      <w:r w:rsidRPr="005738EA">
        <w:rPr>
          <w:rFonts w:ascii="Calibri" w:hAnsi="Calibri" w:cs="Calibri"/>
        </w:rPr>
        <w:t xml:space="preserve"> people per year in this region, and elk in</w:t>
      </w:r>
      <w:r w:rsidR="003D39C3">
        <w:rPr>
          <w:rFonts w:ascii="Calibri" w:hAnsi="Calibri" w:cs="Calibri"/>
        </w:rPr>
        <w:t>cidents</w:t>
      </w:r>
      <w:r w:rsidRPr="005738EA">
        <w:rPr>
          <w:rFonts w:ascii="Calibri" w:hAnsi="Calibri" w:cs="Calibri"/>
        </w:rPr>
        <w:t xml:space="preserve"> </w:t>
      </w:r>
      <w:r w:rsidR="003D39C3">
        <w:rPr>
          <w:rFonts w:ascii="Calibri" w:hAnsi="Calibri" w:cs="Calibri"/>
        </w:rPr>
        <w:t>are becoming increasingly concerning</w:t>
      </w:r>
      <w:r w:rsidRPr="005738EA">
        <w:rPr>
          <w:rFonts w:ascii="Calibri" w:hAnsi="Calibri" w:cs="Calibri"/>
        </w:rPr>
        <w:t xml:space="preserve">. Most of these incidents occur when people approach ungulates at proximities less than the GYE regulation of 25 yards. Facilitating </w:t>
      </w:r>
      <w:r w:rsidR="00A40316">
        <w:rPr>
          <w:rFonts w:ascii="Calibri" w:hAnsi="Calibri" w:cs="Calibri"/>
        </w:rPr>
        <w:t>high-quality</w:t>
      </w:r>
      <w:r w:rsidRPr="005738EA">
        <w:rPr>
          <w:rFonts w:ascii="Calibri" w:hAnsi="Calibri" w:cs="Calibri"/>
        </w:rPr>
        <w:t xml:space="preserve"> wildlife viewing experiences while minimizing negative wildlife and visitor impacts is complicated by people’s desire for proximity, often reported as an indicator of visitor satisfaction </w:t>
      </w:r>
      <w:r w:rsidRPr="005738EA">
        <w:rPr>
          <w:rFonts w:ascii="Calibri" w:hAnsi="Calibri" w:cs="Calibri"/>
        </w:rPr>
        <w:fldChar w:fldCharType="begin" w:fldLock="1"/>
      </w:r>
      <w:r w:rsidRPr="005738EA">
        <w:rPr>
          <w:rFonts w:ascii="Calibri" w:hAnsi="Calibri" w:cs="Calibri"/>
        </w:rPr>
        <w:instrText>ADDIN CSL_CITATION {"citationItems":[{"id":"ITEM-1","itemData":{"DOI":"10.1080/14724049.2017.1410551","ISSN":"17477638","abstract":"© 2017 Informa UK Limited, trading as Taylor  &amp;  Francis Group Proximity, the physical distance between visitors and wildlife, has been suggested as a potential factor contributing to high-quality wildlife viewing experiences. Managing visitor proximity to wildlife through interpretation and regulation is a recognized strategy to improve the safety of visitors and the species they encounter during ecotourism experiences in parks and protected areas. To further understand the important elements that influence proximity preferences for wildlife viewing, this study used an interpretivist approach to explore the experiences of visitors (n = 43) at Denali National Park &amp; Preserve (Alaska, U.S.A). Results indicate that five interrelated themes influence visitors’ desired proximity to wildlife. Study findings also highlight the importance of park unit-specific management, and the need to manage at a unit-specific level the expectations for wildlife viewing proximity. Practitioners can use these findings to inform wildlife viewing management, increase visitor safety, and positively influence visitor experiences.","author":[{"dropping-particle":"","family":"Verbos","given":"R. I.","non-dropping-particle":"","parse-names":false,"suffix":""},{"dropping-particle":"","family":"Zajchowski","given":"C. A.B.","non-dropping-particle":"","parse-names":false,"suffix":""},{"dropping-particle":"","family":"Brownlee","given":"M. T.J.","non-dropping-particle":"","parse-names":false,"suffix":""},{"dropping-particle":"","family":"Skibins","given":"J. C.","non-dropping-particle":"","parse-names":false,"suffix":""}],"container-title":"Journal of Ecotourism","id":"ITEM-1","issue":"4","issued":{"date-parts":[["2018"]]},"page":"409-424","publisher":"Taylor &amp; Francis","title":"‘I’d like to be just a bit closer’: wildlife viewing proximity preferences at Denali National Park &amp; Preserve","type":"article-journal","volume":"17"},"uris":["http://www.mendeley.com/documents/?uuid=73b28ede-463d-494b-8a93-37ff07496e5b"]},{"id":"ITEM-2","itemData":{"DOI":"10.1080/09669580008667348","ISSN":"17477646","abstract":"The personal and emotive context of visitors' experiences has been neglected in much sustainable tourist attraction management. This paper applies ASEB demi-grid analysis as a consumer-oriented management tool to facilitate an understanding of the beneficial experiences gained by international visitors to a penguin-watching tourism attraction on the Otago Peninsula, New Zealand. Forty in-depth interviews with visitors showed that the main beneficial experiences gained included reported enhanced environmental awareness (cognition) and 'mood' benefits (affection). In addition, several consistent themes emerged from the beneficial experiences reported by tourists, including issues related to viewing, proximity, authenticity, and wonder. Findings thus included the perceived importance of visitors to be able to view engangered penguins 'up close' in their natural habitat to elicit feelings of exploration and privilege, to appreciate the simplicity and naturalness of the setting and to increase their knowledge of the species through interaction with an experienced guide.","author":[{"dropping-particle":"","family":"Schänzel","given":"Heike A.","non-dropping-particle":"","parse-names":false,"suffix":""},{"dropping-particle":"","family":"McIntosh","given":"Alison J.","non-dropping-particle":"","parse-names":false,"suffix":""}],"container-title":"Journal of Sustainable Tourism","id":"ITEM-2","issue":"1","issued":{"date-parts":[["2000"]]},"page":"36-52","title":"An insight into the personal and emotive context of wildlife viewing at the penguin place, otago peninsula, New Zealand","type":"article-journal","volume":"8"},"uris":["http://www.mendeley.com/documents/?uuid=a30e0a00-609b-47b8-b3ae-652bcf89ffec"]},{"id":"ITEM-3","itemData":{"DOI":"10.1177/004728759503400205","ISSN":"15526763","abstract":"This article profiles wildlife-viewing tourists in New Zealand, establishing how their characteristics differ from other international visitors to that country and examining a range of behavioral and attitudinal factors. Results indicate that these tourists have above average total expenditure and lengths of stay and spread the expenditure more widely through New Zealand. The evidence also suggests that for most people engaging in wildlife-viewing tourism in New Zealand this activity is only one activity among many. © 1995, Sage Publications. All rights reserved.","author":[{"dropping-particle":"","family":"Pearce","given":"Douglas G.","non-dropping-particle":"","parse-names":false,"suffix":""},{"dropping-particle":"","family":"Wilson","given":"Paula M.","non-dropping-particle":"","parse-names":false,"suffix":""}],"container-title":"Journal of Travel Research","id":"ITEM-3","issue":"2","issued":{"date-parts":[["1995"]]},"page":"19-26","title":"Wildlife-Viewing Tourists in New Zealand","type":"article-journal","volume":"34"},"uris":["http://www.mendeley.com/documents/?uuid=40f79c1b-5c26-4c2d-b036-d386c2fe2d0e"]}],"mendeley":{"formattedCitation":"(Pearce &amp; Wilson, 1995; Schänzel &amp; McIntosh, 2000; Verbos, Zajchowski, Brownlee, &amp; Skibins, 2018)","plainTextFormattedCitation":"(Pearce &amp; Wilson, 1995; Schänzel &amp; McIntosh, 2000; Verbos, Zajchowski, Brownlee, &amp; Skibins, 2018)","previouslyFormattedCitation":"(Pearce &amp; Wilson, 1995; Schänzel &amp; McIntosh, 2000; Verbos, Zajchowski, Brownlee, &amp; Skibins, 2018)"},"properties":{"noteIndex":0},"schema":"https://github.com/citation-style-language/schema/raw/master/csl-citation.json"}</w:instrText>
      </w:r>
      <w:r w:rsidRPr="005738EA">
        <w:rPr>
          <w:rFonts w:ascii="Calibri" w:hAnsi="Calibri" w:cs="Calibri"/>
        </w:rPr>
        <w:fldChar w:fldCharType="separate"/>
      </w:r>
      <w:r w:rsidRPr="005738EA">
        <w:rPr>
          <w:rFonts w:ascii="Calibri" w:hAnsi="Calibri" w:cs="Calibri"/>
        </w:rPr>
        <w:t>(Pearce &amp; Wilson, 1995; Schänzel &amp; McIntosh, 2000; Verbos, Zajchowski, Brownlee, &amp; Skibins, 2018)</w:t>
      </w:r>
      <w:r w:rsidRPr="005738EA">
        <w:rPr>
          <w:rFonts w:ascii="Calibri" w:hAnsi="Calibri" w:cs="Calibri"/>
        </w:rPr>
        <w:fldChar w:fldCharType="end"/>
      </w:r>
      <w:r w:rsidRPr="005738EA">
        <w:rPr>
          <w:rFonts w:ascii="Calibri" w:hAnsi="Calibri" w:cs="Calibri"/>
        </w:rPr>
        <w:t xml:space="preserve">. A number of factors may contribute to wildlife-related decision-making, such as the efficacy of communication efforts </w:t>
      </w:r>
      <w:r w:rsidRPr="005738EA">
        <w:rPr>
          <w:rFonts w:ascii="Calibri" w:hAnsi="Calibri" w:cs="Calibri"/>
        </w:rPr>
        <w:fldChar w:fldCharType="begin" w:fldLock="1"/>
      </w:r>
      <w:r w:rsidRPr="005738EA">
        <w:rPr>
          <w:rFonts w:ascii="Calibri" w:hAnsi="Calibri" w:cs="Calibri"/>
        </w:rPr>
        <w:instrText>ADDIN CSL_CITATION {"citationItems":[{"id":"ITEM-1","itemData":{"DOI":"10.1080/10871209.2017.1397825","ISBN":"10871209 (ISSN)","ISSN":"1533158X","abstract":"Distance-related human-wildlife interactions are a challenge in diverse\nsettings across the globe. However, few methodological approaches have\nbeen proposed to explore the issue of distance in human dimensions\nresearch. Drawing from previous research related to crowding, noise\npollution, and other visitor experience concepts, this methodological\narticle describes a novel visual-based social norm method for evaluating\ndistance-related human-wildlife interactions. We discuss the process of\nconstructing the tools, the field testing of the techniques in\nYellowstone National Park, and reflect on the methodological approach.\nFrom these methods, practitioners can gain information about distance\nthresholds of visitors in relation to wildlife viewing and potentially\nhelp identify deviant groups of visitors. Future research directions\ninclude pre-post research designs, controlled experiments, and belief\nevaluations for improving communications.","author":[{"dropping-particle":"","family":"Miller","given":"Zachary D.","non-dropping-particle":"","parse-names":false,"suffix":""},{"dropping-particle":"","family":"Freimund","given":"Wayne","non-dropping-particle":"","parse-names":false,"suffix":""}],"container-title":"Human Dimensions of Wildlife","id":"ITEM-1","issue":"2","issued":{"date-parts":[["2018"]]},"page":"176-186","title":"Using visual-based social norm methods to understand distance-related human–wildlife interactions","type":"article-journal","volume":"23"},"uris":["http://www.mendeley.com/documents/?uuid=09755627-5ac9-47c0-86df-7a9b255815d7"]}],"mendeley":{"formattedCitation":"(Miller &amp; Freimund, 2018)","plainTextFormattedCitation":"(Miller &amp; Freimund, 2018)","previouslyFormattedCitation":"(Miller &amp; Freimund, 2018)"},"properties":{"noteIndex":0},"schema":"https://github.com/citation-style-language/schema/raw/master/csl-citation.json"}</w:instrText>
      </w:r>
      <w:r w:rsidRPr="005738EA">
        <w:rPr>
          <w:rFonts w:ascii="Calibri" w:hAnsi="Calibri" w:cs="Calibri"/>
        </w:rPr>
        <w:fldChar w:fldCharType="separate"/>
      </w:r>
      <w:r w:rsidRPr="005738EA">
        <w:rPr>
          <w:rFonts w:ascii="Calibri" w:hAnsi="Calibri" w:cs="Calibri"/>
        </w:rPr>
        <w:t>(Miller &amp; Freimund, 2018)</w:t>
      </w:r>
      <w:r w:rsidRPr="005738EA">
        <w:rPr>
          <w:rFonts w:ascii="Calibri" w:hAnsi="Calibri" w:cs="Calibri"/>
        </w:rPr>
        <w:fldChar w:fldCharType="end"/>
      </w:r>
      <w:r w:rsidRPr="005738EA">
        <w:rPr>
          <w:rFonts w:ascii="Calibri" w:hAnsi="Calibri" w:cs="Calibri"/>
        </w:rPr>
        <w:t xml:space="preserve"> and human emotion </w:t>
      </w:r>
      <w:r w:rsidRPr="005738EA">
        <w:rPr>
          <w:rFonts w:ascii="Calibri" w:hAnsi="Calibri" w:cs="Calibri"/>
        </w:rPr>
        <w:fldChar w:fldCharType="begin" w:fldLock="1"/>
      </w:r>
      <w:r w:rsidRPr="005738EA">
        <w:rPr>
          <w:rFonts w:ascii="Calibri" w:hAnsi="Calibri" w:cs="Calibri"/>
        </w:rPr>
        <w:instrText>ADDIN CSL_CITATION {"citationItems":[{"id":"ITEM-1","itemData":{"DOI":"10.1080/10871209.2012.653674","ISSN":"10871209","abstract":"Emotions emerged much earlier in the course of biological evolution than our “higher order” mental capacities, such as using complex language, abstract thinking, reasoning, or consciousness (LeDoux, 1999). Following the phylogenetic ladder down from humans toward increasingly primitive species, these higher order capacities disappear before emotions do. Emotion is an ancient and basic mental capacity. Virtually all aspects of cognition are affected by emotion, such as attention (Öhman, Flykt &amp; Esteves, 2001), perception (Dolan, 2002), motivation (Izard, 2009), and memory formation (Talarico &amp; Rubin, 2003). Emotions are powerful and usually take control over mind and behavior once they occur (LeDoux, 1996). By virtue of having emotions, humans are able to ascribe value to objects and events. And emotions are central to everyday human experience (Dolan, 2002). The importance of emotions extends into the domain of human–wildlife interactions (Jacobs, 2009; Manfredo, 2008). Humans inherited an emotional system that partially evolved to meet wildlife–related challenges. The emotional system developed as an adaptive system (Ekman &amp; Friessen, 1971), as emotional responses often promote survival and well–being. Fear responses, for example, include an increased heartbeat, the release of adrenaline and quickly prepare the body for fight–or–flight responses (LeDoux, 1996). Wildlife was crucial to the survival of the hunters–gatherers. The daily lives of humans have drastically changed since the advent of agriculture approximately 10.000 years ago (Diamond, 2005), and wildlife might not play a vital role for people living in many contemporary cultures. The inborn, inherited sensitivity toward wildlife, however, is by and large conserved, and still acting within contemporary humans. It is not a coincidence that emotion researchers often present examples of emotional responses to wildlife to illustrate important theoretical claims, such as the adaptive nature of emotions (e.g., LeDoux, 1996). Animals form one of the basic categories of the International Affective Picture System. This calibrated set of pictures are often used to elicit emotions in subjects during experiments (Bradley &amp; Lang, 2007). Emotional dispositions and responses toward wildlife are not confined to inherited ones. Past personal experiences and culturally shared information influence emotions as well. Wildlife often appears prominently as symbols (e.g., the American eagle, the Dutch lion) and in n…","author":[{"dropping-particle":"","family":"Jacobs","given":"Maarten H.","non-dropping-particle":"","parse-names":false,"suffix":""}],"container-title":"Human Dimensions of Wildlife","id":"ITEM-1","issue":"1","issued":{"date-parts":[["2012"]]},"page":"1-3","title":"Human Emotions Toward Wildlife","type":"article-journal","volume":"17"},"uris":["http://www.mendeley.com/documents/?uuid=f26316a0-ac8b-4e61-80de-14d366ba4ca3"]}],"mendeley":{"formattedCitation":"(Jacobs, 2012)","plainTextFormattedCitation":"(Jacobs, 2012)","previouslyFormattedCitation":"(Jacobs, 2012)"},"properties":{"noteIndex":0},"schema":"https://github.com/citation-style-language/schema/raw/master/csl-citation.json"}</w:instrText>
      </w:r>
      <w:r w:rsidRPr="005738EA">
        <w:rPr>
          <w:rFonts w:ascii="Calibri" w:hAnsi="Calibri" w:cs="Calibri"/>
        </w:rPr>
        <w:fldChar w:fldCharType="separate"/>
      </w:r>
      <w:r w:rsidRPr="005738EA">
        <w:rPr>
          <w:rFonts w:ascii="Calibri" w:hAnsi="Calibri" w:cs="Calibri"/>
        </w:rPr>
        <w:t>(Jacobs, 2012)</w:t>
      </w:r>
      <w:r w:rsidRPr="005738EA">
        <w:rPr>
          <w:rFonts w:ascii="Calibri" w:hAnsi="Calibri" w:cs="Calibri"/>
        </w:rPr>
        <w:fldChar w:fldCharType="end"/>
      </w:r>
      <w:r w:rsidRPr="005738EA">
        <w:rPr>
          <w:rFonts w:ascii="Calibri" w:hAnsi="Calibri" w:cs="Calibri"/>
        </w:rPr>
        <w:t xml:space="preserve">. Wildlife-related </w:t>
      </w:r>
      <w:r w:rsidR="00A40316">
        <w:rPr>
          <w:rFonts w:ascii="Calibri" w:hAnsi="Calibri" w:cs="Calibri"/>
        </w:rPr>
        <w:t>decision-making</w:t>
      </w:r>
      <w:r w:rsidRPr="005738EA">
        <w:rPr>
          <w:rFonts w:ascii="Calibri" w:hAnsi="Calibri" w:cs="Calibri"/>
        </w:rPr>
        <w:t xml:space="preserve"> can also be understood as a function of people’s mental and emotional responses to wildlife (</w:t>
      </w:r>
      <w:proofErr w:type="spellStart"/>
      <w:r w:rsidRPr="005738EA">
        <w:rPr>
          <w:rFonts w:ascii="Calibri" w:hAnsi="Calibri" w:cs="Calibri"/>
        </w:rPr>
        <w:t>Hudenko</w:t>
      </w:r>
      <w:proofErr w:type="spellEnd"/>
      <w:r w:rsidRPr="005738EA">
        <w:rPr>
          <w:rFonts w:ascii="Calibri" w:hAnsi="Calibri" w:cs="Calibri"/>
        </w:rPr>
        <w:t xml:space="preserve">, 2012; Jacobs, 2012; </w:t>
      </w:r>
      <w:proofErr w:type="spellStart"/>
      <w:r w:rsidRPr="005738EA">
        <w:rPr>
          <w:rFonts w:ascii="Calibri" w:hAnsi="Calibri" w:cs="Calibri"/>
        </w:rPr>
        <w:t>Jochum</w:t>
      </w:r>
      <w:proofErr w:type="spellEnd"/>
      <w:r w:rsidRPr="005738EA">
        <w:rPr>
          <w:rFonts w:ascii="Calibri" w:hAnsi="Calibri" w:cs="Calibri"/>
        </w:rPr>
        <w:t xml:space="preserve"> et al., 2014). Cognitive theories postulate that decision making and behavior are logical, deliberative, and rational. In contrast, human-wildlife interactions are often emotionally charged events, and the worry, fear, pleasure, or other highly valanced emotions people experience during </w:t>
      </w:r>
      <w:r w:rsidRPr="005738EA">
        <w:rPr>
          <w:rFonts w:ascii="Calibri" w:hAnsi="Calibri" w:cs="Calibri"/>
        </w:rPr>
        <w:lastRenderedPageBreak/>
        <w:t xml:space="preserve">a wildlife encounter might drive subsequent conflict </w:t>
      </w:r>
      <w:r w:rsidRPr="005738EA">
        <w:rPr>
          <w:rFonts w:ascii="Calibri" w:hAnsi="Calibri" w:cs="Calibri"/>
        </w:rPr>
        <w:fldChar w:fldCharType="begin" w:fldLock="1"/>
      </w:r>
      <w:r w:rsidRPr="005738EA">
        <w:rPr>
          <w:rFonts w:ascii="Calibri" w:hAnsi="Calibri" w:cs="Calibri"/>
        </w:rPr>
        <w:instrText>ADDIN CSL_CITATION {"citationItems":[{"id":"ITEM-1","itemData":{"DOI":"10.1080/10871209.2012.623262","ISSN":"10871209","abstract":"Human decisions and behaviors influence whether human–wildlife encounters result in negative outcomes for people and wildlife. For instance, the decision to feed or to approach a bear for a photograph may foster food conditioning or habituation, processes that often lead to conflict. In this article I apply theories and frameworks from the risk and decision making literature to understand human decisions related to human–wildlife conflicts. Through a review of cognitive and affective theories of deci-sion making, I explore ways in which emotions and cognitions influence decision making related to negative human–wildlife interactions. I argue that models that integrate emo-tion are most relevant for understanding decision making in human–wildlife conflict. The ability of managers to predict human behavior in these contexts may be improved through the application of integrated models of decision making. This knowledge could help us to evaluate wildlife management regulations and inform communication efforts.","author":[{"dropping-particle":"","family":"Hudenko","given":"Heather W.","non-dropping-particle":"","parse-names":false,"suffix":""}],"container-title":"Human Dimensions of Wildlife","id":"ITEM-1","issue":"1","issued":{"date-parts":[["2012"]]},"page":"16-28","title":"Exploring the Influence of Emotion on Human Decision Making in Human-Wildlife Conflict","type":"article-journal","volume":"17"},"uris":["http://www.mendeley.com/documents/?uuid=6ccc72b7-1b35-4cb4-9dc6-c63eb1d18a0c"]},{"id":"ITEM-2","itemData":{"DOI":"10.1016/j.gloenvcha.2014.03.011","ISSN":"09593780","abstract":"The unpredictability of human behavior toward wildlife, coupled with changes in human behavior over space and time, are integral challenges of today's wildlife managers to meet administrative mandates. These challenges are exacerbated by extensive urban development and human population growth along with recent successes in wildlife conservation, leading to increasing encounters, and conflicts, between humans and wildlife. Thus, wildlife management is increasingly concerned with managing the co-existence of people and wildlife in a diminishing wild. However, attempting to analyze human-wildlife encounters, or solve human-wildlife conflicts, continues to be problematic. No structured behavior theory exists on how to address these management challenges. This study is a first attempt to do so through assembling and analyzing existing social-psychological, human-environment, and human-wildlife behavior theories and models in regard to their relevance to human-wildlife encounters. We illustrate the need to move from individualistic social and ecological approaches to an integrated complexity-theory based approach. We argue that human-wildlife encounters can only be understood and modified toward resilient relationships when treated as a complex social-ecological system. Key factors identified across literature impacting formation of positive and negative perceptions and behavior decision-making during an encounter are: cognition and emotions formed through beliefs and experiences across scales, barriers and benefits to specific behavior choices, and social thresholds. Using this multi-disciplinary approach, models and theories are drawn upon to develop the Integrated Adaptive Behavior Model of human-wildlife encounters. © 2014 Elsevier Ltd.","author":[{"dropping-particle":"","family":"Jochum","given":"Kim A.","non-dropping-particle":"","parse-names":false,"suffix":""},{"dropping-particle":"","family":"Kliskey","given":"Andrew A.","non-dropping-particle":"","parse-names":false,"suffix":""},{"dropping-particle":"","family":"Hundertmark","given":"Kris J.","non-dropping-particle":"","parse-names":false,"suffix":""},{"dropping-particle":"","family":"Alessa","given":"Lilian","non-dropping-particle":"","parse-names":false,"suffix":""}],"container-title":"Global Environmental Change","id":"ITEM-2","issue":"1","issued":{"date-parts":[["2014"]]},"page":"73-86","publisher":"Elsevier Ltd","title":"Integrating complexity in the management of human-wildlife encounters","type":"article-journal","volume":"26"},"uris":["http://www.mendeley.com/documents/?uuid=96cb22fd-6739-419d-8952-3668a3b46da7"]}],"mendeley":{"formattedCitation":"(Hudenko, 2012; Jochum et al., 2014)","plainTextFormattedCitation":"(Hudenko, 2012; Jochum et al., 2014)","previouslyFormattedCitation":"(Hudenko, 2012; Jochum et al., 2014)"},"properties":{"noteIndex":0},"schema":"https://github.com/citation-style-language/schema/raw/master/csl-citation.json"}</w:instrText>
      </w:r>
      <w:r w:rsidRPr="005738EA">
        <w:rPr>
          <w:rFonts w:ascii="Calibri" w:hAnsi="Calibri" w:cs="Calibri"/>
        </w:rPr>
        <w:fldChar w:fldCharType="separate"/>
      </w:r>
      <w:r w:rsidRPr="005738EA">
        <w:rPr>
          <w:rFonts w:ascii="Calibri" w:hAnsi="Calibri" w:cs="Calibri"/>
        </w:rPr>
        <w:t>(Hudenko, 2012; Jochum et al., 2014)</w:t>
      </w:r>
      <w:r w:rsidRPr="005738EA">
        <w:rPr>
          <w:rFonts w:ascii="Calibri" w:hAnsi="Calibri" w:cs="Calibri"/>
        </w:rPr>
        <w:fldChar w:fldCharType="end"/>
      </w:r>
      <w:r w:rsidRPr="005738EA">
        <w:rPr>
          <w:rFonts w:ascii="Calibri" w:hAnsi="Calibri" w:cs="Calibri"/>
        </w:rPr>
        <w:t xml:space="preserve">. Integrative theories and frameworks that consider both cognitions and emotions are relevant in the discussion of human-wildlife conflict. Park managers are seeking information on the effectiveness of the current messaging strategies designed to help visitors estimate distances between themselves and wildlife, and if messaging could be improved by using emotional appeals versus visual cues (i.e., maintain a minimum of 25 yards from </w:t>
      </w:r>
      <w:r w:rsidR="003D39C3">
        <w:rPr>
          <w:rFonts w:ascii="Calibri" w:hAnsi="Calibri" w:cs="Calibri"/>
        </w:rPr>
        <w:t>bison/elk</w:t>
      </w:r>
      <w:r w:rsidRPr="005738EA">
        <w:rPr>
          <w:rFonts w:ascii="Calibri" w:hAnsi="Calibri" w:cs="Calibri"/>
        </w:rPr>
        <w:t>; maintain a minimum of 2 bus lengths from</w:t>
      </w:r>
      <w:r w:rsidR="003D39C3">
        <w:rPr>
          <w:rFonts w:ascii="Calibri" w:hAnsi="Calibri" w:cs="Calibri"/>
        </w:rPr>
        <w:t xml:space="preserve"> bison/elk</w:t>
      </w:r>
      <w:r w:rsidRPr="005738EA">
        <w:rPr>
          <w:rFonts w:ascii="Calibri" w:hAnsi="Calibri" w:cs="Calibri"/>
        </w:rPr>
        <w:t>). Park managers are currently using two different messages, using visual cues, to encourage appropriate viewing behavior around ungulates. Regulations require visitors stay (1) 25 yards, or (2) 2 school bus lengths away from</w:t>
      </w:r>
      <w:r w:rsidR="003D39C3">
        <w:rPr>
          <w:rFonts w:ascii="Calibri" w:hAnsi="Calibri" w:cs="Calibri"/>
        </w:rPr>
        <w:t xml:space="preserve"> bison/elk</w:t>
      </w:r>
      <w:r w:rsidRPr="005738EA">
        <w:rPr>
          <w:rFonts w:ascii="Calibri" w:hAnsi="Calibri" w:cs="Calibri"/>
        </w:rPr>
        <w:t xml:space="preserve">. No research has been conducted to test the efficacy of the current messages in assisting visitors to correctly estimate distances between themselves and wildlife. Furthermore, there is a gap in understanding the effect that emotions might have on distance-related decision making. With that, this study will test the efficacy of four messaging strategies: (two distance messages currently employed by the NPS, one control message that does not offer a distance recommendation, and one </w:t>
      </w:r>
      <w:r w:rsidR="00A40316">
        <w:rPr>
          <w:rFonts w:ascii="Calibri" w:hAnsi="Calibri" w:cs="Calibri"/>
        </w:rPr>
        <w:t>emotionally-charged</w:t>
      </w:r>
      <w:r w:rsidRPr="005738EA">
        <w:rPr>
          <w:rFonts w:ascii="Calibri" w:hAnsi="Calibri" w:cs="Calibri"/>
        </w:rPr>
        <w:t xml:space="preserve"> message): </w:t>
      </w:r>
    </w:p>
    <w:p w:rsidRPr="0031421F" w:rsidR="003D6B66" w:rsidP="003D6B66" w:rsidRDefault="003D6B66" w14:paraId="099D74CA" w14:textId="44B290A9">
      <w:pPr>
        <w:pStyle w:val="ListParagraph"/>
        <w:numPr>
          <w:ilvl w:val="0"/>
          <w:numId w:val="37"/>
        </w:numPr>
        <w:spacing w:line="360" w:lineRule="auto"/>
        <w:rPr>
          <w:rFonts w:ascii="Calibri" w:hAnsi="Calibri" w:cs="Calibri"/>
        </w:rPr>
      </w:pPr>
      <w:r w:rsidRPr="0031421F">
        <w:rPr>
          <w:rFonts w:ascii="Calibri" w:hAnsi="Calibri" w:cs="Calibri"/>
        </w:rPr>
        <w:t xml:space="preserve">“The National Park Service recommends you stay a minimum distance of 25 yards from </w:t>
      </w:r>
      <w:r>
        <w:rPr>
          <w:rFonts w:ascii="Calibri" w:hAnsi="Calibri" w:cs="Calibri"/>
        </w:rPr>
        <w:t>[INSERT WILDLIFE SPECIES HERE]</w:t>
      </w:r>
      <w:r w:rsidRPr="0031421F">
        <w:rPr>
          <w:rFonts w:ascii="Calibri" w:hAnsi="Calibri" w:cs="Calibri"/>
        </w:rPr>
        <w:t xml:space="preserve">. Please move to the point that best represents the recommended distance.”; </w:t>
      </w:r>
    </w:p>
    <w:p w:rsidRPr="0031421F" w:rsidR="003D6B66" w:rsidP="003D6B66" w:rsidRDefault="003D6B66" w14:paraId="78960C4C" w14:textId="5D52E8BA">
      <w:pPr>
        <w:pStyle w:val="ListParagraph"/>
        <w:numPr>
          <w:ilvl w:val="0"/>
          <w:numId w:val="37"/>
        </w:numPr>
        <w:spacing w:line="360" w:lineRule="auto"/>
        <w:rPr>
          <w:rFonts w:ascii="Calibri" w:hAnsi="Calibri" w:cs="Calibri"/>
        </w:rPr>
      </w:pPr>
      <w:r w:rsidRPr="0031421F">
        <w:rPr>
          <w:rFonts w:ascii="Calibri" w:hAnsi="Calibri" w:cs="Calibri"/>
        </w:rPr>
        <w:t xml:space="preserve">“The National Park Service recommends you stay a minimum distance of 2 bus lengths from </w:t>
      </w:r>
      <w:r>
        <w:rPr>
          <w:rFonts w:ascii="Calibri" w:hAnsi="Calibri" w:cs="Calibri"/>
        </w:rPr>
        <w:t>[INSERT WILDLIFE SPECIES HERE]</w:t>
      </w:r>
      <w:r w:rsidRPr="0031421F">
        <w:rPr>
          <w:rFonts w:ascii="Calibri" w:hAnsi="Calibri" w:cs="Calibri"/>
        </w:rPr>
        <w:t xml:space="preserve">. Please move to the point that best represents the recommended distance.”; </w:t>
      </w:r>
    </w:p>
    <w:p w:rsidR="003D6B66" w:rsidP="003D6B66" w:rsidRDefault="003D6B66" w14:paraId="2F62B22D" w14:textId="03C80E3F">
      <w:pPr>
        <w:pStyle w:val="ListParagraph"/>
        <w:numPr>
          <w:ilvl w:val="0"/>
          <w:numId w:val="37"/>
        </w:numPr>
        <w:spacing w:line="360" w:lineRule="auto"/>
        <w:rPr>
          <w:rFonts w:ascii="Calibri" w:hAnsi="Calibri" w:cs="Calibri"/>
        </w:rPr>
      </w:pPr>
      <w:r w:rsidRPr="0031421F">
        <w:rPr>
          <w:rFonts w:ascii="Calibri" w:hAnsi="Calibri" w:cs="Calibri"/>
        </w:rPr>
        <w:t xml:space="preserve">“Please move to the point that best represents the minimum distance a person stay away from </w:t>
      </w:r>
      <w:r>
        <w:rPr>
          <w:rFonts w:ascii="Calibri" w:hAnsi="Calibri" w:cs="Calibri"/>
        </w:rPr>
        <w:t>[INSERT WILDLIFE SPECIES HERE]</w:t>
      </w:r>
      <w:r w:rsidRPr="0031421F">
        <w:rPr>
          <w:rFonts w:ascii="Calibri" w:hAnsi="Calibri" w:cs="Calibri"/>
        </w:rPr>
        <w:t>.”; and</w:t>
      </w:r>
    </w:p>
    <w:p w:rsidRPr="00C61BF7" w:rsidR="003D6B66" w:rsidP="003D6B66" w:rsidRDefault="003D6B66" w14:paraId="785A37D8" w14:textId="023C33A9">
      <w:pPr>
        <w:pStyle w:val="ListParagraph"/>
        <w:numPr>
          <w:ilvl w:val="0"/>
          <w:numId w:val="37"/>
        </w:numPr>
        <w:spacing w:line="360" w:lineRule="auto"/>
        <w:rPr>
          <w:rFonts w:ascii="Calibri" w:hAnsi="Calibri" w:cs="Calibri"/>
        </w:rPr>
      </w:pPr>
      <w:r w:rsidRPr="00C61BF7">
        <w:rPr>
          <w:rFonts w:ascii="Calibri" w:hAnsi="Calibri" w:cs="Calibri"/>
        </w:rPr>
        <w:t xml:space="preserve">“Don’t steal someone else’s ‘Wow moment!’ </w:t>
      </w:r>
      <w:r w:rsidRPr="00370300">
        <w:rPr>
          <w:rFonts w:ascii="Calibri" w:hAnsi="Calibri" w:cs="Calibri"/>
        </w:rPr>
        <w:t xml:space="preserve">Please move to the point that best represents the distance from </w:t>
      </w:r>
      <w:r>
        <w:rPr>
          <w:rFonts w:ascii="Calibri" w:hAnsi="Calibri" w:cs="Calibri"/>
        </w:rPr>
        <w:t>[INSERT WILDLIFE SPECIES HERE]</w:t>
      </w:r>
      <w:r w:rsidRPr="00370300">
        <w:rPr>
          <w:rFonts w:ascii="Calibri" w:hAnsi="Calibri" w:cs="Calibri"/>
        </w:rPr>
        <w:t xml:space="preserve"> a person should stay to avoid stealing someone’s Wow moment.</w:t>
      </w:r>
      <w:r w:rsidRPr="00C61BF7">
        <w:rPr>
          <w:rFonts w:cstheme="minorHAnsi"/>
        </w:rPr>
        <w:t xml:space="preserve"> </w:t>
      </w:r>
    </w:p>
    <w:p w:rsidR="005738EA" w:rsidP="003D6B66" w:rsidRDefault="005738EA" w14:paraId="2BA17894"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p>
    <w:p w:rsidR="00474FE8" w:rsidP="005738EA" w:rsidRDefault="003D6B66" w14:paraId="53CC5CD0" w14:textId="348ED564">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724929">
        <w:rPr>
          <w:rFonts w:ascii="Calibri" w:hAnsi="Calibri" w:cs="Calibri"/>
        </w:rPr>
        <w:t xml:space="preserve">Study participants will complete a survey as well as a distance exercise. They will be given one of four different </w:t>
      </w:r>
      <w:r>
        <w:rPr>
          <w:rFonts w:ascii="Calibri" w:hAnsi="Calibri" w:cs="Calibri"/>
        </w:rPr>
        <w:t xml:space="preserve">treatment </w:t>
      </w:r>
      <w:r w:rsidRPr="00724929">
        <w:rPr>
          <w:rFonts w:ascii="Calibri" w:hAnsi="Calibri" w:cs="Calibri"/>
        </w:rPr>
        <w:t xml:space="preserve">messages and then asked to walk a transect towards a </w:t>
      </w:r>
      <w:r>
        <w:rPr>
          <w:rFonts w:ascii="Calibri" w:hAnsi="Calibri" w:cs="Calibri"/>
        </w:rPr>
        <w:t>wildlife</w:t>
      </w:r>
      <w:r w:rsidRPr="00724929">
        <w:rPr>
          <w:rFonts w:ascii="Calibri" w:hAnsi="Calibri" w:cs="Calibri"/>
        </w:rPr>
        <w:t xml:space="preserve"> cutout</w:t>
      </w:r>
      <w:r w:rsidR="003D39C3">
        <w:rPr>
          <w:rFonts w:ascii="Calibri" w:hAnsi="Calibri" w:cs="Calibri"/>
        </w:rPr>
        <w:t xml:space="preserve"> (i.e., bison in GRTE, elk in YELL)</w:t>
      </w:r>
      <w:r w:rsidRPr="00724929">
        <w:rPr>
          <w:rFonts w:ascii="Calibri" w:hAnsi="Calibri" w:cs="Calibri"/>
        </w:rPr>
        <w:t xml:space="preserve">, choosing what they perceive to be the most appropriate distance given the message they received. This survey and walking exercise will benefit park managers by revealing </w:t>
      </w:r>
      <w:r>
        <w:rPr>
          <w:rFonts w:ascii="Calibri" w:hAnsi="Calibri" w:cs="Calibri"/>
        </w:rPr>
        <w:t>the</w:t>
      </w:r>
      <w:r w:rsidRPr="00724929">
        <w:rPr>
          <w:rFonts w:ascii="Calibri" w:hAnsi="Calibri" w:cs="Calibri"/>
        </w:rPr>
        <w:t xml:space="preserve"> most effective message strategy in aiding visitors’ distance estimations during a wildlife watching experience.  The second benefit will provide information related to visitors’ previous wildlife experiences, emotional dispositions, perceptions of wildlife encounters, knowledge and perceptions of </w:t>
      </w:r>
      <w:r>
        <w:rPr>
          <w:rFonts w:ascii="Calibri" w:hAnsi="Calibri" w:cs="Calibri"/>
        </w:rPr>
        <w:t>GYE</w:t>
      </w:r>
      <w:r w:rsidRPr="00724929">
        <w:rPr>
          <w:rFonts w:ascii="Calibri" w:hAnsi="Calibri" w:cs="Calibri"/>
        </w:rPr>
        <w:t xml:space="preserve"> management’s distance recommendations, social media use, and demographic information that will be useful for</w:t>
      </w:r>
      <w:r>
        <w:rPr>
          <w:rFonts w:ascii="Calibri" w:hAnsi="Calibri" w:cs="Calibri"/>
        </w:rPr>
        <w:t xml:space="preserve"> understanding the factors that contribute to visitors’ abilities to effectively estimate distances between themselves and wildlife. </w:t>
      </w:r>
    </w:p>
    <w:p w:rsidR="00474FE8" w:rsidRDefault="00474FE8" w14:paraId="669D2183" w14:textId="77777777">
      <w:pPr>
        <w:rPr>
          <w:rFonts w:ascii="Calibri" w:hAnsi="Calibri" w:cs="Calibri"/>
        </w:rPr>
      </w:pPr>
      <w:r>
        <w:rPr>
          <w:rFonts w:ascii="Calibri" w:hAnsi="Calibri" w:cs="Calibri"/>
        </w:rPr>
        <w:br w:type="page"/>
      </w:r>
    </w:p>
    <w:p w:rsidRPr="004C1C0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lastRenderedPageBreak/>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P="00795BB2" w:rsidRDefault="00A46E01"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Pr="00A316B4" w:rsidR="00A316B4" w:rsidP="00A316B4" w:rsidRDefault="009F2379" w14:paraId="37C2CABD" w14:textId="04FF434D">
      <w:pPr>
        <w:tabs>
          <w:tab w:val="left" w:pos="360"/>
          <w:tab w:val="left" w:pos="1440"/>
          <w:tab w:val="left" w:pos="2160"/>
          <w:tab w:val="left" w:pos="3600"/>
          <w:tab w:val="left" w:pos="5040"/>
          <w:tab w:val="left" w:pos="5760"/>
        </w:tabs>
        <w:spacing w:before="220" w:after="0"/>
        <w:rPr>
          <w:rFonts w:cs="Arial"/>
          <w:b/>
        </w:rPr>
      </w:pPr>
      <w:r w:rsidRPr="0031421F">
        <w:rPr>
          <w:rFonts w:ascii="Calibri" w:hAnsi="Calibri" w:cs="Calibri"/>
        </w:rPr>
        <w:t>All adults (18 years of age and older) visiting the Taggart Lake Trail and Antelope Flats areas of GRTE</w:t>
      </w:r>
      <w:r w:rsidR="00836E21">
        <w:rPr>
          <w:rFonts w:ascii="Calibri" w:hAnsi="Calibri" w:cs="Calibri"/>
        </w:rPr>
        <w:t xml:space="preserve"> (Sample Area A)</w:t>
      </w:r>
      <w:r>
        <w:rPr>
          <w:rFonts w:ascii="Calibri" w:hAnsi="Calibri" w:cs="Calibri"/>
        </w:rPr>
        <w:t>, as well as the Mammoth area of YELL</w:t>
      </w:r>
      <w:r w:rsidR="00836E21">
        <w:rPr>
          <w:rFonts w:ascii="Calibri" w:hAnsi="Calibri" w:cs="Calibri"/>
        </w:rPr>
        <w:t xml:space="preserve"> (Sample Area B)</w:t>
      </w:r>
      <w:r>
        <w:rPr>
          <w:rFonts w:ascii="Calibri" w:hAnsi="Calibri" w:cs="Calibri"/>
        </w:rPr>
        <w:t>,</w:t>
      </w:r>
      <w:r w:rsidRPr="0031421F">
        <w:rPr>
          <w:rFonts w:ascii="Calibri" w:hAnsi="Calibri" w:cs="Calibri"/>
        </w:rPr>
        <w:t xml:space="preserve"> from June 1, 202</w:t>
      </w:r>
      <w:r>
        <w:rPr>
          <w:rFonts w:ascii="Calibri" w:hAnsi="Calibri" w:cs="Calibri"/>
        </w:rPr>
        <w:t>1</w:t>
      </w:r>
      <w:r w:rsidRPr="0031421F">
        <w:rPr>
          <w:rFonts w:ascii="Calibri" w:hAnsi="Calibri" w:cs="Calibri"/>
        </w:rPr>
        <w:t xml:space="preserve"> to August </w:t>
      </w:r>
      <w:r>
        <w:rPr>
          <w:rFonts w:ascii="Calibri" w:hAnsi="Calibri" w:cs="Calibri"/>
        </w:rPr>
        <w:t>31</w:t>
      </w:r>
      <w:r w:rsidRPr="0031421F">
        <w:rPr>
          <w:rFonts w:ascii="Calibri" w:hAnsi="Calibri" w:cs="Calibri"/>
        </w:rPr>
        <w:t>, 202</w:t>
      </w:r>
      <w:r>
        <w:rPr>
          <w:rFonts w:ascii="Calibri" w:hAnsi="Calibri" w:cs="Calibri"/>
        </w:rPr>
        <w:t>1</w:t>
      </w:r>
      <w:r w:rsidRPr="0031421F">
        <w:rPr>
          <w:rFonts w:ascii="Calibri" w:hAnsi="Calibri" w:cs="Calibri"/>
        </w:rPr>
        <w:t>.</w:t>
      </w:r>
    </w:p>
    <w:p w:rsidRPr="00AE0D1F" w:rsidR="00E95952" w:rsidP="00474FE8" w:rsidRDefault="00A46E01" w14:paraId="5CEEC091" w14:textId="60C916BB">
      <w:pPr>
        <w:pStyle w:val="ListParagraph"/>
        <w:numPr>
          <w:ilvl w:val="0"/>
          <w:numId w:val="25"/>
        </w:numPr>
        <w:pBdr>
          <w:top w:val="single" w:color="5F497A" w:themeColor="accent4" w:themeShade="BF" w:sz="12" w:space="19"/>
        </w:pBdr>
        <w:tabs>
          <w:tab w:val="left" w:pos="1440"/>
          <w:tab w:val="left" w:pos="2160"/>
          <w:tab w:val="left" w:pos="3600"/>
          <w:tab w:val="left" w:pos="5040"/>
          <w:tab w:val="left" w:pos="5760"/>
        </w:tabs>
        <w:spacing w:before="600" w:after="0"/>
        <w:ind w:left="360"/>
        <w:rPr>
          <w:rFonts w:cs="Arial"/>
          <w:b/>
        </w:rPr>
      </w:pPr>
      <w:r w:rsidRPr="00AE0D1F">
        <w:rPr>
          <w:rFonts w:cs="Arial"/>
          <w:b/>
        </w:rPr>
        <w:t xml:space="preserve">Sampling Plan / Procedures:  </w:t>
      </w:r>
    </w:p>
    <w:p w:rsidR="00836E21" w:rsidP="00474FE8" w:rsidRDefault="00122F9D" w14:paraId="6036985A" w14:textId="5A90DDDC">
      <w:pPr>
        <w:spacing w:line="360" w:lineRule="auto"/>
        <w:ind w:left="360"/>
        <w:rPr>
          <w:rFonts w:ascii="Calibri" w:hAnsi="Calibri" w:cs="Calibri"/>
        </w:rPr>
      </w:pPr>
      <w:bookmarkStart w:name="_Ref48914805" w:id="3"/>
      <w:r w:rsidRPr="00B912B6">
        <w:rPr>
          <w:rFonts w:ascii="Calibri" w:hAnsi="Calibri" w:cs="Calibri"/>
        </w:rPr>
        <w:t>The proposed study will use an on-site survey to examine emotional and distance-related decisions visitors make</w:t>
      </w:r>
      <w:r>
        <w:rPr>
          <w:rFonts w:ascii="Calibri" w:hAnsi="Calibri" w:cs="Calibri"/>
        </w:rPr>
        <w:t xml:space="preserve"> </w:t>
      </w:r>
      <w:r w:rsidRPr="00B912B6">
        <w:rPr>
          <w:rFonts w:ascii="Calibri" w:hAnsi="Calibri" w:cs="Calibri"/>
        </w:rPr>
        <w:t>when viewing bison</w:t>
      </w:r>
      <w:r w:rsidR="00432F9B">
        <w:rPr>
          <w:rFonts w:ascii="Calibri" w:hAnsi="Calibri" w:cs="Calibri"/>
        </w:rPr>
        <w:t xml:space="preserve"> and elk</w:t>
      </w:r>
      <w:r w:rsidRPr="00B912B6">
        <w:rPr>
          <w:rFonts w:ascii="Calibri" w:hAnsi="Calibri" w:cs="Calibri"/>
        </w:rPr>
        <w:t xml:space="preserve"> in</w:t>
      </w:r>
      <w:r w:rsidR="00EE2288">
        <w:rPr>
          <w:rFonts w:ascii="Calibri" w:hAnsi="Calibri" w:cs="Calibri"/>
        </w:rPr>
        <w:t xml:space="preserve"> the GYE</w:t>
      </w:r>
      <w:r w:rsidRPr="00B912B6">
        <w:rPr>
          <w:rFonts w:ascii="Calibri" w:hAnsi="Calibri" w:cs="Calibri"/>
        </w:rPr>
        <w:t xml:space="preserve">. A random sample of potential respondents will be intercepted as they exit </w:t>
      </w:r>
      <w:r w:rsidR="00836E21">
        <w:rPr>
          <w:rFonts w:ascii="Calibri" w:hAnsi="Calibri" w:cs="Calibri"/>
        </w:rPr>
        <w:t>Sample Area A</w:t>
      </w:r>
      <w:r w:rsidRPr="00B912B6">
        <w:rPr>
          <w:rFonts w:ascii="Calibri" w:hAnsi="Calibri" w:cs="Calibri"/>
        </w:rPr>
        <w:t xml:space="preserve"> (Taggart Lake Trail and Antelope Flats)</w:t>
      </w:r>
      <w:r w:rsidR="00836E21">
        <w:rPr>
          <w:rFonts w:ascii="Calibri" w:hAnsi="Calibri" w:cs="Calibri"/>
        </w:rPr>
        <w:t xml:space="preserve"> in GRTE</w:t>
      </w:r>
      <w:r w:rsidRPr="00B912B6">
        <w:rPr>
          <w:rFonts w:ascii="Calibri" w:hAnsi="Calibri" w:cs="Calibri"/>
        </w:rPr>
        <w:t xml:space="preserve"> </w:t>
      </w:r>
      <w:r w:rsidR="00836E21">
        <w:rPr>
          <w:rFonts w:ascii="Calibri" w:hAnsi="Calibri" w:cs="Calibri"/>
        </w:rPr>
        <w:t xml:space="preserve">and Sample Area B (Mammoth) in YELL </w:t>
      </w:r>
      <w:r w:rsidRPr="00B912B6">
        <w:rPr>
          <w:rFonts w:ascii="Calibri" w:hAnsi="Calibri" w:cs="Calibri"/>
        </w:rPr>
        <w:t>at the end of their visit. These locations will allow researchers to capture individuals who are hiking in GRTE</w:t>
      </w:r>
      <w:r w:rsidR="00836E21">
        <w:rPr>
          <w:rFonts w:ascii="Calibri" w:hAnsi="Calibri" w:cs="Calibri"/>
        </w:rPr>
        <w:t xml:space="preserve"> and YELL</w:t>
      </w:r>
      <w:r w:rsidRPr="00B912B6">
        <w:rPr>
          <w:rFonts w:ascii="Calibri" w:hAnsi="Calibri" w:cs="Calibri"/>
        </w:rPr>
        <w:t xml:space="preserve"> as well as others who are scenic driving. </w:t>
      </w:r>
      <w:r w:rsidR="00836E21">
        <w:rPr>
          <w:rFonts w:ascii="Calibri" w:hAnsi="Calibri" w:cs="Calibri"/>
        </w:rPr>
        <w:t>At Sampling Area A, t</w:t>
      </w:r>
      <w:r w:rsidRPr="00B912B6">
        <w:rPr>
          <w:rFonts w:ascii="Calibri" w:hAnsi="Calibri" w:cs="Calibri"/>
        </w:rPr>
        <w:t xml:space="preserve">here will be a total of </w:t>
      </w:r>
      <w:r w:rsidR="00836E21">
        <w:rPr>
          <w:rFonts w:ascii="Calibri" w:hAnsi="Calibri" w:cs="Calibri"/>
        </w:rPr>
        <w:t>15</w:t>
      </w:r>
      <w:r w:rsidRPr="00B912B6">
        <w:rPr>
          <w:rFonts w:ascii="Calibri" w:hAnsi="Calibri" w:cs="Calibri"/>
        </w:rPr>
        <w:t xml:space="preserve"> sampling days </w:t>
      </w:r>
      <w:r w:rsidR="00836E21">
        <w:rPr>
          <w:rFonts w:ascii="Calibri" w:hAnsi="Calibri" w:cs="Calibri"/>
        </w:rPr>
        <w:t>in each location (i.e., Taggart Lake Trail, Antelope Flats)</w:t>
      </w:r>
      <w:r w:rsidRPr="00B912B6">
        <w:rPr>
          <w:rFonts w:ascii="Calibri" w:hAnsi="Calibri" w:cs="Calibri"/>
        </w:rPr>
        <w:t xml:space="preserve"> that will be stratified by day of the week, time (7AM to 7PM), and location</w:t>
      </w:r>
      <w:r w:rsidR="00931503">
        <w:rPr>
          <w:rFonts w:ascii="Calibri" w:hAnsi="Calibri" w:cs="Calibri"/>
        </w:rPr>
        <w:t>, for a total of 30 sampling days</w:t>
      </w:r>
      <w:r w:rsidR="00836E21">
        <w:rPr>
          <w:rFonts w:ascii="Calibri" w:hAnsi="Calibri" w:cs="Calibri"/>
        </w:rPr>
        <w:t xml:space="preserve">. At Sampling Area B, there will be 30 days of data collection at one location (i.e., Mammoth). </w:t>
      </w:r>
    </w:p>
    <w:p w:rsidR="00836E21" w:rsidP="00474FE8" w:rsidRDefault="00836E21" w14:paraId="2237B9A5" w14:textId="272D6B4B">
      <w:pPr>
        <w:ind w:left="900"/>
        <w:rPr>
          <w:rFonts w:ascii="Calibri" w:hAnsi="Calibri" w:cs="Calibri"/>
        </w:rPr>
      </w:pPr>
      <w:r>
        <w:rPr>
          <w:rFonts w:ascii="Calibri" w:hAnsi="Calibri" w:cs="Calibri"/>
        </w:rPr>
        <w:t>Sampling Period A:</w:t>
      </w:r>
      <w:r w:rsidR="00035FFE">
        <w:rPr>
          <w:rFonts w:ascii="Calibri" w:hAnsi="Calibri" w:cs="Calibri"/>
        </w:rPr>
        <w:tab/>
        <w:t>Start Date: June 1, 2021</w:t>
      </w:r>
      <w:r w:rsidR="00035FFE">
        <w:rPr>
          <w:rFonts w:ascii="Calibri" w:hAnsi="Calibri" w:cs="Calibri"/>
        </w:rPr>
        <w:tab/>
      </w:r>
      <w:r w:rsidR="00035FFE">
        <w:rPr>
          <w:rFonts w:ascii="Calibri" w:hAnsi="Calibri" w:cs="Calibri"/>
        </w:rPr>
        <w:tab/>
        <w:t>End Date: August 31, 2021</w:t>
      </w:r>
    </w:p>
    <w:p w:rsidR="00035FFE" w:rsidP="00474FE8" w:rsidRDefault="00035FFE" w14:paraId="65894A86" w14:textId="32CDECEC">
      <w:pPr>
        <w:ind w:left="900"/>
        <w:rPr>
          <w:rFonts w:ascii="Calibri" w:hAnsi="Calibri" w:cs="Calibri"/>
        </w:rPr>
      </w:pPr>
      <w:r>
        <w:rPr>
          <w:rFonts w:ascii="Calibri" w:hAnsi="Calibri" w:cs="Calibri"/>
        </w:rPr>
        <w:t>Sampling Period B:</w:t>
      </w:r>
      <w:r>
        <w:rPr>
          <w:rFonts w:ascii="Calibri" w:hAnsi="Calibri" w:cs="Calibri"/>
        </w:rPr>
        <w:tab/>
        <w:t xml:space="preserve">Start </w:t>
      </w:r>
      <w:r w:rsidR="00A40316">
        <w:rPr>
          <w:rFonts w:ascii="Calibri" w:hAnsi="Calibri" w:cs="Calibri"/>
        </w:rPr>
        <w:t>Date</w:t>
      </w:r>
      <w:r>
        <w:rPr>
          <w:rFonts w:ascii="Calibri" w:hAnsi="Calibri" w:cs="Calibri"/>
        </w:rPr>
        <w:t>: June 1, 2021</w:t>
      </w:r>
      <w:r>
        <w:rPr>
          <w:rFonts w:ascii="Calibri" w:hAnsi="Calibri" w:cs="Calibri"/>
        </w:rPr>
        <w:tab/>
      </w:r>
      <w:r>
        <w:rPr>
          <w:rFonts w:ascii="Calibri" w:hAnsi="Calibri" w:cs="Calibri"/>
        </w:rPr>
        <w:tab/>
        <w:t>End Date: August 31, 2021</w:t>
      </w:r>
    </w:p>
    <w:p w:rsidR="00A316B4" w:rsidP="00474FE8" w:rsidRDefault="00122F9D" w14:paraId="77EC8FDF" w14:textId="7483F231">
      <w:pPr>
        <w:spacing w:line="360" w:lineRule="auto"/>
        <w:ind w:left="360"/>
        <w:rPr>
          <w:rFonts w:cstheme="minorHAnsi"/>
          <w:b/>
          <w:lang w:bidi="en-US"/>
        </w:rPr>
      </w:pPr>
      <w:r w:rsidRPr="00B912B6">
        <w:rPr>
          <w:rFonts w:ascii="Calibri" w:hAnsi="Calibri" w:cs="Calibri"/>
        </w:rPr>
        <w:t xml:space="preserve">It is anticipated that 24 sampling contacts will be made </w:t>
      </w:r>
      <w:r w:rsidR="00FF7C18">
        <w:rPr>
          <w:rFonts w:ascii="Calibri" w:hAnsi="Calibri" w:cs="Calibri"/>
        </w:rPr>
        <w:t>per</w:t>
      </w:r>
      <w:r w:rsidRPr="00B912B6">
        <w:rPr>
          <w:rFonts w:ascii="Calibri" w:hAnsi="Calibri" w:cs="Calibri"/>
        </w:rPr>
        <w:t xml:space="preserve"> day during the sampling period. An estimated 360 visitor contacts will be made at Taggert Lake Trail, and an additional 360 visitor contacts will be made at Antelope Flats for a total of 720 visitor contacts</w:t>
      </w:r>
      <w:r w:rsidR="00035FFE">
        <w:rPr>
          <w:rFonts w:ascii="Calibri" w:hAnsi="Calibri" w:cs="Calibri"/>
        </w:rPr>
        <w:t xml:space="preserve"> at Sampling Area A</w:t>
      </w:r>
      <w:r w:rsidRPr="00B912B6">
        <w:rPr>
          <w:rFonts w:ascii="Calibri" w:hAnsi="Calibri" w:cs="Calibri"/>
        </w:rPr>
        <w:t xml:space="preserve">. </w:t>
      </w:r>
      <w:r w:rsidR="00035FFE">
        <w:rPr>
          <w:rFonts w:ascii="Calibri" w:hAnsi="Calibri" w:cs="Calibri"/>
        </w:rPr>
        <w:t xml:space="preserve">An estimated 720 visitor contacts will be made at Sampling Area B. </w:t>
      </w:r>
      <w:r w:rsidRPr="00B912B6">
        <w:rPr>
          <w:rFonts w:ascii="Calibri" w:hAnsi="Calibri" w:cs="Calibri"/>
        </w:rPr>
        <w:t>Sampling and recruiting efforts will conclude at the end of the sampling period.</w:t>
      </w:r>
    </w:p>
    <w:bookmarkEnd w:id="3"/>
    <w:p w:rsidRPr="00AE0D1F"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Instrument Administration:</w:t>
      </w:r>
    </w:p>
    <w:p w:rsidRPr="00035FFE" w:rsidR="00122F9D" w:rsidP="00474FE8" w:rsidRDefault="00122F9D" w14:paraId="6B438A1F" w14:textId="04EF3DE3">
      <w:pPr>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035FFE">
        <w:rPr>
          <w:rFonts w:ascii="Calibri" w:hAnsi="Calibri" w:cs="Calibri"/>
        </w:rPr>
        <w:t xml:space="preserve">Technicians will employ random sampling methods using a random number generator. At the beginning of their shift, they will randomly generate 3 numbers between 0 and 60, resulting in the three times on each hour that they will intercept a visitor. Each person will be approached and asked to complete an on-site survey regarding human-wildlife conflicts in </w:t>
      </w:r>
      <w:r w:rsidR="00931503">
        <w:rPr>
          <w:rFonts w:ascii="Calibri" w:hAnsi="Calibri" w:cs="Calibri"/>
        </w:rPr>
        <w:t>the GYE</w:t>
      </w:r>
      <w:r w:rsidRPr="00035FFE">
        <w:rPr>
          <w:rFonts w:ascii="Calibri" w:hAnsi="Calibri" w:cs="Calibri"/>
        </w:rPr>
        <w:t xml:space="preserve">. All visitors agreeing to participate will be asked to complete an on-site survey and walking exercise. The surveyor will provide the instructions for completing the survey, asking the respondent to follow along using a paper copy of the survey while the technician records their answers electronically via iPad. </w:t>
      </w:r>
    </w:p>
    <w:p w:rsidRPr="00035FFE" w:rsidR="00122F9D" w:rsidP="00474FE8" w:rsidRDefault="00122F9D" w14:paraId="14DE8C3B" w14:textId="77777777">
      <w:pPr>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035FFE">
        <w:rPr>
          <w:rFonts w:ascii="Calibri" w:hAnsi="Calibri" w:cs="Calibri"/>
        </w:rPr>
        <w:t xml:space="preserve">Individuals or groups who are unwilling, unable, or refusing to complete the full survey will be asked if they would be willing to answer 3 questions that will be used to check for non-response bias. In addition to the responses to the </w:t>
      </w:r>
      <w:r w:rsidRPr="00035FFE">
        <w:rPr>
          <w:rFonts w:ascii="Calibri" w:hAnsi="Calibri" w:cs="Calibri"/>
        </w:rPr>
        <w:lastRenderedPageBreak/>
        <w:t xml:space="preserve">non-response bias questions, additional characteristics (i.e., gender, activity, group size, number of adults and children in group, and potential language barrier, time, location) will be documented in a study log. </w:t>
      </w:r>
    </w:p>
    <w:p w:rsidRPr="00035FFE" w:rsidR="00122F9D" w:rsidP="00474FE8" w:rsidRDefault="00122F9D" w14:paraId="4B17CD7A" w14:textId="77777777">
      <w:pPr>
        <w:tabs>
          <w:tab w:val="left" w:pos="360"/>
          <w:tab w:val="left" w:pos="540"/>
          <w:tab w:val="left" w:pos="1440"/>
          <w:tab w:val="left" w:pos="2160"/>
          <w:tab w:val="left" w:pos="3600"/>
          <w:tab w:val="left" w:pos="5040"/>
          <w:tab w:val="left" w:pos="5760"/>
        </w:tabs>
        <w:ind w:left="360"/>
        <w:rPr>
          <w:rFonts w:ascii="Calibri" w:hAnsi="Calibri" w:cs="Calibri"/>
        </w:rPr>
      </w:pPr>
      <w:r w:rsidRPr="00035FFE">
        <w:rPr>
          <w:rFonts w:ascii="Calibri" w:hAnsi="Calibri" w:cs="Calibri"/>
        </w:rPr>
        <w:t>The researchers will use the following script during the initial contact with potential respondents:</w:t>
      </w:r>
    </w:p>
    <w:p w:rsidRPr="00724929" w:rsidR="00122F9D" w:rsidP="0077112E" w:rsidRDefault="00122F9D" w14:paraId="0FA8235F" w14:textId="2106EE7B">
      <w:pPr>
        <w:pStyle w:val="ListParagraph"/>
        <w:tabs>
          <w:tab w:val="left" w:pos="360"/>
          <w:tab w:val="left" w:pos="1440"/>
          <w:tab w:val="left" w:pos="2160"/>
          <w:tab w:val="left" w:pos="3600"/>
          <w:tab w:val="left" w:pos="5040"/>
          <w:tab w:val="left" w:pos="5760"/>
        </w:tabs>
        <w:spacing w:line="360" w:lineRule="auto"/>
        <w:rPr>
          <w:rFonts w:ascii="Calibri" w:hAnsi="Calibri" w:cs="Calibri"/>
          <w:i/>
        </w:rPr>
      </w:pPr>
      <w:r w:rsidRPr="00724929">
        <w:rPr>
          <w:rFonts w:ascii="Calibri" w:hAnsi="Calibri" w:cs="Calibri"/>
          <w:i/>
        </w:rPr>
        <w:t>Hello, my name is _____________. I am a student at Penn State University</w:t>
      </w:r>
      <w:r>
        <w:rPr>
          <w:rFonts w:ascii="Calibri" w:hAnsi="Calibri" w:cs="Calibri"/>
          <w:i/>
        </w:rPr>
        <w:t>,</w:t>
      </w:r>
      <w:r w:rsidRPr="00724929">
        <w:rPr>
          <w:rFonts w:ascii="Calibri" w:hAnsi="Calibri" w:cs="Calibri"/>
          <w:i/>
        </w:rPr>
        <w:t xml:space="preserve"> and I am conducting a short interview for </w:t>
      </w:r>
      <w:r w:rsidR="00931503">
        <w:rPr>
          <w:rFonts w:ascii="Calibri" w:hAnsi="Calibri" w:cs="Calibri"/>
          <w:i/>
        </w:rPr>
        <w:t>[INSERT PARK NAME HERE]</w:t>
      </w:r>
      <w:r w:rsidRPr="00724929">
        <w:rPr>
          <w:rFonts w:ascii="Calibri" w:hAnsi="Calibri" w:cs="Calibri"/>
          <w:i/>
        </w:rPr>
        <w:t xml:space="preserve"> to better understand visitors’ experiences in </w:t>
      </w:r>
      <w:r w:rsidR="00931503">
        <w:rPr>
          <w:rFonts w:ascii="Calibri" w:hAnsi="Calibri" w:cs="Calibri"/>
          <w:i/>
        </w:rPr>
        <w:t>[INSERT STUDY LOCATION HERE]</w:t>
      </w:r>
      <w:r w:rsidRPr="00724929">
        <w:rPr>
          <w:rFonts w:ascii="Calibri" w:hAnsi="Calibri" w:cs="Calibri"/>
          <w:i/>
        </w:rPr>
        <w:t>. The purpose of this research is to explore the effectiveness of the current communication messages used to inform visitors about distance in relation to human-</w:t>
      </w:r>
      <w:r w:rsidR="00931503">
        <w:rPr>
          <w:rFonts w:ascii="Calibri" w:hAnsi="Calibri" w:cs="Calibri"/>
          <w:i/>
        </w:rPr>
        <w:t>wildlife</w:t>
      </w:r>
      <w:r w:rsidRPr="00724929">
        <w:rPr>
          <w:rFonts w:ascii="Calibri" w:hAnsi="Calibri" w:cs="Calibri"/>
          <w:i/>
        </w:rPr>
        <w:t xml:space="preserve"> interactions here in </w:t>
      </w:r>
      <w:r w:rsidR="00931503">
        <w:rPr>
          <w:rFonts w:ascii="Calibri" w:hAnsi="Calibri" w:cs="Calibri"/>
          <w:i/>
        </w:rPr>
        <w:t>the Greater Yellowstone Ecosystem</w:t>
      </w:r>
      <w:r w:rsidRPr="00724929">
        <w:rPr>
          <w:rFonts w:ascii="Calibri" w:hAnsi="Calibri" w:cs="Calibri"/>
          <w:i/>
        </w:rPr>
        <w:t>.</w:t>
      </w:r>
      <w:r w:rsidRPr="00724929">
        <w:rPr>
          <w:rFonts w:ascii="Calibri" w:hAnsi="Calibri" w:cs="Calibri"/>
        </w:rPr>
        <w:t xml:space="preserve"> </w:t>
      </w:r>
      <w:r w:rsidRPr="00724929">
        <w:rPr>
          <w:rFonts w:ascii="Calibri" w:hAnsi="Calibri" w:cs="Calibri"/>
          <w:i/>
        </w:rPr>
        <w:t>Your participation is voluntary</w:t>
      </w:r>
      <w:r>
        <w:rPr>
          <w:rFonts w:ascii="Calibri" w:hAnsi="Calibri" w:cs="Calibri"/>
          <w:i/>
        </w:rPr>
        <w:t>,</w:t>
      </w:r>
      <w:r w:rsidRPr="00724929">
        <w:rPr>
          <w:rFonts w:ascii="Calibri" w:hAnsi="Calibri" w:cs="Calibri"/>
          <w:i/>
        </w:rPr>
        <w:t xml:space="preserve"> and your responses will be anonymous. Your responses will help the managers to understand if the current messaging is effectively helping visitors estimate the regulated distances between themselves and wildlife, to determine if the current messaging needs to be updated based upon visitor’s emotions related to viewing wildlife.  It should take no more than 10 minutes to complete a short survey and a short walking exercise used to determine your estimation of distance away</w:t>
      </w:r>
      <w:r w:rsidR="00A40316">
        <w:rPr>
          <w:rFonts w:ascii="Calibri" w:hAnsi="Calibri" w:cs="Calibri"/>
          <w:i/>
        </w:rPr>
        <w:t xml:space="preserve"> from</w:t>
      </w:r>
      <w:r w:rsidRPr="00724929">
        <w:rPr>
          <w:rFonts w:ascii="Calibri" w:hAnsi="Calibri" w:cs="Calibri"/>
          <w:i/>
        </w:rPr>
        <w:t xml:space="preserve"> a from </w:t>
      </w:r>
      <w:r w:rsidR="00931503">
        <w:rPr>
          <w:rFonts w:ascii="Calibri" w:hAnsi="Calibri" w:cs="Calibri"/>
          <w:i/>
        </w:rPr>
        <w:t>[INSERT WILDLIFE SPECIES HERE]</w:t>
      </w:r>
      <w:r w:rsidRPr="00724929">
        <w:rPr>
          <w:rFonts w:ascii="Calibri" w:hAnsi="Calibri" w:cs="Calibri"/>
          <w:i/>
        </w:rPr>
        <w:t xml:space="preserve">. Would you be willing to participate?” </w:t>
      </w:r>
    </w:p>
    <w:p w:rsidRPr="00724929" w:rsidR="00122F9D" w:rsidP="00122F9D" w:rsidRDefault="00122F9D" w14:paraId="4061AD48" w14:textId="77777777">
      <w:pPr>
        <w:pStyle w:val="ListParagraph"/>
        <w:tabs>
          <w:tab w:val="left" w:pos="360"/>
          <w:tab w:val="left" w:pos="540"/>
          <w:tab w:val="left" w:pos="1440"/>
          <w:tab w:val="left" w:pos="2160"/>
          <w:tab w:val="left" w:pos="3600"/>
          <w:tab w:val="left" w:pos="5040"/>
          <w:tab w:val="left" w:pos="5760"/>
        </w:tabs>
        <w:ind w:left="540"/>
        <w:rPr>
          <w:rFonts w:ascii="Calibri" w:hAnsi="Calibri" w:cs="Calibri"/>
          <w:i/>
        </w:rPr>
      </w:pPr>
    </w:p>
    <w:p w:rsidRPr="00724929" w:rsidR="00122F9D" w:rsidP="0077112E" w:rsidRDefault="00122F9D" w14:paraId="7E417EB7" w14:textId="77777777">
      <w:pPr>
        <w:pStyle w:val="ListParagraph"/>
        <w:tabs>
          <w:tab w:val="left" w:pos="1440"/>
          <w:tab w:val="left" w:pos="2160"/>
          <w:tab w:val="left" w:pos="3600"/>
          <w:tab w:val="left" w:pos="5040"/>
          <w:tab w:val="left" w:pos="5760"/>
        </w:tabs>
        <w:ind w:left="1260"/>
        <w:rPr>
          <w:rFonts w:ascii="Calibri" w:hAnsi="Calibri" w:cs="Calibri"/>
        </w:rPr>
      </w:pPr>
      <w:r w:rsidRPr="00724929">
        <w:rPr>
          <w:rFonts w:ascii="Calibri" w:hAnsi="Calibri" w:cs="Calibri"/>
          <w:b/>
        </w:rPr>
        <w:t>If NO</w:t>
      </w:r>
      <w:r w:rsidRPr="00724929">
        <w:rPr>
          <w:rFonts w:ascii="Calibri" w:hAnsi="Calibri" w:cs="Calibri"/>
        </w:rPr>
        <w:t xml:space="preserve">: Do you mind if I ask you a few questions? </w:t>
      </w:r>
    </w:p>
    <w:p w:rsidRPr="00724929" w:rsidR="00122F9D" w:rsidP="0077112E" w:rsidRDefault="00122F9D" w14:paraId="761C77A5" w14:textId="77777777">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ind w:left="1800"/>
        <w:rPr>
          <w:rFonts w:ascii="Calibri" w:hAnsi="Calibri" w:cs="Calibri"/>
          <w:i/>
        </w:rPr>
      </w:pPr>
      <w:r w:rsidRPr="00724929">
        <w:rPr>
          <w:rFonts w:ascii="Calibri" w:hAnsi="Calibri" w:cs="Calibri"/>
          <w:i/>
          <w:iCs/>
        </w:rPr>
        <w:t>“</w:t>
      </w:r>
      <w:r w:rsidRPr="00724929">
        <w:rPr>
          <w:rFonts w:ascii="Calibri" w:hAnsi="Calibri" w:cs="Calibri"/>
          <w:i/>
        </w:rPr>
        <w:t>Are you a first-time visitor to this park?</w:t>
      </w:r>
      <w:r w:rsidRPr="00724929">
        <w:rPr>
          <w:rFonts w:ascii="Calibri" w:hAnsi="Calibri" w:cs="Calibri"/>
          <w:i/>
          <w:iCs/>
        </w:rPr>
        <w:t xml:space="preserve">” </w:t>
      </w:r>
      <w:r w:rsidRPr="00724929">
        <w:rPr>
          <w:rFonts w:hint="eastAsia" w:ascii="MS Gothic" w:hAnsi="MS Gothic" w:eastAsia="MS Gothic" w:cs="MS Gothic"/>
        </w:rPr>
        <w:t> </w:t>
      </w:r>
    </w:p>
    <w:p w:rsidR="00122F9D" w:rsidP="0077112E" w:rsidRDefault="00122F9D" w14:paraId="3D26F91E" w14:textId="574EC428">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ind w:left="1800"/>
        <w:rPr>
          <w:rFonts w:ascii="Calibri" w:hAnsi="Calibri" w:cs="Calibri"/>
          <w:i/>
        </w:rPr>
      </w:pPr>
      <w:r w:rsidRPr="00724929">
        <w:rPr>
          <w:rFonts w:ascii="Calibri" w:hAnsi="Calibri" w:cs="Calibri"/>
          <w:i/>
        </w:rPr>
        <w:t xml:space="preserve">“On this visit to </w:t>
      </w:r>
      <w:r w:rsidR="00931503">
        <w:rPr>
          <w:rFonts w:ascii="Calibri" w:hAnsi="Calibri" w:cs="Calibri"/>
          <w:i/>
        </w:rPr>
        <w:t>[INSERT PARK NAME HERE]</w:t>
      </w:r>
      <w:r w:rsidRPr="00724929">
        <w:rPr>
          <w:rFonts w:ascii="Calibri" w:hAnsi="Calibri" w:cs="Calibri"/>
          <w:i/>
        </w:rPr>
        <w:t xml:space="preserve">, have you seen any </w:t>
      </w:r>
      <w:r w:rsidR="00931503">
        <w:rPr>
          <w:rFonts w:ascii="Calibri" w:hAnsi="Calibri" w:cs="Calibri"/>
          <w:i/>
        </w:rPr>
        <w:t>[INSERT WILDLIFE SPECIES HERE]</w:t>
      </w:r>
      <w:r w:rsidRPr="00724929">
        <w:rPr>
          <w:rFonts w:ascii="Calibri" w:hAnsi="Calibri" w:cs="Calibri"/>
          <w:i/>
        </w:rPr>
        <w:t xml:space="preserve">?” </w:t>
      </w:r>
    </w:p>
    <w:p w:rsidRPr="00724929" w:rsidR="00122F9D" w:rsidP="0077112E" w:rsidRDefault="00122F9D" w14:paraId="1B2FB743" w14:textId="773FB2BA">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ind w:left="1800"/>
        <w:rPr>
          <w:rFonts w:ascii="Calibri" w:hAnsi="Calibri" w:cs="Calibri"/>
          <w:i/>
        </w:rPr>
      </w:pPr>
      <w:r>
        <w:rPr>
          <w:rFonts w:ascii="Calibri" w:hAnsi="Calibri" w:cs="Calibri"/>
          <w:i/>
        </w:rPr>
        <w:t xml:space="preserve">“Are you aware that there are regulations regarding the recommended distance individuals should stay away from </w:t>
      </w:r>
      <w:r w:rsidR="00931503">
        <w:rPr>
          <w:rFonts w:ascii="Calibri" w:hAnsi="Calibri" w:cs="Calibri"/>
          <w:i/>
        </w:rPr>
        <w:t>[INSERT WILDLIFE SPECIES HERE]</w:t>
      </w:r>
      <w:r>
        <w:rPr>
          <w:rFonts w:ascii="Calibri" w:hAnsi="Calibri" w:cs="Calibri"/>
          <w:i/>
        </w:rPr>
        <w:t xml:space="preserve">?” </w:t>
      </w:r>
    </w:p>
    <w:p w:rsidRPr="00724929" w:rsidR="00122F9D" w:rsidP="00122F9D" w:rsidRDefault="00122F9D" w14:paraId="10964422" w14:textId="77777777">
      <w:pPr>
        <w:pStyle w:val="ListParagraph"/>
        <w:tabs>
          <w:tab w:val="left" w:pos="360"/>
          <w:tab w:val="left" w:pos="540"/>
          <w:tab w:val="left" w:pos="1440"/>
          <w:tab w:val="left" w:pos="2160"/>
          <w:tab w:val="left" w:pos="3600"/>
          <w:tab w:val="left" w:pos="5040"/>
          <w:tab w:val="left" w:pos="5760"/>
        </w:tabs>
        <w:ind w:left="360"/>
        <w:rPr>
          <w:rFonts w:ascii="Calibri" w:hAnsi="Calibri" w:cs="Calibri"/>
        </w:rPr>
      </w:pPr>
    </w:p>
    <w:p w:rsidRPr="00724929" w:rsidR="00122F9D" w:rsidP="0077112E" w:rsidRDefault="00122F9D" w14:paraId="6FC08811" w14:textId="77777777">
      <w:pPr>
        <w:pStyle w:val="ListParagraph"/>
        <w:tabs>
          <w:tab w:val="left" w:pos="540"/>
          <w:tab w:val="left" w:pos="1440"/>
          <w:tab w:val="left" w:pos="2160"/>
          <w:tab w:val="left" w:pos="3600"/>
          <w:tab w:val="left" w:pos="5040"/>
          <w:tab w:val="left" w:pos="5760"/>
        </w:tabs>
        <w:spacing w:line="360" w:lineRule="auto"/>
        <w:ind w:left="1170"/>
        <w:rPr>
          <w:rFonts w:ascii="Calibri" w:hAnsi="Calibri" w:cs="Calibri"/>
          <w:i/>
        </w:rPr>
      </w:pPr>
      <w:r w:rsidRPr="00724929">
        <w:rPr>
          <w:rFonts w:ascii="Calibri" w:hAnsi="Calibri" w:cs="Calibri"/>
          <w:i/>
        </w:rPr>
        <w:t>Thank you for your time and consideration. I hope you enjoy your visit.</w:t>
      </w:r>
    </w:p>
    <w:p w:rsidR="0077112E" w:rsidP="00474FE8" w:rsidRDefault="0077112E" w14:paraId="640719CB" w14:textId="77777777">
      <w:pPr>
        <w:pStyle w:val="ListParagraph"/>
        <w:tabs>
          <w:tab w:val="left" w:pos="1440"/>
          <w:tab w:val="left" w:pos="2160"/>
          <w:tab w:val="left" w:pos="3600"/>
          <w:tab w:val="left" w:pos="5040"/>
          <w:tab w:val="left" w:pos="5760"/>
        </w:tabs>
        <w:spacing w:line="360" w:lineRule="auto"/>
        <w:ind w:left="1440"/>
        <w:rPr>
          <w:rFonts w:ascii="Calibri" w:hAnsi="Calibri" w:cs="Calibri"/>
        </w:rPr>
      </w:pPr>
    </w:p>
    <w:p w:rsidRPr="00724929" w:rsidR="00122F9D" w:rsidP="0077112E" w:rsidRDefault="00122F9D" w14:paraId="17C5EE4D" w14:textId="4C5E9857">
      <w:pPr>
        <w:pStyle w:val="ListParagraph"/>
        <w:tabs>
          <w:tab w:val="left" w:pos="2160"/>
          <w:tab w:val="left" w:pos="3600"/>
          <w:tab w:val="left" w:pos="5040"/>
          <w:tab w:val="left" w:pos="5760"/>
        </w:tabs>
        <w:spacing w:line="360" w:lineRule="auto"/>
        <w:ind w:left="1260"/>
        <w:rPr>
          <w:rFonts w:ascii="Calibri" w:hAnsi="Calibri" w:cs="Calibri"/>
          <w:i/>
        </w:rPr>
      </w:pPr>
      <w:r w:rsidRPr="0077112E">
        <w:rPr>
          <w:rFonts w:ascii="Calibri" w:hAnsi="Calibri" w:cs="Calibri"/>
          <w:b/>
          <w:bCs/>
        </w:rPr>
        <w:t>If YES</w:t>
      </w:r>
      <w:r w:rsidRPr="00724929">
        <w:rPr>
          <w:rFonts w:ascii="Calibri" w:hAnsi="Calibri" w:cs="Calibri"/>
        </w:rPr>
        <w:t xml:space="preserve">: </w:t>
      </w:r>
      <w:r w:rsidRPr="00724929">
        <w:rPr>
          <w:rFonts w:ascii="Calibri" w:hAnsi="Calibri" w:cs="Calibri"/>
          <w:i/>
        </w:rPr>
        <w:t xml:space="preserve">“Thank you. Before we start, who in your group is at least 18 years old and has the closest birthday?  Would you be willing to participate in the study? “ </w:t>
      </w:r>
    </w:p>
    <w:p w:rsidR="0077112E" w:rsidP="0077112E" w:rsidRDefault="0077112E" w14:paraId="0F953664" w14:textId="77777777">
      <w:pPr>
        <w:pStyle w:val="NoSpacing"/>
      </w:pPr>
    </w:p>
    <w:p w:rsidRPr="005C56FC" w:rsidR="00122F9D" w:rsidP="00122F9D" w:rsidRDefault="00474FE8" w14:paraId="398A54F1" w14:textId="699EE3C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Pr>
          <w:rFonts w:ascii="Calibri" w:hAnsi="Calibri" w:cs="Calibri"/>
        </w:rPr>
        <w:t>T</w:t>
      </w:r>
      <w:r>
        <w:rPr>
          <w:rFonts w:ascii="Calibri" w:hAnsi="Calibri" w:cs="Calibri"/>
        </w:rPr>
        <w:t xml:space="preserve">he technician will </w:t>
      </w:r>
      <w:r>
        <w:rPr>
          <w:rFonts w:ascii="Calibri" w:hAnsi="Calibri" w:cs="Calibri"/>
        </w:rPr>
        <w:t xml:space="preserve">start by </w:t>
      </w:r>
      <w:r>
        <w:rPr>
          <w:rFonts w:ascii="Calibri" w:hAnsi="Calibri" w:cs="Calibri"/>
        </w:rPr>
        <w:t>administer</w:t>
      </w:r>
      <w:r>
        <w:rPr>
          <w:rFonts w:ascii="Calibri" w:hAnsi="Calibri" w:cs="Calibri"/>
        </w:rPr>
        <w:t>ing</w:t>
      </w:r>
      <w:r>
        <w:rPr>
          <w:rFonts w:ascii="Calibri" w:hAnsi="Calibri" w:cs="Calibri"/>
        </w:rPr>
        <w:t xml:space="preserve"> survey questions #1-9 to the participant</w:t>
      </w:r>
      <w:r>
        <w:rPr>
          <w:rFonts w:ascii="Calibri" w:hAnsi="Calibri" w:cs="Calibri"/>
        </w:rPr>
        <w:t xml:space="preserve"> </w:t>
      </w:r>
      <w:r w:rsidR="00122F9D">
        <w:rPr>
          <w:rFonts w:ascii="Calibri" w:hAnsi="Calibri" w:cs="Calibri"/>
        </w:rPr>
        <w:t xml:space="preserve">Next, </w:t>
      </w:r>
      <w:r w:rsidRPr="00724929" w:rsidR="00122F9D">
        <w:rPr>
          <w:rFonts w:ascii="Calibri" w:hAnsi="Calibri" w:cs="Calibri"/>
        </w:rPr>
        <w:t>the technician will proceed with the walking exercise.</w:t>
      </w:r>
      <w:r w:rsidR="00122F9D">
        <w:rPr>
          <w:rFonts w:ascii="Calibri" w:hAnsi="Calibri" w:cs="Calibri"/>
        </w:rPr>
        <w:t xml:space="preserve"> </w:t>
      </w:r>
      <w:r w:rsidRPr="005C56FC" w:rsidR="00122F9D">
        <w:rPr>
          <w:rFonts w:ascii="Calibri" w:hAnsi="Calibri" w:cs="Calibri"/>
        </w:rPr>
        <w:t>Respondents will then be administered one of the four following treatment messages:</w:t>
      </w:r>
    </w:p>
    <w:p w:rsidRPr="00C17187" w:rsidR="00122F9D" w:rsidP="00474FE8" w:rsidRDefault="00122F9D" w14:paraId="0AE96358" w14:textId="3C2626C6">
      <w:pPr>
        <w:pStyle w:val="ListParagraph"/>
        <w:tabs>
          <w:tab w:val="left" w:pos="360"/>
          <w:tab w:val="left" w:pos="720"/>
          <w:tab w:val="left" w:pos="2160"/>
          <w:tab w:val="left" w:pos="3600"/>
          <w:tab w:val="left" w:pos="5040"/>
          <w:tab w:val="left" w:pos="5760"/>
        </w:tabs>
        <w:spacing w:line="360" w:lineRule="auto"/>
        <w:rPr>
          <w:rFonts w:ascii="Calibri" w:hAnsi="Calibri" w:cs="Calibri"/>
          <w:i/>
          <w:iCs/>
        </w:rPr>
      </w:pPr>
      <w:r w:rsidRPr="00C17187">
        <w:rPr>
          <w:rFonts w:ascii="Calibri" w:hAnsi="Calibri" w:cs="Calibri"/>
          <w:i/>
          <w:iCs/>
        </w:rPr>
        <w:t xml:space="preserve">1) “The National Park Service recommends you stay a minimum distance of 25 yards from </w:t>
      </w:r>
      <w:r w:rsidR="00931503">
        <w:rPr>
          <w:rFonts w:ascii="Calibri" w:hAnsi="Calibri" w:cs="Calibri"/>
          <w:i/>
          <w:iCs/>
        </w:rPr>
        <w:t>[INSERT WILDLIFE SPECIES HERE]</w:t>
      </w:r>
      <w:r w:rsidRPr="00C17187">
        <w:rPr>
          <w:rFonts w:ascii="Calibri" w:hAnsi="Calibri" w:cs="Calibri"/>
          <w:i/>
          <w:iCs/>
        </w:rPr>
        <w:t>. Please move to the point that best represents the recommended distance”</w:t>
      </w:r>
    </w:p>
    <w:p w:rsidRPr="00931503" w:rsidR="00122F9D" w:rsidP="00474FE8" w:rsidRDefault="00122F9D" w14:paraId="0802F3CA" w14:textId="29D7840E">
      <w:pPr>
        <w:pStyle w:val="ListParagraph"/>
        <w:tabs>
          <w:tab w:val="left" w:pos="360"/>
          <w:tab w:val="left" w:pos="720"/>
          <w:tab w:val="left" w:pos="1440"/>
          <w:tab w:val="left" w:pos="2160"/>
          <w:tab w:val="left" w:pos="3600"/>
          <w:tab w:val="left" w:pos="5040"/>
          <w:tab w:val="left" w:pos="5760"/>
        </w:tabs>
        <w:spacing w:line="360" w:lineRule="auto"/>
        <w:rPr>
          <w:rFonts w:ascii="Calibri" w:hAnsi="Calibri" w:cs="Calibri"/>
          <w:i/>
          <w:iCs/>
        </w:rPr>
      </w:pPr>
      <w:r w:rsidRPr="00C17187">
        <w:rPr>
          <w:rFonts w:ascii="Calibri" w:hAnsi="Calibri" w:cs="Calibri"/>
          <w:i/>
          <w:iCs/>
        </w:rPr>
        <w:t xml:space="preserve">2) “The National Park Service recommends you stay a minimum distance of 2 bus lengths from </w:t>
      </w:r>
      <w:r w:rsidR="00931503">
        <w:rPr>
          <w:rFonts w:ascii="Calibri" w:hAnsi="Calibri" w:cs="Calibri"/>
          <w:i/>
          <w:iCs/>
        </w:rPr>
        <w:t>[INSERT WILDLIFE SPECIES HERE]</w:t>
      </w:r>
      <w:r w:rsidRPr="00C17187">
        <w:rPr>
          <w:rFonts w:ascii="Calibri" w:hAnsi="Calibri" w:cs="Calibri"/>
          <w:i/>
          <w:iCs/>
        </w:rPr>
        <w:t xml:space="preserve">. </w:t>
      </w:r>
      <w:r w:rsidRPr="00931503">
        <w:rPr>
          <w:rFonts w:ascii="Calibri" w:hAnsi="Calibri" w:cs="Calibri"/>
          <w:i/>
          <w:iCs/>
        </w:rPr>
        <w:t xml:space="preserve">Please move to the point that best represents the recommended distance” </w:t>
      </w:r>
    </w:p>
    <w:p w:rsidRPr="00C17187" w:rsidR="00122F9D" w:rsidP="00474FE8" w:rsidRDefault="00122F9D" w14:paraId="1CED6825" w14:textId="4BF1C967">
      <w:pPr>
        <w:pStyle w:val="ListParagraph"/>
        <w:tabs>
          <w:tab w:val="left" w:pos="360"/>
          <w:tab w:val="left" w:pos="720"/>
          <w:tab w:val="left" w:pos="1440"/>
          <w:tab w:val="left" w:pos="2160"/>
          <w:tab w:val="left" w:pos="3600"/>
          <w:tab w:val="left" w:pos="5040"/>
          <w:tab w:val="left" w:pos="5760"/>
        </w:tabs>
        <w:spacing w:line="360" w:lineRule="auto"/>
        <w:rPr>
          <w:rFonts w:ascii="Calibri" w:hAnsi="Calibri" w:cs="Calibri"/>
          <w:i/>
          <w:iCs/>
        </w:rPr>
      </w:pPr>
      <w:r w:rsidRPr="00C17187">
        <w:rPr>
          <w:rFonts w:ascii="Calibri" w:hAnsi="Calibri" w:cs="Calibri"/>
          <w:i/>
          <w:iCs/>
        </w:rPr>
        <w:t xml:space="preserve">3) “Please move to the point that best represents the minimum distance a person stay away from </w:t>
      </w:r>
      <w:r w:rsidR="00931503">
        <w:rPr>
          <w:rFonts w:ascii="Calibri" w:hAnsi="Calibri" w:cs="Calibri"/>
          <w:i/>
          <w:iCs/>
        </w:rPr>
        <w:t>[INSERT WILDLIFE SPECIES HERE]</w:t>
      </w:r>
      <w:r w:rsidRPr="00C17187">
        <w:rPr>
          <w:rFonts w:ascii="Calibri" w:hAnsi="Calibri" w:cs="Calibri"/>
          <w:i/>
          <w:iCs/>
        </w:rPr>
        <w:t>”</w:t>
      </w:r>
    </w:p>
    <w:p w:rsidRPr="00C17187" w:rsidR="00122F9D" w:rsidP="00474FE8" w:rsidRDefault="00122F9D" w14:paraId="39757F94" w14:textId="15C856BA">
      <w:pPr>
        <w:pStyle w:val="ListParagraph"/>
        <w:tabs>
          <w:tab w:val="left" w:pos="360"/>
          <w:tab w:val="left" w:pos="720"/>
          <w:tab w:val="left" w:pos="1440"/>
          <w:tab w:val="left" w:pos="2160"/>
          <w:tab w:val="left" w:pos="3600"/>
          <w:tab w:val="left" w:pos="5040"/>
          <w:tab w:val="left" w:pos="5760"/>
        </w:tabs>
        <w:spacing w:line="360" w:lineRule="auto"/>
        <w:rPr>
          <w:rFonts w:ascii="Calibri" w:hAnsi="Calibri" w:cs="Calibri"/>
          <w:i/>
          <w:iCs/>
        </w:rPr>
      </w:pPr>
      <w:r w:rsidRPr="00C17187">
        <w:rPr>
          <w:rFonts w:ascii="Calibri" w:hAnsi="Calibri" w:cs="Calibri"/>
          <w:i/>
          <w:iCs/>
        </w:rPr>
        <w:t xml:space="preserve">4) “Don’t steal someone else’s ‘Wow!’ Please move to the point that best represents the minimum distance a person should stay away from </w:t>
      </w:r>
      <w:r w:rsidR="00931503">
        <w:rPr>
          <w:rFonts w:ascii="Calibri" w:hAnsi="Calibri" w:cs="Calibri"/>
          <w:i/>
          <w:iCs/>
        </w:rPr>
        <w:t>[INSERT WILDLIFE SPECIES HERE]</w:t>
      </w:r>
      <w:r w:rsidRPr="00C17187">
        <w:rPr>
          <w:rFonts w:ascii="Calibri" w:hAnsi="Calibri" w:cs="Calibri"/>
          <w:i/>
          <w:iCs/>
        </w:rPr>
        <w:t xml:space="preserve">” </w:t>
      </w:r>
    </w:p>
    <w:p w:rsidRPr="00474FE8" w:rsidR="00122F9D" w:rsidP="00474FE8" w:rsidRDefault="00122F9D" w14:paraId="071BFB5A" w14:textId="49C9F8B9">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5C56FC">
        <w:rPr>
          <w:rFonts w:ascii="Calibri" w:hAnsi="Calibri" w:cs="Calibri"/>
        </w:rPr>
        <w:lastRenderedPageBreak/>
        <w:t xml:space="preserve">The respondent will then walk a </w:t>
      </w:r>
      <w:r w:rsidR="00A40316">
        <w:rPr>
          <w:rFonts w:ascii="Calibri" w:hAnsi="Calibri" w:cs="Calibri"/>
        </w:rPr>
        <w:t>50-yard</w:t>
      </w:r>
      <w:r w:rsidRPr="005C56FC">
        <w:rPr>
          <w:rFonts w:ascii="Calibri" w:hAnsi="Calibri" w:cs="Calibri"/>
        </w:rPr>
        <w:t xml:space="preserve"> transect towards a </w:t>
      </w:r>
      <w:r w:rsidR="00931503">
        <w:rPr>
          <w:rFonts w:ascii="Calibri" w:hAnsi="Calibri" w:cs="Calibri"/>
        </w:rPr>
        <w:t>[INSERT WILDLIFE SPECIES HERE]</w:t>
      </w:r>
      <w:r w:rsidRPr="005C56FC">
        <w:rPr>
          <w:rFonts w:ascii="Calibri" w:hAnsi="Calibri" w:cs="Calibri"/>
        </w:rPr>
        <w:t xml:space="preserve"> cutout. Once they stop at their chosen proximity, the researcher will use a range finder to record the selected distance. </w:t>
      </w:r>
      <w:r w:rsidR="00474FE8">
        <w:rPr>
          <w:rFonts w:ascii="Calibri" w:hAnsi="Calibri" w:cs="Calibri"/>
        </w:rPr>
        <w:t xml:space="preserve"> </w:t>
      </w:r>
      <w:r w:rsidRPr="00474FE8">
        <w:rPr>
          <w:rFonts w:ascii="Calibri" w:hAnsi="Calibri" w:cs="Calibri"/>
        </w:rPr>
        <w:t xml:space="preserve">Finally, after the exercise is complete, the technician will resume the survey and administer question #10-22. </w:t>
      </w:r>
    </w:p>
    <w:p w:rsidR="00122F9D" w:rsidP="00122F9D" w:rsidRDefault="00122F9D" w14:paraId="5786707A"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p>
    <w:p w:rsidRPr="00BB3BB3" w:rsidR="00122F9D" w:rsidP="00122F9D" w:rsidRDefault="00122F9D" w14:paraId="5B95EEC8"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Pr>
          <w:rFonts w:ascii="Calibri" w:hAnsi="Calibri" w:cs="Calibri"/>
        </w:rPr>
        <w:t>Furthermore, d</w:t>
      </w:r>
      <w:r w:rsidRPr="00BB3BB3">
        <w:rPr>
          <w:rFonts w:ascii="Calibri" w:hAnsi="Calibri" w:cs="Calibri"/>
        </w:rPr>
        <w:t>ue to the COVID-19 pandemic, extra safety precautions will be set in place. All surveyors will wear </w:t>
      </w:r>
    </w:p>
    <w:p w:rsidRPr="00BB3BB3" w:rsidR="00122F9D" w:rsidP="00122F9D" w:rsidRDefault="00122F9D" w14:paraId="21F64F2B"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BB3BB3">
        <w:rPr>
          <w:rFonts w:ascii="Calibri" w:hAnsi="Calibri" w:cs="Calibri"/>
        </w:rPr>
        <w:t>masks. Surveyors will administer surveys via a tablet and enter responses for respondents at a distance </w:t>
      </w:r>
    </w:p>
    <w:p w:rsidRPr="00BB3BB3" w:rsidR="00122F9D" w:rsidP="00122F9D" w:rsidRDefault="00122F9D" w14:paraId="0147D64D" w14:textId="2428199F">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BB3BB3">
        <w:rPr>
          <w:rFonts w:ascii="Calibri" w:hAnsi="Calibri" w:cs="Calibri"/>
        </w:rPr>
        <w:t xml:space="preserve">between each other of at least 6 feet. Study participants </w:t>
      </w:r>
      <w:r w:rsidR="00A40316">
        <w:rPr>
          <w:rFonts w:ascii="Calibri" w:hAnsi="Calibri" w:cs="Calibri"/>
        </w:rPr>
        <w:t>will</w:t>
      </w:r>
      <w:r w:rsidRPr="00BB3BB3">
        <w:rPr>
          <w:rFonts w:ascii="Calibri" w:hAnsi="Calibri" w:cs="Calibri"/>
        </w:rPr>
        <w:t xml:space="preserve"> not come into contact with any survey </w:t>
      </w:r>
    </w:p>
    <w:p w:rsidRPr="00BB3BB3" w:rsidR="00122F9D" w:rsidP="00122F9D" w:rsidRDefault="00122F9D" w14:paraId="3BF50BDC"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BB3BB3">
        <w:rPr>
          <w:rFonts w:ascii="Calibri" w:hAnsi="Calibri" w:cs="Calibri"/>
        </w:rPr>
        <w:t>equipment. Survey equipment will be regularly wiped down. Temperature monitoring of technicians will </w:t>
      </w:r>
    </w:p>
    <w:p w:rsidRPr="00BB3BB3" w:rsidR="00122F9D" w:rsidP="00122F9D" w:rsidRDefault="00122F9D" w14:paraId="42D4C021"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BB3BB3">
        <w:rPr>
          <w:rFonts w:ascii="Calibri" w:hAnsi="Calibri" w:cs="Calibri"/>
        </w:rPr>
        <w:t>occur before each shift, and COVID-19 symptom screening questions will be employed to each participant </w:t>
      </w:r>
    </w:p>
    <w:p w:rsidRPr="00BB3BB3" w:rsidR="00122F9D" w:rsidP="00122F9D" w:rsidRDefault="00122F9D" w14:paraId="76DB82AF"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BB3BB3">
        <w:rPr>
          <w:rFonts w:ascii="Calibri" w:hAnsi="Calibri" w:cs="Calibri"/>
        </w:rPr>
        <w:t>before surveying begins. Surveyors will deploy a temporary/portable sign at sampling locations notifying </w:t>
      </w:r>
    </w:p>
    <w:p w:rsidRPr="00BB3BB3" w:rsidR="00122F9D" w:rsidP="00122F9D" w:rsidRDefault="00122F9D" w14:paraId="5E316577"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BB3BB3">
        <w:rPr>
          <w:rFonts w:ascii="Calibri" w:hAnsi="Calibri" w:cs="Calibri"/>
        </w:rPr>
        <w:t>potential respondents of recommended distancing protocols should they volunteer to participate in the </w:t>
      </w:r>
    </w:p>
    <w:p w:rsidRPr="00122F9D" w:rsidR="00A316B4" w:rsidP="00122F9D" w:rsidRDefault="00122F9D" w14:paraId="346CC791" w14:textId="7EA835AE">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BB3BB3">
        <w:rPr>
          <w:rFonts w:ascii="Calibri" w:hAnsi="Calibri" w:cs="Calibri"/>
        </w:rPr>
        <w:t>study.</w:t>
      </w:r>
    </w:p>
    <w:p w:rsidRPr="00AE0D1F"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Expected Response Rate / Confidence Level:</w:t>
      </w:r>
    </w:p>
    <w:p w:rsidRPr="00817264" w:rsidR="00122F9D" w:rsidP="00474FE8" w:rsidRDefault="00122F9D" w14:paraId="1889F14A" w14:textId="7CD6180E">
      <w:pPr>
        <w:tabs>
          <w:tab w:val="left" w:pos="360"/>
          <w:tab w:val="left" w:pos="540"/>
          <w:tab w:val="left" w:pos="1440"/>
          <w:tab w:val="left" w:pos="2160"/>
          <w:tab w:val="left" w:pos="3600"/>
          <w:tab w:val="left" w:pos="5040"/>
          <w:tab w:val="left" w:pos="5760"/>
        </w:tabs>
        <w:spacing w:line="360" w:lineRule="auto"/>
        <w:ind w:left="360"/>
        <w:rPr>
          <w:rFonts w:ascii="Calibri" w:hAnsi="Calibri" w:cs="Calibri"/>
          <w:b/>
        </w:rPr>
      </w:pPr>
      <w:bookmarkStart w:name="_Ref49166731" w:id="4"/>
      <w:r w:rsidRPr="00122F9D">
        <w:rPr>
          <w:rFonts w:ascii="Calibri" w:hAnsi="Calibri" w:cs="Calibri"/>
        </w:rPr>
        <w:t xml:space="preserve">It is expected that a total of </w:t>
      </w:r>
      <w:r w:rsidR="002F5CC3">
        <w:rPr>
          <w:rFonts w:ascii="Calibri" w:hAnsi="Calibri" w:cs="Calibri"/>
        </w:rPr>
        <w:t>1,440</w:t>
      </w:r>
      <w:r w:rsidRPr="00122F9D">
        <w:rPr>
          <w:rFonts w:ascii="Calibri" w:hAnsi="Calibri" w:cs="Calibri"/>
        </w:rPr>
        <w:t xml:space="preserve"> visitors will be contacted during the sampling period. A 2017 study conducted with visitors at the String and Leigh Lakes area using a similar on-site survey sampling method and received a response rate of 87.1%. (</w:t>
      </w:r>
      <w:proofErr w:type="spellStart"/>
      <w:r w:rsidRPr="00122F9D">
        <w:rPr>
          <w:rFonts w:ascii="Calibri" w:hAnsi="Calibri" w:cs="Calibri"/>
        </w:rPr>
        <w:t>D’Antonio</w:t>
      </w:r>
      <w:proofErr w:type="spellEnd"/>
      <w:r w:rsidRPr="00122F9D">
        <w:rPr>
          <w:rFonts w:ascii="Calibri" w:hAnsi="Calibri" w:cs="Calibri"/>
        </w:rPr>
        <w:t>, et al., 2018). Based on these results we are estimating that at least 80% (n=</w:t>
      </w:r>
      <w:r w:rsidR="002F5CC3">
        <w:rPr>
          <w:rFonts w:ascii="Calibri" w:hAnsi="Calibri" w:cs="Calibri"/>
        </w:rPr>
        <w:t>1,152</w:t>
      </w:r>
      <w:r w:rsidRPr="00122F9D">
        <w:rPr>
          <w:rFonts w:ascii="Calibri" w:hAnsi="Calibri" w:cs="Calibri"/>
        </w:rPr>
        <w:t xml:space="preserve">) </w:t>
      </w:r>
      <w:r w:rsidR="00DA1800">
        <w:rPr>
          <w:rFonts w:ascii="Calibri" w:hAnsi="Calibri" w:cs="Calibri"/>
        </w:rPr>
        <w:t xml:space="preserve">of all visitors contacted, in sample areas A and B, </w:t>
      </w:r>
      <w:r w:rsidRPr="00122F9D">
        <w:rPr>
          <w:rFonts w:ascii="Calibri" w:hAnsi="Calibri" w:cs="Calibri"/>
        </w:rPr>
        <w:t xml:space="preserve">will </w:t>
      </w:r>
      <w:r w:rsidR="00DA1800">
        <w:rPr>
          <w:rFonts w:ascii="Calibri" w:hAnsi="Calibri" w:cs="Calibri"/>
        </w:rPr>
        <w:t xml:space="preserve">agree </w:t>
      </w:r>
      <w:r w:rsidRPr="00122F9D">
        <w:rPr>
          <w:rFonts w:ascii="Calibri" w:hAnsi="Calibri" w:cs="Calibri"/>
        </w:rPr>
        <w:t xml:space="preserve">to participate in this study. Of </w:t>
      </w:r>
      <w:r w:rsidR="00DA1800">
        <w:rPr>
          <w:rFonts w:ascii="Calibri" w:hAnsi="Calibri" w:cs="Calibri"/>
        </w:rPr>
        <w:t>all</w:t>
      </w:r>
      <w:r w:rsidRPr="00122F9D" w:rsidR="00DA1800">
        <w:rPr>
          <w:rFonts w:ascii="Calibri" w:hAnsi="Calibri" w:cs="Calibri"/>
        </w:rPr>
        <w:t xml:space="preserve"> </w:t>
      </w:r>
      <w:r w:rsidR="00DA1800">
        <w:rPr>
          <w:rFonts w:ascii="Calibri" w:hAnsi="Calibri" w:cs="Calibri"/>
        </w:rPr>
        <w:t xml:space="preserve">visitors </w:t>
      </w:r>
      <w:r w:rsidRPr="00122F9D">
        <w:rPr>
          <w:rFonts w:ascii="Calibri" w:hAnsi="Calibri" w:cs="Calibri"/>
        </w:rPr>
        <w:t>refusing to participate</w:t>
      </w:r>
      <w:r w:rsidR="00DA1800">
        <w:rPr>
          <w:rFonts w:ascii="Calibri" w:hAnsi="Calibri" w:cs="Calibri"/>
        </w:rPr>
        <w:t xml:space="preserve"> (n=288)</w:t>
      </w:r>
      <w:r w:rsidR="00A40316">
        <w:rPr>
          <w:rFonts w:ascii="Calibri" w:hAnsi="Calibri" w:cs="Calibri"/>
        </w:rPr>
        <w:t>,</w:t>
      </w:r>
      <w:r w:rsidRPr="00122F9D">
        <w:rPr>
          <w:rFonts w:ascii="Calibri" w:hAnsi="Calibri" w:cs="Calibri"/>
        </w:rPr>
        <w:t xml:space="preserve"> we will ask </w:t>
      </w:r>
      <w:r w:rsidR="00DA1800">
        <w:rPr>
          <w:rFonts w:ascii="Calibri" w:hAnsi="Calibri" w:cs="Calibri"/>
        </w:rPr>
        <w:t xml:space="preserve">those </w:t>
      </w:r>
      <w:r w:rsidRPr="00122F9D">
        <w:rPr>
          <w:rFonts w:ascii="Calibri" w:hAnsi="Calibri" w:cs="Calibri"/>
        </w:rPr>
        <w:t xml:space="preserve">to complete the non-response bias check. </w:t>
      </w:r>
      <w:r w:rsidR="00DA1800">
        <w:rPr>
          <w:rFonts w:ascii="Calibri" w:hAnsi="Calibri" w:cs="Calibri"/>
        </w:rPr>
        <w:t>From that number, w</w:t>
      </w:r>
      <w:r w:rsidRPr="00122F9D">
        <w:rPr>
          <w:rFonts w:ascii="Calibri" w:hAnsi="Calibri" w:cs="Calibri"/>
        </w:rPr>
        <w:t>e anticipate that 80% (n=</w:t>
      </w:r>
      <w:r w:rsidR="00DA1800">
        <w:rPr>
          <w:rFonts w:ascii="Calibri" w:hAnsi="Calibri" w:cs="Calibri"/>
        </w:rPr>
        <w:t>232</w:t>
      </w:r>
      <w:r w:rsidRPr="00122F9D">
        <w:rPr>
          <w:rFonts w:ascii="Calibri" w:hAnsi="Calibri" w:cs="Calibri"/>
        </w:rPr>
        <w:t xml:space="preserve">) will </w:t>
      </w:r>
      <w:r w:rsidR="00DA1800">
        <w:rPr>
          <w:rFonts w:ascii="Calibri" w:hAnsi="Calibri" w:cs="Calibri"/>
        </w:rPr>
        <w:t xml:space="preserve">agree to </w:t>
      </w:r>
      <w:r w:rsidRPr="00122F9D">
        <w:rPr>
          <w:rFonts w:ascii="Calibri" w:hAnsi="Calibri" w:cs="Calibri"/>
        </w:rPr>
        <w:t>answer the non-response bias questions when prompted.  However, of the remaining visitors</w:t>
      </w:r>
      <w:r w:rsidR="00DA1800">
        <w:rPr>
          <w:rFonts w:ascii="Calibri" w:hAnsi="Calibri" w:cs="Calibri"/>
        </w:rPr>
        <w:t xml:space="preserve"> refusing to participate (n=</w:t>
      </w:r>
      <w:r w:rsidR="0077112E">
        <w:rPr>
          <w:rFonts w:ascii="Calibri" w:hAnsi="Calibri" w:cs="Calibri"/>
        </w:rPr>
        <w:t>48</w:t>
      </w:r>
      <w:r w:rsidR="00DA1800">
        <w:rPr>
          <w:rFonts w:ascii="Calibri" w:hAnsi="Calibri" w:cs="Calibri"/>
        </w:rPr>
        <w:t>),</w:t>
      </w:r>
      <w:r w:rsidRPr="00122F9D">
        <w:rPr>
          <w:rFonts w:ascii="Calibri" w:hAnsi="Calibri" w:cs="Calibri"/>
        </w:rPr>
        <w:t xml:space="preserve"> we will thank them for their time and discontinue the contact. For quantitative outdoor </w:t>
      </w:r>
      <w:r w:rsidR="00A40316">
        <w:rPr>
          <w:rFonts w:ascii="Calibri" w:hAnsi="Calibri" w:cs="Calibri"/>
        </w:rPr>
        <w:t>recreation-related</w:t>
      </w:r>
      <w:r w:rsidRPr="00122F9D">
        <w:rPr>
          <w:rFonts w:ascii="Calibri" w:hAnsi="Calibri" w:cs="Calibri"/>
        </w:rPr>
        <w:t xml:space="preserve"> surveys, </w:t>
      </w:r>
      <w:proofErr w:type="spellStart"/>
      <w:r w:rsidRPr="00122F9D" w:rsidR="0077112E">
        <w:rPr>
          <w:rFonts w:ascii="Calibri" w:hAnsi="Calibri" w:cs="Calibri"/>
        </w:rPr>
        <w:t>Vaske</w:t>
      </w:r>
      <w:proofErr w:type="spellEnd"/>
      <w:r w:rsidRPr="0077112E" w:rsidR="0077112E">
        <w:rPr>
          <w:rFonts w:ascii="Calibri" w:hAnsi="Calibri" w:cs="Calibri"/>
        </w:rPr>
        <w:t xml:space="preserve"> </w:t>
      </w:r>
      <w:r w:rsidRPr="00122F9D" w:rsidR="0077112E">
        <w:rPr>
          <w:rFonts w:ascii="Calibri" w:hAnsi="Calibri" w:cs="Calibri"/>
        </w:rPr>
        <w:t>(2008)</w:t>
      </w:r>
      <w:r w:rsidR="0077112E">
        <w:rPr>
          <w:rFonts w:ascii="Calibri" w:hAnsi="Calibri" w:cs="Calibri"/>
        </w:rPr>
        <w:t>,</w:t>
      </w:r>
      <w:r w:rsidRPr="00122F9D">
        <w:rPr>
          <w:rFonts w:ascii="Calibri" w:hAnsi="Calibri" w:cs="Calibri"/>
        </w:rPr>
        <w:t xml:space="preserve"> recommend</w:t>
      </w:r>
      <w:r w:rsidR="0077112E">
        <w:rPr>
          <w:rFonts w:ascii="Calibri" w:hAnsi="Calibri" w:cs="Calibri"/>
        </w:rPr>
        <w:t>s</w:t>
      </w:r>
      <w:r w:rsidRPr="00122F9D">
        <w:rPr>
          <w:rFonts w:ascii="Calibri" w:hAnsi="Calibri" w:cs="Calibri"/>
        </w:rPr>
        <w:t xml:space="preserve"> that the sample size be approximately 400 respondents</w:t>
      </w:r>
      <w:r w:rsidR="0077112E">
        <w:rPr>
          <w:rFonts w:ascii="Calibri" w:hAnsi="Calibri" w:cs="Calibri"/>
        </w:rPr>
        <w:t>,</w:t>
      </w:r>
      <w:r w:rsidRPr="00122F9D">
        <w:rPr>
          <w:rFonts w:ascii="Calibri" w:hAnsi="Calibri" w:cs="Calibri"/>
        </w:rPr>
        <w:t xml:space="preserve"> </w:t>
      </w:r>
      <w:r w:rsidR="00DA1800">
        <w:rPr>
          <w:rFonts w:ascii="Calibri" w:hAnsi="Calibri" w:cs="Calibri"/>
        </w:rPr>
        <w:t>therefore t</w:t>
      </w:r>
      <w:r w:rsidRPr="00122F9D">
        <w:rPr>
          <w:rFonts w:ascii="Calibri" w:hAnsi="Calibri" w:cs="Calibri"/>
        </w:rPr>
        <w:t xml:space="preserve">he sample estimates for this study </w:t>
      </w:r>
      <w:r w:rsidR="00DA1800">
        <w:rPr>
          <w:rFonts w:ascii="Calibri" w:hAnsi="Calibri" w:cs="Calibri"/>
        </w:rPr>
        <w:t>are considered</w:t>
      </w:r>
      <w:r w:rsidRPr="00122F9D">
        <w:rPr>
          <w:rFonts w:ascii="Calibri" w:hAnsi="Calibri" w:cs="Calibri"/>
        </w:rPr>
        <w:t xml:space="preserve"> acceptable. The results of this collection will not be used to generalize any population beyond the individuals participating in this study during this sampling period.  </w:t>
      </w:r>
    </w:p>
    <w:p w:rsidRPr="00436135" w:rsidR="001761E9" w:rsidP="00436135" w:rsidRDefault="00436135" w14:paraId="0B16701C" w14:textId="26208292">
      <w:pPr>
        <w:pStyle w:val="NoSpacing"/>
        <w:spacing w:before="220" w:line="360" w:lineRule="auto"/>
        <w:ind w:left="360"/>
        <w:rPr>
          <w:rFonts w:asciiTheme="minorHAnsi" w:hAnsiTheme="minorHAnsi" w:cstheme="minorHAnsi"/>
          <w:b/>
          <w:bCs/>
          <w:sz w:val="22"/>
          <w:lang w:bidi="en-US"/>
        </w:rPr>
      </w:pPr>
      <w:r w:rsidRPr="004C1C07">
        <w:rPr>
          <w:rFonts w:asciiTheme="minorHAnsi" w:hAnsiTheme="minorHAnsi" w:eastAsiaTheme="minorHAnsi" w:cstheme="minorHAnsi"/>
          <w:b/>
          <w:sz w:val="22"/>
          <w:szCs w:val="22"/>
          <w:lang w:bidi="en-US"/>
        </w:rPr>
        <w:t xml:space="preserve">Table </w:t>
      </w:r>
      <w:bookmarkEnd w:id="4"/>
      <w:r w:rsidR="002F5CC3">
        <w:rPr>
          <w:rFonts w:asciiTheme="minorHAnsi" w:hAnsiTheme="minorHAnsi" w:eastAsiaTheme="minorHAnsi" w:cstheme="minorHAnsi"/>
          <w:b/>
          <w:sz w:val="22"/>
          <w:szCs w:val="22"/>
          <w:lang w:bidi="en-US"/>
        </w:rPr>
        <w:t>1</w:t>
      </w:r>
      <w:r w:rsidRPr="004C1C07">
        <w:rPr>
          <w:rFonts w:asciiTheme="minorHAnsi" w:hAnsiTheme="minorHAnsi" w:eastAsiaTheme="minorHAnsi" w:cstheme="minorHAnsi"/>
          <w:b/>
          <w:sz w:val="22"/>
          <w:szCs w:val="22"/>
          <w:lang w:bidi="en-US"/>
        </w:rPr>
        <w:t xml:space="preserve">. </w:t>
      </w:r>
      <w:r>
        <w:rPr>
          <w:rFonts w:asciiTheme="minorHAnsi" w:hAnsiTheme="minorHAnsi" w:cstheme="minorHAnsi"/>
          <w:b/>
          <w:bCs/>
          <w:sz w:val="22"/>
          <w:lang w:bidi="en-US"/>
        </w:rPr>
        <w:t>Anticipated Onsite Survey Response Rates</w:t>
      </w:r>
      <w:r w:rsidR="00817264">
        <w:rPr>
          <w:rFonts w:asciiTheme="minorHAnsi" w:hAnsiTheme="minorHAnsi" w:cstheme="minorHAnsi"/>
          <w:b/>
          <w:bCs/>
          <w:sz w:val="22"/>
          <w:lang w:bidi="en-US"/>
        </w:rPr>
        <w:t xml:space="preserve"> </w:t>
      </w:r>
    </w:p>
    <w:tbl>
      <w:tblPr>
        <w:tblStyle w:val="TableGrid"/>
        <w:tblW w:w="0" w:type="auto"/>
        <w:tblInd w:w="27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1433"/>
        <w:gridCol w:w="1470"/>
        <w:gridCol w:w="1691"/>
        <w:gridCol w:w="2181"/>
        <w:gridCol w:w="1685"/>
      </w:tblGrid>
      <w:tr w:rsidRPr="00101E0A" w:rsidR="00931503" w:rsidTr="0077112E" w14:paraId="10584B9A" w14:textId="67A78901">
        <w:trPr>
          <w:trHeight w:val="772"/>
        </w:trPr>
        <w:tc>
          <w:tcPr>
            <w:tcW w:w="2070" w:type="dxa"/>
            <w:tcBorders>
              <w:top w:val="single" w:color="auto" w:sz="4" w:space="0"/>
              <w:bottom w:val="single" w:color="auto" w:sz="4" w:space="0"/>
            </w:tcBorders>
            <w:shd w:val="clear" w:color="auto" w:fill="5F497A" w:themeFill="accent4" w:themeFillShade="BF"/>
            <w:vAlign w:val="center"/>
          </w:tcPr>
          <w:p w:rsidR="00931503" w:rsidP="00931503" w:rsidRDefault="00931503" w14:paraId="7F5213B9" w14:textId="20747BF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Location</w:t>
            </w:r>
          </w:p>
        </w:tc>
        <w:tc>
          <w:tcPr>
            <w:tcW w:w="1433" w:type="dxa"/>
            <w:tcBorders>
              <w:top w:val="single" w:color="auto" w:sz="4" w:space="0"/>
              <w:bottom w:val="single" w:color="auto" w:sz="4" w:space="0"/>
            </w:tcBorders>
            <w:shd w:val="clear" w:color="auto" w:fill="5F497A" w:themeFill="accent4" w:themeFillShade="BF"/>
            <w:vAlign w:val="center"/>
          </w:tcPr>
          <w:p w:rsidR="00931503" w:rsidP="00B401D7" w:rsidRDefault="00931503" w14:paraId="39485259" w14:textId="13A8328A">
            <w:pPr>
              <w:pStyle w:val="NoSpacing"/>
              <w:jc w:val="center"/>
              <w:rPr>
                <w:rFonts w:asciiTheme="minorHAnsi" w:hAnsiTheme="minorHAnsi" w:cstheme="minorHAnsi"/>
                <w:b/>
                <w:bCs/>
                <w:color w:val="FFFFFF" w:themeColor="background1"/>
                <w:sz w:val="18"/>
                <w:szCs w:val="18"/>
              </w:rPr>
            </w:pPr>
            <w:bookmarkStart w:name="_Hlk48827534" w:id="5"/>
            <w:r>
              <w:rPr>
                <w:rFonts w:asciiTheme="minorHAnsi" w:hAnsiTheme="minorHAnsi" w:cstheme="minorHAnsi"/>
                <w:b/>
                <w:bCs/>
                <w:color w:val="FFFFFF" w:themeColor="background1"/>
                <w:sz w:val="18"/>
                <w:szCs w:val="18"/>
              </w:rPr>
              <w:t>Total Number of Visitor Contacts</w:t>
            </w:r>
          </w:p>
        </w:tc>
        <w:tc>
          <w:tcPr>
            <w:tcW w:w="1470" w:type="dxa"/>
            <w:tcBorders>
              <w:top w:val="single" w:color="auto" w:sz="4" w:space="0"/>
              <w:bottom w:val="single" w:color="auto" w:sz="4" w:space="0"/>
            </w:tcBorders>
            <w:shd w:val="clear" w:color="auto" w:fill="5F497A" w:themeFill="accent4" w:themeFillShade="BF"/>
            <w:vAlign w:val="center"/>
          </w:tcPr>
          <w:p w:rsidR="00931503" w:rsidP="00B401D7" w:rsidRDefault="00931503" w14:paraId="67E08714" w14:textId="1CEF25AD">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Completed Onsite Surveys</w:t>
            </w:r>
          </w:p>
          <w:p w:rsidRPr="005622A5" w:rsidR="00931503" w:rsidP="00B401D7" w:rsidRDefault="00931503" w14:paraId="268BE57E" w14:textId="633C296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w:t>
            </w:r>
            <w:r w:rsidR="00817264">
              <w:rPr>
                <w:rFonts w:asciiTheme="minorHAnsi" w:hAnsiTheme="minorHAnsi" w:cstheme="minorHAnsi"/>
                <w:b/>
                <w:bCs/>
                <w:color w:val="FFFFFF" w:themeColor="background1"/>
                <w:sz w:val="18"/>
                <w:szCs w:val="18"/>
              </w:rPr>
              <w:t>80</w:t>
            </w:r>
            <w:r>
              <w:rPr>
                <w:rFonts w:asciiTheme="minorHAnsi" w:hAnsiTheme="minorHAnsi" w:cstheme="minorHAnsi"/>
                <w:b/>
                <w:bCs/>
                <w:color w:val="FFFFFF" w:themeColor="background1"/>
                <w:sz w:val="18"/>
                <w:szCs w:val="18"/>
              </w:rPr>
              <w:t>% of contacts)</w:t>
            </w:r>
          </w:p>
        </w:tc>
        <w:tc>
          <w:tcPr>
            <w:tcW w:w="1691" w:type="dxa"/>
            <w:tcBorders>
              <w:top w:val="single" w:color="auto" w:sz="4" w:space="0"/>
              <w:bottom w:val="single" w:color="auto" w:sz="4" w:space="0"/>
            </w:tcBorders>
            <w:shd w:val="clear" w:color="auto" w:fill="5F497A" w:themeFill="accent4" w:themeFillShade="BF"/>
            <w:vAlign w:val="center"/>
          </w:tcPr>
          <w:p w:rsidR="00931503" w:rsidP="00B401D7" w:rsidRDefault="00931503" w14:paraId="32C2749A" w14:textId="2816E65B">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Soft Refusals </w:t>
            </w:r>
            <w:r>
              <w:rPr>
                <w:rFonts w:asciiTheme="minorHAnsi" w:hAnsiTheme="minorHAnsi" w:cstheme="minorHAnsi"/>
                <w:b/>
                <w:bCs/>
                <w:color w:val="FFFFFF" w:themeColor="background1"/>
                <w:sz w:val="18"/>
                <w:szCs w:val="18"/>
              </w:rPr>
              <w:br/>
              <w:t>(</w:t>
            </w:r>
            <w:r w:rsidR="00817264">
              <w:rPr>
                <w:rFonts w:asciiTheme="minorHAnsi" w:hAnsiTheme="minorHAnsi" w:cstheme="minorHAnsi"/>
                <w:b/>
                <w:bCs/>
                <w:color w:val="FFFFFF" w:themeColor="background1"/>
                <w:sz w:val="18"/>
                <w:szCs w:val="18"/>
              </w:rPr>
              <w:t>20</w:t>
            </w:r>
            <w:r>
              <w:rPr>
                <w:rFonts w:asciiTheme="minorHAnsi" w:hAnsiTheme="minorHAnsi" w:cstheme="minorHAnsi"/>
                <w:b/>
                <w:bCs/>
                <w:color w:val="FFFFFF" w:themeColor="background1"/>
                <w:sz w:val="18"/>
                <w:szCs w:val="18"/>
              </w:rPr>
              <w:t>% of contacts)</w:t>
            </w:r>
          </w:p>
        </w:tc>
        <w:tc>
          <w:tcPr>
            <w:tcW w:w="2181" w:type="dxa"/>
            <w:tcBorders>
              <w:top w:val="single" w:color="auto" w:sz="4" w:space="0"/>
              <w:bottom w:val="single" w:color="auto" w:sz="4" w:space="0"/>
            </w:tcBorders>
            <w:shd w:val="clear" w:color="auto" w:fill="5F497A" w:themeFill="accent4" w:themeFillShade="BF"/>
            <w:vAlign w:val="center"/>
          </w:tcPr>
          <w:p w:rsidRPr="00436135" w:rsidR="00931503" w:rsidP="00B401D7" w:rsidRDefault="00931503" w14:paraId="5FEFDF59" w14:textId="0A1BB3DD">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Pr>
                <w:rFonts w:asciiTheme="minorHAnsi" w:hAnsiTheme="minorHAnsi" w:cstheme="minorHAnsi"/>
                <w:b/>
                <w:bCs/>
                <w:color w:val="FFFFFF" w:themeColor="background1"/>
                <w:sz w:val="18"/>
                <w:szCs w:val="18"/>
              </w:rPr>
              <w:br/>
              <w:t xml:space="preserve">Non-Response Surveys </w:t>
            </w:r>
            <w:r>
              <w:rPr>
                <w:rFonts w:asciiTheme="minorHAnsi" w:hAnsiTheme="minorHAnsi" w:cstheme="minorHAnsi"/>
                <w:b/>
                <w:bCs/>
                <w:color w:val="FFFFFF" w:themeColor="background1"/>
                <w:sz w:val="18"/>
                <w:szCs w:val="18"/>
              </w:rPr>
              <w:br/>
              <w:t xml:space="preserve"> (</w:t>
            </w:r>
            <w:r w:rsidR="00817264">
              <w:rPr>
                <w:rFonts w:asciiTheme="minorHAnsi" w:hAnsiTheme="minorHAnsi" w:cstheme="minorHAnsi"/>
                <w:b/>
                <w:bCs/>
                <w:color w:val="FFFFFF" w:themeColor="background1"/>
                <w:sz w:val="18"/>
                <w:szCs w:val="18"/>
              </w:rPr>
              <w:t>80</w:t>
            </w:r>
            <w:r>
              <w:rPr>
                <w:rFonts w:asciiTheme="minorHAnsi" w:hAnsiTheme="minorHAnsi" w:cstheme="minorHAnsi"/>
                <w:b/>
                <w:bCs/>
                <w:color w:val="FFFFFF" w:themeColor="background1"/>
                <w:sz w:val="18"/>
                <w:szCs w:val="18"/>
              </w:rPr>
              <w:t>% of soft refusals)</w:t>
            </w:r>
          </w:p>
        </w:tc>
        <w:tc>
          <w:tcPr>
            <w:tcW w:w="1685" w:type="dxa"/>
            <w:tcBorders>
              <w:top w:val="single" w:color="auto" w:sz="4" w:space="0"/>
              <w:bottom w:val="single" w:color="auto" w:sz="4" w:space="0"/>
            </w:tcBorders>
            <w:shd w:val="clear" w:color="auto" w:fill="5F497A" w:themeFill="accent4" w:themeFillShade="BF"/>
            <w:vAlign w:val="center"/>
          </w:tcPr>
          <w:p w:rsidRPr="00436135" w:rsidR="00931503" w:rsidP="00B401D7" w:rsidRDefault="00931503" w14:paraId="213FD2D7" w14:textId="2D2809CF">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t>(</w:t>
            </w:r>
            <w:r w:rsidR="00817264">
              <w:rPr>
                <w:rFonts w:asciiTheme="minorHAnsi" w:hAnsiTheme="minorHAnsi" w:cstheme="minorHAnsi"/>
                <w:b/>
                <w:bCs/>
                <w:color w:val="FFFFFF" w:themeColor="background1"/>
                <w:sz w:val="18"/>
                <w:szCs w:val="18"/>
              </w:rPr>
              <w:t>20</w:t>
            </w:r>
            <w:r>
              <w:rPr>
                <w:rFonts w:asciiTheme="minorHAnsi" w:hAnsiTheme="minorHAnsi" w:cstheme="minorHAnsi"/>
                <w:b/>
                <w:bCs/>
                <w:color w:val="FFFFFF" w:themeColor="background1"/>
                <w:sz w:val="18"/>
                <w:szCs w:val="18"/>
              </w:rPr>
              <w:t>% of soft refusals)</w:t>
            </w:r>
          </w:p>
        </w:tc>
      </w:tr>
      <w:tr w:rsidRPr="00817264" w:rsidR="00817264" w:rsidTr="0077112E" w14:paraId="51539A97" w14:textId="77777777">
        <w:trPr>
          <w:trHeight w:val="332"/>
        </w:trPr>
        <w:tc>
          <w:tcPr>
            <w:tcW w:w="2070" w:type="dxa"/>
            <w:tcBorders>
              <w:top w:val="single" w:color="auto" w:sz="4" w:space="0"/>
              <w:bottom w:val="nil"/>
            </w:tcBorders>
          </w:tcPr>
          <w:p w:rsidRPr="00817264" w:rsidR="00817264" w:rsidP="00474FE8" w:rsidRDefault="00817264" w14:paraId="63829290" w14:textId="5F1BA45D">
            <w:pPr>
              <w:pStyle w:val="NoSpacing"/>
              <w:rPr>
                <w:rFonts w:asciiTheme="minorHAnsi" w:hAnsiTheme="minorHAnsi" w:cstheme="minorHAnsi"/>
                <w:b/>
                <w:sz w:val="20"/>
                <w:szCs w:val="20"/>
              </w:rPr>
            </w:pPr>
            <w:r w:rsidRPr="00817264">
              <w:rPr>
                <w:rFonts w:asciiTheme="minorHAnsi" w:hAnsiTheme="minorHAnsi" w:cstheme="minorHAnsi"/>
                <w:b/>
                <w:sz w:val="20"/>
                <w:szCs w:val="20"/>
              </w:rPr>
              <w:t>Sample Area A</w:t>
            </w:r>
          </w:p>
        </w:tc>
        <w:tc>
          <w:tcPr>
            <w:tcW w:w="1433" w:type="dxa"/>
            <w:tcBorders>
              <w:top w:val="single" w:color="auto" w:sz="4" w:space="0"/>
              <w:bottom w:val="nil"/>
            </w:tcBorders>
            <w:shd w:val="clear" w:color="auto" w:fill="auto"/>
            <w:vAlign w:val="center"/>
          </w:tcPr>
          <w:p w:rsidRPr="00817264" w:rsidR="00817264" w:rsidP="005738EA" w:rsidRDefault="00817264" w14:paraId="233D83D8" w14:textId="77777777">
            <w:pPr>
              <w:pStyle w:val="NoSpacing"/>
              <w:jc w:val="center"/>
              <w:rPr>
                <w:rFonts w:asciiTheme="minorHAnsi" w:hAnsiTheme="minorHAnsi" w:cstheme="minorHAnsi"/>
                <w:b/>
                <w:sz w:val="20"/>
                <w:szCs w:val="20"/>
              </w:rPr>
            </w:pPr>
          </w:p>
        </w:tc>
        <w:tc>
          <w:tcPr>
            <w:tcW w:w="1470" w:type="dxa"/>
            <w:tcBorders>
              <w:top w:val="single" w:color="auto" w:sz="4" w:space="0"/>
              <w:bottom w:val="nil"/>
            </w:tcBorders>
            <w:shd w:val="clear" w:color="auto" w:fill="E5DFEC" w:themeFill="accent4" w:themeFillTint="33"/>
            <w:vAlign w:val="center"/>
          </w:tcPr>
          <w:p w:rsidRPr="00817264" w:rsidR="00817264" w:rsidP="005738EA" w:rsidRDefault="00817264" w14:paraId="09F7ADAB" w14:textId="77777777">
            <w:pPr>
              <w:pStyle w:val="NoSpacing"/>
              <w:jc w:val="center"/>
              <w:rPr>
                <w:rFonts w:asciiTheme="minorHAnsi" w:hAnsiTheme="minorHAnsi" w:cstheme="minorHAnsi"/>
                <w:b/>
                <w:sz w:val="20"/>
                <w:szCs w:val="20"/>
              </w:rPr>
            </w:pPr>
          </w:p>
        </w:tc>
        <w:tc>
          <w:tcPr>
            <w:tcW w:w="1691" w:type="dxa"/>
            <w:tcBorders>
              <w:top w:val="single" w:color="auto" w:sz="4" w:space="0"/>
              <w:bottom w:val="nil"/>
            </w:tcBorders>
            <w:vAlign w:val="center"/>
          </w:tcPr>
          <w:p w:rsidRPr="00817264" w:rsidR="00817264" w:rsidP="005738EA" w:rsidRDefault="00817264" w14:paraId="7DCE356F" w14:textId="77777777">
            <w:pPr>
              <w:pStyle w:val="NoSpacing"/>
              <w:jc w:val="center"/>
              <w:rPr>
                <w:rFonts w:asciiTheme="minorHAnsi" w:hAnsiTheme="minorHAnsi" w:cstheme="minorHAnsi"/>
                <w:b/>
                <w:sz w:val="20"/>
                <w:szCs w:val="20"/>
              </w:rPr>
            </w:pPr>
          </w:p>
        </w:tc>
        <w:tc>
          <w:tcPr>
            <w:tcW w:w="2181" w:type="dxa"/>
            <w:tcBorders>
              <w:top w:val="single" w:color="auto" w:sz="4" w:space="0"/>
              <w:bottom w:val="nil"/>
            </w:tcBorders>
            <w:shd w:val="clear" w:color="auto" w:fill="E5DFEC" w:themeFill="accent4" w:themeFillTint="33"/>
            <w:vAlign w:val="center"/>
          </w:tcPr>
          <w:p w:rsidRPr="00817264" w:rsidR="00817264" w:rsidP="005738EA" w:rsidRDefault="00817264" w14:paraId="6AE4EBFE" w14:textId="77777777">
            <w:pPr>
              <w:pStyle w:val="NoSpacing"/>
              <w:jc w:val="center"/>
              <w:rPr>
                <w:rFonts w:asciiTheme="minorHAnsi" w:hAnsiTheme="minorHAnsi" w:cstheme="minorHAnsi"/>
                <w:b/>
                <w:sz w:val="20"/>
                <w:szCs w:val="20"/>
              </w:rPr>
            </w:pPr>
          </w:p>
        </w:tc>
        <w:tc>
          <w:tcPr>
            <w:tcW w:w="1685" w:type="dxa"/>
            <w:tcBorders>
              <w:top w:val="single" w:color="auto" w:sz="4" w:space="0"/>
              <w:bottom w:val="nil"/>
            </w:tcBorders>
            <w:shd w:val="clear" w:color="auto" w:fill="auto"/>
            <w:vAlign w:val="center"/>
          </w:tcPr>
          <w:p w:rsidRPr="00817264" w:rsidR="00817264" w:rsidP="005738EA" w:rsidRDefault="00817264" w14:paraId="6B3E5519" w14:textId="77777777">
            <w:pPr>
              <w:pStyle w:val="NoSpacing"/>
              <w:jc w:val="center"/>
              <w:rPr>
                <w:rFonts w:asciiTheme="minorHAnsi" w:hAnsiTheme="minorHAnsi" w:cstheme="minorHAnsi"/>
                <w:b/>
                <w:sz w:val="20"/>
                <w:szCs w:val="20"/>
              </w:rPr>
            </w:pPr>
          </w:p>
        </w:tc>
      </w:tr>
      <w:tr w:rsidRPr="00350763" w:rsidR="00931503" w:rsidTr="0077112E" w14:paraId="2EBB6D57" w14:textId="3043471E">
        <w:trPr>
          <w:trHeight w:val="332"/>
        </w:trPr>
        <w:tc>
          <w:tcPr>
            <w:tcW w:w="2070" w:type="dxa"/>
            <w:tcBorders>
              <w:top w:val="nil"/>
              <w:bottom w:val="nil"/>
            </w:tcBorders>
          </w:tcPr>
          <w:p w:rsidRPr="00931503" w:rsidR="00931503" w:rsidP="00474FE8" w:rsidRDefault="00931503" w14:paraId="3DB0D21A" w14:textId="1EE3E159">
            <w:pPr>
              <w:pStyle w:val="NoSpacing"/>
              <w:rPr>
                <w:rFonts w:asciiTheme="minorHAnsi" w:hAnsiTheme="minorHAnsi" w:cstheme="minorHAnsi"/>
                <w:sz w:val="20"/>
                <w:szCs w:val="20"/>
              </w:rPr>
            </w:pPr>
            <w:r w:rsidRPr="00931503">
              <w:rPr>
                <w:rFonts w:asciiTheme="minorHAnsi" w:hAnsiTheme="minorHAnsi" w:cstheme="minorHAnsi"/>
                <w:sz w:val="20"/>
                <w:szCs w:val="20"/>
              </w:rPr>
              <w:t>Taggert Lake Trail</w:t>
            </w:r>
          </w:p>
        </w:tc>
        <w:tc>
          <w:tcPr>
            <w:tcW w:w="1433" w:type="dxa"/>
            <w:tcBorders>
              <w:top w:val="nil"/>
              <w:bottom w:val="nil"/>
            </w:tcBorders>
            <w:shd w:val="clear" w:color="auto" w:fill="auto"/>
            <w:vAlign w:val="center"/>
          </w:tcPr>
          <w:p w:rsidRPr="00931503" w:rsidR="00931503" w:rsidP="005738EA" w:rsidRDefault="00931503" w14:paraId="119DE10A" w14:textId="0ACB8B6F">
            <w:pPr>
              <w:pStyle w:val="NoSpacing"/>
              <w:jc w:val="center"/>
              <w:rPr>
                <w:rFonts w:asciiTheme="minorHAnsi" w:hAnsiTheme="minorHAnsi" w:cstheme="minorHAnsi"/>
                <w:sz w:val="20"/>
                <w:szCs w:val="20"/>
              </w:rPr>
            </w:pPr>
            <w:r w:rsidRPr="00931503">
              <w:rPr>
                <w:rFonts w:asciiTheme="minorHAnsi" w:hAnsiTheme="minorHAnsi" w:cstheme="minorHAnsi"/>
                <w:sz w:val="20"/>
                <w:szCs w:val="20"/>
              </w:rPr>
              <w:t>360</w:t>
            </w:r>
          </w:p>
        </w:tc>
        <w:tc>
          <w:tcPr>
            <w:tcW w:w="1470" w:type="dxa"/>
            <w:tcBorders>
              <w:top w:val="nil"/>
              <w:bottom w:val="nil"/>
            </w:tcBorders>
            <w:shd w:val="clear" w:color="auto" w:fill="E5DFEC" w:themeFill="accent4" w:themeFillTint="33"/>
            <w:vAlign w:val="center"/>
          </w:tcPr>
          <w:p w:rsidRPr="005C0499" w:rsidR="00931503" w:rsidP="005738EA" w:rsidRDefault="00931503" w14:paraId="70CF0456" w14:textId="7ECE9D36">
            <w:pPr>
              <w:pStyle w:val="NoSpacing"/>
              <w:jc w:val="center"/>
              <w:rPr>
                <w:rFonts w:asciiTheme="minorHAnsi" w:hAnsiTheme="minorHAnsi" w:cstheme="minorHAnsi"/>
                <w:sz w:val="20"/>
                <w:szCs w:val="20"/>
              </w:rPr>
            </w:pPr>
            <w:r>
              <w:rPr>
                <w:rFonts w:asciiTheme="minorHAnsi" w:hAnsiTheme="minorHAnsi" w:cstheme="minorHAnsi"/>
                <w:sz w:val="20"/>
                <w:szCs w:val="20"/>
              </w:rPr>
              <w:t>288</w:t>
            </w:r>
          </w:p>
        </w:tc>
        <w:tc>
          <w:tcPr>
            <w:tcW w:w="1691" w:type="dxa"/>
            <w:tcBorders>
              <w:top w:val="nil"/>
              <w:bottom w:val="nil"/>
            </w:tcBorders>
            <w:vAlign w:val="center"/>
          </w:tcPr>
          <w:p w:rsidRPr="005C0499" w:rsidR="00931503" w:rsidP="005738EA" w:rsidRDefault="00817264" w14:paraId="435B0D53" w14:textId="25B4FE99">
            <w:pPr>
              <w:pStyle w:val="NoSpacing"/>
              <w:jc w:val="center"/>
              <w:rPr>
                <w:rFonts w:asciiTheme="minorHAnsi" w:hAnsiTheme="minorHAnsi" w:cstheme="minorHAnsi"/>
                <w:sz w:val="20"/>
                <w:szCs w:val="20"/>
              </w:rPr>
            </w:pPr>
            <w:r>
              <w:rPr>
                <w:rFonts w:asciiTheme="minorHAnsi" w:hAnsiTheme="minorHAnsi" w:cstheme="minorHAnsi"/>
                <w:sz w:val="20"/>
                <w:szCs w:val="20"/>
              </w:rPr>
              <w:t>72</w:t>
            </w:r>
          </w:p>
        </w:tc>
        <w:tc>
          <w:tcPr>
            <w:tcW w:w="2181" w:type="dxa"/>
            <w:tcBorders>
              <w:top w:val="nil"/>
              <w:bottom w:val="nil"/>
            </w:tcBorders>
            <w:shd w:val="clear" w:color="auto" w:fill="E5DFEC" w:themeFill="accent4" w:themeFillTint="33"/>
            <w:vAlign w:val="center"/>
          </w:tcPr>
          <w:p w:rsidRPr="005C0499" w:rsidR="00931503" w:rsidP="005738EA" w:rsidRDefault="00817264" w14:paraId="50E650ED" w14:textId="73993D82">
            <w:pPr>
              <w:pStyle w:val="NoSpacing"/>
              <w:jc w:val="center"/>
              <w:rPr>
                <w:rFonts w:asciiTheme="minorHAnsi" w:hAnsiTheme="minorHAnsi" w:cstheme="minorHAnsi"/>
                <w:sz w:val="20"/>
                <w:szCs w:val="20"/>
              </w:rPr>
            </w:pPr>
            <w:r>
              <w:rPr>
                <w:rFonts w:asciiTheme="minorHAnsi" w:hAnsiTheme="minorHAnsi" w:cstheme="minorHAnsi"/>
                <w:sz w:val="20"/>
                <w:szCs w:val="20"/>
              </w:rPr>
              <w:t>58</w:t>
            </w:r>
          </w:p>
        </w:tc>
        <w:tc>
          <w:tcPr>
            <w:tcW w:w="1685" w:type="dxa"/>
            <w:tcBorders>
              <w:top w:val="nil"/>
              <w:bottom w:val="nil"/>
            </w:tcBorders>
            <w:shd w:val="clear" w:color="auto" w:fill="auto"/>
            <w:vAlign w:val="center"/>
          </w:tcPr>
          <w:p w:rsidRPr="005C0499" w:rsidR="00931503" w:rsidP="005738EA" w:rsidRDefault="00DA1800" w14:paraId="200C2670" w14:textId="6E292F82">
            <w:pPr>
              <w:pStyle w:val="NoSpacing"/>
              <w:jc w:val="center"/>
              <w:rPr>
                <w:rFonts w:asciiTheme="minorHAnsi" w:hAnsiTheme="minorHAnsi" w:cstheme="minorHAnsi"/>
                <w:sz w:val="20"/>
                <w:szCs w:val="20"/>
              </w:rPr>
            </w:pPr>
            <w:r>
              <w:rPr>
                <w:rFonts w:asciiTheme="minorHAnsi" w:hAnsiTheme="minorHAnsi" w:cstheme="minorHAnsi"/>
                <w:sz w:val="20"/>
                <w:szCs w:val="20"/>
              </w:rPr>
              <w:t>12</w:t>
            </w:r>
          </w:p>
        </w:tc>
      </w:tr>
      <w:tr w:rsidRPr="00350763" w:rsidR="00931503" w:rsidTr="0077112E" w14:paraId="4AD55635" w14:textId="77777777">
        <w:trPr>
          <w:trHeight w:val="332"/>
        </w:trPr>
        <w:tc>
          <w:tcPr>
            <w:tcW w:w="2070" w:type="dxa"/>
            <w:tcBorders>
              <w:top w:val="nil"/>
              <w:bottom w:val="single" w:color="auto" w:sz="4" w:space="0"/>
            </w:tcBorders>
          </w:tcPr>
          <w:p w:rsidRPr="00931503" w:rsidR="00931503" w:rsidP="00474FE8" w:rsidRDefault="00931503" w14:paraId="16D316C5" w14:textId="6F2904C0">
            <w:pPr>
              <w:pStyle w:val="NoSpacing"/>
              <w:rPr>
                <w:rFonts w:asciiTheme="minorHAnsi" w:hAnsiTheme="minorHAnsi" w:cstheme="minorHAnsi"/>
                <w:sz w:val="20"/>
                <w:szCs w:val="20"/>
              </w:rPr>
            </w:pPr>
            <w:r w:rsidRPr="00931503">
              <w:rPr>
                <w:rFonts w:asciiTheme="minorHAnsi" w:hAnsiTheme="minorHAnsi" w:cstheme="minorHAnsi"/>
                <w:sz w:val="20"/>
                <w:szCs w:val="20"/>
              </w:rPr>
              <w:t>Antelope Flats</w:t>
            </w:r>
          </w:p>
        </w:tc>
        <w:tc>
          <w:tcPr>
            <w:tcW w:w="1433" w:type="dxa"/>
            <w:tcBorders>
              <w:top w:val="nil"/>
              <w:bottom w:val="single" w:color="auto" w:sz="4" w:space="0"/>
            </w:tcBorders>
            <w:shd w:val="clear" w:color="auto" w:fill="auto"/>
            <w:vAlign w:val="center"/>
          </w:tcPr>
          <w:p w:rsidRPr="00931503" w:rsidR="00931503" w:rsidP="005738EA" w:rsidRDefault="00931503" w14:paraId="26DEB9E5" w14:textId="437912CD">
            <w:pPr>
              <w:pStyle w:val="NoSpacing"/>
              <w:jc w:val="center"/>
              <w:rPr>
                <w:rFonts w:asciiTheme="minorHAnsi" w:hAnsiTheme="minorHAnsi" w:cstheme="minorHAnsi"/>
                <w:sz w:val="20"/>
                <w:szCs w:val="20"/>
              </w:rPr>
            </w:pPr>
            <w:r w:rsidRPr="00931503">
              <w:rPr>
                <w:rFonts w:asciiTheme="minorHAnsi" w:hAnsiTheme="minorHAnsi" w:cstheme="minorHAnsi"/>
                <w:sz w:val="20"/>
                <w:szCs w:val="20"/>
              </w:rPr>
              <w:t>360</w:t>
            </w:r>
          </w:p>
        </w:tc>
        <w:tc>
          <w:tcPr>
            <w:tcW w:w="1470" w:type="dxa"/>
            <w:tcBorders>
              <w:top w:val="nil"/>
              <w:bottom w:val="single" w:color="auto" w:sz="4" w:space="0"/>
            </w:tcBorders>
            <w:shd w:val="clear" w:color="auto" w:fill="E5DFEC" w:themeFill="accent4" w:themeFillTint="33"/>
            <w:vAlign w:val="center"/>
          </w:tcPr>
          <w:p w:rsidRPr="005C0499" w:rsidR="00931503" w:rsidP="005738EA" w:rsidRDefault="00931503" w14:paraId="498E4BF3" w14:textId="51869845">
            <w:pPr>
              <w:pStyle w:val="NoSpacing"/>
              <w:jc w:val="center"/>
              <w:rPr>
                <w:rFonts w:asciiTheme="minorHAnsi" w:hAnsiTheme="minorHAnsi" w:cstheme="minorHAnsi"/>
                <w:sz w:val="20"/>
                <w:szCs w:val="20"/>
              </w:rPr>
            </w:pPr>
            <w:r>
              <w:rPr>
                <w:rFonts w:asciiTheme="minorHAnsi" w:hAnsiTheme="minorHAnsi" w:cstheme="minorHAnsi"/>
                <w:sz w:val="20"/>
                <w:szCs w:val="20"/>
              </w:rPr>
              <w:t>288</w:t>
            </w:r>
          </w:p>
        </w:tc>
        <w:tc>
          <w:tcPr>
            <w:tcW w:w="1691" w:type="dxa"/>
            <w:tcBorders>
              <w:top w:val="nil"/>
              <w:bottom w:val="single" w:color="auto" w:sz="4" w:space="0"/>
            </w:tcBorders>
            <w:vAlign w:val="center"/>
          </w:tcPr>
          <w:p w:rsidRPr="005C0499" w:rsidR="00931503" w:rsidP="005738EA" w:rsidRDefault="00817264" w14:paraId="7304873C" w14:textId="15A039C3">
            <w:pPr>
              <w:pStyle w:val="NoSpacing"/>
              <w:jc w:val="center"/>
              <w:rPr>
                <w:rFonts w:asciiTheme="minorHAnsi" w:hAnsiTheme="minorHAnsi" w:cstheme="minorHAnsi"/>
                <w:sz w:val="20"/>
                <w:szCs w:val="20"/>
              </w:rPr>
            </w:pPr>
            <w:r>
              <w:rPr>
                <w:rFonts w:asciiTheme="minorHAnsi" w:hAnsiTheme="minorHAnsi" w:cstheme="minorHAnsi"/>
                <w:sz w:val="20"/>
                <w:szCs w:val="20"/>
              </w:rPr>
              <w:t>72</w:t>
            </w:r>
          </w:p>
        </w:tc>
        <w:tc>
          <w:tcPr>
            <w:tcW w:w="2181" w:type="dxa"/>
            <w:tcBorders>
              <w:top w:val="nil"/>
              <w:bottom w:val="single" w:color="auto" w:sz="4" w:space="0"/>
            </w:tcBorders>
            <w:shd w:val="clear" w:color="auto" w:fill="E5DFEC" w:themeFill="accent4" w:themeFillTint="33"/>
            <w:vAlign w:val="center"/>
          </w:tcPr>
          <w:p w:rsidRPr="005C0499" w:rsidR="00931503" w:rsidP="005738EA" w:rsidRDefault="00817264" w14:paraId="0FC50076" w14:textId="65991D96">
            <w:pPr>
              <w:pStyle w:val="NoSpacing"/>
              <w:jc w:val="center"/>
              <w:rPr>
                <w:rFonts w:asciiTheme="minorHAnsi" w:hAnsiTheme="minorHAnsi" w:cstheme="minorHAnsi"/>
                <w:sz w:val="20"/>
                <w:szCs w:val="20"/>
              </w:rPr>
            </w:pPr>
            <w:r>
              <w:rPr>
                <w:rFonts w:asciiTheme="minorHAnsi" w:hAnsiTheme="minorHAnsi" w:cstheme="minorHAnsi"/>
                <w:sz w:val="20"/>
                <w:szCs w:val="20"/>
              </w:rPr>
              <w:t>58</w:t>
            </w:r>
          </w:p>
        </w:tc>
        <w:tc>
          <w:tcPr>
            <w:tcW w:w="1685" w:type="dxa"/>
            <w:tcBorders>
              <w:top w:val="nil"/>
              <w:bottom w:val="single" w:color="auto" w:sz="4" w:space="0"/>
            </w:tcBorders>
            <w:shd w:val="clear" w:color="auto" w:fill="auto"/>
            <w:vAlign w:val="center"/>
          </w:tcPr>
          <w:p w:rsidRPr="005C0499" w:rsidR="00931503" w:rsidP="005738EA" w:rsidRDefault="00DA1800" w14:paraId="13AF657E" w14:textId="3D107E65">
            <w:pPr>
              <w:pStyle w:val="NoSpacing"/>
              <w:jc w:val="center"/>
              <w:rPr>
                <w:rFonts w:asciiTheme="minorHAnsi" w:hAnsiTheme="minorHAnsi" w:cstheme="minorHAnsi"/>
                <w:sz w:val="20"/>
                <w:szCs w:val="20"/>
              </w:rPr>
            </w:pPr>
            <w:r>
              <w:rPr>
                <w:rFonts w:asciiTheme="minorHAnsi" w:hAnsiTheme="minorHAnsi" w:cstheme="minorHAnsi"/>
                <w:sz w:val="20"/>
                <w:szCs w:val="20"/>
              </w:rPr>
              <w:t>12</w:t>
            </w:r>
          </w:p>
        </w:tc>
      </w:tr>
      <w:tr w:rsidRPr="00817264" w:rsidR="00817264" w:rsidTr="0077112E" w14:paraId="7D18C90C" w14:textId="77777777">
        <w:trPr>
          <w:trHeight w:val="332"/>
        </w:trPr>
        <w:tc>
          <w:tcPr>
            <w:tcW w:w="2070" w:type="dxa"/>
            <w:tcBorders>
              <w:top w:val="single" w:color="auto" w:sz="4" w:space="0"/>
              <w:bottom w:val="nil"/>
            </w:tcBorders>
          </w:tcPr>
          <w:p w:rsidRPr="00817264" w:rsidR="00817264" w:rsidP="00474FE8" w:rsidRDefault="00817264" w14:paraId="5A357B72" w14:textId="15150EB2">
            <w:pPr>
              <w:pStyle w:val="NoSpacing"/>
              <w:rPr>
                <w:rFonts w:asciiTheme="minorHAnsi" w:hAnsiTheme="minorHAnsi" w:cstheme="minorHAnsi"/>
                <w:b/>
                <w:sz w:val="20"/>
                <w:szCs w:val="20"/>
              </w:rPr>
            </w:pPr>
            <w:r w:rsidRPr="00817264">
              <w:rPr>
                <w:rFonts w:asciiTheme="minorHAnsi" w:hAnsiTheme="minorHAnsi" w:cstheme="minorHAnsi"/>
                <w:b/>
                <w:sz w:val="20"/>
                <w:szCs w:val="20"/>
              </w:rPr>
              <w:t>Sample Area B</w:t>
            </w:r>
          </w:p>
        </w:tc>
        <w:tc>
          <w:tcPr>
            <w:tcW w:w="1433" w:type="dxa"/>
            <w:tcBorders>
              <w:top w:val="single" w:color="auto" w:sz="4" w:space="0"/>
              <w:bottom w:val="nil"/>
            </w:tcBorders>
            <w:shd w:val="clear" w:color="auto" w:fill="auto"/>
            <w:vAlign w:val="center"/>
          </w:tcPr>
          <w:p w:rsidRPr="00817264" w:rsidR="00817264" w:rsidP="005738EA" w:rsidRDefault="00817264" w14:paraId="50CDB568" w14:textId="77777777">
            <w:pPr>
              <w:pStyle w:val="NoSpacing"/>
              <w:jc w:val="center"/>
              <w:rPr>
                <w:rFonts w:asciiTheme="minorHAnsi" w:hAnsiTheme="minorHAnsi" w:cstheme="minorHAnsi"/>
                <w:b/>
                <w:sz w:val="20"/>
                <w:szCs w:val="20"/>
              </w:rPr>
            </w:pPr>
          </w:p>
        </w:tc>
        <w:tc>
          <w:tcPr>
            <w:tcW w:w="1470" w:type="dxa"/>
            <w:tcBorders>
              <w:top w:val="single" w:color="auto" w:sz="4" w:space="0"/>
              <w:bottom w:val="nil"/>
            </w:tcBorders>
            <w:shd w:val="clear" w:color="auto" w:fill="E5DFEC" w:themeFill="accent4" w:themeFillTint="33"/>
            <w:vAlign w:val="center"/>
          </w:tcPr>
          <w:p w:rsidRPr="00817264" w:rsidR="00817264" w:rsidP="005738EA" w:rsidRDefault="00817264" w14:paraId="7EB52D52" w14:textId="77777777">
            <w:pPr>
              <w:pStyle w:val="NoSpacing"/>
              <w:jc w:val="center"/>
              <w:rPr>
                <w:rFonts w:asciiTheme="minorHAnsi" w:hAnsiTheme="minorHAnsi" w:cstheme="minorHAnsi"/>
                <w:b/>
                <w:sz w:val="20"/>
                <w:szCs w:val="20"/>
              </w:rPr>
            </w:pPr>
          </w:p>
        </w:tc>
        <w:tc>
          <w:tcPr>
            <w:tcW w:w="1691" w:type="dxa"/>
            <w:tcBorders>
              <w:top w:val="single" w:color="auto" w:sz="4" w:space="0"/>
              <w:bottom w:val="nil"/>
            </w:tcBorders>
            <w:vAlign w:val="center"/>
          </w:tcPr>
          <w:p w:rsidRPr="00817264" w:rsidR="00817264" w:rsidP="005738EA" w:rsidRDefault="00817264" w14:paraId="07989B21" w14:textId="77777777">
            <w:pPr>
              <w:pStyle w:val="NoSpacing"/>
              <w:jc w:val="center"/>
              <w:rPr>
                <w:rFonts w:asciiTheme="minorHAnsi" w:hAnsiTheme="minorHAnsi" w:cstheme="minorHAnsi"/>
                <w:b/>
                <w:sz w:val="20"/>
                <w:szCs w:val="20"/>
              </w:rPr>
            </w:pPr>
          </w:p>
        </w:tc>
        <w:tc>
          <w:tcPr>
            <w:tcW w:w="2181" w:type="dxa"/>
            <w:tcBorders>
              <w:top w:val="single" w:color="auto" w:sz="4" w:space="0"/>
              <w:bottom w:val="nil"/>
            </w:tcBorders>
            <w:shd w:val="clear" w:color="auto" w:fill="E5DFEC" w:themeFill="accent4" w:themeFillTint="33"/>
            <w:vAlign w:val="center"/>
          </w:tcPr>
          <w:p w:rsidRPr="00817264" w:rsidR="00817264" w:rsidP="005738EA" w:rsidRDefault="00817264" w14:paraId="0483E9AE" w14:textId="77777777">
            <w:pPr>
              <w:pStyle w:val="NoSpacing"/>
              <w:jc w:val="center"/>
              <w:rPr>
                <w:rFonts w:asciiTheme="minorHAnsi" w:hAnsiTheme="minorHAnsi" w:cstheme="minorHAnsi"/>
                <w:b/>
                <w:sz w:val="20"/>
                <w:szCs w:val="20"/>
              </w:rPr>
            </w:pPr>
          </w:p>
        </w:tc>
        <w:tc>
          <w:tcPr>
            <w:tcW w:w="1685" w:type="dxa"/>
            <w:tcBorders>
              <w:top w:val="single" w:color="auto" w:sz="4" w:space="0"/>
              <w:bottom w:val="nil"/>
            </w:tcBorders>
            <w:shd w:val="clear" w:color="auto" w:fill="auto"/>
            <w:vAlign w:val="center"/>
          </w:tcPr>
          <w:p w:rsidRPr="00817264" w:rsidR="00817264" w:rsidP="005738EA" w:rsidRDefault="00817264" w14:paraId="53A85D86" w14:textId="77777777">
            <w:pPr>
              <w:pStyle w:val="NoSpacing"/>
              <w:jc w:val="center"/>
              <w:rPr>
                <w:rFonts w:asciiTheme="minorHAnsi" w:hAnsiTheme="minorHAnsi" w:cstheme="minorHAnsi"/>
                <w:b/>
                <w:sz w:val="20"/>
                <w:szCs w:val="20"/>
              </w:rPr>
            </w:pPr>
          </w:p>
        </w:tc>
      </w:tr>
      <w:tr w:rsidRPr="00817264" w:rsidR="00817264" w:rsidTr="0077112E" w14:paraId="1F66032E" w14:textId="77777777">
        <w:trPr>
          <w:trHeight w:val="332"/>
        </w:trPr>
        <w:tc>
          <w:tcPr>
            <w:tcW w:w="2070" w:type="dxa"/>
            <w:tcBorders>
              <w:top w:val="nil"/>
              <w:bottom w:val="single" w:color="auto" w:sz="4" w:space="0"/>
            </w:tcBorders>
          </w:tcPr>
          <w:p w:rsidRPr="00817264" w:rsidR="00817264" w:rsidP="00474FE8" w:rsidRDefault="00817264" w14:paraId="4626D0CE" w14:textId="12709C36">
            <w:pPr>
              <w:pStyle w:val="NoSpacing"/>
              <w:rPr>
                <w:rFonts w:asciiTheme="minorHAnsi" w:hAnsiTheme="minorHAnsi" w:cstheme="minorHAnsi"/>
                <w:sz w:val="20"/>
                <w:szCs w:val="20"/>
              </w:rPr>
            </w:pPr>
            <w:r w:rsidRPr="00817264">
              <w:rPr>
                <w:rFonts w:asciiTheme="minorHAnsi" w:hAnsiTheme="minorHAnsi" w:cstheme="minorHAnsi"/>
                <w:sz w:val="20"/>
                <w:szCs w:val="20"/>
              </w:rPr>
              <w:t>Mammoth</w:t>
            </w:r>
          </w:p>
        </w:tc>
        <w:tc>
          <w:tcPr>
            <w:tcW w:w="1433" w:type="dxa"/>
            <w:tcBorders>
              <w:top w:val="nil"/>
              <w:bottom w:val="single" w:color="auto" w:sz="4" w:space="0"/>
            </w:tcBorders>
            <w:shd w:val="clear" w:color="auto" w:fill="auto"/>
            <w:vAlign w:val="center"/>
          </w:tcPr>
          <w:p w:rsidRPr="00817264" w:rsidR="00817264" w:rsidP="005738EA" w:rsidRDefault="00817264" w14:paraId="5A254D78" w14:textId="0D15699A">
            <w:pPr>
              <w:pStyle w:val="NoSpacing"/>
              <w:jc w:val="center"/>
              <w:rPr>
                <w:rFonts w:asciiTheme="minorHAnsi" w:hAnsiTheme="minorHAnsi" w:cstheme="minorHAnsi"/>
                <w:sz w:val="20"/>
                <w:szCs w:val="20"/>
              </w:rPr>
            </w:pPr>
            <w:r>
              <w:rPr>
                <w:rFonts w:asciiTheme="minorHAnsi" w:hAnsiTheme="minorHAnsi" w:cstheme="minorHAnsi"/>
                <w:sz w:val="20"/>
                <w:szCs w:val="20"/>
              </w:rPr>
              <w:t>720</w:t>
            </w:r>
          </w:p>
        </w:tc>
        <w:tc>
          <w:tcPr>
            <w:tcW w:w="1470" w:type="dxa"/>
            <w:tcBorders>
              <w:top w:val="nil"/>
              <w:bottom w:val="single" w:color="auto" w:sz="4" w:space="0"/>
            </w:tcBorders>
            <w:shd w:val="clear" w:color="auto" w:fill="E5DFEC" w:themeFill="accent4" w:themeFillTint="33"/>
            <w:vAlign w:val="center"/>
          </w:tcPr>
          <w:p w:rsidRPr="00817264" w:rsidR="00817264" w:rsidP="005738EA" w:rsidRDefault="00817264" w14:paraId="6419DE3E" w14:textId="002344C5">
            <w:pPr>
              <w:pStyle w:val="NoSpacing"/>
              <w:jc w:val="center"/>
              <w:rPr>
                <w:rFonts w:asciiTheme="minorHAnsi" w:hAnsiTheme="minorHAnsi" w:cstheme="minorHAnsi"/>
                <w:sz w:val="20"/>
                <w:szCs w:val="20"/>
              </w:rPr>
            </w:pPr>
            <w:r>
              <w:rPr>
                <w:rFonts w:asciiTheme="minorHAnsi" w:hAnsiTheme="minorHAnsi" w:cstheme="minorHAnsi"/>
                <w:sz w:val="20"/>
                <w:szCs w:val="20"/>
              </w:rPr>
              <w:t xml:space="preserve"> 576</w:t>
            </w:r>
          </w:p>
        </w:tc>
        <w:tc>
          <w:tcPr>
            <w:tcW w:w="1691" w:type="dxa"/>
            <w:tcBorders>
              <w:top w:val="nil"/>
              <w:bottom w:val="single" w:color="auto" w:sz="4" w:space="0"/>
            </w:tcBorders>
            <w:vAlign w:val="center"/>
          </w:tcPr>
          <w:p w:rsidRPr="00817264" w:rsidR="00817264" w:rsidP="005738EA" w:rsidRDefault="00817264" w14:paraId="4F6FCEB5" w14:textId="4ED876FF">
            <w:pPr>
              <w:pStyle w:val="NoSpacing"/>
              <w:jc w:val="center"/>
              <w:rPr>
                <w:rFonts w:asciiTheme="minorHAnsi" w:hAnsiTheme="minorHAnsi" w:cstheme="minorHAnsi"/>
                <w:sz w:val="20"/>
                <w:szCs w:val="20"/>
              </w:rPr>
            </w:pPr>
            <w:r>
              <w:rPr>
                <w:rFonts w:asciiTheme="minorHAnsi" w:hAnsiTheme="minorHAnsi" w:cstheme="minorHAnsi"/>
                <w:sz w:val="20"/>
                <w:szCs w:val="20"/>
              </w:rPr>
              <w:t>144</w:t>
            </w:r>
          </w:p>
        </w:tc>
        <w:tc>
          <w:tcPr>
            <w:tcW w:w="2181" w:type="dxa"/>
            <w:tcBorders>
              <w:top w:val="nil"/>
              <w:bottom w:val="single" w:color="auto" w:sz="4" w:space="0"/>
            </w:tcBorders>
            <w:shd w:val="clear" w:color="auto" w:fill="E5DFEC" w:themeFill="accent4" w:themeFillTint="33"/>
            <w:vAlign w:val="center"/>
          </w:tcPr>
          <w:p w:rsidRPr="00817264" w:rsidR="00817264" w:rsidP="005738EA" w:rsidRDefault="00817264" w14:paraId="0F59DBF6" w14:textId="26BE5327">
            <w:pPr>
              <w:pStyle w:val="NoSpacing"/>
              <w:jc w:val="center"/>
              <w:rPr>
                <w:rFonts w:asciiTheme="minorHAnsi" w:hAnsiTheme="minorHAnsi" w:cstheme="minorHAnsi"/>
                <w:sz w:val="20"/>
                <w:szCs w:val="20"/>
              </w:rPr>
            </w:pPr>
            <w:r>
              <w:rPr>
                <w:rFonts w:asciiTheme="minorHAnsi" w:hAnsiTheme="minorHAnsi" w:cstheme="minorHAnsi"/>
                <w:sz w:val="20"/>
                <w:szCs w:val="20"/>
              </w:rPr>
              <w:t>116</w:t>
            </w:r>
          </w:p>
        </w:tc>
        <w:tc>
          <w:tcPr>
            <w:tcW w:w="1685" w:type="dxa"/>
            <w:tcBorders>
              <w:top w:val="nil"/>
              <w:bottom w:val="single" w:color="auto" w:sz="4" w:space="0"/>
            </w:tcBorders>
            <w:shd w:val="clear" w:color="auto" w:fill="auto"/>
            <w:vAlign w:val="center"/>
          </w:tcPr>
          <w:p w:rsidRPr="00817264" w:rsidR="00817264" w:rsidP="005738EA" w:rsidRDefault="00817264" w14:paraId="0558168E" w14:textId="3CCDBF62">
            <w:pPr>
              <w:pStyle w:val="NoSpacing"/>
              <w:jc w:val="center"/>
              <w:rPr>
                <w:rFonts w:asciiTheme="minorHAnsi" w:hAnsiTheme="minorHAnsi" w:cstheme="minorHAnsi"/>
                <w:sz w:val="20"/>
                <w:szCs w:val="20"/>
              </w:rPr>
            </w:pPr>
            <w:r>
              <w:rPr>
                <w:rFonts w:asciiTheme="minorHAnsi" w:hAnsiTheme="minorHAnsi" w:cstheme="minorHAnsi"/>
                <w:sz w:val="20"/>
                <w:szCs w:val="20"/>
              </w:rPr>
              <w:t>2</w:t>
            </w:r>
            <w:r w:rsidR="00DA1800">
              <w:rPr>
                <w:rFonts w:asciiTheme="minorHAnsi" w:hAnsiTheme="minorHAnsi" w:cstheme="minorHAnsi"/>
                <w:sz w:val="20"/>
                <w:szCs w:val="20"/>
              </w:rPr>
              <w:t>4</w:t>
            </w:r>
          </w:p>
        </w:tc>
      </w:tr>
      <w:tr w:rsidRPr="002F5CC3" w:rsidR="002F5CC3" w:rsidTr="0077112E" w14:paraId="034E785A" w14:textId="77777777">
        <w:trPr>
          <w:trHeight w:val="332"/>
        </w:trPr>
        <w:tc>
          <w:tcPr>
            <w:tcW w:w="2070" w:type="dxa"/>
            <w:tcBorders>
              <w:top w:val="single" w:color="auto" w:sz="4" w:space="0"/>
              <w:bottom w:val="single" w:color="auto" w:sz="4" w:space="0"/>
            </w:tcBorders>
          </w:tcPr>
          <w:p w:rsidRPr="002F5CC3" w:rsidR="002F5CC3" w:rsidP="0077112E" w:rsidRDefault="002F5CC3" w14:paraId="130FE48E" w14:textId="3A735E98">
            <w:pPr>
              <w:pStyle w:val="NoSpacing"/>
              <w:jc w:val="right"/>
              <w:rPr>
                <w:rFonts w:asciiTheme="minorHAnsi" w:hAnsiTheme="minorHAnsi" w:cstheme="minorHAnsi"/>
                <w:b/>
                <w:sz w:val="20"/>
                <w:szCs w:val="20"/>
              </w:rPr>
            </w:pPr>
            <w:r w:rsidRPr="002F5CC3">
              <w:rPr>
                <w:rFonts w:asciiTheme="minorHAnsi" w:hAnsiTheme="minorHAnsi" w:cstheme="minorHAnsi"/>
                <w:b/>
                <w:sz w:val="20"/>
                <w:szCs w:val="20"/>
              </w:rPr>
              <w:t>Total</w:t>
            </w:r>
          </w:p>
        </w:tc>
        <w:tc>
          <w:tcPr>
            <w:tcW w:w="1433" w:type="dxa"/>
            <w:tcBorders>
              <w:top w:val="single" w:color="auto" w:sz="4" w:space="0"/>
              <w:bottom w:val="single" w:color="auto" w:sz="4" w:space="0"/>
            </w:tcBorders>
            <w:shd w:val="clear" w:color="auto" w:fill="auto"/>
            <w:vAlign w:val="center"/>
          </w:tcPr>
          <w:p w:rsidRPr="002F5CC3" w:rsidR="002F5CC3" w:rsidP="002F5CC3" w:rsidRDefault="002F5CC3" w14:paraId="63BFCB63" w14:textId="6CAF2BFD">
            <w:pPr>
              <w:pStyle w:val="NoSpacing"/>
              <w:jc w:val="center"/>
              <w:rPr>
                <w:rFonts w:asciiTheme="minorHAnsi" w:hAnsiTheme="minorHAnsi" w:cstheme="minorHAnsi"/>
                <w:b/>
                <w:sz w:val="20"/>
                <w:szCs w:val="20"/>
              </w:rPr>
            </w:pPr>
            <w:r>
              <w:rPr>
                <w:rFonts w:asciiTheme="minorHAnsi" w:hAnsiTheme="minorHAnsi" w:cstheme="minorHAnsi"/>
                <w:b/>
                <w:sz w:val="20"/>
                <w:szCs w:val="20"/>
              </w:rPr>
              <w:t>1,440</w:t>
            </w:r>
          </w:p>
        </w:tc>
        <w:tc>
          <w:tcPr>
            <w:tcW w:w="1470" w:type="dxa"/>
            <w:tcBorders>
              <w:top w:val="single" w:color="auto" w:sz="4" w:space="0"/>
              <w:bottom w:val="single" w:color="auto" w:sz="4" w:space="0"/>
            </w:tcBorders>
            <w:shd w:val="clear" w:color="auto" w:fill="E5DFEC" w:themeFill="accent4" w:themeFillTint="33"/>
            <w:vAlign w:val="center"/>
          </w:tcPr>
          <w:p w:rsidRPr="002F5CC3" w:rsidR="002F5CC3" w:rsidP="002F5CC3" w:rsidRDefault="002F5CC3" w14:paraId="4FEA90D2" w14:textId="5BBD7E25">
            <w:pPr>
              <w:pStyle w:val="NoSpacing"/>
              <w:jc w:val="center"/>
              <w:rPr>
                <w:rFonts w:asciiTheme="minorHAnsi" w:hAnsiTheme="minorHAnsi" w:cstheme="minorHAnsi"/>
                <w:b/>
                <w:sz w:val="20"/>
                <w:szCs w:val="20"/>
              </w:rPr>
            </w:pPr>
            <w:r>
              <w:rPr>
                <w:rFonts w:asciiTheme="minorHAnsi" w:hAnsiTheme="minorHAnsi" w:cstheme="minorHAnsi"/>
                <w:b/>
                <w:sz w:val="20"/>
                <w:szCs w:val="20"/>
              </w:rPr>
              <w:t>1,152</w:t>
            </w:r>
          </w:p>
        </w:tc>
        <w:tc>
          <w:tcPr>
            <w:tcW w:w="1691" w:type="dxa"/>
            <w:tcBorders>
              <w:top w:val="single" w:color="auto" w:sz="4" w:space="0"/>
              <w:bottom w:val="single" w:color="auto" w:sz="4" w:space="0"/>
            </w:tcBorders>
            <w:vAlign w:val="center"/>
          </w:tcPr>
          <w:p w:rsidRPr="002F5CC3" w:rsidR="002F5CC3" w:rsidP="002F5CC3" w:rsidRDefault="002F5CC3" w14:paraId="74C2ABCA" w14:textId="67782FD5">
            <w:pPr>
              <w:pStyle w:val="NoSpacing"/>
              <w:jc w:val="center"/>
              <w:rPr>
                <w:rFonts w:asciiTheme="minorHAnsi" w:hAnsiTheme="minorHAnsi" w:cstheme="minorHAnsi"/>
                <w:b/>
                <w:sz w:val="20"/>
                <w:szCs w:val="20"/>
              </w:rPr>
            </w:pPr>
            <w:r>
              <w:rPr>
                <w:rFonts w:asciiTheme="minorHAnsi" w:hAnsiTheme="minorHAnsi" w:cstheme="minorHAnsi"/>
                <w:b/>
                <w:sz w:val="20"/>
                <w:szCs w:val="20"/>
              </w:rPr>
              <w:t>288</w:t>
            </w:r>
          </w:p>
        </w:tc>
        <w:tc>
          <w:tcPr>
            <w:tcW w:w="2181" w:type="dxa"/>
            <w:tcBorders>
              <w:top w:val="single" w:color="auto" w:sz="4" w:space="0"/>
              <w:bottom w:val="single" w:color="auto" w:sz="4" w:space="0"/>
            </w:tcBorders>
            <w:shd w:val="clear" w:color="auto" w:fill="E5DFEC" w:themeFill="accent4" w:themeFillTint="33"/>
            <w:vAlign w:val="center"/>
          </w:tcPr>
          <w:p w:rsidRPr="002F5CC3" w:rsidR="002F5CC3" w:rsidP="002F5CC3" w:rsidRDefault="002F5CC3" w14:paraId="6B456CFA" w14:textId="3C595E4B">
            <w:pPr>
              <w:pStyle w:val="NoSpacing"/>
              <w:jc w:val="center"/>
              <w:rPr>
                <w:rFonts w:asciiTheme="minorHAnsi" w:hAnsiTheme="minorHAnsi" w:cstheme="minorHAnsi"/>
                <w:b/>
                <w:sz w:val="20"/>
                <w:szCs w:val="20"/>
              </w:rPr>
            </w:pPr>
            <w:r>
              <w:rPr>
                <w:rFonts w:asciiTheme="minorHAnsi" w:hAnsiTheme="minorHAnsi" w:cstheme="minorHAnsi"/>
                <w:b/>
                <w:sz w:val="20"/>
                <w:szCs w:val="20"/>
              </w:rPr>
              <w:t>232</w:t>
            </w:r>
          </w:p>
        </w:tc>
        <w:tc>
          <w:tcPr>
            <w:tcW w:w="1685" w:type="dxa"/>
            <w:tcBorders>
              <w:top w:val="single" w:color="auto" w:sz="4" w:space="0"/>
              <w:bottom w:val="single" w:color="auto" w:sz="4" w:space="0"/>
            </w:tcBorders>
            <w:shd w:val="clear" w:color="auto" w:fill="auto"/>
            <w:vAlign w:val="center"/>
          </w:tcPr>
          <w:p w:rsidRPr="002F5CC3" w:rsidR="002F5CC3" w:rsidP="002F5CC3" w:rsidRDefault="00DA1800" w14:paraId="617291C1" w14:textId="3C33F283">
            <w:pPr>
              <w:pStyle w:val="NoSpacing"/>
              <w:jc w:val="center"/>
              <w:rPr>
                <w:rFonts w:asciiTheme="minorHAnsi" w:hAnsiTheme="minorHAnsi" w:cstheme="minorHAnsi"/>
                <w:b/>
                <w:sz w:val="20"/>
                <w:szCs w:val="20"/>
              </w:rPr>
            </w:pPr>
            <w:r>
              <w:rPr>
                <w:rFonts w:asciiTheme="minorHAnsi" w:hAnsiTheme="minorHAnsi" w:cstheme="minorHAnsi"/>
                <w:b/>
                <w:sz w:val="20"/>
                <w:szCs w:val="20"/>
              </w:rPr>
              <w:t>48</w:t>
            </w:r>
          </w:p>
        </w:tc>
      </w:tr>
      <w:bookmarkEnd w:id="5"/>
    </w:tbl>
    <w:p w:rsidR="00474FE8" w:rsidP="00E21031" w:rsidRDefault="00474FE8" w14:paraId="683C4729" w14:textId="4D4FB9CD">
      <w:pPr>
        <w:pStyle w:val="NoSpacing"/>
      </w:pPr>
    </w:p>
    <w:p w:rsidRPr="00884B7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Arial"/>
          <w:b/>
        </w:rPr>
      </w:pPr>
      <w:r w:rsidRPr="00884B77">
        <w:rPr>
          <w:rFonts w:cs="Arial"/>
          <w:b/>
        </w:rPr>
        <w:lastRenderedPageBreak/>
        <w:t>Strategies for dealing with potential non-response bias:</w:t>
      </w:r>
    </w:p>
    <w:p w:rsidRPr="00724929" w:rsidR="005738EA" w:rsidP="005738EA" w:rsidRDefault="005738EA" w14:paraId="0E983B00" w14:textId="4C5616B6">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724929">
        <w:rPr>
          <w:rFonts w:ascii="Calibri" w:hAnsi="Calibri" w:cs="Calibri"/>
        </w:rPr>
        <w:t xml:space="preserve">The number of refusals will be recorded, reported, and screened for </w:t>
      </w:r>
      <w:r w:rsidR="00A40316">
        <w:rPr>
          <w:rFonts w:ascii="Calibri" w:hAnsi="Calibri" w:cs="Calibri"/>
        </w:rPr>
        <w:t>non-response</w:t>
      </w:r>
      <w:r w:rsidRPr="00724929">
        <w:rPr>
          <w:rFonts w:ascii="Calibri" w:hAnsi="Calibri" w:cs="Calibri"/>
        </w:rPr>
        <w:t xml:space="preserve"> bias using three non-response questions taken from the survey:</w:t>
      </w:r>
    </w:p>
    <w:p w:rsidRPr="00724929" w:rsidR="005738EA" w:rsidP="005738EA" w:rsidRDefault="005738EA" w14:paraId="011C2720" w14:textId="77777777">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rPr>
          <w:rFonts w:ascii="Calibri" w:hAnsi="Calibri" w:cs="Calibri"/>
          <w:i/>
        </w:rPr>
      </w:pPr>
      <w:r w:rsidRPr="00724929">
        <w:rPr>
          <w:rFonts w:ascii="Calibri" w:hAnsi="Calibri" w:cs="Calibri"/>
          <w:i/>
          <w:iCs/>
        </w:rPr>
        <w:t>“</w:t>
      </w:r>
      <w:r w:rsidRPr="00724929">
        <w:rPr>
          <w:rFonts w:ascii="Calibri" w:hAnsi="Calibri" w:cs="Calibri"/>
          <w:i/>
        </w:rPr>
        <w:t>Are you a first-time visitor to this park?</w:t>
      </w:r>
      <w:r w:rsidRPr="00724929">
        <w:rPr>
          <w:rFonts w:ascii="Calibri" w:hAnsi="Calibri" w:cs="Calibri"/>
          <w:i/>
          <w:iCs/>
        </w:rPr>
        <w:t xml:space="preserve">” </w:t>
      </w:r>
      <w:r w:rsidRPr="00724929">
        <w:rPr>
          <w:rFonts w:hint="eastAsia" w:ascii="MS Gothic" w:hAnsi="MS Gothic" w:eastAsia="MS Gothic" w:cs="MS Gothic"/>
        </w:rPr>
        <w:t> </w:t>
      </w:r>
    </w:p>
    <w:p w:rsidR="005738EA" w:rsidP="005738EA" w:rsidRDefault="005738EA" w14:paraId="3015ABFA" w14:textId="244FDF0A">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rPr>
          <w:rFonts w:ascii="Calibri" w:hAnsi="Calibri" w:cs="Calibri"/>
          <w:i/>
        </w:rPr>
      </w:pPr>
      <w:r w:rsidRPr="00724929">
        <w:rPr>
          <w:rFonts w:ascii="Calibri" w:hAnsi="Calibri" w:cs="Calibri"/>
          <w:i/>
        </w:rPr>
        <w:t xml:space="preserve"> “On this visit to </w:t>
      </w:r>
      <w:r w:rsidR="002F5CC3">
        <w:rPr>
          <w:rFonts w:ascii="Calibri" w:hAnsi="Calibri" w:cs="Calibri"/>
          <w:i/>
        </w:rPr>
        <w:t>[INSERT PARK NAME HERE]</w:t>
      </w:r>
      <w:r w:rsidRPr="00724929">
        <w:rPr>
          <w:rFonts w:ascii="Calibri" w:hAnsi="Calibri" w:cs="Calibri"/>
          <w:i/>
        </w:rPr>
        <w:t xml:space="preserve">, have you seen any </w:t>
      </w:r>
      <w:r w:rsidR="002F5CC3">
        <w:rPr>
          <w:rFonts w:ascii="Calibri" w:hAnsi="Calibri" w:cs="Calibri"/>
          <w:i/>
        </w:rPr>
        <w:t>[INSERT WILDLIFE SPECIES HERE]</w:t>
      </w:r>
      <w:r w:rsidRPr="00724929">
        <w:rPr>
          <w:rFonts w:ascii="Calibri" w:hAnsi="Calibri" w:cs="Calibri"/>
          <w:i/>
        </w:rPr>
        <w:t xml:space="preserve">?” </w:t>
      </w:r>
    </w:p>
    <w:p w:rsidRPr="00F766BB" w:rsidR="005738EA" w:rsidP="005738EA" w:rsidRDefault="005738EA" w14:paraId="4A7355E3" w14:textId="77AAFC80">
      <w:pPr>
        <w:pStyle w:val="ListParagraph"/>
        <w:numPr>
          <w:ilvl w:val="0"/>
          <w:numId w:val="38"/>
        </w:numPr>
        <w:tabs>
          <w:tab w:val="left" w:pos="360"/>
          <w:tab w:val="left" w:pos="540"/>
          <w:tab w:val="left" w:pos="1440"/>
          <w:tab w:val="left" w:pos="2160"/>
          <w:tab w:val="left" w:pos="3600"/>
          <w:tab w:val="left" w:pos="5040"/>
          <w:tab w:val="left" w:pos="5760"/>
        </w:tabs>
        <w:spacing w:after="0" w:line="240" w:lineRule="auto"/>
        <w:rPr>
          <w:rFonts w:ascii="Calibri" w:hAnsi="Calibri" w:cs="Calibri"/>
          <w:i/>
        </w:rPr>
      </w:pPr>
      <w:r>
        <w:rPr>
          <w:rFonts w:ascii="Calibri" w:hAnsi="Calibri" w:cs="Calibri"/>
          <w:i/>
        </w:rPr>
        <w:t xml:space="preserve">“Are you aware that there are regulations regarding the recommended distance individuals should stay away from </w:t>
      </w:r>
      <w:r w:rsidR="002F5CC3">
        <w:rPr>
          <w:rFonts w:ascii="Calibri" w:hAnsi="Calibri" w:cs="Calibri"/>
          <w:i/>
        </w:rPr>
        <w:t>[INSERT WILDLIFE SPECIES HERE]</w:t>
      </w:r>
      <w:r>
        <w:rPr>
          <w:rFonts w:ascii="Calibri" w:hAnsi="Calibri" w:cs="Calibri"/>
          <w:i/>
        </w:rPr>
        <w:t xml:space="preserve">?” </w:t>
      </w:r>
    </w:p>
    <w:p w:rsidRPr="00724929" w:rsidR="005738EA" w:rsidP="005738EA" w:rsidRDefault="005738EA" w14:paraId="45B2B00E" w14:textId="77777777">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p>
    <w:p w:rsidRPr="002F5CC3" w:rsidR="00A316B4" w:rsidP="002F5CC3" w:rsidRDefault="005738EA" w14:paraId="4F622C1E" w14:textId="6E1E696B">
      <w:pPr>
        <w:pStyle w:val="ListParagraph"/>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724929">
        <w:rPr>
          <w:rFonts w:ascii="Calibri" w:hAnsi="Calibri" w:cs="Calibri"/>
        </w:rPr>
        <w:t xml:space="preserve">The non-response bias questions will be combined with other observed visitor information. Data from the study will be analyzed for non-response bias by comparing participating groups’ characteristics to non-participating groups’ characteristics gathered on the corresponding surveyor’s log sheets. Any implications of non-response bias for park planning and management will be reported. </w:t>
      </w:r>
    </w:p>
    <w:p w:rsidRPr="00AE0D1F" w:rsidR="0019450C" w:rsidP="0075054E"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AE0D1F">
        <w:rPr>
          <w:rFonts w:cs="Arial"/>
          <w:b/>
        </w:rPr>
        <w:t>Description of any pre-testing and peer review o</w:t>
      </w:r>
      <w:r w:rsidRPr="00AE0D1F" w:rsidR="000D13B3">
        <w:rPr>
          <w:rFonts w:cs="Arial"/>
          <w:b/>
        </w:rPr>
        <w:t>f the methods and/or instrument:</w:t>
      </w:r>
    </w:p>
    <w:p w:rsidRPr="005738EA" w:rsidR="00A316B4" w:rsidP="00474FE8" w:rsidRDefault="005738EA" w14:paraId="72C70CCE" w14:textId="568FE207">
      <w:pPr>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5738EA">
        <w:rPr>
          <w:rFonts w:ascii="Calibri" w:hAnsi="Calibri" w:cs="Calibri"/>
        </w:rPr>
        <w:t xml:space="preserve">This research uses similar methods and questions that have been used in other NPS visitor use studies, and the survey questions are specifically from the NPS Pool of Known Questions. The questions are adapted for </w:t>
      </w:r>
      <w:r w:rsidR="00A40316">
        <w:rPr>
          <w:rFonts w:ascii="Calibri" w:hAnsi="Calibri" w:cs="Calibri"/>
        </w:rPr>
        <w:t xml:space="preserve">the </w:t>
      </w:r>
      <w:r w:rsidRPr="005738EA">
        <w:rPr>
          <w:rFonts w:ascii="Calibri" w:hAnsi="Calibri" w:cs="Calibri"/>
        </w:rPr>
        <w:t xml:space="preserve">appropriate context </w:t>
      </w:r>
      <w:r w:rsidR="002F5CC3">
        <w:rPr>
          <w:rFonts w:ascii="Calibri" w:hAnsi="Calibri" w:cs="Calibri"/>
        </w:rPr>
        <w:t>in the GYE</w:t>
      </w:r>
      <w:r w:rsidRPr="005738EA">
        <w:rPr>
          <w:rFonts w:ascii="Calibri" w:hAnsi="Calibri" w:cs="Calibri"/>
        </w:rPr>
        <w:t>. The questions included in the survey instrument were designed, reviewed</w:t>
      </w:r>
      <w:r w:rsidR="00A40316">
        <w:rPr>
          <w:rFonts w:ascii="Calibri" w:hAnsi="Calibri" w:cs="Calibri"/>
        </w:rPr>
        <w:t>,</w:t>
      </w:r>
      <w:r w:rsidRPr="005738EA">
        <w:rPr>
          <w:rFonts w:ascii="Calibri" w:hAnsi="Calibri" w:cs="Calibri"/>
        </w:rPr>
        <w:t xml:space="preserve"> and pretested by the following: PI, research staff and graduate students, scientists in the Recreation, Park, and Tourism Management Department at Pennsylvania State University with expertise in social science research, and </w:t>
      </w:r>
      <w:r w:rsidR="002F5CC3">
        <w:rPr>
          <w:rFonts w:ascii="Calibri" w:hAnsi="Calibri" w:cs="Calibri"/>
        </w:rPr>
        <w:t>park</w:t>
      </w:r>
      <w:r w:rsidRPr="005738EA">
        <w:rPr>
          <w:rFonts w:ascii="Calibri" w:hAnsi="Calibri" w:cs="Calibri"/>
        </w:rPr>
        <w:t xml:space="preserve"> staff. Interview style pre-testing for clarity and estimated burden time was conducted with graduate students at Pennsylvania State University. A few suggestions regarding survey question clarity were taken into account, and the survey was modified accordingly. Pre-test respondents felt the survey and walking exercise adhered to the estimated burden. Furthermore, a small pre-test with two people was conducted to rehearse the method for switching from the survey questions to the walking exercise, and then back to the survey. This pre-test confirmed that the walking exercise was easily understandable. </w:t>
      </w: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00A316B4" w:rsidP="00474FE8" w:rsidRDefault="005738EA" w14:paraId="7FE9E6A8" w14:textId="32EBB067">
      <w:pPr>
        <w:tabs>
          <w:tab w:val="left" w:pos="360"/>
          <w:tab w:val="left" w:pos="720"/>
          <w:tab w:val="left" w:pos="1440"/>
          <w:tab w:val="left" w:pos="2160"/>
          <w:tab w:val="left" w:pos="3600"/>
          <w:tab w:val="left" w:pos="5040"/>
          <w:tab w:val="left" w:pos="5760"/>
        </w:tabs>
        <w:spacing w:after="0" w:line="360" w:lineRule="auto"/>
        <w:ind w:left="360"/>
        <w:rPr>
          <w:rFonts w:cs="Arial"/>
          <w:lang w:bidi="en-US"/>
        </w:rPr>
      </w:pPr>
      <w:r w:rsidRPr="00724929">
        <w:rPr>
          <w:rFonts w:ascii="Calibri" w:hAnsi="Calibri" w:cs="Calibri"/>
        </w:rPr>
        <w:t xml:space="preserve">During the sample period, we plan to approach </w:t>
      </w:r>
      <w:r w:rsidR="00DA1800">
        <w:rPr>
          <w:rFonts w:ascii="Calibri" w:hAnsi="Calibri" w:cs="Calibri"/>
        </w:rPr>
        <w:t>1,440</w:t>
      </w:r>
      <w:r w:rsidRPr="00724929" w:rsidR="00DA1800">
        <w:rPr>
          <w:rFonts w:ascii="Calibri" w:hAnsi="Calibri" w:cs="Calibri"/>
        </w:rPr>
        <w:t xml:space="preserve"> </w:t>
      </w:r>
      <w:r w:rsidR="00DA1800">
        <w:rPr>
          <w:rFonts w:ascii="Calibri" w:hAnsi="Calibri" w:cs="Calibri"/>
        </w:rPr>
        <w:t>visitors while on site in sample areas A and B</w:t>
      </w:r>
      <w:r w:rsidRPr="00724929">
        <w:rPr>
          <w:rFonts w:ascii="Calibri" w:hAnsi="Calibri" w:cs="Calibri"/>
        </w:rPr>
        <w:t>.  We expect that the initial contact time for all visitors will take at least one minute per person. We expect 80% (n=</w:t>
      </w:r>
      <w:r w:rsidR="00784E36">
        <w:rPr>
          <w:rFonts w:ascii="Calibri" w:hAnsi="Calibri" w:cs="Calibri"/>
        </w:rPr>
        <w:t>1,152</w:t>
      </w:r>
      <w:r w:rsidRPr="00724929">
        <w:rPr>
          <w:rFonts w:ascii="Calibri" w:hAnsi="Calibri" w:cs="Calibri"/>
        </w:rPr>
        <w:t>) will agree to complete the survey. We estimate that it will take an additional 10 minutes per person to complete the survey (</w:t>
      </w:r>
      <w:r w:rsidR="00DA1800">
        <w:rPr>
          <w:rFonts w:ascii="Calibri" w:hAnsi="Calibri" w:cs="Calibri"/>
        </w:rPr>
        <w:t>1,152</w:t>
      </w:r>
      <w:r w:rsidRPr="00724929" w:rsidR="00DA1800">
        <w:rPr>
          <w:rFonts w:ascii="Calibri" w:hAnsi="Calibri" w:cs="Calibri"/>
        </w:rPr>
        <w:t xml:space="preserve"> </w:t>
      </w:r>
      <w:r w:rsidRPr="00724929">
        <w:rPr>
          <w:rFonts w:ascii="Calibri" w:hAnsi="Calibri" w:cs="Calibri"/>
        </w:rPr>
        <w:t xml:space="preserve">x 11 minutes = </w:t>
      </w:r>
      <w:r w:rsidR="00784E36">
        <w:rPr>
          <w:rFonts w:ascii="Calibri" w:hAnsi="Calibri" w:cs="Calibri"/>
        </w:rPr>
        <w:t>211</w:t>
      </w:r>
      <w:r w:rsidRPr="00724929">
        <w:rPr>
          <w:rFonts w:ascii="Calibri" w:hAnsi="Calibri" w:cs="Calibri"/>
        </w:rPr>
        <w:t xml:space="preserve"> hours). </w:t>
      </w:r>
      <w:r w:rsidR="00DA1800">
        <w:rPr>
          <w:rFonts w:ascii="Calibri" w:hAnsi="Calibri" w:cs="Calibri"/>
        </w:rPr>
        <w:t>Of all the visitors contacted, we anticipate that</w:t>
      </w:r>
      <w:r w:rsidRPr="00724929">
        <w:rPr>
          <w:rFonts w:ascii="Calibri" w:hAnsi="Calibri" w:cs="Calibri"/>
        </w:rPr>
        <w:t xml:space="preserve"> 20% (n=</w:t>
      </w:r>
      <w:r w:rsidR="00784E36">
        <w:rPr>
          <w:rFonts w:ascii="Calibri" w:hAnsi="Calibri" w:cs="Calibri"/>
        </w:rPr>
        <w:t>288</w:t>
      </w:r>
      <w:r w:rsidRPr="00724929">
        <w:rPr>
          <w:rFonts w:ascii="Calibri" w:hAnsi="Calibri" w:cs="Calibri"/>
        </w:rPr>
        <w:t>) will refuse to participate in the study</w:t>
      </w:r>
      <w:r w:rsidR="00DA1800">
        <w:rPr>
          <w:rFonts w:ascii="Calibri" w:hAnsi="Calibri" w:cs="Calibri"/>
        </w:rPr>
        <w:t>, of those, 80% (n=232)</w:t>
      </w:r>
      <w:r w:rsidRPr="00724929">
        <w:rPr>
          <w:rFonts w:ascii="Calibri" w:hAnsi="Calibri" w:cs="Calibri"/>
        </w:rPr>
        <w:t xml:space="preserve"> will </w:t>
      </w:r>
      <w:r w:rsidR="00DA1800">
        <w:rPr>
          <w:rFonts w:ascii="Calibri" w:hAnsi="Calibri" w:cs="Calibri"/>
        </w:rPr>
        <w:t>complete</w:t>
      </w:r>
      <w:r w:rsidRPr="00724929" w:rsidR="00DA1800">
        <w:rPr>
          <w:rFonts w:ascii="Calibri" w:hAnsi="Calibri" w:cs="Calibri"/>
        </w:rPr>
        <w:t xml:space="preserve"> </w:t>
      </w:r>
      <w:r w:rsidRPr="00724929">
        <w:rPr>
          <w:rFonts w:ascii="Calibri" w:hAnsi="Calibri" w:cs="Calibri"/>
        </w:rPr>
        <w:t>the non-response check</w:t>
      </w:r>
      <w:r w:rsidR="00DA1800">
        <w:rPr>
          <w:rFonts w:ascii="Calibri" w:hAnsi="Calibri" w:cs="Calibri"/>
        </w:rPr>
        <w:t>,</w:t>
      </w:r>
      <w:r w:rsidRPr="00724929">
        <w:rPr>
          <w:rFonts w:ascii="Calibri" w:hAnsi="Calibri" w:cs="Calibri"/>
        </w:rPr>
        <w:t xml:space="preserve"> and th</w:t>
      </w:r>
      <w:r w:rsidR="00DA1800">
        <w:rPr>
          <w:rFonts w:ascii="Calibri" w:hAnsi="Calibri" w:cs="Calibri"/>
        </w:rPr>
        <w:t>e remaining</w:t>
      </w:r>
      <w:r w:rsidRPr="00724929">
        <w:rPr>
          <w:rFonts w:ascii="Calibri" w:hAnsi="Calibri" w:cs="Calibri"/>
        </w:rPr>
        <w:t xml:space="preserve"> 20% (n=</w:t>
      </w:r>
      <w:r w:rsidR="00784E36">
        <w:rPr>
          <w:rFonts w:ascii="Calibri" w:hAnsi="Calibri" w:cs="Calibri"/>
        </w:rPr>
        <w:t>56</w:t>
      </w:r>
      <w:r w:rsidRPr="00724929">
        <w:rPr>
          <w:rFonts w:ascii="Calibri" w:hAnsi="Calibri" w:cs="Calibri"/>
        </w:rPr>
        <w:t xml:space="preserve">) will give a “hard refusal” and walk away.  We anticipate that it will </w:t>
      </w:r>
      <w:r w:rsidR="00DA1800">
        <w:rPr>
          <w:rFonts w:ascii="Calibri" w:hAnsi="Calibri" w:cs="Calibri"/>
        </w:rPr>
        <w:t>take an additional</w:t>
      </w:r>
      <w:r w:rsidRPr="00724929" w:rsidR="00DA1800">
        <w:rPr>
          <w:rFonts w:ascii="Calibri" w:hAnsi="Calibri" w:cs="Calibri"/>
        </w:rPr>
        <w:t xml:space="preserve"> </w:t>
      </w:r>
      <w:r w:rsidRPr="00724929">
        <w:rPr>
          <w:rFonts w:ascii="Calibri" w:hAnsi="Calibri" w:cs="Calibri"/>
        </w:rPr>
        <w:t>minute to complete the non-response</w:t>
      </w:r>
      <w:r w:rsidR="00DA1800">
        <w:rPr>
          <w:rFonts w:ascii="Calibri" w:hAnsi="Calibri" w:cs="Calibri"/>
        </w:rPr>
        <w:t xml:space="preserve"> bias</w:t>
      </w:r>
      <w:r w:rsidRPr="00724929">
        <w:rPr>
          <w:rFonts w:ascii="Calibri" w:hAnsi="Calibri" w:cs="Calibri"/>
        </w:rPr>
        <w:t xml:space="preserve"> questions (</w:t>
      </w:r>
      <w:r w:rsidR="00784E36">
        <w:rPr>
          <w:rFonts w:ascii="Calibri" w:hAnsi="Calibri" w:cs="Calibri"/>
        </w:rPr>
        <w:t>232</w:t>
      </w:r>
      <w:r w:rsidRPr="00724929">
        <w:rPr>
          <w:rFonts w:ascii="Calibri" w:hAnsi="Calibri" w:cs="Calibri"/>
        </w:rPr>
        <w:t xml:space="preserve"> x </w:t>
      </w:r>
      <w:r w:rsidR="00DA1800">
        <w:rPr>
          <w:rFonts w:ascii="Calibri" w:hAnsi="Calibri" w:cs="Calibri"/>
        </w:rPr>
        <w:t>2</w:t>
      </w:r>
      <w:r w:rsidRPr="00724929">
        <w:rPr>
          <w:rFonts w:ascii="Calibri" w:hAnsi="Calibri" w:cs="Calibri"/>
        </w:rPr>
        <w:t xml:space="preserve"> </w:t>
      </w:r>
      <w:r w:rsidR="00A40316">
        <w:rPr>
          <w:rFonts w:ascii="Calibri" w:hAnsi="Calibri" w:cs="Calibri"/>
        </w:rPr>
        <w:t>minute</w:t>
      </w:r>
      <w:r w:rsidRPr="00724929">
        <w:rPr>
          <w:rFonts w:ascii="Calibri" w:hAnsi="Calibri" w:cs="Calibri"/>
        </w:rPr>
        <w:t xml:space="preserve"> = </w:t>
      </w:r>
      <w:r w:rsidR="00DA1800">
        <w:rPr>
          <w:rFonts w:ascii="Calibri" w:hAnsi="Calibri" w:cs="Calibri"/>
        </w:rPr>
        <w:t>8</w:t>
      </w:r>
      <w:r w:rsidRPr="00724929">
        <w:rPr>
          <w:rFonts w:ascii="Calibri" w:hAnsi="Calibri" w:cs="Calibri"/>
        </w:rPr>
        <w:t xml:space="preserve"> hours)</w:t>
      </w:r>
      <w:r w:rsidR="00DA1800">
        <w:rPr>
          <w:rFonts w:ascii="Calibri" w:hAnsi="Calibri" w:cs="Calibri"/>
        </w:rPr>
        <w:t>. The total estimated annual burden for this collection is 215 hours.</w:t>
      </w:r>
    </w:p>
    <w:p w:rsidR="00A316B4" w:rsidP="00784E36" w:rsidRDefault="00A316B4" w14:paraId="48E298E1" w14:textId="77777777">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b/>
        </w:rPr>
      </w:pPr>
    </w:p>
    <w:p w:rsidRPr="00521751" w:rsidR="00521751" w:rsidP="00521751" w:rsidRDefault="00521751" w14:paraId="33177F81" w14:textId="70C94652">
      <w:pPr>
        <w:tabs>
          <w:tab w:val="left" w:pos="360"/>
          <w:tab w:val="left" w:pos="720"/>
          <w:tab w:val="left" w:pos="1440"/>
          <w:tab w:val="left" w:pos="2160"/>
          <w:tab w:val="left" w:pos="3600"/>
          <w:tab w:val="left" w:pos="5040"/>
          <w:tab w:val="left" w:pos="5760"/>
        </w:tabs>
        <w:spacing w:after="0" w:line="240" w:lineRule="auto"/>
        <w:ind w:left="450"/>
        <w:rPr>
          <w:rFonts w:ascii="Calibri" w:hAnsi="Calibri" w:eastAsia="Calibri" w:cs="Arial"/>
          <w:b/>
        </w:rPr>
      </w:pPr>
      <w:r w:rsidRPr="00521751">
        <w:rPr>
          <w:rFonts w:ascii="Calibri" w:hAnsi="Calibri" w:eastAsia="Calibri" w:cs="Arial"/>
          <w:b/>
        </w:rPr>
        <w:lastRenderedPageBreak/>
        <w:t xml:space="preserve">Table </w:t>
      </w:r>
      <w:r w:rsidR="00826516">
        <w:rPr>
          <w:rFonts w:ascii="Calibri" w:hAnsi="Calibri" w:eastAsia="Calibri" w:cs="Arial"/>
          <w:b/>
        </w:rPr>
        <w:t>2</w:t>
      </w:r>
      <w:r w:rsidRPr="00521751">
        <w:rPr>
          <w:rFonts w:ascii="Calibri" w:hAnsi="Calibri" w:eastAsia="Calibri" w:cs="Arial"/>
          <w:b/>
        </w:rPr>
        <w:t xml:space="preserve">. </w:t>
      </w:r>
      <w:r w:rsidR="00971DD0">
        <w:rPr>
          <w:rFonts w:ascii="Calibri" w:hAnsi="Calibri" w:eastAsia="Calibri" w:cs="Arial"/>
          <w:b/>
        </w:rPr>
        <w:t xml:space="preserve">Estimated Annual Burden Hours </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521751" w:rsidR="00521751" w:rsidTr="00521751" w14:paraId="015D6FD0"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2783409F" w14:textId="77777777">
            <w:pPr>
              <w:rPr>
                <w:rFonts w:ascii="Calibri" w:hAnsi="Calibri" w:eastAsia="Calibri" w:cs="Arial"/>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Pr>
                <w:rFonts w:ascii="Calibri" w:hAnsi="Calibri" w:eastAsia="Calibri" w:cs="Arial"/>
                <w:b/>
                <w:bCs/>
                <w:sz w:val="20"/>
                <w:szCs w:val="20"/>
              </w:rPr>
              <w:t xml:space="preserve">Completed </w:t>
            </w:r>
            <w:r w:rsidRPr="00521751">
              <w:rPr>
                <w:rFonts w:ascii="Calibri" w:hAnsi="Calibri" w:eastAsia="Calibri" w:cs="Arial"/>
                <w:b/>
                <w:bCs/>
                <w:sz w:val="20"/>
                <w:szCs w:val="20"/>
              </w:rPr>
              <w:t>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521751" w:rsidR="00521751" w:rsidP="00521751" w:rsidRDefault="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 xml:space="preserve">Completion Time * </w:t>
            </w:r>
          </w:p>
          <w:p w:rsidRPr="00521751" w:rsidR="00521751" w:rsidP="00521751"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Burden Hours</w:t>
            </w:r>
          </w:p>
          <w:p w:rsidRPr="00521751" w:rsidR="00521751" w:rsidP="00521751"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(rounded up)</w:t>
            </w:r>
          </w:p>
        </w:tc>
      </w:tr>
      <w:tr w:rsidRPr="00521751" w:rsidR="00521751" w:rsidTr="0077112E" w14:paraId="7FF5EAFC" w14:textId="77777777">
        <w:trPr>
          <w:trHeight w:val="222"/>
        </w:trPr>
        <w:tc>
          <w:tcPr>
            <w:tcW w:w="2205" w:type="pct"/>
            <w:tcBorders>
              <w:top w:val="single" w:color="auto" w:sz="8" w:space="0"/>
              <w:left w:val="nil"/>
              <w:bottom w:val="nil"/>
              <w:right w:val="nil"/>
            </w:tcBorders>
            <w:shd w:val="clear" w:color="auto" w:fill="FFFFFF"/>
            <w:tcMar>
              <w:top w:w="60" w:type="dxa"/>
              <w:left w:w="60" w:type="dxa"/>
              <w:bottom w:w="60" w:type="dxa"/>
              <w:right w:w="60" w:type="dxa"/>
            </w:tcMar>
            <w:hideMark/>
          </w:tcPr>
          <w:p w:rsidRPr="00D37FCA" w:rsidR="00521751" w:rsidP="00521751" w:rsidRDefault="00521751" w14:paraId="78974212" w14:textId="7DB22F95">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sz w:val="20"/>
                <w:szCs w:val="20"/>
              </w:rPr>
            </w:pPr>
            <w:r w:rsidRPr="00D37FCA">
              <w:rPr>
                <w:rFonts w:ascii="Calibri" w:hAnsi="Calibri" w:eastAsia="Calibri" w:cs="Arial"/>
                <w:sz w:val="20"/>
                <w:szCs w:val="20"/>
              </w:rPr>
              <w:t xml:space="preserve">On-site Survey* </w:t>
            </w:r>
          </w:p>
        </w:tc>
        <w:tc>
          <w:tcPr>
            <w:tcW w:w="833" w:type="pct"/>
            <w:tcBorders>
              <w:top w:val="single" w:color="auto" w:sz="8" w:space="0"/>
              <w:left w:val="nil"/>
              <w:right w:val="nil"/>
            </w:tcBorders>
            <w:shd w:val="clear" w:color="auto" w:fill="auto"/>
            <w:tcMar>
              <w:top w:w="60" w:type="dxa"/>
              <w:left w:w="60" w:type="dxa"/>
              <w:bottom w:w="60" w:type="dxa"/>
              <w:right w:w="60" w:type="dxa"/>
            </w:tcMar>
          </w:tcPr>
          <w:p w:rsidRPr="00521751" w:rsidR="00521751" w:rsidP="00521751" w:rsidRDefault="00784E36" w14:paraId="5DCE9FA1" w14:textId="7C728CEA">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1,152</w:t>
            </w:r>
          </w:p>
        </w:tc>
        <w:tc>
          <w:tcPr>
            <w:tcW w:w="1031" w:type="pct"/>
            <w:tcBorders>
              <w:top w:val="single" w:color="auto" w:sz="8" w:space="0"/>
              <w:left w:val="nil"/>
              <w:right w:val="nil"/>
            </w:tcBorders>
            <w:shd w:val="clear" w:color="auto" w:fill="auto"/>
          </w:tcPr>
          <w:p w:rsidRPr="00521751" w:rsidR="00521751" w:rsidP="00521751" w:rsidRDefault="00784E36" w14:paraId="5ACEC8DD" w14:textId="0857BAD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11</w:t>
            </w:r>
          </w:p>
        </w:tc>
        <w:tc>
          <w:tcPr>
            <w:tcW w:w="931" w:type="pct"/>
            <w:tcBorders>
              <w:top w:val="single" w:color="auto" w:sz="8" w:space="0"/>
              <w:left w:val="nil"/>
              <w:right w:val="nil"/>
            </w:tcBorders>
            <w:shd w:val="clear" w:color="auto" w:fill="auto"/>
            <w:tcMar>
              <w:top w:w="60" w:type="dxa"/>
              <w:left w:w="60" w:type="dxa"/>
              <w:bottom w:w="60" w:type="dxa"/>
              <w:right w:w="60" w:type="dxa"/>
            </w:tcMar>
          </w:tcPr>
          <w:p w:rsidRPr="00521751" w:rsidR="00521751" w:rsidP="00521751" w:rsidRDefault="00784E36" w14:paraId="49FCBD45" w14:textId="7F9D3ADB">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211</w:t>
            </w:r>
          </w:p>
        </w:tc>
      </w:tr>
      <w:tr w:rsidRPr="00521751" w:rsidR="00521751" w:rsidTr="0077112E" w14:paraId="0206AC83" w14:textId="77777777">
        <w:trPr>
          <w:trHeight w:val="222"/>
        </w:trPr>
        <w:tc>
          <w:tcPr>
            <w:tcW w:w="2205" w:type="pct"/>
            <w:shd w:val="clear" w:color="auto" w:fill="FFFFFF"/>
            <w:tcMar>
              <w:top w:w="60" w:type="dxa"/>
              <w:left w:w="60" w:type="dxa"/>
              <w:bottom w:w="60" w:type="dxa"/>
              <w:right w:w="60" w:type="dxa"/>
            </w:tcMar>
          </w:tcPr>
          <w:p w:rsidRPr="00D37FCA" w:rsidR="00521751" w:rsidP="00521751" w:rsidRDefault="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20"/>
                <w:szCs w:val="20"/>
              </w:rPr>
            </w:pPr>
            <w:r w:rsidRPr="00D37FCA">
              <w:rPr>
                <w:rFonts w:ascii="Calibri" w:hAnsi="Calibri" w:eastAsia="Calibri" w:cs="Times New Roman"/>
                <w:sz w:val="20"/>
                <w:szCs w:val="20"/>
              </w:rPr>
              <w:t>On-site n</w:t>
            </w:r>
            <w:r w:rsidRPr="00D37FCA">
              <w:rPr>
                <w:rFonts w:ascii="Calibri" w:hAnsi="Calibri" w:eastAsia="Calibri" w:cs="Arial"/>
                <w:sz w:val="20"/>
                <w:szCs w:val="20"/>
              </w:rPr>
              <w:t>on-response survey</w:t>
            </w:r>
          </w:p>
        </w:tc>
        <w:tc>
          <w:tcPr>
            <w:tcW w:w="833" w:type="pct"/>
            <w:tcBorders>
              <w:bottom w:val="single" w:color="auto" w:sz="4" w:space="0"/>
            </w:tcBorders>
            <w:shd w:val="clear" w:color="auto" w:fill="auto"/>
            <w:tcMar>
              <w:top w:w="60" w:type="dxa"/>
              <w:left w:w="60" w:type="dxa"/>
              <w:bottom w:w="60" w:type="dxa"/>
              <w:right w:w="60" w:type="dxa"/>
            </w:tcMar>
          </w:tcPr>
          <w:p w:rsidRPr="00521751" w:rsidR="00521751" w:rsidP="00521751" w:rsidRDefault="00784E36" w14:paraId="3BA38856" w14:textId="48E164F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232</w:t>
            </w:r>
          </w:p>
        </w:tc>
        <w:tc>
          <w:tcPr>
            <w:tcW w:w="1031" w:type="pct"/>
            <w:tcBorders>
              <w:bottom w:val="single" w:color="auto" w:sz="4" w:space="0"/>
            </w:tcBorders>
            <w:shd w:val="clear" w:color="auto" w:fill="auto"/>
          </w:tcPr>
          <w:p w:rsidRPr="00521751" w:rsidR="00521751" w:rsidP="00521751" w:rsidRDefault="00DA1800" w14:paraId="0BB22B27" w14:textId="749BB71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2</w:t>
            </w:r>
          </w:p>
        </w:tc>
        <w:tc>
          <w:tcPr>
            <w:tcW w:w="931" w:type="pct"/>
            <w:tcBorders>
              <w:bottom w:val="single" w:color="auto" w:sz="4" w:space="0"/>
            </w:tcBorders>
            <w:shd w:val="clear" w:color="auto" w:fill="auto"/>
            <w:tcMar>
              <w:top w:w="60" w:type="dxa"/>
              <w:left w:w="60" w:type="dxa"/>
              <w:bottom w:w="60" w:type="dxa"/>
              <w:right w:w="60" w:type="dxa"/>
            </w:tcMar>
          </w:tcPr>
          <w:p w:rsidRPr="00521751" w:rsidR="00521751" w:rsidP="00521751" w:rsidRDefault="00DA1800" w14:paraId="4D2E3DD3" w14:textId="14CBDE9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8</w:t>
            </w:r>
          </w:p>
        </w:tc>
      </w:tr>
      <w:tr w:rsidRPr="00521751" w:rsidR="00521751" w:rsidTr="0077112E" w14:paraId="0A85F3FE" w14:textId="77777777">
        <w:trPr>
          <w:trHeight w:val="22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521751" w:rsidR="00521751" w:rsidP="00521751" w:rsidRDefault="00521751" w14:paraId="2D26A1DC" w14:textId="77777777">
            <w:pPr>
              <w:tabs>
                <w:tab w:val="left" w:pos="360"/>
                <w:tab w:val="left" w:pos="720"/>
                <w:tab w:val="left" w:pos="1440"/>
                <w:tab w:val="left" w:pos="2160"/>
                <w:tab w:val="left" w:pos="3600"/>
                <w:tab w:val="left" w:pos="5040"/>
                <w:tab w:val="left" w:pos="5760"/>
              </w:tabs>
              <w:spacing w:after="0" w:line="240" w:lineRule="auto"/>
              <w:ind w:firstLine="630"/>
              <w:rPr>
                <w:rFonts w:ascii="Calibri" w:hAnsi="Calibri" w:eastAsia="Calibri" w:cs="Arial"/>
                <w:sz w:val="20"/>
                <w:szCs w:val="20"/>
              </w:rPr>
            </w:pPr>
            <w:r w:rsidRPr="00521751">
              <w:rPr>
                <w:rFonts w:ascii="Calibri" w:hAnsi="Calibri" w:eastAsia="Calibri" w:cs="Arial"/>
                <w:sz w:val="20"/>
                <w:szCs w:val="20"/>
              </w:rPr>
              <w:t>Total burden requested under this ICR:</w:t>
            </w:r>
          </w:p>
        </w:tc>
        <w:tc>
          <w:tcPr>
            <w:tcW w:w="833" w:type="pct"/>
            <w:tcBorders>
              <w:top w:val="single" w:color="auto" w:sz="4" w:space="0"/>
              <w:left w:val="nil"/>
              <w:bottom w:val="single" w:color="auto" w:sz="8" w:space="0"/>
              <w:right w:val="nil"/>
            </w:tcBorders>
            <w:shd w:val="clear" w:color="auto" w:fill="auto"/>
            <w:tcMar>
              <w:top w:w="60" w:type="dxa"/>
              <w:left w:w="60" w:type="dxa"/>
              <w:bottom w:w="60" w:type="dxa"/>
              <w:right w:w="60" w:type="dxa"/>
            </w:tcMar>
            <w:hideMark/>
          </w:tcPr>
          <w:p w:rsidRPr="00521751" w:rsidR="00521751" w:rsidP="00784E36" w:rsidRDefault="00784E36" w14:paraId="3E1C2DB8" w14:textId="32E884D3">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t>1,384</w:t>
            </w:r>
          </w:p>
        </w:tc>
        <w:tc>
          <w:tcPr>
            <w:tcW w:w="1031" w:type="pct"/>
            <w:tcBorders>
              <w:top w:val="single" w:color="auto" w:sz="4" w:space="0"/>
              <w:left w:val="nil"/>
              <w:bottom w:val="single" w:color="auto" w:sz="8" w:space="0"/>
              <w:right w:val="nil"/>
            </w:tcBorders>
            <w:shd w:val="clear" w:color="auto" w:fill="auto"/>
          </w:tcPr>
          <w:p w:rsidRPr="00521751" w:rsidR="00521751" w:rsidP="00521751" w:rsidRDefault="00784E36" w14:paraId="5A12B98B" w14:textId="6C26728F">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t>1</w:t>
            </w:r>
            <w:r w:rsidR="004779F3">
              <w:rPr>
                <w:rFonts w:ascii="Calibri" w:hAnsi="Calibri" w:eastAsia="Calibri" w:cs="Arial"/>
                <w:b/>
                <w:sz w:val="20"/>
                <w:szCs w:val="20"/>
              </w:rPr>
              <w:t>3</w:t>
            </w:r>
          </w:p>
        </w:tc>
        <w:tc>
          <w:tcPr>
            <w:tcW w:w="931" w:type="pct"/>
            <w:tcBorders>
              <w:top w:val="single" w:color="auto" w:sz="4" w:space="0"/>
              <w:left w:val="nil"/>
              <w:bottom w:val="single" w:color="auto" w:sz="4" w:space="0"/>
              <w:right w:val="nil"/>
            </w:tcBorders>
            <w:shd w:val="clear" w:color="auto" w:fill="auto"/>
            <w:tcMar>
              <w:top w:w="60" w:type="dxa"/>
              <w:left w:w="60" w:type="dxa"/>
              <w:bottom w:w="60" w:type="dxa"/>
              <w:right w:w="60" w:type="dxa"/>
            </w:tcMar>
            <w:hideMark/>
          </w:tcPr>
          <w:p w:rsidRPr="00521751" w:rsidR="00521751" w:rsidP="00521751" w:rsidRDefault="00784E36" w14:paraId="1B64F133" w14:textId="1A05CAE4">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t>2</w:t>
            </w:r>
            <w:r w:rsidR="004779F3">
              <w:rPr>
                <w:rFonts w:ascii="Calibri" w:hAnsi="Calibri" w:eastAsia="Calibri" w:cs="Arial"/>
                <w:b/>
                <w:sz w:val="20"/>
                <w:szCs w:val="20"/>
              </w:rPr>
              <w:t>19</w:t>
            </w:r>
            <w:r w:rsidRPr="00521751" w:rsidR="00521751">
              <w:rPr>
                <w:rFonts w:ascii="Calibri" w:hAnsi="Calibri" w:eastAsia="Calibri" w:cs="Arial"/>
                <w:b/>
                <w:sz w:val="20"/>
                <w:szCs w:val="20"/>
              </w:rPr>
              <w:fldChar w:fldCharType="begin"/>
            </w:r>
            <w:r w:rsidRPr="00784E36" w:rsidR="00521751">
              <w:rPr>
                <w:rFonts w:ascii="Calibri" w:hAnsi="Calibri" w:eastAsia="Calibri" w:cs="Arial"/>
                <w:b/>
                <w:sz w:val="20"/>
                <w:szCs w:val="20"/>
              </w:rPr>
              <w:instrText xml:space="preserve"> =SUM(ABOVE) </w:instrText>
            </w:r>
            <w:r w:rsidRPr="00521751" w:rsidR="00521751">
              <w:rPr>
                <w:rFonts w:ascii="Calibri" w:hAnsi="Calibri" w:eastAsia="Calibri" w:cs="Arial"/>
                <w:b/>
                <w:sz w:val="20"/>
                <w:szCs w:val="20"/>
              </w:rPr>
              <w:fldChar w:fldCharType="end"/>
            </w:r>
          </w:p>
        </w:tc>
      </w:tr>
    </w:tbl>
    <w:p w:rsidRPr="004E7782" w:rsidR="00521751" w:rsidP="00E21031" w:rsidRDefault="00521751" w14:paraId="45ED2D5F" w14:textId="4FEE0F2B">
      <w:pPr>
        <w:tabs>
          <w:tab w:val="left" w:pos="360"/>
          <w:tab w:val="left" w:pos="720"/>
          <w:tab w:val="left" w:pos="1440"/>
          <w:tab w:val="left" w:pos="2160"/>
          <w:tab w:val="left" w:pos="3600"/>
          <w:tab w:val="left" w:pos="5040"/>
          <w:tab w:val="left" w:pos="5760"/>
        </w:tabs>
        <w:spacing w:after="220"/>
        <w:ind w:left="360"/>
        <w:rPr>
          <w:rFonts w:cs="Arial"/>
          <w:lang w:bidi="en-US"/>
        </w:rPr>
      </w:pPr>
      <w:r w:rsidRPr="00521751">
        <w:rPr>
          <w:rFonts w:ascii="Calibri" w:hAnsi="Calibri" w:eastAsia="Calibri" w:cs="Arial"/>
          <w:b/>
        </w:rPr>
        <w:t>*</w:t>
      </w:r>
      <w:r w:rsidRPr="00521751">
        <w:rPr>
          <w:rFonts w:ascii="Calibri" w:hAnsi="Calibri" w:eastAsia="Calibri" w:cs="Arial"/>
          <w:i/>
        </w:rPr>
        <w:t xml:space="preserve"> Initial contact time of one minute is added to the time to complete the surveys</w:t>
      </w:r>
    </w:p>
    <w:p w:rsidRPr="00AE0D1F"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sidRPr="00AE0D1F">
        <w:rPr>
          <w:rFonts w:cs="Arial"/>
          <w:b/>
        </w:rPr>
        <w:t>REPORTING PLAN:</w:t>
      </w:r>
    </w:p>
    <w:p w:rsidRPr="005738EA" w:rsidR="00D37FCA" w:rsidP="00474FE8" w:rsidRDefault="005738EA" w14:paraId="74143DCE" w14:textId="4519A90C">
      <w:pPr>
        <w:tabs>
          <w:tab w:val="left" w:pos="360"/>
          <w:tab w:val="left" w:pos="540"/>
          <w:tab w:val="left" w:pos="1440"/>
          <w:tab w:val="left" w:pos="2160"/>
          <w:tab w:val="left" w:pos="3600"/>
          <w:tab w:val="left" w:pos="5040"/>
          <w:tab w:val="left" w:pos="5760"/>
        </w:tabs>
        <w:spacing w:line="360" w:lineRule="auto"/>
        <w:ind w:left="360"/>
        <w:rPr>
          <w:rFonts w:ascii="Calibri" w:hAnsi="Calibri" w:cs="Calibri"/>
        </w:rPr>
      </w:pPr>
      <w:r w:rsidRPr="005738EA">
        <w:rPr>
          <w:rFonts w:ascii="Calibri" w:hAnsi="Calibri" w:cs="Calibri"/>
        </w:rPr>
        <w:t>A final technical report will be delivered to the park managers and staff at Grand Teton National Park</w:t>
      </w:r>
      <w:r w:rsidR="00784E36">
        <w:rPr>
          <w:rFonts w:ascii="Calibri" w:hAnsi="Calibri" w:cs="Calibri"/>
        </w:rPr>
        <w:t xml:space="preserve"> and Yellowstone National Park</w:t>
      </w:r>
      <w:r w:rsidRPr="005738EA">
        <w:rPr>
          <w:rFonts w:ascii="Calibri" w:hAnsi="Calibri" w:cs="Calibri"/>
        </w:rPr>
        <w:t>. The report will contain a description of the study purpose and key findings. The final report will include frequency distributions and descriptive statistics, where appropriate.</w:t>
      </w:r>
    </w:p>
    <w:p w:rsidR="005738EA" w:rsidP="00474FE8" w:rsidRDefault="005738EA" w14:paraId="61A07280" w14:textId="77777777">
      <w:pPr>
        <w:pBdr>
          <w:top w:val="single" w:color="auto" w:sz="4" w:space="1"/>
        </w:pBdr>
        <w:adjustRightInd w:val="0"/>
        <w:contextualSpacing/>
        <w:rPr>
          <w:rFonts w:ascii="Calibri" w:hAnsi="Calibri" w:cs="Calibri"/>
          <w:b/>
        </w:rPr>
      </w:pPr>
      <w:r>
        <w:rPr>
          <w:rFonts w:ascii="Calibri" w:hAnsi="Calibri" w:cs="Calibri"/>
          <w:b/>
        </w:rPr>
        <w:t>References</w:t>
      </w:r>
    </w:p>
    <w:p w:rsidR="005738EA" w:rsidP="005738EA" w:rsidRDefault="005738EA" w14:paraId="63558838" w14:textId="77777777">
      <w:pPr>
        <w:adjustRightInd w:val="0"/>
        <w:contextualSpacing/>
        <w:rPr>
          <w:rFonts w:ascii="Calibri" w:hAnsi="Calibri" w:cs="Calibri"/>
          <w:b/>
        </w:rPr>
      </w:pPr>
    </w:p>
    <w:p w:rsidRPr="00474FE8" w:rsidR="005738EA" w:rsidP="005738EA" w:rsidRDefault="005738EA" w14:paraId="6357B684" w14:textId="731D3C7F">
      <w:pPr>
        <w:adjustRightInd w:val="0"/>
        <w:contextualSpacing/>
        <w:rPr>
          <w:rFonts w:cstheme="minorHAnsi"/>
          <w:noProof/>
          <w:sz w:val="20"/>
          <w:szCs w:val="20"/>
        </w:rPr>
      </w:pPr>
      <w:r w:rsidRPr="00474FE8">
        <w:rPr>
          <w:rFonts w:cstheme="minorHAnsi"/>
          <w:noProof/>
          <w:sz w:val="20"/>
          <w:szCs w:val="20"/>
        </w:rPr>
        <w:t>D’Antonio, A., Taff, B.D., Monz, C., Newman, P., Baker, J., Rice, W., Freeman, S., &amp; Miller, Z.D. (2018). Leigh</w:t>
      </w:r>
      <w:r w:rsidRPr="00474FE8" w:rsidR="00A40316">
        <w:rPr>
          <w:rFonts w:cstheme="minorHAnsi"/>
          <w:noProof/>
          <w:sz w:val="20"/>
          <w:szCs w:val="20"/>
        </w:rPr>
        <w:t xml:space="preserve"> </w:t>
      </w:r>
    </w:p>
    <w:p w:rsidRPr="00474FE8" w:rsidR="005738EA" w:rsidP="005738EA" w:rsidRDefault="005738EA" w14:paraId="3701CE8E" w14:textId="43A6D7DC">
      <w:pPr>
        <w:adjustRightInd w:val="0"/>
        <w:ind w:left="480"/>
        <w:contextualSpacing/>
        <w:rPr>
          <w:rFonts w:cstheme="minorHAnsi"/>
          <w:noProof/>
          <w:sz w:val="20"/>
          <w:szCs w:val="20"/>
        </w:rPr>
      </w:pPr>
      <w:r w:rsidRPr="00474FE8">
        <w:rPr>
          <w:rFonts w:cstheme="minorHAnsi"/>
          <w:noProof/>
          <w:sz w:val="20"/>
          <w:szCs w:val="20"/>
        </w:rPr>
        <w:t xml:space="preserve">and String Lake Visitor Use Study at Grand Teton National Park: 2018 Data Collection Summary. </w:t>
      </w:r>
      <w:r w:rsidRPr="00474FE8">
        <w:rPr>
          <w:rFonts w:cstheme="minorHAnsi"/>
          <w:i/>
          <w:noProof/>
          <w:sz w:val="20"/>
          <w:szCs w:val="20"/>
        </w:rPr>
        <w:t>Report prepared for the National Park Service.</w:t>
      </w:r>
      <w:r w:rsidRPr="00474FE8">
        <w:rPr>
          <w:rFonts w:cstheme="minorHAnsi"/>
          <w:noProof/>
          <w:sz w:val="20"/>
          <w:szCs w:val="20"/>
        </w:rPr>
        <w:t xml:space="preserve"> The Pennsylvania State University. </w:t>
      </w:r>
    </w:p>
    <w:p w:rsidRPr="00474FE8" w:rsidR="00A40316" w:rsidP="005738EA" w:rsidRDefault="00A40316" w14:paraId="72B3F959" w14:textId="77777777">
      <w:pPr>
        <w:adjustRightInd w:val="0"/>
        <w:ind w:left="480"/>
        <w:contextualSpacing/>
        <w:rPr>
          <w:rFonts w:cstheme="minorHAnsi"/>
          <w:noProof/>
          <w:sz w:val="20"/>
          <w:szCs w:val="20"/>
        </w:rPr>
      </w:pPr>
    </w:p>
    <w:p w:rsidRPr="00474FE8" w:rsidR="005738EA" w:rsidP="005738EA" w:rsidRDefault="005738EA" w14:paraId="5B5DE6F0" w14:textId="77777777">
      <w:pPr>
        <w:adjustRightInd w:val="0"/>
        <w:ind w:left="480" w:hanging="480"/>
        <w:rPr>
          <w:rFonts w:cstheme="minorHAnsi"/>
          <w:noProof/>
          <w:sz w:val="20"/>
          <w:szCs w:val="20"/>
        </w:rPr>
      </w:pPr>
      <w:r w:rsidRPr="00474FE8">
        <w:rPr>
          <w:rFonts w:cstheme="minorHAnsi"/>
          <w:noProof/>
          <w:sz w:val="20"/>
          <w:szCs w:val="20"/>
        </w:rPr>
        <w:t xml:space="preserve">Hudenko, H. W. (2012). Exploring the influence of emotion on human decision making in human-wildlife conflict. </w:t>
      </w:r>
      <w:r w:rsidRPr="00474FE8">
        <w:rPr>
          <w:rFonts w:cstheme="minorHAnsi"/>
          <w:i/>
          <w:iCs/>
          <w:noProof/>
          <w:sz w:val="20"/>
          <w:szCs w:val="20"/>
        </w:rPr>
        <w:t>Human Dimensions of Wildlife</w:t>
      </w:r>
      <w:r w:rsidRPr="00474FE8">
        <w:rPr>
          <w:rFonts w:cstheme="minorHAnsi"/>
          <w:noProof/>
          <w:sz w:val="20"/>
          <w:szCs w:val="20"/>
        </w:rPr>
        <w:t xml:space="preserve">, </w:t>
      </w:r>
      <w:r w:rsidRPr="00474FE8">
        <w:rPr>
          <w:rFonts w:cstheme="minorHAnsi"/>
          <w:i/>
          <w:iCs/>
          <w:noProof/>
          <w:sz w:val="20"/>
          <w:szCs w:val="20"/>
        </w:rPr>
        <w:t>17</w:t>
      </w:r>
      <w:r w:rsidRPr="00474FE8">
        <w:rPr>
          <w:rFonts w:cstheme="minorHAnsi"/>
          <w:noProof/>
          <w:sz w:val="20"/>
          <w:szCs w:val="20"/>
        </w:rPr>
        <w:t>(1), 16–28. https://doi.org/10.1080/10871209.2012.623262</w:t>
      </w:r>
    </w:p>
    <w:p w:rsidRPr="00474FE8" w:rsidR="005738EA" w:rsidP="005738EA" w:rsidRDefault="005738EA" w14:paraId="3C717EB9" w14:textId="77777777">
      <w:pPr>
        <w:adjustRightInd w:val="0"/>
        <w:ind w:left="480" w:hanging="480"/>
        <w:rPr>
          <w:rFonts w:cstheme="minorHAnsi"/>
          <w:noProof/>
          <w:sz w:val="20"/>
          <w:szCs w:val="20"/>
        </w:rPr>
      </w:pPr>
      <w:r w:rsidRPr="00474FE8">
        <w:rPr>
          <w:rFonts w:cstheme="minorHAnsi"/>
          <w:noProof/>
          <w:sz w:val="20"/>
          <w:szCs w:val="20"/>
        </w:rPr>
        <w:t xml:space="preserve">Jochum, K. A., Kliskey, A. A., Hundertmark, K. J., &amp; Alessa, L. (2014). Integrating complexity in the management of human-wildlife encounters. </w:t>
      </w:r>
      <w:r w:rsidRPr="00474FE8">
        <w:rPr>
          <w:rFonts w:cstheme="minorHAnsi"/>
          <w:i/>
          <w:iCs/>
          <w:noProof/>
          <w:sz w:val="20"/>
          <w:szCs w:val="20"/>
        </w:rPr>
        <w:t>Global Environmental Change</w:t>
      </w:r>
      <w:r w:rsidRPr="00474FE8">
        <w:rPr>
          <w:rFonts w:cstheme="minorHAnsi"/>
          <w:noProof/>
          <w:sz w:val="20"/>
          <w:szCs w:val="20"/>
        </w:rPr>
        <w:t xml:space="preserve">, </w:t>
      </w:r>
      <w:r w:rsidRPr="00474FE8">
        <w:rPr>
          <w:rFonts w:cstheme="minorHAnsi"/>
          <w:i/>
          <w:iCs/>
          <w:noProof/>
          <w:sz w:val="20"/>
          <w:szCs w:val="20"/>
        </w:rPr>
        <w:t>26</w:t>
      </w:r>
      <w:r w:rsidRPr="00474FE8">
        <w:rPr>
          <w:rFonts w:cstheme="minorHAnsi"/>
          <w:noProof/>
          <w:sz w:val="20"/>
          <w:szCs w:val="20"/>
        </w:rPr>
        <w:t>(1), 73–86. https://doi.org/10.1016/j.gloenvcha.2014.03.011</w:t>
      </w:r>
    </w:p>
    <w:p w:rsidRPr="00474FE8" w:rsidR="005738EA" w:rsidP="005738EA" w:rsidRDefault="005738EA" w14:paraId="69174A82" w14:textId="77777777">
      <w:pPr>
        <w:adjustRightInd w:val="0"/>
        <w:ind w:left="480" w:hanging="480"/>
        <w:rPr>
          <w:rFonts w:cstheme="minorHAnsi"/>
          <w:noProof/>
          <w:sz w:val="20"/>
          <w:szCs w:val="20"/>
        </w:rPr>
      </w:pPr>
      <w:r w:rsidRPr="00474FE8">
        <w:rPr>
          <w:rFonts w:cstheme="minorHAnsi"/>
          <w:noProof/>
          <w:sz w:val="20"/>
          <w:szCs w:val="20"/>
        </w:rPr>
        <w:t xml:space="preserve">Jacobs, M. H. (2012). Human emotions toward wildlife. </w:t>
      </w:r>
      <w:r w:rsidRPr="00474FE8">
        <w:rPr>
          <w:rFonts w:cstheme="minorHAnsi"/>
          <w:i/>
          <w:iCs/>
          <w:noProof/>
          <w:sz w:val="20"/>
          <w:szCs w:val="20"/>
        </w:rPr>
        <w:t>Human Dimensions of Wildlife</w:t>
      </w:r>
      <w:r w:rsidRPr="00474FE8">
        <w:rPr>
          <w:rFonts w:cstheme="minorHAnsi"/>
          <w:noProof/>
          <w:sz w:val="20"/>
          <w:szCs w:val="20"/>
        </w:rPr>
        <w:t xml:space="preserve">, </w:t>
      </w:r>
      <w:r w:rsidRPr="00474FE8">
        <w:rPr>
          <w:rFonts w:cstheme="minorHAnsi"/>
          <w:i/>
          <w:iCs/>
          <w:noProof/>
          <w:sz w:val="20"/>
          <w:szCs w:val="20"/>
        </w:rPr>
        <w:t>17</w:t>
      </w:r>
      <w:r w:rsidRPr="00474FE8">
        <w:rPr>
          <w:rFonts w:cstheme="minorHAnsi"/>
          <w:noProof/>
          <w:sz w:val="20"/>
          <w:szCs w:val="20"/>
        </w:rPr>
        <w:t>(1), 1–3. https://doi.org/10.1080/10871209.2012.653674</w:t>
      </w:r>
    </w:p>
    <w:p w:rsidRPr="00474FE8" w:rsidR="005738EA" w:rsidP="005738EA" w:rsidRDefault="005738EA" w14:paraId="3D924C1F" w14:textId="77777777">
      <w:pPr>
        <w:adjustRightInd w:val="0"/>
        <w:ind w:left="480" w:hanging="480"/>
        <w:rPr>
          <w:rFonts w:cstheme="minorHAnsi"/>
          <w:noProof/>
          <w:sz w:val="20"/>
          <w:szCs w:val="20"/>
        </w:rPr>
      </w:pPr>
      <w:r w:rsidRPr="00474FE8">
        <w:rPr>
          <w:rFonts w:cstheme="minorHAnsi"/>
          <w:noProof/>
          <w:sz w:val="20"/>
          <w:szCs w:val="20"/>
        </w:rPr>
        <w:t xml:space="preserve">Miller, Z. D., &amp; Freimund, W. (2018). Using visual-based social norm methods to understand distance-related human–wildlife interactions. </w:t>
      </w:r>
      <w:r w:rsidRPr="00474FE8">
        <w:rPr>
          <w:rFonts w:cstheme="minorHAnsi"/>
          <w:i/>
          <w:iCs/>
          <w:noProof/>
          <w:sz w:val="20"/>
          <w:szCs w:val="20"/>
        </w:rPr>
        <w:t>Human Dimensions of Wildlife</w:t>
      </w:r>
      <w:r w:rsidRPr="00474FE8">
        <w:rPr>
          <w:rFonts w:cstheme="minorHAnsi"/>
          <w:noProof/>
          <w:sz w:val="20"/>
          <w:szCs w:val="20"/>
        </w:rPr>
        <w:t xml:space="preserve">, </w:t>
      </w:r>
      <w:r w:rsidRPr="00474FE8">
        <w:rPr>
          <w:rFonts w:cstheme="minorHAnsi"/>
          <w:i/>
          <w:iCs/>
          <w:noProof/>
          <w:sz w:val="20"/>
          <w:szCs w:val="20"/>
        </w:rPr>
        <w:t>23</w:t>
      </w:r>
      <w:r w:rsidRPr="00474FE8">
        <w:rPr>
          <w:rFonts w:cstheme="minorHAnsi"/>
          <w:noProof/>
          <w:sz w:val="20"/>
          <w:szCs w:val="20"/>
        </w:rPr>
        <w:t>(2), 176–186. https://doi.org/10.1080/10871209.2017.1397825</w:t>
      </w:r>
    </w:p>
    <w:p w:rsidRPr="00474FE8" w:rsidR="005738EA" w:rsidP="005738EA" w:rsidRDefault="005738EA" w14:paraId="307F1482" w14:textId="77777777">
      <w:pPr>
        <w:adjustRightInd w:val="0"/>
        <w:ind w:left="480" w:hanging="480"/>
        <w:rPr>
          <w:rFonts w:cstheme="minorHAnsi"/>
          <w:noProof/>
          <w:sz w:val="20"/>
          <w:szCs w:val="20"/>
        </w:rPr>
      </w:pPr>
      <w:r w:rsidRPr="00474FE8">
        <w:rPr>
          <w:rFonts w:cstheme="minorHAnsi"/>
          <w:noProof/>
          <w:sz w:val="20"/>
          <w:szCs w:val="20"/>
        </w:rPr>
        <w:t xml:space="preserve">Pearce, D. G., &amp; Wilson, P. M. (1995). Wildlife-viewing tourists in New Zealand. </w:t>
      </w:r>
      <w:r w:rsidRPr="00474FE8">
        <w:rPr>
          <w:rFonts w:cstheme="minorHAnsi"/>
          <w:i/>
          <w:iCs/>
          <w:noProof/>
          <w:sz w:val="20"/>
          <w:szCs w:val="20"/>
        </w:rPr>
        <w:t>Journal of Travel Research</w:t>
      </w:r>
      <w:r w:rsidRPr="00474FE8">
        <w:rPr>
          <w:rFonts w:cstheme="minorHAnsi"/>
          <w:noProof/>
          <w:sz w:val="20"/>
          <w:szCs w:val="20"/>
        </w:rPr>
        <w:t xml:space="preserve">, </w:t>
      </w:r>
      <w:r w:rsidRPr="00474FE8">
        <w:rPr>
          <w:rFonts w:cstheme="minorHAnsi"/>
          <w:i/>
          <w:iCs/>
          <w:noProof/>
          <w:sz w:val="20"/>
          <w:szCs w:val="20"/>
        </w:rPr>
        <w:t>34</w:t>
      </w:r>
      <w:r w:rsidRPr="00474FE8">
        <w:rPr>
          <w:rFonts w:cstheme="minorHAnsi"/>
          <w:noProof/>
          <w:sz w:val="20"/>
          <w:szCs w:val="20"/>
        </w:rPr>
        <w:t>(2), 19–26. https://doi.org/10.1177/004728759503400205</w:t>
      </w:r>
    </w:p>
    <w:p w:rsidRPr="00474FE8" w:rsidR="005738EA" w:rsidP="005738EA" w:rsidRDefault="005738EA" w14:paraId="16429180" w14:textId="77777777">
      <w:pPr>
        <w:adjustRightInd w:val="0"/>
        <w:ind w:left="480" w:hanging="480"/>
        <w:rPr>
          <w:rFonts w:cstheme="minorHAnsi"/>
          <w:noProof/>
          <w:sz w:val="20"/>
          <w:szCs w:val="20"/>
        </w:rPr>
      </w:pPr>
      <w:r w:rsidRPr="00474FE8">
        <w:rPr>
          <w:rFonts w:cstheme="minorHAnsi"/>
          <w:noProof/>
          <w:sz w:val="20"/>
          <w:szCs w:val="20"/>
        </w:rPr>
        <w:t xml:space="preserve">Schänzel, H. A., &amp; McIntosh, A. J. (2000). An insight into the personal and emotive context of wildlife viewing at the penguin place, otago peninsula, New Zealand. </w:t>
      </w:r>
      <w:r w:rsidRPr="00474FE8">
        <w:rPr>
          <w:rFonts w:cstheme="minorHAnsi"/>
          <w:i/>
          <w:iCs/>
          <w:noProof/>
          <w:sz w:val="20"/>
          <w:szCs w:val="20"/>
        </w:rPr>
        <w:t>Journal of Sustainable Tourism</w:t>
      </w:r>
      <w:r w:rsidRPr="00474FE8">
        <w:rPr>
          <w:rFonts w:cstheme="minorHAnsi"/>
          <w:noProof/>
          <w:sz w:val="20"/>
          <w:szCs w:val="20"/>
        </w:rPr>
        <w:t xml:space="preserve">, </w:t>
      </w:r>
      <w:r w:rsidRPr="00474FE8">
        <w:rPr>
          <w:rFonts w:cstheme="minorHAnsi"/>
          <w:i/>
          <w:iCs/>
          <w:noProof/>
          <w:sz w:val="20"/>
          <w:szCs w:val="20"/>
        </w:rPr>
        <w:t>8</w:t>
      </w:r>
      <w:r w:rsidRPr="00474FE8">
        <w:rPr>
          <w:rFonts w:cstheme="minorHAnsi"/>
          <w:noProof/>
          <w:sz w:val="20"/>
          <w:szCs w:val="20"/>
        </w:rPr>
        <w:t>(1), 36–52. https://doi.org/10.1080/09669580008667348</w:t>
      </w:r>
    </w:p>
    <w:p w:rsidRPr="00474FE8" w:rsidR="005738EA" w:rsidP="005738EA" w:rsidRDefault="005738EA" w14:paraId="12D49FEA" w14:textId="77777777">
      <w:pPr>
        <w:adjustRightInd w:val="0"/>
        <w:ind w:left="480" w:hanging="480"/>
        <w:rPr>
          <w:rFonts w:cstheme="minorHAnsi"/>
          <w:noProof/>
          <w:sz w:val="20"/>
          <w:szCs w:val="20"/>
        </w:rPr>
      </w:pPr>
      <w:r w:rsidRPr="00474FE8">
        <w:rPr>
          <w:rFonts w:cstheme="minorHAnsi"/>
          <w:noProof/>
          <w:sz w:val="20"/>
          <w:szCs w:val="20"/>
        </w:rPr>
        <w:t xml:space="preserve">Verbos, R. I., Zajchowski, C. A. B., Brownlee, M. T. J., &amp; Skibins, J. C. (2018). ‘I’d like to be just a bit closer’: Wildlife viewing proximity preferences at Denali National Park &amp; Preserve. </w:t>
      </w:r>
      <w:r w:rsidRPr="00474FE8">
        <w:rPr>
          <w:rFonts w:cstheme="minorHAnsi"/>
          <w:i/>
          <w:iCs/>
          <w:noProof/>
          <w:sz w:val="20"/>
          <w:szCs w:val="20"/>
        </w:rPr>
        <w:t>Journal of Ecotourism</w:t>
      </w:r>
      <w:r w:rsidRPr="00474FE8">
        <w:rPr>
          <w:rFonts w:cstheme="minorHAnsi"/>
          <w:noProof/>
          <w:sz w:val="20"/>
          <w:szCs w:val="20"/>
        </w:rPr>
        <w:t xml:space="preserve">, </w:t>
      </w:r>
      <w:r w:rsidRPr="00474FE8">
        <w:rPr>
          <w:rFonts w:cstheme="minorHAnsi"/>
          <w:i/>
          <w:iCs/>
          <w:noProof/>
          <w:sz w:val="20"/>
          <w:szCs w:val="20"/>
        </w:rPr>
        <w:t>17</w:t>
      </w:r>
      <w:r w:rsidRPr="00474FE8">
        <w:rPr>
          <w:rFonts w:cstheme="minorHAnsi"/>
          <w:noProof/>
          <w:sz w:val="20"/>
          <w:szCs w:val="20"/>
        </w:rPr>
        <w:t>(4), 409–424. https://doi.org/10.1080/14724049.2017.1410551</w:t>
      </w:r>
    </w:p>
    <w:p w:rsidR="005738EA" w:rsidP="005738EA" w:rsidRDefault="005738EA" w14:paraId="02466514" w14:textId="77777777">
      <w:pPr>
        <w:pBdr>
          <w:top w:val="single" w:color="auto" w:sz="4" w:space="1"/>
        </w:pBdr>
        <w:rPr>
          <w:rFonts w:cstheme="minorHAnsi"/>
          <w:b/>
          <w:bCs/>
          <w:sz w:val="28"/>
          <w:szCs w:val="28"/>
        </w:rPr>
      </w:pPr>
    </w:p>
    <w:p w:rsidR="00474FE8" w:rsidRDefault="00474FE8" w14:paraId="120B4476" w14:textId="3FAA9294">
      <w:pPr>
        <w:rPr>
          <w:rFonts w:cstheme="minorHAnsi"/>
          <w:b/>
          <w:bCs/>
          <w:sz w:val="28"/>
          <w:szCs w:val="28"/>
        </w:rPr>
      </w:pPr>
      <w:r>
        <w:rPr>
          <w:rFonts w:cstheme="minorHAnsi"/>
          <w:b/>
          <w:bCs/>
          <w:sz w:val="28"/>
          <w:szCs w:val="28"/>
        </w:rPr>
        <w:br w:type="page"/>
      </w:r>
    </w:p>
    <w:p w:rsidRPr="00D37FCA" w:rsidR="00DD4CE9" w:rsidP="00D37FCA" w:rsidRDefault="00DD4CE9" w14:paraId="0754EF03" w14:textId="1530F3F2">
      <w:pPr>
        <w:pBdr>
          <w:top w:val="single" w:color="auto" w:sz="4" w:space="1"/>
        </w:pBdr>
        <w:jc w:val="center"/>
        <w:rPr>
          <w:rFonts w:cstheme="minorHAnsi"/>
          <w:b/>
          <w:bCs/>
          <w:sz w:val="28"/>
          <w:szCs w:val="28"/>
        </w:rPr>
      </w:pPr>
      <w:r w:rsidRPr="00D37FCA">
        <w:rPr>
          <w:rFonts w:cstheme="minorHAnsi"/>
          <w:b/>
          <w:bCs/>
          <w:sz w:val="28"/>
          <w:szCs w:val="28"/>
        </w:rPr>
        <w:lastRenderedPageBreak/>
        <w:t>NOTICES</w:t>
      </w:r>
    </w:p>
    <w:p w:rsidRPr="00D37FCA" w:rsidR="00DD4CE9" w:rsidP="00AE0D1F" w:rsidRDefault="00DD4CE9"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97580" w14:textId="77777777" w:rsidR="00705DA9" w:rsidRDefault="00705DA9" w:rsidP="005749F3">
      <w:pPr>
        <w:spacing w:after="0" w:line="240" w:lineRule="auto"/>
      </w:pPr>
      <w:r>
        <w:separator/>
      </w:r>
    </w:p>
  </w:endnote>
  <w:endnote w:type="continuationSeparator" w:id="0">
    <w:p w14:paraId="0B927D0C" w14:textId="77777777" w:rsidR="00705DA9" w:rsidRDefault="00705DA9"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0EF51D32" w:rsidR="00971DD0" w:rsidRPr="00AA2AA1" w:rsidRDefault="00971DD0"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25A77A5C" w:rsidR="00971DD0" w:rsidRPr="00F60E00" w:rsidRDefault="00971DD0"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971DD0" w:rsidRPr="00DA5C9A" w:rsidRDefault="00971DD0"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0C4AB" w14:textId="77777777" w:rsidR="00705DA9" w:rsidRDefault="00705DA9" w:rsidP="005749F3">
      <w:pPr>
        <w:spacing w:after="0" w:line="240" w:lineRule="auto"/>
      </w:pPr>
      <w:r>
        <w:separator/>
      </w:r>
    </w:p>
  </w:footnote>
  <w:footnote w:type="continuationSeparator" w:id="0">
    <w:p w14:paraId="3144EAC3" w14:textId="77777777" w:rsidR="00705DA9" w:rsidRDefault="00705DA9"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971DD0" w:rsidRDefault="00971DD0"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971DD0" w:rsidRPr="009E5218" w:rsidRDefault="00971DD0"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71DD0" w:rsidRPr="00AA2AA1" w:rsidRDefault="00971DD0"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971DD0" w:rsidRDefault="00971DD0"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971DD0" w:rsidRPr="009E5218" w:rsidRDefault="00971DD0"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971DD0" w:rsidRDefault="00971DD0"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71DD0" w:rsidRDefault="00971DD0"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71DD0" w:rsidRDefault="00971DD0"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71DD0" w:rsidRPr="00016546" w:rsidRDefault="00971DD0"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71DD0" w:rsidRPr="00016546" w:rsidRDefault="00971DD0"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71DD0" w:rsidRPr="00016546" w:rsidRDefault="00971DD0"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71DD0" w:rsidRPr="00016546" w:rsidRDefault="00971DD0"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576C4"/>
    <w:multiLevelType w:val="hybridMultilevel"/>
    <w:tmpl w:val="3F949A30"/>
    <w:lvl w:ilvl="0" w:tplc="7CE84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7"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9"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950A7"/>
    <w:multiLevelType w:val="hybridMultilevel"/>
    <w:tmpl w:val="B5561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6"/>
  </w:num>
  <w:num w:numId="3">
    <w:abstractNumId w:val="26"/>
  </w:num>
  <w:num w:numId="4">
    <w:abstractNumId w:val="20"/>
  </w:num>
  <w:num w:numId="5">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5"/>
  </w:num>
  <w:num w:numId="9">
    <w:abstractNumId w:val="11"/>
  </w:num>
  <w:num w:numId="10">
    <w:abstractNumId w:val="25"/>
  </w:num>
  <w:num w:numId="11">
    <w:abstractNumId w:val="29"/>
  </w:num>
  <w:num w:numId="12">
    <w:abstractNumId w:val="24"/>
  </w:num>
  <w:num w:numId="13">
    <w:abstractNumId w:val="7"/>
  </w:num>
  <w:num w:numId="14">
    <w:abstractNumId w:val="19"/>
  </w:num>
  <w:num w:numId="15">
    <w:abstractNumId w:val="17"/>
  </w:num>
  <w:num w:numId="16">
    <w:abstractNumId w:val="22"/>
  </w:num>
  <w:num w:numId="17">
    <w:abstractNumId w:val="2"/>
  </w:num>
  <w:num w:numId="18">
    <w:abstractNumId w:val="5"/>
  </w:num>
  <w:num w:numId="19">
    <w:abstractNumId w:val="12"/>
  </w:num>
  <w:num w:numId="20">
    <w:abstractNumId w:val="3"/>
  </w:num>
  <w:num w:numId="21">
    <w:abstractNumId w:val="34"/>
  </w:num>
  <w:num w:numId="22">
    <w:abstractNumId w:val="31"/>
  </w:num>
  <w:num w:numId="23">
    <w:abstractNumId w:val="10"/>
  </w:num>
  <w:num w:numId="24">
    <w:abstractNumId w:val="18"/>
  </w:num>
  <w:num w:numId="25">
    <w:abstractNumId w:val="15"/>
  </w:num>
  <w:num w:numId="26">
    <w:abstractNumId w:val="14"/>
  </w:num>
  <w:num w:numId="27">
    <w:abstractNumId w:val="33"/>
  </w:num>
  <w:num w:numId="28">
    <w:abstractNumId w:val="23"/>
  </w:num>
  <w:num w:numId="29">
    <w:abstractNumId w:val="8"/>
  </w:num>
  <w:num w:numId="30">
    <w:abstractNumId w:val="6"/>
  </w:num>
  <w:num w:numId="31">
    <w:abstractNumId w:val="28"/>
  </w:num>
  <w:num w:numId="32">
    <w:abstractNumId w:val="21"/>
  </w:num>
  <w:num w:numId="33">
    <w:abstractNumId w:val="9"/>
  </w:num>
  <w:num w:numId="34">
    <w:abstractNumId w:val="13"/>
  </w:num>
  <w:num w:numId="35">
    <w:abstractNumId w:val="30"/>
  </w:num>
  <w:num w:numId="36">
    <w:abstractNumId w:val="0"/>
  </w:num>
  <w:num w:numId="37">
    <w:abstractNumId w:val="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7E07"/>
    <w:rsid w:val="00035FFE"/>
    <w:rsid w:val="000524E6"/>
    <w:rsid w:val="00055E34"/>
    <w:rsid w:val="0005789F"/>
    <w:rsid w:val="00060618"/>
    <w:rsid w:val="00060F9A"/>
    <w:rsid w:val="0006223F"/>
    <w:rsid w:val="00066F99"/>
    <w:rsid w:val="00073C58"/>
    <w:rsid w:val="00081320"/>
    <w:rsid w:val="00086605"/>
    <w:rsid w:val="0008754D"/>
    <w:rsid w:val="00092E81"/>
    <w:rsid w:val="000A04C6"/>
    <w:rsid w:val="000A1EB8"/>
    <w:rsid w:val="000A3486"/>
    <w:rsid w:val="000A423B"/>
    <w:rsid w:val="000A73BD"/>
    <w:rsid w:val="000B1E59"/>
    <w:rsid w:val="000D13B3"/>
    <w:rsid w:val="000D197A"/>
    <w:rsid w:val="000D25D8"/>
    <w:rsid w:val="000D4454"/>
    <w:rsid w:val="000D6041"/>
    <w:rsid w:val="000D62B8"/>
    <w:rsid w:val="000D6EDE"/>
    <w:rsid w:val="000E33DE"/>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2F9D"/>
    <w:rsid w:val="00123FA2"/>
    <w:rsid w:val="0014061F"/>
    <w:rsid w:val="0014108F"/>
    <w:rsid w:val="001460F7"/>
    <w:rsid w:val="00146CDE"/>
    <w:rsid w:val="00151B26"/>
    <w:rsid w:val="001526AE"/>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B0570"/>
    <w:rsid w:val="001B07C3"/>
    <w:rsid w:val="001B45B5"/>
    <w:rsid w:val="001C0B6C"/>
    <w:rsid w:val="001C2ED4"/>
    <w:rsid w:val="001C3619"/>
    <w:rsid w:val="001D1745"/>
    <w:rsid w:val="001D2CA8"/>
    <w:rsid w:val="001D2CEF"/>
    <w:rsid w:val="001D3ABD"/>
    <w:rsid w:val="001D6222"/>
    <w:rsid w:val="001F1283"/>
    <w:rsid w:val="001F33D7"/>
    <w:rsid w:val="00204683"/>
    <w:rsid w:val="0020596F"/>
    <w:rsid w:val="00206DBC"/>
    <w:rsid w:val="00212E14"/>
    <w:rsid w:val="00217668"/>
    <w:rsid w:val="0022525F"/>
    <w:rsid w:val="002311DC"/>
    <w:rsid w:val="00233F23"/>
    <w:rsid w:val="00247DA4"/>
    <w:rsid w:val="002509CF"/>
    <w:rsid w:val="0025212A"/>
    <w:rsid w:val="0025743C"/>
    <w:rsid w:val="002620B3"/>
    <w:rsid w:val="002709FA"/>
    <w:rsid w:val="00270C3D"/>
    <w:rsid w:val="00272FC6"/>
    <w:rsid w:val="002800BF"/>
    <w:rsid w:val="0028219B"/>
    <w:rsid w:val="002851F2"/>
    <w:rsid w:val="002869A1"/>
    <w:rsid w:val="002936E9"/>
    <w:rsid w:val="002942B0"/>
    <w:rsid w:val="00297504"/>
    <w:rsid w:val="002A5058"/>
    <w:rsid w:val="002A5EBF"/>
    <w:rsid w:val="002B0CBC"/>
    <w:rsid w:val="002B6E64"/>
    <w:rsid w:val="002C7EEC"/>
    <w:rsid w:val="002E2158"/>
    <w:rsid w:val="002F4E06"/>
    <w:rsid w:val="002F5CC3"/>
    <w:rsid w:val="003144D6"/>
    <w:rsid w:val="00316D44"/>
    <w:rsid w:val="003202A3"/>
    <w:rsid w:val="00321BDD"/>
    <w:rsid w:val="00324904"/>
    <w:rsid w:val="003258F2"/>
    <w:rsid w:val="0032615A"/>
    <w:rsid w:val="00327BD2"/>
    <w:rsid w:val="003303FE"/>
    <w:rsid w:val="0033711B"/>
    <w:rsid w:val="00343297"/>
    <w:rsid w:val="003445DC"/>
    <w:rsid w:val="00350763"/>
    <w:rsid w:val="00352C53"/>
    <w:rsid w:val="003544AE"/>
    <w:rsid w:val="003544F8"/>
    <w:rsid w:val="00357131"/>
    <w:rsid w:val="00360F15"/>
    <w:rsid w:val="00363783"/>
    <w:rsid w:val="00367A5A"/>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C1098"/>
    <w:rsid w:val="003C1C70"/>
    <w:rsid w:val="003C1F71"/>
    <w:rsid w:val="003C1FEE"/>
    <w:rsid w:val="003C6595"/>
    <w:rsid w:val="003C67E8"/>
    <w:rsid w:val="003C7497"/>
    <w:rsid w:val="003D2EEE"/>
    <w:rsid w:val="003D39C3"/>
    <w:rsid w:val="003D4B6E"/>
    <w:rsid w:val="003D565C"/>
    <w:rsid w:val="003D61B1"/>
    <w:rsid w:val="003D6B66"/>
    <w:rsid w:val="003E7128"/>
    <w:rsid w:val="003F18D7"/>
    <w:rsid w:val="004023C8"/>
    <w:rsid w:val="00407336"/>
    <w:rsid w:val="004140B1"/>
    <w:rsid w:val="0042231D"/>
    <w:rsid w:val="00424096"/>
    <w:rsid w:val="00425D13"/>
    <w:rsid w:val="00425EE8"/>
    <w:rsid w:val="00427909"/>
    <w:rsid w:val="00432F9B"/>
    <w:rsid w:val="00436135"/>
    <w:rsid w:val="00437DA2"/>
    <w:rsid w:val="004403F5"/>
    <w:rsid w:val="00441ED8"/>
    <w:rsid w:val="00444FD3"/>
    <w:rsid w:val="004453BF"/>
    <w:rsid w:val="00446B0E"/>
    <w:rsid w:val="00446D68"/>
    <w:rsid w:val="00452698"/>
    <w:rsid w:val="004614A0"/>
    <w:rsid w:val="00465F43"/>
    <w:rsid w:val="004665B5"/>
    <w:rsid w:val="004672A6"/>
    <w:rsid w:val="00474DDB"/>
    <w:rsid w:val="00474FE8"/>
    <w:rsid w:val="004772EE"/>
    <w:rsid w:val="004779F3"/>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F2EFD"/>
    <w:rsid w:val="004F3AE9"/>
    <w:rsid w:val="004F4D75"/>
    <w:rsid w:val="004F5F1B"/>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5521"/>
    <w:rsid w:val="005501CC"/>
    <w:rsid w:val="00550AFC"/>
    <w:rsid w:val="00555635"/>
    <w:rsid w:val="00561D08"/>
    <w:rsid w:val="005622A5"/>
    <w:rsid w:val="005719CA"/>
    <w:rsid w:val="005725F2"/>
    <w:rsid w:val="005738EA"/>
    <w:rsid w:val="005749F3"/>
    <w:rsid w:val="0057593C"/>
    <w:rsid w:val="0057712C"/>
    <w:rsid w:val="00584103"/>
    <w:rsid w:val="00586267"/>
    <w:rsid w:val="00595BA4"/>
    <w:rsid w:val="00596E03"/>
    <w:rsid w:val="005A1EE2"/>
    <w:rsid w:val="005A2265"/>
    <w:rsid w:val="005B037D"/>
    <w:rsid w:val="005B4059"/>
    <w:rsid w:val="005B58E2"/>
    <w:rsid w:val="005C0499"/>
    <w:rsid w:val="005C1303"/>
    <w:rsid w:val="005C6FBA"/>
    <w:rsid w:val="005E3C43"/>
    <w:rsid w:val="005E563D"/>
    <w:rsid w:val="005F0CAA"/>
    <w:rsid w:val="005F33A0"/>
    <w:rsid w:val="005F7642"/>
    <w:rsid w:val="0060302F"/>
    <w:rsid w:val="0061180A"/>
    <w:rsid w:val="00613DEC"/>
    <w:rsid w:val="00614D03"/>
    <w:rsid w:val="00620262"/>
    <w:rsid w:val="006202AD"/>
    <w:rsid w:val="00620587"/>
    <w:rsid w:val="00622DF0"/>
    <w:rsid w:val="00623543"/>
    <w:rsid w:val="0062510C"/>
    <w:rsid w:val="00630191"/>
    <w:rsid w:val="00630294"/>
    <w:rsid w:val="00631E41"/>
    <w:rsid w:val="00633C4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1BF5"/>
    <w:rsid w:val="00693071"/>
    <w:rsid w:val="006942C8"/>
    <w:rsid w:val="006A0C4F"/>
    <w:rsid w:val="006A336B"/>
    <w:rsid w:val="006A7B97"/>
    <w:rsid w:val="006B1E11"/>
    <w:rsid w:val="006B1FCB"/>
    <w:rsid w:val="006B27D1"/>
    <w:rsid w:val="006B4070"/>
    <w:rsid w:val="006B54A6"/>
    <w:rsid w:val="006C09BC"/>
    <w:rsid w:val="006C25A0"/>
    <w:rsid w:val="006C3AFF"/>
    <w:rsid w:val="006C4271"/>
    <w:rsid w:val="006C4321"/>
    <w:rsid w:val="006C5CCA"/>
    <w:rsid w:val="006C65F9"/>
    <w:rsid w:val="006D1A99"/>
    <w:rsid w:val="006D64EC"/>
    <w:rsid w:val="006E2E11"/>
    <w:rsid w:val="006E33D2"/>
    <w:rsid w:val="006E3CC1"/>
    <w:rsid w:val="006E54AB"/>
    <w:rsid w:val="006E791A"/>
    <w:rsid w:val="006F73A1"/>
    <w:rsid w:val="00705518"/>
    <w:rsid w:val="00705583"/>
    <w:rsid w:val="00705DA9"/>
    <w:rsid w:val="007224EF"/>
    <w:rsid w:val="00723C8F"/>
    <w:rsid w:val="00725750"/>
    <w:rsid w:val="00726F94"/>
    <w:rsid w:val="007276BF"/>
    <w:rsid w:val="00733C44"/>
    <w:rsid w:val="00734D11"/>
    <w:rsid w:val="00736866"/>
    <w:rsid w:val="00741A8A"/>
    <w:rsid w:val="0075054E"/>
    <w:rsid w:val="00753D07"/>
    <w:rsid w:val="0075406E"/>
    <w:rsid w:val="0077112E"/>
    <w:rsid w:val="00772F8C"/>
    <w:rsid w:val="007761E9"/>
    <w:rsid w:val="00781A3C"/>
    <w:rsid w:val="00784E36"/>
    <w:rsid w:val="007865FB"/>
    <w:rsid w:val="00791A02"/>
    <w:rsid w:val="00792F57"/>
    <w:rsid w:val="0079534A"/>
    <w:rsid w:val="00795BB2"/>
    <w:rsid w:val="007A2BF8"/>
    <w:rsid w:val="007A4E1D"/>
    <w:rsid w:val="007B2007"/>
    <w:rsid w:val="007B52EC"/>
    <w:rsid w:val="007C2810"/>
    <w:rsid w:val="007C626D"/>
    <w:rsid w:val="007D323B"/>
    <w:rsid w:val="007D4868"/>
    <w:rsid w:val="007D4C26"/>
    <w:rsid w:val="007E7676"/>
    <w:rsid w:val="007F61EA"/>
    <w:rsid w:val="00800934"/>
    <w:rsid w:val="00801898"/>
    <w:rsid w:val="0080234B"/>
    <w:rsid w:val="00812247"/>
    <w:rsid w:val="00814545"/>
    <w:rsid w:val="00817264"/>
    <w:rsid w:val="0081742F"/>
    <w:rsid w:val="00817649"/>
    <w:rsid w:val="00820AB7"/>
    <w:rsid w:val="00820B7D"/>
    <w:rsid w:val="00826516"/>
    <w:rsid w:val="00830A83"/>
    <w:rsid w:val="00835808"/>
    <w:rsid w:val="00836E21"/>
    <w:rsid w:val="008428D5"/>
    <w:rsid w:val="00844602"/>
    <w:rsid w:val="00844F2D"/>
    <w:rsid w:val="00845AF5"/>
    <w:rsid w:val="0085174C"/>
    <w:rsid w:val="008640D8"/>
    <w:rsid w:val="00866A71"/>
    <w:rsid w:val="0086743F"/>
    <w:rsid w:val="00871A3B"/>
    <w:rsid w:val="008723D7"/>
    <w:rsid w:val="008727AC"/>
    <w:rsid w:val="00881349"/>
    <w:rsid w:val="008844F0"/>
    <w:rsid w:val="00884B77"/>
    <w:rsid w:val="0088667A"/>
    <w:rsid w:val="008879C5"/>
    <w:rsid w:val="008902B3"/>
    <w:rsid w:val="00890638"/>
    <w:rsid w:val="0089205C"/>
    <w:rsid w:val="00893A31"/>
    <w:rsid w:val="00894278"/>
    <w:rsid w:val="008965B3"/>
    <w:rsid w:val="008A005C"/>
    <w:rsid w:val="008A05A0"/>
    <w:rsid w:val="008A1BDF"/>
    <w:rsid w:val="008A3516"/>
    <w:rsid w:val="008A7145"/>
    <w:rsid w:val="008A7847"/>
    <w:rsid w:val="008A7B3B"/>
    <w:rsid w:val="008B0117"/>
    <w:rsid w:val="008B3FCE"/>
    <w:rsid w:val="008B4B17"/>
    <w:rsid w:val="008B7604"/>
    <w:rsid w:val="008C2657"/>
    <w:rsid w:val="008C2C6E"/>
    <w:rsid w:val="008C38FB"/>
    <w:rsid w:val="008C6585"/>
    <w:rsid w:val="008D121F"/>
    <w:rsid w:val="008D1F0A"/>
    <w:rsid w:val="008D6579"/>
    <w:rsid w:val="008D7952"/>
    <w:rsid w:val="008E0009"/>
    <w:rsid w:val="008E0FB9"/>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1503"/>
    <w:rsid w:val="00932431"/>
    <w:rsid w:val="00936C43"/>
    <w:rsid w:val="0094519E"/>
    <w:rsid w:val="0094570D"/>
    <w:rsid w:val="00946A6B"/>
    <w:rsid w:val="00947B88"/>
    <w:rsid w:val="00950F66"/>
    <w:rsid w:val="00970F2F"/>
    <w:rsid w:val="00971DD0"/>
    <w:rsid w:val="0098041D"/>
    <w:rsid w:val="00982B28"/>
    <w:rsid w:val="009844C4"/>
    <w:rsid w:val="00987334"/>
    <w:rsid w:val="0099183D"/>
    <w:rsid w:val="009A6AB2"/>
    <w:rsid w:val="009A7E2E"/>
    <w:rsid w:val="009B219C"/>
    <w:rsid w:val="009B265D"/>
    <w:rsid w:val="009B59E6"/>
    <w:rsid w:val="009C02F9"/>
    <w:rsid w:val="009C0FB0"/>
    <w:rsid w:val="009C1262"/>
    <w:rsid w:val="009D2A35"/>
    <w:rsid w:val="009D435C"/>
    <w:rsid w:val="009D72AF"/>
    <w:rsid w:val="009D7BE3"/>
    <w:rsid w:val="009E5218"/>
    <w:rsid w:val="009F0F3F"/>
    <w:rsid w:val="009F2379"/>
    <w:rsid w:val="009F23CC"/>
    <w:rsid w:val="009F2A7F"/>
    <w:rsid w:val="009F4BA4"/>
    <w:rsid w:val="00A003A7"/>
    <w:rsid w:val="00A01685"/>
    <w:rsid w:val="00A04255"/>
    <w:rsid w:val="00A072EC"/>
    <w:rsid w:val="00A110DC"/>
    <w:rsid w:val="00A127B8"/>
    <w:rsid w:val="00A15282"/>
    <w:rsid w:val="00A20F0F"/>
    <w:rsid w:val="00A21595"/>
    <w:rsid w:val="00A2771E"/>
    <w:rsid w:val="00A316B4"/>
    <w:rsid w:val="00A3524B"/>
    <w:rsid w:val="00A40316"/>
    <w:rsid w:val="00A40D50"/>
    <w:rsid w:val="00A46E01"/>
    <w:rsid w:val="00A57A03"/>
    <w:rsid w:val="00A60B8B"/>
    <w:rsid w:val="00A63C0E"/>
    <w:rsid w:val="00A70685"/>
    <w:rsid w:val="00A70EA9"/>
    <w:rsid w:val="00A75D58"/>
    <w:rsid w:val="00A81525"/>
    <w:rsid w:val="00A87B37"/>
    <w:rsid w:val="00AA1741"/>
    <w:rsid w:val="00AA2AA1"/>
    <w:rsid w:val="00AA3850"/>
    <w:rsid w:val="00AA675C"/>
    <w:rsid w:val="00AB0D02"/>
    <w:rsid w:val="00AB16F6"/>
    <w:rsid w:val="00AB1E7E"/>
    <w:rsid w:val="00AB4EC5"/>
    <w:rsid w:val="00AC109B"/>
    <w:rsid w:val="00AD2B69"/>
    <w:rsid w:val="00AD4226"/>
    <w:rsid w:val="00AD4A97"/>
    <w:rsid w:val="00AE02F8"/>
    <w:rsid w:val="00AE0D1F"/>
    <w:rsid w:val="00AE267E"/>
    <w:rsid w:val="00AE5722"/>
    <w:rsid w:val="00AF1D8A"/>
    <w:rsid w:val="00AF2E22"/>
    <w:rsid w:val="00AF59DF"/>
    <w:rsid w:val="00AF7270"/>
    <w:rsid w:val="00B0546C"/>
    <w:rsid w:val="00B1730A"/>
    <w:rsid w:val="00B2644E"/>
    <w:rsid w:val="00B401D7"/>
    <w:rsid w:val="00B45721"/>
    <w:rsid w:val="00B50178"/>
    <w:rsid w:val="00B54EFA"/>
    <w:rsid w:val="00B57938"/>
    <w:rsid w:val="00B6230E"/>
    <w:rsid w:val="00B649FF"/>
    <w:rsid w:val="00B70DF9"/>
    <w:rsid w:val="00B75784"/>
    <w:rsid w:val="00B806E0"/>
    <w:rsid w:val="00B80788"/>
    <w:rsid w:val="00B83C82"/>
    <w:rsid w:val="00B84E55"/>
    <w:rsid w:val="00B85872"/>
    <w:rsid w:val="00B91118"/>
    <w:rsid w:val="00B91354"/>
    <w:rsid w:val="00B91595"/>
    <w:rsid w:val="00B95782"/>
    <w:rsid w:val="00B97C38"/>
    <w:rsid w:val="00BA68E5"/>
    <w:rsid w:val="00BA7184"/>
    <w:rsid w:val="00BB033E"/>
    <w:rsid w:val="00BB078D"/>
    <w:rsid w:val="00BB4F22"/>
    <w:rsid w:val="00BB66E7"/>
    <w:rsid w:val="00BD24D2"/>
    <w:rsid w:val="00BD29D6"/>
    <w:rsid w:val="00BD2EA5"/>
    <w:rsid w:val="00BD4D2E"/>
    <w:rsid w:val="00BE163C"/>
    <w:rsid w:val="00BF4361"/>
    <w:rsid w:val="00C071FC"/>
    <w:rsid w:val="00C07304"/>
    <w:rsid w:val="00C1139F"/>
    <w:rsid w:val="00C11EBC"/>
    <w:rsid w:val="00C13C07"/>
    <w:rsid w:val="00C179D8"/>
    <w:rsid w:val="00C2072C"/>
    <w:rsid w:val="00C248E1"/>
    <w:rsid w:val="00C2583B"/>
    <w:rsid w:val="00C3085B"/>
    <w:rsid w:val="00C33D7D"/>
    <w:rsid w:val="00C340B0"/>
    <w:rsid w:val="00C37E31"/>
    <w:rsid w:val="00C40ACD"/>
    <w:rsid w:val="00C40F56"/>
    <w:rsid w:val="00C4180C"/>
    <w:rsid w:val="00C449F3"/>
    <w:rsid w:val="00C44A32"/>
    <w:rsid w:val="00C46632"/>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570A"/>
    <w:rsid w:val="00CA216B"/>
    <w:rsid w:val="00CA5C5B"/>
    <w:rsid w:val="00CB18BC"/>
    <w:rsid w:val="00CB4980"/>
    <w:rsid w:val="00CB5774"/>
    <w:rsid w:val="00CD1688"/>
    <w:rsid w:val="00CD1A13"/>
    <w:rsid w:val="00CD2533"/>
    <w:rsid w:val="00CE2B4B"/>
    <w:rsid w:val="00CE58BA"/>
    <w:rsid w:val="00CE5FD8"/>
    <w:rsid w:val="00CE7F8E"/>
    <w:rsid w:val="00CF4B0A"/>
    <w:rsid w:val="00D00AB9"/>
    <w:rsid w:val="00D00D3B"/>
    <w:rsid w:val="00D05D39"/>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51B77"/>
    <w:rsid w:val="00D56F4E"/>
    <w:rsid w:val="00D60F86"/>
    <w:rsid w:val="00D631E8"/>
    <w:rsid w:val="00D67621"/>
    <w:rsid w:val="00D716D8"/>
    <w:rsid w:val="00D76B0C"/>
    <w:rsid w:val="00D82751"/>
    <w:rsid w:val="00D91527"/>
    <w:rsid w:val="00D92392"/>
    <w:rsid w:val="00D930F9"/>
    <w:rsid w:val="00D95623"/>
    <w:rsid w:val="00DA1800"/>
    <w:rsid w:val="00DA2A89"/>
    <w:rsid w:val="00DA5C9A"/>
    <w:rsid w:val="00DA5E0A"/>
    <w:rsid w:val="00DA5FFA"/>
    <w:rsid w:val="00DB5382"/>
    <w:rsid w:val="00DB6FAB"/>
    <w:rsid w:val="00DD0946"/>
    <w:rsid w:val="00DD3CAA"/>
    <w:rsid w:val="00DD4CE9"/>
    <w:rsid w:val="00DD521E"/>
    <w:rsid w:val="00DE1EF9"/>
    <w:rsid w:val="00DE3205"/>
    <w:rsid w:val="00DE4A14"/>
    <w:rsid w:val="00DF2B7B"/>
    <w:rsid w:val="00DF757A"/>
    <w:rsid w:val="00E01A2D"/>
    <w:rsid w:val="00E0449D"/>
    <w:rsid w:val="00E052D4"/>
    <w:rsid w:val="00E0699E"/>
    <w:rsid w:val="00E06C5E"/>
    <w:rsid w:val="00E11B11"/>
    <w:rsid w:val="00E13A92"/>
    <w:rsid w:val="00E21031"/>
    <w:rsid w:val="00E21A74"/>
    <w:rsid w:val="00E254B6"/>
    <w:rsid w:val="00E31F8E"/>
    <w:rsid w:val="00E35ACE"/>
    <w:rsid w:val="00E41D27"/>
    <w:rsid w:val="00E4555E"/>
    <w:rsid w:val="00E56313"/>
    <w:rsid w:val="00E575C9"/>
    <w:rsid w:val="00E57A4B"/>
    <w:rsid w:val="00E57BAA"/>
    <w:rsid w:val="00E61B35"/>
    <w:rsid w:val="00E624AF"/>
    <w:rsid w:val="00E65E40"/>
    <w:rsid w:val="00E746B1"/>
    <w:rsid w:val="00E747B5"/>
    <w:rsid w:val="00E77DC1"/>
    <w:rsid w:val="00E800DE"/>
    <w:rsid w:val="00E82A77"/>
    <w:rsid w:val="00E831CE"/>
    <w:rsid w:val="00E85158"/>
    <w:rsid w:val="00E87A51"/>
    <w:rsid w:val="00E90F7F"/>
    <w:rsid w:val="00E91D21"/>
    <w:rsid w:val="00E925B3"/>
    <w:rsid w:val="00E95952"/>
    <w:rsid w:val="00E96325"/>
    <w:rsid w:val="00E97D73"/>
    <w:rsid w:val="00EA076B"/>
    <w:rsid w:val="00EA28C7"/>
    <w:rsid w:val="00EA4F20"/>
    <w:rsid w:val="00EA5724"/>
    <w:rsid w:val="00EA6B08"/>
    <w:rsid w:val="00EB0585"/>
    <w:rsid w:val="00EB63DE"/>
    <w:rsid w:val="00EC2ECD"/>
    <w:rsid w:val="00EC49AA"/>
    <w:rsid w:val="00EC4F8E"/>
    <w:rsid w:val="00EE0ABE"/>
    <w:rsid w:val="00EE2288"/>
    <w:rsid w:val="00EE45D4"/>
    <w:rsid w:val="00EE54F6"/>
    <w:rsid w:val="00EF139F"/>
    <w:rsid w:val="00EF1538"/>
    <w:rsid w:val="00EF2B36"/>
    <w:rsid w:val="00EF48AC"/>
    <w:rsid w:val="00F06F0E"/>
    <w:rsid w:val="00F16A7C"/>
    <w:rsid w:val="00F21189"/>
    <w:rsid w:val="00F22FFB"/>
    <w:rsid w:val="00F2332E"/>
    <w:rsid w:val="00F349BC"/>
    <w:rsid w:val="00F352EA"/>
    <w:rsid w:val="00F359A5"/>
    <w:rsid w:val="00F36C4C"/>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97479"/>
    <w:rsid w:val="00FA5DEF"/>
    <w:rsid w:val="00FB316E"/>
    <w:rsid w:val="00FB3BC0"/>
    <w:rsid w:val="00FB5065"/>
    <w:rsid w:val="00FB69EA"/>
    <w:rsid w:val="00FC17AE"/>
    <w:rsid w:val="00FC59FA"/>
    <w:rsid w:val="00FD2C08"/>
    <w:rsid w:val="00FD32CF"/>
    <w:rsid w:val="00FD7745"/>
    <w:rsid w:val="00FE27F4"/>
    <w:rsid w:val="00FE66D0"/>
    <w:rsid w:val="00FE7889"/>
    <w:rsid w:val="00FE7D4E"/>
    <w:rsid w:val="00FF3316"/>
    <w:rsid w:val="00FF3ACE"/>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styleId="Caption">
    <w:name w:val="caption"/>
    <w:basedOn w:val="Normal"/>
    <w:next w:val="Normal"/>
    <w:uiPriority w:val="35"/>
    <w:unhideWhenUsed/>
    <w:qFormat/>
    <w:rsid w:val="00122F9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BDF7E8-A1DC-4840-A153-C2E1A9C8D60B}">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3E8E-EA89-4251-9D83-0ED48E54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Pages>
  <Words>6035</Words>
  <Characters>34404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4</cp:revision>
  <dcterms:created xsi:type="dcterms:W3CDTF">2021-01-12T21:19:00Z</dcterms:created>
  <dcterms:modified xsi:type="dcterms:W3CDTF">2021-02-02T21:45:00Z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documentId_3357</vt:lpwstr>
  </property>
  <property fmtid="{D5CDD505-2E9C-101B-9397-08002B2CF9AE}" pid="3" name="grammarly_documentContext">
    <vt:lpwstr>{"goals":[],"domain":"general","emotions":[],"dialect":"american"}</vt:lpwstr>
  </property>
</Properties>
</file>