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4ADD" w:rsidRPr="007E39E1" w:rsidP="00244ADD" w14:paraId="4B00D08E" w14:textId="7777777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r w:rsidRPr="007E39E1">
        <w:rPr>
          <w:rFonts w:ascii="Courier New" w:hAnsi="Courier New" w:cs="Courier New"/>
          <w:b/>
          <w:sz w:val="24"/>
          <w:szCs w:val="24"/>
        </w:rPr>
        <w:t>Surveillance of HIV-related service barriers among Individuals with Early or Late HIV Diagnoses (SHIELD)</w:t>
      </w:r>
    </w:p>
    <w:p w:rsidR="00441B89" w:rsidRPr="00A41409" w:rsidP="00441B89" w14:paraId="689A9C30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41409">
        <w:rPr>
          <w:rFonts w:ascii="Courier New" w:hAnsi="Courier New" w:cs="Courier New"/>
          <w:b/>
          <w:sz w:val="24"/>
          <w:szCs w:val="24"/>
        </w:rPr>
        <w:t>OMB No. 0920-</w:t>
      </w:r>
      <w:r w:rsidRPr="00A41409">
        <w:rPr>
          <w:rFonts w:ascii="Courier New" w:hAnsi="Courier New" w:cs="Courier New"/>
          <w:b/>
          <w:sz w:val="24"/>
          <w:szCs w:val="24"/>
        </w:rPr>
        <w:t xml:space="preserve">1402 </w:t>
      </w:r>
      <w:sdt>
        <w:sdtPr>
          <w:rPr>
            <w:rFonts w:ascii="Courier New" w:hAnsi="Courier New" w:cs="Courier New"/>
            <w:b/>
            <w:sz w:val="24"/>
            <w:szCs w:val="24"/>
          </w:rPr>
          <w:alias w:val="OMB epiration date if applicable"/>
          <w:tag w:val="Expire"/>
          <w:id w:val="846829046"/>
          <w:placeholder>
            <w:docPart w:val="3B614416B89D42B482DF9D534175F9C2"/>
          </w:placeholder>
          <w:richText/>
        </w:sdtPr>
        <w:sdtContent>
          <w:r w:rsidRPr="00A41409">
            <w:rPr>
              <w:rFonts w:ascii="Courier New" w:hAnsi="Courier New" w:cs="Courier New"/>
              <w:b/>
              <w:sz w:val="24"/>
              <w:szCs w:val="24"/>
            </w:rPr>
            <w:t>OMB Expiration 05.31.2026</w:t>
          </w:r>
        </w:sdtContent>
      </w:sdt>
    </w:p>
    <w:p w:rsidR="00244ADD" w:rsidRPr="000B66DC" w:rsidP="00244ADD" w14:paraId="794DAA01" w14:textId="0E66DF71">
      <w:pPr>
        <w:jc w:val="center"/>
        <w:rPr>
          <w:rFonts w:ascii="Courier New" w:hAnsi="Courier New" w:cs="Courier New"/>
          <w:b/>
        </w:rPr>
      </w:pPr>
    </w:p>
    <w:p w:rsidR="00244ADD" w:rsidRPr="007E39E1" w:rsidP="00244ADD" w14:paraId="337FE11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4BEA615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244ADD" w:rsidRPr="007E39E1" w:rsidP="00244ADD" w14:paraId="79A5B68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244ADD" w:rsidRPr="007E39E1" w:rsidP="00244ADD" w14:paraId="6558240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244ADD" w:rsidRPr="007E39E1" w:rsidP="00244ADD" w14:paraId="016BB37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244ADD" w:rsidRPr="007E39E1" w:rsidP="00244ADD" w14:paraId="1BD053D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244ADD" w:rsidP="00244ADD" w14:paraId="39F48FD9" w14:textId="46321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244ADD">
        <w:rPr>
          <w:rFonts w:ascii="Courier New" w:eastAsia="Times New Roman" w:hAnsi="Courier New" w:cs="Courier New"/>
          <w:b/>
          <w:bCs/>
          <w:sz w:val="24"/>
          <w:szCs w:val="24"/>
        </w:rPr>
        <w:t>Attachment 3. References</w:t>
      </w:r>
    </w:p>
    <w:p w:rsidR="00244ADD" w:rsidRPr="007E39E1" w:rsidP="00244ADD" w14:paraId="763F5C4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77C3C2E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2C18A08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177F169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0192527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6573184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0B77C66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0D02EB2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4403340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49F068C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26F091E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76193AA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40ED0C2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60F870E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361089B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7E39E1">
        <w:rPr>
          <w:rFonts w:ascii="Courier New" w:eastAsia="Times New Roman" w:hAnsi="Courier New" w:cs="Courier New"/>
          <w:b/>
          <w:sz w:val="24"/>
          <w:szCs w:val="24"/>
        </w:rPr>
        <w:t>Project Officer:</w:t>
      </w:r>
    </w:p>
    <w:p w:rsidR="00244ADD" w:rsidRPr="007E39E1" w:rsidP="00244ADD" w14:paraId="337F061F" w14:textId="4454F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Toria Reaves</w:t>
      </w:r>
      <w:r w:rsidRPr="007E39E1">
        <w:rPr>
          <w:rFonts w:ascii="Courier New" w:eastAsia="Times New Roman" w:hAnsi="Courier New" w:cs="Courier New"/>
          <w:sz w:val="24"/>
          <w:szCs w:val="24"/>
        </w:rPr>
        <w:t>, MPH</w:t>
      </w:r>
    </w:p>
    <w:p w:rsidR="00244ADD" w:rsidRPr="007E39E1" w:rsidP="00244ADD" w14:paraId="2B1A9D4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Epidemiologist </w:t>
      </w:r>
    </w:p>
    <w:p w:rsidR="00244ADD" w:rsidRPr="007E39E1" w:rsidP="00244ADD" w14:paraId="37110B6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Behavioral and Clinical Surveillance Branch</w:t>
      </w:r>
    </w:p>
    <w:p w:rsidR="00244ADD" w:rsidRPr="007E39E1" w:rsidP="00244ADD" w14:paraId="23EF615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 National Center for HIV, Hepatitis, STD and TB Prevention</w:t>
      </w:r>
    </w:p>
    <w:p w:rsidR="00244ADD" w:rsidRPr="007E39E1" w:rsidP="00244ADD" w14:paraId="3176D25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Coordinating Center for Infectious Diseases</w:t>
      </w:r>
    </w:p>
    <w:p w:rsidR="00244ADD" w:rsidRPr="007E39E1" w:rsidP="00244ADD" w14:paraId="366F941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Centers for Disease Control and Prevention</w:t>
      </w:r>
    </w:p>
    <w:p w:rsidR="00244ADD" w:rsidRPr="007E39E1" w:rsidP="00244ADD" w14:paraId="719028D0" w14:textId="05CB6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1600 Clifton Rd, NE, MS </w:t>
      </w:r>
      <w:r>
        <w:rPr>
          <w:rFonts w:ascii="Courier New" w:eastAsia="Times New Roman" w:hAnsi="Courier New" w:cs="Courier New"/>
          <w:sz w:val="24"/>
          <w:szCs w:val="24"/>
        </w:rPr>
        <w:t>US8-4</w:t>
      </w:r>
    </w:p>
    <w:p w:rsidR="00244ADD" w:rsidRPr="007E39E1" w:rsidP="00244ADD" w14:paraId="427AAF32" w14:textId="17A73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Atlanta, Georgia 303</w:t>
      </w:r>
      <w:r>
        <w:rPr>
          <w:rFonts w:ascii="Courier New" w:eastAsia="Times New Roman" w:hAnsi="Courier New" w:cs="Courier New"/>
          <w:sz w:val="24"/>
          <w:szCs w:val="24"/>
        </w:rPr>
        <w:t>29</w:t>
      </w:r>
    </w:p>
    <w:p w:rsidR="00244ADD" w:rsidRPr="007E39E1" w:rsidP="00244ADD" w14:paraId="779FDFE9" w14:textId="470F6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Phone: (404) 639-</w:t>
      </w:r>
      <w:r w:rsidR="00662681">
        <w:rPr>
          <w:rFonts w:ascii="Courier New" w:eastAsia="Times New Roman" w:hAnsi="Courier New" w:cs="Courier New"/>
          <w:sz w:val="24"/>
          <w:szCs w:val="24"/>
        </w:rPr>
        <w:t>6423</w:t>
      </w:r>
    </w:p>
    <w:p w:rsidR="00244ADD" w:rsidP="00244ADD" w14:paraId="4B5DEA2D" w14:textId="6722D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E-mail: </w:t>
      </w:r>
      <w:hyperlink r:id="rId4" w:history="1">
        <w:r w:rsidRPr="00FD7152" w:rsidR="00662681">
          <w:rPr>
            <w:rStyle w:val="Hyperlink"/>
            <w:rFonts w:ascii="Courier New" w:eastAsia="Times New Roman" w:hAnsi="Courier New" w:cs="Courier New"/>
            <w:sz w:val="24"/>
            <w:szCs w:val="24"/>
          </w:rPr>
          <w:t>ryy9@cdc.gov</w:t>
        </w:r>
      </w:hyperlink>
    </w:p>
    <w:p w:rsidR="00244ADD" w:rsidP="00244ADD" w14:paraId="675EC935" w14:textId="4760B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RPr="007E39E1" w:rsidP="00244ADD" w14:paraId="654F8FC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244ADD" w:rsidP="00790BD5" w14:paraId="41686674" w14:textId="5D2F43FC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244ADD" w:rsidP="00790BD5" w14:paraId="794FFE33" w14:textId="0CD7DAB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244ADD" w:rsidP="00790BD5" w14:paraId="18DCA690" w14:textId="7777777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ADD" w:rsidP="00790BD5" w14:paraId="4FEDB55B" w14:textId="23843EDF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REFERENCES</w:t>
      </w:r>
    </w:p>
    <w:p w:rsidR="00244ADD" w:rsidRPr="00244ADD" w:rsidP="00790BD5" w14:paraId="58E36163" w14:textId="7777777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</w:p>
    <w:p w:rsidR="00645F34" w:rsidRPr="00244ADD" w:rsidP="00645F34" w14:paraId="62B21302" w14:textId="27B868CC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>1</w:t>
      </w:r>
      <w:r w:rsidRPr="00244ADD" w:rsidR="008C1A97">
        <w:rPr>
          <w:rFonts w:ascii="Courier New" w:hAnsi="Courier New" w:cs="Courier New"/>
          <w:sz w:val="24"/>
          <w:szCs w:val="24"/>
        </w:rPr>
        <w:t>.</w:t>
      </w:r>
      <w:r w:rsidRPr="00244ADD">
        <w:rPr>
          <w:rFonts w:ascii="Courier New" w:hAnsi="Courier New" w:cs="Courier New"/>
          <w:sz w:val="24"/>
          <w:szCs w:val="24"/>
        </w:rPr>
        <w:t xml:space="preserve"> Centers for Disease Control and Prevention. </w:t>
      </w:r>
      <w:r w:rsidRPr="00244ADD">
        <w:rPr>
          <w:rFonts w:ascii="Courier New" w:hAnsi="Courier New" w:cs="Courier New"/>
          <w:i/>
          <w:iCs/>
          <w:sz w:val="24"/>
          <w:szCs w:val="24"/>
        </w:rPr>
        <w:t xml:space="preserve">HIV Surveillance Report, </w:t>
      </w:r>
      <w:r w:rsidRPr="00244ADD">
        <w:rPr>
          <w:rFonts w:ascii="Courier New" w:hAnsi="Courier New" w:cs="Courier New"/>
          <w:sz w:val="24"/>
          <w:szCs w:val="24"/>
        </w:rPr>
        <w:t>20</w:t>
      </w:r>
      <w:r w:rsidRPr="00244ADD" w:rsidR="00417D96">
        <w:rPr>
          <w:rFonts w:ascii="Courier New" w:hAnsi="Courier New" w:cs="Courier New"/>
          <w:sz w:val="24"/>
          <w:szCs w:val="24"/>
        </w:rPr>
        <w:t>20</w:t>
      </w:r>
      <w:r w:rsidRPr="00244ADD">
        <w:rPr>
          <w:rFonts w:ascii="Courier New" w:hAnsi="Courier New" w:cs="Courier New"/>
          <w:sz w:val="24"/>
          <w:szCs w:val="24"/>
        </w:rPr>
        <w:t>; vol. 3</w:t>
      </w:r>
      <w:r w:rsidRPr="00244ADD" w:rsidR="00417D96">
        <w:rPr>
          <w:rFonts w:ascii="Courier New" w:hAnsi="Courier New" w:cs="Courier New"/>
          <w:sz w:val="24"/>
          <w:szCs w:val="24"/>
        </w:rPr>
        <w:t>3</w:t>
      </w:r>
      <w:r w:rsidRPr="00244ADD">
        <w:rPr>
          <w:rFonts w:ascii="Courier New" w:hAnsi="Courier New" w:cs="Courier New"/>
          <w:sz w:val="24"/>
          <w:szCs w:val="24"/>
        </w:rPr>
        <w:t xml:space="preserve">. </w:t>
      </w:r>
      <w:hyperlink r:id="rId11" w:tgtFrame="_blank" w:history="1">
        <w:r w:rsidRPr="00244ADD">
          <w:rPr>
            <w:rStyle w:val="Hyperlink"/>
            <w:rFonts w:ascii="Courier New" w:hAnsi="Courier New" w:cs="Courier New"/>
            <w:sz w:val="24"/>
            <w:szCs w:val="24"/>
          </w:rPr>
          <w:t>http://www.cdc.gov/hiv/library/reports/hiv-surveillance.html</w:t>
        </w:r>
      </w:hyperlink>
      <w:r w:rsidRPr="00244ADD">
        <w:rPr>
          <w:rFonts w:ascii="Courier New" w:hAnsi="Courier New" w:cs="Courier New"/>
          <w:sz w:val="24"/>
          <w:szCs w:val="24"/>
        </w:rPr>
        <w:t>. Published May 202</w:t>
      </w:r>
      <w:r w:rsidRPr="00244ADD" w:rsidR="00417D96">
        <w:rPr>
          <w:rFonts w:ascii="Courier New" w:hAnsi="Courier New" w:cs="Courier New"/>
          <w:sz w:val="24"/>
          <w:szCs w:val="24"/>
        </w:rPr>
        <w:t>2</w:t>
      </w:r>
      <w:r w:rsidRPr="00244ADD">
        <w:rPr>
          <w:rFonts w:ascii="Courier New" w:hAnsi="Courier New" w:cs="Courier New"/>
          <w:sz w:val="24"/>
          <w:szCs w:val="24"/>
        </w:rPr>
        <w:t xml:space="preserve">. Accessed </w:t>
      </w:r>
      <w:r w:rsidRPr="00244ADD" w:rsidR="00DB6858">
        <w:rPr>
          <w:rFonts w:ascii="Courier New" w:hAnsi="Courier New" w:cs="Courier New"/>
          <w:sz w:val="24"/>
          <w:szCs w:val="24"/>
        </w:rPr>
        <w:t>November 22, 2022</w:t>
      </w:r>
      <w:r w:rsidRPr="00244ADD">
        <w:rPr>
          <w:rFonts w:ascii="Courier New" w:hAnsi="Courier New" w:cs="Courier New"/>
          <w:sz w:val="24"/>
          <w:szCs w:val="24"/>
        </w:rPr>
        <w:t>. </w:t>
      </w:r>
    </w:p>
    <w:p w:rsidR="00417D96" w:rsidRPr="00244ADD" w:rsidP="00417D96" w14:paraId="6C8B99EB" w14:textId="77777777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2. Centers for Disease Control and Prevention. Monitoring selected national HIV prevention and care objectives by using HIV surveillance data—United States and 6 dependent areas, 2020. HIV Surveillance Supplemental Report 2022;27(No. 3). Revised edition. </w:t>
      </w:r>
      <w:hyperlink r:id="rId11" w:history="1">
        <w:r w:rsidRPr="00244ADD">
          <w:rPr>
            <w:rStyle w:val="Hyperlink"/>
            <w:rFonts w:ascii="Courier New" w:hAnsi="Courier New" w:cs="Courier New"/>
            <w:sz w:val="24"/>
            <w:szCs w:val="24"/>
          </w:rPr>
          <w:t>http://www.cdc.gov/hiv/library/reports/hiv-surveillance.html</w:t>
        </w:r>
      </w:hyperlink>
      <w:r w:rsidRPr="00244ADD">
        <w:rPr>
          <w:rFonts w:ascii="Courier New" w:hAnsi="Courier New" w:cs="Courier New"/>
          <w:sz w:val="24"/>
          <w:szCs w:val="24"/>
        </w:rPr>
        <w:t>. Published August 2022. Accessed November 22, 2022. </w:t>
      </w:r>
    </w:p>
    <w:p w:rsidR="00645F34" w:rsidRPr="00244ADD" w:rsidP="00645F34" w14:paraId="68D98786" w14:textId="228C78DB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3. Centers for Disease Control and Prevention. Revised surveillance case definition for HIV infection — United States, 2014. </w:t>
      </w:r>
      <w:r w:rsidRPr="00244ADD">
        <w:rPr>
          <w:rFonts w:ascii="Courier New" w:hAnsi="Courier New" w:cs="Courier New"/>
          <w:i/>
          <w:iCs/>
          <w:sz w:val="24"/>
          <w:szCs w:val="24"/>
        </w:rPr>
        <w:t xml:space="preserve">MMWR </w:t>
      </w:r>
      <w:r w:rsidRPr="00244ADD">
        <w:rPr>
          <w:rFonts w:ascii="Courier New" w:hAnsi="Courier New" w:cs="Courier New"/>
          <w:i/>
          <w:iCs/>
          <w:sz w:val="24"/>
          <w:szCs w:val="24"/>
        </w:rPr>
        <w:t>Recomm</w:t>
      </w:r>
      <w:r w:rsidRPr="00244ADD">
        <w:rPr>
          <w:rFonts w:ascii="Courier New" w:hAnsi="Courier New" w:cs="Courier New"/>
          <w:i/>
          <w:iCs/>
          <w:sz w:val="24"/>
          <w:szCs w:val="24"/>
        </w:rPr>
        <w:t xml:space="preserve"> Rep</w:t>
      </w:r>
      <w:r w:rsidRPr="00244ADD">
        <w:rPr>
          <w:rFonts w:ascii="Courier New" w:hAnsi="Courier New" w:cs="Courier New"/>
          <w:sz w:val="24"/>
          <w:szCs w:val="24"/>
        </w:rPr>
        <w:t xml:space="preserve"> 2014; 63(RR-03):1-10. </w:t>
      </w:r>
    </w:p>
    <w:p w:rsidR="00645F34" w:rsidRPr="00244ADD" w:rsidP="00645F34" w14:paraId="00063C4B" w14:textId="5C047434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4. Fauci AS, Redfield RR, </w:t>
      </w:r>
      <w:r w:rsidRPr="00244ADD">
        <w:rPr>
          <w:rFonts w:ascii="Courier New" w:hAnsi="Courier New" w:cs="Courier New"/>
          <w:sz w:val="24"/>
          <w:szCs w:val="24"/>
        </w:rPr>
        <w:t>Sigounas</w:t>
      </w:r>
      <w:r w:rsidRPr="00244ADD">
        <w:rPr>
          <w:rFonts w:ascii="Courier New" w:hAnsi="Courier New" w:cs="Courier New"/>
          <w:sz w:val="24"/>
          <w:szCs w:val="24"/>
        </w:rPr>
        <w:t xml:space="preserve"> G, et al. Ending the HIV epidemic: A plan for the United States. </w:t>
      </w:r>
      <w:r w:rsidRPr="00244ADD">
        <w:rPr>
          <w:rFonts w:ascii="Courier New" w:hAnsi="Courier New" w:cs="Courier New"/>
          <w:i/>
          <w:iCs/>
          <w:sz w:val="24"/>
          <w:szCs w:val="24"/>
        </w:rPr>
        <w:t>JAMA</w:t>
      </w:r>
      <w:r w:rsidRPr="00244ADD">
        <w:rPr>
          <w:rFonts w:ascii="Courier New" w:hAnsi="Courier New" w:cs="Courier New"/>
          <w:sz w:val="24"/>
          <w:szCs w:val="24"/>
        </w:rPr>
        <w:t xml:space="preserve"> 2019; 321(9): 844- </w:t>
      </w:r>
    </w:p>
    <w:p w:rsidR="00244ADD" w:rsidRPr="00244ADD" w:rsidP="00244ADD" w14:paraId="0ECFF051" w14:textId="31EAE042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5. Centers for Disease Control and Prevention. Estimated HIV incidence and prevalence in the United States, 2015–2019. </w:t>
      </w:r>
      <w:r w:rsidRPr="00244ADD">
        <w:rPr>
          <w:rFonts w:ascii="Courier New" w:hAnsi="Courier New" w:cs="Courier New"/>
          <w:i/>
          <w:iCs/>
          <w:sz w:val="24"/>
          <w:szCs w:val="24"/>
        </w:rPr>
        <w:t>HIV Surveillance Supplemental Report</w:t>
      </w:r>
      <w:r w:rsidRPr="00244ADD">
        <w:rPr>
          <w:rFonts w:ascii="Courier New" w:hAnsi="Courier New" w:cs="Courier New"/>
          <w:sz w:val="24"/>
          <w:szCs w:val="24"/>
        </w:rPr>
        <w:t xml:space="preserve"> 2021;26(No. 1). </w:t>
      </w:r>
      <w:hyperlink r:id="rId11" w:tgtFrame="_blank" w:history="1">
        <w:r w:rsidRPr="00244ADD">
          <w:rPr>
            <w:rStyle w:val="Hyperlink"/>
            <w:rFonts w:ascii="Courier New" w:hAnsi="Courier New" w:cs="Courier New"/>
            <w:sz w:val="24"/>
            <w:szCs w:val="24"/>
          </w:rPr>
          <w:t>http://www.cdc.gov/hiv/library/reports/hiv-surveillance.html</w:t>
        </w:r>
      </w:hyperlink>
      <w:r w:rsidRPr="00244ADD">
        <w:rPr>
          <w:rFonts w:ascii="Courier New" w:hAnsi="Courier New" w:cs="Courier New"/>
          <w:sz w:val="24"/>
          <w:szCs w:val="24"/>
        </w:rPr>
        <w:t xml:space="preserve">. Published May 2021. </w:t>
      </w:r>
      <w:r w:rsidRPr="00244ADD">
        <w:rPr>
          <w:rFonts w:ascii="Courier New" w:hAnsi="Courier New" w:cs="Courier New"/>
          <w:sz w:val="24"/>
          <w:szCs w:val="24"/>
        </w:rPr>
        <w:t>Accessed November 22, 2022. </w:t>
      </w:r>
    </w:p>
    <w:p w:rsidR="00645F34" w:rsidRPr="00244ADD" w:rsidP="00645F34" w14:paraId="122CD5B7" w14:textId="7EF2E6AA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6. </w:t>
      </w:r>
      <w:r w:rsidRPr="00244ADD">
        <w:rPr>
          <w:rFonts w:ascii="Courier New" w:hAnsi="Courier New" w:cs="Courier New"/>
          <w:sz w:val="24"/>
          <w:szCs w:val="24"/>
        </w:rPr>
        <w:t>Gopalappa</w:t>
      </w:r>
      <w:r w:rsidRPr="00244ADD">
        <w:rPr>
          <w:rFonts w:ascii="Courier New" w:hAnsi="Courier New" w:cs="Courier New"/>
          <w:sz w:val="24"/>
          <w:szCs w:val="24"/>
        </w:rPr>
        <w:t xml:space="preserve"> C, Farnham PG, Chen YH, Sansom SL. Progression and transmission of HIV/AIDS (PATH 2.0). </w:t>
      </w:r>
      <w:r w:rsidRPr="00244ADD">
        <w:rPr>
          <w:rFonts w:ascii="Courier New" w:hAnsi="Courier New" w:cs="Courier New"/>
          <w:i/>
          <w:iCs/>
          <w:sz w:val="24"/>
          <w:szCs w:val="24"/>
        </w:rPr>
        <w:t xml:space="preserve">Med </w:t>
      </w:r>
      <w:r w:rsidRPr="00244ADD">
        <w:rPr>
          <w:rFonts w:ascii="Courier New" w:hAnsi="Courier New" w:cs="Courier New"/>
          <w:i/>
          <w:iCs/>
          <w:sz w:val="24"/>
          <w:szCs w:val="24"/>
        </w:rPr>
        <w:t>Decis</w:t>
      </w:r>
      <w:r w:rsidRPr="00244ADD">
        <w:rPr>
          <w:rFonts w:ascii="Courier New" w:hAnsi="Courier New" w:cs="Courier New"/>
          <w:i/>
          <w:iCs/>
          <w:sz w:val="24"/>
          <w:szCs w:val="24"/>
        </w:rPr>
        <w:t xml:space="preserve"> Making</w:t>
      </w:r>
      <w:r w:rsidRPr="00244ADD">
        <w:rPr>
          <w:rFonts w:ascii="Courier New" w:hAnsi="Courier New" w:cs="Courier New"/>
          <w:sz w:val="24"/>
          <w:szCs w:val="24"/>
        </w:rPr>
        <w:t xml:space="preserve"> 2017; 37: 224-33 </w:t>
      </w:r>
    </w:p>
    <w:p w:rsidR="00645F34" w:rsidRPr="00244ADD" w:rsidP="00645F34" w14:paraId="5D0F7604" w14:textId="1CC862B2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7. </w:t>
      </w:r>
      <w:r w:rsidRPr="00244ADD">
        <w:rPr>
          <w:rFonts w:ascii="Courier New" w:hAnsi="Courier New" w:cs="Courier New"/>
          <w:sz w:val="24"/>
          <w:szCs w:val="24"/>
        </w:rPr>
        <w:t>Abreu, D. A., &amp; Winters, F. (1999). Using monetary incentives to reduce attrition in the survey of income and program participation. Proceedings of the Survey Research Methods Section of the American Statistical Association. </w:t>
      </w:r>
    </w:p>
    <w:p w:rsidR="00645F34" w:rsidRPr="00244ADD" w:rsidP="00645F34" w14:paraId="352F5B8F" w14:textId="7B68650D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>8</w:t>
      </w:r>
      <w:r w:rsidRPr="00244ADD">
        <w:rPr>
          <w:rFonts w:ascii="Courier New" w:hAnsi="Courier New" w:cs="Courier New"/>
          <w:sz w:val="24"/>
          <w:szCs w:val="24"/>
        </w:rPr>
        <w:t xml:space="preserve">. </w:t>
      </w:r>
      <w:r w:rsidRPr="00244ADD">
        <w:rPr>
          <w:rFonts w:ascii="Courier New" w:hAnsi="Courier New" w:cs="Courier New"/>
          <w:sz w:val="24"/>
          <w:szCs w:val="24"/>
        </w:rPr>
        <w:t>Shettle</w:t>
      </w:r>
      <w:r w:rsidRPr="00244ADD">
        <w:rPr>
          <w:rFonts w:ascii="Courier New" w:hAnsi="Courier New" w:cs="Courier New"/>
          <w:sz w:val="24"/>
          <w:szCs w:val="24"/>
        </w:rPr>
        <w:t>, C., &amp; Mooney, G. (1999). Monetary incentives in US government surveys. Journal of Official Statistics, 15, 231–250. </w:t>
      </w:r>
    </w:p>
    <w:p w:rsidR="00645F34" w:rsidRPr="00244ADD" w:rsidP="00645F34" w14:paraId="74D84A33" w14:textId="3B2540D1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>9</w:t>
      </w:r>
      <w:r w:rsidRPr="00244ADD">
        <w:rPr>
          <w:rFonts w:ascii="Courier New" w:hAnsi="Courier New" w:cs="Courier New"/>
          <w:sz w:val="24"/>
          <w:szCs w:val="24"/>
        </w:rPr>
        <w:t xml:space="preserve">. </w:t>
      </w:r>
      <w:r w:rsidRPr="00244ADD">
        <w:rPr>
          <w:rFonts w:ascii="Courier New" w:hAnsi="Courier New" w:cs="Courier New"/>
          <w:sz w:val="24"/>
          <w:szCs w:val="24"/>
        </w:rPr>
        <w:t>Shedlin</w:t>
      </w:r>
      <w:r w:rsidRPr="00244ADD">
        <w:rPr>
          <w:rFonts w:ascii="Courier New" w:hAnsi="Courier New" w:cs="Courier New"/>
          <w:sz w:val="24"/>
          <w:szCs w:val="24"/>
        </w:rPr>
        <w:t xml:space="preserve">, M. G., </w:t>
      </w:r>
      <w:r w:rsidRPr="00244ADD">
        <w:rPr>
          <w:rFonts w:ascii="Courier New" w:hAnsi="Courier New" w:cs="Courier New"/>
          <w:sz w:val="24"/>
          <w:szCs w:val="24"/>
        </w:rPr>
        <w:t>Decena</w:t>
      </w:r>
      <w:r w:rsidRPr="00244ADD">
        <w:rPr>
          <w:rFonts w:ascii="Courier New" w:hAnsi="Courier New" w:cs="Courier New"/>
          <w:sz w:val="24"/>
          <w:szCs w:val="24"/>
        </w:rPr>
        <w:t xml:space="preserve">, C. U., </w:t>
      </w:r>
      <w:r w:rsidRPr="00244ADD">
        <w:rPr>
          <w:rFonts w:ascii="Courier New" w:hAnsi="Courier New" w:cs="Courier New"/>
          <w:sz w:val="24"/>
          <w:szCs w:val="24"/>
        </w:rPr>
        <w:t>Mangadu</w:t>
      </w:r>
      <w:r w:rsidRPr="00244ADD">
        <w:rPr>
          <w:rFonts w:ascii="Courier New" w:hAnsi="Courier New" w:cs="Courier New"/>
          <w:sz w:val="24"/>
          <w:szCs w:val="24"/>
        </w:rPr>
        <w:t>, T., &amp; Martinez, A. (2011). Research respondent recruitment in Hispanic communities: Lessons learned. Journal of Immigrant and Minority Health, 13 (2), 352-360. </w:t>
      </w:r>
    </w:p>
    <w:p w:rsidR="00E11CA8" w:rsidRPr="00244ADD" w:rsidP="00E11CA8" w14:paraId="3277BE99" w14:textId="3BACDD3E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10. Shaw, M. J., Beebe, T. J., Jensen, H. L., &amp; </w:t>
      </w:r>
      <w:r w:rsidRPr="00244ADD">
        <w:rPr>
          <w:rFonts w:ascii="Courier New" w:hAnsi="Courier New" w:cs="Courier New"/>
          <w:sz w:val="24"/>
          <w:szCs w:val="24"/>
        </w:rPr>
        <w:t>Adlis</w:t>
      </w:r>
      <w:r w:rsidRPr="00244ADD">
        <w:rPr>
          <w:rFonts w:ascii="Courier New" w:hAnsi="Courier New" w:cs="Courier New"/>
          <w:sz w:val="24"/>
          <w:szCs w:val="24"/>
        </w:rPr>
        <w:t>, S. A. (2001). The use of monetary incentives in a community survey: impact on response rates, data quality, and cost. Health services research, 35(6), 1339. </w:t>
      </w:r>
    </w:p>
    <w:p w:rsidR="00645F34" w:rsidRPr="00244ADD" w:rsidP="00645F34" w14:paraId="204455FF" w14:textId="15B1595E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>11</w:t>
      </w:r>
      <w:r w:rsidRPr="00244ADD">
        <w:rPr>
          <w:rFonts w:ascii="Courier New" w:hAnsi="Courier New" w:cs="Courier New"/>
          <w:sz w:val="24"/>
          <w:szCs w:val="24"/>
        </w:rPr>
        <w:t xml:space="preserve">. Goodwin, P. Y., Williams, S. W., &amp; Dilworth-Anderson, P. (2006). The role of resources in the emotional health of African American women: Rural and urban comparisons. In R. T. Coward, L.A. Davis, C.H. Gold, H. </w:t>
      </w:r>
      <w:r w:rsidRPr="00244ADD">
        <w:rPr>
          <w:rFonts w:ascii="Courier New" w:hAnsi="Courier New" w:cs="Courier New"/>
          <w:sz w:val="24"/>
          <w:szCs w:val="24"/>
        </w:rPr>
        <w:t>Smiciklas</w:t>
      </w:r>
      <w:r w:rsidRPr="00244ADD">
        <w:rPr>
          <w:rFonts w:ascii="Courier New" w:hAnsi="Courier New" w:cs="Courier New"/>
          <w:sz w:val="24"/>
          <w:szCs w:val="24"/>
        </w:rPr>
        <w:t xml:space="preserve">-Wright, L.E. Thorndyke, &amp; F.W. </w:t>
      </w:r>
      <w:r w:rsidRPr="00244ADD">
        <w:rPr>
          <w:rFonts w:ascii="Courier New" w:hAnsi="Courier New" w:cs="Courier New"/>
          <w:sz w:val="24"/>
          <w:szCs w:val="24"/>
        </w:rPr>
        <w:t>Vondracek</w:t>
      </w:r>
      <w:r w:rsidRPr="00244ADD">
        <w:rPr>
          <w:rFonts w:ascii="Courier New" w:hAnsi="Courier New" w:cs="Courier New"/>
          <w:sz w:val="24"/>
          <w:szCs w:val="24"/>
        </w:rPr>
        <w:t>, (Eds.). Rural women's health: Mental, behavioral, and physical issues (pp. 179 — 196). New York: Springer </w:t>
      </w:r>
    </w:p>
    <w:p w:rsidR="00645F34" w:rsidRPr="00244ADD" w:rsidP="00645F34" w14:paraId="78A3DB38" w14:textId="4BDC963D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>12</w:t>
      </w:r>
      <w:r w:rsidRPr="00244ADD">
        <w:rPr>
          <w:rFonts w:ascii="Courier New" w:hAnsi="Courier New" w:cs="Courier New"/>
          <w:sz w:val="24"/>
          <w:szCs w:val="24"/>
        </w:rPr>
        <w:t>. Yancey, A. K., Ortega, A. N., &amp; Kumanyika, S. K. (2006). Effective recruitment and retention of minority research participants. Annu. Rev. Public Health, 27, 1-28. </w:t>
      </w:r>
    </w:p>
    <w:p w:rsidR="00A0283B" w:rsidP="00645F34" w14:paraId="687C6D63" w14:textId="63532691">
      <w:pPr>
        <w:rPr>
          <w:rFonts w:ascii="Courier New" w:hAnsi="Courier New" w:cs="Courier New"/>
          <w:sz w:val="24"/>
          <w:szCs w:val="24"/>
        </w:rPr>
      </w:pPr>
      <w:r w:rsidRPr="00244ADD">
        <w:rPr>
          <w:rFonts w:ascii="Courier New" w:hAnsi="Courier New" w:cs="Courier New"/>
          <w:sz w:val="24"/>
          <w:szCs w:val="24"/>
        </w:rPr>
        <w:t xml:space="preserve">13. Centers for Disease Control and Prevention. Terms, Definitions, and Calculations Used in CDC HIV Surveillance Publications. </w:t>
      </w:r>
      <w:hyperlink r:id="rId12" w:history="1">
        <w:r w:rsidRPr="00244ADD">
          <w:rPr>
            <w:rStyle w:val="Hyperlink"/>
            <w:rFonts w:ascii="Courier New" w:hAnsi="Courier New" w:cs="Courier New"/>
            <w:sz w:val="24"/>
            <w:szCs w:val="24"/>
          </w:rPr>
          <w:t>https://www.cdc.gov/hiv/statistics/surveillance/terms.html</w:t>
        </w:r>
      </w:hyperlink>
      <w:r w:rsidRPr="00244ADD">
        <w:rPr>
          <w:rFonts w:ascii="Courier New" w:hAnsi="Courier New" w:cs="Courier New"/>
          <w:sz w:val="24"/>
          <w:szCs w:val="24"/>
        </w:rPr>
        <w:t>. Accessed November 22, 2022.</w:t>
      </w:r>
    </w:p>
    <w:p w:rsidR="00411846" w:rsidP="00411846" w14:paraId="07FB6823" w14:textId="36C06E4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14. </w:t>
      </w:r>
      <w:r w:rsidRPr="00411846">
        <w:rPr>
          <w:rFonts w:ascii="Courier New" w:hAnsi="Courier New" w:cs="Courier New"/>
          <w:sz w:val="24"/>
          <w:szCs w:val="24"/>
        </w:rPr>
        <w:t xml:space="preserve">Centers for Disease Control and Prevention. Behavioral and Clinical Characteristics of Persons with Diagnosed HIV </w:t>
      </w:r>
      <w:r>
        <w:rPr>
          <w:rFonts w:ascii="Courier New" w:hAnsi="Courier New" w:cs="Courier New"/>
          <w:sz w:val="24"/>
          <w:szCs w:val="24"/>
        </w:rPr>
        <w:t>i</w:t>
      </w:r>
      <w:r w:rsidRPr="00411846">
        <w:rPr>
          <w:rFonts w:ascii="Courier New" w:hAnsi="Courier New" w:cs="Courier New"/>
          <w:sz w:val="24"/>
          <w:szCs w:val="24"/>
        </w:rPr>
        <w:t>nfection—Medical Monitoring Project, United States, 2019 Cycle (June 2019–May 2020). HIV Surveillance Special Report 28. https://www.cdc.gov/hiv/library/reports/hiv-surveillance.html. Published August 2021.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11846">
        <w:rPr>
          <w:rFonts w:ascii="Courier New" w:hAnsi="Courier New" w:cs="Courier New"/>
          <w:sz w:val="24"/>
          <w:szCs w:val="24"/>
        </w:rPr>
        <w:t xml:space="preserve">Accessed </w:t>
      </w:r>
      <w:r w:rsidRPr="00244ADD">
        <w:rPr>
          <w:rFonts w:ascii="Courier New" w:hAnsi="Courier New" w:cs="Courier New"/>
          <w:sz w:val="24"/>
          <w:szCs w:val="24"/>
        </w:rPr>
        <w:t>November 22, 2022</w:t>
      </w:r>
      <w:r w:rsidRPr="00411846">
        <w:rPr>
          <w:rFonts w:ascii="Courier New" w:hAnsi="Courier New" w:cs="Courier New"/>
          <w:sz w:val="24"/>
          <w:szCs w:val="24"/>
        </w:rPr>
        <w:t>.</w:t>
      </w:r>
    </w:p>
    <w:p w:rsidR="00787C41" w:rsidP="00411846" w14:paraId="0F52B505" w14:textId="2E24CD4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15. </w:t>
      </w:r>
      <w:r w:rsidRPr="00787C41">
        <w:rPr>
          <w:rFonts w:ascii="Courier New" w:hAnsi="Courier New" w:cs="Courier New"/>
          <w:sz w:val="24"/>
          <w:szCs w:val="24"/>
        </w:rPr>
        <w:t xml:space="preserve">Arnold EA, </w:t>
      </w:r>
      <w:r w:rsidRPr="00787C41">
        <w:rPr>
          <w:rFonts w:ascii="Courier New" w:hAnsi="Courier New" w:cs="Courier New"/>
          <w:sz w:val="24"/>
          <w:szCs w:val="24"/>
        </w:rPr>
        <w:t>Rebchook</w:t>
      </w:r>
      <w:r w:rsidRPr="00787C41">
        <w:rPr>
          <w:rFonts w:ascii="Courier New" w:hAnsi="Courier New" w:cs="Courier New"/>
          <w:sz w:val="24"/>
          <w:szCs w:val="24"/>
        </w:rPr>
        <w:t xml:space="preserve"> GM, </w:t>
      </w:r>
      <w:r w:rsidRPr="00787C41">
        <w:rPr>
          <w:rFonts w:ascii="Courier New" w:hAnsi="Courier New" w:cs="Courier New"/>
          <w:sz w:val="24"/>
          <w:szCs w:val="24"/>
        </w:rPr>
        <w:t>Kegeles</w:t>
      </w:r>
      <w:r w:rsidRPr="00787C41">
        <w:rPr>
          <w:rFonts w:ascii="Courier New" w:hAnsi="Courier New" w:cs="Courier New"/>
          <w:sz w:val="24"/>
          <w:szCs w:val="24"/>
        </w:rPr>
        <w:t xml:space="preserve"> SM. 'Triply cursed': racism, homophobia and HIV-related stigma are barriers to regular HIV testing, treatment adherence and disclosure among young Black gay men. Cult Health Sex. 2014 Jun;16(6):710-22. </w:t>
      </w:r>
      <w:r w:rsidRPr="00787C41">
        <w:rPr>
          <w:rFonts w:ascii="Courier New" w:hAnsi="Courier New" w:cs="Courier New"/>
          <w:sz w:val="24"/>
          <w:szCs w:val="24"/>
        </w:rPr>
        <w:t>doi</w:t>
      </w:r>
      <w:r w:rsidRPr="00787C41">
        <w:rPr>
          <w:rFonts w:ascii="Courier New" w:hAnsi="Courier New" w:cs="Courier New"/>
          <w:sz w:val="24"/>
          <w:szCs w:val="24"/>
        </w:rPr>
        <w:t>: 10.1080/13691058.2014.905706</w:t>
      </w:r>
      <w:r>
        <w:rPr>
          <w:rFonts w:ascii="Courier New" w:hAnsi="Courier New" w:cs="Courier New"/>
          <w:sz w:val="24"/>
          <w:szCs w:val="24"/>
        </w:rPr>
        <w:t>.</w:t>
      </w:r>
    </w:p>
    <w:p w:rsidR="00787C41" w:rsidRPr="00244ADD" w:rsidP="00411846" w14:paraId="186E226D" w14:textId="54E3ECB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16. </w:t>
      </w:r>
      <w:r w:rsidRPr="00787C41">
        <w:rPr>
          <w:rFonts w:ascii="Courier New" w:hAnsi="Courier New" w:cs="Courier New"/>
          <w:sz w:val="24"/>
          <w:szCs w:val="24"/>
        </w:rPr>
        <w:t xml:space="preserve">Sheehan DM, </w:t>
      </w:r>
      <w:r w:rsidRPr="00787C41">
        <w:rPr>
          <w:rFonts w:ascii="Courier New" w:hAnsi="Courier New" w:cs="Courier New"/>
          <w:sz w:val="24"/>
          <w:szCs w:val="24"/>
        </w:rPr>
        <w:t>Trepka</w:t>
      </w:r>
      <w:r w:rsidRPr="00787C41">
        <w:rPr>
          <w:rFonts w:ascii="Courier New" w:hAnsi="Courier New" w:cs="Courier New"/>
          <w:sz w:val="24"/>
          <w:szCs w:val="24"/>
        </w:rPr>
        <w:t xml:space="preserve"> MJ, </w:t>
      </w:r>
      <w:r w:rsidRPr="00787C41">
        <w:rPr>
          <w:rFonts w:ascii="Courier New" w:hAnsi="Courier New" w:cs="Courier New"/>
          <w:sz w:val="24"/>
          <w:szCs w:val="24"/>
        </w:rPr>
        <w:t>Fennie</w:t>
      </w:r>
      <w:r w:rsidRPr="00787C41">
        <w:rPr>
          <w:rFonts w:ascii="Courier New" w:hAnsi="Courier New" w:cs="Courier New"/>
          <w:sz w:val="24"/>
          <w:szCs w:val="24"/>
        </w:rPr>
        <w:t xml:space="preserve"> KP, Prado G, Ibanez G, Maddox LM. Racial/ethnic disparities in delayed HIV diagnosis among men who have sex with men, Florida, 2000-2014. AIDS Care. 2017 Mar;29(3):311-318. </w:t>
      </w:r>
      <w:r w:rsidRPr="00787C41">
        <w:rPr>
          <w:rFonts w:ascii="Courier New" w:hAnsi="Courier New" w:cs="Courier New"/>
          <w:sz w:val="24"/>
          <w:szCs w:val="24"/>
        </w:rPr>
        <w:t>doi</w:t>
      </w:r>
      <w:r w:rsidRPr="00787C41">
        <w:rPr>
          <w:rFonts w:ascii="Courier New" w:hAnsi="Courier New" w:cs="Courier New"/>
          <w:sz w:val="24"/>
          <w:szCs w:val="24"/>
        </w:rPr>
        <w:t>: 10.1080/09540121.2016.1211609</w:t>
      </w:r>
      <w:r>
        <w:rPr>
          <w:rFonts w:ascii="Courier New" w:hAnsi="Courier New" w:cs="Courier New"/>
          <w:sz w:val="24"/>
          <w:szCs w:val="24"/>
        </w:rPr>
        <w:t>.</w:t>
      </w:r>
    </w:p>
    <w:p w:rsidR="00593954" w:rsidRPr="00244ADD" w14:paraId="76B1030F" w14:textId="2CAE34B9">
      <w:pPr>
        <w:rPr>
          <w:rFonts w:ascii="Courier New" w:hAnsi="Courier New" w:cs="Courier New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403A" w14:paraId="0E5D34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403A" w14:paraId="6D5FEA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403A" w14:paraId="3134CD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403A" w14:paraId="1AB0E2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403A" w14:paraId="7E9C1E8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403A" w14:paraId="6684628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4"/>
    <w:rsid w:val="000B0F24"/>
    <w:rsid w:val="000B66DC"/>
    <w:rsid w:val="000F2C19"/>
    <w:rsid w:val="001314B3"/>
    <w:rsid w:val="0019663D"/>
    <w:rsid w:val="00244ADD"/>
    <w:rsid w:val="00384283"/>
    <w:rsid w:val="00411846"/>
    <w:rsid w:val="00417D96"/>
    <w:rsid w:val="00441B89"/>
    <w:rsid w:val="00443E55"/>
    <w:rsid w:val="00551821"/>
    <w:rsid w:val="00593954"/>
    <w:rsid w:val="00645F34"/>
    <w:rsid w:val="00662681"/>
    <w:rsid w:val="006C588E"/>
    <w:rsid w:val="00787C41"/>
    <w:rsid w:val="00790BD5"/>
    <w:rsid w:val="007E39E1"/>
    <w:rsid w:val="008C1A97"/>
    <w:rsid w:val="00A0283B"/>
    <w:rsid w:val="00A41409"/>
    <w:rsid w:val="00A6403A"/>
    <w:rsid w:val="00A67A47"/>
    <w:rsid w:val="00B31196"/>
    <w:rsid w:val="00D9628C"/>
    <w:rsid w:val="00DB6858"/>
    <w:rsid w:val="00E11CA8"/>
    <w:rsid w:val="00E44B36"/>
    <w:rsid w:val="00F06B97"/>
    <w:rsid w:val="00F471D8"/>
    <w:rsid w:val="00F80E38"/>
    <w:rsid w:val="00FD7152"/>
  </w:rsids>
  <w:docVars>
    <w:docVar w:name="__Grammarly_42___1" w:val="H4sIAAAAAAAEAKtWcslP9kxRslIyNDY2NDIyM7Q0MDM2MTc1MLJQ0lEKTi0uzszPAykwrgUAzNZSW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02C496"/>
  <w15:chartTrackingRefBased/>
  <w15:docId w15:val="{F0F8FEE0-E722-461F-B8CD-689CD3A5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F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85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AD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3A"/>
  </w:style>
  <w:style w:type="paragraph" w:styleId="Footer">
    <w:name w:val="footer"/>
    <w:basedOn w:val="Normal"/>
    <w:link w:val="FooterChar"/>
    <w:uiPriority w:val="99"/>
    <w:unhideWhenUsed/>
    <w:rsid w:val="00A6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://www.cdc.gov/hiv/library/reports/hiv-surveillance.html" TargetMode="External" /><Relationship Id="rId12" Type="http://schemas.openxmlformats.org/officeDocument/2006/relationships/hyperlink" Target="https://www.cdc.gov/hiv/statistics/surveillance/terms.html" TargetMode="Externa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yy9@cdc.go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B614416B89D42B482DF9D534175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0B27-C781-47C5-99AA-342533B2A542}"/>
      </w:docPartPr>
      <w:docPartBody>
        <w:p w:rsidR="00D9628C" w:rsidP="0019663D">
          <w:pPr>
            <w:pStyle w:val="3B614416B89D42B482DF9D534175F9C2"/>
          </w:pPr>
          <w:r>
            <w:rPr>
              <w:rStyle w:val="PlaceholderText"/>
              <w:rFonts w:ascii="Arial Nova" w:hAnsi="Arial Nova"/>
            </w:rPr>
            <w:t>[O</w:t>
          </w:r>
          <w:r w:rsidRPr="00F06B97">
            <w:rPr>
              <w:rStyle w:val="PlaceholderText"/>
              <w:rFonts w:ascii="Arial Nova" w:hAnsi="Arial Nova"/>
            </w:rPr>
            <w:t>MB expiration dat</w:t>
          </w:r>
          <w:r>
            <w:rPr>
              <w:rStyle w:val="PlaceholderText"/>
              <w:rFonts w:ascii="Arial Nova" w:hAnsi="Arial Nova"/>
            </w:rPr>
            <w:t>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3D"/>
    <w:rsid w:val="0019663D"/>
    <w:rsid w:val="00D962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63D"/>
    <w:rPr>
      <w:color w:val="808080"/>
    </w:rPr>
  </w:style>
  <w:style w:type="paragraph" w:customStyle="1" w:styleId="3B614416B89D42B482DF9D534175F9C2">
    <w:name w:val="3B614416B89D42B482DF9D534175F9C2"/>
    <w:rsid w:val="00196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Reaves, Toria (CDC/DDID/NCHHSTP/DHP)</dc:creator>
  <cp:lastModifiedBy>Ptomey, Natasha (CDC/NCHHSTP/DHP)</cp:lastModifiedBy>
  <cp:revision>7</cp:revision>
  <dcterms:created xsi:type="dcterms:W3CDTF">2023-10-20T15:54:00Z</dcterms:created>
  <dcterms:modified xsi:type="dcterms:W3CDTF">2024-01-08T21:22:00Z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05730d2f4ef810ec45ffde9d752b8cf7fc81450ccded72c6efa9ba410a68685b</vt:lpwstr>
  </property>
  <property fmtid="{D5CDD505-2E9C-101B-9397-08002B2CF9AE}" pid="3" name="MSIP_Label_7b94a7b8-f06c-4dfe-bdcc-9b548fd58c31_ActionId">
    <vt:lpwstr>0db0e917-fa51-43ef-b2f6-66c8542c40f0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2022-10-13T14:11:13Z</vt:lpwstr>
  </property>
  <property fmtid="{D5CDD505-2E9C-101B-9397-08002B2CF9AE}" pid="9" name="MSIP_Label_7b94a7b8-f06c-4dfe-bdcc-9b548fd58c31_SiteId">
    <vt:lpwstr>9ce70869-60db-44fd-abe8-d2767077fc8f</vt:lpwstr>
  </property>
</Properties>
</file>