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20306" w:rsidP="00020306" w14:paraId="00FED99A" w14:textId="148D17EF">
      <w:r>
        <w:t xml:space="preserve"> </w:t>
      </w:r>
    </w:p>
    <w:p w:rsidR="00020306" w:rsidRPr="00020306" w:rsidP="00020306" w14:paraId="3DDECD7B" w14:textId="77777777">
      <w:pPr>
        <w:jc w:val="center"/>
        <w:rPr>
          <w:rFonts w:cstheme="minorHAnsi"/>
          <w:b/>
          <w:bCs/>
          <w:sz w:val="44"/>
          <w:szCs w:val="44"/>
        </w:rPr>
      </w:pPr>
      <w:r w:rsidRPr="00020306">
        <w:rPr>
          <w:rFonts w:cstheme="minorHAnsi"/>
          <w:b/>
          <w:bCs/>
          <w:sz w:val="44"/>
          <w:szCs w:val="44"/>
        </w:rPr>
        <w:t xml:space="preserve">Assessing Fatigue and Fatigue Management in U.S. Onshore Oil and Gas Extraction </w:t>
      </w:r>
    </w:p>
    <w:p w:rsidR="00020306" w:rsidRPr="00F07E9B" w:rsidP="00020306" w14:paraId="48F79B0A" w14:textId="5CE0F9DF">
      <w:pPr>
        <w:jc w:val="center"/>
        <w:rPr>
          <w:rFonts w:cstheme="minorHAnsi"/>
          <w:b/>
          <w:sz w:val="28"/>
          <w:szCs w:val="28"/>
        </w:rPr>
      </w:pPr>
      <w:r w:rsidRPr="00F07E9B">
        <w:rPr>
          <w:rFonts w:cstheme="minorHAnsi"/>
          <w:b/>
          <w:sz w:val="28"/>
          <w:szCs w:val="28"/>
        </w:rPr>
        <w:t xml:space="preserve">(Information Collection Request -- OMB # </w:t>
      </w:r>
      <w:r w:rsidRPr="00F07E9B">
        <w:rPr>
          <w:rFonts w:cstheme="minorHAnsi"/>
          <w:b/>
          <w:sz w:val="28"/>
          <w:szCs w:val="28"/>
          <w:highlight w:val="yellow"/>
        </w:rPr>
        <w:t>XXXX-XXXX</w:t>
      </w:r>
      <w:r w:rsidRPr="00F07E9B">
        <w:rPr>
          <w:rFonts w:cstheme="minorHAnsi"/>
          <w:b/>
          <w:sz w:val="28"/>
          <w:szCs w:val="28"/>
        </w:rPr>
        <w:t>)</w:t>
      </w:r>
    </w:p>
    <w:p w:rsidR="00020306" w:rsidRPr="00F07E9B" w:rsidP="00020306" w14:paraId="5E03AF5D" w14:textId="77777777">
      <w:pPr>
        <w:jc w:val="center"/>
        <w:rPr>
          <w:rFonts w:cstheme="minorHAnsi"/>
          <w:b/>
          <w:sz w:val="28"/>
          <w:szCs w:val="28"/>
        </w:rPr>
      </w:pPr>
    </w:p>
    <w:p w:rsidR="00020306" w:rsidP="00020306" w14:paraId="7E28426E" w14:textId="77777777">
      <w:pPr>
        <w:jc w:val="center"/>
        <w:rPr>
          <w:rFonts w:cstheme="minorHAnsi"/>
          <w:b/>
          <w:sz w:val="24"/>
          <w:szCs w:val="24"/>
        </w:rPr>
      </w:pPr>
      <w:r w:rsidRPr="00020306">
        <w:rPr>
          <w:rFonts w:cstheme="minorHAnsi"/>
          <w:b/>
          <w:szCs w:val="24"/>
        </w:rPr>
        <w:t xml:space="preserve">Request for Office of Management and Budget Review and </w:t>
      </w:r>
    </w:p>
    <w:p w:rsidR="00020306" w:rsidRPr="00020306" w:rsidP="00020306" w14:paraId="0AAA36D3" w14:textId="3C46AB59">
      <w:pPr>
        <w:jc w:val="center"/>
        <w:rPr>
          <w:rFonts w:cstheme="minorHAnsi"/>
          <w:b/>
          <w:sz w:val="24"/>
          <w:szCs w:val="24"/>
        </w:rPr>
      </w:pPr>
      <w:r w:rsidRPr="00020306">
        <w:rPr>
          <w:rFonts w:cstheme="minorHAnsi"/>
          <w:b/>
          <w:szCs w:val="24"/>
        </w:rPr>
        <w:t>Approval for Federally Sponsored Data Collection</w:t>
      </w:r>
    </w:p>
    <w:p w:rsidR="00020306" w:rsidRPr="00020306" w:rsidP="00020306" w14:paraId="3F05E09E" w14:textId="77777777">
      <w:pPr>
        <w:jc w:val="center"/>
        <w:rPr>
          <w:rFonts w:cstheme="minorHAnsi"/>
          <w:b/>
          <w:sz w:val="28"/>
          <w:szCs w:val="28"/>
        </w:rPr>
      </w:pPr>
    </w:p>
    <w:p w:rsidR="00020306" w:rsidRPr="00020306" w:rsidP="00020306" w14:paraId="5F86EE6E" w14:textId="77777777">
      <w:pPr>
        <w:jc w:val="center"/>
        <w:rPr>
          <w:rFonts w:cstheme="minorHAnsi"/>
          <w:b/>
          <w:sz w:val="24"/>
          <w:szCs w:val="24"/>
        </w:rPr>
      </w:pPr>
      <w:r w:rsidRPr="00020306">
        <w:rPr>
          <w:rFonts w:cstheme="minorHAnsi"/>
          <w:b/>
          <w:szCs w:val="24"/>
        </w:rPr>
        <w:t>Section B</w:t>
      </w:r>
    </w:p>
    <w:p w:rsidR="00020306" w:rsidRPr="00020306" w:rsidP="00020306" w14:paraId="5675D46A" w14:textId="77777777">
      <w:pPr>
        <w:jc w:val="center"/>
        <w:rPr>
          <w:rFonts w:cstheme="minorHAnsi"/>
          <w:b/>
          <w:sz w:val="28"/>
          <w:szCs w:val="28"/>
        </w:rPr>
      </w:pPr>
    </w:p>
    <w:p w:rsidR="00020306" w:rsidP="00020306" w14:paraId="58FFE102" w14:textId="77777777">
      <w:pPr>
        <w:jc w:val="center"/>
        <w:rPr>
          <w:rFonts w:cstheme="minorHAnsi"/>
          <w:b/>
          <w:bCs/>
          <w:szCs w:val="24"/>
        </w:rPr>
      </w:pPr>
      <w:r w:rsidRPr="00020306">
        <w:rPr>
          <w:rFonts w:cstheme="minorHAnsi"/>
          <w:b/>
          <w:bCs/>
          <w:szCs w:val="24"/>
        </w:rPr>
        <w:t xml:space="preserve">Project officers: </w:t>
      </w:r>
    </w:p>
    <w:p w:rsidR="00020306" w:rsidRPr="00020306" w:rsidP="00020306" w14:paraId="0162DA47" w14:textId="698972A4">
      <w:pPr>
        <w:jc w:val="center"/>
        <w:rPr>
          <w:rFonts w:cstheme="minorHAnsi"/>
          <w:b/>
          <w:bCs/>
          <w:sz w:val="24"/>
          <w:szCs w:val="24"/>
        </w:rPr>
      </w:pPr>
      <w:r w:rsidRPr="00020306">
        <w:rPr>
          <w:rFonts w:cstheme="minorHAnsi"/>
          <w:b/>
          <w:bCs/>
          <w:szCs w:val="24"/>
        </w:rPr>
        <w:t>Alejandra Ramirez-Cardenas and Imelda Wong</w:t>
      </w:r>
    </w:p>
    <w:p w:rsidR="00020306" w:rsidP="00020306" w14:paraId="01B01E54" w14:textId="77777777">
      <w:pPr>
        <w:spacing w:after="0" w:line="360" w:lineRule="auto"/>
        <w:jc w:val="center"/>
        <w:rPr>
          <w:b/>
        </w:rPr>
      </w:pPr>
      <w:r>
        <w:rPr>
          <w:b/>
        </w:rPr>
        <w:t>Centers for Disease Control and Prevention (CDC)</w:t>
      </w:r>
    </w:p>
    <w:p w:rsidR="00020306" w:rsidP="00020306" w14:paraId="5C881CE2" w14:textId="77777777">
      <w:pPr>
        <w:spacing w:after="0" w:line="360" w:lineRule="auto"/>
        <w:jc w:val="center"/>
        <w:rPr>
          <w:b/>
        </w:rPr>
      </w:pPr>
      <w:r>
        <w:rPr>
          <w:b/>
        </w:rPr>
        <w:t>National Institute for Occupational Safety and Health (NIOSH)</w:t>
      </w:r>
    </w:p>
    <w:p w:rsidR="00020306" w:rsidP="00020306" w14:paraId="6CC8F5EC" w14:textId="77777777">
      <w:pPr>
        <w:spacing w:after="0" w:line="360" w:lineRule="auto"/>
        <w:jc w:val="center"/>
        <w:rPr>
          <w:b/>
        </w:rPr>
      </w:pPr>
      <w:r>
        <w:rPr>
          <w:b/>
        </w:rPr>
        <w:t>Western States Division</w:t>
      </w:r>
    </w:p>
    <w:p w:rsidR="00020306" w:rsidP="00020306" w14:paraId="748F5E2F" w14:textId="77777777">
      <w:pPr>
        <w:spacing w:after="0" w:line="360" w:lineRule="auto"/>
        <w:jc w:val="center"/>
        <w:rPr>
          <w:rFonts w:eastAsiaTheme="minorEastAsia"/>
          <w:noProof/>
        </w:rPr>
      </w:pPr>
      <w:r>
        <w:rPr>
          <w:rFonts w:eastAsiaTheme="minorEastAsia"/>
          <w:noProof/>
        </w:rPr>
        <w:t>P.O. Box 25226</w:t>
      </w:r>
    </w:p>
    <w:p w:rsidR="00020306" w:rsidRPr="00020306" w:rsidP="00020306" w14:paraId="42D31A4D" w14:textId="128F6A23">
      <w:pPr>
        <w:spacing w:after="0" w:line="360" w:lineRule="auto"/>
        <w:jc w:val="center"/>
        <w:rPr>
          <w:rFonts w:eastAsiaTheme="minorEastAsia"/>
          <w:noProof/>
        </w:rPr>
      </w:pPr>
      <w:r>
        <w:rPr>
          <w:rFonts w:eastAsiaTheme="minorEastAsia"/>
          <w:noProof/>
        </w:rPr>
        <w:t>Denver, CO 80225-0226</w:t>
      </w:r>
    </w:p>
    <w:p w:rsidR="00020306" w:rsidRPr="00020306" w:rsidP="00020306" w14:paraId="37A4C567" w14:textId="05BA94BD">
      <w:pPr>
        <w:jc w:val="center"/>
        <w:rPr>
          <w:rFonts w:cstheme="minorHAnsi"/>
          <w:szCs w:val="24"/>
        </w:rPr>
      </w:pPr>
      <w:r w:rsidRPr="00020306">
        <w:rPr>
          <w:rFonts w:cstheme="minorHAnsi"/>
          <w:szCs w:val="24"/>
        </w:rPr>
        <w:t xml:space="preserve">Phone: </w:t>
      </w:r>
      <w:r>
        <w:rPr>
          <w:rFonts w:cstheme="minorHAnsi"/>
          <w:szCs w:val="24"/>
        </w:rPr>
        <w:t>303-236-5957</w:t>
      </w:r>
      <w:r w:rsidRPr="00020306">
        <w:rPr>
          <w:rFonts w:cstheme="minorHAnsi"/>
          <w:szCs w:val="24"/>
        </w:rPr>
        <w:t xml:space="preserve"> and 513</w:t>
      </w:r>
      <w:r>
        <w:rPr>
          <w:rFonts w:cstheme="minorHAnsi"/>
          <w:szCs w:val="24"/>
        </w:rPr>
        <w:t>-</w:t>
      </w:r>
      <w:r w:rsidRPr="00020306">
        <w:rPr>
          <w:rFonts w:cstheme="minorHAnsi"/>
          <w:szCs w:val="24"/>
        </w:rPr>
        <w:t>533</w:t>
      </w:r>
      <w:r>
        <w:rPr>
          <w:rFonts w:cstheme="minorHAnsi"/>
          <w:szCs w:val="24"/>
        </w:rPr>
        <w:t>-</w:t>
      </w:r>
      <w:r w:rsidRPr="00020306">
        <w:rPr>
          <w:rFonts w:cstheme="minorHAnsi"/>
          <w:szCs w:val="24"/>
        </w:rPr>
        <w:t>6847</w:t>
      </w:r>
    </w:p>
    <w:p w:rsidR="00020306" w:rsidRPr="00020306" w:rsidP="00020306" w14:paraId="4735DA8E" w14:textId="23F9B81F">
      <w:pPr>
        <w:jc w:val="center"/>
        <w:rPr>
          <w:rFonts w:cstheme="minorHAnsi"/>
          <w:szCs w:val="24"/>
        </w:rPr>
      </w:pPr>
      <w:r w:rsidRPr="00020306">
        <w:rPr>
          <w:rFonts w:cstheme="minorHAnsi"/>
          <w:szCs w:val="24"/>
        </w:rPr>
        <w:t xml:space="preserve">E-mail: </w:t>
      </w:r>
      <w:hyperlink r:id="rId5" w:history="1">
        <w:r w:rsidRPr="005B35AA">
          <w:rPr>
            <w:rStyle w:val="Hyperlink"/>
            <w:rFonts w:cstheme="minorHAnsi"/>
            <w:szCs w:val="24"/>
          </w:rPr>
          <w:t>nxa5@cdc.gov</w:t>
        </w:r>
      </w:hyperlink>
      <w:r w:rsidRPr="00020306">
        <w:rPr>
          <w:rFonts w:cstheme="minorHAnsi"/>
          <w:szCs w:val="24"/>
        </w:rPr>
        <w:t xml:space="preserve"> and </w:t>
      </w:r>
      <w:hyperlink r:id="rId6" w:history="1">
        <w:r w:rsidRPr="005B35AA">
          <w:rPr>
            <w:rStyle w:val="Hyperlink"/>
            <w:rFonts w:cstheme="minorHAnsi"/>
            <w:szCs w:val="24"/>
          </w:rPr>
          <w:t>kwn0@cdc.gov</w:t>
        </w:r>
      </w:hyperlink>
      <w:r w:rsidRPr="00020306">
        <w:rPr>
          <w:rFonts w:cstheme="minorHAnsi"/>
          <w:szCs w:val="24"/>
        </w:rPr>
        <w:t xml:space="preserve"> </w:t>
      </w:r>
    </w:p>
    <w:p w:rsidR="00020306" w:rsidRPr="00F17446" w:rsidP="00020306" w14:paraId="630B9A8A" w14:textId="780E6721">
      <w:pPr>
        <w:rPr>
          <w:rFonts w:ascii="Arial Narrow" w:hAnsi="Arial Narrow"/>
          <w:b/>
          <w:bCs/>
          <w:sz w:val="36"/>
          <w:szCs w:val="36"/>
        </w:rPr>
      </w:pPr>
    </w:p>
    <w:p w:rsidR="00C7439A" w14:paraId="323CEF57" w14:textId="6B61AC2B">
      <w:r>
        <w:br w:type="page"/>
      </w:r>
    </w:p>
    <w:p w:rsidR="00C7439A" w:rsidRPr="00C7439A" w:rsidP="00C7439A" w14:paraId="17DA6CC5" w14:textId="3F2FA883">
      <w:pPr>
        <w:pStyle w:val="TOC1"/>
      </w:pPr>
      <w:r w:rsidRPr="00C7439A">
        <w:rPr>
          <w:sz w:val="22"/>
          <w:szCs w:val="22"/>
        </w:rPr>
        <w:t xml:space="preserve">Table </w:t>
      </w:r>
      <w:r>
        <w:rPr>
          <w:sz w:val="22"/>
          <w:szCs w:val="22"/>
        </w:rPr>
        <w:t>o</w:t>
      </w:r>
      <w:r w:rsidRPr="00C7439A">
        <w:rPr>
          <w:sz w:val="22"/>
          <w:szCs w:val="22"/>
        </w:rPr>
        <w:t>f Contents</w:t>
      </w:r>
      <w:r w:rsidRPr="00C7439A">
        <w:rPr>
          <w:caps/>
        </w:rPr>
        <w:t xml:space="preserve"> </w:t>
      </w:r>
    </w:p>
    <w:p w:rsidR="00162E0E" w14:paraId="18D0BECA" w14:textId="50825C40">
      <w:pPr>
        <w:pStyle w:val="TOC1"/>
        <w:tabs>
          <w:tab w:val="right" w:leader="underscore" w:pos="9350"/>
        </w:tabs>
        <w:rPr>
          <w:rFonts w:eastAsiaTheme="minorEastAsia" w:cstheme="minorBidi"/>
          <w:b w:val="0"/>
          <w:bCs w:val="0"/>
          <w:noProof/>
          <w:sz w:val="22"/>
          <w:szCs w:val="22"/>
        </w:rPr>
      </w:pPr>
      <w:r w:rsidRPr="00596D68">
        <w:fldChar w:fldCharType="begin"/>
      </w:r>
      <w:r w:rsidRPr="00596D68">
        <w:instrText xml:space="preserve"> TOC \o "1-3" \h \z \u </w:instrText>
      </w:r>
      <w:r w:rsidRPr="00596D68">
        <w:fldChar w:fldCharType="separate"/>
      </w:r>
      <w:hyperlink w:anchor="_Toc136509878" w:history="1">
        <w:r w:rsidRPr="00402559">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_Toc136509878 \h </w:instrText>
        </w:r>
        <w:r>
          <w:rPr>
            <w:noProof/>
            <w:webHidden/>
          </w:rPr>
          <w:fldChar w:fldCharType="separate"/>
        </w:r>
        <w:r>
          <w:rPr>
            <w:noProof/>
            <w:webHidden/>
          </w:rPr>
          <w:t>3</w:t>
        </w:r>
        <w:r>
          <w:rPr>
            <w:noProof/>
            <w:webHidden/>
          </w:rPr>
          <w:fldChar w:fldCharType="end"/>
        </w:r>
      </w:hyperlink>
    </w:p>
    <w:p w:rsidR="00162E0E" w14:paraId="1B340887" w14:textId="6206CEE8">
      <w:pPr>
        <w:pStyle w:val="TOC2"/>
        <w:tabs>
          <w:tab w:val="right" w:leader="underscore" w:pos="9350"/>
        </w:tabs>
        <w:rPr>
          <w:rFonts w:eastAsiaTheme="minorEastAsia" w:cstheme="minorBidi"/>
          <w:i w:val="0"/>
          <w:iCs w:val="0"/>
          <w:noProof/>
          <w:sz w:val="22"/>
          <w:szCs w:val="22"/>
        </w:rPr>
      </w:pPr>
      <w:hyperlink w:anchor="_Toc136509879" w:history="1">
        <w:r w:rsidRPr="00402559">
          <w:rPr>
            <w:rStyle w:val="Hyperlink"/>
            <w:noProof/>
          </w:rPr>
          <w:t>B.1 Respondent Universe and Sampling Methods</w:t>
        </w:r>
        <w:r>
          <w:rPr>
            <w:noProof/>
            <w:webHidden/>
          </w:rPr>
          <w:tab/>
        </w:r>
        <w:r>
          <w:rPr>
            <w:noProof/>
            <w:webHidden/>
          </w:rPr>
          <w:fldChar w:fldCharType="begin"/>
        </w:r>
        <w:r>
          <w:rPr>
            <w:noProof/>
            <w:webHidden/>
          </w:rPr>
          <w:instrText xml:space="preserve"> PAGEREF _Toc136509879 \h </w:instrText>
        </w:r>
        <w:r>
          <w:rPr>
            <w:noProof/>
            <w:webHidden/>
          </w:rPr>
          <w:fldChar w:fldCharType="separate"/>
        </w:r>
        <w:r>
          <w:rPr>
            <w:noProof/>
            <w:webHidden/>
          </w:rPr>
          <w:t>3</w:t>
        </w:r>
        <w:r>
          <w:rPr>
            <w:noProof/>
            <w:webHidden/>
          </w:rPr>
          <w:fldChar w:fldCharType="end"/>
        </w:r>
      </w:hyperlink>
    </w:p>
    <w:p w:rsidR="00162E0E" w14:paraId="3637DEE9" w14:textId="05FECB95">
      <w:pPr>
        <w:pStyle w:val="TOC2"/>
        <w:tabs>
          <w:tab w:val="right" w:leader="underscore" w:pos="9350"/>
        </w:tabs>
        <w:rPr>
          <w:rFonts w:eastAsiaTheme="minorEastAsia" w:cstheme="minorBidi"/>
          <w:i w:val="0"/>
          <w:iCs w:val="0"/>
          <w:noProof/>
          <w:sz w:val="22"/>
          <w:szCs w:val="22"/>
        </w:rPr>
      </w:pPr>
      <w:hyperlink w:anchor="_Toc136509880" w:history="1">
        <w:r w:rsidRPr="00402559">
          <w:rPr>
            <w:rStyle w:val="Hyperlink"/>
            <w:noProof/>
          </w:rPr>
          <w:t>B.2 Procedures for the Collection of Information</w:t>
        </w:r>
        <w:r>
          <w:rPr>
            <w:noProof/>
            <w:webHidden/>
          </w:rPr>
          <w:tab/>
        </w:r>
        <w:r>
          <w:rPr>
            <w:noProof/>
            <w:webHidden/>
          </w:rPr>
          <w:fldChar w:fldCharType="begin"/>
        </w:r>
        <w:r>
          <w:rPr>
            <w:noProof/>
            <w:webHidden/>
          </w:rPr>
          <w:instrText xml:space="preserve"> PAGEREF _Toc136509880 \h </w:instrText>
        </w:r>
        <w:r>
          <w:rPr>
            <w:noProof/>
            <w:webHidden/>
          </w:rPr>
          <w:fldChar w:fldCharType="separate"/>
        </w:r>
        <w:r>
          <w:rPr>
            <w:noProof/>
            <w:webHidden/>
          </w:rPr>
          <w:t>4</w:t>
        </w:r>
        <w:r>
          <w:rPr>
            <w:noProof/>
            <w:webHidden/>
          </w:rPr>
          <w:fldChar w:fldCharType="end"/>
        </w:r>
      </w:hyperlink>
    </w:p>
    <w:p w:rsidR="00162E0E" w14:paraId="186F6F82" w14:textId="771E6B95">
      <w:pPr>
        <w:pStyle w:val="TOC3"/>
        <w:tabs>
          <w:tab w:val="right" w:leader="underscore" w:pos="9350"/>
        </w:tabs>
        <w:rPr>
          <w:rFonts w:eastAsiaTheme="minorEastAsia" w:cstheme="minorBidi"/>
          <w:noProof/>
          <w:sz w:val="22"/>
          <w:szCs w:val="22"/>
        </w:rPr>
      </w:pPr>
      <w:hyperlink w:anchor="_Toc136509881" w:history="1">
        <w:r w:rsidRPr="00402559">
          <w:rPr>
            <w:rStyle w:val="Hyperlink"/>
            <w:noProof/>
            <w:lang w:val="fr-FR"/>
          </w:rPr>
          <w:t>B.2.a Quantitative Aim (Aim 1)</w:t>
        </w:r>
        <w:r>
          <w:rPr>
            <w:noProof/>
            <w:webHidden/>
          </w:rPr>
          <w:tab/>
        </w:r>
        <w:r>
          <w:rPr>
            <w:noProof/>
            <w:webHidden/>
          </w:rPr>
          <w:fldChar w:fldCharType="begin"/>
        </w:r>
        <w:r>
          <w:rPr>
            <w:noProof/>
            <w:webHidden/>
          </w:rPr>
          <w:instrText xml:space="preserve"> PAGEREF _Toc136509881 \h </w:instrText>
        </w:r>
        <w:r>
          <w:rPr>
            <w:noProof/>
            <w:webHidden/>
          </w:rPr>
          <w:fldChar w:fldCharType="separate"/>
        </w:r>
        <w:r>
          <w:rPr>
            <w:noProof/>
            <w:webHidden/>
          </w:rPr>
          <w:t>4</w:t>
        </w:r>
        <w:r>
          <w:rPr>
            <w:noProof/>
            <w:webHidden/>
          </w:rPr>
          <w:fldChar w:fldCharType="end"/>
        </w:r>
      </w:hyperlink>
    </w:p>
    <w:p w:rsidR="00162E0E" w14:paraId="0615800F" w14:textId="64F11843">
      <w:pPr>
        <w:pStyle w:val="TOC3"/>
        <w:tabs>
          <w:tab w:val="right" w:leader="underscore" w:pos="9350"/>
        </w:tabs>
        <w:rPr>
          <w:rFonts w:eastAsiaTheme="minorEastAsia" w:cstheme="minorBidi"/>
          <w:noProof/>
          <w:sz w:val="22"/>
          <w:szCs w:val="22"/>
        </w:rPr>
      </w:pPr>
      <w:hyperlink w:anchor="_Toc136509882" w:history="1">
        <w:r w:rsidRPr="00402559">
          <w:rPr>
            <w:rStyle w:val="Hyperlink"/>
            <w:noProof/>
          </w:rPr>
          <w:t>B.2.b Qualitative Aims (Aim 2 and Aim 3)</w:t>
        </w:r>
        <w:r>
          <w:rPr>
            <w:noProof/>
            <w:webHidden/>
          </w:rPr>
          <w:tab/>
        </w:r>
        <w:r>
          <w:rPr>
            <w:noProof/>
            <w:webHidden/>
          </w:rPr>
          <w:fldChar w:fldCharType="begin"/>
        </w:r>
        <w:r>
          <w:rPr>
            <w:noProof/>
            <w:webHidden/>
          </w:rPr>
          <w:instrText xml:space="preserve"> PAGEREF _Toc136509882 \h </w:instrText>
        </w:r>
        <w:r>
          <w:rPr>
            <w:noProof/>
            <w:webHidden/>
          </w:rPr>
          <w:fldChar w:fldCharType="separate"/>
        </w:r>
        <w:r>
          <w:rPr>
            <w:noProof/>
            <w:webHidden/>
          </w:rPr>
          <w:t>5</w:t>
        </w:r>
        <w:r>
          <w:rPr>
            <w:noProof/>
            <w:webHidden/>
          </w:rPr>
          <w:fldChar w:fldCharType="end"/>
        </w:r>
      </w:hyperlink>
    </w:p>
    <w:p w:rsidR="00162E0E" w14:paraId="01DE6AE9" w14:textId="531F4785">
      <w:pPr>
        <w:pStyle w:val="TOC2"/>
        <w:tabs>
          <w:tab w:val="right" w:leader="underscore" w:pos="9350"/>
        </w:tabs>
        <w:rPr>
          <w:rFonts w:eastAsiaTheme="minorEastAsia" w:cstheme="minorBidi"/>
          <w:i w:val="0"/>
          <w:iCs w:val="0"/>
          <w:noProof/>
          <w:sz w:val="22"/>
          <w:szCs w:val="22"/>
        </w:rPr>
      </w:pPr>
      <w:hyperlink w:anchor="_Toc136509883" w:history="1">
        <w:r w:rsidRPr="00402559">
          <w:rPr>
            <w:rStyle w:val="Hyperlink"/>
            <w:noProof/>
          </w:rPr>
          <w:t>B.3 Methods to Maximize Response Rates and Deal with No Response</w:t>
        </w:r>
        <w:r>
          <w:rPr>
            <w:noProof/>
            <w:webHidden/>
          </w:rPr>
          <w:tab/>
        </w:r>
        <w:r>
          <w:rPr>
            <w:noProof/>
            <w:webHidden/>
          </w:rPr>
          <w:fldChar w:fldCharType="begin"/>
        </w:r>
        <w:r>
          <w:rPr>
            <w:noProof/>
            <w:webHidden/>
          </w:rPr>
          <w:instrText xml:space="preserve"> PAGEREF _Toc136509883 \h </w:instrText>
        </w:r>
        <w:r>
          <w:rPr>
            <w:noProof/>
            <w:webHidden/>
          </w:rPr>
          <w:fldChar w:fldCharType="separate"/>
        </w:r>
        <w:r>
          <w:rPr>
            <w:noProof/>
            <w:webHidden/>
          </w:rPr>
          <w:t>5</w:t>
        </w:r>
        <w:r>
          <w:rPr>
            <w:noProof/>
            <w:webHidden/>
          </w:rPr>
          <w:fldChar w:fldCharType="end"/>
        </w:r>
      </w:hyperlink>
    </w:p>
    <w:p w:rsidR="00162E0E" w14:paraId="4CB82D9B" w14:textId="389771E2">
      <w:pPr>
        <w:pStyle w:val="TOC2"/>
        <w:tabs>
          <w:tab w:val="right" w:leader="underscore" w:pos="9350"/>
        </w:tabs>
        <w:rPr>
          <w:rFonts w:eastAsiaTheme="minorEastAsia" w:cstheme="minorBidi"/>
          <w:i w:val="0"/>
          <w:iCs w:val="0"/>
          <w:noProof/>
          <w:sz w:val="22"/>
          <w:szCs w:val="22"/>
        </w:rPr>
      </w:pPr>
      <w:hyperlink w:anchor="_Toc136509884" w:history="1">
        <w:r w:rsidRPr="00402559">
          <w:rPr>
            <w:rStyle w:val="Hyperlink"/>
            <w:noProof/>
          </w:rPr>
          <w:t>B.4 Test of Procedures or Methods to be Undertaken</w:t>
        </w:r>
        <w:r>
          <w:rPr>
            <w:noProof/>
            <w:webHidden/>
          </w:rPr>
          <w:tab/>
        </w:r>
        <w:r>
          <w:rPr>
            <w:noProof/>
            <w:webHidden/>
          </w:rPr>
          <w:fldChar w:fldCharType="begin"/>
        </w:r>
        <w:r>
          <w:rPr>
            <w:noProof/>
            <w:webHidden/>
          </w:rPr>
          <w:instrText xml:space="preserve"> PAGEREF _Toc136509884 \h </w:instrText>
        </w:r>
        <w:r>
          <w:rPr>
            <w:noProof/>
            <w:webHidden/>
          </w:rPr>
          <w:fldChar w:fldCharType="separate"/>
        </w:r>
        <w:r>
          <w:rPr>
            <w:noProof/>
            <w:webHidden/>
          </w:rPr>
          <w:t>6</w:t>
        </w:r>
        <w:r>
          <w:rPr>
            <w:noProof/>
            <w:webHidden/>
          </w:rPr>
          <w:fldChar w:fldCharType="end"/>
        </w:r>
      </w:hyperlink>
    </w:p>
    <w:p w:rsidR="00162E0E" w14:paraId="50BA7FA8" w14:textId="56FDB7B8">
      <w:pPr>
        <w:pStyle w:val="TOC2"/>
        <w:tabs>
          <w:tab w:val="right" w:leader="underscore" w:pos="9350"/>
        </w:tabs>
        <w:rPr>
          <w:rFonts w:eastAsiaTheme="minorEastAsia" w:cstheme="minorBidi"/>
          <w:i w:val="0"/>
          <w:iCs w:val="0"/>
          <w:noProof/>
          <w:sz w:val="22"/>
          <w:szCs w:val="22"/>
        </w:rPr>
      </w:pPr>
      <w:hyperlink w:anchor="_Toc136509885" w:history="1">
        <w:r w:rsidRPr="00402559">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_Toc136509885 \h </w:instrText>
        </w:r>
        <w:r>
          <w:rPr>
            <w:noProof/>
            <w:webHidden/>
          </w:rPr>
          <w:fldChar w:fldCharType="separate"/>
        </w:r>
        <w:r>
          <w:rPr>
            <w:noProof/>
            <w:webHidden/>
          </w:rPr>
          <w:t>6</w:t>
        </w:r>
        <w:r>
          <w:rPr>
            <w:noProof/>
            <w:webHidden/>
          </w:rPr>
          <w:fldChar w:fldCharType="end"/>
        </w:r>
      </w:hyperlink>
    </w:p>
    <w:p w:rsidR="00162E0E" w14:paraId="1DC0338A" w14:textId="505E1F5E">
      <w:pPr>
        <w:pStyle w:val="TOC2"/>
        <w:tabs>
          <w:tab w:val="right" w:leader="underscore" w:pos="9350"/>
        </w:tabs>
        <w:rPr>
          <w:rFonts w:eastAsiaTheme="minorEastAsia" w:cstheme="minorBidi"/>
          <w:i w:val="0"/>
          <w:iCs w:val="0"/>
          <w:noProof/>
          <w:sz w:val="22"/>
          <w:szCs w:val="22"/>
        </w:rPr>
      </w:pPr>
      <w:hyperlink w:anchor="_Toc136509886" w:history="1">
        <w:r w:rsidRPr="00402559">
          <w:rPr>
            <w:rStyle w:val="Hyperlink"/>
            <w:noProof/>
          </w:rPr>
          <w:t>References</w:t>
        </w:r>
        <w:r>
          <w:rPr>
            <w:noProof/>
            <w:webHidden/>
          </w:rPr>
          <w:tab/>
        </w:r>
        <w:r>
          <w:rPr>
            <w:noProof/>
            <w:webHidden/>
          </w:rPr>
          <w:fldChar w:fldCharType="begin"/>
        </w:r>
        <w:r>
          <w:rPr>
            <w:noProof/>
            <w:webHidden/>
          </w:rPr>
          <w:instrText xml:space="preserve"> PAGEREF _Toc136509886 \h </w:instrText>
        </w:r>
        <w:r>
          <w:rPr>
            <w:noProof/>
            <w:webHidden/>
          </w:rPr>
          <w:fldChar w:fldCharType="separate"/>
        </w:r>
        <w:r>
          <w:rPr>
            <w:noProof/>
            <w:webHidden/>
          </w:rPr>
          <w:t>8</w:t>
        </w:r>
        <w:r>
          <w:rPr>
            <w:noProof/>
            <w:webHidden/>
          </w:rPr>
          <w:fldChar w:fldCharType="end"/>
        </w:r>
      </w:hyperlink>
    </w:p>
    <w:p w:rsidR="00020306" w:rsidRPr="00596D68" w:rsidP="00C7439A" w14:paraId="1D16D5B3" w14:textId="7185F0FF">
      <w:r w:rsidRPr="00596D68">
        <w:rPr>
          <w:rFonts w:cstheme="minorHAnsi"/>
          <w:sz w:val="20"/>
          <w:szCs w:val="20"/>
        </w:rPr>
        <w:fldChar w:fldCharType="end"/>
      </w:r>
    </w:p>
    <w:p w:rsidR="000A4120" w:rsidP="000A4120" w14:paraId="5DDA3959" w14:textId="77777777">
      <w:pPr>
        <w:spacing w:after="0"/>
        <w:rPr>
          <w:b/>
          <w:bCs/>
        </w:rPr>
      </w:pPr>
      <w:r w:rsidRPr="000A4120">
        <w:rPr>
          <w:b/>
          <w:bCs/>
        </w:rPr>
        <w:t>Attachments</w:t>
      </w:r>
    </w:p>
    <w:p w:rsidR="009A56B1" w:rsidRPr="00BA5322" w:rsidP="009A56B1" w14:paraId="616779E2" w14:textId="77777777">
      <w:pPr>
        <w:spacing w:after="0"/>
        <w:ind w:firstLine="180"/>
      </w:pPr>
      <w:r w:rsidRPr="00BA5322">
        <w:t xml:space="preserve">Attachment 3 – </w:t>
      </w:r>
      <w:r>
        <w:t>Questionnaires</w:t>
      </w:r>
    </w:p>
    <w:p w:rsidR="009A56B1" w:rsidRPr="00BA5322" w:rsidP="009A56B1" w14:paraId="59BBB0D6" w14:textId="77777777">
      <w:pPr>
        <w:spacing w:after="0"/>
        <w:ind w:firstLine="180"/>
      </w:pPr>
      <w:r w:rsidRPr="00BA5322">
        <w:tab/>
        <w:t>Attachment 3a – Baseline Questionnaire (English)</w:t>
      </w:r>
    </w:p>
    <w:p w:rsidR="009A56B1" w:rsidRPr="00BA5322" w:rsidP="009A56B1" w14:paraId="7BF9C568" w14:textId="0FDB63AC">
      <w:pPr>
        <w:spacing w:after="0"/>
        <w:ind w:firstLine="720"/>
      </w:pPr>
      <w:r w:rsidRPr="00BA5322">
        <w:t>Attachment 3b – Baseline Questionnaire (Spanish)</w:t>
      </w:r>
    </w:p>
    <w:p w:rsidR="009A56B1" w:rsidRPr="00BA5322" w:rsidP="009A56B1" w14:paraId="38172EDA" w14:textId="77777777">
      <w:pPr>
        <w:spacing w:after="0"/>
        <w:ind w:firstLine="720"/>
      </w:pPr>
      <w:r w:rsidRPr="00BA5322">
        <w:t>Attachment 3c – Pre-shift Questionnaire (English)</w:t>
      </w:r>
    </w:p>
    <w:p w:rsidR="009A56B1" w:rsidRPr="00512CC7" w:rsidP="009A56B1" w14:paraId="6C6D35A3" w14:textId="77777777">
      <w:pPr>
        <w:spacing w:after="0"/>
        <w:ind w:firstLine="720"/>
      </w:pPr>
      <w:r w:rsidRPr="00BA5322">
        <w:t>Attachment 3d – Pre-shift Questionnaire (Spanish)</w:t>
      </w:r>
    </w:p>
    <w:p w:rsidR="009A56B1" w:rsidRPr="00512CC7" w:rsidP="009A56B1" w14:paraId="34AFA341" w14:textId="77777777">
      <w:pPr>
        <w:spacing w:after="0"/>
        <w:ind w:firstLine="720"/>
      </w:pPr>
      <w:r w:rsidRPr="00512CC7">
        <w:t>Attachment 3e – Post-shift Questionnaire (English)</w:t>
      </w:r>
    </w:p>
    <w:p w:rsidR="009A56B1" w:rsidRPr="00512CC7" w:rsidP="009A56B1" w14:paraId="5116C3F6" w14:textId="77777777">
      <w:pPr>
        <w:spacing w:after="0"/>
        <w:ind w:firstLine="720"/>
      </w:pPr>
      <w:r w:rsidRPr="00512CC7">
        <w:t>Attachment 3f – Post-shift Questionnaire (Spanish)</w:t>
      </w:r>
    </w:p>
    <w:p w:rsidR="009A56B1" w:rsidRPr="00512CC7" w:rsidP="009A56B1" w14:paraId="71689BEA" w14:textId="77777777">
      <w:pPr>
        <w:spacing w:after="0"/>
        <w:ind w:firstLine="180"/>
      </w:pPr>
      <w:r w:rsidRPr="00512CC7">
        <w:t>Attachment 4 – Actigraphy</w:t>
      </w:r>
    </w:p>
    <w:p w:rsidR="009A56B1" w:rsidRPr="00512CC7" w:rsidP="009A56B1" w14:paraId="55326142" w14:textId="77777777">
      <w:pPr>
        <w:spacing w:after="0"/>
        <w:ind w:firstLine="180"/>
      </w:pPr>
      <w:r w:rsidRPr="00512CC7">
        <w:tab/>
        <w:t>Attachment 4a – Statement of Actigraphy Return (English)</w:t>
      </w:r>
    </w:p>
    <w:p w:rsidR="009A56B1" w:rsidRPr="00512CC7" w:rsidP="009A56B1" w14:paraId="08CA078F" w14:textId="77777777">
      <w:pPr>
        <w:spacing w:after="0"/>
        <w:ind w:firstLine="180"/>
      </w:pPr>
      <w:r w:rsidRPr="00512CC7">
        <w:tab/>
        <w:t>Attachment 4b – Statement of Actigraphy Return (Spanish)</w:t>
      </w:r>
    </w:p>
    <w:p w:rsidR="009A56B1" w:rsidRPr="00512CC7" w:rsidP="009A56B1" w14:paraId="49909F9D" w14:textId="77777777">
      <w:pPr>
        <w:spacing w:after="0"/>
        <w:ind w:firstLine="180"/>
      </w:pPr>
      <w:r w:rsidRPr="00512CC7">
        <w:t>Attachment 5 - Focus Group and Interview Guides</w:t>
      </w:r>
    </w:p>
    <w:p w:rsidR="009A56B1" w:rsidRPr="00512CC7" w:rsidP="009A56B1" w14:paraId="4C481962" w14:textId="77777777">
      <w:pPr>
        <w:spacing w:after="0"/>
        <w:ind w:firstLine="720"/>
      </w:pPr>
      <w:r w:rsidRPr="00512CC7">
        <w:t>Attachment 5a – Worker Focus group guide (English)</w:t>
      </w:r>
    </w:p>
    <w:p w:rsidR="009A56B1" w:rsidRPr="00512CC7" w:rsidP="009A56B1" w14:paraId="0502AC28" w14:textId="77777777">
      <w:pPr>
        <w:spacing w:after="0"/>
        <w:ind w:firstLine="720"/>
      </w:pPr>
      <w:r w:rsidRPr="00512CC7">
        <w:t>Attachment 5b – Worker Focus group guide (Spanish)</w:t>
      </w:r>
    </w:p>
    <w:p w:rsidR="009A56B1" w:rsidRPr="00512CC7" w:rsidP="009A56B1" w14:paraId="52932F0E" w14:textId="77777777">
      <w:pPr>
        <w:spacing w:after="0"/>
        <w:ind w:firstLine="720"/>
      </w:pPr>
      <w:r w:rsidRPr="00512CC7">
        <w:t>Attachment 5c – Front-line supervisor interview guide</w:t>
      </w:r>
    </w:p>
    <w:p w:rsidR="009A56B1" w:rsidRPr="00512CC7" w:rsidP="009A56B1" w14:paraId="73811296" w14:textId="77777777">
      <w:pPr>
        <w:spacing w:after="0"/>
        <w:ind w:firstLine="720"/>
      </w:pPr>
      <w:r w:rsidRPr="00512CC7">
        <w:t>Attachment 5d – Senior Leader interview guide</w:t>
      </w:r>
    </w:p>
    <w:p w:rsidR="009A56B1" w:rsidRPr="00512CC7" w:rsidP="009A56B1" w14:paraId="39B2F0EA" w14:textId="77777777">
      <w:pPr>
        <w:spacing w:after="0"/>
        <w:ind w:firstLine="720"/>
      </w:pPr>
      <w:r w:rsidRPr="00512CC7">
        <w:t xml:space="preserve">Attachment 5e – SME interview guide </w:t>
      </w:r>
    </w:p>
    <w:p w:rsidR="000A4120" w:rsidP="000A4120" w14:paraId="10615522" w14:textId="68F02FD2">
      <w:pPr>
        <w:spacing w:after="0"/>
        <w:ind w:firstLine="180"/>
      </w:pPr>
      <w:r>
        <w:t xml:space="preserve"> </w:t>
      </w:r>
    </w:p>
    <w:p w:rsidR="00C7439A" w:rsidRPr="000A4120" w14:paraId="6DC10AA4" w14:textId="38EFAD5A">
      <w:pPr>
        <w:rPr>
          <w:b/>
          <w:bCs/>
        </w:rPr>
      </w:pPr>
      <w:r w:rsidRPr="000A4120">
        <w:rPr>
          <w:b/>
          <w:bCs/>
        </w:rPr>
        <w:br w:type="page"/>
      </w:r>
    </w:p>
    <w:p w:rsidR="006A7CFA" w:rsidP="00A55EB5" w14:paraId="72A31975" w14:textId="18E66932">
      <w:pPr>
        <w:pStyle w:val="Heading1"/>
      </w:pPr>
      <w:bookmarkStart w:id="0" w:name="_Toc136509878"/>
      <w:r>
        <w:t>B</w:t>
      </w:r>
      <w:r w:rsidR="00A55EB5">
        <w:t>. Collections of Information Employing Statistical Methods</w:t>
      </w:r>
      <w:bookmarkEnd w:id="0"/>
    </w:p>
    <w:p w:rsidR="006A7CFA" w:rsidP="00A55EB5" w14:paraId="7614A306" w14:textId="317ABEF6">
      <w:pPr>
        <w:pStyle w:val="Heading2"/>
      </w:pPr>
      <w:bookmarkStart w:id="1" w:name="_Toc136509879"/>
      <w:r>
        <w:t>B.1</w:t>
      </w:r>
      <w:r>
        <w:t xml:space="preserve"> Respondent Universe and Sampling Methods</w:t>
      </w:r>
      <w:bookmarkEnd w:id="1"/>
    </w:p>
    <w:p w:rsidR="00073E90" w:rsidP="006925F2" w14:paraId="3EDB69C3" w14:textId="3BDABB2C">
      <w:pPr>
        <w:rPr>
          <w:rFonts w:cstheme="minorHAnsi"/>
          <w:iCs/>
        </w:rPr>
      </w:pPr>
      <w:r>
        <w:rPr>
          <w:rFonts w:cstheme="minorHAnsi"/>
          <w:iCs/>
        </w:rPr>
        <w:t xml:space="preserve">The </w:t>
      </w:r>
      <w:r w:rsidR="00CD5FF1">
        <w:rPr>
          <w:rFonts w:cstheme="minorHAnsi"/>
          <w:iCs/>
        </w:rPr>
        <w:t>respondent universe</w:t>
      </w:r>
      <w:r>
        <w:rPr>
          <w:rFonts w:cstheme="minorHAnsi"/>
          <w:iCs/>
        </w:rPr>
        <w:t xml:space="preserve"> for this study will be </w:t>
      </w:r>
      <w:r w:rsidR="004F0CBB">
        <w:rPr>
          <w:rFonts w:cstheme="minorHAnsi"/>
          <w:iCs/>
        </w:rPr>
        <w:t>onshore</w:t>
      </w:r>
      <w:r w:rsidR="00131D79">
        <w:rPr>
          <w:rFonts w:cstheme="minorHAnsi"/>
          <w:iCs/>
        </w:rPr>
        <w:t xml:space="preserve"> </w:t>
      </w:r>
      <w:r w:rsidR="004F0CBB">
        <w:rPr>
          <w:rFonts w:cstheme="minorHAnsi"/>
          <w:iCs/>
        </w:rPr>
        <w:t>oil and gas extraction</w:t>
      </w:r>
      <w:r w:rsidRPr="004B1F03">
        <w:rPr>
          <w:rFonts w:cstheme="minorHAnsi"/>
          <w:iCs/>
        </w:rPr>
        <w:t xml:space="preserve"> </w:t>
      </w:r>
      <w:r w:rsidR="00131D79">
        <w:rPr>
          <w:rFonts w:cstheme="minorHAnsi"/>
          <w:iCs/>
        </w:rPr>
        <w:t xml:space="preserve">(OGE) </w:t>
      </w:r>
      <w:r w:rsidRPr="004B1F03">
        <w:rPr>
          <w:rFonts w:cstheme="minorHAnsi"/>
          <w:iCs/>
        </w:rPr>
        <w:t xml:space="preserve">workers, field-level supervisors, </w:t>
      </w:r>
      <w:r>
        <w:rPr>
          <w:rFonts w:cstheme="minorHAnsi"/>
          <w:iCs/>
        </w:rPr>
        <w:t xml:space="preserve">and </w:t>
      </w:r>
      <w:r w:rsidRPr="004B1F03">
        <w:rPr>
          <w:rFonts w:cstheme="minorHAnsi"/>
          <w:iCs/>
        </w:rPr>
        <w:t xml:space="preserve">senior </w:t>
      </w:r>
      <w:r w:rsidR="004F0CBB">
        <w:rPr>
          <w:rFonts w:cstheme="minorHAnsi"/>
          <w:iCs/>
        </w:rPr>
        <w:t>health and safety</w:t>
      </w:r>
      <w:r w:rsidR="00131D79">
        <w:rPr>
          <w:rFonts w:cstheme="minorHAnsi"/>
          <w:iCs/>
        </w:rPr>
        <w:t xml:space="preserve"> (H&amp;S) </w:t>
      </w:r>
      <w:r w:rsidRPr="004B1F03">
        <w:rPr>
          <w:rFonts w:cstheme="minorHAnsi"/>
          <w:iCs/>
        </w:rPr>
        <w:t>leadership</w:t>
      </w:r>
      <w:r>
        <w:rPr>
          <w:rFonts w:cstheme="minorHAnsi"/>
          <w:iCs/>
        </w:rPr>
        <w:t xml:space="preserve"> who </w:t>
      </w:r>
      <w:r w:rsidRPr="00073E90">
        <w:rPr>
          <w:rFonts w:cstheme="minorHAnsi"/>
          <w:iCs/>
        </w:rPr>
        <w:t xml:space="preserve">are </w:t>
      </w:r>
      <w:r w:rsidRPr="00162E0E">
        <w:rPr>
          <w:rFonts w:cstheme="minorHAnsi"/>
        </w:rPr>
        <w:t>employed or contracted by OGE compan</w:t>
      </w:r>
      <w:r w:rsidRPr="00162E0E" w:rsidR="00CD5FF1">
        <w:rPr>
          <w:rFonts w:cstheme="minorHAnsi"/>
        </w:rPr>
        <w:t xml:space="preserve">ies </w:t>
      </w:r>
      <w:r w:rsidR="000B05FD">
        <w:rPr>
          <w:rFonts w:cstheme="minorHAnsi"/>
        </w:rPr>
        <w:t xml:space="preserve">operating in the </w:t>
      </w:r>
      <w:r w:rsidR="00BC3F54">
        <w:rPr>
          <w:rFonts w:cstheme="minorHAnsi"/>
        </w:rPr>
        <w:t xml:space="preserve">contiguous </w:t>
      </w:r>
      <w:r w:rsidR="000B05FD">
        <w:rPr>
          <w:rFonts w:cstheme="minorHAnsi"/>
        </w:rPr>
        <w:t xml:space="preserve">United States </w:t>
      </w:r>
      <w:r w:rsidRPr="00162E0E" w:rsidR="00CD5FF1">
        <w:rPr>
          <w:rFonts w:cstheme="minorHAnsi"/>
        </w:rPr>
        <w:t xml:space="preserve">with the </w:t>
      </w:r>
      <w:r w:rsidRPr="00073E90" w:rsidR="00CD5FF1">
        <w:t>North American Industrial Classification System</w:t>
      </w:r>
      <w:r w:rsidR="00CD5FF1">
        <w:t xml:space="preserve"> </w:t>
      </w:r>
      <w:r w:rsidR="00131D79">
        <w:t>(</w:t>
      </w:r>
      <w:r w:rsidR="00CD5FF1">
        <w:t>NAICS</w:t>
      </w:r>
      <w:r w:rsidR="00131D79">
        <w:t>)</w:t>
      </w:r>
      <w:r w:rsidR="00CD5FF1">
        <w:t xml:space="preserve"> </w:t>
      </w:r>
      <w:r w:rsidR="007504BE">
        <w:t xml:space="preserve">code </w:t>
      </w:r>
      <w:r w:rsidR="00CD5FF1">
        <w:t xml:space="preserve">of 211, </w:t>
      </w:r>
      <w:r w:rsidR="00131D79">
        <w:t xml:space="preserve">213111, or </w:t>
      </w:r>
      <w:r w:rsidR="00CD5FF1">
        <w:t xml:space="preserve">213112. </w:t>
      </w:r>
      <w:r w:rsidR="00F07E9B">
        <w:rPr>
          <w:rFonts w:cstheme="minorHAnsi"/>
          <w:sz w:val="20"/>
          <w:szCs w:val="20"/>
        </w:rPr>
        <w:t>R</w:t>
      </w:r>
      <w:r>
        <w:rPr>
          <w:rFonts w:cstheme="minorHAnsi"/>
          <w:iCs/>
        </w:rPr>
        <w:t xml:space="preserve">esearchers who are </w:t>
      </w:r>
      <w:r w:rsidR="004F0CBB">
        <w:rPr>
          <w:rFonts w:cstheme="minorHAnsi"/>
          <w:iCs/>
        </w:rPr>
        <w:t>subject matter experts (</w:t>
      </w:r>
      <w:r>
        <w:rPr>
          <w:rFonts w:cstheme="minorHAnsi"/>
          <w:iCs/>
        </w:rPr>
        <w:t>SMEs</w:t>
      </w:r>
      <w:r w:rsidR="004F0CBB">
        <w:rPr>
          <w:rFonts w:cstheme="minorHAnsi"/>
          <w:iCs/>
        </w:rPr>
        <w:t>)</w:t>
      </w:r>
      <w:r>
        <w:rPr>
          <w:rFonts w:cstheme="minorHAnsi"/>
          <w:iCs/>
        </w:rPr>
        <w:t xml:space="preserve"> in occupational fatigue will also participate in this study. </w:t>
      </w:r>
      <w:r>
        <w:rPr>
          <w:rFonts w:cstheme="minorHAnsi"/>
          <w:iCs/>
        </w:rPr>
        <w:t>Table 1 identifies the 3 aims of this study and the corresponding study population, sample size,</w:t>
      </w:r>
      <w:r w:rsidR="007504BE">
        <w:rPr>
          <w:rFonts w:cstheme="minorHAnsi"/>
          <w:iCs/>
        </w:rPr>
        <w:t xml:space="preserve"> and</w:t>
      </w:r>
      <w:r>
        <w:rPr>
          <w:rFonts w:cstheme="minorHAnsi"/>
          <w:iCs/>
        </w:rPr>
        <w:t xml:space="preserve"> inclusion and exclusion criteria. </w:t>
      </w:r>
    </w:p>
    <w:p w:rsidR="00DE0EA6" w:rsidRPr="007E0481" w:rsidP="00DE0EA6" w14:paraId="0F05A0D9" w14:textId="17062FEA">
      <w:pPr>
        <w:tabs>
          <w:tab w:val="left" w:pos="0"/>
        </w:tabs>
        <w:suppressAutoHyphens/>
        <w:rPr>
          <w:rFonts w:cstheme="minorHAnsi"/>
          <w:b/>
          <w:bCs/>
          <w:iCs/>
        </w:rPr>
      </w:pPr>
      <w:r w:rsidRPr="007E0481">
        <w:rPr>
          <w:rFonts w:cstheme="minorHAnsi"/>
          <w:b/>
          <w:bCs/>
          <w:iCs/>
        </w:rPr>
        <w:t xml:space="preserve">Table 1: Study </w:t>
      </w:r>
      <w:r w:rsidR="00073E90">
        <w:rPr>
          <w:rFonts w:cstheme="minorHAnsi"/>
          <w:b/>
          <w:bCs/>
          <w:iCs/>
        </w:rPr>
        <w:t xml:space="preserve">aims, </w:t>
      </w:r>
      <w:r w:rsidRPr="007E0481">
        <w:rPr>
          <w:rFonts w:cstheme="minorHAnsi"/>
          <w:b/>
          <w:bCs/>
          <w:iCs/>
        </w:rPr>
        <w:t>population description, sample size, inclusion, and exclusion criteria</w:t>
      </w:r>
    </w:p>
    <w:tbl>
      <w:tblPr>
        <w:tblStyle w:val="TableGrid"/>
        <w:tblW w:w="9265" w:type="dxa"/>
        <w:tblLook w:val="04A0"/>
      </w:tblPr>
      <w:tblGrid>
        <w:gridCol w:w="1168"/>
        <w:gridCol w:w="2517"/>
        <w:gridCol w:w="2790"/>
        <w:gridCol w:w="2790"/>
      </w:tblGrid>
      <w:tr w14:paraId="36259837" w14:textId="77777777" w:rsidTr="00C7439A">
        <w:tblPrEx>
          <w:tblW w:w="9265" w:type="dxa"/>
          <w:tblLook w:val="04A0"/>
        </w:tblPrEx>
        <w:trPr>
          <w:trHeight w:val="494"/>
        </w:trPr>
        <w:tc>
          <w:tcPr>
            <w:tcW w:w="1168" w:type="dxa"/>
          </w:tcPr>
          <w:p w:rsidR="00DE0EA6" w:rsidRPr="00705E8D" w:rsidP="007D25D4" w14:paraId="65F8536F" w14:textId="77777777">
            <w:pPr>
              <w:tabs>
                <w:tab w:val="left" w:pos="0"/>
              </w:tabs>
              <w:suppressAutoHyphens/>
              <w:rPr>
                <w:rFonts w:cstheme="minorHAnsi"/>
                <w:b/>
                <w:bCs/>
                <w:iCs/>
                <w:sz w:val="20"/>
                <w:szCs w:val="20"/>
              </w:rPr>
            </w:pPr>
            <w:r w:rsidRPr="00705E8D">
              <w:rPr>
                <w:rFonts w:cstheme="minorHAnsi"/>
                <w:b/>
                <w:bCs/>
                <w:iCs/>
                <w:sz w:val="20"/>
                <w:szCs w:val="20"/>
              </w:rPr>
              <w:t>Aim</w:t>
            </w:r>
          </w:p>
        </w:tc>
        <w:tc>
          <w:tcPr>
            <w:tcW w:w="2517" w:type="dxa"/>
          </w:tcPr>
          <w:p w:rsidR="00DE0EA6" w:rsidRPr="00705E8D" w:rsidP="007D25D4" w14:paraId="02A5C8C8" w14:textId="77777777">
            <w:pPr>
              <w:tabs>
                <w:tab w:val="left" w:pos="0"/>
              </w:tabs>
              <w:suppressAutoHyphens/>
              <w:rPr>
                <w:rFonts w:cstheme="minorHAnsi"/>
                <w:iCs/>
                <w:sz w:val="20"/>
                <w:szCs w:val="20"/>
              </w:rPr>
            </w:pPr>
            <w:r w:rsidRPr="00705E8D">
              <w:rPr>
                <w:rFonts w:cstheme="minorHAnsi"/>
                <w:iCs/>
                <w:sz w:val="20"/>
                <w:szCs w:val="20"/>
              </w:rPr>
              <w:t>Aim 1</w:t>
            </w:r>
            <w:r>
              <w:rPr>
                <w:rFonts w:cstheme="minorHAnsi"/>
                <w:iCs/>
                <w:sz w:val="20"/>
                <w:szCs w:val="20"/>
              </w:rPr>
              <w:t xml:space="preserve"> – Field study</w:t>
            </w:r>
          </w:p>
        </w:tc>
        <w:tc>
          <w:tcPr>
            <w:tcW w:w="2790" w:type="dxa"/>
          </w:tcPr>
          <w:p w:rsidR="00DE0EA6" w:rsidRPr="00705E8D" w:rsidP="007D25D4" w14:paraId="2D145302" w14:textId="77777777">
            <w:pPr>
              <w:tabs>
                <w:tab w:val="left" w:pos="0"/>
              </w:tabs>
              <w:suppressAutoHyphens/>
              <w:rPr>
                <w:rFonts w:cstheme="minorHAnsi"/>
                <w:iCs/>
                <w:sz w:val="20"/>
                <w:szCs w:val="20"/>
              </w:rPr>
            </w:pPr>
            <w:r w:rsidRPr="00705E8D">
              <w:rPr>
                <w:rFonts w:cstheme="minorHAnsi"/>
                <w:iCs/>
                <w:sz w:val="20"/>
                <w:szCs w:val="20"/>
              </w:rPr>
              <w:t>Aim 2</w:t>
            </w:r>
            <w:r>
              <w:rPr>
                <w:rFonts w:cstheme="minorHAnsi"/>
                <w:iCs/>
                <w:sz w:val="20"/>
                <w:szCs w:val="20"/>
              </w:rPr>
              <w:t xml:space="preserve"> – Worker focus groups and supervisor interviews</w:t>
            </w:r>
          </w:p>
        </w:tc>
        <w:tc>
          <w:tcPr>
            <w:tcW w:w="2790" w:type="dxa"/>
          </w:tcPr>
          <w:p w:rsidR="00DE0EA6" w:rsidRPr="00705E8D" w:rsidP="007D25D4" w14:paraId="7FC14FF6" w14:textId="77777777">
            <w:pPr>
              <w:tabs>
                <w:tab w:val="left" w:pos="0"/>
              </w:tabs>
              <w:suppressAutoHyphens/>
              <w:rPr>
                <w:rFonts w:cstheme="minorHAnsi"/>
                <w:iCs/>
                <w:sz w:val="20"/>
                <w:szCs w:val="20"/>
              </w:rPr>
            </w:pPr>
            <w:r w:rsidRPr="00705E8D">
              <w:rPr>
                <w:rFonts w:cstheme="minorHAnsi"/>
                <w:iCs/>
                <w:sz w:val="20"/>
                <w:szCs w:val="20"/>
              </w:rPr>
              <w:t>Aim 3</w:t>
            </w:r>
            <w:r>
              <w:rPr>
                <w:rFonts w:cstheme="minorHAnsi"/>
                <w:iCs/>
                <w:sz w:val="20"/>
                <w:szCs w:val="20"/>
              </w:rPr>
              <w:t xml:space="preserve"> – Leader interviews</w:t>
            </w:r>
          </w:p>
        </w:tc>
      </w:tr>
      <w:tr w14:paraId="48E98425" w14:textId="77777777" w:rsidTr="00DE0EA6">
        <w:tblPrEx>
          <w:tblW w:w="9265" w:type="dxa"/>
          <w:tblLook w:val="04A0"/>
        </w:tblPrEx>
        <w:trPr>
          <w:trHeight w:val="1385"/>
        </w:trPr>
        <w:tc>
          <w:tcPr>
            <w:tcW w:w="1168" w:type="dxa"/>
          </w:tcPr>
          <w:p w:rsidR="00DE0EA6" w:rsidRPr="00705E8D" w:rsidP="007D25D4" w14:paraId="5B4D3598" w14:textId="77777777">
            <w:pPr>
              <w:tabs>
                <w:tab w:val="left" w:pos="0"/>
              </w:tabs>
              <w:suppressAutoHyphens/>
              <w:rPr>
                <w:rFonts w:cstheme="minorHAnsi"/>
                <w:b/>
                <w:bCs/>
                <w:iCs/>
                <w:sz w:val="20"/>
                <w:szCs w:val="20"/>
              </w:rPr>
            </w:pPr>
            <w:r w:rsidRPr="00705E8D">
              <w:rPr>
                <w:rFonts w:cstheme="minorHAnsi"/>
                <w:b/>
                <w:bCs/>
                <w:iCs/>
                <w:sz w:val="20"/>
                <w:szCs w:val="20"/>
              </w:rPr>
              <w:t>Description</w:t>
            </w:r>
          </w:p>
        </w:tc>
        <w:tc>
          <w:tcPr>
            <w:tcW w:w="2517" w:type="dxa"/>
          </w:tcPr>
          <w:p w:rsidR="00DE0EA6" w:rsidRPr="007E0481" w:rsidP="00DE0EA6" w14:paraId="3C0DEA3A" w14:textId="77777777">
            <w:pPr>
              <w:pStyle w:val="ListParagraph"/>
              <w:numPr>
                <w:ilvl w:val="0"/>
                <w:numId w:val="4"/>
              </w:numPr>
              <w:tabs>
                <w:tab w:val="left" w:pos="0"/>
              </w:tabs>
              <w:suppressAutoHyphens/>
              <w:ind w:left="186" w:hanging="180"/>
              <w:rPr>
                <w:rFonts w:cstheme="minorHAnsi"/>
                <w:iCs/>
                <w:sz w:val="20"/>
                <w:szCs w:val="20"/>
              </w:rPr>
            </w:pPr>
            <w:r>
              <w:rPr>
                <w:rFonts w:cstheme="minorHAnsi"/>
                <w:iCs/>
                <w:sz w:val="20"/>
                <w:szCs w:val="20"/>
              </w:rPr>
              <w:t>T</w:t>
            </w:r>
            <w:r w:rsidRPr="007E0481">
              <w:rPr>
                <w:rFonts w:cstheme="minorHAnsi"/>
                <w:iCs/>
                <w:sz w:val="20"/>
                <w:szCs w:val="20"/>
              </w:rPr>
              <w:t>o examine occupational and non-occupational determinants of sleep health in U.S. onshore OGE workers</w:t>
            </w:r>
          </w:p>
        </w:tc>
        <w:tc>
          <w:tcPr>
            <w:tcW w:w="2790" w:type="dxa"/>
          </w:tcPr>
          <w:p w:rsidR="00DE0EA6" w:rsidRPr="007E0481" w:rsidP="00DE0EA6" w14:paraId="7CDF7D05" w14:textId="77777777">
            <w:pPr>
              <w:pStyle w:val="ListParagraph"/>
              <w:numPr>
                <w:ilvl w:val="0"/>
                <w:numId w:val="4"/>
              </w:numPr>
              <w:tabs>
                <w:tab w:val="left" w:pos="0"/>
              </w:tabs>
              <w:suppressAutoHyphens/>
              <w:ind w:left="192" w:hanging="180"/>
              <w:rPr>
                <w:rFonts w:cstheme="minorHAnsi"/>
                <w:iCs/>
                <w:sz w:val="20"/>
                <w:szCs w:val="20"/>
              </w:rPr>
            </w:pPr>
            <w:r>
              <w:rPr>
                <w:sz w:val="20"/>
                <w:szCs w:val="20"/>
              </w:rPr>
              <w:t>T</w:t>
            </w:r>
            <w:r w:rsidRPr="007E0481">
              <w:rPr>
                <w:sz w:val="20"/>
                <w:szCs w:val="20"/>
              </w:rPr>
              <w:t>o identify worker and organizational factors critical to fatigue management in the OGE industry</w:t>
            </w:r>
          </w:p>
        </w:tc>
        <w:tc>
          <w:tcPr>
            <w:tcW w:w="2790" w:type="dxa"/>
          </w:tcPr>
          <w:p w:rsidR="00DE0EA6" w:rsidRPr="007E0481" w:rsidP="00DE0EA6" w14:paraId="24CC33BC" w14:textId="77777777">
            <w:pPr>
              <w:pStyle w:val="ListParagraph"/>
              <w:numPr>
                <w:ilvl w:val="0"/>
                <w:numId w:val="4"/>
              </w:numPr>
              <w:tabs>
                <w:tab w:val="left" w:pos="0"/>
              </w:tabs>
              <w:suppressAutoHyphens/>
              <w:ind w:left="186" w:hanging="180"/>
              <w:rPr>
                <w:rFonts w:cstheme="minorHAnsi"/>
                <w:iCs/>
                <w:sz w:val="20"/>
                <w:szCs w:val="20"/>
              </w:rPr>
            </w:pPr>
            <w:r>
              <w:rPr>
                <w:rFonts w:cstheme="minorHAnsi"/>
                <w:iCs/>
                <w:sz w:val="20"/>
                <w:szCs w:val="20"/>
              </w:rPr>
              <w:t>T</w:t>
            </w:r>
            <w:r w:rsidRPr="007E0481">
              <w:rPr>
                <w:rFonts w:cstheme="minorHAnsi"/>
                <w:iCs/>
                <w:sz w:val="20"/>
                <w:szCs w:val="20"/>
              </w:rPr>
              <w:t>o describe how fatigue mitigation strategies are currently being used in the onshore OGE industry</w:t>
            </w:r>
          </w:p>
        </w:tc>
      </w:tr>
      <w:tr w14:paraId="3C5923E9" w14:textId="77777777" w:rsidTr="00DE0EA6">
        <w:tblPrEx>
          <w:tblW w:w="9265" w:type="dxa"/>
          <w:tblLook w:val="04A0"/>
        </w:tblPrEx>
        <w:trPr>
          <w:trHeight w:val="899"/>
        </w:trPr>
        <w:tc>
          <w:tcPr>
            <w:tcW w:w="1168" w:type="dxa"/>
          </w:tcPr>
          <w:p w:rsidR="00DE0EA6" w:rsidRPr="00705E8D" w:rsidP="007D25D4" w14:paraId="417F58E8" w14:textId="413CD80A">
            <w:pPr>
              <w:tabs>
                <w:tab w:val="left" w:pos="0"/>
              </w:tabs>
              <w:suppressAutoHyphens/>
              <w:rPr>
                <w:rFonts w:cstheme="minorHAnsi"/>
                <w:b/>
                <w:bCs/>
                <w:iCs/>
                <w:sz w:val="20"/>
                <w:szCs w:val="20"/>
              </w:rPr>
            </w:pPr>
            <w:r w:rsidRPr="00705E8D">
              <w:rPr>
                <w:rFonts w:cstheme="minorHAnsi"/>
                <w:b/>
                <w:bCs/>
                <w:iCs/>
                <w:sz w:val="20"/>
                <w:szCs w:val="20"/>
              </w:rPr>
              <w:t xml:space="preserve">Sample </w:t>
            </w:r>
            <w:r w:rsidR="003B0A90">
              <w:rPr>
                <w:rFonts w:cstheme="minorHAnsi"/>
                <w:b/>
                <w:bCs/>
                <w:iCs/>
                <w:sz w:val="20"/>
                <w:szCs w:val="20"/>
              </w:rPr>
              <w:t xml:space="preserve">Population and </w:t>
            </w:r>
            <w:r w:rsidRPr="00705E8D">
              <w:rPr>
                <w:rFonts w:cstheme="minorHAnsi"/>
                <w:b/>
                <w:bCs/>
                <w:iCs/>
                <w:sz w:val="20"/>
                <w:szCs w:val="20"/>
              </w:rPr>
              <w:t>Size</w:t>
            </w:r>
          </w:p>
        </w:tc>
        <w:tc>
          <w:tcPr>
            <w:tcW w:w="2517" w:type="dxa"/>
          </w:tcPr>
          <w:p w:rsidR="00DE0EA6" w:rsidRPr="00705E8D" w:rsidP="007D25D4" w14:paraId="4D829179" w14:textId="77777777">
            <w:pPr>
              <w:tabs>
                <w:tab w:val="left" w:pos="0"/>
              </w:tabs>
              <w:suppressAutoHyphens/>
              <w:rPr>
                <w:rFonts w:cstheme="minorHAnsi"/>
                <w:iCs/>
                <w:sz w:val="20"/>
                <w:szCs w:val="20"/>
              </w:rPr>
            </w:pPr>
            <w:r>
              <w:rPr>
                <w:rFonts w:cstheme="minorHAnsi"/>
                <w:iCs/>
                <w:sz w:val="20"/>
                <w:szCs w:val="20"/>
              </w:rPr>
              <w:t>6</w:t>
            </w:r>
            <w:r w:rsidRPr="00705E8D">
              <w:rPr>
                <w:rFonts w:cstheme="minorHAnsi"/>
                <w:iCs/>
                <w:sz w:val="20"/>
                <w:szCs w:val="20"/>
              </w:rPr>
              <w:t>0</w:t>
            </w:r>
            <w:r>
              <w:rPr>
                <w:rFonts w:cstheme="minorHAnsi"/>
                <w:iCs/>
                <w:sz w:val="20"/>
                <w:szCs w:val="20"/>
              </w:rPr>
              <w:t xml:space="preserve"> workers and 20 field-level supervisors </w:t>
            </w:r>
          </w:p>
        </w:tc>
        <w:tc>
          <w:tcPr>
            <w:tcW w:w="2790" w:type="dxa"/>
          </w:tcPr>
          <w:p w:rsidR="00DE0EA6" w:rsidRPr="00705E8D" w:rsidP="007D25D4" w14:paraId="0144A8FF" w14:textId="77777777">
            <w:pPr>
              <w:tabs>
                <w:tab w:val="left" w:pos="0"/>
              </w:tabs>
              <w:suppressAutoHyphens/>
              <w:rPr>
                <w:sz w:val="20"/>
                <w:szCs w:val="20"/>
              </w:rPr>
            </w:pPr>
            <w:r w:rsidRPr="00705E8D">
              <w:rPr>
                <w:sz w:val="20"/>
                <w:szCs w:val="20"/>
              </w:rPr>
              <w:t xml:space="preserve">30 workers </w:t>
            </w:r>
          </w:p>
          <w:p w:rsidR="00DE0EA6" w:rsidP="007D25D4" w14:paraId="5FD3D502" w14:textId="77777777">
            <w:pPr>
              <w:tabs>
                <w:tab w:val="left" w:pos="0"/>
              </w:tabs>
              <w:suppressAutoHyphens/>
              <w:rPr>
                <w:sz w:val="20"/>
                <w:szCs w:val="20"/>
              </w:rPr>
            </w:pPr>
            <w:r w:rsidRPr="00705E8D">
              <w:rPr>
                <w:sz w:val="20"/>
                <w:szCs w:val="20"/>
              </w:rPr>
              <w:t>10 field- level supervisors</w:t>
            </w:r>
          </w:p>
          <w:p w:rsidR="00073E90" w:rsidP="00073E90" w14:paraId="1F365F8F" w14:textId="514B6D09">
            <w:pPr>
              <w:tabs>
                <w:tab w:val="left" w:pos="0"/>
              </w:tabs>
              <w:suppressAutoHyphens/>
              <w:rPr>
                <w:sz w:val="20"/>
                <w:szCs w:val="20"/>
              </w:rPr>
            </w:pPr>
            <w:r>
              <w:rPr>
                <w:sz w:val="20"/>
                <w:szCs w:val="20"/>
              </w:rPr>
              <w:t>(</w:t>
            </w:r>
            <w:r w:rsidR="007504BE">
              <w:rPr>
                <w:sz w:val="20"/>
                <w:szCs w:val="20"/>
              </w:rPr>
              <w:t xml:space="preserve">All </w:t>
            </w:r>
            <w:r w:rsidR="007504BE">
              <w:rPr>
                <w:sz w:val="20"/>
                <w:szCs w:val="20"/>
              </w:rPr>
              <w:t>r</w:t>
            </w:r>
            <w:r>
              <w:rPr>
                <w:sz w:val="20"/>
                <w:szCs w:val="20"/>
              </w:rPr>
              <w:t>ecruited from Aim 1)</w:t>
            </w:r>
          </w:p>
          <w:p w:rsidR="00073E90" w:rsidRPr="003C0822" w:rsidP="007D25D4" w14:paraId="4213F5A2" w14:textId="03FCC3D3">
            <w:pPr>
              <w:tabs>
                <w:tab w:val="left" w:pos="0"/>
              </w:tabs>
              <w:suppressAutoHyphens/>
              <w:rPr>
                <w:sz w:val="20"/>
                <w:szCs w:val="20"/>
              </w:rPr>
            </w:pPr>
          </w:p>
        </w:tc>
        <w:tc>
          <w:tcPr>
            <w:tcW w:w="2790" w:type="dxa"/>
          </w:tcPr>
          <w:p w:rsidR="00DE0EA6" w:rsidRPr="00705E8D" w:rsidP="007D25D4" w14:paraId="12C32E22" w14:textId="77777777">
            <w:pPr>
              <w:tabs>
                <w:tab w:val="left" w:pos="0"/>
              </w:tabs>
              <w:suppressAutoHyphens/>
              <w:rPr>
                <w:rFonts w:cstheme="minorHAnsi"/>
                <w:iCs/>
                <w:sz w:val="20"/>
                <w:szCs w:val="20"/>
              </w:rPr>
            </w:pPr>
            <w:r w:rsidRPr="00705E8D">
              <w:rPr>
                <w:rFonts w:cstheme="minorHAnsi"/>
                <w:iCs/>
                <w:sz w:val="20"/>
                <w:szCs w:val="20"/>
              </w:rPr>
              <w:t xml:space="preserve">7 </w:t>
            </w:r>
            <w:r>
              <w:rPr>
                <w:rFonts w:cstheme="minorHAnsi"/>
                <w:iCs/>
                <w:sz w:val="20"/>
                <w:szCs w:val="20"/>
              </w:rPr>
              <w:t>s</w:t>
            </w:r>
            <w:r w:rsidRPr="00705E8D">
              <w:rPr>
                <w:rFonts w:cstheme="minorHAnsi"/>
                <w:iCs/>
                <w:sz w:val="20"/>
                <w:szCs w:val="20"/>
              </w:rPr>
              <w:t xml:space="preserve">enior H&amp;S leaders </w:t>
            </w:r>
          </w:p>
          <w:p w:rsidR="00DE0EA6" w:rsidRPr="00705E8D" w:rsidP="007D25D4" w14:paraId="64CD8AF7" w14:textId="77777777">
            <w:pPr>
              <w:tabs>
                <w:tab w:val="left" w:pos="0"/>
              </w:tabs>
              <w:suppressAutoHyphens/>
              <w:rPr>
                <w:rFonts w:cstheme="minorHAnsi"/>
                <w:iCs/>
                <w:sz w:val="20"/>
                <w:szCs w:val="20"/>
              </w:rPr>
            </w:pPr>
            <w:r w:rsidRPr="00705E8D">
              <w:rPr>
                <w:rFonts w:cstheme="minorHAnsi"/>
                <w:iCs/>
                <w:sz w:val="20"/>
                <w:szCs w:val="20"/>
              </w:rPr>
              <w:t xml:space="preserve">3 </w:t>
            </w:r>
            <w:r>
              <w:rPr>
                <w:rFonts w:cstheme="minorHAnsi"/>
                <w:iCs/>
                <w:sz w:val="20"/>
                <w:szCs w:val="20"/>
              </w:rPr>
              <w:t>occupational fatigue SMEs</w:t>
            </w:r>
          </w:p>
        </w:tc>
      </w:tr>
      <w:tr w14:paraId="07633663" w14:textId="77777777" w:rsidTr="00DE0EA6">
        <w:tblPrEx>
          <w:tblW w:w="9265" w:type="dxa"/>
          <w:tblLook w:val="04A0"/>
        </w:tblPrEx>
        <w:trPr>
          <w:trHeight w:val="4841"/>
        </w:trPr>
        <w:tc>
          <w:tcPr>
            <w:tcW w:w="1168" w:type="dxa"/>
          </w:tcPr>
          <w:p w:rsidR="00DE0EA6" w:rsidRPr="00705E8D" w:rsidP="007D25D4" w14:paraId="42C376FD" w14:textId="77777777">
            <w:pPr>
              <w:tabs>
                <w:tab w:val="left" w:pos="0"/>
              </w:tabs>
              <w:suppressAutoHyphens/>
              <w:rPr>
                <w:rFonts w:cstheme="minorHAnsi"/>
                <w:b/>
                <w:bCs/>
                <w:iCs/>
                <w:sz w:val="20"/>
                <w:szCs w:val="20"/>
              </w:rPr>
            </w:pPr>
            <w:r w:rsidRPr="00705E8D">
              <w:rPr>
                <w:rFonts w:cstheme="minorHAnsi"/>
                <w:b/>
                <w:bCs/>
                <w:iCs/>
                <w:sz w:val="20"/>
                <w:szCs w:val="20"/>
              </w:rPr>
              <w:t>Inclusion Criteria</w:t>
            </w:r>
          </w:p>
        </w:tc>
        <w:tc>
          <w:tcPr>
            <w:tcW w:w="2517" w:type="dxa"/>
          </w:tcPr>
          <w:p w:rsidR="00DE0EA6" w:rsidRPr="00705E8D" w:rsidP="00DE0EA6" w14:paraId="5FB89D7A" w14:textId="77777777">
            <w:pPr>
              <w:pStyle w:val="ListParagraph"/>
              <w:numPr>
                <w:ilvl w:val="0"/>
                <w:numId w:val="3"/>
              </w:numPr>
              <w:spacing w:after="160" w:line="259" w:lineRule="auto"/>
              <w:ind w:left="156" w:hanging="192"/>
              <w:rPr>
                <w:rFonts w:cstheme="minorHAnsi"/>
                <w:sz w:val="20"/>
                <w:szCs w:val="20"/>
              </w:rPr>
            </w:pPr>
            <w:r>
              <w:rPr>
                <w:rFonts w:cstheme="minorHAnsi"/>
                <w:sz w:val="20"/>
                <w:szCs w:val="20"/>
              </w:rPr>
              <w:t xml:space="preserve">Can give </w:t>
            </w:r>
            <w:r w:rsidRPr="00705E8D">
              <w:rPr>
                <w:rFonts w:cstheme="minorHAnsi"/>
                <w:sz w:val="20"/>
                <w:szCs w:val="20"/>
              </w:rPr>
              <w:t xml:space="preserve">informed consent </w:t>
            </w:r>
          </w:p>
          <w:p w:rsidR="003B0A90" w:rsidRPr="00705E8D" w:rsidP="003B0A90" w14:paraId="49D7860A" w14:textId="77777777">
            <w:pPr>
              <w:pStyle w:val="ListParagraph"/>
              <w:numPr>
                <w:ilvl w:val="0"/>
                <w:numId w:val="3"/>
              </w:numPr>
              <w:ind w:left="156" w:hanging="192"/>
              <w:rPr>
                <w:rFonts w:cstheme="minorHAnsi"/>
                <w:sz w:val="20"/>
                <w:szCs w:val="20"/>
              </w:rPr>
            </w:pPr>
            <w:r w:rsidRPr="00705E8D">
              <w:rPr>
                <w:rFonts w:cstheme="minorHAnsi"/>
                <w:sz w:val="20"/>
                <w:szCs w:val="20"/>
              </w:rPr>
              <w:t>Age 18 years or older</w:t>
            </w:r>
            <w:r>
              <w:rPr>
                <w:rFonts w:cstheme="minorHAnsi"/>
                <w:sz w:val="20"/>
                <w:szCs w:val="20"/>
              </w:rPr>
              <w:t xml:space="preserve"> on the date of consent</w:t>
            </w:r>
          </w:p>
          <w:p w:rsidR="00DE0EA6" w:rsidRPr="00705E8D" w:rsidP="00DE0EA6" w14:paraId="487E3BCB" w14:textId="5EC05043">
            <w:pPr>
              <w:pStyle w:val="ListParagraph"/>
              <w:numPr>
                <w:ilvl w:val="0"/>
                <w:numId w:val="3"/>
              </w:numPr>
              <w:ind w:left="156" w:hanging="192"/>
              <w:rPr>
                <w:rFonts w:cstheme="minorHAnsi"/>
                <w:sz w:val="20"/>
                <w:szCs w:val="20"/>
              </w:rPr>
            </w:pPr>
            <w:r w:rsidRPr="00705E8D">
              <w:rPr>
                <w:rFonts w:cstheme="minorHAnsi"/>
                <w:sz w:val="20"/>
                <w:szCs w:val="20"/>
              </w:rPr>
              <w:t xml:space="preserve">Employed by a </w:t>
            </w:r>
            <w:r>
              <w:rPr>
                <w:rFonts w:cstheme="minorHAnsi"/>
                <w:sz w:val="20"/>
                <w:szCs w:val="20"/>
              </w:rPr>
              <w:t>OGE contractor</w:t>
            </w:r>
            <w:r w:rsidRPr="00705E8D">
              <w:rPr>
                <w:rFonts w:cstheme="minorHAnsi"/>
                <w:sz w:val="20"/>
                <w:szCs w:val="20"/>
              </w:rPr>
              <w:t xml:space="preserve"> company for at least 3 months </w:t>
            </w:r>
          </w:p>
          <w:p w:rsidR="00DE0EA6" w:rsidRPr="00705E8D" w:rsidP="00DE0EA6" w14:paraId="2DC8B8DC" w14:textId="77777777">
            <w:pPr>
              <w:pStyle w:val="ListParagraph"/>
              <w:numPr>
                <w:ilvl w:val="0"/>
                <w:numId w:val="3"/>
              </w:numPr>
              <w:ind w:left="156" w:hanging="192"/>
              <w:rPr>
                <w:rFonts w:cstheme="minorHAnsi"/>
                <w:sz w:val="20"/>
                <w:szCs w:val="20"/>
              </w:rPr>
            </w:pPr>
            <w:r w:rsidRPr="00705E8D">
              <w:rPr>
                <w:rFonts w:cstheme="minorHAnsi"/>
                <w:sz w:val="20"/>
                <w:szCs w:val="20"/>
              </w:rPr>
              <w:t>Must work at a wellsite at least two days per week</w:t>
            </w:r>
          </w:p>
          <w:p w:rsidR="00DE0EA6" w:rsidRPr="00705E8D" w:rsidP="00DE0EA6" w14:paraId="2D54A86B" w14:textId="77777777">
            <w:pPr>
              <w:pStyle w:val="ListParagraph"/>
              <w:numPr>
                <w:ilvl w:val="0"/>
                <w:numId w:val="3"/>
              </w:numPr>
              <w:ind w:left="156" w:hanging="192"/>
              <w:rPr>
                <w:rFonts w:cstheme="minorHAnsi"/>
                <w:sz w:val="20"/>
                <w:szCs w:val="20"/>
              </w:rPr>
            </w:pPr>
            <w:r w:rsidRPr="00705E8D">
              <w:rPr>
                <w:rFonts w:cstheme="minorHAnsi"/>
                <w:sz w:val="20"/>
                <w:szCs w:val="20"/>
              </w:rPr>
              <w:t>Is willing to adhere to the study procedures</w:t>
            </w:r>
          </w:p>
          <w:p w:rsidR="00DE0EA6" w:rsidRPr="00705E8D" w:rsidP="007D25D4" w14:paraId="23CDCE17" w14:textId="77777777">
            <w:pPr>
              <w:tabs>
                <w:tab w:val="left" w:pos="0"/>
              </w:tabs>
              <w:suppressAutoHyphens/>
              <w:rPr>
                <w:rFonts w:cstheme="minorHAnsi"/>
                <w:iCs/>
                <w:sz w:val="20"/>
                <w:szCs w:val="20"/>
              </w:rPr>
            </w:pPr>
          </w:p>
        </w:tc>
        <w:tc>
          <w:tcPr>
            <w:tcW w:w="2790" w:type="dxa"/>
          </w:tcPr>
          <w:p w:rsidR="00DE0EA6" w:rsidRPr="00705E8D" w:rsidP="007D25D4" w14:paraId="29680B31" w14:textId="77777777">
            <w:pPr>
              <w:tabs>
                <w:tab w:val="left" w:pos="0"/>
              </w:tabs>
              <w:suppressAutoHyphens/>
              <w:rPr>
                <w:rFonts w:cstheme="minorHAnsi"/>
                <w:iCs/>
                <w:sz w:val="20"/>
                <w:szCs w:val="20"/>
              </w:rPr>
            </w:pPr>
            <w:r w:rsidRPr="00705E8D">
              <w:rPr>
                <w:rFonts w:cstheme="minorHAnsi"/>
                <w:iCs/>
                <w:sz w:val="20"/>
                <w:szCs w:val="20"/>
              </w:rPr>
              <w:t>Worker focus group</w:t>
            </w:r>
            <w:r>
              <w:rPr>
                <w:rFonts w:cstheme="minorHAnsi"/>
                <w:iCs/>
                <w:sz w:val="20"/>
                <w:szCs w:val="20"/>
              </w:rPr>
              <w:t>s</w:t>
            </w:r>
            <w:r w:rsidRPr="00705E8D">
              <w:rPr>
                <w:rFonts w:cstheme="minorHAnsi"/>
                <w:iCs/>
                <w:sz w:val="20"/>
                <w:szCs w:val="20"/>
              </w:rPr>
              <w:t xml:space="preserve">: </w:t>
            </w:r>
          </w:p>
          <w:p w:rsidR="00DE0EA6" w:rsidRPr="00705E8D" w:rsidP="00DE0EA6" w14:paraId="1782318B" w14:textId="77777777">
            <w:pPr>
              <w:pStyle w:val="ListParagraph"/>
              <w:numPr>
                <w:ilvl w:val="0"/>
                <w:numId w:val="3"/>
              </w:numPr>
              <w:tabs>
                <w:tab w:val="left" w:pos="0"/>
              </w:tabs>
              <w:suppressAutoHyphens/>
              <w:ind w:left="162" w:hanging="162"/>
              <w:rPr>
                <w:rFonts w:cstheme="minorHAnsi"/>
                <w:iCs/>
                <w:sz w:val="20"/>
                <w:szCs w:val="20"/>
              </w:rPr>
            </w:pPr>
            <w:r w:rsidRPr="00705E8D">
              <w:rPr>
                <w:rFonts w:cstheme="minorHAnsi"/>
                <w:iCs/>
                <w:sz w:val="20"/>
                <w:szCs w:val="20"/>
              </w:rPr>
              <w:t xml:space="preserve">Same as Aim 1 </w:t>
            </w:r>
          </w:p>
          <w:p w:rsidR="00DE0EA6" w:rsidRPr="00705E8D" w:rsidP="007D25D4" w14:paraId="78B353B2" w14:textId="77777777">
            <w:pPr>
              <w:tabs>
                <w:tab w:val="left" w:pos="0"/>
              </w:tabs>
              <w:suppressAutoHyphens/>
              <w:rPr>
                <w:rFonts w:cstheme="minorHAnsi"/>
                <w:iCs/>
                <w:sz w:val="20"/>
                <w:szCs w:val="20"/>
              </w:rPr>
            </w:pPr>
          </w:p>
          <w:p w:rsidR="00DE0EA6" w:rsidRPr="00705E8D" w:rsidP="007D25D4" w14:paraId="129EC855" w14:textId="77777777">
            <w:pPr>
              <w:tabs>
                <w:tab w:val="left" w:pos="0"/>
              </w:tabs>
              <w:suppressAutoHyphens/>
              <w:rPr>
                <w:rFonts w:cstheme="minorHAnsi"/>
                <w:iCs/>
                <w:sz w:val="20"/>
                <w:szCs w:val="20"/>
              </w:rPr>
            </w:pPr>
            <w:r w:rsidRPr="00705E8D">
              <w:rPr>
                <w:rFonts w:cstheme="minorHAnsi"/>
                <w:iCs/>
                <w:sz w:val="20"/>
                <w:szCs w:val="20"/>
              </w:rPr>
              <w:t xml:space="preserve">Field-level supervisor interviews: </w:t>
            </w:r>
          </w:p>
          <w:p w:rsidR="00DE0EA6" w:rsidRPr="00705E8D" w:rsidP="00DE0EA6" w14:paraId="7078114F" w14:textId="77777777">
            <w:pPr>
              <w:pStyle w:val="ListParagraph"/>
              <w:numPr>
                <w:ilvl w:val="0"/>
                <w:numId w:val="3"/>
              </w:numPr>
              <w:tabs>
                <w:tab w:val="left" w:pos="0"/>
              </w:tabs>
              <w:suppressAutoHyphens/>
              <w:ind w:left="162" w:hanging="162"/>
              <w:rPr>
                <w:rFonts w:cstheme="minorHAnsi"/>
                <w:iCs/>
                <w:sz w:val="20"/>
                <w:szCs w:val="20"/>
              </w:rPr>
            </w:pPr>
            <w:r w:rsidRPr="00705E8D">
              <w:rPr>
                <w:rFonts w:cstheme="minorHAnsi"/>
                <w:iCs/>
                <w:sz w:val="20"/>
                <w:szCs w:val="20"/>
              </w:rPr>
              <w:t>Same as Aim 1</w:t>
            </w:r>
          </w:p>
          <w:p w:rsidR="00DE0EA6" w:rsidRPr="00705E8D" w:rsidP="00DE0EA6" w14:paraId="493CF8E3" w14:textId="77777777">
            <w:pPr>
              <w:pStyle w:val="ListParagraph"/>
              <w:numPr>
                <w:ilvl w:val="0"/>
                <w:numId w:val="3"/>
              </w:numPr>
              <w:ind w:left="138" w:hanging="138"/>
              <w:rPr>
                <w:rFonts w:cstheme="minorHAnsi"/>
                <w:iCs/>
                <w:sz w:val="20"/>
                <w:szCs w:val="20"/>
              </w:rPr>
            </w:pPr>
            <w:r w:rsidRPr="00705E8D">
              <w:rPr>
                <w:rFonts w:cstheme="minorHAnsi"/>
                <w:iCs/>
                <w:sz w:val="20"/>
                <w:szCs w:val="20"/>
              </w:rPr>
              <w:t xml:space="preserve">Employed </w:t>
            </w:r>
            <w:r w:rsidRPr="00705E8D">
              <w:rPr>
                <w:rFonts w:cstheme="minorHAnsi"/>
                <w:iCs/>
                <w:sz w:val="20"/>
                <w:szCs w:val="20"/>
              </w:rPr>
              <w:t xml:space="preserve">in a management or supervisory position with a </w:t>
            </w:r>
            <w:r>
              <w:rPr>
                <w:rFonts w:cstheme="minorHAnsi"/>
                <w:iCs/>
                <w:sz w:val="20"/>
                <w:szCs w:val="20"/>
              </w:rPr>
              <w:t>OGE contractor</w:t>
            </w:r>
            <w:r w:rsidRPr="00705E8D">
              <w:rPr>
                <w:rFonts w:cstheme="minorHAnsi"/>
                <w:iCs/>
                <w:sz w:val="20"/>
                <w:szCs w:val="20"/>
              </w:rPr>
              <w:t xml:space="preserve"> company</w:t>
            </w:r>
          </w:p>
          <w:p w:rsidR="00DE0EA6" w:rsidRPr="00705E8D" w:rsidP="007D25D4" w14:paraId="4324F99A" w14:textId="77777777">
            <w:pPr>
              <w:tabs>
                <w:tab w:val="left" w:pos="0"/>
              </w:tabs>
              <w:suppressAutoHyphens/>
              <w:rPr>
                <w:rFonts w:cstheme="minorHAnsi"/>
                <w:iCs/>
                <w:sz w:val="20"/>
                <w:szCs w:val="20"/>
              </w:rPr>
            </w:pPr>
          </w:p>
        </w:tc>
        <w:tc>
          <w:tcPr>
            <w:tcW w:w="2790" w:type="dxa"/>
          </w:tcPr>
          <w:p w:rsidR="00DE0EA6" w:rsidP="00DE0EA6" w14:paraId="7C885A50" w14:textId="58C37142">
            <w:pPr>
              <w:pStyle w:val="ListParagraph"/>
              <w:numPr>
                <w:ilvl w:val="0"/>
                <w:numId w:val="2"/>
              </w:numPr>
              <w:ind w:left="204" w:hanging="204"/>
              <w:rPr>
                <w:rFonts w:cstheme="minorHAnsi"/>
                <w:sz w:val="20"/>
                <w:szCs w:val="20"/>
              </w:rPr>
            </w:pPr>
            <w:r>
              <w:rPr>
                <w:rFonts w:cstheme="minorHAnsi"/>
                <w:sz w:val="20"/>
                <w:szCs w:val="20"/>
              </w:rPr>
              <w:t>Can give</w:t>
            </w:r>
            <w:r w:rsidRPr="00373192">
              <w:rPr>
                <w:rFonts w:cstheme="minorHAnsi"/>
                <w:sz w:val="20"/>
                <w:szCs w:val="20"/>
              </w:rPr>
              <w:t xml:space="preserve"> informed consent</w:t>
            </w:r>
          </w:p>
          <w:p w:rsidR="00DE0EA6" w:rsidRPr="00373192" w:rsidP="00DE0EA6" w14:paraId="15FDB94F" w14:textId="77777777">
            <w:pPr>
              <w:pStyle w:val="ListParagraph"/>
              <w:numPr>
                <w:ilvl w:val="0"/>
                <w:numId w:val="2"/>
              </w:numPr>
              <w:ind w:left="204" w:hanging="204"/>
              <w:rPr>
                <w:rFonts w:cstheme="minorHAnsi"/>
                <w:sz w:val="20"/>
                <w:szCs w:val="20"/>
              </w:rPr>
            </w:pPr>
            <w:r>
              <w:rPr>
                <w:rFonts w:cstheme="minorHAnsi"/>
                <w:sz w:val="20"/>
                <w:szCs w:val="20"/>
              </w:rPr>
              <w:t>Age 18 years or older on the date of consent</w:t>
            </w:r>
          </w:p>
          <w:p w:rsidR="00DE0EA6" w:rsidRPr="00373192" w:rsidP="007D25D4" w14:paraId="41BAC41F" w14:textId="77777777">
            <w:pPr>
              <w:rPr>
                <w:rFonts w:cstheme="minorHAnsi"/>
                <w:sz w:val="20"/>
                <w:szCs w:val="20"/>
              </w:rPr>
            </w:pPr>
          </w:p>
          <w:p w:rsidR="00DE0EA6" w:rsidRPr="00373192" w:rsidP="007D25D4" w14:paraId="3502AA7C" w14:textId="77777777">
            <w:pPr>
              <w:rPr>
                <w:rFonts w:cstheme="minorHAnsi"/>
                <w:sz w:val="20"/>
                <w:szCs w:val="20"/>
              </w:rPr>
            </w:pPr>
            <w:r w:rsidRPr="00373192">
              <w:rPr>
                <w:rFonts w:cstheme="minorHAnsi"/>
                <w:sz w:val="20"/>
                <w:szCs w:val="20"/>
              </w:rPr>
              <w:t xml:space="preserve">Senior H&amp;S Leadership: </w:t>
            </w:r>
          </w:p>
          <w:p w:rsidR="00DE0EA6" w:rsidRPr="00373192" w:rsidP="00DE0EA6" w14:paraId="42532CFD" w14:textId="77777777">
            <w:pPr>
              <w:pStyle w:val="ListParagraph"/>
              <w:numPr>
                <w:ilvl w:val="1"/>
                <w:numId w:val="2"/>
              </w:numPr>
              <w:ind w:left="204" w:right="72" w:hanging="180"/>
              <w:rPr>
                <w:rFonts w:cstheme="minorHAnsi"/>
                <w:sz w:val="20"/>
                <w:szCs w:val="20"/>
              </w:rPr>
            </w:pPr>
            <w:r w:rsidRPr="00373192">
              <w:rPr>
                <w:rFonts w:cstheme="minorHAnsi"/>
                <w:sz w:val="20"/>
                <w:szCs w:val="20"/>
              </w:rPr>
              <w:t xml:space="preserve">Employed or contracted by a </w:t>
            </w:r>
            <w:r>
              <w:rPr>
                <w:rFonts w:cstheme="minorHAnsi"/>
                <w:sz w:val="20"/>
                <w:szCs w:val="20"/>
              </w:rPr>
              <w:t xml:space="preserve">OGE </w:t>
            </w:r>
            <w:r w:rsidRPr="00373192">
              <w:rPr>
                <w:rFonts w:cstheme="minorHAnsi"/>
                <w:sz w:val="20"/>
                <w:szCs w:val="20"/>
              </w:rPr>
              <w:t xml:space="preserve">company in a senior H&amp;S leadership position </w:t>
            </w:r>
            <w:r w:rsidRPr="00373192">
              <w:rPr>
                <w:sz w:val="20"/>
                <w:szCs w:val="20"/>
              </w:rPr>
              <w:t>(i.e., Directors, Vice presidents), or</w:t>
            </w:r>
          </w:p>
          <w:p w:rsidR="00DE0EA6" w:rsidRPr="00373192" w:rsidP="00DE0EA6" w14:paraId="0BF1CCDD" w14:textId="77777777">
            <w:pPr>
              <w:pStyle w:val="ListParagraph"/>
              <w:numPr>
                <w:ilvl w:val="1"/>
                <w:numId w:val="2"/>
              </w:numPr>
              <w:ind w:left="204" w:hanging="180"/>
              <w:rPr>
                <w:rFonts w:cstheme="minorHAnsi"/>
                <w:sz w:val="20"/>
                <w:szCs w:val="20"/>
              </w:rPr>
            </w:pPr>
            <w:r w:rsidRPr="00373192">
              <w:rPr>
                <w:rFonts w:cstheme="minorHAnsi"/>
                <w:iCs/>
                <w:sz w:val="20"/>
                <w:szCs w:val="20"/>
              </w:rPr>
              <w:t xml:space="preserve">H&amp;S consultants whose business portfolio consist primarily of OGE companies </w:t>
            </w:r>
          </w:p>
          <w:p w:rsidR="00DE0EA6" w:rsidRPr="00373192" w:rsidP="00DE0EA6" w14:paraId="564D03CA" w14:textId="77777777">
            <w:pPr>
              <w:pStyle w:val="ListParagraph"/>
              <w:numPr>
                <w:ilvl w:val="1"/>
                <w:numId w:val="2"/>
              </w:numPr>
              <w:ind w:left="204" w:hanging="180"/>
              <w:rPr>
                <w:rFonts w:cstheme="minorHAnsi"/>
                <w:sz w:val="20"/>
                <w:szCs w:val="20"/>
              </w:rPr>
            </w:pPr>
            <w:r w:rsidRPr="00373192">
              <w:rPr>
                <w:rFonts w:cstheme="minorHAnsi"/>
                <w:iCs/>
                <w:sz w:val="20"/>
                <w:szCs w:val="20"/>
              </w:rPr>
              <w:t>Employed in this position for at least 12 months</w:t>
            </w:r>
          </w:p>
          <w:p w:rsidR="00DE0EA6" w:rsidRPr="00373192" w:rsidP="007D25D4" w14:paraId="63973D7D" w14:textId="77777777">
            <w:pPr>
              <w:rPr>
                <w:rFonts w:cstheme="minorHAnsi"/>
                <w:sz w:val="20"/>
                <w:szCs w:val="20"/>
              </w:rPr>
            </w:pPr>
          </w:p>
          <w:p w:rsidR="00DE0EA6" w:rsidRPr="00373192" w:rsidP="007D25D4" w14:paraId="3C1ECDD6" w14:textId="77777777">
            <w:pPr>
              <w:rPr>
                <w:rFonts w:cstheme="minorHAnsi"/>
                <w:sz w:val="20"/>
                <w:szCs w:val="20"/>
              </w:rPr>
            </w:pPr>
            <w:r>
              <w:rPr>
                <w:rFonts w:cstheme="minorHAnsi"/>
                <w:sz w:val="20"/>
                <w:szCs w:val="20"/>
              </w:rPr>
              <w:t>Scientific</w:t>
            </w:r>
            <w:r w:rsidRPr="00373192">
              <w:rPr>
                <w:rFonts w:cstheme="minorHAnsi"/>
                <w:sz w:val="20"/>
                <w:szCs w:val="20"/>
              </w:rPr>
              <w:t xml:space="preserve"> researchers:</w:t>
            </w:r>
          </w:p>
          <w:p w:rsidR="00DE0EA6" w:rsidRPr="003C0822" w:rsidP="00DE0EA6" w14:paraId="04CB5407" w14:textId="77777777">
            <w:pPr>
              <w:pStyle w:val="ListParagraph"/>
              <w:numPr>
                <w:ilvl w:val="1"/>
                <w:numId w:val="2"/>
              </w:numPr>
              <w:ind w:left="162" w:hanging="162"/>
              <w:rPr>
                <w:rFonts w:cstheme="minorHAnsi"/>
                <w:sz w:val="20"/>
                <w:szCs w:val="20"/>
              </w:rPr>
            </w:pPr>
            <w:r w:rsidRPr="00373192">
              <w:rPr>
                <w:rFonts w:cstheme="minorHAnsi"/>
                <w:sz w:val="20"/>
                <w:szCs w:val="20"/>
              </w:rPr>
              <w:t xml:space="preserve">Subject matter expertise in </w:t>
            </w:r>
            <w:r>
              <w:rPr>
                <w:rFonts w:cstheme="minorHAnsi"/>
                <w:sz w:val="20"/>
                <w:szCs w:val="20"/>
              </w:rPr>
              <w:t xml:space="preserve">occupational </w:t>
            </w:r>
            <w:r w:rsidRPr="00373192">
              <w:rPr>
                <w:rFonts w:cstheme="minorHAnsi"/>
                <w:sz w:val="20"/>
                <w:szCs w:val="20"/>
              </w:rPr>
              <w:t>fatigue research</w:t>
            </w:r>
          </w:p>
        </w:tc>
      </w:tr>
      <w:tr w14:paraId="21E808BD" w14:textId="77777777" w:rsidTr="00DE0EA6">
        <w:tblPrEx>
          <w:tblW w:w="9265" w:type="dxa"/>
          <w:tblLook w:val="04A0"/>
        </w:tblPrEx>
        <w:trPr>
          <w:trHeight w:val="492"/>
        </w:trPr>
        <w:tc>
          <w:tcPr>
            <w:tcW w:w="1168" w:type="dxa"/>
          </w:tcPr>
          <w:p w:rsidR="00DE0EA6" w:rsidRPr="00705E8D" w:rsidP="007D25D4" w14:paraId="042A1D08" w14:textId="77777777">
            <w:pPr>
              <w:tabs>
                <w:tab w:val="left" w:pos="0"/>
              </w:tabs>
              <w:suppressAutoHyphens/>
              <w:rPr>
                <w:rFonts w:cstheme="minorHAnsi"/>
                <w:b/>
                <w:bCs/>
                <w:iCs/>
                <w:sz w:val="20"/>
                <w:szCs w:val="20"/>
              </w:rPr>
            </w:pPr>
            <w:r>
              <w:rPr>
                <w:rFonts w:cstheme="minorHAnsi"/>
                <w:b/>
                <w:bCs/>
                <w:iCs/>
                <w:sz w:val="20"/>
                <w:szCs w:val="20"/>
              </w:rPr>
              <w:t>Exclusion Criteria</w:t>
            </w:r>
          </w:p>
        </w:tc>
        <w:tc>
          <w:tcPr>
            <w:tcW w:w="2517" w:type="dxa"/>
          </w:tcPr>
          <w:p w:rsidR="00DE0EA6" w:rsidRPr="00705E8D" w:rsidP="00DE0EA6" w14:paraId="5EA85DB3" w14:textId="77777777">
            <w:pPr>
              <w:pStyle w:val="ListParagraph"/>
              <w:numPr>
                <w:ilvl w:val="0"/>
                <w:numId w:val="3"/>
              </w:numPr>
              <w:ind w:left="156" w:hanging="192"/>
              <w:rPr>
                <w:rFonts w:cstheme="minorHAnsi"/>
                <w:sz w:val="20"/>
                <w:szCs w:val="20"/>
              </w:rPr>
            </w:pPr>
            <w:r>
              <w:rPr>
                <w:rFonts w:cstheme="minorHAnsi"/>
                <w:sz w:val="20"/>
                <w:szCs w:val="20"/>
              </w:rPr>
              <w:t>Self-report they are currently pregnant</w:t>
            </w:r>
          </w:p>
        </w:tc>
        <w:tc>
          <w:tcPr>
            <w:tcW w:w="2790" w:type="dxa"/>
          </w:tcPr>
          <w:p w:rsidR="00DE0EA6" w:rsidRPr="00705E8D" w:rsidP="007D25D4" w14:paraId="7C1F72CA" w14:textId="77777777">
            <w:pPr>
              <w:tabs>
                <w:tab w:val="left" w:pos="0"/>
              </w:tabs>
              <w:suppressAutoHyphens/>
              <w:rPr>
                <w:rFonts w:cstheme="minorHAnsi"/>
                <w:iCs/>
                <w:sz w:val="20"/>
                <w:szCs w:val="20"/>
              </w:rPr>
            </w:pPr>
            <w:r>
              <w:rPr>
                <w:rFonts w:cstheme="minorHAnsi"/>
                <w:iCs/>
                <w:sz w:val="20"/>
                <w:szCs w:val="20"/>
              </w:rPr>
              <w:t>N/A</w:t>
            </w:r>
          </w:p>
        </w:tc>
        <w:tc>
          <w:tcPr>
            <w:tcW w:w="2790" w:type="dxa"/>
          </w:tcPr>
          <w:p w:rsidR="00DE0EA6" w:rsidRPr="00812D80" w:rsidP="007D25D4" w14:paraId="5D83BC9F" w14:textId="77777777">
            <w:pPr>
              <w:ind w:left="720" w:hanging="720"/>
              <w:rPr>
                <w:rFonts w:cstheme="minorHAnsi"/>
                <w:sz w:val="20"/>
                <w:szCs w:val="20"/>
              </w:rPr>
            </w:pPr>
            <w:r>
              <w:rPr>
                <w:rFonts w:cstheme="minorHAnsi"/>
                <w:sz w:val="20"/>
                <w:szCs w:val="20"/>
              </w:rPr>
              <w:t>N/A</w:t>
            </w:r>
          </w:p>
        </w:tc>
      </w:tr>
    </w:tbl>
    <w:p w:rsidR="00DE0EA6" w:rsidP="006925F2" w14:paraId="06F8BA09" w14:textId="41EF53F6">
      <w:pPr>
        <w:rPr>
          <w:rFonts w:cstheme="minorHAnsi"/>
          <w:iCs/>
        </w:rPr>
      </w:pPr>
    </w:p>
    <w:p w:rsidR="00FD4446" w:rsidP="00073E90" w14:paraId="27D1B897" w14:textId="77777777">
      <w:pPr>
        <w:rPr>
          <w:rFonts w:cstheme="minorHAnsi"/>
          <w:iCs/>
        </w:rPr>
      </w:pPr>
      <w:r>
        <w:rPr>
          <w:rFonts w:cstheme="minorHAnsi"/>
          <w:iCs/>
        </w:rPr>
        <w:t>Power calculations determine</w:t>
      </w:r>
      <w:r w:rsidR="003B0A90">
        <w:rPr>
          <w:rFonts w:cstheme="minorHAnsi"/>
          <w:iCs/>
        </w:rPr>
        <w:t>d</w:t>
      </w:r>
      <w:r>
        <w:rPr>
          <w:rFonts w:cstheme="minorHAnsi"/>
          <w:iCs/>
        </w:rPr>
        <w:t xml:space="preserve"> the sample size </w:t>
      </w:r>
      <w:r w:rsidR="003B0A90">
        <w:rPr>
          <w:rFonts w:cstheme="minorHAnsi"/>
          <w:iCs/>
        </w:rPr>
        <w:t xml:space="preserve">for Aim 1 (field study) would require </w:t>
      </w:r>
      <w:r>
        <w:rPr>
          <w:rFonts w:cstheme="minorHAnsi"/>
          <w:iCs/>
        </w:rPr>
        <w:t>a total of 80 workers and supervisors</w:t>
      </w:r>
      <w:r w:rsidR="003B0A90">
        <w:rPr>
          <w:rFonts w:cstheme="minorHAnsi"/>
          <w:iCs/>
        </w:rPr>
        <w:t xml:space="preserve">, </w:t>
      </w:r>
      <w:r>
        <w:rPr>
          <w:rFonts w:cstheme="minorHAnsi"/>
          <w:iCs/>
        </w:rPr>
        <w:t>account</w:t>
      </w:r>
      <w:r w:rsidR="003B0A90">
        <w:rPr>
          <w:rFonts w:cstheme="minorHAnsi"/>
          <w:iCs/>
        </w:rPr>
        <w:t>ing for</w:t>
      </w:r>
      <w:r>
        <w:rPr>
          <w:rFonts w:cstheme="minorHAnsi"/>
          <w:iCs/>
        </w:rPr>
        <w:t xml:space="preserve"> a 37.5% attrition rate. </w:t>
      </w:r>
      <w:r w:rsidR="003B0A90">
        <w:rPr>
          <w:rFonts w:cstheme="minorHAnsi"/>
          <w:iCs/>
        </w:rPr>
        <w:t xml:space="preserve">Participants for Aim 2 (focus groups and </w:t>
      </w:r>
      <w:r w:rsidR="000859D6">
        <w:rPr>
          <w:rFonts w:cstheme="minorHAnsi"/>
          <w:iCs/>
        </w:rPr>
        <w:t xml:space="preserve">interviews) </w:t>
      </w:r>
      <w:r w:rsidR="003B0A90">
        <w:rPr>
          <w:rFonts w:cstheme="minorHAnsi"/>
          <w:iCs/>
        </w:rPr>
        <w:t xml:space="preserve">will be recruited from among participants </w:t>
      </w:r>
      <w:r>
        <w:rPr>
          <w:rFonts w:cstheme="minorHAnsi"/>
          <w:iCs/>
        </w:rPr>
        <w:t xml:space="preserve">Aim 1 </w:t>
      </w:r>
      <w:r w:rsidR="003B0A90">
        <w:rPr>
          <w:rFonts w:cstheme="minorHAnsi"/>
          <w:iCs/>
        </w:rPr>
        <w:t>(field study)</w:t>
      </w:r>
      <w:r>
        <w:rPr>
          <w:rFonts w:cstheme="minorHAnsi"/>
          <w:iCs/>
        </w:rPr>
        <w:t xml:space="preserve">. </w:t>
      </w:r>
    </w:p>
    <w:p w:rsidR="00073E90" w:rsidP="00FB0A3E" w14:paraId="1574DDD6" w14:textId="2ECAF3D6">
      <w:pPr>
        <w:rPr>
          <w:rFonts w:cstheme="minorHAnsi"/>
          <w:iCs/>
        </w:rPr>
      </w:pPr>
      <w:r>
        <w:rPr>
          <w:rFonts w:cstheme="minorHAnsi"/>
          <w:iCs/>
        </w:rPr>
        <w:t xml:space="preserve">Given that study participants are similar in demographic and occupational characteristics, and </w:t>
      </w:r>
      <w:r w:rsidR="00FE3E38">
        <w:rPr>
          <w:rFonts w:cstheme="minorHAnsi"/>
          <w:iCs/>
        </w:rPr>
        <w:t xml:space="preserve">our </w:t>
      </w:r>
      <w:r>
        <w:rPr>
          <w:rFonts w:cstheme="minorHAnsi"/>
          <w:iCs/>
        </w:rPr>
        <w:t xml:space="preserve">research questions are focused, we anticipate we will only need </w:t>
      </w:r>
      <w:r w:rsidR="00FB0A3E">
        <w:rPr>
          <w:rFonts w:cstheme="minorHAnsi"/>
          <w:iCs/>
        </w:rPr>
        <w:t xml:space="preserve">40 workers and front-line supervisors to participate in Aim 2, and 10 H&amp;S leaders and SMEs for Aim 3 to reach saturation in responses. Studies have shown that </w:t>
      </w:r>
      <w:r w:rsidRPr="00FB0A3E">
        <w:rPr>
          <w:rFonts w:cstheme="minorHAnsi"/>
        </w:rPr>
        <w:t>qualitative research can reach saturation with sample sizes as small as 9 interviews or 4 focus group discussions when populations are homogenous</w:t>
      </w:r>
      <w:r w:rsidR="00ED6D6C">
        <w:rPr>
          <w:rFonts w:cstheme="minorHAnsi"/>
        </w:rPr>
        <w:t>.[1]</w:t>
      </w:r>
      <w:r>
        <w:rPr>
          <w:rFonts w:cstheme="minorHAnsi"/>
          <w:iCs/>
        </w:rPr>
        <w:t xml:space="preserve"> </w:t>
      </w:r>
    </w:p>
    <w:p w:rsidR="006A7CFA" w:rsidP="00A55EB5" w14:paraId="10BF1166" w14:textId="4BF22633">
      <w:pPr>
        <w:pStyle w:val="Heading2"/>
      </w:pPr>
      <w:bookmarkStart w:id="2" w:name="_Toc136509880"/>
      <w:r>
        <w:t>B.</w:t>
      </w:r>
      <w:r>
        <w:t>2 Procedures for the Collection of Information</w:t>
      </w:r>
      <w:bookmarkEnd w:id="2"/>
    </w:p>
    <w:p w:rsidR="00140A56" w:rsidP="00E10213" w14:paraId="6BE7A776" w14:textId="1BCB08C6">
      <w:pPr>
        <w:rPr>
          <w:rFonts w:cstheme="minorHAnsi"/>
        </w:rPr>
      </w:pPr>
      <w:r>
        <w:t>A</w:t>
      </w:r>
      <w:r w:rsidR="00E10213">
        <w:t xml:space="preserve">ll workers </w:t>
      </w:r>
      <w:r w:rsidR="003A040A">
        <w:t xml:space="preserve">employed </w:t>
      </w:r>
      <w:r w:rsidR="00BC3F54">
        <w:t>for at least three months by</w:t>
      </w:r>
      <w:r w:rsidR="003A040A">
        <w:t xml:space="preserve"> </w:t>
      </w:r>
      <w:r>
        <w:t>U.S.</w:t>
      </w:r>
      <w:r w:rsidR="009F2825">
        <w:rPr>
          <w:rStyle w:val="CommentReference"/>
          <w:sz w:val="22"/>
          <w:szCs w:val="22"/>
        </w:rPr>
        <w:t xml:space="preserve"> </w:t>
      </w:r>
      <w:r w:rsidR="00E10213">
        <w:t xml:space="preserve">OGE companies </w:t>
      </w:r>
      <w:r w:rsidR="00BC3F54">
        <w:t>operating</w:t>
      </w:r>
      <w:r>
        <w:t xml:space="preserve"> in the</w:t>
      </w:r>
      <w:r w:rsidR="009F2825">
        <w:t xml:space="preserve"> contiguous</w:t>
      </w:r>
      <w:r>
        <w:t xml:space="preserve"> </w:t>
      </w:r>
      <w:r w:rsidR="00E10213">
        <w:t xml:space="preserve">U.S. </w:t>
      </w:r>
      <w:r w:rsidR="009F2825">
        <w:t>are</w:t>
      </w:r>
      <w:r w:rsidR="00E10213">
        <w:t xml:space="preserve"> considered </w:t>
      </w:r>
      <w:r>
        <w:t xml:space="preserve">as </w:t>
      </w:r>
      <w:r w:rsidR="00E10213">
        <w:t xml:space="preserve">potential participants. </w:t>
      </w:r>
      <w:r w:rsidR="00131D79">
        <w:t>S</w:t>
      </w:r>
      <w:r w:rsidR="00E10213">
        <w:t xml:space="preserve">tudy personnel will </w:t>
      </w:r>
      <w:r>
        <w:t xml:space="preserve">engage </w:t>
      </w:r>
      <w:r w:rsidR="00E10213">
        <w:t>with</w:t>
      </w:r>
      <w:r>
        <w:t>, and obtain permission from,</w:t>
      </w:r>
      <w:r w:rsidR="00E10213">
        <w:t xml:space="preserve"> </w:t>
      </w:r>
      <w:r w:rsidR="00BA100A">
        <w:t>OGE</w:t>
      </w:r>
      <w:r w:rsidR="00E10213">
        <w:t xml:space="preserve"> companies </w:t>
      </w:r>
      <w:r w:rsidR="009514DD">
        <w:t xml:space="preserve">to </w:t>
      </w:r>
      <w:r w:rsidR="00E10213">
        <w:t xml:space="preserve">conduct the study at their sites. </w:t>
      </w:r>
      <w:r>
        <w:rPr>
          <w:rFonts w:cstheme="minorHAnsi"/>
        </w:rPr>
        <w:t xml:space="preserve">Prior to our arrival, a company liaison will inform workers of the study and post the recruitment flyer in common areas. All workers will be informed that participation in the study is voluntary and will not have any impact on their employment. All responses and information gathered will be de-identified and individual results will </w:t>
      </w:r>
      <w:r w:rsidR="004128E9">
        <w:rPr>
          <w:rFonts w:cstheme="minorHAnsi"/>
        </w:rPr>
        <w:t>not</w:t>
      </w:r>
      <w:r>
        <w:rPr>
          <w:rFonts w:cstheme="minorHAnsi"/>
        </w:rPr>
        <w:t xml:space="preserve"> be shared with their employer or anyone</w:t>
      </w:r>
      <w:r w:rsidR="004D2C58">
        <w:rPr>
          <w:rFonts w:cstheme="minorHAnsi"/>
        </w:rPr>
        <w:t xml:space="preserve"> outside of the NIOSH research team</w:t>
      </w:r>
      <w:r>
        <w:rPr>
          <w:rFonts w:cstheme="minorHAnsi"/>
        </w:rPr>
        <w:t xml:space="preserve">. </w:t>
      </w:r>
    </w:p>
    <w:p w:rsidR="00BA100A" w:rsidP="00E10213" w14:paraId="1D8434C6" w14:textId="24354C5F">
      <w:pPr>
        <w:rPr>
          <w:rFonts w:cstheme="minorHAnsi"/>
        </w:rPr>
      </w:pPr>
      <w:r>
        <w:rPr>
          <w:rFonts w:cstheme="minorHAnsi"/>
        </w:rPr>
        <w:t>S</w:t>
      </w:r>
      <w:r w:rsidRPr="00EC2FC8" w:rsidR="00E10213">
        <w:rPr>
          <w:rFonts w:cstheme="minorHAnsi"/>
        </w:rPr>
        <w:t xml:space="preserve">tudy personnel will arrive </w:t>
      </w:r>
      <w:r w:rsidR="00FB0A3E">
        <w:rPr>
          <w:rFonts w:cstheme="minorHAnsi"/>
        </w:rPr>
        <w:t>at</w:t>
      </w:r>
      <w:r w:rsidRPr="00EC2FC8" w:rsidR="00FB0A3E">
        <w:rPr>
          <w:rFonts w:cstheme="minorHAnsi"/>
        </w:rPr>
        <w:t xml:space="preserve"> </w:t>
      </w:r>
      <w:r w:rsidRPr="00EC2FC8" w:rsidR="00E10213">
        <w:rPr>
          <w:rFonts w:cstheme="minorHAnsi"/>
        </w:rPr>
        <w:t xml:space="preserve">the company </w:t>
      </w:r>
      <w:r>
        <w:rPr>
          <w:rFonts w:cstheme="minorHAnsi"/>
        </w:rPr>
        <w:t>field site</w:t>
      </w:r>
      <w:r w:rsidRPr="00EC2FC8">
        <w:rPr>
          <w:rFonts w:cstheme="minorHAnsi"/>
        </w:rPr>
        <w:t xml:space="preserve"> </w:t>
      </w:r>
      <w:r w:rsidRPr="00EC2FC8" w:rsidR="00E10213">
        <w:rPr>
          <w:rFonts w:cstheme="minorHAnsi"/>
        </w:rPr>
        <w:t>prior to the start of a shift and work with the company liaison to identify an appropriate location to set up study materials and conduct the study elements.</w:t>
      </w:r>
      <w:r w:rsidR="00E10213">
        <w:rPr>
          <w:rFonts w:cstheme="minorHAnsi"/>
        </w:rPr>
        <w:t xml:space="preserve"> All workers will meet with the study personnel to determine if they are eligible to participate and receive informed consent.</w:t>
      </w:r>
      <w:r>
        <w:rPr>
          <w:rFonts w:cstheme="minorHAnsi"/>
        </w:rPr>
        <w:t xml:space="preserve"> S</w:t>
      </w:r>
      <w:r w:rsidRPr="00666547">
        <w:rPr>
          <w:rFonts w:cstheme="minorHAnsi"/>
        </w:rPr>
        <w:t>tudy personnel</w:t>
      </w:r>
      <w:r>
        <w:rPr>
          <w:rFonts w:cstheme="minorHAnsi"/>
        </w:rPr>
        <w:t xml:space="preserve"> will be </w:t>
      </w:r>
      <w:r>
        <w:rPr>
          <w:rFonts w:cstheme="minorHAnsi"/>
        </w:rPr>
        <w:t>trained</w:t>
      </w:r>
      <w:r w:rsidRPr="00666547">
        <w:rPr>
          <w:rFonts w:cstheme="minorHAnsi"/>
        </w:rPr>
        <w:t xml:space="preserve"> </w:t>
      </w:r>
      <w:r w:rsidRPr="00666547">
        <w:rPr>
          <w:rFonts w:cstheme="minorHAnsi"/>
        </w:rPr>
        <w:t xml:space="preserve">on </w:t>
      </w:r>
      <w:r>
        <w:rPr>
          <w:rFonts w:cstheme="minorHAnsi"/>
        </w:rPr>
        <w:t xml:space="preserve">all elements of this study, including </w:t>
      </w:r>
      <w:r w:rsidR="00972887">
        <w:rPr>
          <w:rFonts w:cstheme="minorHAnsi"/>
        </w:rPr>
        <w:t xml:space="preserve">conducting informed consent, </w:t>
      </w:r>
      <w:r>
        <w:rPr>
          <w:rFonts w:cstheme="minorHAnsi"/>
        </w:rPr>
        <w:t>administering surveys</w:t>
      </w:r>
      <w:r w:rsidR="00AE5307">
        <w:rPr>
          <w:rFonts w:cstheme="minorHAnsi"/>
        </w:rPr>
        <w:t xml:space="preserve"> and digital psychomotor vigilance task (PVT) tests</w:t>
      </w:r>
      <w:r>
        <w:rPr>
          <w:rFonts w:cstheme="minorHAnsi"/>
        </w:rPr>
        <w:t>,</w:t>
      </w:r>
      <w:r w:rsidR="00B271D8">
        <w:rPr>
          <w:rFonts w:cstheme="minorHAnsi"/>
        </w:rPr>
        <w:t xml:space="preserve"> setting up actigraphy watches, and</w:t>
      </w:r>
      <w:r>
        <w:rPr>
          <w:rFonts w:cstheme="minorHAnsi"/>
        </w:rPr>
        <w:t xml:space="preserve"> </w:t>
      </w:r>
      <w:r w:rsidR="00AE5307">
        <w:rPr>
          <w:rFonts w:cstheme="minorHAnsi"/>
        </w:rPr>
        <w:t xml:space="preserve">conducting </w:t>
      </w:r>
      <w:r>
        <w:rPr>
          <w:rFonts w:cstheme="minorHAnsi"/>
        </w:rPr>
        <w:t xml:space="preserve">interviews and focus groups. </w:t>
      </w:r>
    </w:p>
    <w:p w:rsidR="00C7439A" w:rsidRPr="00162E0E" w:rsidP="00CD5FF1" w14:paraId="44903583" w14:textId="191D5BFA">
      <w:pPr>
        <w:pStyle w:val="Heading3"/>
        <w:ind w:left="360"/>
        <w:rPr>
          <w:lang w:val="fr-FR"/>
        </w:rPr>
      </w:pPr>
      <w:bookmarkStart w:id="3" w:name="_Toc136509881"/>
      <w:r w:rsidRPr="00162E0E">
        <w:rPr>
          <w:lang w:val="fr-FR"/>
        </w:rPr>
        <w:t>B.2.</w:t>
      </w:r>
      <w:r w:rsidRPr="00162E0E">
        <w:rPr>
          <w:lang w:val="fr-FR"/>
        </w:rPr>
        <w:t>a</w:t>
      </w:r>
      <w:r w:rsidRPr="00162E0E">
        <w:rPr>
          <w:lang w:val="fr-FR"/>
        </w:rPr>
        <w:t xml:space="preserve"> Quantitative Aim</w:t>
      </w:r>
      <w:r w:rsidRPr="00162E0E" w:rsidR="00BA100A">
        <w:rPr>
          <w:lang w:val="fr-FR"/>
        </w:rPr>
        <w:t xml:space="preserve"> (Aim 1)</w:t>
      </w:r>
      <w:bookmarkEnd w:id="3"/>
    </w:p>
    <w:p w:rsidR="00B271D8" w:rsidP="00AE5307" w14:paraId="31AA26C7" w14:textId="64237F89">
      <w:pPr>
        <w:ind w:left="360"/>
      </w:pPr>
      <w:r w:rsidRPr="00626D75">
        <w:rPr>
          <w:rFonts w:cstheme="minorHAnsi"/>
          <w:iCs/>
        </w:rPr>
        <w:t xml:space="preserve">Upon enrollment into the study, participants will be asked to complete a baseline questionnaire </w:t>
      </w:r>
      <w:r>
        <w:rPr>
          <w:rFonts w:cstheme="minorHAnsi"/>
          <w:iCs/>
        </w:rPr>
        <w:t>(</w:t>
      </w:r>
      <w:r w:rsidR="00A146FD">
        <w:rPr>
          <w:rFonts w:cstheme="minorHAnsi"/>
          <w:iCs/>
        </w:rPr>
        <w:t>Attachment</w:t>
      </w:r>
      <w:r>
        <w:rPr>
          <w:rFonts w:cstheme="minorHAnsi"/>
          <w:iCs/>
        </w:rPr>
        <w:t xml:space="preserve"> </w:t>
      </w:r>
      <w:r w:rsidR="00A146FD">
        <w:rPr>
          <w:rFonts w:cstheme="minorHAnsi"/>
          <w:iCs/>
        </w:rPr>
        <w:t>3</w:t>
      </w:r>
      <w:r w:rsidR="009A56B1">
        <w:rPr>
          <w:rFonts w:cstheme="minorHAnsi"/>
          <w:iCs/>
        </w:rPr>
        <w:t>a or b</w:t>
      </w:r>
      <w:r>
        <w:rPr>
          <w:rFonts w:cstheme="minorHAnsi"/>
          <w:iCs/>
        </w:rPr>
        <w:t xml:space="preserve">) </w:t>
      </w:r>
      <w:r w:rsidRPr="00626D75">
        <w:rPr>
          <w:rFonts w:cstheme="minorHAnsi"/>
          <w:iCs/>
        </w:rPr>
        <w:t xml:space="preserve">with questions related to their current work schedule, sleep, organizational safety and fatigue management, job demands, self-rated health, and demographics. </w:t>
      </w:r>
      <w:r w:rsidR="004F67B6">
        <w:rPr>
          <w:rFonts w:cstheme="minorHAnsi"/>
          <w:iCs/>
        </w:rPr>
        <w:t xml:space="preserve">Measures of sleep health will be collected using </w:t>
      </w:r>
      <w:r w:rsidRPr="00626D75">
        <w:rPr>
          <w:rFonts w:cstheme="minorHAnsi"/>
          <w:iCs/>
        </w:rPr>
        <w:t xml:space="preserve">actigraphy </w:t>
      </w:r>
      <w:r>
        <w:rPr>
          <w:rFonts w:cstheme="minorHAnsi"/>
          <w:iCs/>
        </w:rPr>
        <w:t>watch</w:t>
      </w:r>
      <w:r w:rsidR="004F67B6">
        <w:rPr>
          <w:rFonts w:cstheme="minorHAnsi"/>
          <w:iCs/>
        </w:rPr>
        <w:t>es</w:t>
      </w:r>
      <w:r w:rsidRPr="00626D75">
        <w:rPr>
          <w:rFonts w:cstheme="minorHAnsi"/>
          <w:iCs/>
        </w:rPr>
        <w:t xml:space="preserve"> (</w:t>
      </w:r>
      <w:bookmarkStart w:id="4" w:name="_Hlk121919009"/>
      <w:r w:rsidRPr="00626D75">
        <w:rPr>
          <w:rFonts w:cstheme="minorHAnsi"/>
          <w:iCs/>
        </w:rPr>
        <w:t>small wristwatch-like devices that are non-intrusive and record limb activity as a measure of sleep-wake movement</w:t>
      </w:r>
      <w:bookmarkEnd w:id="4"/>
      <w:r w:rsidRPr="00626D75">
        <w:rPr>
          <w:rFonts w:cstheme="minorHAnsi"/>
          <w:iCs/>
        </w:rPr>
        <w:t>) for passive, continuous data collection</w:t>
      </w:r>
      <w:r w:rsidR="009A56B1">
        <w:rPr>
          <w:rFonts w:cstheme="minorHAnsi"/>
          <w:iCs/>
        </w:rPr>
        <w:t xml:space="preserve"> (Attachment 4a or b)</w:t>
      </w:r>
      <w:r w:rsidRPr="00626D75">
        <w:rPr>
          <w:rFonts w:cstheme="minorHAnsi"/>
          <w:iCs/>
        </w:rPr>
        <w:t>. At the beginning and end of each shift, participants will also be asked to complete brief daily questionnaires</w:t>
      </w:r>
      <w:r>
        <w:rPr>
          <w:rFonts w:cstheme="minorHAnsi"/>
          <w:iCs/>
        </w:rPr>
        <w:t xml:space="preserve"> (</w:t>
      </w:r>
      <w:r w:rsidR="00A146FD">
        <w:rPr>
          <w:rFonts w:cstheme="minorHAnsi"/>
          <w:iCs/>
        </w:rPr>
        <w:t xml:space="preserve">Attachments </w:t>
      </w:r>
      <w:r w:rsidR="009A56B1">
        <w:rPr>
          <w:rFonts w:cstheme="minorHAnsi"/>
          <w:iCs/>
        </w:rPr>
        <w:t>3c-f</w:t>
      </w:r>
      <w:r>
        <w:rPr>
          <w:rFonts w:cstheme="minorHAnsi"/>
          <w:iCs/>
        </w:rPr>
        <w:t>)</w:t>
      </w:r>
      <w:r w:rsidRPr="00626D75">
        <w:rPr>
          <w:rFonts w:cstheme="minorHAnsi"/>
          <w:iCs/>
        </w:rPr>
        <w:t xml:space="preserve"> and will be asked to complete </w:t>
      </w:r>
      <w:r>
        <w:rPr>
          <w:rFonts w:cstheme="minorHAnsi"/>
          <w:iCs/>
        </w:rPr>
        <w:t xml:space="preserve">digital PVT </w:t>
      </w:r>
      <w:r w:rsidRPr="00626D75">
        <w:rPr>
          <w:rFonts w:cstheme="minorHAnsi"/>
          <w:iCs/>
        </w:rPr>
        <w:t>tests</w:t>
      </w:r>
      <w:r w:rsidR="009A56B1">
        <w:rPr>
          <w:rFonts w:cstheme="minorHAnsi"/>
          <w:iCs/>
        </w:rPr>
        <w:t xml:space="preserve"> </w:t>
      </w:r>
      <w:r w:rsidR="009A56B1">
        <w:t>(no instrument to attach for the PVT)</w:t>
      </w:r>
      <w:r>
        <w:rPr>
          <w:rFonts w:cstheme="minorHAnsi"/>
          <w:iCs/>
        </w:rPr>
        <w:t>.</w:t>
      </w:r>
    </w:p>
    <w:p w:rsidR="00AE5307" w:rsidP="00AE5307" w14:paraId="70693985" w14:textId="623EBF8A">
      <w:pPr>
        <w:ind w:left="360"/>
      </w:pPr>
      <w:r>
        <w:t xml:space="preserve">Participants will be given the option of completing surveys on paper or electronic tablets. For responses collected on paper copies, one study team member will enter responses into a secured digital data platform. A second study team member will verify responses as an additional quality check. </w:t>
      </w:r>
    </w:p>
    <w:p w:rsidR="00AE5307" w:rsidP="00AE5307" w14:paraId="5D344498" w14:textId="28F43D22">
      <w:pPr>
        <w:ind w:left="360"/>
      </w:pPr>
      <w:r>
        <w:t xml:space="preserve">Digital PVT tests will be administered only on electronic tablets. </w:t>
      </w:r>
      <w:r w:rsidR="00B271D8">
        <w:t xml:space="preserve">Actigraphy data will only be collected through the actigraphy watch. </w:t>
      </w:r>
    </w:p>
    <w:p w:rsidR="00596D68" w:rsidP="00CD5FF1" w14:paraId="3C3A8B87" w14:textId="2AB04607">
      <w:pPr>
        <w:ind w:left="360"/>
      </w:pPr>
      <w:r>
        <w:t>Data from each tablet will be downloaded to a secure CDC owned laptop</w:t>
      </w:r>
      <w:r w:rsidR="006308F6">
        <w:t xml:space="preserve"> and</w:t>
      </w:r>
      <w:r>
        <w:t xml:space="preserve"> </w:t>
      </w:r>
      <w:r w:rsidR="006308F6">
        <w:t>d</w:t>
      </w:r>
      <w:r w:rsidR="00B271D8">
        <w:t xml:space="preserve">ata from the actigraphy watches will be downloaded to a secure CDC owned laptop at the end of the complete data collection period. </w:t>
      </w:r>
      <w:r>
        <w:t xml:space="preserve">The questionnaires will collect company and worker-level information from each participant. Data collected will be used in descriptive statistic </w:t>
      </w:r>
      <w:r w:rsidRPr="00596D68">
        <w:t xml:space="preserve">methods such as, means, </w:t>
      </w:r>
      <w:r>
        <w:t xml:space="preserve">medians, modes, standard deviations, and multivariable analysis. </w:t>
      </w:r>
    </w:p>
    <w:p w:rsidR="00C7439A" w:rsidP="00CD5FF1" w14:paraId="66A6A1ED" w14:textId="1F602DF2">
      <w:pPr>
        <w:pStyle w:val="Heading3"/>
        <w:ind w:left="360"/>
      </w:pPr>
      <w:bookmarkStart w:id="5" w:name="_Toc136509882"/>
      <w:r>
        <w:t>B.2.b Qualitative Aims</w:t>
      </w:r>
      <w:r w:rsidR="00BA100A">
        <w:t xml:space="preserve"> (Aim 2 and Aim 3)</w:t>
      </w:r>
      <w:bookmarkEnd w:id="5"/>
    </w:p>
    <w:p w:rsidR="00BA100A" w:rsidRPr="00BA100A" w:rsidP="00CD5FF1" w14:paraId="6A2A9E8C" w14:textId="50AA98C5">
      <w:pPr>
        <w:ind w:left="360"/>
      </w:pPr>
      <w:r>
        <w:t xml:space="preserve">Worker focus groups and </w:t>
      </w:r>
      <w:r w:rsidR="00CD5FF1">
        <w:t xml:space="preserve">front-line supervisor interviews will be conducted in-person </w:t>
      </w:r>
      <w:r w:rsidR="00131D79">
        <w:t xml:space="preserve">in a private location </w:t>
      </w:r>
      <w:r w:rsidR="00CD5FF1">
        <w:t xml:space="preserve">at the worksite by </w:t>
      </w:r>
      <w:r w:rsidR="00A34CEF">
        <w:t>trained</w:t>
      </w:r>
      <w:r w:rsidR="00CD5FF1">
        <w:t xml:space="preserve"> moderators using the focus group and interview guides (</w:t>
      </w:r>
      <w:r w:rsidR="00A146FD">
        <w:t xml:space="preserve">Attachments </w:t>
      </w:r>
      <w:r w:rsidR="009A56B1">
        <w:t>5a-c</w:t>
      </w:r>
      <w:r w:rsidR="00CD5FF1">
        <w:t xml:space="preserve">). </w:t>
      </w:r>
      <w:r w:rsidR="00131D79">
        <w:t xml:space="preserve">Senior H&amp;S leader and occupational fatigue SME interviews </w:t>
      </w:r>
      <w:r w:rsidR="00B271D8">
        <w:t>(</w:t>
      </w:r>
      <w:r w:rsidR="00A146FD">
        <w:t xml:space="preserve">Attachments </w:t>
      </w:r>
      <w:r w:rsidR="009A56B1">
        <w:t>5d</w:t>
      </w:r>
      <w:r w:rsidR="009A56B1">
        <w:t>,e</w:t>
      </w:r>
      <w:r w:rsidR="00B271D8">
        <w:t xml:space="preserve">) </w:t>
      </w:r>
      <w:r w:rsidR="00131D79">
        <w:t>will be conducted virtually over a secure government</w:t>
      </w:r>
      <w:r w:rsidR="00D60E29">
        <w:t xml:space="preserve"> virtual</w:t>
      </w:r>
      <w:r w:rsidR="00131D79">
        <w:t xml:space="preserve"> platform. </w:t>
      </w:r>
      <w:r w:rsidR="00D60E29">
        <w:t>T</w:t>
      </w:r>
      <w:r w:rsidR="00131D79">
        <w:t xml:space="preserve">hematic analysis </w:t>
      </w:r>
      <w:r w:rsidR="00D60E29">
        <w:t xml:space="preserve">will be used to identify significant topic areas. </w:t>
      </w:r>
    </w:p>
    <w:p w:rsidR="006A7CFA" w:rsidP="00A55EB5" w14:paraId="0D0B1F0B" w14:textId="6BC0D03A">
      <w:pPr>
        <w:pStyle w:val="Heading2"/>
      </w:pPr>
      <w:bookmarkStart w:id="6" w:name="_Toc136509883"/>
      <w:r>
        <w:t>B.</w:t>
      </w:r>
      <w:r>
        <w:t>3 Methods to Maximize Response Rates and Deal with No Response</w:t>
      </w:r>
      <w:bookmarkEnd w:id="6"/>
    </w:p>
    <w:p w:rsidR="00095EBE" w:rsidRPr="00095EBE" w:rsidP="00095EBE" w14:paraId="1BC33C73" w14:textId="421EA8BA">
      <w:pPr>
        <w:rPr>
          <w:rFonts w:cstheme="minorHAnsi"/>
          <w:bCs/>
          <w:iCs/>
          <w:szCs w:val="24"/>
        </w:rPr>
      </w:pPr>
      <w:r w:rsidRPr="00095EBE">
        <w:rPr>
          <w:rFonts w:cstheme="minorHAnsi"/>
          <w:bCs/>
          <w:iCs/>
          <w:szCs w:val="24"/>
        </w:rPr>
        <w:t>To maximize response rates and address non</w:t>
      </w:r>
      <w:r w:rsidR="001136F7">
        <w:rPr>
          <w:rFonts w:cstheme="minorHAnsi"/>
          <w:bCs/>
          <w:iCs/>
          <w:szCs w:val="24"/>
        </w:rPr>
        <w:t>-</w:t>
      </w:r>
      <w:r w:rsidRPr="00095EBE">
        <w:rPr>
          <w:rFonts w:cstheme="minorHAnsi"/>
          <w:bCs/>
          <w:iCs/>
          <w:szCs w:val="24"/>
        </w:rPr>
        <w:t>response, we will take the following steps to facilitate respondents’ willingness to participate:</w:t>
      </w:r>
    </w:p>
    <w:p w:rsidR="000F1861" w:rsidRPr="000F1861" w:rsidP="00095EBE" w14:paraId="4A332EBB" w14:textId="07CA57B8">
      <w:pPr>
        <w:numPr>
          <w:ilvl w:val="0"/>
          <w:numId w:val="1"/>
        </w:numPr>
        <w:rPr>
          <w:rFonts w:cstheme="minorHAnsi"/>
          <w:szCs w:val="24"/>
        </w:rPr>
      </w:pPr>
      <w:r>
        <w:t>NIOSH will work with oil and gas companies to explain the importance of the study</w:t>
      </w:r>
      <w:r w:rsidR="00FC0809">
        <w:t>,</w:t>
      </w:r>
      <w:r>
        <w:t xml:space="preserve"> to obtain permission to </w:t>
      </w:r>
      <w:r w:rsidR="007A37B4">
        <w:t>recruit workers</w:t>
      </w:r>
      <w:r w:rsidR="00FC0809">
        <w:t>,</w:t>
      </w:r>
      <w:r w:rsidR="007A37B4">
        <w:t xml:space="preserve"> and administer the study</w:t>
      </w:r>
      <w:r>
        <w:t xml:space="preserve"> at </w:t>
      </w:r>
      <w:r w:rsidR="007A37B4">
        <w:t>company sites</w:t>
      </w:r>
      <w:r>
        <w:t xml:space="preserve">. </w:t>
      </w:r>
    </w:p>
    <w:p w:rsidR="000F1861" w:rsidRPr="000F1861" w:rsidP="00095EBE" w14:paraId="146F493E" w14:textId="2A8B1550">
      <w:pPr>
        <w:numPr>
          <w:ilvl w:val="0"/>
          <w:numId w:val="1"/>
        </w:numPr>
        <w:rPr>
          <w:rFonts w:cstheme="minorHAnsi"/>
          <w:szCs w:val="24"/>
        </w:rPr>
      </w:pPr>
      <w:r>
        <w:rPr>
          <w:rFonts w:cstheme="minorHAnsi"/>
        </w:rPr>
        <w:t>P</w:t>
      </w:r>
      <w:r w:rsidRPr="008B0678">
        <w:rPr>
          <w:rFonts w:cstheme="minorHAnsi"/>
        </w:rPr>
        <w:t xml:space="preserve">rior to the start of data collection, the </w:t>
      </w:r>
      <w:r>
        <w:rPr>
          <w:rFonts w:cstheme="minorHAnsi"/>
        </w:rPr>
        <w:t>study</w:t>
      </w:r>
      <w:r w:rsidRPr="008B0678">
        <w:rPr>
          <w:rFonts w:cstheme="minorHAnsi"/>
        </w:rPr>
        <w:t xml:space="preserve"> team will meet with on-site management to determine the safest and least intrusive place for </w:t>
      </w:r>
      <w:r w:rsidR="00D12B0A">
        <w:rPr>
          <w:rFonts w:cstheme="minorHAnsi"/>
        </w:rPr>
        <w:t xml:space="preserve">study </w:t>
      </w:r>
      <w:r w:rsidRPr="008B0678">
        <w:rPr>
          <w:rFonts w:cstheme="minorHAnsi"/>
        </w:rPr>
        <w:t>recruitment and administration</w:t>
      </w:r>
      <w:r>
        <w:rPr>
          <w:rFonts w:cstheme="minorHAnsi"/>
        </w:rPr>
        <w:t xml:space="preserve">. Flyers will be placed in common areas notifying the workers of the study and inviting them to participate. </w:t>
      </w:r>
    </w:p>
    <w:p w:rsidR="000F1861" w:rsidRPr="007A37B4" w:rsidP="00095EBE" w14:paraId="36F6EDBE" w14:textId="72B77986">
      <w:pPr>
        <w:numPr>
          <w:ilvl w:val="0"/>
          <w:numId w:val="1"/>
        </w:numPr>
        <w:rPr>
          <w:rFonts w:cstheme="minorHAnsi"/>
          <w:szCs w:val="24"/>
        </w:rPr>
      </w:pPr>
      <w:r>
        <w:t>Efforts</w:t>
      </w:r>
      <w:r>
        <w:t xml:space="preserve"> will be made to </w:t>
      </w:r>
      <w:r w:rsidR="00D12B0A">
        <w:t xml:space="preserve">reach </w:t>
      </w:r>
      <w:r>
        <w:t>all workers on site to invite them to participate.</w:t>
      </w:r>
      <w:r w:rsidRPr="000F1861">
        <w:rPr>
          <w:rFonts w:cstheme="minorHAnsi"/>
        </w:rPr>
        <w:t xml:space="preserve"> </w:t>
      </w:r>
      <w:r>
        <w:rPr>
          <w:rFonts w:cstheme="minorHAnsi"/>
        </w:rPr>
        <w:t>T</w:t>
      </w:r>
      <w:r w:rsidRPr="008B0678">
        <w:rPr>
          <w:rFonts w:cstheme="minorHAnsi"/>
        </w:rPr>
        <w:t xml:space="preserve">he study </w:t>
      </w:r>
      <w:r>
        <w:rPr>
          <w:rFonts w:cstheme="minorHAnsi"/>
        </w:rPr>
        <w:t>personnel</w:t>
      </w:r>
      <w:r w:rsidRPr="008B0678">
        <w:rPr>
          <w:rFonts w:cstheme="minorHAnsi"/>
        </w:rPr>
        <w:t xml:space="preserve"> will</w:t>
      </w:r>
      <w:r w:rsidR="00D12B0A">
        <w:rPr>
          <w:rFonts w:cstheme="minorHAnsi"/>
        </w:rPr>
        <w:t xml:space="preserve"> be available to meet</w:t>
      </w:r>
      <w:r w:rsidRPr="008B0678">
        <w:rPr>
          <w:rFonts w:cstheme="minorHAnsi"/>
        </w:rPr>
        <w:t xml:space="preserve"> with potential study participants to discuss the study protocol</w:t>
      </w:r>
      <w:r>
        <w:rPr>
          <w:rFonts w:cstheme="minorHAnsi"/>
        </w:rPr>
        <w:t xml:space="preserve"> and</w:t>
      </w:r>
      <w:r w:rsidRPr="008B0678">
        <w:rPr>
          <w:rFonts w:cstheme="minorHAnsi"/>
        </w:rPr>
        <w:t xml:space="preserve"> answer any questions</w:t>
      </w:r>
      <w:r>
        <w:rPr>
          <w:rFonts w:cstheme="minorHAnsi"/>
        </w:rPr>
        <w:t>.</w:t>
      </w:r>
    </w:p>
    <w:p w:rsidR="007A37B4" w:rsidRPr="00162E0E" w:rsidP="00162E0E" w14:paraId="7D23A8A7" w14:textId="1B98E942">
      <w:pPr>
        <w:pStyle w:val="CommentText"/>
        <w:numPr>
          <w:ilvl w:val="0"/>
          <w:numId w:val="1"/>
        </w:numPr>
        <w:rPr>
          <w:sz w:val="22"/>
          <w:szCs w:val="22"/>
        </w:rPr>
      </w:pPr>
      <w:r w:rsidRPr="007A37B4">
        <w:rPr>
          <w:sz w:val="22"/>
          <w:szCs w:val="22"/>
        </w:rPr>
        <w:t xml:space="preserve">We will work closely with the on-site management throughout the data collection period to minimize attrition. </w:t>
      </w:r>
      <w:r>
        <w:rPr>
          <w:sz w:val="22"/>
          <w:szCs w:val="22"/>
        </w:rPr>
        <w:t>F</w:t>
      </w:r>
      <w:r w:rsidRPr="007A37B4">
        <w:rPr>
          <w:sz w:val="22"/>
          <w:szCs w:val="22"/>
        </w:rPr>
        <w:t xml:space="preserve">or example, </w:t>
      </w:r>
      <w:r>
        <w:rPr>
          <w:sz w:val="22"/>
          <w:szCs w:val="22"/>
        </w:rPr>
        <w:t xml:space="preserve">we may </w:t>
      </w:r>
      <w:r w:rsidRPr="007A37B4">
        <w:rPr>
          <w:sz w:val="22"/>
          <w:szCs w:val="22"/>
        </w:rPr>
        <w:t xml:space="preserve">request supervisors remind participants to complete their pre-shift surveys and PVT during the morning check-in. </w:t>
      </w:r>
    </w:p>
    <w:p w:rsidR="000F1861" w:rsidRPr="000F1861" w:rsidP="00095EBE" w14:paraId="063EF947" w14:textId="26D43088">
      <w:pPr>
        <w:numPr>
          <w:ilvl w:val="0"/>
          <w:numId w:val="1"/>
        </w:numPr>
        <w:rPr>
          <w:rFonts w:cstheme="minorHAnsi"/>
          <w:szCs w:val="24"/>
        </w:rPr>
      </w:pPr>
      <w:r>
        <w:t xml:space="preserve">We will maximize response rates among Spanish-speaking workers by making all data collection instruments </w:t>
      </w:r>
      <w:r w:rsidR="00FC2EEF">
        <w:t xml:space="preserve">available </w:t>
      </w:r>
      <w:r>
        <w:t xml:space="preserve">in Spanish, as well as English. </w:t>
      </w:r>
      <w:r>
        <w:rPr>
          <w:rFonts w:cstheme="minorHAnsi"/>
        </w:rPr>
        <w:t>A</w:t>
      </w:r>
      <w:r>
        <w:rPr>
          <w:rFonts w:cstheme="minorHAnsi"/>
        </w:rPr>
        <w:t xml:space="preserve"> Spanish speaking member of the study team </w:t>
      </w:r>
      <w:r>
        <w:rPr>
          <w:rFonts w:cstheme="minorHAnsi"/>
        </w:rPr>
        <w:t xml:space="preserve">will also be </w:t>
      </w:r>
      <w:r>
        <w:rPr>
          <w:rFonts w:cstheme="minorHAnsi"/>
        </w:rPr>
        <w:t xml:space="preserve">available at every visit. </w:t>
      </w:r>
    </w:p>
    <w:p w:rsidR="00095EBE" w:rsidRPr="00F43A7B" w:rsidP="00F43A7B" w14:paraId="4BD25355" w14:textId="61A6022B">
      <w:pPr>
        <w:numPr>
          <w:ilvl w:val="0"/>
          <w:numId w:val="1"/>
        </w:numPr>
        <w:rPr>
          <w:rFonts w:cstheme="minorHAnsi"/>
          <w:szCs w:val="24"/>
        </w:rPr>
      </w:pPr>
      <w:r w:rsidRPr="00F43A7B">
        <w:rPr>
          <w:rFonts w:cstheme="minorHAnsi"/>
          <w:szCs w:val="24"/>
        </w:rPr>
        <w:t xml:space="preserve">Tokens of appreciation, in the form of </w:t>
      </w:r>
      <w:r>
        <w:t xml:space="preserve">gift cards, </w:t>
      </w:r>
      <w:r w:rsidRPr="00F43A7B">
        <w:rPr>
          <w:rFonts w:cstheme="minorHAnsi"/>
          <w:szCs w:val="24"/>
        </w:rPr>
        <w:t>for study participants</w:t>
      </w:r>
      <w:r>
        <w:t xml:space="preserve"> will only be offered with permission of the participating company. </w:t>
      </w:r>
      <w:r>
        <w:t xml:space="preserve">Participants who complete the baseline questionnaire, at least one pre-shift </w:t>
      </w:r>
      <w:r w:rsidR="0025024F">
        <w:t>or</w:t>
      </w:r>
      <w:r>
        <w:t xml:space="preserve"> post-shift questionnaire</w:t>
      </w:r>
      <w:r w:rsidR="0025024F">
        <w:t xml:space="preserve"> per day</w:t>
      </w:r>
      <w:r>
        <w:t>, one PVT</w:t>
      </w:r>
      <w:r>
        <w:t xml:space="preserve"> </w:t>
      </w:r>
      <w:r>
        <w:t xml:space="preserve">test </w:t>
      </w:r>
      <w:r w:rsidR="0025024F">
        <w:t>pe</w:t>
      </w:r>
      <w:r w:rsidR="00162E0E">
        <w:t>r</w:t>
      </w:r>
      <w:r w:rsidR="0025024F">
        <w:t xml:space="preserve"> day</w:t>
      </w:r>
      <w:r w:rsidR="00FC0809">
        <w:t>, and attest to wearing the actigraphy watch for at least 5 nights</w:t>
      </w:r>
      <w:r w:rsidR="0025024F">
        <w:t xml:space="preserve"> </w:t>
      </w:r>
      <w:r>
        <w:t>will be offered a $50 gift card</w:t>
      </w:r>
      <w:r>
        <w:t>.</w:t>
      </w:r>
      <w:r>
        <w:t xml:space="preserve"> </w:t>
      </w:r>
      <w:r w:rsidR="00236382">
        <w:t>Worker and front-line supervisor p</w:t>
      </w:r>
      <w:r>
        <w:t xml:space="preserve">articipants who complete the interview or focus group will be offered a $10 gift card as a token of appreciation. </w:t>
      </w:r>
    </w:p>
    <w:p w:rsidR="00095EBE" w:rsidRPr="00095EBE" w:rsidP="00095EBE" w14:paraId="54A9789A" w14:textId="35F7CEC7">
      <w:pPr>
        <w:numPr>
          <w:ilvl w:val="0"/>
          <w:numId w:val="1"/>
        </w:numPr>
        <w:rPr>
          <w:rFonts w:cstheme="minorHAnsi"/>
          <w:szCs w:val="24"/>
        </w:rPr>
      </w:pPr>
      <w:r>
        <w:rPr>
          <w:rFonts w:cstheme="minorHAnsi"/>
          <w:szCs w:val="24"/>
        </w:rPr>
        <w:t xml:space="preserve">All study team members will be trained to administer </w:t>
      </w:r>
      <w:r w:rsidRPr="00095EBE">
        <w:rPr>
          <w:rFonts w:cstheme="minorHAnsi"/>
          <w:szCs w:val="24"/>
        </w:rPr>
        <w:t>surveys</w:t>
      </w:r>
      <w:r>
        <w:rPr>
          <w:rFonts w:cstheme="minorHAnsi"/>
          <w:szCs w:val="24"/>
        </w:rPr>
        <w:t>, interviews, and focus groups</w:t>
      </w:r>
      <w:r w:rsidRPr="00095EBE">
        <w:rPr>
          <w:rFonts w:cstheme="minorHAnsi"/>
          <w:szCs w:val="24"/>
        </w:rPr>
        <w:t xml:space="preserve">. This will facilitate ease of participation for the </w:t>
      </w:r>
      <w:r>
        <w:rPr>
          <w:rFonts w:cstheme="minorHAnsi"/>
          <w:szCs w:val="24"/>
        </w:rPr>
        <w:t>participants</w:t>
      </w:r>
      <w:r w:rsidRPr="00095EBE">
        <w:rPr>
          <w:rFonts w:cstheme="minorHAnsi"/>
          <w:szCs w:val="24"/>
        </w:rPr>
        <w:t xml:space="preserve">, increasing the likelihood they will complete </w:t>
      </w:r>
      <w:r>
        <w:rPr>
          <w:rFonts w:cstheme="minorHAnsi"/>
          <w:szCs w:val="24"/>
        </w:rPr>
        <w:t>all study components in their entirety</w:t>
      </w:r>
      <w:r w:rsidRPr="00095EBE">
        <w:rPr>
          <w:rFonts w:cstheme="minorHAnsi"/>
          <w:szCs w:val="24"/>
        </w:rPr>
        <w:t xml:space="preserve">. </w:t>
      </w:r>
    </w:p>
    <w:p w:rsidR="00095EBE" w:rsidRPr="00FC2EEF" w:rsidP="00FC2EEF" w14:paraId="6B6C1D6C" w14:textId="38AE1532">
      <w:pPr>
        <w:numPr>
          <w:ilvl w:val="0"/>
          <w:numId w:val="1"/>
        </w:numPr>
        <w:rPr>
          <w:rFonts w:cstheme="minorHAnsi"/>
          <w:szCs w:val="24"/>
        </w:rPr>
      </w:pPr>
      <w:r>
        <w:rPr>
          <w:rFonts w:cstheme="minorHAnsi"/>
          <w:szCs w:val="24"/>
        </w:rPr>
        <w:t>Our protocol has been piloted among a small group of OGE workers</w:t>
      </w:r>
      <w:r w:rsidR="00FC2EEF">
        <w:rPr>
          <w:rFonts w:cstheme="minorHAnsi"/>
          <w:szCs w:val="24"/>
        </w:rPr>
        <w:t>.</w:t>
      </w:r>
      <w:r>
        <w:rPr>
          <w:rFonts w:cstheme="minorHAnsi"/>
          <w:szCs w:val="24"/>
        </w:rPr>
        <w:t xml:space="preserve"> </w:t>
      </w:r>
      <w:r w:rsidR="00FC2EEF">
        <w:rPr>
          <w:rFonts w:cstheme="minorHAnsi"/>
          <w:szCs w:val="24"/>
        </w:rPr>
        <w:t>Pilot results were used to refine the protocol to ensure that it had enough flexibility to work with various companies</w:t>
      </w:r>
      <w:r w:rsidR="00236382">
        <w:rPr>
          <w:rFonts w:cstheme="minorHAnsi"/>
          <w:szCs w:val="24"/>
        </w:rPr>
        <w:t>’</w:t>
      </w:r>
      <w:r w:rsidR="00FC2EEF">
        <w:rPr>
          <w:rFonts w:cstheme="minorHAnsi"/>
          <w:szCs w:val="24"/>
        </w:rPr>
        <w:t xml:space="preserve"> normal job tasks and workflows and </w:t>
      </w:r>
      <w:r w:rsidRPr="00FC2EEF">
        <w:rPr>
          <w:rFonts w:cstheme="minorHAnsi"/>
          <w:szCs w:val="24"/>
        </w:rPr>
        <w:t>as</w:t>
      </w:r>
      <w:r w:rsidR="00FC2EEF">
        <w:rPr>
          <w:rFonts w:cstheme="minorHAnsi"/>
          <w:szCs w:val="24"/>
        </w:rPr>
        <w:t>ks</w:t>
      </w:r>
      <w:r w:rsidRPr="00FC2EEF">
        <w:rPr>
          <w:rFonts w:cstheme="minorHAnsi"/>
          <w:szCs w:val="24"/>
        </w:rPr>
        <w:t xml:space="preserve"> only questions that serve the study objectives and analysis purposes. </w:t>
      </w:r>
    </w:p>
    <w:p w:rsidR="00095EBE" w:rsidRPr="00095EBE" w:rsidP="00095EBE" w14:paraId="2DB1A315" w14:textId="2C254DE6">
      <w:pPr>
        <w:rPr>
          <w:rFonts w:cstheme="minorHAnsi"/>
          <w:szCs w:val="24"/>
        </w:rPr>
      </w:pPr>
      <w:r>
        <w:rPr>
          <w:rFonts w:cstheme="minorHAnsi"/>
          <w:szCs w:val="24"/>
        </w:rPr>
        <w:t>W</w:t>
      </w:r>
      <w:r w:rsidRPr="00095EBE">
        <w:rPr>
          <w:rFonts w:cstheme="minorHAnsi"/>
          <w:szCs w:val="24"/>
        </w:rPr>
        <w:t xml:space="preserve">e will compare the information </w:t>
      </w:r>
      <w:r w:rsidR="0025024F">
        <w:t>on respondents who discontinue participation with respondents who complete the data collection to identify potential biases.</w:t>
      </w:r>
    </w:p>
    <w:p w:rsidR="006A7CFA" w:rsidP="00A55EB5" w14:paraId="7EB2AA2E" w14:textId="433A91DF">
      <w:pPr>
        <w:pStyle w:val="Heading2"/>
      </w:pPr>
      <w:bookmarkStart w:id="7" w:name="_Toc136509884"/>
      <w:r>
        <w:t>B.4</w:t>
      </w:r>
      <w:r>
        <w:t xml:space="preserve"> Test of Procedures or Methods to be Undertaken</w:t>
      </w:r>
      <w:bookmarkEnd w:id="7"/>
    </w:p>
    <w:p w:rsidR="008C7231" w:rsidP="008C7231" w14:paraId="5F3D424E" w14:textId="7908A7B5">
      <w:pPr>
        <w:rPr>
          <w:u w:val="single"/>
        </w:rPr>
      </w:pPr>
      <w:r>
        <w:t xml:space="preserve">We have used validated questions in our study surveys. </w:t>
      </w:r>
      <w:r w:rsidR="00072C74">
        <w:t>H</w:t>
      </w:r>
      <w:r w:rsidR="00390590">
        <w:t>ealth and demographic questions</w:t>
      </w:r>
      <w:r w:rsidRPr="00DB5FE3" w:rsidR="00390590">
        <w:t xml:space="preserve"> </w:t>
      </w:r>
      <w:r>
        <w:t xml:space="preserve">were taken from </w:t>
      </w:r>
      <w:r w:rsidR="00390590">
        <w:t>the American Community Survey, HHS Office of Minority Health Standards,</w:t>
      </w:r>
      <w:r w:rsidR="00390590">
        <w:rPr>
          <w:noProof/>
        </w:rPr>
        <w:t xml:space="preserve"> </w:t>
      </w:r>
      <w:r w:rsidR="00390590">
        <w:t xml:space="preserve">National Health Interview Survey, Current Population Survey, </w:t>
      </w:r>
      <w:r w:rsidR="00072C74">
        <w:t xml:space="preserve">and the </w:t>
      </w:r>
      <w:r w:rsidR="00390590">
        <w:t>Behavioral Risk Factor Surveillance Survey.</w:t>
      </w:r>
      <w:r w:rsidR="00072C74">
        <w:t xml:space="preserve"> </w:t>
      </w:r>
      <w:r>
        <w:t>W</w:t>
      </w:r>
      <w:r w:rsidR="00390590">
        <w:t xml:space="preserve">ork </w:t>
      </w:r>
      <w:r>
        <w:t xml:space="preserve">schedule information </w:t>
      </w:r>
      <w:r w:rsidR="00390590">
        <w:t>will be collected using questions developed and tested for a previous NIOSH study with OGE workers</w:t>
      </w:r>
      <w:r w:rsidR="00072C74">
        <w:t xml:space="preserve"> (OMB </w:t>
      </w:r>
      <w:r w:rsidR="00596D68">
        <w:t>No.</w:t>
      </w:r>
      <w:r w:rsidRPr="00596D68" w:rsidR="00596D68">
        <w:t>0920-1195</w:t>
      </w:r>
      <w:r w:rsidR="00072C74">
        <w:t xml:space="preserve">, </w:t>
      </w:r>
      <w:r w:rsidRPr="00596D68" w:rsidR="00596D68">
        <w:t>Exp. Date 07/31/2019</w:t>
      </w:r>
      <w:r w:rsidR="00072C74">
        <w:t>)</w:t>
      </w:r>
      <w:r w:rsidR="00390590">
        <w:t xml:space="preserve">. </w:t>
      </w:r>
      <w:r>
        <w:t>J</w:t>
      </w:r>
      <w:r w:rsidR="00072C74">
        <w:t>ob stress</w:t>
      </w:r>
      <w:r>
        <w:t xml:space="preserve"> questions will be ascertained from the </w:t>
      </w:r>
      <w:r w:rsidR="00072C74">
        <w:t>Job Content questionnaire</w:t>
      </w:r>
      <w:r>
        <w:t xml:space="preserve">. Sleep health will be identified with questions from </w:t>
      </w:r>
      <w:r w:rsidR="00072C74">
        <w:t xml:space="preserve">Jackson Heart Sleep Study. </w:t>
      </w:r>
      <w:r>
        <w:t xml:space="preserve">Sleep quality will be assessed with the </w:t>
      </w:r>
      <w:r w:rsidR="00AD25C5">
        <w:t xml:space="preserve">Pittsburgh Sleep Quality Index. </w:t>
      </w:r>
      <w:r>
        <w:t xml:space="preserve">Other validated scales include </w:t>
      </w:r>
      <w:r w:rsidR="001136F7">
        <w:t xml:space="preserve">Organizational Safety </w:t>
      </w:r>
      <w:r w:rsidRPr="00596D68" w:rsidR="00072C74">
        <w:t>Climate (OSC) Scale, Group Safety Climate (GSC) Scale</w:t>
      </w:r>
      <w:r w:rsidR="00236382">
        <w:t>,</w:t>
      </w:r>
      <w:r w:rsidRPr="00596D68" w:rsidR="00AD25C5">
        <w:t xml:space="preserve"> and the</w:t>
      </w:r>
      <w:r w:rsidRPr="00596D68" w:rsidR="00072C74">
        <w:t xml:space="preserve"> Karolinska Sleepiness Scale (KSS). </w:t>
      </w:r>
    </w:p>
    <w:p w:rsidR="00AD25C5" w:rsidP="008C7231" w14:paraId="5918CEFD" w14:textId="096FF662">
      <w:r>
        <w:t xml:space="preserve">All interview and focus group guides were developed in collaboration with </w:t>
      </w:r>
      <w:r w:rsidR="00CE5E5E">
        <w:t xml:space="preserve">NIOSH </w:t>
      </w:r>
      <w:r w:rsidRPr="00AD25C5">
        <w:t xml:space="preserve">researchers </w:t>
      </w:r>
      <w:r w:rsidR="00CE5E5E">
        <w:t>and academic experts in</w:t>
      </w:r>
      <w:r w:rsidRPr="00AD25C5">
        <w:t xml:space="preserve"> </w:t>
      </w:r>
      <w:r>
        <w:t>qualitative research methods in occupational settings</w:t>
      </w:r>
      <w:r w:rsidR="00CE5E5E">
        <w:t>,</w:t>
      </w:r>
      <w:r>
        <w:t xml:space="preserve"> and with </w:t>
      </w:r>
      <w:r w:rsidRPr="00AD25C5">
        <w:t xml:space="preserve">knowledge of the </w:t>
      </w:r>
      <w:r w:rsidR="00236382">
        <w:t>OGE</w:t>
      </w:r>
      <w:r w:rsidRPr="00AD25C5">
        <w:t xml:space="preserve"> industry. </w:t>
      </w:r>
      <w:r>
        <w:t xml:space="preserve"> </w:t>
      </w:r>
    </w:p>
    <w:p w:rsidR="00CE5E5E" w:rsidP="008C7231" w14:paraId="235104A0" w14:textId="023FBEC9">
      <w:r>
        <w:t xml:space="preserve">Cognitive testing, as an indicator of fatigue, will be ascertained with NASA PVT+, a validated PVT test for field use. </w:t>
      </w:r>
    </w:p>
    <w:p w:rsidR="00FC2EEF" w:rsidP="004F67B6" w14:paraId="5A3A2523" w14:textId="3BA814B2">
      <w:r>
        <w:t>Objective sleep</w:t>
      </w:r>
      <w:r w:rsidR="004F67B6">
        <w:t xml:space="preserve"> health</w:t>
      </w:r>
      <w:r>
        <w:t xml:space="preserve"> measures</w:t>
      </w:r>
      <w:r w:rsidR="004F67B6">
        <w:t xml:space="preserve"> </w:t>
      </w:r>
      <w:r>
        <w:t xml:space="preserve">will be collected </w:t>
      </w:r>
      <w:r w:rsidR="004F67B6">
        <w:t xml:space="preserve">using actigraphy watches. These are </w:t>
      </w:r>
      <w:r w:rsidRPr="00626D75" w:rsidR="004F67B6">
        <w:rPr>
          <w:rFonts w:cstheme="minorHAnsi"/>
          <w:iCs/>
        </w:rPr>
        <w:t xml:space="preserve">small wristwatch-like devices that are non-intrusive and </w:t>
      </w:r>
      <w:r w:rsidR="004F67B6">
        <w:rPr>
          <w:rFonts w:cstheme="minorHAnsi"/>
          <w:iCs/>
        </w:rPr>
        <w:t xml:space="preserve">passively </w:t>
      </w:r>
      <w:r w:rsidRPr="00626D75" w:rsidR="004F67B6">
        <w:rPr>
          <w:rFonts w:cstheme="minorHAnsi"/>
          <w:iCs/>
        </w:rPr>
        <w:t xml:space="preserve">record limb activity as a measure of sleep-wake movement </w:t>
      </w:r>
      <w:r w:rsidRPr="000734B2" w:rsidR="004F67B6">
        <w:rPr>
          <w:rFonts w:cstheme="minorHAnsi"/>
        </w:rPr>
        <w:t xml:space="preserve">and </w:t>
      </w:r>
      <w:r w:rsidR="004F67B6">
        <w:rPr>
          <w:rFonts w:cstheme="minorHAnsi"/>
        </w:rPr>
        <w:t>are</w:t>
      </w:r>
      <w:r w:rsidRPr="000734B2" w:rsidR="004F67B6">
        <w:rPr>
          <w:rFonts w:cstheme="minorHAnsi"/>
        </w:rPr>
        <w:t xml:space="preserve"> validated against polysomnography, the laboratory-based gold standard for measuring sleep</w:t>
      </w:r>
      <w:r w:rsidR="004F67B6">
        <w:rPr>
          <w:rFonts w:cstheme="minorHAnsi"/>
        </w:rPr>
        <w:t xml:space="preserve">. </w:t>
      </w:r>
    </w:p>
    <w:p w:rsidR="003E081D" w:rsidP="00A55EB5" w14:paraId="5A1D2C98" w14:textId="46DB8B3E">
      <w:pPr>
        <w:pStyle w:val="Heading2"/>
      </w:pPr>
      <w:bookmarkStart w:id="8" w:name="_Toc136509885"/>
      <w:r>
        <w:t>B.</w:t>
      </w:r>
      <w:r w:rsidR="006A7CFA">
        <w:t>5 Individuals Consulted on Statistical Aspects and Individuals Collecting and/or Analyzing Data</w:t>
      </w:r>
      <w:bookmarkEnd w:id="8"/>
    </w:p>
    <w:p w:rsidR="00A55EB5" w:rsidP="008C7231" w14:paraId="1558B219" w14:textId="2CBC85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NIOSH employees designed the questionnaires, performed pilot testing</w:t>
      </w:r>
      <w:r w:rsidR="00CE5E5E">
        <w:t xml:space="preserve"> of study instruments</w:t>
      </w:r>
      <w:r>
        <w:t>, and will be responsible for collection and analysis of all data. Key NIOSH contacts are listed below.</w:t>
      </w:r>
      <w:r>
        <w:t xml:space="preserve"> </w:t>
      </w:r>
    </w:p>
    <w:p w:rsidR="00A55EB5" w:rsidP="00A55EB5" w14:paraId="621DC9B5" w14:textId="06B53271">
      <w:pPr>
        <w:spacing w:after="0"/>
      </w:pPr>
      <w:r>
        <w:t>Alejandra Ramirez-Cardenas, MPH</w:t>
      </w:r>
    </w:p>
    <w:p w:rsidR="00A55EB5" w:rsidP="00A55EB5" w14:paraId="705CC5DB" w14:textId="5B5B1DFE">
      <w:pPr>
        <w:spacing w:after="0"/>
      </w:pPr>
      <w:r>
        <w:t>Epidemiologist</w:t>
      </w:r>
    </w:p>
    <w:p w:rsidR="00A55EB5" w:rsidP="00A55EB5" w14:paraId="519A804D" w14:textId="1FDFB5F2">
      <w:pPr>
        <w:spacing w:after="0"/>
      </w:pPr>
      <w:r>
        <w:t>Western States Division, NIOSH</w:t>
      </w:r>
    </w:p>
    <w:p w:rsidR="00A55EB5" w:rsidP="00A55EB5" w14:paraId="6453CD71" w14:textId="216D79E3">
      <w:pPr>
        <w:spacing w:after="0"/>
      </w:pPr>
      <w:r>
        <w:t>Phone: 303-236-5957</w:t>
      </w:r>
    </w:p>
    <w:p w:rsidR="00A55EB5" w:rsidP="008C7231" w14:paraId="70FB70A5" w14:textId="1F7A5A75">
      <w:pPr>
        <w:spacing w:after="240"/>
      </w:pPr>
      <w:hyperlink r:id="rId5" w:history="1">
        <w:r w:rsidRPr="005B35AA">
          <w:rPr>
            <w:rStyle w:val="Hyperlink"/>
          </w:rPr>
          <w:t>nxa5@cdc.gov</w:t>
        </w:r>
      </w:hyperlink>
    </w:p>
    <w:p w:rsidR="00A55EB5" w:rsidP="00A55EB5" w14:paraId="5E2FBC0D" w14:textId="0CA9B61F">
      <w:pPr>
        <w:spacing w:after="0"/>
      </w:pPr>
      <w:r>
        <w:t>Imelda Wong, PhD</w:t>
      </w:r>
    </w:p>
    <w:p w:rsidR="00A55EB5" w:rsidP="00A55EB5" w14:paraId="65BC85F2" w14:textId="250DCA94">
      <w:pPr>
        <w:spacing w:after="0"/>
      </w:pPr>
      <w:r>
        <w:t>Program Leader, Center for Work and Fatigue Research</w:t>
      </w:r>
    </w:p>
    <w:p w:rsidR="00A55EB5" w:rsidP="00A55EB5" w14:paraId="06DC568A" w14:textId="6E370144">
      <w:pPr>
        <w:spacing w:after="0"/>
      </w:pPr>
      <w:r>
        <w:t>Division of Science Integration, NIOSH</w:t>
      </w:r>
    </w:p>
    <w:p w:rsidR="00A55EB5" w:rsidP="00A55EB5" w14:paraId="4F3878DA" w14:textId="6BF29751">
      <w:pPr>
        <w:spacing w:after="0"/>
      </w:pPr>
      <w:r>
        <w:t>Phone:</w:t>
      </w:r>
      <w:r w:rsidR="00020306">
        <w:t xml:space="preserve"> </w:t>
      </w:r>
      <w:r w:rsidRPr="00020306" w:rsidR="00020306">
        <w:rPr>
          <w:rFonts w:cstheme="minorHAnsi"/>
          <w:szCs w:val="24"/>
        </w:rPr>
        <w:t>513</w:t>
      </w:r>
      <w:r w:rsidR="00020306">
        <w:rPr>
          <w:rFonts w:cstheme="minorHAnsi"/>
          <w:szCs w:val="24"/>
        </w:rPr>
        <w:t>-</w:t>
      </w:r>
      <w:r w:rsidRPr="00020306" w:rsidR="00020306">
        <w:rPr>
          <w:rFonts w:cstheme="minorHAnsi"/>
          <w:szCs w:val="24"/>
        </w:rPr>
        <w:t>533</w:t>
      </w:r>
      <w:r w:rsidR="00020306">
        <w:rPr>
          <w:rFonts w:cstheme="minorHAnsi"/>
          <w:szCs w:val="24"/>
        </w:rPr>
        <w:t>-</w:t>
      </w:r>
      <w:r w:rsidRPr="00020306" w:rsidR="00020306">
        <w:rPr>
          <w:rFonts w:cstheme="minorHAnsi"/>
          <w:szCs w:val="24"/>
        </w:rPr>
        <w:t>6847</w:t>
      </w:r>
    </w:p>
    <w:p w:rsidR="00A55EB5" w:rsidP="008C7231" w14:paraId="20330464" w14:textId="757B3C7C">
      <w:pPr>
        <w:spacing w:after="240"/>
      </w:pPr>
      <w:hyperlink r:id="rId6" w:history="1">
        <w:r w:rsidRPr="005B35AA" w:rsidR="00020306">
          <w:rPr>
            <w:rStyle w:val="Hyperlink"/>
          </w:rPr>
          <w:t>kwn0@cdc.gov</w:t>
        </w:r>
      </w:hyperlink>
      <w:r w:rsidR="00020306">
        <w:t xml:space="preserve"> </w:t>
      </w:r>
    </w:p>
    <w:p w:rsidR="00A55EB5" w:rsidP="00A55EB5" w14:paraId="7DC92C6B" w14:textId="037C0753">
      <w:pPr>
        <w:spacing w:after="0"/>
      </w:pPr>
      <w:r>
        <w:t>Kenneth Scott, PhD, MPH</w:t>
      </w:r>
    </w:p>
    <w:p w:rsidR="00A55EB5" w:rsidP="00A55EB5" w14:paraId="4831A88F" w14:textId="5043109A">
      <w:pPr>
        <w:spacing w:after="0"/>
      </w:pPr>
      <w:r>
        <w:t>Research Epidemiologist</w:t>
      </w:r>
    </w:p>
    <w:p w:rsidR="00A55EB5" w:rsidP="00A55EB5" w14:paraId="37E0BFF5" w14:textId="5D758894">
      <w:pPr>
        <w:spacing w:after="0"/>
      </w:pPr>
      <w:r>
        <w:t>Western States Division, NIOSH</w:t>
      </w:r>
    </w:p>
    <w:p w:rsidR="008C7231" w:rsidRPr="00162E0E" w:rsidP="008C7231" w14:paraId="7E8F604A" w14:textId="4D87ED03">
      <w:pPr>
        <w:spacing w:after="0"/>
        <w:rPr>
          <w:lang w:val="fr-FR"/>
        </w:rPr>
      </w:pPr>
      <w:r w:rsidRPr="00162E0E">
        <w:rPr>
          <w:lang w:val="fr-FR"/>
        </w:rPr>
        <w:t>Phone:</w:t>
      </w:r>
      <w:r w:rsidRPr="00162E0E" w:rsidR="00020306">
        <w:rPr>
          <w:lang w:val="fr-FR"/>
        </w:rPr>
        <w:t xml:space="preserve"> 303-236-0502</w:t>
      </w:r>
    </w:p>
    <w:p w:rsidR="00AD25C5" w:rsidRPr="00162E0E" w:rsidP="00162E0E" w14:paraId="6158BE09" w14:textId="6FFF31C5">
      <w:pPr>
        <w:spacing w:after="240"/>
        <w:rPr>
          <w:lang w:val="fr-FR"/>
        </w:rPr>
      </w:pPr>
      <w:hyperlink r:id="rId7" w:history="1">
        <w:r w:rsidRPr="00162E0E" w:rsidR="00020306">
          <w:rPr>
            <w:rStyle w:val="Hyperlink"/>
            <w:lang w:val="fr-FR"/>
          </w:rPr>
          <w:t>snx4@cdc.gov</w:t>
        </w:r>
      </w:hyperlink>
      <w:r w:rsidRPr="00162E0E" w:rsidR="00020306">
        <w:rPr>
          <w:lang w:val="fr-FR"/>
        </w:rPr>
        <w:t xml:space="preserve"> </w:t>
      </w:r>
    </w:p>
    <w:p w:rsidR="008C7231" w:rsidP="00A55EB5" w14:paraId="5F4062EB" w14:textId="49F5EDC9">
      <w:pPr>
        <w:spacing w:after="0"/>
      </w:pPr>
      <w:r w:rsidRPr="00162E0E">
        <w:rPr>
          <w:rFonts w:cstheme="minorHAnsi"/>
          <w:b/>
        </w:rPr>
        <w:t>Cooperative Agreement or Contract</w:t>
      </w:r>
      <w:r>
        <w:t>:</w:t>
      </w:r>
    </w:p>
    <w:p w:rsidR="00162E0E" w:rsidP="00A55EB5" w14:paraId="1ABD148D" w14:textId="703AB9A5">
      <w:pPr>
        <w:spacing w:after="0"/>
      </w:pPr>
      <w:r>
        <w:t>Natalie Schwatka, PhD</w:t>
      </w:r>
    </w:p>
    <w:p w:rsidR="00162E0E" w:rsidP="00A55EB5" w14:paraId="17F0ECAD" w14:textId="4C82BD20">
      <w:pPr>
        <w:spacing w:after="0"/>
      </w:pPr>
      <w:r>
        <w:t>Assistant Professor</w:t>
      </w:r>
    </w:p>
    <w:p w:rsidR="00162E0E" w:rsidP="00A55EB5" w14:paraId="4E9E4BEA" w14:textId="3F9312D3">
      <w:pPr>
        <w:spacing w:after="0"/>
      </w:pPr>
      <w:r w:rsidRPr="00162E0E">
        <w:t>University of Colorado Denver, Colorado School of Public Health</w:t>
      </w:r>
    </w:p>
    <w:p w:rsidR="00162E0E" w:rsidP="00A55EB5" w14:paraId="17DA5723" w14:textId="333D4ECB">
      <w:pPr>
        <w:spacing w:after="0"/>
      </w:pPr>
      <w:r>
        <w:t>303-724-4607</w:t>
      </w:r>
    </w:p>
    <w:p w:rsidR="00162E0E" w:rsidP="00A55EB5" w14:paraId="52049A9C" w14:textId="3F66B8AD">
      <w:pPr>
        <w:spacing w:after="0"/>
      </w:pPr>
      <w:r w:rsidRPr="00162E0E">
        <w:t>natalie.schwatka@cuanschutz.edu</w:t>
      </w:r>
    </w:p>
    <w:p w:rsidR="00162E0E" w:rsidP="00A55EB5" w14:paraId="20C1B6B1" w14:textId="77777777">
      <w:pPr>
        <w:spacing w:after="0"/>
      </w:pPr>
    </w:p>
    <w:p w:rsidR="008C7231" w:rsidP="00A55EB5" w14:paraId="7D4B19B8" w14:textId="54BDFE87">
      <w:pPr>
        <w:spacing w:after="0"/>
      </w:pPr>
      <w:r>
        <w:t>Kaitlin Wingate, MPH</w:t>
      </w:r>
    </w:p>
    <w:p w:rsidR="008C7231" w:rsidP="00A55EB5" w14:paraId="45572A47" w14:textId="15D3F1B7">
      <w:pPr>
        <w:spacing w:after="0"/>
      </w:pPr>
      <w:r>
        <w:t>Epidemiologist</w:t>
      </w:r>
    </w:p>
    <w:p w:rsidR="008C7231" w:rsidP="00A55EB5" w14:paraId="098EA6AC" w14:textId="77777777">
      <w:pPr>
        <w:spacing w:after="0"/>
      </w:pPr>
      <w:r>
        <w:t>Synergy America, Inc.</w:t>
      </w:r>
    </w:p>
    <w:p w:rsidR="008C7231" w:rsidP="00A55EB5" w14:paraId="47C2673A" w14:textId="5714BDB2">
      <w:pPr>
        <w:spacing w:after="0"/>
      </w:pPr>
      <w:r>
        <w:t>Phone:</w:t>
      </w:r>
      <w:r w:rsidR="00020306">
        <w:t xml:space="preserve"> </w:t>
      </w:r>
      <w:r w:rsidRPr="00020306" w:rsidR="00020306">
        <w:t>303</w:t>
      </w:r>
      <w:r w:rsidR="00020306">
        <w:t>-</w:t>
      </w:r>
      <w:r w:rsidRPr="00020306" w:rsidR="00020306">
        <w:t>236</w:t>
      </w:r>
      <w:r w:rsidR="00020306">
        <w:t>-</w:t>
      </w:r>
      <w:r w:rsidRPr="00020306" w:rsidR="00020306">
        <w:t>5956</w:t>
      </w:r>
      <w:r w:rsidR="00020306">
        <w:t xml:space="preserve"> </w:t>
      </w:r>
    </w:p>
    <w:p w:rsidR="008C7231" w:rsidP="00A55EB5" w14:paraId="0A1ECC35" w14:textId="68FA4E93">
      <w:pPr>
        <w:spacing w:after="0"/>
      </w:pPr>
      <w:hyperlink r:id="rId8" w:history="1">
        <w:r w:rsidRPr="005B35AA" w:rsidR="00020306">
          <w:rPr>
            <w:rStyle w:val="Hyperlink"/>
          </w:rPr>
          <w:t>ofm8@cdc.gov</w:t>
        </w:r>
      </w:hyperlink>
      <w:r w:rsidR="00020306">
        <w:t xml:space="preserve"> </w:t>
      </w:r>
    </w:p>
    <w:p w:rsidR="008C7231" w:rsidP="00A55EB5" w14:paraId="7EECB352" w14:textId="009AC79D">
      <w:pPr>
        <w:spacing w:after="0"/>
      </w:pPr>
      <w:r>
        <w:t xml:space="preserve">Ms. Wingate will participate in data collection and analysis.  </w:t>
      </w:r>
    </w:p>
    <w:p w:rsidR="008C7231" w:rsidP="00A55EB5" w14:paraId="4DCAB032" w14:textId="0E8AAD73">
      <w:pPr>
        <w:spacing w:after="0"/>
      </w:pPr>
    </w:p>
    <w:p w:rsidR="008C7231" w:rsidP="008C7231" w14:paraId="458CBCFA" w14:textId="77777777">
      <w:pPr>
        <w:spacing w:after="0" w:line="240" w:lineRule="auto"/>
      </w:pPr>
      <w:r>
        <w:t xml:space="preserve">CDC-NIOSH Western States Division employees and members of the CDC-NIOSH Oil and Gas program will assist in data collection and/or analysis. However, the exact persons have yet to be determined. Any new employees brought on board to assist will be trained as described in other portions of the OMB Packet. </w:t>
      </w:r>
    </w:p>
    <w:p w:rsidR="00ED6D6C" w14:paraId="792CC4F4" w14:textId="2A4BD1D6">
      <w:r>
        <w:br w:type="page"/>
      </w:r>
    </w:p>
    <w:p w:rsidR="008C7231" w:rsidP="00162E0E" w14:paraId="39BDBF42" w14:textId="004E0C75">
      <w:pPr>
        <w:pStyle w:val="Heading2"/>
      </w:pPr>
      <w:bookmarkStart w:id="9" w:name="_Toc136509886"/>
      <w:r>
        <w:t>References</w:t>
      </w:r>
      <w:bookmarkEnd w:id="9"/>
    </w:p>
    <w:p w:rsidR="00ED6D6C" w:rsidP="00ED6D6C" w14:paraId="4D40A564" w14:textId="355AF381">
      <w:pPr>
        <w:pStyle w:val="ListParagraph"/>
        <w:numPr>
          <w:ilvl w:val="0"/>
          <w:numId w:val="7"/>
        </w:numPr>
        <w:spacing w:after="0"/>
      </w:pPr>
      <w:r w:rsidRPr="00BC5C69">
        <w:t>Hennink</w:t>
      </w:r>
      <w:r w:rsidRPr="00BC5C69">
        <w:t xml:space="preserve">, M. and B.N. Kaiser, </w:t>
      </w:r>
      <w:r w:rsidRPr="00BC5C69">
        <w:rPr>
          <w:i/>
        </w:rPr>
        <w:t>Sample sizes for saturation in qualitative research: A systematic review of empirical tests.</w:t>
      </w:r>
      <w:r w:rsidRPr="00BC5C69">
        <w:t xml:space="preserve"> Social Science &amp; Medicine, 2022. </w:t>
      </w:r>
      <w:r w:rsidRPr="00BC5C69">
        <w:rPr>
          <w:b/>
        </w:rPr>
        <w:t>292</w:t>
      </w:r>
      <w:r w:rsidRPr="00BC5C69">
        <w:t>: p. 114523.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8C15D74"/>
    <w:multiLevelType w:val="hybridMultilevel"/>
    <w:tmpl w:val="5598234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A803B60"/>
    <w:multiLevelType w:val="hybridMultilevel"/>
    <w:tmpl w:val="9F0650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8D2078B"/>
    <w:multiLevelType w:val="hybridMultilevel"/>
    <w:tmpl w:val="27B6B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704D8B"/>
    <w:multiLevelType w:val="hybridMultilevel"/>
    <w:tmpl w:val="225C8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24347E"/>
    <w:multiLevelType w:val="hybridMultilevel"/>
    <w:tmpl w:val="E1588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8035399"/>
    <w:multiLevelType w:val="hybridMultilevel"/>
    <w:tmpl w:val="A6E2A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1386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147542">
    <w:abstractNumId w:val="0"/>
  </w:num>
  <w:num w:numId="3" w16cid:durableId="1400715330">
    <w:abstractNumId w:val="1"/>
  </w:num>
  <w:num w:numId="4" w16cid:durableId="2083213978">
    <w:abstractNumId w:val="2"/>
  </w:num>
  <w:num w:numId="5" w16cid:durableId="1757247529">
    <w:abstractNumId w:val="4"/>
  </w:num>
  <w:num w:numId="6" w16cid:durableId="1102916102">
    <w:abstractNumId w:val="3"/>
  </w:num>
  <w:num w:numId="7" w16cid:durableId="15024277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mirez-Cardenas, Alejandra (CDC/NIOSH/WSD)">
    <w15:presenceInfo w15:providerId="AD" w15:userId="S::nxa5@cdc.gov::ec8f0c7d-2ce8-4d89-8eb8-7885f0680082"/>
  </w15:person>
  <w15:person w15:author="Hale, Christa R. (CDC/NIOSH/WSD)">
    <w15:presenceInfo w15:providerId="AD" w15:userId="S::HGK5@cdc.gov::b45a5495-c680-464a-a986-6e63c5bbac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FA"/>
    <w:rsid w:val="00020306"/>
    <w:rsid w:val="00072C74"/>
    <w:rsid w:val="000734B2"/>
    <w:rsid w:val="00073E90"/>
    <w:rsid w:val="000859D6"/>
    <w:rsid w:val="00095EBE"/>
    <w:rsid w:val="000A4120"/>
    <w:rsid w:val="000B05FD"/>
    <w:rsid w:val="000F1861"/>
    <w:rsid w:val="001136F7"/>
    <w:rsid w:val="00131D79"/>
    <w:rsid w:val="001331E7"/>
    <w:rsid w:val="00140A56"/>
    <w:rsid w:val="00162E0E"/>
    <w:rsid w:val="001D5F5F"/>
    <w:rsid w:val="00217506"/>
    <w:rsid w:val="00236382"/>
    <w:rsid w:val="00241453"/>
    <w:rsid w:val="0025024F"/>
    <w:rsid w:val="0029432E"/>
    <w:rsid w:val="003163AF"/>
    <w:rsid w:val="00321BD9"/>
    <w:rsid w:val="00373192"/>
    <w:rsid w:val="00390590"/>
    <w:rsid w:val="003A040A"/>
    <w:rsid w:val="003B0A90"/>
    <w:rsid w:val="003C0822"/>
    <w:rsid w:val="003E081D"/>
    <w:rsid w:val="003F45D1"/>
    <w:rsid w:val="00402559"/>
    <w:rsid w:val="004128E9"/>
    <w:rsid w:val="004B1F03"/>
    <w:rsid w:val="004D2C58"/>
    <w:rsid w:val="004F0CBB"/>
    <w:rsid w:val="004F1015"/>
    <w:rsid w:val="004F445A"/>
    <w:rsid w:val="004F67B6"/>
    <w:rsid w:val="00512CC7"/>
    <w:rsid w:val="00596D68"/>
    <w:rsid w:val="005B35AA"/>
    <w:rsid w:val="00626D75"/>
    <w:rsid w:val="006308F6"/>
    <w:rsid w:val="006356FC"/>
    <w:rsid w:val="0066310C"/>
    <w:rsid w:val="00666547"/>
    <w:rsid w:val="006925F2"/>
    <w:rsid w:val="006A7CFA"/>
    <w:rsid w:val="006B358C"/>
    <w:rsid w:val="00705E8D"/>
    <w:rsid w:val="007504BE"/>
    <w:rsid w:val="007A37B4"/>
    <w:rsid w:val="007A7FF4"/>
    <w:rsid w:val="007D25D4"/>
    <w:rsid w:val="007E0481"/>
    <w:rsid w:val="00812D80"/>
    <w:rsid w:val="00893C78"/>
    <w:rsid w:val="008B0678"/>
    <w:rsid w:val="008C7231"/>
    <w:rsid w:val="008F29E9"/>
    <w:rsid w:val="009514DD"/>
    <w:rsid w:val="00972887"/>
    <w:rsid w:val="009A56B1"/>
    <w:rsid w:val="009F2825"/>
    <w:rsid w:val="00A146FD"/>
    <w:rsid w:val="00A34CEF"/>
    <w:rsid w:val="00A55EB5"/>
    <w:rsid w:val="00AD25C5"/>
    <w:rsid w:val="00AE5307"/>
    <w:rsid w:val="00B271D8"/>
    <w:rsid w:val="00B42C7D"/>
    <w:rsid w:val="00B96AFA"/>
    <w:rsid w:val="00BA100A"/>
    <w:rsid w:val="00BA5322"/>
    <w:rsid w:val="00BC3F54"/>
    <w:rsid w:val="00BC5C69"/>
    <w:rsid w:val="00C24CEB"/>
    <w:rsid w:val="00C36F31"/>
    <w:rsid w:val="00C7439A"/>
    <w:rsid w:val="00CD5FF1"/>
    <w:rsid w:val="00CE5E5E"/>
    <w:rsid w:val="00D107EB"/>
    <w:rsid w:val="00D12B0A"/>
    <w:rsid w:val="00D60E29"/>
    <w:rsid w:val="00DB5FE3"/>
    <w:rsid w:val="00DE0EA6"/>
    <w:rsid w:val="00E10213"/>
    <w:rsid w:val="00EC2FC8"/>
    <w:rsid w:val="00ED6D6C"/>
    <w:rsid w:val="00F07E9B"/>
    <w:rsid w:val="00F17446"/>
    <w:rsid w:val="00F43A7B"/>
    <w:rsid w:val="00FB0A3E"/>
    <w:rsid w:val="00FB5A2C"/>
    <w:rsid w:val="00FC0809"/>
    <w:rsid w:val="00FC2EEF"/>
    <w:rsid w:val="00FD4446"/>
    <w:rsid w:val="00FE3E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03B8F42"/>
  <w15:chartTrackingRefBased/>
  <w15:docId w15:val="{A58239A0-28A8-483D-B797-213F702F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5E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43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AFA"/>
    <w:rPr>
      <w:color w:val="0563C1" w:themeColor="hyperlink"/>
      <w:u w:val="single"/>
    </w:rPr>
  </w:style>
  <w:style w:type="character" w:styleId="UnresolvedMention">
    <w:name w:val="Unresolved Mention"/>
    <w:basedOn w:val="DefaultParagraphFont"/>
    <w:uiPriority w:val="99"/>
    <w:semiHidden/>
    <w:unhideWhenUsed/>
    <w:rsid w:val="00B96AFA"/>
    <w:rPr>
      <w:color w:val="605E5C"/>
      <w:shd w:val="clear" w:color="auto" w:fill="E1DFDD"/>
    </w:rPr>
  </w:style>
  <w:style w:type="character" w:customStyle="1" w:styleId="Heading1Char">
    <w:name w:val="Heading 1 Char"/>
    <w:basedOn w:val="DefaultParagraphFont"/>
    <w:link w:val="Heading1"/>
    <w:uiPriority w:val="9"/>
    <w:rsid w:val="00A55E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5EB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E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E0EA6"/>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E0EA6"/>
  </w:style>
  <w:style w:type="character" w:styleId="CommentReference">
    <w:name w:val="annotation reference"/>
    <w:basedOn w:val="DefaultParagraphFont"/>
    <w:uiPriority w:val="99"/>
    <w:semiHidden/>
    <w:unhideWhenUsed/>
    <w:rsid w:val="00020306"/>
    <w:rPr>
      <w:sz w:val="16"/>
      <w:szCs w:val="16"/>
    </w:rPr>
  </w:style>
  <w:style w:type="paragraph" w:styleId="CommentText">
    <w:name w:val="annotation text"/>
    <w:basedOn w:val="Normal"/>
    <w:link w:val="CommentTextChar"/>
    <w:uiPriority w:val="99"/>
    <w:unhideWhenUsed/>
    <w:rsid w:val="00020306"/>
    <w:pPr>
      <w:spacing w:line="240" w:lineRule="auto"/>
    </w:pPr>
    <w:rPr>
      <w:sz w:val="20"/>
      <w:szCs w:val="20"/>
    </w:rPr>
  </w:style>
  <w:style w:type="character" w:customStyle="1" w:styleId="CommentTextChar">
    <w:name w:val="Comment Text Char"/>
    <w:basedOn w:val="DefaultParagraphFont"/>
    <w:link w:val="CommentText"/>
    <w:uiPriority w:val="99"/>
    <w:rsid w:val="00020306"/>
    <w:rPr>
      <w:sz w:val="20"/>
      <w:szCs w:val="20"/>
    </w:rPr>
  </w:style>
  <w:style w:type="paragraph" w:styleId="CommentSubject">
    <w:name w:val="annotation subject"/>
    <w:basedOn w:val="CommentText"/>
    <w:next w:val="CommentText"/>
    <w:link w:val="CommentSubjectChar"/>
    <w:uiPriority w:val="99"/>
    <w:semiHidden/>
    <w:unhideWhenUsed/>
    <w:rsid w:val="00020306"/>
    <w:rPr>
      <w:b/>
      <w:bCs/>
    </w:rPr>
  </w:style>
  <w:style w:type="character" w:customStyle="1" w:styleId="CommentSubjectChar">
    <w:name w:val="Comment Subject Char"/>
    <w:basedOn w:val="CommentTextChar"/>
    <w:link w:val="CommentSubject"/>
    <w:uiPriority w:val="99"/>
    <w:semiHidden/>
    <w:rsid w:val="00020306"/>
    <w:rPr>
      <w:b/>
      <w:bCs/>
      <w:sz w:val="20"/>
      <w:szCs w:val="20"/>
    </w:rPr>
  </w:style>
  <w:style w:type="paragraph" w:styleId="TOC1">
    <w:name w:val="toc 1"/>
    <w:basedOn w:val="Normal"/>
    <w:next w:val="Normal"/>
    <w:autoRedefine/>
    <w:uiPriority w:val="39"/>
    <w:unhideWhenUsed/>
    <w:rsid w:val="00C7439A"/>
    <w:pPr>
      <w:spacing w:before="240" w:after="120"/>
    </w:pPr>
    <w:rPr>
      <w:rFonts w:cstheme="minorHAnsi"/>
      <w:b/>
      <w:bCs/>
      <w:sz w:val="20"/>
      <w:szCs w:val="20"/>
    </w:rPr>
  </w:style>
  <w:style w:type="paragraph" w:styleId="TOC2">
    <w:name w:val="toc 2"/>
    <w:basedOn w:val="Normal"/>
    <w:next w:val="Normal"/>
    <w:autoRedefine/>
    <w:uiPriority w:val="39"/>
    <w:unhideWhenUsed/>
    <w:rsid w:val="00C7439A"/>
    <w:pPr>
      <w:spacing w:before="120" w:after="0"/>
      <w:ind w:left="220"/>
    </w:pPr>
    <w:rPr>
      <w:rFonts w:cstheme="minorHAnsi"/>
      <w:i/>
      <w:iCs/>
      <w:sz w:val="20"/>
      <w:szCs w:val="20"/>
    </w:rPr>
  </w:style>
  <w:style w:type="paragraph" w:styleId="TOC3">
    <w:name w:val="toc 3"/>
    <w:basedOn w:val="Normal"/>
    <w:next w:val="Normal"/>
    <w:autoRedefine/>
    <w:uiPriority w:val="39"/>
    <w:unhideWhenUsed/>
    <w:rsid w:val="00C7439A"/>
    <w:pPr>
      <w:spacing w:after="0"/>
      <w:ind w:left="440"/>
    </w:pPr>
    <w:rPr>
      <w:rFonts w:cstheme="minorHAnsi"/>
      <w:sz w:val="20"/>
      <w:szCs w:val="20"/>
    </w:rPr>
  </w:style>
  <w:style w:type="paragraph" w:styleId="TOC4">
    <w:name w:val="toc 4"/>
    <w:basedOn w:val="Normal"/>
    <w:next w:val="Normal"/>
    <w:autoRedefine/>
    <w:uiPriority w:val="39"/>
    <w:unhideWhenUsed/>
    <w:rsid w:val="00C7439A"/>
    <w:pPr>
      <w:spacing w:after="0"/>
      <w:ind w:left="660"/>
    </w:pPr>
    <w:rPr>
      <w:rFonts w:cstheme="minorHAnsi"/>
      <w:sz w:val="20"/>
      <w:szCs w:val="20"/>
    </w:rPr>
  </w:style>
  <w:style w:type="paragraph" w:styleId="TOC5">
    <w:name w:val="toc 5"/>
    <w:basedOn w:val="Normal"/>
    <w:next w:val="Normal"/>
    <w:autoRedefine/>
    <w:uiPriority w:val="39"/>
    <w:unhideWhenUsed/>
    <w:rsid w:val="00C7439A"/>
    <w:pPr>
      <w:spacing w:after="0"/>
      <w:ind w:left="880"/>
    </w:pPr>
    <w:rPr>
      <w:rFonts w:cstheme="minorHAnsi"/>
      <w:sz w:val="20"/>
      <w:szCs w:val="20"/>
    </w:rPr>
  </w:style>
  <w:style w:type="paragraph" w:styleId="TOC6">
    <w:name w:val="toc 6"/>
    <w:basedOn w:val="Normal"/>
    <w:next w:val="Normal"/>
    <w:autoRedefine/>
    <w:uiPriority w:val="39"/>
    <w:unhideWhenUsed/>
    <w:rsid w:val="00C7439A"/>
    <w:pPr>
      <w:spacing w:after="0"/>
      <w:ind w:left="1100"/>
    </w:pPr>
    <w:rPr>
      <w:rFonts w:cstheme="minorHAnsi"/>
      <w:sz w:val="20"/>
      <w:szCs w:val="20"/>
    </w:rPr>
  </w:style>
  <w:style w:type="paragraph" w:styleId="TOC7">
    <w:name w:val="toc 7"/>
    <w:basedOn w:val="Normal"/>
    <w:next w:val="Normal"/>
    <w:autoRedefine/>
    <w:uiPriority w:val="39"/>
    <w:unhideWhenUsed/>
    <w:rsid w:val="00C7439A"/>
    <w:pPr>
      <w:spacing w:after="0"/>
      <w:ind w:left="1320"/>
    </w:pPr>
    <w:rPr>
      <w:rFonts w:cstheme="minorHAnsi"/>
      <w:sz w:val="20"/>
      <w:szCs w:val="20"/>
    </w:rPr>
  </w:style>
  <w:style w:type="paragraph" w:styleId="TOC8">
    <w:name w:val="toc 8"/>
    <w:basedOn w:val="Normal"/>
    <w:next w:val="Normal"/>
    <w:autoRedefine/>
    <w:uiPriority w:val="39"/>
    <w:unhideWhenUsed/>
    <w:rsid w:val="00C7439A"/>
    <w:pPr>
      <w:spacing w:after="0"/>
      <w:ind w:left="1540"/>
    </w:pPr>
    <w:rPr>
      <w:rFonts w:cstheme="minorHAnsi"/>
      <w:sz w:val="20"/>
      <w:szCs w:val="20"/>
    </w:rPr>
  </w:style>
  <w:style w:type="paragraph" w:styleId="TOC9">
    <w:name w:val="toc 9"/>
    <w:basedOn w:val="Normal"/>
    <w:next w:val="Normal"/>
    <w:autoRedefine/>
    <w:uiPriority w:val="39"/>
    <w:unhideWhenUsed/>
    <w:rsid w:val="00C7439A"/>
    <w:pPr>
      <w:spacing w:after="0"/>
      <w:ind w:left="1760"/>
    </w:pPr>
    <w:rPr>
      <w:rFonts w:cstheme="minorHAnsi"/>
      <w:sz w:val="20"/>
      <w:szCs w:val="20"/>
    </w:rPr>
  </w:style>
  <w:style w:type="paragraph" w:styleId="Header">
    <w:name w:val="header"/>
    <w:basedOn w:val="Normal"/>
    <w:link w:val="HeaderChar"/>
    <w:uiPriority w:val="99"/>
    <w:unhideWhenUsed/>
    <w:rsid w:val="00C74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39A"/>
  </w:style>
  <w:style w:type="paragraph" w:styleId="Footer">
    <w:name w:val="footer"/>
    <w:basedOn w:val="Normal"/>
    <w:link w:val="FooterChar"/>
    <w:uiPriority w:val="99"/>
    <w:unhideWhenUsed/>
    <w:rsid w:val="00C74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39A"/>
  </w:style>
  <w:style w:type="character" w:customStyle="1" w:styleId="Heading3Char">
    <w:name w:val="Heading 3 Char"/>
    <w:basedOn w:val="DefaultParagraphFont"/>
    <w:link w:val="Heading3"/>
    <w:uiPriority w:val="9"/>
    <w:rsid w:val="00C7439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3E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xa5@cdc.gov" TargetMode="External" /><Relationship Id="rId6" Type="http://schemas.openxmlformats.org/officeDocument/2006/relationships/hyperlink" Target="mailto:kwn0@cdc.gov" TargetMode="External" /><Relationship Id="rId7" Type="http://schemas.openxmlformats.org/officeDocument/2006/relationships/hyperlink" Target="mailto:snx4@cdc.gov" TargetMode="External" /><Relationship Id="rId8" Type="http://schemas.openxmlformats.org/officeDocument/2006/relationships/hyperlink" Target="mailto:ofm8@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6F61-A1B5-4FF5-B1FD-C22C227F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Ramirez-Cardenas, Alejandra (CDC/NIOSH/WSD)</dc:creator>
  <cp:lastModifiedBy>Ramirez-Cardenas, Alejandra (CDC/NIOSH/WSD)</cp:lastModifiedBy>
  <cp:revision>2</cp:revision>
  <dcterms:created xsi:type="dcterms:W3CDTF">2023-10-26T20:54:00Z</dcterms:created>
  <dcterms:modified xsi:type="dcterms:W3CDTF">2023-10-26T20:54:00Z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4af92a42-04ef-49b9-aed1-7b1e0310b421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2023-05-02T22:12:10Z</vt:lpwstr>
  </property>
  <property fmtid="{D5CDD505-2E9C-101B-9397-08002B2CF9AE}" pid="8" name="MSIP_Label_8af03ff0-41c5-4c41-b55e-fabb8fae94be_SiteId">
    <vt:lpwstr>9ce70869-60db-44fd-abe8-d2767077fc8f</vt:lpwstr>
  </property>
</Properties>
</file>