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0A02" w:rsidRPr="00F3170B" w:rsidP="00F40A02" w14:paraId="6500EBFC" w14:textId="77777777">
      <w:pPr>
        <w:spacing w:after="0" w:line="240" w:lineRule="auto"/>
        <w:rPr>
          <w:rFonts w:cstheme="minorHAnsi"/>
          <w:sz w:val="24"/>
          <w:szCs w:val="24"/>
        </w:rPr>
      </w:pPr>
    </w:p>
    <w:p w:rsidR="00F40A02" w:rsidRPr="003A1F3D" w:rsidP="00F40A02" w14:paraId="6F6A120A" w14:textId="77777777">
      <w:pPr>
        <w:spacing w:after="0" w:line="240" w:lineRule="auto"/>
        <w:rPr>
          <w:rFonts w:ascii="Calibri" w:eastAsia="AdvOT863180fb" w:hAnsi="Calibri" w:cs="Calibri"/>
          <w:sz w:val="28"/>
          <w:szCs w:val="28"/>
        </w:rPr>
      </w:pPr>
      <w:r w:rsidRPr="003A1F3D">
        <w:rPr>
          <w:rFonts w:ascii="Calibri" w:eastAsia="Times New Roman" w:hAnsi="Calibri" w:cs="Calibri"/>
          <w:sz w:val="28"/>
          <w:szCs w:val="28"/>
        </w:rPr>
        <w:t xml:space="preserve">Table 1. Examples of </w:t>
      </w:r>
      <w:r w:rsidRPr="003A1F3D">
        <w:rPr>
          <w:rFonts w:ascii="Calibri" w:eastAsia="AdvOT863180fb" w:hAnsi="Calibri" w:cs="Calibri"/>
          <w:sz w:val="28"/>
          <w:szCs w:val="28"/>
        </w:rPr>
        <w:t xml:space="preserve">published studies that inform the potential public health impacts of HABs. </w:t>
      </w:r>
    </w:p>
    <w:p w:rsidR="00F40A02" w:rsidRPr="00635AC2" w:rsidP="00F40A02" w14:paraId="5342EE43" w14:textId="77777777">
      <w:pPr>
        <w:spacing w:after="0" w:line="240" w:lineRule="auto"/>
        <w:rPr>
          <w:rFonts w:ascii="Calibri" w:eastAsia="AdvOT863180fb" w:hAnsi="Calibri" w:cs="Calibri"/>
          <w:sz w:val="24"/>
          <w:szCs w:val="24"/>
        </w:rPr>
      </w:pPr>
    </w:p>
    <w:tbl>
      <w:tblPr>
        <w:tblStyle w:val="TableGrid3"/>
        <w:tblW w:w="13950" w:type="dxa"/>
        <w:tblInd w:w="-545" w:type="dxa"/>
        <w:tblLook w:val="04A0"/>
      </w:tblPr>
      <w:tblGrid>
        <w:gridCol w:w="4948"/>
        <w:gridCol w:w="2395"/>
        <w:gridCol w:w="6607"/>
      </w:tblGrid>
      <w:tr w14:paraId="44DB28D2" w14:textId="77777777" w:rsidTr="003A1F3D">
        <w:tblPrEx>
          <w:tblW w:w="13950" w:type="dxa"/>
          <w:tblInd w:w="-545" w:type="dxa"/>
          <w:tblLook w:val="04A0"/>
        </w:tblPrEx>
        <w:tc>
          <w:tcPr>
            <w:tcW w:w="4948" w:type="dxa"/>
          </w:tcPr>
          <w:p w:rsidR="00F40A02" w:rsidRPr="00635AC2" w:rsidP="00FC6205" w14:paraId="49BB5815" w14:textId="77777777">
            <w:pPr>
              <w:rPr>
                <w:rFonts w:ascii="Calibri" w:eastAsia="AdvOT863180fb" w:hAnsi="Calibri" w:cs="Calibri"/>
                <w:b/>
                <w:bCs/>
                <w:sz w:val="28"/>
                <w:szCs w:val="28"/>
              </w:rPr>
            </w:pPr>
            <w:r w:rsidRPr="00635AC2">
              <w:rPr>
                <w:rFonts w:ascii="Calibri" w:eastAsia="AdvOT863180fb" w:hAnsi="Calibri" w:cs="Calibri"/>
                <w:b/>
                <w:bCs/>
                <w:sz w:val="28"/>
                <w:szCs w:val="28"/>
              </w:rPr>
              <w:t>Study Citation</w:t>
            </w:r>
          </w:p>
        </w:tc>
        <w:tc>
          <w:tcPr>
            <w:tcW w:w="2395" w:type="dxa"/>
          </w:tcPr>
          <w:p w:rsidR="00F40A02" w:rsidRPr="00635AC2" w:rsidP="00FC6205" w14:paraId="332EEC01" w14:textId="77777777">
            <w:pPr>
              <w:rPr>
                <w:rFonts w:ascii="Calibri" w:eastAsia="AdvOT863180fb" w:hAnsi="Calibri" w:cs="Calibri"/>
                <w:b/>
                <w:bCs/>
                <w:sz w:val="28"/>
                <w:szCs w:val="28"/>
              </w:rPr>
            </w:pPr>
            <w:r w:rsidRPr="00635AC2">
              <w:rPr>
                <w:rFonts w:ascii="Calibri" w:eastAsia="AdvOT863180fb" w:hAnsi="Calibri" w:cs="Calibri"/>
                <w:b/>
                <w:bCs/>
                <w:sz w:val="28"/>
                <w:szCs w:val="28"/>
              </w:rPr>
              <w:t xml:space="preserve">Study methods </w:t>
            </w:r>
          </w:p>
        </w:tc>
        <w:tc>
          <w:tcPr>
            <w:tcW w:w="6607" w:type="dxa"/>
          </w:tcPr>
          <w:p w:rsidR="00F40A02" w:rsidRPr="00635AC2" w:rsidP="00FC6205" w14:paraId="2A20BC0E" w14:textId="77777777">
            <w:pPr>
              <w:rPr>
                <w:rFonts w:ascii="Calibri" w:eastAsia="AdvOT863180fb" w:hAnsi="Calibri" w:cs="Calibri"/>
                <w:b/>
                <w:bCs/>
                <w:sz w:val="28"/>
                <w:szCs w:val="28"/>
              </w:rPr>
            </w:pPr>
            <w:r w:rsidRPr="00635AC2">
              <w:rPr>
                <w:rFonts w:ascii="Calibri" w:eastAsia="AdvOT863180fb" w:hAnsi="Calibri" w:cs="Calibri"/>
                <w:b/>
                <w:bCs/>
                <w:sz w:val="28"/>
                <w:szCs w:val="28"/>
              </w:rPr>
              <w:t>Summary of Public Health-related findings</w:t>
            </w:r>
          </w:p>
        </w:tc>
      </w:tr>
      <w:tr w14:paraId="441CE836" w14:textId="77777777" w:rsidTr="003A1F3D">
        <w:tblPrEx>
          <w:tblW w:w="13950" w:type="dxa"/>
          <w:tblInd w:w="-545" w:type="dxa"/>
          <w:tblLook w:val="04A0"/>
        </w:tblPrEx>
        <w:tc>
          <w:tcPr>
            <w:tcW w:w="13950" w:type="dxa"/>
            <w:gridSpan w:val="3"/>
          </w:tcPr>
          <w:p w:rsidR="00F40A02" w:rsidRPr="00635AC2" w:rsidP="00FC6205" w14:paraId="26B9E1EC" w14:textId="77777777">
            <w:pPr>
              <w:rPr>
                <w:rFonts w:ascii="Calibri" w:eastAsia="AdvOT863180fb" w:hAnsi="Calibri" w:cs="Calibri"/>
                <w:b/>
                <w:bCs/>
                <w:sz w:val="28"/>
                <w:szCs w:val="28"/>
              </w:rPr>
            </w:pPr>
            <w:r w:rsidRPr="00635AC2">
              <w:rPr>
                <w:rFonts w:ascii="Calibri" w:eastAsia="AdvOT863180fb" w:hAnsi="Calibri" w:cs="Calibri"/>
                <w:b/>
                <w:bCs/>
                <w:sz w:val="28"/>
                <w:szCs w:val="28"/>
              </w:rPr>
              <w:t>Marine HABs</w:t>
            </w:r>
          </w:p>
        </w:tc>
      </w:tr>
      <w:tr w14:paraId="40944FE7" w14:textId="77777777" w:rsidTr="003A1F3D">
        <w:tblPrEx>
          <w:tblW w:w="13950" w:type="dxa"/>
          <w:tblInd w:w="-545" w:type="dxa"/>
          <w:tblLook w:val="04A0"/>
        </w:tblPrEx>
        <w:tc>
          <w:tcPr>
            <w:tcW w:w="4948" w:type="dxa"/>
          </w:tcPr>
          <w:p w:rsidR="00F40A02" w:rsidRPr="00635AC2" w:rsidP="00FC6205" w14:paraId="2405326A" w14:textId="7982C4C1">
            <w:pPr>
              <w:widowControl w:val="0"/>
              <w:autoSpaceDE w:val="0"/>
              <w:autoSpaceDN w:val="0"/>
              <w:adjustRightInd w:val="0"/>
              <w:rPr>
                <w:rFonts w:eastAsia="SimSun" w:cs="Calibri"/>
                <w:bCs/>
                <w:sz w:val="24"/>
                <w:szCs w:val="24"/>
              </w:rPr>
            </w:pPr>
            <w:bookmarkStart w:id="0" w:name="_Hlk24718700"/>
            <w:r w:rsidRPr="00635AC2">
              <w:rPr>
                <w:rFonts w:eastAsia="SimSun" w:cs="Calibri"/>
                <w:sz w:val="24"/>
                <w:szCs w:val="24"/>
              </w:rPr>
              <w:t xml:space="preserve">Backer LC, Fleming LE, Rowan A, Cheng Y-S, Benson J, Pierce RH, </w:t>
            </w:r>
            <w:r w:rsidRPr="00635AC2">
              <w:rPr>
                <w:rFonts w:eastAsia="SimSun" w:cs="Calibri"/>
                <w:sz w:val="24"/>
                <w:szCs w:val="24"/>
              </w:rPr>
              <w:t>Zaias</w:t>
            </w:r>
            <w:r w:rsidRPr="00635AC2">
              <w:rPr>
                <w:rFonts w:eastAsia="SimSun" w:cs="Calibri"/>
                <w:sz w:val="24"/>
                <w:szCs w:val="24"/>
              </w:rPr>
              <w:t xml:space="preserve"> J, Bean J, </w:t>
            </w:r>
            <w:r w:rsidRPr="00635AC2">
              <w:rPr>
                <w:rFonts w:eastAsia="SimSun" w:cs="Calibri"/>
                <w:sz w:val="24"/>
                <w:szCs w:val="24"/>
              </w:rPr>
              <w:t>Bossart</w:t>
            </w:r>
            <w:r w:rsidRPr="00635AC2">
              <w:rPr>
                <w:rFonts w:eastAsia="SimSun" w:cs="Calibri"/>
                <w:sz w:val="24"/>
                <w:szCs w:val="24"/>
              </w:rPr>
              <w:t xml:space="preserve"> GD, Johnson D, Quimbo R, Baden DG</w:t>
            </w:r>
            <w:r w:rsidRPr="00635AC2">
              <w:rPr>
                <w:rFonts w:eastAsia="SimSun" w:cs="Calibri"/>
                <w:bCs/>
                <w:sz w:val="24"/>
                <w:szCs w:val="24"/>
              </w:rPr>
              <w:t xml:space="preserve">. </w:t>
            </w:r>
            <w:r w:rsidRPr="00635AC2">
              <w:rPr>
                <w:rFonts w:eastAsia="SimSun" w:cs="Calibri"/>
                <w:sz w:val="24"/>
                <w:szCs w:val="24"/>
              </w:rPr>
              <w:t xml:space="preserve">Recreational Exposure to Aerosolized </w:t>
            </w:r>
            <w:r w:rsidRPr="00635AC2">
              <w:rPr>
                <w:rFonts w:eastAsia="SimSun" w:cs="Calibri"/>
                <w:sz w:val="24"/>
                <w:szCs w:val="24"/>
              </w:rPr>
              <w:t>Brevetoxins</w:t>
            </w:r>
            <w:r w:rsidRPr="00635AC2">
              <w:rPr>
                <w:rFonts w:eastAsia="SimSun" w:cs="Calibri"/>
                <w:sz w:val="24"/>
                <w:szCs w:val="24"/>
              </w:rPr>
              <w:t xml:space="preserve"> During Florida Red Tide Events.</w:t>
            </w:r>
            <w:r w:rsidRPr="00635AC2">
              <w:rPr>
                <w:rFonts w:eastAsia="SimSun" w:cs="Calibri"/>
                <w:bCs/>
                <w:sz w:val="24"/>
                <w:szCs w:val="24"/>
              </w:rPr>
              <w:t xml:space="preserve"> </w:t>
            </w:r>
            <w:r w:rsidRPr="00635AC2">
              <w:rPr>
                <w:rFonts w:eastAsia="SimSun" w:cs="Calibri"/>
                <w:sz w:val="24"/>
                <w:szCs w:val="24"/>
              </w:rPr>
              <w:t>Harmful Algae</w:t>
            </w:r>
            <w:r w:rsidRPr="00635AC2">
              <w:rPr>
                <w:rFonts w:eastAsia="SimSun" w:cs="Calibri"/>
                <w:bCs/>
                <w:sz w:val="24"/>
                <w:szCs w:val="24"/>
              </w:rPr>
              <w:t xml:space="preserve">. </w:t>
            </w:r>
            <w:r w:rsidRPr="00635AC2">
              <w:rPr>
                <w:rFonts w:eastAsia="SimSun" w:cs="Calibri"/>
                <w:sz w:val="24"/>
                <w:szCs w:val="24"/>
              </w:rPr>
              <w:t>2003;2:19-28.</w:t>
            </w:r>
            <w:r w:rsidRPr="00635AC2">
              <w:rPr>
                <w:rFonts w:eastAsia="SimSun" w:cs="Calibri"/>
                <w:bCs/>
                <w:sz w:val="24"/>
                <w:szCs w:val="24"/>
              </w:rPr>
              <w:t xml:space="preserve"> </w:t>
            </w:r>
            <w:bookmarkEnd w:id="0"/>
          </w:p>
        </w:tc>
        <w:tc>
          <w:tcPr>
            <w:tcW w:w="2395" w:type="dxa"/>
          </w:tcPr>
          <w:p w:rsidR="00F40A02" w:rsidRPr="00635AC2" w:rsidP="00FC6205" w14:paraId="766BDB54" w14:textId="77777777">
            <w:pPr>
              <w:rPr>
                <w:rFonts w:ascii="Calibri" w:eastAsia="AdvOT863180fb" w:hAnsi="Calibri" w:cs="Calibri"/>
                <w:sz w:val="24"/>
                <w:szCs w:val="24"/>
              </w:rPr>
            </w:pPr>
            <w:r w:rsidRPr="00635AC2">
              <w:rPr>
                <w:rFonts w:ascii="Calibri" w:eastAsia="AdvOT863180fb" w:hAnsi="Calibri" w:cs="Calibri"/>
                <w:sz w:val="24"/>
                <w:szCs w:val="24"/>
              </w:rPr>
              <w:t xml:space="preserve">Conducted pulmonary function tests (PFT), nasal swabs, and surveys before and after beach visits. </w:t>
            </w:r>
          </w:p>
        </w:tc>
        <w:tc>
          <w:tcPr>
            <w:tcW w:w="6607" w:type="dxa"/>
          </w:tcPr>
          <w:p w:rsidR="00F40A02" w:rsidRPr="00635AC2" w:rsidP="00FC6205" w14:paraId="22CA2904" w14:textId="77777777">
            <w:pPr>
              <w:rPr>
                <w:rFonts w:ascii="Calibri" w:eastAsia="AdvOT863180fb" w:hAnsi="Calibri" w:cs="Calibri"/>
                <w:sz w:val="24"/>
                <w:szCs w:val="24"/>
              </w:rPr>
            </w:pPr>
            <w:r w:rsidRPr="00635AC2">
              <w:rPr>
                <w:rFonts w:ascii="Calibri" w:eastAsia="AdvOT863180fb" w:hAnsi="Calibri" w:cs="Calibri"/>
                <w:sz w:val="24"/>
                <w:szCs w:val="24"/>
              </w:rPr>
              <w:t>Lower respiratory symptoms (e.g., wheezing) were reported by 8% of unexposed (N=36), 11% of moderately exposed (N=53), and 28% of the highly exposed (N=40) groups. Found inflammatory response in 33% of those experiencing moderate or high exposure. There were no clinically significant changes in PFT results.</w:t>
            </w:r>
          </w:p>
        </w:tc>
      </w:tr>
      <w:tr w14:paraId="59785799" w14:textId="77777777" w:rsidTr="003A1F3D">
        <w:tblPrEx>
          <w:tblW w:w="13950" w:type="dxa"/>
          <w:tblInd w:w="-545" w:type="dxa"/>
          <w:tblLook w:val="04A0"/>
        </w:tblPrEx>
        <w:tc>
          <w:tcPr>
            <w:tcW w:w="4948" w:type="dxa"/>
          </w:tcPr>
          <w:p w:rsidR="00F40A02" w:rsidRPr="00635AC2" w:rsidP="00FC6205" w14:paraId="14CA1568" w14:textId="77777777">
            <w:pPr>
              <w:widowControl w:val="0"/>
              <w:autoSpaceDE w:val="0"/>
              <w:autoSpaceDN w:val="0"/>
              <w:adjustRightInd w:val="0"/>
              <w:rPr>
                <w:rFonts w:eastAsia="SimSun" w:cs="Calibri"/>
                <w:bCs/>
                <w:color w:val="303030"/>
                <w:sz w:val="24"/>
                <w:szCs w:val="24"/>
              </w:rPr>
            </w:pPr>
            <w:r w:rsidRPr="00635AC2">
              <w:rPr>
                <w:rFonts w:cs="Calibri"/>
                <w:sz w:val="24"/>
                <w:szCs w:val="24"/>
              </w:rPr>
              <w:t xml:space="preserve">Backer LC, Kirkpatrick B, Fleming LE, Cheng YS, Pierce R, Bean JA, Clark R, Johnson D, </w:t>
            </w:r>
            <w:r w:rsidRPr="00635AC2">
              <w:rPr>
                <w:rFonts w:cs="Calibri"/>
                <w:sz w:val="24"/>
                <w:szCs w:val="24"/>
              </w:rPr>
              <w:t>Wanner</w:t>
            </w:r>
            <w:r w:rsidRPr="00635AC2">
              <w:rPr>
                <w:rFonts w:cs="Calibri"/>
                <w:sz w:val="24"/>
                <w:szCs w:val="24"/>
              </w:rPr>
              <w:t xml:space="preserve"> A, Tamer R, Baden D. Occupational Exposure to Aerosolized </w:t>
            </w:r>
            <w:r w:rsidRPr="00635AC2">
              <w:rPr>
                <w:rFonts w:cs="Calibri"/>
                <w:sz w:val="24"/>
                <w:szCs w:val="24"/>
              </w:rPr>
              <w:t>Brevetoxins</w:t>
            </w:r>
            <w:r w:rsidRPr="00635AC2">
              <w:rPr>
                <w:rFonts w:cs="Calibri"/>
                <w:sz w:val="24"/>
                <w:szCs w:val="24"/>
              </w:rPr>
              <w:t xml:space="preserve"> during Florida Red Tide Events: Impacts on a Healthy Worker Population.  Environmental Health Perspectives. 2005;113-5:644-649.</w:t>
            </w:r>
          </w:p>
        </w:tc>
        <w:tc>
          <w:tcPr>
            <w:tcW w:w="2395" w:type="dxa"/>
          </w:tcPr>
          <w:p w:rsidR="00F40A02" w:rsidRPr="00635AC2" w:rsidP="00FC6205" w14:paraId="27A3EB02" w14:textId="77777777">
            <w:pPr>
              <w:rPr>
                <w:rFonts w:ascii="Calibri" w:eastAsia="AdvOT863180fb" w:hAnsi="Calibri" w:cs="Calibri"/>
                <w:sz w:val="24"/>
                <w:szCs w:val="24"/>
              </w:rPr>
            </w:pPr>
            <w:r w:rsidRPr="00635AC2">
              <w:rPr>
                <w:rFonts w:ascii="Calibri" w:eastAsia="AdvOT863180fb" w:hAnsi="Calibri" w:cs="Calibri"/>
                <w:sz w:val="24"/>
                <w:szCs w:val="24"/>
              </w:rPr>
              <w:t xml:space="preserve">Longitudinal study of full-time lifeguards on Florida beaches. </w:t>
            </w:r>
          </w:p>
        </w:tc>
        <w:tc>
          <w:tcPr>
            <w:tcW w:w="6607" w:type="dxa"/>
          </w:tcPr>
          <w:p w:rsidR="00F40A02" w:rsidRPr="00635AC2" w:rsidP="00FC6205" w14:paraId="567B765B" w14:textId="77777777">
            <w:pPr>
              <w:rPr>
                <w:rFonts w:ascii="Calibri" w:eastAsia="AdvOT863180fb" w:hAnsi="Calibri" w:cs="Calibri"/>
                <w:sz w:val="24"/>
                <w:szCs w:val="24"/>
              </w:rPr>
            </w:pPr>
            <w:r w:rsidRPr="00635AC2">
              <w:rPr>
                <w:rFonts w:ascii="Calibri" w:eastAsia="AdvOT863180fb" w:hAnsi="Calibri" w:cs="Calibri"/>
                <w:sz w:val="24"/>
                <w:szCs w:val="24"/>
              </w:rPr>
              <w:t>Found slight increase in some respiratory symptoms during exposure days.</w:t>
            </w:r>
          </w:p>
        </w:tc>
      </w:tr>
      <w:tr w14:paraId="5446EA1B" w14:textId="77777777" w:rsidTr="003A1F3D">
        <w:tblPrEx>
          <w:tblW w:w="13950" w:type="dxa"/>
          <w:tblInd w:w="-545" w:type="dxa"/>
          <w:tblLook w:val="04A0"/>
        </w:tblPrEx>
        <w:tc>
          <w:tcPr>
            <w:tcW w:w="4948" w:type="dxa"/>
          </w:tcPr>
          <w:p w:rsidR="00F40A02" w:rsidRPr="00635AC2" w:rsidP="00FC6205" w14:paraId="78C580EA" w14:textId="77777777">
            <w:pPr>
              <w:autoSpaceDE w:val="0"/>
              <w:autoSpaceDN w:val="0"/>
              <w:adjustRightInd w:val="0"/>
              <w:rPr>
                <w:rFonts w:ascii="Arial" w:eastAsia="SimSun" w:hAnsi="Arial" w:cs="Calibri"/>
                <w:color w:val="000000"/>
                <w:sz w:val="24"/>
                <w:szCs w:val="24"/>
              </w:rPr>
            </w:pPr>
            <w:r w:rsidRPr="00635AC2">
              <w:rPr>
                <w:rFonts w:ascii="Calibri" w:eastAsia="SimSun" w:hAnsi="Calibri" w:cs="Calibri"/>
                <w:color w:val="000000"/>
                <w:sz w:val="24"/>
                <w:szCs w:val="24"/>
              </w:rPr>
              <w:t xml:space="preserve">Kirkpatrick B, Pierce R, Cheng YS, Henry MS, Blum P, Osborn S, Nierenberg K, Pederson BA, Fleming LE, Reich A, </w:t>
            </w:r>
            <w:r w:rsidRPr="00635AC2">
              <w:rPr>
                <w:rFonts w:ascii="Calibri" w:eastAsia="SimSun" w:hAnsi="Calibri" w:cs="Calibri"/>
                <w:color w:val="000000"/>
                <w:sz w:val="24"/>
                <w:szCs w:val="24"/>
              </w:rPr>
              <w:t>Naar</w:t>
            </w:r>
            <w:r w:rsidRPr="00635AC2">
              <w:rPr>
                <w:rFonts w:ascii="Calibri" w:eastAsia="SimSun" w:hAnsi="Calibri" w:cs="Calibri"/>
                <w:color w:val="000000"/>
                <w:sz w:val="24"/>
                <w:szCs w:val="24"/>
              </w:rPr>
              <w:t xml:space="preserve"> J, Kirkpatrick G, Backer LC, Baden D. 2010 Inland transport of aerosolized Florida red tide toxins.  Harmful Algae 9:186-189.</w:t>
            </w:r>
          </w:p>
        </w:tc>
        <w:tc>
          <w:tcPr>
            <w:tcW w:w="2395" w:type="dxa"/>
          </w:tcPr>
          <w:p w:rsidR="00F40A02" w:rsidRPr="00635AC2" w:rsidP="00FC6205" w14:paraId="4BEF8645" w14:textId="77777777">
            <w:pPr>
              <w:rPr>
                <w:rFonts w:ascii="Calibri" w:eastAsia="AdvOT863180fb" w:hAnsi="Calibri" w:cs="Calibri"/>
                <w:sz w:val="24"/>
                <w:szCs w:val="24"/>
              </w:rPr>
            </w:pPr>
            <w:r w:rsidRPr="00635AC2">
              <w:rPr>
                <w:rFonts w:ascii="Calibri" w:eastAsia="AdvOT863180fb" w:hAnsi="Calibri" w:cs="Calibri"/>
                <w:sz w:val="24"/>
                <w:szCs w:val="24"/>
              </w:rPr>
              <w:t>Examined air samples collected at various distances from the shore during red tide blooms.</w:t>
            </w:r>
          </w:p>
        </w:tc>
        <w:tc>
          <w:tcPr>
            <w:tcW w:w="6607" w:type="dxa"/>
          </w:tcPr>
          <w:p w:rsidR="00F40A02" w:rsidRPr="00635AC2" w:rsidP="00FC6205" w14:paraId="3EFEE93F" w14:textId="77777777">
            <w:pPr>
              <w:rPr>
                <w:rFonts w:ascii="Calibri" w:eastAsia="AdvOT863180fb" w:hAnsi="Calibri" w:cs="Calibri"/>
                <w:sz w:val="24"/>
                <w:szCs w:val="24"/>
              </w:rPr>
            </w:pPr>
            <w:r w:rsidRPr="00635AC2">
              <w:rPr>
                <w:rFonts w:ascii="Calibri" w:eastAsia="AdvOT863180fb" w:hAnsi="Calibri" w:cs="Calibri"/>
                <w:sz w:val="24"/>
                <w:szCs w:val="24"/>
              </w:rPr>
              <w:t xml:space="preserve">Demonstrated movement of airborne </w:t>
            </w:r>
            <w:r w:rsidRPr="00635AC2">
              <w:rPr>
                <w:rFonts w:ascii="Calibri" w:eastAsia="AdvOT863180fb" w:hAnsi="Calibri" w:cs="Calibri"/>
                <w:sz w:val="24"/>
                <w:szCs w:val="24"/>
              </w:rPr>
              <w:t>brevetoxins</w:t>
            </w:r>
            <w:r w:rsidRPr="00635AC2">
              <w:rPr>
                <w:rFonts w:ascii="Calibri" w:eastAsia="AdvOT863180fb" w:hAnsi="Calibri" w:cs="Calibri"/>
                <w:sz w:val="24"/>
                <w:szCs w:val="24"/>
              </w:rPr>
              <w:t xml:space="preserve"> inland for as much as 3 miles.</w:t>
            </w:r>
          </w:p>
        </w:tc>
      </w:tr>
      <w:tr w14:paraId="4BD2C2E0" w14:textId="77777777" w:rsidTr="003A1F3D">
        <w:tblPrEx>
          <w:tblW w:w="13950" w:type="dxa"/>
          <w:tblInd w:w="-545" w:type="dxa"/>
          <w:tblLook w:val="04A0"/>
        </w:tblPrEx>
        <w:tc>
          <w:tcPr>
            <w:tcW w:w="4948" w:type="dxa"/>
          </w:tcPr>
          <w:p w:rsidR="00F40A02" w:rsidRPr="00635AC2" w:rsidP="00FC6205" w14:paraId="3F8FEDF1" w14:textId="77777777">
            <w:pPr>
              <w:widowControl w:val="0"/>
              <w:autoSpaceDE w:val="0"/>
              <w:autoSpaceDN w:val="0"/>
              <w:adjustRightInd w:val="0"/>
              <w:rPr>
                <w:rFonts w:ascii="Calibri" w:eastAsia="AdvOT863180fb" w:hAnsi="Calibri" w:cs="Calibri"/>
                <w:sz w:val="24"/>
                <w:szCs w:val="24"/>
              </w:rPr>
            </w:pPr>
            <w:r w:rsidRPr="00635AC2">
              <w:rPr>
                <w:rFonts w:eastAsia="SimSun" w:cs="Calibri"/>
                <w:sz w:val="24"/>
                <w:szCs w:val="24"/>
              </w:rPr>
              <w:t>Kirkpatrick B, Fleming LE, Bean JA, Nierenberg K, Backer</w:t>
            </w:r>
            <w:r w:rsidRPr="00635AC2">
              <w:rPr>
                <w:rFonts w:eastAsia="SimSun" w:cs="Calibri"/>
                <w:sz w:val="24"/>
                <w:szCs w:val="24"/>
                <w:vertAlign w:val="superscript"/>
              </w:rPr>
              <w:t xml:space="preserve"> </w:t>
            </w:r>
            <w:r w:rsidRPr="00635AC2">
              <w:rPr>
                <w:rFonts w:eastAsia="SimSun" w:cs="Calibri"/>
                <w:sz w:val="24"/>
                <w:szCs w:val="24"/>
              </w:rPr>
              <w:t xml:space="preserve">LC, Cheng YS, Pierce R, Reich A, </w:t>
            </w:r>
            <w:r w:rsidRPr="00635AC2">
              <w:rPr>
                <w:rFonts w:eastAsia="SimSun" w:cs="Calibri"/>
                <w:sz w:val="24"/>
                <w:szCs w:val="24"/>
              </w:rPr>
              <w:t>Naar</w:t>
            </w:r>
            <w:r w:rsidRPr="00635AC2">
              <w:rPr>
                <w:rFonts w:eastAsia="SimSun" w:cs="Calibri"/>
                <w:sz w:val="24"/>
                <w:szCs w:val="24"/>
              </w:rPr>
              <w:t xml:space="preserve"> J, </w:t>
            </w:r>
            <w:r w:rsidRPr="00635AC2">
              <w:rPr>
                <w:rFonts w:eastAsia="SimSun" w:cs="Calibri"/>
                <w:sz w:val="24"/>
                <w:szCs w:val="24"/>
              </w:rPr>
              <w:t>Wanner</w:t>
            </w:r>
            <w:r w:rsidRPr="00635AC2">
              <w:rPr>
                <w:rFonts w:eastAsia="SimSun" w:cs="Calibri"/>
                <w:sz w:val="24"/>
                <w:szCs w:val="24"/>
              </w:rPr>
              <w:t xml:space="preserve"> A, Abraham</w:t>
            </w:r>
            <w:r w:rsidRPr="00635AC2">
              <w:rPr>
                <w:rFonts w:eastAsia="SimSun" w:cs="Calibri"/>
                <w:sz w:val="24"/>
                <w:szCs w:val="24"/>
                <w:vertAlign w:val="superscript"/>
              </w:rPr>
              <w:t xml:space="preserve"> </w:t>
            </w:r>
            <w:r w:rsidRPr="00635AC2">
              <w:rPr>
                <w:rFonts w:eastAsia="SimSun" w:cs="Calibri"/>
                <w:sz w:val="24"/>
                <w:szCs w:val="24"/>
              </w:rPr>
              <w:t xml:space="preserve">WM, </w:t>
            </w:r>
            <w:r w:rsidRPr="00635AC2">
              <w:rPr>
                <w:rFonts w:eastAsia="SimSun" w:cs="Calibri"/>
                <w:sz w:val="24"/>
                <w:szCs w:val="24"/>
              </w:rPr>
              <w:t>Zhou</w:t>
            </w:r>
            <w:r w:rsidRPr="00635AC2">
              <w:rPr>
                <w:rFonts w:eastAsia="SimSun" w:cs="Calibri"/>
                <w:sz w:val="24"/>
                <w:szCs w:val="24"/>
                <w:vertAlign w:val="superscript"/>
              </w:rPr>
              <w:t xml:space="preserve"> </w:t>
            </w:r>
            <w:r w:rsidRPr="00635AC2">
              <w:rPr>
                <w:rFonts w:eastAsia="SimSun" w:cs="Calibri"/>
                <w:sz w:val="24"/>
                <w:szCs w:val="24"/>
              </w:rPr>
              <w:t xml:space="preserve">Yue, Hollenbeck J, Baden DG.  2010. </w:t>
            </w:r>
            <w:r w:rsidRPr="00635AC2">
              <w:rPr>
                <w:rFonts w:eastAsia="SimSun" w:cs="Calibri"/>
                <w:sz w:val="24"/>
                <w:szCs w:val="24"/>
                <w:vertAlign w:val="superscript"/>
              </w:rPr>
              <w:t xml:space="preserve"> </w:t>
            </w:r>
            <w:r w:rsidRPr="00635AC2">
              <w:rPr>
                <w:rFonts w:eastAsia="SimSun" w:cs="Calibri"/>
                <w:bCs/>
                <w:sz w:val="24"/>
                <w:szCs w:val="24"/>
              </w:rPr>
              <w:t>Aerosolized Red Tide Toxins (</w:t>
            </w:r>
            <w:r w:rsidRPr="00635AC2">
              <w:rPr>
                <w:rFonts w:eastAsia="SimSun" w:cs="Calibri"/>
                <w:bCs/>
                <w:sz w:val="24"/>
                <w:szCs w:val="24"/>
              </w:rPr>
              <w:t>Brevetoxins</w:t>
            </w:r>
            <w:r w:rsidRPr="00635AC2">
              <w:rPr>
                <w:rFonts w:eastAsia="SimSun" w:cs="Calibri"/>
                <w:bCs/>
                <w:sz w:val="24"/>
                <w:szCs w:val="24"/>
              </w:rPr>
              <w:t>) and Asthma: Continued health effects after 1 hour beach exposure. 2011. Harmful Algae 10:138-143.</w:t>
            </w:r>
          </w:p>
        </w:tc>
        <w:tc>
          <w:tcPr>
            <w:tcW w:w="2395" w:type="dxa"/>
          </w:tcPr>
          <w:p w:rsidR="00F40A02" w:rsidRPr="00635AC2" w:rsidP="00FC6205" w14:paraId="0FA8121E" w14:textId="77777777">
            <w:pPr>
              <w:rPr>
                <w:rFonts w:ascii="Calibri" w:eastAsia="AdvOT863180fb" w:hAnsi="Calibri" w:cs="Calibri"/>
                <w:sz w:val="24"/>
                <w:szCs w:val="24"/>
              </w:rPr>
            </w:pPr>
            <w:r w:rsidRPr="00635AC2">
              <w:rPr>
                <w:rFonts w:ascii="Calibri" w:eastAsia="AdvOT863180fb" w:hAnsi="Calibri" w:cs="Calibri"/>
                <w:sz w:val="24"/>
                <w:szCs w:val="24"/>
              </w:rPr>
              <w:t xml:space="preserve">Longitudinal study of respiratory effects from red tides on </w:t>
            </w:r>
            <w:r w:rsidRPr="00635AC2">
              <w:rPr>
                <w:rFonts w:ascii="Calibri" w:eastAsia="AdvOT863180fb" w:hAnsi="Calibri" w:cs="Calibri"/>
                <w:sz w:val="24"/>
                <w:szCs w:val="24"/>
              </w:rPr>
              <w:t>people with asthma. Collected biomonitoring, health, and environmental data.</w:t>
            </w:r>
          </w:p>
        </w:tc>
        <w:tc>
          <w:tcPr>
            <w:tcW w:w="6607" w:type="dxa"/>
          </w:tcPr>
          <w:p w:rsidR="00F40A02" w:rsidRPr="00635AC2" w:rsidP="00FC6205" w14:paraId="3DCBBB07" w14:textId="77777777">
            <w:pPr>
              <w:rPr>
                <w:rFonts w:ascii="Calibri" w:eastAsia="AdvOT863180fb" w:hAnsi="Calibri" w:cs="Calibri"/>
                <w:sz w:val="24"/>
                <w:szCs w:val="24"/>
              </w:rPr>
            </w:pPr>
            <w:r w:rsidRPr="00635AC2">
              <w:rPr>
                <w:rFonts w:ascii="Calibri" w:eastAsia="AdvOT863180fb" w:hAnsi="Calibri" w:cs="Calibri"/>
                <w:sz w:val="24"/>
                <w:szCs w:val="24"/>
              </w:rPr>
              <w:t xml:space="preserve">Showed lasting effects from inhaled </w:t>
            </w:r>
            <w:r w:rsidRPr="00635AC2">
              <w:rPr>
                <w:rFonts w:ascii="Calibri" w:eastAsia="AdvOT863180fb" w:hAnsi="Calibri" w:cs="Calibri"/>
                <w:sz w:val="24"/>
                <w:szCs w:val="24"/>
              </w:rPr>
              <w:t>brevetoxins</w:t>
            </w:r>
            <w:r w:rsidRPr="00635AC2">
              <w:rPr>
                <w:rFonts w:ascii="Calibri" w:eastAsia="AdvOT863180fb" w:hAnsi="Calibri" w:cs="Calibri"/>
                <w:sz w:val="24"/>
                <w:szCs w:val="24"/>
              </w:rPr>
              <w:t xml:space="preserve"> on people with asthma</w:t>
            </w:r>
          </w:p>
        </w:tc>
      </w:tr>
      <w:tr w14:paraId="3E1545D3" w14:textId="77777777" w:rsidTr="003A1F3D">
        <w:tblPrEx>
          <w:tblW w:w="13950" w:type="dxa"/>
          <w:tblInd w:w="-545" w:type="dxa"/>
          <w:tblLook w:val="04A0"/>
        </w:tblPrEx>
        <w:trPr>
          <w:trHeight w:val="503"/>
        </w:trPr>
        <w:tc>
          <w:tcPr>
            <w:tcW w:w="13950" w:type="dxa"/>
            <w:gridSpan w:val="3"/>
          </w:tcPr>
          <w:p w:rsidR="00F40A02" w:rsidRPr="00635AC2" w:rsidP="00FC6205" w14:paraId="6F8AE237" w14:textId="77777777">
            <w:pPr>
              <w:rPr>
                <w:rFonts w:ascii="Calibri" w:eastAsia="AdvOT863180fb" w:hAnsi="Calibri" w:cs="Calibri"/>
                <w:b/>
                <w:bCs/>
                <w:sz w:val="28"/>
                <w:szCs w:val="28"/>
              </w:rPr>
            </w:pPr>
            <w:r w:rsidRPr="00635AC2">
              <w:rPr>
                <w:rFonts w:ascii="Calibri" w:eastAsia="AdvOT863180fb" w:hAnsi="Calibri" w:cs="Calibri"/>
                <w:b/>
                <w:bCs/>
                <w:sz w:val="28"/>
                <w:szCs w:val="28"/>
              </w:rPr>
              <w:t>Cyanobacterial HABs</w:t>
            </w:r>
          </w:p>
        </w:tc>
      </w:tr>
      <w:tr w14:paraId="1A46B913" w14:textId="77777777" w:rsidTr="003A1F3D">
        <w:tblPrEx>
          <w:tblW w:w="13950" w:type="dxa"/>
          <w:tblInd w:w="-545" w:type="dxa"/>
          <w:tblLook w:val="04A0"/>
        </w:tblPrEx>
        <w:trPr>
          <w:trHeight w:val="1340"/>
        </w:trPr>
        <w:tc>
          <w:tcPr>
            <w:tcW w:w="4948" w:type="dxa"/>
          </w:tcPr>
          <w:p w:rsidR="00F40A02" w:rsidRPr="00635AC2" w:rsidP="00FC6205" w14:paraId="51249494" w14:textId="77777777">
            <w:pPr>
              <w:rPr>
                <w:rFonts w:ascii="Calibri" w:hAnsi="Calibri" w:cs="Calibri"/>
                <w:sz w:val="24"/>
                <w:szCs w:val="24"/>
              </w:rPr>
            </w:pPr>
            <w:r w:rsidRPr="00635AC2">
              <w:rPr>
                <w:rFonts w:ascii="Calibri" w:hAnsi="Calibri" w:cs="Calibri"/>
                <w:sz w:val="24"/>
                <w:szCs w:val="24"/>
              </w:rPr>
              <w:t xml:space="preserve">Falconer IR, Beresford AM, </w:t>
            </w:r>
            <w:r w:rsidRPr="00635AC2">
              <w:rPr>
                <w:rFonts w:ascii="Calibri" w:hAnsi="Calibri" w:cs="Calibri"/>
                <w:sz w:val="24"/>
                <w:szCs w:val="24"/>
              </w:rPr>
              <w:t>Runnegar</w:t>
            </w:r>
            <w:r w:rsidRPr="00635AC2">
              <w:rPr>
                <w:rFonts w:ascii="Calibri" w:hAnsi="Calibri" w:cs="Calibri"/>
                <w:sz w:val="24"/>
                <w:szCs w:val="24"/>
              </w:rPr>
              <w:t xml:space="preserve"> MTC. Evidence of liver damage by toxin from a bloom of the blue-green alga, Microcystis aeruginosa. Med. J. Aust. 1983;1:511–514.</w:t>
            </w:r>
          </w:p>
        </w:tc>
        <w:tc>
          <w:tcPr>
            <w:tcW w:w="2395" w:type="dxa"/>
          </w:tcPr>
          <w:p w:rsidR="00F40A02" w:rsidRPr="00635AC2" w:rsidP="00FC6205" w14:paraId="0364E54F" w14:textId="77777777">
            <w:pPr>
              <w:rPr>
                <w:rFonts w:ascii="Calibri" w:eastAsia="AdvOT863180fb" w:hAnsi="Calibri" w:cs="Calibri"/>
                <w:sz w:val="24"/>
                <w:szCs w:val="24"/>
              </w:rPr>
            </w:pPr>
            <w:r w:rsidRPr="00635AC2">
              <w:rPr>
                <w:rFonts w:ascii="Calibri" w:eastAsia="AdvOT863180fb" w:hAnsi="Calibri" w:cs="Calibri"/>
                <w:sz w:val="24"/>
                <w:szCs w:val="24"/>
              </w:rPr>
              <w:t>Used hospital records of liver function test results when the water supply was free of blooms and when there was a documented cyanobacterial bloom.</w:t>
            </w:r>
          </w:p>
        </w:tc>
        <w:tc>
          <w:tcPr>
            <w:tcW w:w="6607" w:type="dxa"/>
          </w:tcPr>
          <w:p w:rsidR="00F40A02" w:rsidRPr="00635AC2" w:rsidP="00FC6205" w14:paraId="50BDBE9F" w14:textId="77777777">
            <w:pPr>
              <w:rPr>
                <w:rFonts w:ascii="Calibri" w:eastAsia="AdvOT863180fb" w:hAnsi="Calibri" w:cs="Calibri"/>
                <w:sz w:val="24"/>
                <w:szCs w:val="24"/>
              </w:rPr>
            </w:pPr>
            <w:r w:rsidRPr="00635AC2">
              <w:rPr>
                <w:rFonts w:ascii="Calibri" w:eastAsia="AdvOT863180fb" w:hAnsi="Calibri" w:cs="Calibri"/>
                <w:sz w:val="24"/>
                <w:szCs w:val="24"/>
              </w:rPr>
              <w:t>Found higher levels of liver enzymes during a time when the water supply was contaminated with a cyanobacterial bloom</w:t>
            </w:r>
          </w:p>
        </w:tc>
      </w:tr>
      <w:tr w14:paraId="1A6D4F5D" w14:textId="77777777" w:rsidTr="003A1F3D">
        <w:tblPrEx>
          <w:tblW w:w="13950" w:type="dxa"/>
          <w:tblInd w:w="-545" w:type="dxa"/>
          <w:tblLook w:val="04A0"/>
        </w:tblPrEx>
        <w:trPr>
          <w:trHeight w:val="2078"/>
        </w:trPr>
        <w:tc>
          <w:tcPr>
            <w:tcW w:w="4948" w:type="dxa"/>
          </w:tcPr>
          <w:p w:rsidR="00F40A02" w:rsidRPr="00635AC2" w:rsidP="00FC6205" w14:paraId="2636C32E" w14:textId="77777777">
            <w:pPr>
              <w:rPr>
                <w:rFonts w:ascii="Calibri" w:hAnsi="Calibri" w:cs="Calibri"/>
                <w:sz w:val="24"/>
                <w:szCs w:val="24"/>
              </w:rPr>
            </w:pPr>
            <w:r w:rsidRPr="00635AC2">
              <w:rPr>
                <w:rFonts w:ascii="Calibri" w:hAnsi="Calibri" w:cs="Calibri"/>
                <w:sz w:val="24"/>
                <w:szCs w:val="24"/>
              </w:rPr>
              <w:t xml:space="preserve">Phillip R. Health risks associated with recreational exposure to blue-green algae (cyanobacteria) when dinghy sailing. Health </w:t>
            </w:r>
            <w:r w:rsidRPr="00635AC2">
              <w:rPr>
                <w:rFonts w:ascii="Calibri" w:hAnsi="Calibri" w:cs="Calibri"/>
                <w:sz w:val="24"/>
                <w:szCs w:val="24"/>
              </w:rPr>
              <w:t>Hyg</w:t>
            </w:r>
            <w:r w:rsidRPr="00635AC2">
              <w:rPr>
                <w:rFonts w:ascii="Calibri" w:hAnsi="Calibri" w:cs="Calibri"/>
                <w:sz w:val="24"/>
                <w:szCs w:val="24"/>
              </w:rPr>
              <w:t>. 1992;13:110–114.</w:t>
            </w:r>
          </w:p>
        </w:tc>
        <w:tc>
          <w:tcPr>
            <w:tcW w:w="2395" w:type="dxa"/>
          </w:tcPr>
          <w:p w:rsidR="00F40A02" w:rsidRPr="00635AC2" w:rsidP="00FC6205" w14:paraId="1DEA74CF" w14:textId="77777777">
            <w:pPr>
              <w:rPr>
                <w:rFonts w:ascii="Calibri" w:eastAsia="AdvOT863180fb" w:hAnsi="Calibri" w:cs="Calibri"/>
                <w:sz w:val="24"/>
                <w:szCs w:val="24"/>
              </w:rPr>
            </w:pPr>
            <w:r w:rsidRPr="00635AC2">
              <w:rPr>
                <w:rFonts w:ascii="Calibri" w:eastAsia="AdvOT863180fb" w:hAnsi="Calibri" w:cs="Calibri"/>
                <w:sz w:val="24"/>
                <w:szCs w:val="24"/>
              </w:rPr>
              <w:t>Collected health symptom data from people sailing in small boats.</w:t>
            </w:r>
          </w:p>
        </w:tc>
        <w:tc>
          <w:tcPr>
            <w:tcW w:w="6607" w:type="dxa"/>
          </w:tcPr>
          <w:p w:rsidR="00F40A02" w:rsidRPr="00635AC2" w:rsidP="00FC6205" w14:paraId="468FEC69" w14:textId="77777777">
            <w:pPr>
              <w:rPr>
                <w:rFonts w:ascii="Calibri" w:eastAsia="AdvOT863180fb" w:hAnsi="Calibri" w:cs="Calibri"/>
                <w:sz w:val="24"/>
                <w:szCs w:val="24"/>
              </w:rPr>
            </w:pPr>
            <w:r w:rsidRPr="00635AC2">
              <w:rPr>
                <w:rFonts w:ascii="Calibri" w:eastAsia="AdvOT863180fb" w:hAnsi="Calibri" w:cs="Calibri"/>
                <w:sz w:val="24"/>
                <w:szCs w:val="24"/>
              </w:rPr>
              <w:t>Reported health symptoms for dinghy sailors similar whether or not they were exposed to cyanobacterial blooms.</w:t>
            </w:r>
          </w:p>
        </w:tc>
      </w:tr>
      <w:tr w14:paraId="2518EF43" w14:textId="77777777" w:rsidTr="003A1F3D">
        <w:tblPrEx>
          <w:tblW w:w="13950" w:type="dxa"/>
          <w:tblInd w:w="-545" w:type="dxa"/>
          <w:tblLook w:val="04A0"/>
        </w:tblPrEx>
        <w:trPr>
          <w:trHeight w:val="368"/>
        </w:trPr>
        <w:tc>
          <w:tcPr>
            <w:tcW w:w="4948" w:type="dxa"/>
          </w:tcPr>
          <w:p w:rsidR="00F40A02" w:rsidRPr="00635AC2" w:rsidP="00FC6205" w14:paraId="6E8A66BE" w14:textId="77777777">
            <w:pPr>
              <w:rPr>
                <w:rFonts w:ascii="Calibri" w:hAnsi="Calibri" w:cs="Calibri"/>
                <w:sz w:val="24"/>
                <w:szCs w:val="24"/>
              </w:rPr>
            </w:pPr>
            <w:r w:rsidRPr="00635AC2">
              <w:rPr>
                <w:rFonts w:ascii="Calibri" w:hAnsi="Calibri" w:cs="Calibri"/>
                <w:sz w:val="24"/>
                <w:szCs w:val="24"/>
              </w:rPr>
              <w:t xml:space="preserve">Carmichael WW, Falconer IR. Diseases related to freshwater </w:t>
            </w:r>
            <w:r w:rsidRPr="00635AC2">
              <w:rPr>
                <w:rFonts w:ascii="Calibri" w:hAnsi="Calibri" w:cs="Calibri"/>
                <w:sz w:val="24"/>
                <w:szCs w:val="24"/>
              </w:rPr>
              <w:t>bluegreen</w:t>
            </w:r>
            <w:r w:rsidRPr="00635AC2">
              <w:rPr>
                <w:rFonts w:ascii="Calibri" w:hAnsi="Calibri" w:cs="Calibri"/>
                <w:sz w:val="24"/>
                <w:szCs w:val="24"/>
              </w:rPr>
              <w:t xml:space="preserve"> algal toxins, and control measures. In: Falconer, I.R. (Ed.), Algal Toxins in Seafood and Drinking Water. Academic Press, London, 1993. pp. 187–209.</w:t>
            </w:r>
          </w:p>
        </w:tc>
        <w:tc>
          <w:tcPr>
            <w:tcW w:w="2395" w:type="dxa"/>
          </w:tcPr>
          <w:p w:rsidR="00F40A02" w:rsidRPr="00635AC2" w:rsidP="00FC6205" w14:paraId="4E947D8F" w14:textId="77777777">
            <w:pPr>
              <w:rPr>
                <w:rFonts w:ascii="Calibri" w:eastAsia="AdvOT863180fb" w:hAnsi="Calibri" w:cs="Calibri"/>
                <w:sz w:val="24"/>
                <w:szCs w:val="24"/>
              </w:rPr>
            </w:pPr>
            <w:r w:rsidRPr="00635AC2">
              <w:rPr>
                <w:rFonts w:ascii="Calibri" w:eastAsia="AdvOT863180fb" w:hAnsi="Calibri" w:cs="Calibri"/>
                <w:sz w:val="24"/>
                <w:szCs w:val="24"/>
              </w:rPr>
              <w:t>Summarized health effects from exposure to cyanobacterial toxins</w:t>
            </w:r>
          </w:p>
        </w:tc>
        <w:tc>
          <w:tcPr>
            <w:tcW w:w="6607" w:type="dxa"/>
          </w:tcPr>
          <w:p w:rsidR="00F40A02" w:rsidRPr="00635AC2" w:rsidP="00FC6205" w14:paraId="31A1BE94" w14:textId="77777777">
            <w:pPr>
              <w:rPr>
                <w:rFonts w:ascii="Calibri" w:eastAsia="AdvOT863180fb" w:hAnsi="Calibri" w:cs="Calibri"/>
                <w:sz w:val="24"/>
                <w:szCs w:val="24"/>
              </w:rPr>
            </w:pPr>
            <w:r w:rsidRPr="00635AC2">
              <w:rPr>
                <w:rFonts w:ascii="Calibri" w:eastAsia="AdvOT863180fb" w:hAnsi="Calibri" w:cs="Calibri"/>
                <w:sz w:val="24"/>
                <w:szCs w:val="24"/>
              </w:rPr>
              <w:t>Summary of possible health effects.</w:t>
            </w:r>
          </w:p>
        </w:tc>
      </w:tr>
      <w:tr w14:paraId="0AAD0ECD" w14:textId="77777777" w:rsidTr="003A1F3D">
        <w:tblPrEx>
          <w:tblW w:w="13950" w:type="dxa"/>
          <w:tblInd w:w="-545" w:type="dxa"/>
          <w:tblLook w:val="04A0"/>
        </w:tblPrEx>
        <w:tc>
          <w:tcPr>
            <w:tcW w:w="4948" w:type="dxa"/>
          </w:tcPr>
          <w:p w:rsidR="00F40A02" w:rsidRPr="00635AC2" w:rsidP="00FC6205" w14:paraId="489F995B" w14:textId="77777777">
            <w:pPr>
              <w:rPr>
                <w:rFonts w:ascii="Calibri" w:eastAsia="AdvOT863180fb" w:hAnsi="Calibri" w:cs="Calibri"/>
                <w:sz w:val="24"/>
                <w:szCs w:val="24"/>
              </w:rPr>
            </w:pPr>
            <w:r w:rsidRPr="00635AC2">
              <w:rPr>
                <w:rFonts w:ascii="Calibri" w:hAnsi="Calibri" w:cs="Calibri"/>
                <w:sz w:val="24"/>
                <w:szCs w:val="24"/>
              </w:rPr>
              <w:t xml:space="preserve">Gilroy DJ, Kauffman KW, Hall, RA, Huang X, Chu FS. Assessing potential health risks from microcystin toxins in blue-green algae dietary supplements. Environ. Health </w:t>
            </w:r>
            <w:r w:rsidRPr="00635AC2">
              <w:rPr>
                <w:rFonts w:ascii="Calibri" w:hAnsi="Calibri" w:cs="Calibri"/>
                <w:sz w:val="24"/>
                <w:szCs w:val="24"/>
              </w:rPr>
              <w:t>Perspect</w:t>
            </w:r>
            <w:r w:rsidRPr="00635AC2">
              <w:rPr>
                <w:rFonts w:ascii="Calibri" w:hAnsi="Calibri" w:cs="Calibri"/>
                <w:sz w:val="24"/>
                <w:szCs w:val="24"/>
              </w:rPr>
              <w:t>. 2000;5:435–439.</w:t>
            </w:r>
          </w:p>
        </w:tc>
        <w:tc>
          <w:tcPr>
            <w:tcW w:w="2395" w:type="dxa"/>
          </w:tcPr>
          <w:p w:rsidR="00F40A02" w:rsidRPr="00635AC2" w:rsidP="00FC6205" w14:paraId="2DCB24DB" w14:textId="77777777">
            <w:pPr>
              <w:rPr>
                <w:rFonts w:ascii="Calibri" w:eastAsia="AdvOT863180fb" w:hAnsi="Calibri" w:cs="Calibri"/>
                <w:sz w:val="24"/>
                <w:szCs w:val="24"/>
              </w:rPr>
            </w:pPr>
            <w:r w:rsidRPr="00635AC2">
              <w:rPr>
                <w:rFonts w:ascii="Calibri" w:eastAsia="AdvOT863180fb" w:hAnsi="Calibri" w:cs="Calibri"/>
                <w:sz w:val="24"/>
                <w:szCs w:val="24"/>
              </w:rPr>
              <w:t xml:space="preserve">Examined blue-green dietary supplements from a bloom contaminated with </w:t>
            </w:r>
            <w:r w:rsidRPr="00635AC2">
              <w:rPr>
                <w:rFonts w:ascii="Calibri" w:eastAsia="AdvOT863180fb" w:hAnsi="Calibri" w:cs="Calibri"/>
                <w:i/>
                <w:iCs/>
                <w:sz w:val="24"/>
                <w:szCs w:val="24"/>
              </w:rPr>
              <w:t>Microcystis</w:t>
            </w:r>
            <w:r w:rsidRPr="00635AC2">
              <w:rPr>
                <w:rFonts w:ascii="Calibri" w:eastAsia="AdvOT863180fb" w:hAnsi="Calibri" w:cs="Calibri"/>
                <w:sz w:val="24"/>
                <w:szCs w:val="24"/>
              </w:rPr>
              <w:t xml:space="preserve"> species.</w:t>
            </w:r>
          </w:p>
        </w:tc>
        <w:tc>
          <w:tcPr>
            <w:tcW w:w="6607" w:type="dxa"/>
          </w:tcPr>
          <w:p w:rsidR="00F40A02" w:rsidRPr="00635AC2" w:rsidP="00FC6205" w14:paraId="6551B581" w14:textId="77777777">
            <w:pPr>
              <w:rPr>
                <w:rFonts w:ascii="Calibri" w:eastAsia="AdvOT863180fb" w:hAnsi="Calibri" w:cs="Calibri"/>
                <w:sz w:val="24"/>
                <w:szCs w:val="24"/>
              </w:rPr>
            </w:pPr>
            <w:r w:rsidRPr="00635AC2">
              <w:rPr>
                <w:rFonts w:ascii="Calibri" w:eastAsia="AdvOT863180fb" w:hAnsi="Calibri" w:cs="Calibri"/>
                <w:sz w:val="24"/>
                <w:szCs w:val="24"/>
              </w:rPr>
              <w:t xml:space="preserve">Found that blue-green dietary supplements were contaminated with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when the harvest was contaminated with </w:t>
            </w:r>
            <w:r w:rsidRPr="00635AC2">
              <w:rPr>
                <w:rFonts w:ascii="Calibri" w:eastAsia="AdvOT863180fb" w:hAnsi="Calibri" w:cs="Calibri"/>
                <w:i/>
                <w:iCs/>
                <w:sz w:val="24"/>
                <w:szCs w:val="24"/>
              </w:rPr>
              <w:t>Microcystis</w:t>
            </w:r>
            <w:r w:rsidRPr="00635AC2">
              <w:rPr>
                <w:rFonts w:ascii="Calibri" w:eastAsia="AdvOT863180fb" w:hAnsi="Calibri" w:cs="Calibri"/>
                <w:sz w:val="24"/>
                <w:szCs w:val="24"/>
              </w:rPr>
              <w:t xml:space="preserve"> species.</w:t>
            </w:r>
          </w:p>
        </w:tc>
      </w:tr>
      <w:tr w14:paraId="5B328EC8" w14:textId="77777777" w:rsidTr="003A1F3D">
        <w:tblPrEx>
          <w:tblW w:w="13950" w:type="dxa"/>
          <w:tblInd w:w="-545" w:type="dxa"/>
          <w:tblLook w:val="04A0"/>
        </w:tblPrEx>
        <w:tc>
          <w:tcPr>
            <w:tcW w:w="4948" w:type="dxa"/>
          </w:tcPr>
          <w:p w:rsidR="00F40A02" w:rsidRPr="00635AC2" w:rsidP="00FC6205" w14:paraId="2C1D8865" w14:textId="77777777">
            <w:pPr>
              <w:rPr>
                <w:rFonts w:ascii="Calibri" w:hAnsi="Calibri" w:cs="Calibri"/>
                <w:sz w:val="24"/>
                <w:szCs w:val="24"/>
              </w:rPr>
            </w:pPr>
            <w:r w:rsidRPr="00635AC2">
              <w:rPr>
                <w:rFonts w:ascii="Calibri" w:hAnsi="Calibri" w:cs="Calibri"/>
                <w:sz w:val="24"/>
                <w:szCs w:val="24"/>
              </w:rPr>
              <w:t xml:space="preserve">De </w:t>
            </w:r>
            <w:r w:rsidRPr="00635AC2">
              <w:rPr>
                <w:rFonts w:ascii="Calibri" w:hAnsi="Calibri" w:cs="Calibri"/>
                <w:sz w:val="24"/>
                <w:szCs w:val="24"/>
              </w:rPr>
              <w:t>Magalhaes</w:t>
            </w:r>
            <w:r w:rsidRPr="00635AC2">
              <w:rPr>
                <w:rFonts w:ascii="Calibri" w:hAnsi="Calibri" w:cs="Calibri"/>
                <w:sz w:val="24"/>
                <w:szCs w:val="24"/>
              </w:rPr>
              <w:t xml:space="preserve"> VF, Soares RM, Azevedo SMFO. Microcystin contamination in fish from the </w:t>
            </w:r>
            <w:r w:rsidRPr="00635AC2">
              <w:rPr>
                <w:rFonts w:ascii="Calibri" w:hAnsi="Calibri" w:cs="Calibri"/>
                <w:sz w:val="24"/>
                <w:szCs w:val="24"/>
              </w:rPr>
              <w:t>Jacareqagua</w:t>
            </w:r>
            <w:r w:rsidRPr="00635AC2">
              <w:rPr>
                <w:rFonts w:ascii="Calibri" w:hAnsi="Calibri" w:cs="Calibri"/>
                <w:sz w:val="24"/>
                <w:szCs w:val="24"/>
              </w:rPr>
              <w:t xml:space="preserve"> Lagoon (Rio de Janeiro, Brazil): ecological implication and human health risk. Toxicon 2001;29:1077–1085.</w:t>
            </w:r>
          </w:p>
        </w:tc>
        <w:tc>
          <w:tcPr>
            <w:tcW w:w="2395" w:type="dxa"/>
          </w:tcPr>
          <w:p w:rsidR="00F40A02" w:rsidRPr="00635AC2" w:rsidP="00FC6205" w14:paraId="04064DD5" w14:textId="77777777">
            <w:pPr>
              <w:rPr>
                <w:rFonts w:ascii="Calibri" w:eastAsia="AdvOT863180fb" w:hAnsi="Calibri" w:cs="Calibri"/>
                <w:sz w:val="24"/>
                <w:szCs w:val="24"/>
              </w:rPr>
            </w:pPr>
            <w:r w:rsidRPr="00635AC2">
              <w:rPr>
                <w:rFonts w:ascii="Calibri" w:eastAsia="AdvOT863180fb" w:hAnsi="Calibri" w:cs="Calibri"/>
                <w:sz w:val="24"/>
                <w:szCs w:val="24"/>
              </w:rPr>
              <w:t>Examined fish harvested during cyanobacterial blooms.</w:t>
            </w:r>
          </w:p>
        </w:tc>
        <w:tc>
          <w:tcPr>
            <w:tcW w:w="6607" w:type="dxa"/>
          </w:tcPr>
          <w:p w:rsidR="00F40A02" w:rsidRPr="00635AC2" w:rsidP="00FC6205" w14:paraId="00E48E45" w14:textId="77777777">
            <w:pPr>
              <w:rPr>
                <w:rFonts w:ascii="Calibri" w:eastAsia="AdvOT863180fb" w:hAnsi="Calibri" w:cs="Calibri"/>
                <w:sz w:val="24"/>
                <w:szCs w:val="24"/>
              </w:rPr>
            </w:pPr>
            <w:r w:rsidRPr="00635AC2">
              <w:rPr>
                <w:rFonts w:ascii="Calibri" w:eastAsia="AdvOT863180fb" w:hAnsi="Calibri" w:cs="Calibri"/>
                <w:sz w:val="24"/>
                <w:szCs w:val="24"/>
              </w:rPr>
              <w:t xml:space="preserve">Fish harvested from lakes with ongoing cyanobacterial blooms were contaminated with </w:t>
            </w:r>
            <w:r w:rsidRPr="00635AC2">
              <w:rPr>
                <w:rFonts w:ascii="Calibri" w:eastAsia="AdvOT863180fb" w:hAnsi="Calibri" w:cs="Calibri"/>
                <w:sz w:val="24"/>
                <w:szCs w:val="24"/>
              </w:rPr>
              <w:t>microcystins</w:t>
            </w:r>
            <w:r w:rsidRPr="00635AC2">
              <w:rPr>
                <w:rFonts w:ascii="Calibri" w:eastAsia="AdvOT863180fb" w:hAnsi="Calibri" w:cs="Calibri"/>
                <w:sz w:val="24"/>
                <w:szCs w:val="24"/>
              </w:rPr>
              <w:t>.</w:t>
            </w:r>
          </w:p>
        </w:tc>
      </w:tr>
      <w:tr w14:paraId="174F3400" w14:textId="77777777" w:rsidTr="003A1F3D">
        <w:tblPrEx>
          <w:tblW w:w="13950" w:type="dxa"/>
          <w:tblInd w:w="-545" w:type="dxa"/>
          <w:tblLook w:val="04A0"/>
        </w:tblPrEx>
        <w:tc>
          <w:tcPr>
            <w:tcW w:w="4948" w:type="dxa"/>
          </w:tcPr>
          <w:p w:rsidR="00F40A02" w:rsidRPr="00635AC2" w:rsidP="00FC6205" w14:paraId="3D9C84D2" w14:textId="77777777">
            <w:pPr>
              <w:rPr>
                <w:rFonts w:ascii="Calibri" w:hAnsi="Calibri" w:cs="Calibri"/>
                <w:sz w:val="24"/>
                <w:szCs w:val="24"/>
              </w:rPr>
            </w:pPr>
            <w:r w:rsidRPr="00635AC2">
              <w:rPr>
                <w:rFonts w:ascii="Calibri" w:hAnsi="Calibri" w:cs="Calibri"/>
                <w:sz w:val="24"/>
                <w:szCs w:val="24"/>
              </w:rPr>
              <w:t>Carmichael,WW</w:t>
            </w:r>
            <w:r w:rsidRPr="00635AC2">
              <w:rPr>
                <w:rFonts w:ascii="Calibri" w:hAnsi="Calibri" w:cs="Calibri"/>
                <w:sz w:val="24"/>
                <w:szCs w:val="24"/>
              </w:rPr>
              <w:t xml:space="preserve">, </w:t>
            </w:r>
            <w:r w:rsidRPr="00635AC2">
              <w:rPr>
                <w:rFonts w:ascii="Calibri" w:hAnsi="Calibri" w:cs="Calibri"/>
                <w:sz w:val="24"/>
                <w:szCs w:val="24"/>
              </w:rPr>
              <w:t>Azeved</w:t>
            </w:r>
            <w:r w:rsidRPr="00635AC2">
              <w:rPr>
                <w:rFonts w:ascii="Calibri" w:hAnsi="Calibri" w:cs="Calibri"/>
                <w:sz w:val="24"/>
                <w:szCs w:val="24"/>
              </w:rPr>
              <w:t xml:space="preserve"> MFO, </w:t>
            </w:r>
            <w:r w:rsidRPr="00635AC2">
              <w:rPr>
                <w:rFonts w:ascii="Calibri" w:hAnsi="Calibri" w:cs="Calibri"/>
                <w:sz w:val="24"/>
                <w:szCs w:val="24"/>
              </w:rPr>
              <w:t>An</w:t>
            </w:r>
            <w:r w:rsidRPr="00635AC2">
              <w:rPr>
                <w:rFonts w:ascii="Calibri" w:hAnsi="Calibri" w:cs="Calibri"/>
                <w:sz w:val="24"/>
                <w:szCs w:val="24"/>
              </w:rPr>
              <w:t xml:space="preserve"> JS, </w:t>
            </w:r>
            <w:r w:rsidRPr="00635AC2">
              <w:rPr>
                <w:rFonts w:ascii="Calibri" w:hAnsi="Calibri" w:cs="Calibri"/>
                <w:sz w:val="24"/>
                <w:szCs w:val="24"/>
              </w:rPr>
              <w:t>Molica</w:t>
            </w:r>
            <w:r w:rsidRPr="00635AC2">
              <w:rPr>
                <w:rFonts w:ascii="Calibri" w:hAnsi="Calibri" w:cs="Calibri"/>
                <w:sz w:val="24"/>
                <w:szCs w:val="24"/>
              </w:rPr>
              <w:t xml:space="preserve"> RJR, </w:t>
            </w:r>
            <w:r w:rsidRPr="00635AC2">
              <w:rPr>
                <w:rFonts w:ascii="Calibri" w:hAnsi="Calibri" w:cs="Calibri"/>
                <w:sz w:val="24"/>
                <w:szCs w:val="24"/>
              </w:rPr>
              <w:t>Jochmisen</w:t>
            </w:r>
            <w:r w:rsidRPr="00635AC2">
              <w:rPr>
                <w:rFonts w:ascii="Calibri" w:hAnsi="Calibri" w:cs="Calibri"/>
                <w:sz w:val="24"/>
                <w:szCs w:val="24"/>
              </w:rPr>
              <w:t xml:space="preserve"> EM, Lau S, Rinehart KL, Shaw GR, </w:t>
            </w:r>
            <w:r w:rsidRPr="00635AC2">
              <w:rPr>
                <w:rFonts w:ascii="Calibri" w:hAnsi="Calibri" w:cs="Calibri"/>
                <w:sz w:val="24"/>
                <w:szCs w:val="24"/>
              </w:rPr>
              <w:t>Eagelsham</w:t>
            </w:r>
            <w:r w:rsidRPr="00635AC2">
              <w:rPr>
                <w:rFonts w:ascii="Calibri" w:hAnsi="Calibri" w:cs="Calibri"/>
                <w:sz w:val="24"/>
                <w:szCs w:val="24"/>
              </w:rPr>
              <w:t xml:space="preserve"> GK. Human fatalities from cyanobacteria: chemical and biological evidence for cyanotoxins. Environ. Health </w:t>
            </w:r>
            <w:r w:rsidRPr="00635AC2">
              <w:rPr>
                <w:rFonts w:ascii="Calibri" w:hAnsi="Calibri" w:cs="Calibri"/>
                <w:sz w:val="24"/>
                <w:szCs w:val="24"/>
              </w:rPr>
              <w:t>Perspect</w:t>
            </w:r>
            <w:r w:rsidRPr="00635AC2">
              <w:rPr>
                <w:rFonts w:ascii="Calibri" w:hAnsi="Calibri" w:cs="Calibri"/>
                <w:sz w:val="24"/>
                <w:szCs w:val="24"/>
              </w:rPr>
              <w:t>. 2001;109, 663–668.</w:t>
            </w:r>
          </w:p>
        </w:tc>
        <w:tc>
          <w:tcPr>
            <w:tcW w:w="2395" w:type="dxa"/>
          </w:tcPr>
          <w:p w:rsidR="00F40A02" w:rsidRPr="00635AC2" w:rsidP="00FC6205" w14:paraId="38A03C63" w14:textId="77777777">
            <w:pPr>
              <w:rPr>
                <w:rFonts w:ascii="Calibri" w:eastAsia="AdvOT863180fb" w:hAnsi="Calibri" w:cs="Calibri"/>
                <w:sz w:val="24"/>
                <w:szCs w:val="24"/>
              </w:rPr>
            </w:pPr>
            <w:r w:rsidRPr="00635AC2">
              <w:rPr>
                <w:rFonts w:ascii="Calibri" w:eastAsia="AdvOT863180fb" w:hAnsi="Calibri" w:cs="Calibri"/>
                <w:sz w:val="24"/>
                <w:szCs w:val="24"/>
              </w:rPr>
              <w:t>Outbreak investigation of people with fatal liver disease following dialysis in clinics in Brazil.</w:t>
            </w:r>
          </w:p>
        </w:tc>
        <w:tc>
          <w:tcPr>
            <w:tcW w:w="6607" w:type="dxa"/>
          </w:tcPr>
          <w:p w:rsidR="00F40A02" w:rsidRPr="00635AC2" w:rsidP="00FC6205" w14:paraId="76398278" w14:textId="77777777">
            <w:pPr>
              <w:rPr>
                <w:rFonts w:ascii="Calibri" w:eastAsia="AdvOT863180fb" w:hAnsi="Calibri" w:cs="Calibri"/>
                <w:sz w:val="24"/>
                <w:szCs w:val="24"/>
              </w:rPr>
            </w:pPr>
            <w:r w:rsidRPr="00635AC2">
              <w:rPr>
                <w:rFonts w:ascii="Calibri" w:eastAsia="AdvOT863180fb" w:hAnsi="Calibri" w:cs="Calibri"/>
                <w:sz w:val="24"/>
                <w:szCs w:val="24"/>
              </w:rPr>
              <w:t xml:space="preserve">Dialysis water was contaminated with </w:t>
            </w:r>
            <w:r w:rsidRPr="00635AC2">
              <w:rPr>
                <w:rFonts w:ascii="Calibri" w:eastAsia="AdvOT863180fb" w:hAnsi="Calibri" w:cs="Calibri"/>
                <w:sz w:val="24"/>
                <w:szCs w:val="24"/>
              </w:rPr>
              <w:t>microcytsins</w:t>
            </w:r>
            <w:r w:rsidRPr="00635AC2">
              <w:rPr>
                <w:rFonts w:ascii="Calibri" w:eastAsia="AdvOT863180fb" w:hAnsi="Calibri" w:cs="Calibri"/>
                <w:sz w:val="24"/>
                <w:szCs w:val="24"/>
              </w:rPr>
              <w:t>.</w:t>
            </w:r>
          </w:p>
        </w:tc>
      </w:tr>
      <w:tr w14:paraId="2A5C6D98" w14:textId="77777777" w:rsidTr="003A1F3D">
        <w:tblPrEx>
          <w:tblW w:w="13950" w:type="dxa"/>
          <w:tblInd w:w="-545" w:type="dxa"/>
          <w:tblLook w:val="04A0"/>
        </w:tblPrEx>
        <w:tc>
          <w:tcPr>
            <w:tcW w:w="4948" w:type="dxa"/>
          </w:tcPr>
          <w:p w:rsidR="00F40A02" w:rsidRPr="00635AC2" w:rsidP="00FC6205" w14:paraId="548AA7F6" w14:textId="77777777">
            <w:pPr>
              <w:spacing w:before="100" w:beforeAutospacing="1" w:after="100" w:afterAutospacing="1"/>
              <w:rPr>
                <w:rFonts w:eastAsia="SimSun" w:cs="Calibri"/>
                <w:sz w:val="24"/>
                <w:szCs w:val="24"/>
              </w:rPr>
            </w:pPr>
            <w:r w:rsidRPr="00635AC2">
              <w:rPr>
                <w:rFonts w:eastAsia="SimSun" w:cs="Calibri"/>
                <w:sz w:val="24"/>
                <w:szCs w:val="24"/>
              </w:rPr>
              <w:t xml:space="preserve">Stewart I, Webb PM, Schluter J, Fleming LE, Burns JW Jr, </w:t>
            </w:r>
            <w:r w:rsidRPr="00635AC2">
              <w:rPr>
                <w:rFonts w:eastAsia="SimSun" w:cs="Calibri"/>
                <w:sz w:val="24"/>
                <w:szCs w:val="24"/>
              </w:rPr>
              <w:t>Ganta</w:t>
            </w:r>
            <w:r w:rsidRPr="00635AC2">
              <w:rPr>
                <w:rFonts w:eastAsia="SimSun" w:cs="Calibri"/>
                <w:sz w:val="24"/>
                <w:szCs w:val="24"/>
              </w:rPr>
              <w:t xml:space="preserve"> M, Backer LC, Shaw GR.  Acute effects of recreational exposure to freshwater cyanobacteria-a prospective epidemiologic study. pp. 473-474. In: </w:t>
            </w:r>
            <w:r w:rsidRPr="00635AC2">
              <w:rPr>
                <w:rFonts w:eastAsia="SimSun" w:cs="Calibri"/>
                <w:sz w:val="24"/>
                <w:szCs w:val="24"/>
              </w:rPr>
              <w:t>Steidinger</w:t>
            </w:r>
            <w:r w:rsidRPr="00635AC2">
              <w:rPr>
                <w:rFonts w:eastAsia="SimSun" w:cs="Calibri"/>
                <w:sz w:val="24"/>
                <w:szCs w:val="24"/>
              </w:rPr>
              <w:t xml:space="preserve"> KA, Landsberg JH, Tomas CR, and GA Vargo (Eds.). 2004. Harmful Algae 2002. Florida Fish and Wildlife Conservation Commission, Florida Institute of Oceanography, and Intergovernmental Oceanographic Commission of UNESCO.</w:t>
            </w:r>
          </w:p>
        </w:tc>
        <w:tc>
          <w:tcPr>
            <w:tcW w:w="2395" w:type="dxa"/>
          </w:tcPr>
          <w:p w:rsidR="00F40A02" w:rsidRPr="00635AC2" w:rsidP="00FC6205" w14:paraId="665A588A" w14:textId="77777777">
            <w:pPr>
              <w:rPr>
                <w:rFonts w:ascii="Calibri" w:eastAsia="AdvOT863180fb" w:hAnsi="Calibri" w:cs="Calibri"/>
                <w:sz w:val="24"/>
                <w:szCs w:val="24"/>
              </w:rPr>
            </w:pPr>
            <w:r w:rsidRPr="00635AC2">
              <w:rPr>
                <w:rFonts w:ascii="Calibri" w:eastAsia="AdvOT863180fb" w:hAnsi="Calibri" w:cs="Calibri"/>
                <w:sz w:val="24"/>
                <w:szCs w:val="24"/>
              </w:rPr>
              <w:t>Epidemiology study including symptom surveys and environmental data collection.</w:t>
            </w:r>
          </w:p>
        </w:tc>
        <w:tc>
          <w:tcPr>
            <w:tcW w:w="6607" w:type="dxa"/>
          </w:tcPr>
          <w:p w:rsidR="00F40A02" w:rsidRPr="00635AC2" w:rsidP="00FC6205" w14:paraId="33038D9C" w14:textId="77777777">
            <w:pPr>
              <w:rPr>
                <w:rFonts w:ascii="Calibri" w:eastAsia="AdvOT863180fb" w:hAnsi="Calibri" w:cs="Calibri"/>
                <w:sz w:val="24"/>
                <w:szCs w:val="24"/>
              </w:rPr>
            </w:pPr>
            <w:r w:rsidRPr="00635AC2">
              <w:rPr>
                <w:rFonts w:ascii="Calibri" w:eastAsia="AdvOT863180fb" w:hAnsi="Calibri" w:cs="Calibri"/>
                <w:sz w:val="24"/>
                <w:szCs w:val="24"/>
              </w:rPr>
              <w:t>Symptom reporting was low; however, cyanobacterial toxins were generally present at low levels, if at all.</w:t>
            </w:r>
          </w:p>
        </w:tc>
      </w:tr>
      <w:tr w14:paraId="5685DB7F" w14:textId="77777777" w:rsidTr="003A1F3D">
        <w:tblPrEx>
          <w:tblW w:w="13950" w:type="dxa"/>
          <w:tblInd w:w="-545" w:type="dxa"/>
          <w:tblLook w:val="04A0"/>
        </w:tblPrEx>
        <w:tc>
          <w:tcPr>
            <w:tcW w:w="4948" w:type="dxa"/>
          </w:tcPr>
          <w:p w:rsidR="00F40A02" w:rsidRPr="00635AC2" w:rsidP="00FC6205" w14:paraId="36E5247B" w14:textId="77777777">
            <w:pPr>
              <w:rPr>
                <w:rFonts w:ascii="Calibri" w:eastAsia="AdvOT863180fb" w:hAnsi="Calibri" w:cs="Calibri"/>
                <w:sz w:val="24"/>
                <w:szCs w:val="24"/>
              </w:rPr>
            </w:pPr>
            <w:r w:rsidRPr="00635AC2">
              <w:rPr>
                <w:rFonts w:ascii="Calibri" w:hAnsi="Calibri" w:cs="Calibri"/>
                <w:sz w:val="24"/>
                <w:szCs w:val="24"/>
              </w:rPr>
              <w:t>Xie</w:t>
            </w:r>
            <w:r w:rsidRPr="00635AC2">
              <w:rPr>
                <w:rFonts w:ascii="Calibri" w:hAnsi="Calibri" w:cs="Calibri"/>
                <w:sz w:val="24"/>
                <w:szCs w:val="24"/>
              </w:rPr>
              <w:t xml:space="preserve"> L, </w:t>
            </w:r>
            <w:r w:rsidRPr="00635AC2">
              <w:rPr>
                <w:rFonts w:ascii="Calibri" w:hAnsi="Calibri" w:cs="Calibri"/>
                <w:sz w:val="24"/>
                <w:szCs w:val="24"/>
              </w:rPr>
              <w:t>Xie</w:t>
            </w:r>
            <w:r w:rsidRPr="00635AC2">
              <w:rPr>
                <w:rFonts w:ascii="Calibri" w:hAnsi="Calibri" w:cs="Calibri"/>
                <w:sz w:val="24"/>
                <w:szCs w:val="24"/>
              </w:rPr>
              <w:t xml:space="preserve"> P, Guo L, Li L, </w:t>
            </w:r>
            <w:r w:rsidRPr="00635AC2">
              <w:rPr>
                <w:rFonts w:ascii="Calibri" w:hAnsi="Calibri" w:cs="Calibri"/>
                <w:sz w:val="24"/>
                <w:szCs w:val="24"/>
              </w:rPr>
              <w:t>Miyabara</w:t>
            </w:r>
            <w:r w:rsidRPr="00635AC2">
              <w:rPr>
                <w:rFonts w:ascii="Calibri" w:hAnsi="Calibri" w:cs="Calibri"/>
                <w:sz w:val="24"/>
                <w:szCs w:val="24"/>
              </w:rPr>
              <w:t xml:space="preserve">, Y, Park H-D. Organ distribution and bioaccumulation of </w:t>
            </w:r>
            <w:r w:rsidRPr="00635AC2">
              <w:rPr>
                <w:rFonts w:ascii="Calibri" w:hAnsi="Calibri" w:cs="Calibri"/>
                <w:sz w:val="24"/>
                <w:szCs w:val="24"/>
              </w:rPr>
              <w:t>microcystins</w:t>
            </w:r>
            <w:r w:rsidRPr="00635AC2">
              <w:rPr>
                <w:rFonts w:ascii="Calibri" w:hAnsi="Calibri" w:cs="Calibri"/>
                <w:sz w:val="24"/>
                <w:szCs w:val="24"/>
              </w:rPr>
              <w:t xml:space="preserve"> in freshwater fish at different trophic levels from the eutrophic Lake </w:t>
            </w:r>
            <w:r w:rsidRPr="00635AC2">
              <w:rPr>
                <w:rFonts w:ascii="Calibri" w:hAnsi="Calibri" w:cs="Calibri"/>
                <w:sz w:val="24"/>
                <w:szCs w:val="24"/>
              </w:rPr>
              <w:t>Chaohu</w:t>
            </w:r>
            <w:r w:rsidRPr="00635AC2">
              <w:rPr>
                <w:rFonts w:ascii="Calibri" w:hAnsi="Calibri" w:cs="Calibri"/>
                <w:sz w:val="24"/>
                <w:szCs w:val="24"/>
              </w:rPr>
              <w:t xml:space="preserve">, China. Environ. </w:t>
            </w:r>
            <w:r w:rsidRPr="00635AC2">
              <w:rPr>
                <w:rFonts w:ascii="Calibri" w:hAnsi="Calibri" w:cs="Calibri"/>
                <w:sz w:val="24"/>
                <w:szCs w:val="24"/>
              </w:rPr>
              <w:t>Toxicol</w:t>
            </w:r>
            <w:r w:rsidRPr="00635AC2">
              <w:rPr>
                <w:rFonts w:ascii="Calibri" w:hAnsi="Calibri" w:cs="Calibri"/>
                <w:sz w:val="24"/>
                <w:szCs w:val="24"/>
              </w:rPr>
              <w:t xml:space="preserve"> 2005;20:293–300.</w:t>
            </w:r>
          </w:p>
        </w:tc>
        <w:tc>
          <w:tcPr>
            <w:tcW w:w="2395" w:type="dxa"/>
          </w:tcPr>
          <w:p w:rsidR="00F40A02" w:rsidRPr="00635AC2" w:rsidP="00FC6205" w14:paraId="0FB5485F" w14:textId="77777777">
            <w:pPr>
              <w:rPr>
                <w:rFonts w:ascii="Calibri" w:eastAsia="AdvOT863180fb" w:hAnsi="Calibri" w:cs="Calibri"/>
                <w:sz w:val="24"/>
                <w:szCs w:val="24"/>
              </w:rPr>
            </w:pPr>
            <w:r w:rsidRPr="00635AC2">
              <w:rPr>
                <w:rFonts w:ascii="Calibri" w:eastAsia="AdvOT863180fb" w:hAnsi="Calibri" w:cs="Calibri"/>
                <w:sz w:val="24"/>
                <w:szCs w:val="24"/>
              </w:rPr>
              <w:t xml:space="preserve">Examined the distribution of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in fish and </w:t>
            </w:r>
            <w:r w:rsidRPr="00635AC2">
              <w:rPr>
                <w:rFonts w:ascii="Calibri" w:eastAsia="AdvOT863180fb" w:hAnsi="Calibri" w:cs="Calibri"/>
                <w:sz w:val="24"/>
                <w:szCs w:val="24"/>
              </w:rPr>
              <w:t>mussel</w:t>
            </w:r>
            <w:r w:rsidRPr="00635AC2">
              <w:rPr>
                <w:rFonts w:ascii="Calibri" w:eastAsia="AdvOT863180fb" w:hAnsi="Calibri" w:cs="Calibri"/>
                <w:sz w:val="24"/>
                <w:szCs w:val="24"/>
              </w:rPr>
              <w:t xml:space="preserve"> tissue.</w:t>
            </w:r>
          </w:p>
        </w:tc>
        <w:tc>
          <w:tcPr>
            <w:tcW w:w="6607" w:type="dxa"/>
          </w:tcPr>
          <w:p w:rsidR="00F40A02" w:rsidRPr="00635AC2" w:rsidP="00FC6205" w14:paraId="38A61524" w14:textId="77777777">
            <w:pPr>
              <w:rPr>
                <w:rFonts w:ascii="Calibri" w:eastAsia="AdvOT863180fb" w:hAnsi="Calibri" w:cs="Calibri"/>
                <w:sz w:val="24"/>
                <w:szCs w:val="24"/>
              </w:rPr>
            </w:pPr>
            <w:r w:rsidRPr="00635AC2">
              <w:rPr>
                <w:rFonts w:ascii="Calibri" w:eastAsia="AdvOT863180fb" w:hAnsi="Calibri" w:cs="Calibri"/>
                <w:sz w:val="24"/>
                <w:szCs w:val="24"/>
              </w:rPr>
              <w:t xml:space="preserve">Found detectable levels of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in bile and bloom of wild fish.</w:t>
            </w:r>
          </w:p>
        </w:tc>
      </w:tr>
      <w:tr w14:paraId="148607C9" w14:textId="77777777" w:rsidTr="003A1F3D">
        <w:tblPrEx>
          <w:tblW w:w="13950" w:type="dxa"/>
          <w:tblInd w:w="-545" w:type="dxa"/>
          <w:tblLook w:val="04A0"/>
        </w:tblPrEx>
        <w:trPr>
          <w:trHeight w:val="1610"/>
        </w:trPr>
        <w:tc>
          <w:tcPr>
            <w:tcW w:w="4948" w:type="dxa"/>
          </w:tcPr>
          <w:p w:rsidR="00F40A02" w:rsidRPr="00635AC2" w:rsidP="00FC6205" w14:paraId="684273AC" w14:textId="77777777">
            <w:pPr>
              <w:rPr>
                <w:rFonts w:ascii="Calibri" w:eastAsia="AdvOT863180fb" w:hAnsi="Calibri" w:cs="Calibri"/>
                <w:sz w:val="24"/>
                <w:szCs w:val="24"/>
              </w:rPr>
            </w:pPr>
            <w:r w:rsidRPr="00635AC2">
              <w:rPr>
                <w:rFonts w:ascii="Calibri" w:hAnsi="Calibri" w:cs="Calibri"/>
                <w:sz w:val="24"/>
                <w:szCs w:val="24"/>
              </w:rPr>
              <w:t>Kann</w:t>
            </w:r>
            <w:r w:rsidRPr="00635AC2">
              <w:rPr>
                <w:rFonts w:ascii="Calibri" w:hAnsi="Calibri" w:cs="Calibri"/>
                <w:sz w:val="24"/>
                <w:szCs w:val="24"/>
              </w:rPr>
              <w:t xml:space="preserve"> J. Microcystin Bioaccumulation in Klamath River Fish and Freshwater </w:t>
            </w:r>
            <w:r w:rsidRPr="00635AC2">
              <w:rPr>
                <w:rFonts w:ascii="Calibri" w:hAnsi="Calibri" w:cs="Calibri"/>
                <w:sz w:val="24"/>
                <w:szCs w:val="24"/>
              </w:rPr>
              <w:t>Mussel</w:t>
            </w:r>
            <w:r w:rsidRPr="00635AC2">
              <w:rPr>
                <w:rFonts w:ascii="Calibri" w:hAnsi="Calibri" w:cs="Calibri"/>
                <w:sz w:val="24"/>
                <w:szCs w:val="24"/>
              </w:rPr>
              <w:t xml:space="preserve"> Tissue: Preliminary 2007 Results. Technical Memorandum. Aquatic Ecosystem Sciences, LLC, Ashland, Oregon. 2008. 48 pp.</w:t>
            </w:r>
          </w:p>
        </w:tc>
        <w:tc>
          <w:tcPr>
            <w:tcW w:w="2395" w:type="dxa"/>
          </w:tcPr>
          <w:p w:rsidR="00F40A02" w:rsidRPr="00635AC2" w:rsidP="00FC6205" w14:paraId="585C73D6" w14:textId="77777777">
            <w:pPr>
              <w:rPr>
                <w:rFonts w:ascii="Calibri" w:eastAsia="AdvOT863180fb" w:hAnsi="Calibri" w:cs="Calibri"/>
                <w:sz w:val="24"/>
                <w:szCs w:val="24"/>
              </w:rPr>
            </w:pPr>
            <w:r w:rsidRPr="00635AC2">
              <w:rPr>
                <w:rFonts w:ascii="Calibri" w:eastAsia="AdvOT863180fb" w:hAnsi="Calibri" w:cs="Calibri"/>
                <w:sz w:val="24"/>
                <w:szCs w:val="24"/>
              </w:rPr>
              <w:t xml:space="preserve">Examined distribution of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in fish and mussels</w:t>
            </w:r>
          </w:p>
        </w:tc>
        <w:tc>
          <w:tcPr>
            <w:tcW w:w="6607" w:type="dxa"/>
          </w:tcPr>
          <w:p w:rsidR="00F40A02" w:rsidRPr="00635AC2" w:rsidP="00FC6205" w14:paraId="6DD4B739" w14:textId="77777777">
            <w:pPr>
              <w:rPr>
                <w:rFonts w:ascii="Calibri" w:eastAsia="AdvOT863180fb" w:hAnsi="Calibri" w:cs="Calibri"/>
                <w:sz w:val="24"/>
                <w:szCs w:val="24"/>
              </w:rPr>
            </w:pPr>
            <w:r w:rsidRPr="00635AC2">
              <w:rPr>
                <w:rFonts w:ascii="Calibri" w:eastAsia="AdvOT863180fb" w:hAnsi="Calibri" w:cs="Calibri"/>
                <w:sz w:val="24"/>
                <w:szCs w:val="24"/>
              </w:rPr>
              <w:t>Found microcystin bioaccumulation in fish and mussel tissues during blooms.</w:t>
            </w:r>
          </w:p>
        </w:tc>
      </w:tr>
      <w:tr w14:paraId="7D7AA8E2" w14:textId="77777777" w:rsidTr="003A1F3D">
        <w:tblPrEx>
          <w:tblW w:w="13950" w:type="dxa"/>
          <w:tblInd w:w="-545" w:type="dxa"/>
          <w:tblLook w:val="04A0"/>
        </w:tblPrEx>
        <w:tc>
          <w:tcPr>
            <w:tcW w:w="4948" w:type="dxa"/>
          </w:tcPr>
          <w:p w:rsidR="00F40A02" w:rsidRPr="00635AC2" w:rsidP="00FC6205" w14:paraId="74E56A15" w14:textId="77777777">
            <w:pPr>
              <w:rPr>
                <w:rFonts w:ascii="Calibri" w:eastAsia="SimSun" w:hAnsi="Calibri" w:cs="Calibri"/>
                <w:color w:val="000000"/>
                <w:sz w:val="24"/>
                <w:szCs w:val="24"/>
                <w:lang w:val="it-IT" w:eastAsia="de-DE"/>
              </w:rPr>
            </w:pPr>
            <w:r w:rsidRPr="00635AC2">
              <w:rPr>
                <w:rFonts w:ascii="Calibri" w:eastAsia="SimSun" w:hAnsi="Calibri" w:cs="Calibri"/>
                <w:color w:val="000000"/>
                <w:sz w:val="24"/>
                <w:szCs w:val="24"/>
                <w:lang w:val="it-IT" w:eastAsia="de-DE"/>
              </w:rPr>
              <w:t xml:space="preserve">Backer LC, McNeel SV, Barber T, Kirkpatrick B, Williams C, Irvin M, Zhou Y, Johnson TB, Nierenberg K, Aubel  M, LePrell R, Chapman A, Foss A, Corum S, Hill VR, Kieszak SM,  Cheng Y-S. Recreational Exposure to Microcystins During Algal Blooms in Two California Lakes. Toxicon 2010, 55:909-921. </w:t>
            </w:r>
          </w:p>
        </w:tc>
        <w:tc>
          <w:tcPr>
            <w:tcW w:w="2395" w:type="dxa"/>
          </w:tcPr>
          <w:p w:rsidR="00F40A02" w:rsidRPr="00635AC2" w:rsidP="00FC6205" w14:paraId="20238D16" w14:textId="77777777">
            <w:pPr>
              <w:rPr>
                <w:rFonts w:ascii="Calibri" w:eastAsia="AdvOT863180fb" w:hAnsi="Calibri" w:cs="Calibri"/>
                <w:sz w:val="24"/>
                <w:szCs w:val="24"/>
              </w:rPr>
            </w:pPr>
            <w:r w:rsidRPr="00635AC2">
              <w:rPr>
                <w:rFonts w:ascii="Calibri" w:eastAsia="AdvOT863180fb" w:hAnsi="Calibri" w:cs="Calibri"/>
                <w:sz w:val="24"/>
                <w:szCs w:val="24"/>
              </w:rPr>
              <w:t>Observational study that collected symptom data, nasal swabs from people recreating on a lake with a bloom and those recreating on a lake without a bloom. Collected environmental data.</w:t>
            </w:r>
          </w:p>
        </w:tc>
        <w:tc>
          <w:tcPr>
            <w:tcW w:w="6607" w:type="dxa"/>
          </w:tcPr>
          <w:p w:rsidR="00F40A02" w:rsidRPr="00635AC2" w:rsidP="00FC6205" w14:paraId="0EE83660" w14:textId="77777777">
            <w:pPr>
              <w:rPr>
                <w:rFonts w:ascii="Calibri" w:eastAsia="AdvOT863180fb" w:hAnsi="Calibri" w:cs="Calibri"/>
                <w:sz w:val="24"/>
                <w:szCs w:val="24"/>
              </w:rPr>
            </w:pPr>
            <w:r w:rsidRPr="00635AC2">
              <w:rPr>
                <w:rFonts w:ascii="Calibri" w:eastAsia="AdvOT863180fb" w:hAnsi="Calibri" w:cs="Calibri"/>
                <w:sz w:val="24"/>
                <w:szCs w:val="24"/>
              </w:rPr>
              <w:t xml:space="preserve">Low microcystin concentrations were found in water samples and personal air samples from people using the blooming lake, but not from people using the non-blooming lake. Detected low levels of </w:t>
            </w:r>
            <w:r w:rsidRPr="00635AC2">
              <w:rPr>
                <w:rFonts w:ascii="Calibri" w:eastAsia="AdvOT863180fb" w:hAnsi="Calibri" w:cs="Calibri"/>
                <w:sz w:val="24"/>
                <w:szCs w:val="24"/>
              </w:rPr>
              <w:t>microcystins</w:t>
            </w:r>
            <w:r w:rsidRPr="00635AC2">
              <w:rPr>
                <w:rFonts w:ascii="Calibri" w:eastAsia="AdvOT863180fb" w:hAnsi="Calibri" w:cs="Calibri"/>
                <w:sz w:val="24"/>
                <w:szCs w:val="24"/>
              </w:rPr>
              <w:t xml:space="preserve"> on nasal swabs in people using the blooming lake.</w:t>
            </w:r>
          </w:p>
        </w:tc>
      </w:tr>
      <w:tr w14:paraId="1077749D" w14:textId="77777777" w:rsidTr="003A1F3D">
        <w:tblPrEx>
          <w:tblW w:w="13950" w:type="dxa"/>
          <w:tblInd w:w="-545" w:type="dxa"/>
          <w:tblLook w:val="04A0"/>
        </w:tblPrEx>
        <w:tc>
          <w:tcPr>
            <w:tcW w:w="4948" w:type="dxa"/>
          </w:tcPr>
          <w:p w:rsidR="00F40A02" w:rsidRPr="00635AC2" w:rsidP="00FC6205" w14:paraId="65ADE627" w14:textId="77777777">
            <w:pPr>
              <w:autoSpaceDE w:val="0"/>
              <w:autoSpaceDN w:val="0"/>
              <w:adjustRightInd w:val="0"/>
              <w:rPr>
                <w:rFonts w:eastAsia="SimSun" w:cs="Calibri"/>
                <w:bCs/>
                <w:color w:val="303030"/>
                <w:sz w:val="24"/>
                <w:szCs w:val="24"/>
              </w:rPr>
            </w:pPr>
            <w:r w:rsidRPr="00635AC2">
              <w:rPr>
                <w:rFonts w:eastAsia="SimSun" w:cs="Calibri"/>
                <w:bCs/>
                <w:color w:val="303030"/>
                <w:sz w:val="24"/>
                <w:szCs w:val="24"/>
              </w:rPr>
              <w:t xml:space="preserve">Stewart I, Carmichael 22, Backer LC, Fleming LE, Shaw GR. Recreational Exposure to Cyanobacteria. In: </w:t>
            </w:r>
            <w:r w:rsidRPr="00635AC2">
              <w:rPr>
                <w:rFonts w:eastAsia="SimSun" w:cs="Calibri"/>
                <w:bCs/>
                <w:color w:val="303030"/>
                <w:sz w:val="24"/>
                <w:szCs w:val="24"/>
              </w:rPr>
              <w:t>Nriagu</w:t>
            </w:r>
            <w:r w:rsidRPr="00635AC2">
              <w:rPr>
                <w:rFonts w:eastAsia="SimSun" w:cs="Calibri"/>
                <w:bCs/>
                <w:color w:val="303030"/>
                <w:sz w:val="24"/>
                <w:szCs w:val="24"/>
              </w:rPr>
              <w:t xml:space="preserve"> JO (ed) Encyclopedia of Environmental Health. Elsevier, The Netherlands, 2011:776-788</w:t>
            </w:r>
          </w:p>
        </w:tc>
        <w:tc>
          <w:tcPr>
            <w:tcW w:w="2395" w:type="dxa"/>
          </w:tcPr>
          <w:p w:rsidR="00F40A02" w:rsidRPr="00635AC2" w:rsidP="00FC6205" w14:paraId="5B635057" w14:textId="77777777">
            <w:pPr>
              <w:rPr>
                <w:rFonts w:ascii="Calibri" w:eastAsia="AdvOT863180fb" w:hAnsi="Calibri" w:cs="Calibri"/>
                <w:sz w:val="24"/>
                <w:szCs w:val="24"/>
              </w:rPr>
            </w:pPr>
            <w:r w:rsidRPr="00635AC2">
              <w:rPr>
                <w:rFonts w:ascii="Calibri" w:eastAsia="AdvOT863180fb" w:hAnsi="Calibri" w:cs="Calibri"/>
                <w:sz w:val="24"/>
                <w:szCs w:val="24"/>
              </w:rPr>
              <w:t>Overview of public health impacts from environmental exposures to cyanobacteria in recreational waters.</w:t>
            </w:r>
          </w:p>
        </w:tc>
        <w:tc>
          <w:tcPr>
            <w:tcW w:w="6607" w:type="dxa"/>
          </w:tcPr>
          <w:p w:rsidR="00F40A02" w:rsidRPr="00635AC2" w:rsidP="00FC6205" w14:paraId="0C0E0235" w14:textId="77777777">
            <w:pPr>
              <w:rPr>
                <w:rFonts w:ascii="Calibri" w:eastAsia="AdvOT863180fb" w:hAnsi="Calibri" w:cs="Calibri"/>
                <w:sz w:val="24"/>
                <w:szCs w:val="24"/>
              </w:rPr>
            </w:pPr>
            <w:r w:rsidRPr="00635AC2">
              <w:rPr>
                <w:rFonts w:ascii="Calibri" w:eastAsia="AdvOT863180fb" w:hAnsi="Calibri" w:cs="Calibri"/>
                <w:sz w:val="24"/>
                <w:szCs w:val="24"/>
              </w:rPr>
              <w:t>Report includes reference to CDC’s surveillance activities.</w:t>
            </w:r>
          </w:p>
        </w:tc>
      </w:tr>
      <w:tr w14:paraId="653B8A1D" w14:textId="77777777" w:rsidTr="003A1F3D">
        <w:tblPrEx>
          <w:tblW w:w="13950" w:type="dxa"/>
          <w:tblInd w:w="-545" w:type="dxa"/>
          <w:tblLook w:val="04A0"/>
        </w:tblPrEx>
        <w:tc>
          <w:tcPr>
            <w:tcW w:w="4948" w:type="dxa"/>
          </w:tcPr>
          <w:p w:rsidR="00F40A02" w:rsidRPr="00635AC2" w:rsidP="00FC6205" w14:paraId="51C157D7" w14:textId="77777777">
            <w:pPr>
              <w:autoSpaceDE w:val="0"/>
              <w:autoSpaceDN w:val="0"/>
              <w:adjustRightInd w:val="0"/>
              <w:rPr>
                <w:rFonts w:eastAsia="SimSun" w:cs="Calibri"/>
                <w:bCs/>
                <w:sz w:val="24"/>
                <w:szCs w:val="24"/>
                <w:lang w:eastAsia="zh-CN"/>
              </w:rPr>
            </w:pPr>
            <w:r w:rsidRPr="00635AC2">
              <w:rPr>
                <w:rFonts w:eastAsia="SimSun" w:cs="Calibri"/>
                <w:bCs/>
                <w:sz w:val="24"/>
                <w:szCs w:val="24"/>
                <w:lang w:eastAsia="zh-CN"/>
              </w:rPr>
              <w:t>Hilborn</w:t>
            </w:r>
            <w:r w:rsidRPr="00635AC2">
              <w:rPr>
                <w:rFonts w:eastAsia="SimSun" w:cs="Calibri"/>
                <w:bCs/>
                <w:sz w:val="24"/>
                <w:szCs w:val="24"/>
                <w:lang w:eastAsia="zh-CN"/>
              </w:rPr>
              <w:t xml:space="preserve"> ED, Roberts VA, Backer L, </w:t>
            </w:r>
            <w:r w:rsidRPr="00635AC2">
              <w:rPr>
                <w:rFonts w:eastAsia="SimSun" w:cs="Calibri"/>
                <w:bCs/>
                <w:sz w:val="24"/>
                <w:szCs w:val="24"/>
                <w:lang w:eastAsia="zh-CN"/>
              </w:rPr>
              <w:t>DeConno</w:t>
            </w:r>
            <w:r w:rsidRPr="00635AC2">
              <w:rPr>
                <w:rFonts w:eastAsia="SimSun" w:cs="Calibri"/>
                <w:bCs/>
                <w:sz w:val="24"/>
                <w:szCs w:val="24"/>
                <w:lang w:eastAsia="zh-CN"/>
              </w:rPr>
              <w:t xml:space="preserve"> E, Egan JS, Hyde JB, Nicholas DC, </w:t>
            </w:r>
            <w:r w:rsidRPr="00635AC2">
              <w:rPr>
                <w:rFonts w:eastAsia="SimSun" w:cs="Calibri"/>
                <w:bCs/>
                <w:sz w:val="24"/>
                <w:szCs w:val="24"/>
                <w:lang w:eastAsia="zh-CN"/>
              </w:rPr>
              <w:t>Weigert</w:t>
            </w:r>
            <w:r w:rsidRPr="00635AC2">
              <w:rPr>
                <w:rFonts w:eastAsia="SimSun" w:cs="Calibri"/>
                <w:bCs/>
                <w:sz w:val="24"/>
                <w:szCs w:val="24"/>
                <w:lang w:eastAsia="zh-CN"/>
              </w:rPr>
              <w:t xml:space="preserve"> EJ, Billing LM, DiOrio Mary, </w:t>
            </w:r>
            <w:r w:rsidRPr="00635AC2">
              <w:rPr>
                <w:rFonts w:eastAsia="SimSun" w:cs="Calibri"/>
                <w:bCs/>
                <w:sz w:val="24"/>
                <w:szCs w:val="24"/>
                <w:lang w:eastAsia="zh-CN"/>
              </w:rPr>
              <w:t>Morh</w:t>
            </w:r>
            <w:r w:rsidRPr="00635AC2">
              <w:rPr>
                <w:rFonts w:eastAsia="SimSun" w:cs="Calibri"/>
                <w:bCs/>
                <w:sz w:val="24"/>
                <w:szCs w:val="24"/>
                <w:lang w:eastAsia="zh-CN"/>
              </w:rPr>
              <w:t xml:space="preserve">, MK, Hardy J, Wade TJ, Yoder JS, </w:t>
            </w:r>
            <w:r w:rsidRPr="00635AC2">
              <w:rPr>
                <w:rFonts w:eastAsia="SimSun" w:cs="Calibri"/>
                <w:bCs/>
                <w:sz w:val="24"/>
                <w:szCs w:val="24"/>
                <w:lang w:eastAsia="zh-CN"/>
              </w:rPr>
              <w:t>Hlavsa</w:t>
            </w:r>
            <w:r w:rsidRPr="00635AC2">
              <w:rPr>
                <w:rFonts w:eastAsia="SimSun" w:cs="Calibri"/>
                <w:bCs/>
                <w:sz w:val="24"/>
                <w:szCs w:val="24"/>
                <w:lang w:eastAsia="zh-CN"/>
              </w:rPr>
              <w:t xml:space="preserve"> MC. Algal bloom-associated disease outbreaks among users of freshwater lakes—United States, 2009-2010.  MMWR, 2014,63(1):11-15.</w:t>
            </w:r>
          </w:p>
        </w:tc>
        <w:tc>
          <w:tcPr>
            <w:tcW w:w="2395" w:type="dxa"/>
          </w:tcPr>
          <w:p w:rsidR="00F40A02" w:rsidRPr="00635AC2" w:rsidP="00FC6205" w14:paraId="0153C4C7" w14:textId="77777777">
            <w:pPr>
              <w:rPr>
                <w:rFonts w:ascii="Calibri" w:eastAsia="AdvOT863180fb" w:hAnsi="Calibri" w:cs="Calibri"/>
                <w:sz w:val="24"/>
                <w:szCs w:val="24"/>
              </w:rPr>
            </w:pPr>
            <w:r w:rsidRPr="00635AC2">
              <w:rPr>
                <w:rFonts w:ascii="Calibri" w:eastAsia="AdvOT863180fb" w:hAnsi="Calibri" w:cs="Calibri"/>
                <w:sz w:val="24"/>
                <w:szCs w:val="24"/>
              </w:rPr>
              <w:t>Reported results from the One Health Harmful Algal Bloom System from 2009-2010</w:t>
            </w:r>
          </w:p>
        </w:tc>
        <w:tc>
          <w:tcPr>
            <w:tcW w:w="6607" w:type="dxa"/>
          </w:tcPr>
          <w:p w:rsidR="00F40A02" w:rsidRPr="00635AC2" w:rsidP="00FC6205" w14:paraId="05B0A877" w14:textId="77777777">
            <w:pPr>
              <w:rPr>
                <w:rFonts w:ascii="Calibri" w:eastAsia="AdvOT863180fb" w:hAnsi="Calibri" w:cs="Calibri"/>
                <w:sz w:val="24"/>
                <w:szCs w:val="24"/>
              </w:rPr>
            </w:pPr>
            <w:r w:rsidRPr="00635AC2">
              <w:rPr>
                <w:rFonts w:ascii="Calibri" w:eastAsia="AdvOT863180fb" w:hAnsi="Calibri" w:cs="Calibri"/>
                <w:sz w:val="24"/>
                <w:szCs w:val="24"/>
              </w:rPr>
              <w:t>States reported 11 freshwater HAB-associated illness outbreaks, including 61 illnesses and two hospitalizations.</w:t>
            </w:r>
          </w:p>
        </w:tc>
      </w:tr>
      <w:tr w14:paraId="53879033" w14:textId="77777777" w:rsidTr="003A1F3D">
        <w:tblPrEx>
          <w:tblW w:w="13950" w:type="dxa"/>
          <w:tblInd w:w="-545" w:type="dxa"/>
          <w:tblLook w:val="04A0"/>
        </w:tblPrEx>
        <w:tc>
          <w:tcPr>
            <w:tcW w:w="4948" w:type="dxa"/>
          </w:tcPr>
          <w:p w:rsidR="00F40A02" w:rsidRPr="00635AC2" w:rsidP="00FC6205" w14:paraId="382E584E" w14:textId="77777777">
            <w:pPr>
              <w:widowControl w:val="0"/>
              <w:autoSpaceDE w:val="0"/>
              <w:autoSpaceDN w:val="0"/>
              <w:adjustRightInd w:val="0"/>
              <w:rPr>
                <w:rFonts w:eastAsia="SimSun" w:cs="Calibri"/>
                <w:color w:val="000000"/>
                <w:sz w:val="24"/>
                <w:szCs w:val="24"/>
                <w:lang w:val="it-IT" w:eastAsia="de-DE"/>
              </w:rPr>
            </w:pPr>
            <w:r w:rsidRPr="00635AC2">
              <w:rPr>
                <w:rFonts w:eastAsia="SimSun" w:cs="Calibri"/>
                <w:bCs/>
                <w:sz w:val="24"/>
                <w:szCs w:val="24"/>
                <w:lang w:eastAsia="zh-CN"/>
              </w:rPr>
              <w:t xml:space="preserve">Backer LC, </w:t>
            </w:r>
            <w:r w:rsidRPr="00635AC2">
              <w:rPr>
                <w:rFonts w:eastAsia="SimSun" w:cs="Calibri"/>
                <w:sz w:val="24"/>
                <w:szCs w:val="24"/>
              </w:rPr>
              <w:t>Manassaram</w:t>
            </w:r>
            <w:r w:rsidRPr="00635AC2">
              <w:rPr>
                <w:rFonts w:eastAsia="SimSun" w:cs="Calibri"/>
                <w:sz w:val="24"/>
                <w:szCs w:val="24"/>
              </w:rPr>
              <w:t>-Baptiste</w:t>
            </w:r>
            <w:r w:rsidRPr="00635AC2">
              <w:rPr>
                <w:rFonts w:eastAsia="SimSun" w:cs="Calibri"/>
                <w:sz w:val="24"/>
                <w:szCs w:val="24"/>
                <w:vertAlign w:val="superscript"/>
              </w:rPr>
              <w:t xml:space="preserve"> </w:t>
            </w:r>
            <w:r w:rsidRPr="00635AC2">
              <w:rPr>
                <w:rFonts w:eastAsia="SimSun" w:cs="Calibri"/>
                <w:sz w:val="24"/>
                <w:szCs w:val="24"/>
              </w:rPr>
              <w:t xml:space="preserve">D, </w:t>
            </w:r>
            <w:r w:rsidRPr="00635AC2">
              <w:rPr>
                <w:rFonts w:eastAsia="SimSun" w:cs="Calibri"/>
                <w:sz w:val="24"/>
                <w:szCs w:val="24"/>
              </w:rPr>
              <w:t>LePrell</w:t>
            </w:r>
            <w:r w:rsidRPr="00635AC2">
              <w:rPr>
                <w:rFonts w:eastAsia="SimSun" w:cs="Calibri"/>
                <w:sz w:val="24"/>
                <w:szCs w:val="24"/>
                <w:vertAlign w:val="superscript"/>
              </w:rPr>
              <w:t xml:space="preserve"> </w:t>
            </w:r>
            <w:r w:rsidRPr="00635AC2">
              <w:rPr>
                <w:rFonts w:eastAsia="SimSun" w:cs="Calibri"/>
                <w:sz w:val="24"/>
                <w:szCs w:val="24"/>
              </w:rPr>
              <w:t>R, Bolton B. 2015. Cyanobacteria and Algae Booms and Public Health:  Data from the Harmful Algal Bloom-related Illness Surveillance System (HABISS).  Toxins, 7, 1048-1064. doi:10.3390/toxins7041048</w:t>
            </w:r>
          </w:p>
        </w:tc>
        <w:tc>
          <w:tcPr>
            <w:tcW w:w="2395" w:type="dxa"/>
          </w:tcPr>
          <w:p w:rsidR="00F40A02" w:rsidRPr="00635AC2" w:rsidP="00FC6205" w14:paraId="64FE73C9" w14:textId="77777777">
            <w:pPr>
              <w:rPr>
                <w:rFonts w:ascii="Calibri" w:eastAsia="AdvOT863180fb" w:hAnsi="Calibri" w:cs="Calibri"/>
                <w:sz w:val="24"/>
                <w:szCs w:val="24"/>
              </w:rPr>
            </w:pPr>
            <w:r w:rsidRPr="00635AC2">
              <w:rPr>
                <w:rFonts w:ascii="Calibri" w:eastAsia="AdvOT863180fb" w:hAnsi="Calibri" w:cs="Calibri"/>
                <w:sz w:val="24"/>
                <w:szCs w:val="24"/>
              </w:rPr>
              <w:t>Summarized data collected via the Harmful Algal Bloom-related Illness Surveillance System (HABISS)</w:t>
            </w:r>
          </w:p>
        </w:tc>
        <w:tc>
          <w:tcPr>
            <w:tcW w:w="6607" w:type="dxa"/>
          </w:tcPr>
          <w:p w:rsidR="00F40A02" w:rsidRPr="00635AC2" w:rsidP="00FC6205" w14:paraId="10ACE2DA" w14:textId="77777777">
            <w:pPr>
              <w:rPr>
                <w:rFonts w:ascii="Calibri" w:eastAsia="AdvOT863180fb" w:hAnsi="Calibri" w:cs="Calibri"/>
                <w:sz w:val="24"/>
                <w:szCs w:val="24"/>
              </w:rPr>
            </w:pPr>
            <w:r w:rsidRPr="00635AC2">
              <w:rPr>
                <w:rFonts w:ascii="Calibri" w:eastAsia="AdvOT863180fb" w:hAnsi="Calibri" w:cs="Calibri"/>
                <w:sz w:val="24"/>
                <w:szCs w:val="24"/>
              </w:rPr>
              <w:t>11 states contributed reports for 4534 bloom events, including 458 cases of suspected and confirmed human illnesses and 175 animal morbidity and mortality events from 2007-2011.</w:t>
            </w:r>
          </w:p>
        </w:tc>
      </w:tr>
      <w:tr w14:paraId="004330FD" w14:textId="77777777" w:rsidTr="003A1F3D">
        <w:tblPrEx>
          <w:tblW w:w="13950" w:type="dxa"/>
          <w:tblInd w:w="-545" w:type="dxa"/>
          <w:tblLook w:val="04A0"/>
        </w:tblPrEx>
        <w:tc>
          <w:tcPr>
            <w:tcW w:w="4948" w:type="dxa"/>
          </w:tcPr>
          <w:p w:rsidR="00F40A02" w:rsidRPr="00635AC2" w:rsidP="00FC6205" w14:paraId="12B3C78D" w14:textId="77777777">
            <w:pPr>
              <w:widowControl w:val="0"/>
              <w:autoSpaceDE w:val="0"/>
              <w:autoSpaceDN w:val="0"/>
              <w:adjustRightInd w:val="0"/>
              <w:rPr>
                <w:rFonts w:eastAsia="SimSun" w:cs="Calibri"/>
                <w:color w:val="000000"/>
                <w:sz w:val="24"/>
                <w:szCs w:val="24"/>
                <w:lang w:val="it-IT" w:eastAsia="de-DE"/>
              </w:rPr>
            </w:pPr>
            <w:r w:rsidRPr="00635AC2">
              <w:rPr>
                <w:rFonts w:eastAsia="SimSun" w:cs="Calibri"/>
                <w:sz w:val="24"/>
                <w:szCs w:val="24"/>
                <w:lang w:eastAsia="zh-CN"/>
              </w:rPr>
              <w:t>Lavery</w:t>
            </w:r>
            <w:r w:rsidRPr="00635AC2">
              <w:rPr>
                <w:rFonts w:eastAsia="SimSun" w:cs="Calibri"/>
                <w:sz w:val="24"/>
                <w:szCs w:val="24"/>
                <w:lang w:eastAsia="zh-CN"/>
              </w:rPr>
              <w:t xml:space="preserve"> A, Backer LC, Daniel J. Evaluation of electronic claims data for monitoring exposure to harmful algal blooms in the United States.</w:t>
            </w:r>
            <w:r w:rsidRPr="00635AC2">
              <w:rPr>
                <w:rFonts w:eastAsia="SimSun" w:cs="Calibri"/>
                <w:sz w:val="24"/>
                <w:szCs w:val="24"/>
                <w:lang w:val="en" w:eastAsia="zh-CN"/>
              </w:rPr>
              <w:t xml:space="preserve"> Journal of Environmental Health. 2021;83(9):8-14.</w:t>
            </w:r>
          </w:p>
        </w:tc>
        <w:tc>
          <w:tcPr>
            <w:tcW w:w="2395" w:type="dxa"/>
          </w:tcPr>
          <w:p w:rsidR="00F40A02" w:rsidRPr="00635AC2" w:rsidP="00FC6205" w14:paraId="15FB2998" w14:textId="77777777">
            <w:pPr>
              <w:rPr>
                <w:rFonts w:ascii="Calibri" w:eastAsia="AdvOT863180fb" w:hAnsi="Calibri" w:cs="Calibri"/>
                <w:sz w:val="24"/>
                <w:szCs w:val="24"/>
              </w:rPr>
            </w:pPr>
            <w:r w:rsidRPr="00635AC2">
              <w:rPr>
                <w:rFonts w:ascii="Calibri" w:eastAsia="AdvOT863180fb" w:hAnsi="Calibri" w:cs="Calibri"/>
                <w:sz w:val="24"/>
                <w:szCs w:val="24"/>
              </w:rPr>
              <w:t>Examined the utility of using EHR in combination with bloom data to assess a possibly association.</w:t>
            </w:r>
          </w:p>
        </w:tc>
        <w:tc>
          <w:tcPr>
            <w:tcW w:w="6607" w:type="dxa"/>
          </w:tcPr>
          <w:p w:rsidR="00F40A02" w:rsidRPr="00635AC2" w:rsidP="00FC6205" w14:paraId="5F7756A0" w14:textId="77777777">
            <w:pPr>
              <w:rPr>
                <w:rFonts w:ascii="Calibri" w:eastAsia="AdvOT863180fb" w:hAnsi="Calibri" w:cs="Calibri"/>
                <w:sz w:val="24"/>
                <w:szCs w:val="24"/>
              </w:rPr>
            </w:pPr>
            <w:r w:rsidRPr="00635AC2">
              <w:rPr>
                <w:rFonts w:ascii="Calibri" w:eastAsia="AdvOT863180fb" w:hAnsi="Calibri" w:cs="Calibri"/>
                <w:sz w:val="24"/>
                <w:szCs w:val="24"/>
              </w:rPr>
              <w:t>Although HAB-related diagnostic codes were used infrequently, they were most often recorded during bloom seasons in warmer months.</w:t>
            </w:r>
          </w:p>
        </w:tc>
      </w:tr>
      <w:tr w14:paraId="1EE9418C" w14:textId="77777777" w:rsidTr="003A1F3D">
        <w:tblPrEx>
          <w:tblW w:w="13950" w:type="dxa"/>
          <w:tblInd w:w="-545" w:type="dxa"/>
          <w:tblLook w:val="04A0"/>
        </w:tblPrEx>
        <w:tc>
          <w:tcPr>
            <w:tcW w:w="13950" w:type="dxa"/>
            <w:gridSpan w:val="3"/>
          </w:tcPr>
          <w:p w:rsidR="00F40A02" w:rsidRPr="00635AC2" w:rsidP="00FC6205" w14:paraId="2CBB0CDD" w14:textId="77777777">
            <w:pPr>
              <w:rPr>
                <w:rFonts w:ascii="Calibri" w:eastAsia="AdvOT863180fb" w:hAnsi="Calibri" w:cs="Calibri"/>
                <w:b/>
                <w:bCs/>
                <w:sz w:val="28"/>
                <w:szCs w:val="28"/>
              </w:rPr>
            </w:pPr>
            <w:r w:rsidRPr="00635AC2">
              <w:rPr>
                <w:rFonts w:ascii="Calibri" w:eastAsia="AdvOT863180fb" w:hAnsi="Calibri" w:cs="Calibri"/>
                <w:b/>
                <w:bCs/>
                <w:sz w:val="28"/>
                <w:szCs w:val="28"/>
              </w:rPr>
              <w:t>Seaweed HABs</w:t>
            </w:r>
          </w:p>
        </w:tc>
      </w:tr>
      <w:tr w14:paraId="66C05670" w14:textId="77777777" w:rsidTr="003A1F3D">
        <w:tblPrEx>
          <w:tblW w:w="13950" w:type="dxa"/>
          <w:tblInd w:w="-545" w:type="dxa"/>
          <w:tblLook w:val="04A0"/>
        </w:tblPrEx>
        <w:tc>
          <w:tcPr>
            <w:tcW w:w="4948" w:type="dxa"/>
          </w:tcPr>
          <w:p w:rsidR="00F40A02" w:rsidRPr="00635AC2" w:rsidP="00FC6205" w14:paraId="75844FC1" w14:textId="77777777">
            <w:pPr>
              <w:spacing w:beforeAutospacing="1" w:afterAutospacing="1"/>
              <w:rPr>
                <w:rFonts w:ascii="Open Sans" w:hAnsi="Open Sans" w:cs="Open Sans"/>
                <w:color w:val="333333"/>
              </w:rPr>
            </w:pPr>
            <w:r w:rsidRPr="00635AC2">
              <w:rPr>
                <w:rFonts w:ascii="Calibri" w:eastAsia="AdvOT863180fb" w:hAnsi="Calibri" w:cs="Calibri"/>
                <w:sz w:val="24"/>
                <w:szCs w:val="24"/>
              </w:rPr>
              <w:t>Resiere</w:t>
            </w:r>
            <w:r w:rsidRPr="00635AC2">
              <w:rPr>
                <w:rFonts w:ascii="Calibri" w:eastAsia="AdvOT863180fb" w:hAnsi="Calibri" w:cs="Calibri"/>
                <w:sz w:val="24"/>
                <w:szCs w:val="24"/>
              </w:rPr>
              <w:t xml:space="preserve"> D, </w:t>
            </w:r>
            <w:r w:rsidRPr="00635AC2">
              <w:rPr>
                <w:rFonts w:ascii="Calibri" w:eastAsia="AdvOT863180fb" w:hAnsi="Calibri" w:cs="Calibri"/>
                <w:sz w:val="24"/>
                <w:szCs w:val="24"/>
              </w:rPr>
              <w:t>Mehdaoui</w:t>
            </w:r>
            <w:r w:rsidRPr="00635AC2">
              <w:rPr>
                <w:rFonts w:ascii="Calibri" w:eastAsia="AdvOT863180fb" w:hAnsi="Calibri" w:cs="Calibri"/>
                <w:sz w:val="24"/>
                <w:szCs w:val="24"/>
              </w:rPr>
              <w:t xml:space="preserve"> H, </w:t>
            </w:r>
            <w:r w:rsidRPr="00635AC2">
              <w:rPr>
                <w:rFonts w:ascii="Calibri" w:eastAsia="AdvOT863180fb" w:hAnsi="Calibri" w:cs="Calibri"/>
                <w:sz w:val="24"/>
                <w:szCs w:val="24"/>
              </w:rPr>
              <w:t>Florentin</w:t>
            </w:r>
            <w:r w:rsidRPr="00635AC2">
              <w:rPr>
                <w:rFonts w:ascii="Calibri" w:eastAsia="AdvOT863180fb" w:hAnsi="Calibri" w:cs="Calibri"/>
                <w:sz w:val="24"/>
                <w:szCs w:val="24"/>
              </w:rPr>
              <w:t xml:space="preserve"> J, </w:t>
            </w:r>
            <w:r w:rsidRPr="00635AC2">
              <w:rPr>
                <w:rFonts w:ascii="Calibri" w:eastAsia="AdvOT863180fb" w:hAnsi="Calibri" w:cs="Calibri"/>
                <w:sz w:val="24"/>
                <w:szCs w:val="24"/>
              </w:rPr>
              <w:t>Gueye</w:t>
            </w:r>
            <w:r w:rsidRPr="00635AC2">
              <w:rPr>
                <w:rFonts w:ascii="Calibri" w:eastAsia="AdvOT863180fb" w:hAnsi="Calibri" w:cs="Calibri"/>
                <w:sz w:val="24"/>
                <w:szCs w:val="24"/>
              </w:rPr>
              <w:t xml:space="preserve"> P, Lebrun T, </w:t>
            </w:r>
            <w:r w:rsidRPr="00635AC2">
              <w:rPr>
                <w:rFonts w:ascii="Calibri" w:eastAsia="AdvOT863180fb" w:hAnsi="Calibri" w:cs="Calibri"/>
                <w:sz w:val="24"/>
                <w:szCs w:val="24"/>
              </w:rPr>
              <w:t>Blateau</w:t>
            </w:r>
            <w:r w:rsidRPr="00635AC2">
              <w:rPr>
                <w:rFonts w:ascii="Calibri" w:eastAsia="AdvOT863180fb" w:hAnsi="Calibri" w:cs="Calibri"/>
                <w:sz w:val="24"/>
                <w:szCs w:val="24"/>
              </w:rPr>
              <w:t xml:space="preserve"> A et al. Sargassum seaweed health menace in the Caribbean: clinical characteristics of a population exposed to hydrogen sulfide during the 2018 massive stranding. Clinical Toxicology. 2020;59(3):215-223.</w:t>
            </w:r>
            <w:r w:rsidRPr="00635AC2">
              <w:rPr>
                <w:rFonts w:ascii="Open Sans" w:hAnsi="Open Sans" w:cs="Open Sans"/>
                <w:color w:val="333333"/>
                <w:sz w:val="24"/>
                <w:szCs w:val="24"/>
              </w:rPr>
              <w:t xml:space="preserve"> </w:t>
            </w:r>
            <w:hyperlink r:id="rId4" w:history="1">
              <w:r w:rsidRPr="00635AC2">
                <w:rPr>
                  <w:rFonts w:ascii="Open Sans" w:hAnsi="Open Sans" w:cs="Open Sans"/>
                  <w:color w:val="006DB4"/>
                  <w:u w:val="single"/>
                </w:rPr>
                <w:t>https://doi.org/10.1080/15563650.2020.1789162</w:t>
              </w:r>
            </w:hyperlink>
          </w:p>
        </w:tc>
        <w:tc>
          <w:tcPr>
            <w:tcW w:w="2395" w:type="dxa"/>
          </w:tcPr>
          <w:p w:rsidR="00F40A02" w:rsidRPr="00635AC2" w:rsidP="00FC6205" w14:paraId="6FF48C48" w14:textId="77777777">
            <w:pPr>
              <w:rPr>
                <w:rFonts w:ascii="Calibri" w:eastAsia="AdvOT863180fb" w:hAnsi="Calibri" w:cs="Calibri"/>
                <w:sz w:val="24"/>
                <w:szCs w:val="24"/>
              </w:rPr>
            </w:pPr>
            <w:r w:rsidRPr="00635AC2">
              <w:rPr>
                <w:rFonts w:ascii="Calibri" w:eastAsia="AdvOT863180fb" w:hAnsi="Calibri" w:cs="Calibri"/>
                <w:sz w:val="24"/>
                <w:szCs w:val="24"/>
              </w:rPr>
              <w:t xml:space="preserve">Data analysis using 154 patient records, H2S concentration estimates based on measurements temporal and geographic distribution of </w:t>
            </w:r>
            <w:r w:rsidRPr="00635AC2">
              <w:rPr>
                <w:rFonts w:ascii="Calibri" w:eastAsia="AdvOT863180fb" w:hAnsi="Calibri" w:cs="Calibri"/>
                <w:sz w:val="24"/>
                <w:szCs w:val="24"/>
              </w:rPr>
              <w:t>sargassum seaweed stranding in Martinique.</w:t>
            </w:r>
          </w:p>
          <w:p w:rsidR="00F40A02" w:rsidRPr="00635AC2" w:rsidP="00FC6205" w14:paraId="13B69906" w14:textId="77777777">
            <w:pPr>
              <w:rPr>
                <w:rFonts w:ascii="Calibri" w:eastAsia="AdvOT863180fb" w:hAnsi="Calibri" w:cs="Calibri"/>
                <w:sz w:val="24"/>
                <w:szCs w:val="24"/>
              </w:rPr>
            </w:pPr>
            <w:r w:rsidRPr="00635AC2">
              <w:rPr>
                <w:rFonts w:ascii="Calibri" w:eastAsia="AdvOT863180fb" w:hAnsi="Calibri" w:cs="Calibri"/>
                <w:sz w:val="24"/>
                <w:szCs w:val="24"/>
              </w:rPr>
              <w:t>The toxicologic syndrome associated with sargassum seaweed exposure (hospital visits) is close to the toxidrome associated with H2 exposure (0-10 ppm). Included neurologic, digestive, and respiratory symptoms.</w:t>
            </w:r>
          </w:p>
        </w:tc>
        <w:tc>
          <w:tcPr>
            <w:tcW w:w="6607" w:type="dxa"/>
          </w:tcPr>
          <w:p w:rsidR="00F40A02" w:rsidRPr="00635AC2" w:rsidP="00FC6205" w14:paraId="5F194030" w14:textId="77777777">
            <w:pPr>
              <w:rPr>
                <w:rFonts w:ascii="Calibri" w:eastAsia="AdvOT863180fb" w:hAnsi="Calibri" w:cs="Calibri"/>
                <w:sz w:val="24"/>
                <w:szCs w:val="24"/>
              </w:rPr>
            </w:pPr>
            <w:r w:rsidRPr="00635AC2">
              <w:rPr>
                <w:rFonts w:ascii="Calibri" w:eastAsia="AdvOT863180fb" w:hAnsi="Calibri" w:cs="Calibri"/>
                <w:sz w:val="24"/>
                <w:szCs w:val="24"/>
              </w:rPr>
              <w:t>Public health impacts from sargassum strandings likely associated with by-product gases released as the bloom material rots on the beaches.</w:t>
            </w:r>
          </w:p>
        </w:tc>
      </w:tr>
    </w:tbl>
    <w:p w:rsidR="00F40A02" w:rsidRPr="00635AC2" w:rsidP="00F40A02" w14:paraId="7BC10131" w14:textId="77777777">
      <w:pPr>
        <w:spacing w:after="0" w:line="240" w:lineRule="auto"/>
        <w:rPr>
          <w:rFonts w:ascii="Calibri" w:eastAsia="AdvOT863180fb" w:hAnsi="Calibri" w:cs="Calibri"/>
          <w:sz w:val="24"/>
          <w:szCs w:val="24"/>
        </w:rPr>
      </w:pPr>
    </w:p>
    <w:p w:rsidR="00F40A02" w:rsidRPr="00635AC2" w:rsidP="00F40A02" w14:paraId="3657B454" w14:textId="77777777">
      <w:pPr>
        <w:spacing w:after="0" w:line="240" w:lineRule="auto"/>
        <w:rPr>
          <w:rFonts w:ascii="Calibri" w:eastAsia="AdvOT863180fb" w:hAnsi="Calibri" w:cs="Calibri"/>
          <w:sz w:val="24"/>
          <w:szCs w:val="24"/>
        </w:rPr>
      </w:pPr>
    </w:p>
    <w:p w:rsidR="00F40A02" w:rsidP="00F40A02" w14:paraId="5DADDA59" w14:textId="77777777">
      <w:pPr>
        <w:autoSpaceDE w:val="0"/>
        <w:autoSpaceDN w:val="0"/>
        <w:adjustRightInd w:val="0"/>
        <w:rPr>
          <w:rFonts w:cstheme="minorHAnsi"/>
        </w:rPr>
      </w:pPr>
    </w:p>
    <w:p w:rsidR="00F40A02" w:rsidP="00F40A02" w14:paraId="719E6E62" w14:textId="77777777">
      <w:pPr>
        <w:autoSpaceDE w:val="0"/>
        <w:autoSpaceDN w:val="0"/>
        <w:adjustRightInd w:val="0"/>
        <w:rPr>
          <w:rFonts w:cstheme="minorHAnsi"/>
        </w:rPr>
      </w:pPr>
    </w:p>
    <w:p w:rsidR="006840F2" w14:paraId="12CB87D2" w14:textId="77777777"/>
    <w:sectPr w:rsidSect="00A27C0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dvOT863180fb">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02"/>
    <w:rsid w:val="003A1F3D"/>
    <w:rsid w:val="004307D7"/>
    <w:rsid w:val="00635AC2"/>
    <w:rsid w:val="006840F2"/>
    <w:rsid w:val="00A27C0B"/>
    <w:rsid w:val="00AC64ED"/>
    <w:rsid w:val="00F3170B"/>
    <w:rsid w:val="00F40A02"/>
    <w:rsid w:val="00FC620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994623"/>
  <w15:chartTrackingRefBased/>
  <w15:docId w15:val="{E0C60C26-A7F7-4B54-A746-6CA282C3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A02"/>
    <w:pPr>
      <w:spacing w:after="120" w:line="264"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F40A02"/>
    <w:rPr>
      <w:sz w:val="16"/>
      <w:szCs w:val="16"/>
    </w:rPr>
  </w:style>
  <w:style w:type="paragraph" w:styleId="CommentText">
    <w:name w:val="annotation text"/>
    <w:basedOn w:val="Normal"/>
    <w:link w:val="CommentTextChar"/>
    <w:uiPriority w:val="99"/>
    <w:unhideWhenUsed/>
    <w:rsid w:val="00F40A02"/>
    <w:pPr>
      <w:spacing w:line="240" w:lineRule="auto"/>
    </w:pPr>
    <w:rPr>
      <w:sz w:val="20"/>
      <w:szCs w:val="20"/>
    </w:rPr>
  </w:style>
  <w:style w:type="character" w:customStyle="1" w:styleId="CommentTextChar">
    <w:name w:val="Comment Text Char"/>
    <w:basedOn w:val="DefaultParagraphFont"/>
    <w:link w:val="CommentText"/>
    <w:uiPriority w:val="99"/>
    <w:rsid w:val="00F40A02"/>
    <w:rPr>
      <w:rFonts w:eastAsiaTheme="minorEastAsia"/>
      <w:sz w:val="20"/>
      <w:szCs w:val="20"/>
    </w:rPr>
  </w:style>
  <w:style w:type="table" w:customStyle="1" w:styleId="TableGrid3">
    <w:name w:val="Table Grid3"/>
    <w:basedOn w:val="TableNormal"/>
    <w:next w:val="TableGrid"/>
    <w:uiPriority w:val="39"/>
    <w:rsid w:val="00F40A0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40A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A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0A02"/>
    <w:rPr>
      <w:rFonts w:eastAsiaTheme="minorEastAsia"/>
      <w:sz w:val="21"/>
      <w:szCs w:val="21"/>
    </w:rPr>
  </w:style>
  <w:style w:type="paragraph" w:styleId="Footer">
    <w:name w:val="footer"/>
    <w:basedOn w:val="Normal"/>
    <w:link w:val="FooterChar"/>
    <w:uiPriority w:val="99"/>
    <w:unhideWhenUsed/>
    <w:rsid w:val="00F40A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0A02"/>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oi.org/10.1080/15563650.2020.1789162"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NCEH/ATSDR Office of Science</dc:creator>
  <cp:lastModifiedBy>NCEH/ATSDR Office of Science</cp:lastModifiedBy>
  <cp:revision>1</cp:revision>
  <dcterms:created xsi:type="dcterms:W3CDTF">2023-12-27T20:35:00Z</dcterms:created>
  <dcterms:modified xsi:type="dcterms:W3CDTF">2023-12-27T22:31:00Z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8ecf1bd6-7022-4f70-8439-8a2af3c381cc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2023-12-27T22:31:58Z</vt:lpwstr>
  </property>
  <property fmtid="{D5CDD505-2E9C-101B-9397-08002B2CF9AE}" pid="8" name="MSIP_Label_7b94a7b8-f06c-4dfe-bdcc-9b548fd58c31_SiteId">
    <vt:lpwstr>9ce70869-60db-44fd-abe8-d2767077fc8f</vt:lpwstr>
  </property>
</Properties>
</file>