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09A" w:rsidP="00CD4C18" w14:paraId="0F722F35" w14:textId="407B035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SUPPORTING STATEMENT</w:t>
      </w:r>
      <w:r w:rsidR="00864DC4">
        <w:rPr>
          <w:rFonts w:ascii="Times New Roman" w:hAnsi="Times New Roman"/>
          <w:b/>
          <w:bCs/>
          <w:color w:val="000000"/>
          <w:sz w:val="24"/>
          <w:szCs w:val="24"/>
        </w:rPr>
        <w:t xml:space="preserve"> A </w:t>
      </w:r>
    </w:p>
    <w:p w:rsidR="00CB509A" w:rsidP="00CD4C18" w14:paraId="2A89B855"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MATERNAL AND CHILD HEALTH SERVICES BLOCK GRANT</w:t>
      </w:r>
    </w:p>
    <w:p w:rsidR="00CB509A" w:rsidP="00CD4C18" w14:paraId="00715193"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APPLICATION</w:t>
      </w:r>
      <w:r w:rsidR="000934B7">
        <w:rPr>
          <w:rFonts w:ascii="Times New Roman" w:hAnsi="Times New Roman"/>
          <w:b/>
          <w:bCs/>
          <w:color w:val="000000"/>
          <w:sz w:val="24"/>
          <w:szCs w:val="24"/>
        </w:rPr>
        <w:t>/ANNUAL REPORT</w:t>
      </w:r>
      <w:r>
        <w:rPr>
          <w:rFonts w:ascii="Times New Roman" w:hAnsi="Times New Roman"/>
          <w:b/>
          <w:bCs/>
          <w:color w:val="000000"/>
          <w:sz w:val="24"/>
          <w:szCs w:val="24"/>
        </w:rPr>
        <w:t xml:space="preserve"> GUIDANCE</w:t>
      </w:r>
    </w:p>
    <w:p w:rsidR="003B3A12" w:rsidP="00CD4C18" w14:paraId="16532CD4" w14:textId="77777777">
      <w:pPr>
        <w:autoSpaceDE w:val="0"/>
        <w:autoSpaceDN w:val="0"/>
        <w:adjustRightInd w:val="0"/>
        <w:spacing w:after="0" w:line="240" w:lineRule="auto"/>
        <w:jc w:val="center"/>
        <w:rPr>
          <w:rFonts w:ascii="Times New Roman" w:hAnsi="Times New Roman"/>
          <w:b/>
          <w:bCs/>
          <w:color w:val="000000"/>
          <w:sz w:val="24"/>
          <w:szCs w:val="24"/>
        </w:rPr>
      </w:pPr>
    </w:p>
    <w:p w:rsidR="003B3A12" w:rsidP="00CD4C18" w14:paraId="0FEB6BE1" w14:textId="7A7B79D2">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OMB </w:t>
      </w:r>
      <w:r w:rsidR="00F9236F">
        <w:rPr>
          <w:rFonts w:ascii="Times New Roman" w:hAnsi="Times New Roman"/>
          <w:b/>
          <w:bCs/>
          <w:color w:val="000000"/>
          <w:sz w:val="24"/>
          <w:szCs w:val="24"/>
        </w:rPr>
        <w:t>Control</w:t>
      </w:r>
      <w:r>
        <w:rPr>
          <w:rFonts w:ascii="Times New Roman" w:hAnsi="Times New Roman"/>
          <w:b/>
          <w:bCs/>
          <w:color w:val="000000"/>
          <w:sz w:val="24"/>
          <w:szCs w:val="24"/>
        </w:rPr>
        <w:t xml:space="preserve"> No. </w:t>
      </w:r>
      <w:r>
        <w:rPr>
          <w:rFonts w:ascii="Times New Roman" w:hAnsi="Times New Roman"/>
          <w:b/>
          <w:bCs/>
          <w:color w:val="000000"/>
          <w:sz w:val="24"/>
          <w:szCs w:val="24"/>
        </w:rPr>
        <w:t>0915-0172</w:t>
      </w:r>
      <w:r w:rsidR="00535A04">
        <w:rPr>
          <w:rFonts w:ascii="Times New Roman" w:hAnsi="Times New Roman"/>
          <w:b/>
          <w:bCs/>
          <w:color w:val="000000"/>
          <w:sz w:val="24"/>
          <w:szCs w:val="24"/>
        </w:rPr>
        <w:t xml:space="preserve"> </w:t>
      </w:r>
      <w:r>
        <w:rPr>
          <w:rFonts w:ascii="Times New Roman" w:hAnsi="Times New Roman"/>
          <w:b/>
          <w:bCs/>
          <w:color w:val="000000"/>
          <w:sz w:val="24"/>
          <w:szCs w:val="24"/>
        </w:rPr>
        <w:t>Revision</w:t>
      </w:r>
    </w:p>
    <w:p w:rsidR="00C7008A" w:rsidP="00CD4C18" w14:paraId="6DFD640C" w14:textId="5CA603B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We are requesting the OMB Number of this Information Collection is 0906-0172</w:t>
      </w:r>
    </w:p>
    <w:p w:rsidR="00CD4C18" w:rsidP="00CD4C18" w14:paraId="559651D1" w14:textId="77777777">
      <w:pPr>
        <w:autoSpaceDE w:val="0"/>
        <w:autoSpaceDN w:val="0"/>
        <w:adjustRightInd w:val="0"/>
        <w:spacing w:after="0" w:line="240" w:lineRule="auto"/>
        <w:jc w:val="center"/>
        <w:rPr>
          <w:rFonts w:ascii="Times New Roman" w:hAnsi="Times New Roman"/>
          <w:b/>
          <w:bCs/>
          <w:color w:val="000000"/>
          <w:sz w:val="24"/>
          <w:szCs w:val="24"/>
        </w:rPr>
      </w:pPr>
    </w:p>
    <w:p w:rsidR="009F69BE" w14:paraId="02CDB488" w14:textId="7777777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 Justification</w:t>
      </w:r>
    </w:p>
    <w:p w:rsidR="009F69BE" w14:paraId="289368ED" w14:textId="77777777">
      <w:pPr>
        <w:autoSpaceDE w:val="0"/>
        <w:autoSpaceDN w:val="0"/>
        <w:adjustRightInd w:val="0"/>
        <w:spacing w:after="0" w:line="240" w:lineRule="auto"/>
        <w:rPr>
          <w:rFonts w:ascii="Times New Roman" w:hAnsi="Times New Roman"/>
          <w:b/>
          <w:bCs/>
          <w:color w:val="000000"/>
          <w:sz w:val="24"/>
          <w:szCs w:val="24"/>
        </w:rPr>
      </w:pPr>
    </w:p>
    <w:p w:rsidR="00CB509A" w:rsidRPr="001E78DC" w:rsidP="00C50D5F" w14:paraId="3A2D0353" w14:textId="31B0AC2F">
      <w:pPr>
        <w:pStyle w:val="ListParagraph"/>
        <w:numPr>
          <w:ilvl w:val="0"/>
          <w:numId w:val="1"/>
        </w:numPr>
        <w:autoSpaceDE w:val="0"/>
        <w:autoSpaceDN w:val="0"/>
        <w:adjustRightInd w:val="0"/>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t>Circumstances Making the Collection of Information Necessary</w:t>
      </w:r>
      <w:r w:rsidRPr="001E78DC">
        <w:rPr>
          <w:rFonts w:ascii="Times New Roman" w:hAnsi="Times New Roman"/>
          <w:b/>
          <w:bCs/>
          <w:color w:val="000000"/>
          <w:sz w:val="24"/>
          <w:szCs w:val="24"/>
          <w:u w:val="single"/>
        </w:rPr>
        <w:t xml:space="preserve"> </w:t>
      </w:r>
    </w:p>
    <w:p w:rsidR="0013243B" w:rsidP="000934B7" w14:paraId="6BE54C9C" w14:textId="77777777">
      <w:pPr>
        <w:autoSpaceDE w:val="0"/>
        <w:autoSpaceDN w:val="0"/>
        <w:adjustRightInd w:val="0"/>
        <w:spacing w:after="0" w:line="240" w:lineRule="auto"/>
        <w:ind w:left="720"/>
        <w:rPr>
          <w:rFonts w:ascii="Times New Roman" w:hAnsi="Times New Roman"/>
          <w:color w:val="000000"/>
          <w:sz w:val="24"/>
          <w:szCs w:val="24"/>
        </w:rPr>
      </w:pPr>
    </w:p>
    <w:p w:rsidR="00F33A96" w:rsidP="000934B7" w14:paraId="56B8E51F" w14:textId="197A9B04">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This submission is a request for </w:t>
      </w:r>
      <w:r w:rsidR="00C23AB5">
        <w:rPr>
          <w:rFonts w:ascii="Times New Roman" w:hAnsi="Times New Roman"/>
          <w:color w:val="000000"/>
          <w:sz w:val="24"/>
          <w:szCs w:val="24"/>
        </w:rPr>
        <w:t>Office of Management and Budget (</w:t>
      </w:r>
      <w:r>
        <w:rPr>
          <w:rFonts w:ascii="Times New Roman" w:hAnsi="Times New Roman"/>
          <w:color w:val="000000"/>
          <w:sz w:val="24"/>
          <w:szCs w:val="24"/>
        </w:rPr>
        <w:t>OMB</w:t>
      </w:r>
      <w:r w:rsidR="00C23AB5">
        <w:rPr>
          <w:rFonts w:ascii="Times New Roman" w:hAnsi="Times New Roman"/>
          <w:color w:val="000000"/>
          <w:sz w:val="24"/>
          <w:szCs w:val="24"/>
        </w:rPr>
        <w:t>)</w:t>
      </w:r>
      <w:r>
        <w:rPr>
          <w:rFonts w:ascii="Times New Roman" w:hAnsi="Times New Roman"/>
          <w:color w:val="000000"/>
          <w:sz w:val="24"/>
          <w:szCs w:val="24"/>
        </w:rPr>
        <w:t xml:space="preserve"> </w:t>
      </w:r>
      <w:r w:rsidR="003B3A12">
        <w:rPr>
          <w:rFonts w:ascii="Times New Roman" w:hAnsi="Times New Roman"/>
          <w:color w:val="000000"/>
          <w:sz w:val="24"/>
          <w:szCs w:val="24"/>
        </w:rPr>
        <w:t xml:space="preserve">continued </w:t>
      </w:r>
      <w:r>
        <w:rPr>
          <w:rFonts w:ascii="Times New Roman" w:hAnsi="Times New Roman"/>
          <w:color w:val="000000"/>
          <w:sz w:val="24"/>
          <w:szCs w:val="24"/>
        </w:rPr>
        <w:t xml:space="preserve">approval of the </w:t>
      </w:r>
      <w:r w:rsidR="004D01B6">
        <w:rPr>
          <w:rFonts w:ascii="Times New Roman" w:hAnsi="Times New Roman"/>
          <w:color w:val="000000"/>
          <w:sz w:val="24"/>
          <w:szCs w:val="24"/>
        </w:rPr>
        <w:t xml:space="preserve">updated </w:t>
      </w:r>
      <w:r w:rsidR="00D200E9">
        <w:rPr>
          <w:rFonts w:ascii="Times New Roman" w:hAnsi="Times New Roman"/>
          <w:color w:val="000000"/>
          <w:sz w:val="24"/>
          <w:szCs w:val="24"/>
        </w:rPr>
        <w:t>Application/Annual Report G</w:t>
      </w:r>
      <w:r>
        <w:rPr>
          <w:rFonts w:ascii="Times New Roman" w:hAnsi="Times New Roman"/>
          <w:color w:val="000000"/>
          <w:sz w:val="24"/>
          <w:szCs w:val="24"/>
        </w:rPr>
        <w:t>uidance</w:t>
      </w:r>
      <w:r w:rsidR="000B66A9">
        <w:rPr>
          <w:rFonts w:ascii="Times New Roman" w:hAnsi="Times New Roman"/>
          <w:color w:val="000000"/>
          <w:sz w:val="24"/>
          <w:szCs w:val="24"/>
        </w:rPr>
        <w:t xml:space="preserve"> for the Maternal and Child Health (MCH) Services Block Grant</w:t>
      </w:r>
      <w:r w:rsidR="009A29A6">
        <w:rPr>
          <w:rFonts w:ascii="Times New Roman" w:hAnsi="Times New Roman"/>
          <w:color w:val="000000"/>
          <w:sz w:val="24"/>
          <w:szCs w:val="24"/>
        </w:rPr>
        <w:t xml:space="preserve"> (hereafter referred to as </w:t>
      </w:r>
      <w:r w:rsidR="00EB31E0">
        <w:rPr>
          <w:rFonts w:ascii="Times New Roman" w:hAnsi="Times New Roman"/>
          <w:color w:val="000000"/>
          <w:sz w:val="24"/>
          <w:szCs w:val="24"/>
        </w:rPr>
        <w:t xml:space="preserve">the </w:t>
      </w:r>
      <w:r w:rsidR="009A29A6">
        <w:rPr>
          <w:rFonts w:ascii="Times New Roman" w:hAnsi="Times New Roman"/>
          <w:color w:val="000000"/>
          <w:sz w:val="24"/>
          <w:szCs w:val="24"/>
        </w:rPr>
        <w:t>MCH Block Grant)</w:t>
      </w:r>
      <w:r w:rsidR="000B66A9">
        <w:rPr>
          <w:rFonts w:ascii="Times New Roman" w:hAnsi="Times New Roman"/>
          <w:color w:val="000000"/>
          <w:sz w:val="24"/>
          <w:szCs w:val="24"/>
        </w:rPr>
        <w:t>.</w:t>
      </w:r>
      <w:r w:rsidR="00535A04">
        <w:rPr>
          <w:rFonts w:ascii="Times New Roman" w:hAnsi="Times New Roman"/>
          <w:color w:val="000000"/>
          <w:sz w:val="24"/>
          <w:szCs w:val="24"/>
        </w:rPr>
        <w:t xml:space="preserve"> </w:t>
      </w:r>
      <w:r w:rsidR="000B66A9">
        <w:rPr>
          <w:rFonts w:ascii="Times New Roman" w:hAnsi="Times New Roman"/>
          <w:color w:val="000000"/>
          <w:sz w:val="24"/>
          <w:szCs w:val="24"/>
        </w:rPr>
        <w:t xml:space="preserve">This Guidance </w:t>
      </w:r>
      <w:r w:rsidR="00B94F3D">
        <w:rPr>
          <w:rFonts w:ascii="Times New Roman" w:hAnsi="Times New Roman"/>
          <w:color w:val="000000"/>
          <w:sz w:val="24"/>
          <w:szCs w:val="24"/>
        </w:rPr>
        <w:t xml:space="preserve">will </w:t>
      </w:r>
      <w:r>
        <w:rPr>
          <w:rFonts w:ascii="Times New Roman" w:hAnsi="Times New Roman"/>
          <w:color w:val="000000"/>
          <w:sz w:val="24"/>
          <w:szCs w:val="24"/>
        </w:rPr>
        <w:t>be used by the 50</w:t>
      </w:r>
      <w:r w:rsidR="000934B7">
        <w:rPr>
          <w:rFonts w:ascii="Times New Roman" w:hAnsi="Times New Roman"/>
          <w:color w:val="000000"/>
          <w:sz w:val="24"/>
          <w:szCs w:val="24"/>
        </w:rPr>
        <w:t xml:space="preserve"> </w:t>
      </w:r>
      <w:r w:rsidR="00892B79">
        <w:rPr>
          <w:rFonts w:ascii="Times New Roman" w:hAnsi="Times New Roman"/>
          <w:color w:val="000000"/>
          <w:sz w:val="24"/>
          <w:szCs w:val="24"/>
        </w:rPr>
        <w:t>s</w:t>
      </w:r>
      <w:r>
        <w:rPr>
          <w:rFonts w:ascii="Times New Roman" w:hAnsi="Times New Roman"/>
          <w:color w:val="000000"/>
          <w:sz w:val="24"/>
          <w:szCs w:val="24"/>
        </w:rPr>
        <w:t>tates and</w:t>
      </w:r>
      <w:r w:rsidR="000B66A9">
        <w:rPr>
          <w:rFonts w:ascii="Times New Roman" w:hAnsi="Times New Roman"/>
          <w:color w:val="000000"/>
          <w:sz w:val="24"/>
          <w:szCs w:val="24"/>
        </w:rPr>
        <w:t xml:space="preserve"> </w:t>
      </w:r>
      <w:r w:rsidR="008447BC">
        <w:rPr>
          <w:rFonts w:ascii="Times New Roman" w:hAnsi="Times New Roman"/>
          <w:color w:val="000000"/>
          <w:sz w:val="24"/>
          <w:szCs w:val="24"/>
        </w:rPr>
        <w:t xml:space="preserve">nine (9) </w:t>
      </w:r>
      <w:r>
        <w:rPr>
          <w:rFonts w:ascii="Times New Roman" w:hAnsi="Times New Roman"/>
          <w:color w:val="000000"/>
          <w:sz w:val="24"/>
          <w:szCs w:val="24"/>
        </w:rPr>
        <w:t xml:space="preserve">jurisdictions </w:t>
      </w:r>
      <w:r w:rsidR="000B66A9">
        <w:rPr>
          <w:rFonts w:ascii="Times New Roman" w:hAnsi="Times New Roman"/>
          <w:color w:val="000000"/>
          <w:sz w:val="24"/>
          <w:szCs w:val="24"/>
        </w:rPr>
        <w:t>(</w:t>
      </w:r>
      <w:r w:rsidR="009A29A6">
        <w:rPr>
          <w:rFonts w:ascii="Times New Roman" w:hAnsi="Times New Roman"/>
          <w:color w:val="000000"/>
          <w:sz w:val="24"/>
          <w:szCs w:val="24"/>
        </w:rPr>
        <w:t xml:space="preserve">hereafter referred to as </w:t>
      </w:r>
      <w:r w:rsidR="000B66A9">
        <w:rPr>
          <w:rFonts w:ascii="Times New Roman" w:hAnsi="Times New Roman"/>
          <w:color w:val="000000"/>
          <w:sz w:val="24"/>
          <w:szCs w:val="24"/>
        </w:rPr>
        <w:t xml:space="preserve">“states”) </w:t>
      </w:r>
      <w:r>
        <w:rPr>
          <w:rFonts w:ascii="Times New Roman" w:hAnsi="Times New Roman"/>
          <w:color w:val="000000"/>
          <w:sz w:val="24"/>
          <w:szCs w:val="24"/>
        </w:rPr>
        <w:t xml:space="preserve">eligible </w:t>
      </w:r>
      <w:r w:rsidR="000B66A9">
        <w:rPr>
          <w:rFonts w:ascii="Times New Roman" w:hAnsi="Times New Roman"/>
          <w:color w:val="000000"/>
          <w:sz w:val="24"/>
          <w:szCs w:val="24"/>
        </w:rPr>
        <w:t xml:space="preserve">for </w:t>
      </w:r>
      <w:r w:rsidR="00892B79">
        <w:rPr>
          <w:rFonts w:ascii="Times New Roman" w:hAnsi="Times New Roman"/>
          <w:color w:val="000000"/>
          <w:sz w:val="24"/>
          <w:szCs w:val="24"/>
        </w:rPr>
        <w:t>s</w:t>
      </w:r>
      <w:r>
        <w:rPr>
          <w:rFonts w:ascii="Times New Roman" w:hAnsi="Times New Roman"/>
          <w:color w:val="000000"/>
          <w:sz w:val="24"/>
          <w:szCs w:val="24"/>
        </w:rPr>
        <w:t>tate formula grants</w:t>
      </w:r>
      <w:r w:rsidR="00A50496">
        <w:rPr>
          <w:rFonts w:ascii="Times New Roman" w:hAnsi="Times New Roman"/>
          <w:color w:val="000000"/>
          <w:sz w:val="24"/>
          <w:szCs w:val="24"/>
        </w:rPr>
        <w:t xml:space="preserve">, as </w:t>
      </w:r>
      <w:r w:rsidR="000B66A9">
        <w:rPr>
          <w:rFonts w:ascii="Times New Roman" w:hAnsi="Times New Roman"/>
          <w:color w:val="000000"/>
          <w:sz w:val="24"/>
          <w:szCs w:val="24"/>
        </w:rPr>
        <w:t>authorized by Section 501 of Title V of the Social Security Act (the Act), PL 101-239</w:t>
      </w:r>
      <w:r w:rsidRPr="0010651C" w:rsidR="000B66A9">
        <w:rPr>
          <w:rFonts w:ascii="Times New Roman" w:hAnsi="Times New Roman"/>
          <w:color w:val="000000"/>
          <w:sz w:val="24"/>
          <w:szCs w:val="24"/>
        </w:rPr>
        <w:t>.</w:t>
      </w:r>
      <w:r w:rsidR="00535A04">
        <w:rPr>
          <w:rFonts w:ascii="Times New Roman" w:hAnsi="Times New Roman"/>
          <w:color w:val="000000"/>
          <w:sz w:val="24"/>
          <w:szCs w:val="24"/>
        </w:rPr>
        <w:t xml:space="preserve"> </w:t>
      </w:r>
      <w:r w:rsidR="0010651C">
        <w:rPr>
          <w:rFonts w:ascii="Times New Roman" w:hAnsi="Times New Roman"/>
          <w:color w:val="000000"/>
          <w:sz w:val="24"/>
          <w:szCs w:val="24"/>
        </w:rPr>
        <w:t xml:space="preserve">All sections of the Title V legislation </w:t>
      </w:r>
      <w:r w:rsidRPr="0010651C" w:rsidR="0010651C">
        <w:rPr>
          <w:rFonts w:ascii="Times New Roman" w:hAnsi="Times New Roman"/>
          <w:sz w:val="24"/>
          <w:szCs w:val="24"/>
        </w:rPr>
        <w:t xml:space="preserve">can be viewed at: </w:t>
      </w:r>
      <w:hyperlink r:id="rId10" w:history="1">
        <w:r w:rsidRPr="0010651C" w:rsidR="0010651C">
          <w:rPr>
            <w:rFonts w:ascii="Times New Roman" w:hAnsi="Times New Roman"/>
            <w:color w:val="0000FF"/>
            <w:sz w:val="24"/>
            <w:szCs w:val="24"/>
            <w:u w:val="single"/>
          </w:rPr>
          <w:t>http://www.ssa.gov/OP_Home/ssact/title05/0500.htm</w:t>
        </w:r>
      </w:hyperlink>
      <w:r w:rsidRPr="0010651C" w:rsidR="0010651C">
        <w:rPr>
          <w:rFonts w:ascii="Times New Roman" w:hAnsi="Times New Roman"/>
          <w:sz w:val="24"/>
          <w:szCs w:val="24"/>
        </w:rPr>
        <w:t>.</w:t>
      </w:r>
      <w:r w:rsidR="00535A04">
        <w:rPr>
          <w:rFonts w:ascii="Times New Roman" w:hAnsi="Times New Roman"/>
          <w:sz w:val="24"/>
          <w:szCs w:val="24"/>
        </w:rPr>
        <w:t xml:space="preserve"> </w:t>
      </w:r>
      <w:r w:rsidR="0010651C">
        <w:rPr>
          <w:rFonts w:ascii="Times New Roman" w:hAnsi="Times New Roman"/>
          <w:sz w:val="24"/>
          <w:szCs w:val="24"/>
        </w:rPr>
        <w:t>T</w:t>
      </w:r>
      <w:r w:rsidRPr="0010651C">
        <w:rPr>
          <w:rFonts w:ascii="Times New Roman" w:hAnsi="Times New Roman"/>
          <w:color w:val="000000"/>
          <w:sz w:val="24"/>
          <w:szCs w:val="24"/>
        </w:rPr>
        <w:t xml:space="preserve">he </w:t>
      </w:r>
      <w:r>
        <w:rPr>
          <w:rFonts w:ascii="Times New Roman" w:hAnsi="Times New Roman"/>
          <w:color w:val="000000"/>
          <w:sz w:val="24"/>
          <w:szCs w:val="24"/>
        </w:rPr>
        <w:t>current A</w:t>
      </w:r>
      <w:r w:rsidR="00A50496">
        <w:rPr>
          <w:rFonts w:ascii="Times New Roman" w:hAnsi="Times New Roman"/>
          <w:color w:val="000000"/>
          <w:sz w:val="24"/>
          <w:szCs w:val="24"/>
        </w:rPr>
        <w:t xml:space="preserve">pplication/Annual Report </w:t>
      </w:r>
      <w:r w:rsidR="00D200E9">
        <w:rPr>
          <w:rFonts w:ascii="Times New Roman" w:hAnsi="Times New Roman"/>
          <w:color w:val="000000"/>
          <w:sz w:val="24"/>
          <w:szCs w:val="24"/>
        </w:rPr>
        <w:t>G</w:t>
      </w:r>
      <w:r>
        <w:rPr>
          <w:rFonts w:ascii="Times New Roman" w:hAnsi="Times New Roman"/>
          <w:color w:val="000000"/>
          <w:sz w:val="24"/>
          <w:szCs w:val="24"/>
        </w:rPr>
        <w:t>uidance (OMB No. 0915-0172)</w:t>
      </w:r>
      <w:r>
        <w:rPr>
          <w:rFonts w:ascii="Times New Roman" w:hAnsi="Times New Roman"/>
          <w:color w:val="000000"/>
          <w:sz w:val="24"/>
          <w:szCs w:val="24"/>
        </w:rPr>
        <w:t xml:space="preserve"> will expire on </w:t>
      </w:r>
    </w:p>
    <w:p w:rsidR="00A50496" w:rsidP="00552207" w14:paraId="0E3AB832" w14:textId="540BF1D1">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January 31, 2024</w:t>
      </w:r>
      <w:r w:rsidR="00F33A96">
        <w:rPr>
          <w:rFonts w:ascii="Times New Roman" w:hAnsi="Times New Roman"/>
          <w:color w:val="000000"/>
          <w:sz w:val="24"/>
          <w:szCs w:val="24"/>
        </w:rPr>
        <w:t>.</w:t>
      </w:r>
      <w:r w:rsidR="00EC31C3">
        <w:rPr>
          <w:rFonts w:ascii="Times New Roman" w:hAnsi="Times New Roman"/>
          <w:color w:val="000000"/>
          <w:sz w:val="24"/>
          <w:szCs w:val="24"/>
        </w:rPr>
        <w:t xml:space="preserve"> </w:t>
      </w:r>
      <w:r>
        <w:rPr>
          <w:rFonts w:ascii="Times New Roman" w:hAnsi="Times New Roman"/>
          <w:color w:val="000000"/>
          <w:sz w:val="24"/>
          <w:szCs w:val="24"/>
        </w:rPr>
        <w:t>T</w:t>
      </w:r>
      <w:r w:rsidR="008447BC">
        <w:rPr>
          <w:rFonts w:ascii="Times New Roman" w:hAnsi="Times New Roman"/>
          <w:color w:val="000000"/>
          <w:sz w:val="24"/>
          <w:szCs w:val="24"/>
        </w:rPr>
        <w:t xml:space="preserve">he </w:t>
      </w:r>
      <w:r w:rsidR="002B7603">
        <w:rPr>
          <w:rFonts w:ascii="Times New Roman" w:hAnsi="Times New Roman"/>
          <w:color w:val="000000"/>
          <w:sz w:val="24"/>
          <w:szCs w:val="24"/>
        </w:rPr>
        <w:t xml:space="preserve">attached </w:t>
      </w:r>
      <w:r w:rsidR="004D01B6">
        <w:rPr>
          <w:rFonts w:ascii="Times New Roman" w:hAnsi="Times New Roman"/>
          <w:color w:val="000000"/>
          <w:sz w:val="24"/>
          <w:szCs w:val="24"/>
        </w:rPr>
        <w:t xml:space="preserve">updated </w:t>
      </w:r>
      <w:r w:rsidR="00C23AB5">
        <w:rPr>
          <w:rFonts w:ascii="Times New Roman" w:hAnsi="Times New Roman"/>
          <w:color w:val="000000"/>
          <w:sz w:val="24"/>
          <w:szCs w:val="24"/>
        </w:rPr>
        <w:t xml:space="preserve">edition </w:t>
      </w:r>
      <w:r w:rsidRPr="00065E26">
        <w:rPr>
          <w:rFonts w:ascii="Times New Roman" w:hAnsi="Times New Roman"/>
          <w:color w:val="000000"/>
          <w:sz w:val="24"/>
          <w:szCs w:val="24"/>
        </w:rPr>
        <w:t>is divided into four sections: Background and Administrative Information;</w:t>
      </w:r>
      <w:r w:rsidRPr="00EC31C3">
        <w:rPr>
          <w:rFonts w:ascii="Times New Roman" w:hAnsi="Times New Roman"/>
          <w:sz w:val="24"/>
          <w:szCs w:val="24"/>
        </w:rPr>
        <w:t xml:space="preserve"> Application/Annual Report Instructions; Reporting Forms; and </w:t>
      </w:r>
      <w:r w:rsidRPr="00EC31C3" w:rsidR="00EC31C3">
        <w:rPr>
          <w:rFonts w:ascii="Times New Roman" w:hAnsi="Times New Roman"/>
          <w:sz w:val="24"/>
          <w:szCs w:val="24"/>
        </w:rPr>
        <w:t>Appendices</w:t>
      </w:r>
      <w:r w:rsidRPr="00EC31C3">
        <w:rPr>
          <w:rFonts w:ascii="Times New Roman" w:hAnsi="Times New Roman"/>
          <w:sz w:val="24"/>
          <w:szCs w:val="24"/>
        </w:rPr>
        <w:t>.</w:t>
      </w:r>
      <w:r w:rsidR="00535A04">
        <w:rPr>
          <w:rFonts w:ascii="Times New Roman" w:hAnsi="Times New Roman"/>
          <w:sz w:val="24"/>
          <w:szCs w:val="24"/>
        </w:rPr>
        <w:t xml:space="preserve"> </w:t>
      </w:r>
      <w:r w:rsidRPr="00EC31C3">
        <w:rPr>
          <w:rFonts w:ascii="Times New Roman" w:hAnsi="Times New Roman"/>
          <w:sz w:val="24"/>
          <w:szCs w:val="24"/>
        </w:rPr>
        <w:t>The Appendices include Reporting Definitions for the Forms and Assurances and Certifications</w:t>
      </w:r>
      <w:r w:rsidRPr="00EC31C3">
        <w:rPr>
          <w:rFonts w:ascii="Times New Roman" w:hAnsi="Times New Roman"/>
          <w:sz w:val="24"/>
          <w:szCs w:val="24"/>
        </w:rPr>
        <w:t xml:space="preserve"> </w:t>
      </w:r>
      <w:r w:rsidRPr="00EC31C3">
        <w:rPr>
          <w:rFonts w:ascii="Times New Roman" w:hAnsi="Times New Roman"/>
          <w:sz w:val="24"/>
          <w:szCs w:val="24"/>
        </w:rPr>
        <w:t>needed from the states.</w:t>
      </w:r>
      <w:r w:rsidR="00535A04">
        <w:rPr>
          <w:rFonts w:ascii="Times New Roman" w:hAnsi="Times New Roman"/>
          <w:sz w:val="24"/>
          <w:szCs w:val="24"/>
        </w:rPr>
        <w:t xml:space="preserve"> </w:t>
      </w:r>
    </w:p>
    <w:p w:rsidR="00A50496" w:rsidP="00A50496" w14:paraId="7DB91926" w14:textId="77777777">
      <w:pPr>
        <w:autoSpaceDE w:val="0"/>
        <w:autoSpaceDN w:val="0"/>
        <w:adjustRightInd w:val="0"/>
        <w:spacing w:after="0" w:line="240" w:lineRule="auto"/>
        <w:ind w:left="1080"/>
        <w:rPr>
          <w:rFonts w:ascii="Times New Roman" w:hAnsi="Times New Roman"/>
          <w:color w:val="000000"/>
          <w:sz w:val="24"/>
          <w:szCs w:val="24"/>
        </w:rPr>
      </w:pPr>
    </w:p>
    <w:p w:rsidR="005777D9" w:rsidRPr="00E371A6" w:rsidP="005A004D" w14:paraId="4106AF7B" w14:textId="714E9841">
      <w:pPr>
        <w:autoSpaceDE w:val="0"/>
        <w:autoSpaceDN w:val="0"/>
        <w:adjustRightInd w:val="0"/>
        <w:spacing w:after="0" w:line="240" w:lineRule="auto"/>
        <w:ind w:left="720"/>
        <w:rPr>
          <w:rFonts w:ascii="Times New Roman" w:hAnsi="Times New Roman"/>
          <w:color w:val="31849B"/>
          <w:sz w:val="24"/>
          <w:szCs w:val="24"/>
        </w:rPr>
      </w:pPr>
      <w:r w:rsidRPr="00A50496">
        <w:rPr>
          <w:rFonts w:ascii="Times New Roman" w:hAnsi="Times New Roman"/>
          <w:color w:val="000000"/>
          <w:sz w:val="24"/>
          <w:szCs w:val="24"/>
        </w:rPr>
        <w:t xml:space="preserve">The </w:t>
      </w:r>
      <w:r w:rsidRPr="00A50496" w:rsidR="00786E93">
        <w:rPr>
          <w:rFonts w:ascii="Times New Roman" w:hAnsi="Times New Roman"/>
          <w:color w:val="000000"/>
          <w:sz w:val="24"/>
          <w:szCs w:val="24"/>
        </w:rPr>
        <w:t>Application and Annual Report fulfill the requirements of Section 505 an</w:t>
      </w:r>
      <w:r w:rsidR="00A15C2C">
        <w:rPr>
          <w:rFonts w:ascii="Times New Roman" w:hAnsi="Times New Roman"/>
          <w:color w:val="000000"/>
          <w:sz w:val="24"/>
          <w:szCs w:val="24"/>
        </w:rPr>
        <w:t xml:space="preserve">d </w:t>
      </w:r>
      <w:r w:rsidRPr="00A50496" w:rsidR="00786E93">
        <w:rPr>
          <w:rFonts w:ascii="Times New Roman" w:hAnsi="Times New Roman"/>
          <w:color w:val="000000"/>
          <w:sz w:val="24"/>
          <w:szCs w:val="24"/>
        </w:rPr>
        <w:t xml:space="preserve">Section 506, respectively, of </w:t>
      </w:r>
      <w:r w:rsidRPr="00A50496" w:rsidR="00B94F3D">
        <w:rPr>
          <w:rFonts w:ascii="Times New Roman" w:hAnsi="Times New Roman"/>
          <w:color w:val="000000"/>
          <w:sz w:val="24"/>
          <w:szCs w:val="24"/>
        </w:rPr>
        <w:t xml:space="preserve">the </w:t>
      </w:r>
      <w:r w:rsidRPr="00A50496" w:rsidR="00786E93">
        <w:rPr>
          <w:rFonts w:ascii="Times New Roman" w:hAnsi="Times New Roman"/>
          <w:color w:val="000000"/>
          <w:sz w:val="24"/>
          <w:szCs w:val="24"/>
        </w:rPr>
        <w:t>Title V</w:t>
      </w:r>
      <w:r w:rsidRPr="00A50496" w:rsidR="00B94F3D">
        <w:rPr>
          <w:rFonts w:ascii="Times New Roman" w:hAnsi="Times New Roman"/>
          <w:color w:val="000000"/>
          <w:sz w:val="24"/>
          <w:szCs w:val="24"/>
        </w:rPr>
        <w:t xml:space="preserve"> legislation</w:t>
      </w:r>
      <w:r w:rsidRPr="00A50496" w:rsidR="00786E93">
        <w:rPr>
          <w:rFonts w:ascii="Times New Roman" w:hAnsi="Times New Roman"/>
          <w:color w:val="000000"/>
          <w:sz w:val="24"/>
          <w:szCs w:val="24"/>
        </w:rPr>
        <w:t>.</w:t>
      </w:r>
      <w:r w:rsidR="00535A04">
        <w:rPr>
          <w:rFonts w:ascii="Times New Roman" w:hAnsi="Times New Roman"/>
          <w:color w:val="000000"/>
          <w:sz w:val="24"/>
          <w:szCs w:val="24"/>
        </w:rPr>
        <w:t xml:space="preserve"> </w:t>
      </w:r>
      <w:r w:rsidRPr="00C82430" w:rsidR="00C82430">
        <w:rPr>
          <w:rFonts w:ascii="Times New Roman" w:hAnsi="Times New Roman"/>
          <w:sz w:val="24"/>
          <w:szCs w:val="24"/>
        </w:rPr>
        <w:t>Consistent with previous editions, th</w:t>
      </w:r>
      <w:r w:rsidR="0040174D">
        <w:rPr>
          <w:rFonts w:ascii="Times New Roman" w:hAnsi="Times New Roman"/>
          <w:sz w:val="24"/>
          <w:szCs w:val="24"/>
        </w:rPr>
        <w:t xml:space="preserve">e updated Application/Annual Report </w:t>
      </w:r>
      <w:r w:rsidRPr="00C82430" w:rsidR="00C82430">
        <w:rPr>
          <w:rFonts w:ascii="Times New Roman" w:hAnsi="Times New Roman"/>
          <w:sz w:val="24"/>
          <w:szCs w:val="24"/>
        </w:rPr>
        <w:t xml:space="preserve">Guidance </w:t>
      </w:r>
      <w:r w:rsidRPr="00C82430">
        <w:rPr>
          <w:rFonts w:ascii="Times New Roman" w:hAnsi="Times New Roman"/>
          <w:sz w:val="24"/>
          <w:szCs w:val="24"/>
        </w:rPr>
        <w:t>is</w:t>
      </w:r>
      <w:r w:rsidRPr="00C82430" w:rsidR="00061027">
        <w:rPr>
          <w:rFonts w:ascii="Times New Roman" w:hAnsi="Times New Roman"/>
          <w:sz w:val="24"/>
          <w:szCs w:val="24"/>
        </w:rPr>
        <w:t xml:space="preserve"> </w:t>
      </w:r>
      <w:r w:rsidRPr="00C82430">
        <w:rPr>
          <w:rFonts w:ascii="Times New Roman" w:hAnsi="Times New Roman"/>
          <w:sz w:val="24"/>
          <w:szCs w:val="24"/>
        </w:rPr>
        <w:t xml:space="preserve">designed to allow </w:t>
      </w:r>
      <w:r w:rsidR="00892B79">
        <w:rPr>
          <w:rFonts w:ascii="Times New Roman" w:hAnsi="Times New Roman"/>
          <w:sz w:val="24"/>
          <w:szCs w:val="24"/>
        </w:rPr>
        <w:t>s</w:t>
      </w:r>
      <w:r w:rsidR="005D2F4F">
        <w:rPr>
          <w:rFonts w:ascii="Times New Roman" w:hAnsi="Times New Roman"/>
          <w:sz w:val="24"/>
          <w:szCs w:val="24"/>
        </w:rPr>
        <w:t xml:space="preserve">tates </w:t>
      </w:r>
      <w:r w:rsidRPr="00C82430">
        <w:rPr>
          <w:rFonts w:ascii="Times New Roman" w:hAnsi="Times New Roman"/>
          <w:sz w:val="24"/>
          <w:szCs w:val="24"/>
        </w:rPr>
        <w:t xml:space="preserve">flexibility in meeting </w:t>
      </w:r>
      <w:r w:rsidRPr="00C82430" w:rsidR="00061027">
        <w:rPr>
          <w:rFonts w:ascii="Times New Roman" w:hAnsi="Times New Roman"/>
          <w:sz w:val="24"/>
          <w:szCs w:val="24"/>
        </w:rPr>
        <w:t xml:space="preserve">the </w:t>
      </w:r>
      <w:r w:rsidR="00080ABA">
        <w:rPr>
          <w:rFonts w:ascii="Times New Roman" w:hAnsi="Times New Roman"/>
          <w:sz w:val="24"/>
          <w:szCs w:val="24"/>
        </w:rPr>
        <w:t xml:space="preserve">unique </w:t>
      </w:r>
      <w:r w:rsidRPr="00C82430">
        <w:rPr>
          <w:rFonts w:ascii="Times New Roman" w:hAnsi="Times New Roman"/>
          <w:sz w:val="24"/>
          <w:szCs w:val="24"/>
        </w:rPr>
        <w:t xml:space="preserve">needs of </w:t>
      </w:r>
      <w:r w:rsidR="00A52AE5">
        <w:rPr>
          <w:rFonts w:ascii="Times New Roman" w:hAnsi="Times New Roman"/>
          <w:sz w:val="24"/>
          <w:szCs w:val="24"/>
        </w:rPr>
        <w:t xml:space="preserve">their </w:t>
      </w:r>
      <w:r w:rsidR="00FB51C2">
        <w:rPr>
          <w:rFonts w:ascii="Times New Roman" w:hAnsi="Times New Roman"/>
          <w:sz w:val="24"/>
          <w:szCs w:val="24"/>
        </w:rPr>
        <w:t xml:space="preserve">MCH </w:t>
      </w:r>
      <w:r w:rsidRPr="00C82430" w:rsidR="00C82430">
        <w:rPr>
          <w:rFonts w:ascii="Times New Roman" w:hAnsi="Times New Roman"/>
          <w:sz w:val="24"/>
          <w:szCs w:val="24"/>
        </w:rPr>
        <w:t>population</w:t>
      </w:r>
      <w:r w:rsidR="00A52AE5">
        <w:rPr>
          <w:rFonts w:ascii="Times New Roman" w:hAnsi="Times New Roman"/>
          <w:sz w:val="24"/>
          <w:szCs w:val="24"/>
        </w:rPr>
        <w:t>s</w:t>
      </w:r>
      <w:r w:rsidRPr="00C82430" w:rsidR="00C82430">
        <w:rPr>
          <w:rFonts w:ascii="Times New Roman" w:hAnsi="Times New Roman"/>
          <w:sz w:val="24"/>
          <w:szCs w:val="24"/>
        </w:rPr>
        <w:t xml:space="preserve"> </w:t>
      </w:r>
      <w:r w:rsidRPr="00C82430">
        <w:rPr>
          <w:rFonts w:ascii="Times New Roman" w:hAnsi="Times New Roman"/>
          <w:sz w:val="24"/>
          <w:szCs w:val="24"/>
        </w:rPr>
        <w:t>while</w:t>
      </w:r>
      <w:r w:rsidRPr="00C82430" w:rsidR="00061027">
        <w:rPr>
          <w:rFonts w:ascii="Times New Roman" w:hAnsi="Times New Roman"/>
          <w:sz w:val="24"/>
          <w:szCs w:val="24"/>
        </w:rPr>
        <w:t xml:space="preserve"> </w:t>
      </w:r>
      <w:r w:rsidRPr="00C82430">
        <w:rPr>
          <w:rFonts w:ascii="Times New Roman" w:hAnsi="Times New Roman"/>
          <w:sz w:val="24"/>
          <w:szCs w:val="24"/>
        </w:rPr>
        <w:t>enabling the M</w:t>
      </w:r>
      <w:r w:rsidR="003413BC">
        <w:rPr>
          <w:rFonts w:ascii="Times New Roman" w:hAnsi="Times New Roman"/>
          <w:sz w:val="24"/>
          <w:szCs w:val="24"/>
        </w:rPr>
        <w:t>aternal and Child Health Bureau (M</w:t>
      </w:r>
      <w:r w:rsidRPr="00C82430" w:rsidR="00C82430">
        <w:rPr>
          <w:rFonts w:ascii="Times New Roman" w:hAnsi="Times New Roman"/>
          <w:sz w:val="24"/>
          <w:szCs w:val="24"/>
        </w:rPr>
        <w:t>CHB</w:t>
      </w:r>
      <w:r w:rsidR="003413BC">
        <w:rPr>
          <w:rFonts w:ascii="Times New Roman" w:hAnsi="Times New Roman"/>
          <w:sz w:val="24"/>
          <w:szCs w:val="24"/>
        </w:rPr>
        <w:t>)</w:t>
      </w:r>
      <w:r w:rsidRPr="00C82430" w:rsidR="00C82430">
        <w:rPr>
          <w:rFonts w:ascii="Times New Roman" w:hAnsi="Times New Roman"/>
          <w:sz w:val="24"/>
          <w:szCs w:val="24"/>
        </w:rPr>
        <w:t xml:space="preserve"> </w:t>
      </w:r>
      <w:r w:rsidRPr="00C82430">
        <w:rPr>
          <w:rFonts w:ascii="Times New Roman" w:hAnsi="Times New Roman"/>
          <w:sz w:val="24"/>
          <w:szCs w:val="24"/>
        </w:rPr>
        <w:t>to</w:t>
      </w:r>
      <w:r w:rsidR="00552207">
        <w:rPr>
          <w:rFonts w:ascii="Times New Roman" w:hAnsi="Times New Roman"/>
          <w:sz w:val="24"/>
          <w:szCs w:val="24"/>
        </w:rPr>
        <w:t xml:space="preserve"> m</w:t>
      </w:r>
      <w:r w:rsidRPr="00C60C56" w:rsidR="00A52AE5">
        <w:rPr>
          <w:rFonts w:ascii="Times New Roman" w:hAnsi="Times New Roman"/>
          <w:sz w:val="24"/>
          <w:szCs w:val="24"/>
        </w:rPr>
        <w:t xml:space="preserve">eet </w:t>
      </w:r>
      <w:r w:rsidR="00A50496">
        <w:rPr>
          <w:rFonts w:ascii="Times New Roman" w:hAnsi="Times New Roman"/>
          <w:sz w:val="24"/>
          <w:szCs w:val="24"/>
        </w:rPr>
        <w:t xml:space="preserve">the </w:t>
      </w:r>
      <w:r w:rsidRPr="00C60C56" w:rsidR="00DF4DD9">
        <w:rPr>
          <w:rFonts w:ascii="Times New Roman" w:hAnsi="Times New Roman"/>
          <w:sz w:val="24"/>
          <w:szCs w:val="24"/>
        </w:rPr>
        <w:t xml:space="preserve">Title V </w:t>
      </w:r>
      <w:r w:rsidRPr="00C60C56" w:rsidR="00A52AE5">
        <w:rPr>
          <w:rFonts w:ascii="Times New Roman" w:hAnsi="Times New Roman"/>
          <w:sz w:val="24"/>
          <w:szCs w:val="24"/>
        </w:rPr>
        <w:t>legislative requirements</w:t>
      </w:r>
      <w:r w:rsidR="00F34AD2">
        <w:rPr>
          <w:rFonts w:ascii="Times New Roman" w:hAnsi="Times New Roman"/>
          <w:sz w:val="24"/>
          <w:szCs w:val="24"/>
        </w:rPr>
        <w:t xml:space="preserve">, </w:t>
      </w:r>
      <w:r w:rsidR="00552207">
        <w:rPr>
          <w:rFonts w:ascii="Times New Roman" w:hAnsi="Times New Roman"/>
          <w:sz w:val="24"/>
          <w:szCs w:val="24"/>
        </w:rPr>
        <w:t>c</w:t>
      </w:r>
      <w:r w:rsidRPr="00C60C56" w:rsidR="00DF4DD9">
        <w:rPr>
          <w:rFonts w:ascii="Times New Roman" w:hAnsi="Times New Roman"/>
          <w:sz w:val="24"/>
          <w:szCs w:val="24"/>
        </w:rPr>
        <w:t xml:space="preserve">ollect and utilize </w:t>
      </w:r>
      <w:r w:rsidRPr="00C60C56" w:rsidR="00A925AE">
        <w:rPr>
          <w:rFonts w:ascii="Times New Roman" w:hAnsi="Times New Roman"/>
          <w:sz w:val="24"/>
          <w:szCs w:val="24"/>
        </w:rPr>
        <w:t>c</w:t>
      </w:r>
      <w:r w:rsidRPr="00C60C56">
        <w:rPr>
          <w:rFonts w:ascii="Times New Roman" w:hAnsi="Times New Roman"/>
          <w:sz w:val="24"/>
          <w:szCs w:val="24"/>
        </w:rPr>
        <w:t xml:space="preserve">omparative data </w:t>
      </w:r>
      <w:r w:rsidRPr="00C60C56" w:rsidR="00DF4DD9">
        <w:rPr>
          <w:rFonts w:ascii="Times New Roman" w:hAnsi="Times New Roman"/>
          <w:sz w:val="24"/>
          <w:szCs w:val="24"/>
        </w:rPr>
        <w:t xml:space="preserve">for </w:t>
      </w:r>
      <w:r w:rsidRPr="00C60C56" w:rsidR="00080ABA">
        <w:rPr>
          <w:rFonts w:ascii="Times New Roman" w:hAnsi="Times New Roman"/>
          <w:sz w:val="24"/>
          <w:szCs w:val="24"/>
        </w:rPr>
        <w:t>address</w:t>
      </w:r>
      <w:r w:rsidRPr="00C60C56" w:rsidR="00DF4DD9">
        <w:rPr>
          <w:rFonts w:ascii="Times New Roman" w:hAnsi="Times New Roman"/>
          <w:sz w:val="24"/>
          <w:szCs w:val="24"/>
        </w:rPr>
        <w:t>ing</w:t>
      </w:r>
      <w:r w:rsidR="0017147B">
        <w:rPr>
          <w:rFonts w:ascii="Times New Roman" w:hAnsi="Times New Roman"/>
          <w:sz w:val="24"/>
          <w:szCs w:val="24"/>
        </w:rPr>
        <w:t xml:space="preserve"> national and s</w:t>
      </w:r>
      <w:r w:rsidRPr="00C60C56" w:rsidR="00080ABA">
        <w:rPr>
          <w:rFonts w:ascii="Times New Roman" w:hAnsi="Times New Roman"/>
          <w:sz w:val="24"/>
          <w:szCs w:val="24"/>
        </w:rPr>
        <w:t>tate MCH priorities</w:t>
      </w:r>
      <w:r w:rsidR="00F34AD2">
        <w:rPr>
          <w:rFonts w:ascii="Times New Roman" w:hAnsi="Times New Roman"/>
          <w:sz w:val="24"/>
          <w:szCs w:val="24"/>
        </w:rPr>
        <w:t>,</w:t>
      </w:r>
      <w:r w:rsidRPr="00C60C56" w:rsidR="00080ABA">
        <w:rPr>
          <w:rFonts w:ascii="Times New Roman" w:hAnsi="Times New Roman"/>
          <w:sz w:val="24"/>
          <w:szCs w:val="24"/>
        </w:rPr>
        <w:t xml:space="preserve"> and</w:t>
      </w:r>
      <w:r w:rsidR="00552207">
        <w:rPr>
          <w:rFonts w:ascii="Times New Roman" w:hAnsi="Times New Roman"/>
          <w:sz w:val="24"/>
          <w:szCs w:val="24"/>
        </w:rPr>
        <w:t xml:space="preserve"> d</w:t>
      </w:r>
      <w:r w:rsidRPr="00C60C56" w:rsidR="00D9165A">
        <w:rPr>
          <w:rFonts w:ascii="Times New Roman" w:hAnsi="Times New Roman"/>
          <w:sz w:val="24"/>
          <w:szCs w:val="24"/>
        </w:rPr>
        <w:t xml:space="preserve">emonstrate </w:t>
      </w:r>
      <w:r w:rsidRPr="00C60C56" w:rsidR="00A52AE5">
        <w:rPr>
          <w:rFonts w:ascii="Times New Roman" w:hAnsi="Times New Roman"/>
          <w:sz w:val="24"/>
          <w:szCs w:val="24"/>
        </w:rPr>
        <w:t>account</w:t>
      </w:r>
      <w:r w:rsidRPr="00C60C56" w:rsidR="00D9165A">
        <w:rPr>
          <w:rFonts w:ascii="Times New Roman" w:hAnsi="Times New Roman"/>
          <w:sz w:val="24"/>
          <w:szCs w:val="24"/>
        </w:rPr>
        <w:t xml:space="preserve">ability in </w:t>
      </w:r>
      <w:r w:rsidRPr="00C60C56">
        <w:rPr>
          <w:rFonts w:ascii="Times New Roman" w:hAnsi="Times New Roman"/>
          <w:sz w:val="24"/>
          <w:szCs w:val="24"/>
        </w:rPr>
        <w:t xml:space="preserve">the use of </w:t>
      </w:r>
      <w:r w:rsidRPr="00C60C56" w:rsidR="00287188">
        <w:rPr>
          <w:rFonts w:ascii="Times New Roman" w:hAnsi="Times New Roman"/>
          <w:sz w:val="24"/>
          <w:szCs w:val="24"/>
        </w:rPr>
        <w:t>the</w:t>
      </w:r>
      <w:r w:rsidRPr="00C60C56" w:rsidR="007E5470">
        <w:rPr>
          <w:rFonts w:ascii="Times New Roman" w:hAnsi="Times New Roman"/>
          <w:sz w:val="24"/>
          <w:szCs w:val="24"/>
        </w:rPr>
        <w:t xml:space="preserve"> </w:t>
      </w:r>
      <w:r w:rsidRPr="00C60C56">
        <w:rPr>
          <w:rFonts w:ascii="Times New Roman" w:hAnsi="Times New Roman"/>
          <w:sz w:val="24"/>
          <w:szCs w:val="24"/>
        </w:rPr>
        <w:t xml:space="preserve">Federal </w:t>
      </w:r>
      <w:r w:rsidRPr="00C60C56" w:rsidR="007E5470">
        <w:rPr>
          <w:rFonts w:ascii="Times New Roman" w:hAnsi="Times New Roman"/>
          <w:sz w:val="24"/>
          <w:szCs w:val="24"/>
        </w:rPr>
        <w:t xml:space="preserve">Title V </w:t>
      </w:r>
      <w:r w:rsidRPr="00C60C56">
        <w:rPr>
          <w:rFonts w:ascii="Times New Roman" w:hAnsi="Times New Roman"/>
          <w:sz w:val="24"/>
          <w:szCs w:val="24"/>
        </w:rPr>
        <w:t>funds.</w:t>
      </w:r>
      <w:r w:rsidR="00535A04">
        <w:rPr>
          <w:rFonts w:ascii="Times New Roman" w:hAnsi="Times New Roman"/>
          <w:sz w:val="24"/>
          <w:szCs w:val="24"/>
        </w:rPr>
        <w:t xml:space="preserve"> </w:t>
      </w:r>
      <w:r w:rsidRPr="005777D9">
        <w:rPr>
          <w:rFonts w:ascii="Times New Roman" w:hAnsi="Times New Roman"/>
          <w:sz w:val="24"/>
          <w:szCs w:val="24"/>
        </w:rPr>
        <w:t xml:space="preserve">The </w:t>
      </w:r>
      <w:r w:rsidR="003413BC">
        <w:rPr>
          <w:rFonts w:ascii="Times New Roman" w:hAnsi="Times New Roman"/>
          <w:sz w:val="24"/>
          <w:szCs w:val="24"/>
        </w:rPr>
        <w:t>MCHB</w:t>
      </w:r>
      <w:r w:rsidRPr="005777D9">
        <w:rPr>
          <w:rFonts w:ascii="Times New Roman" w:hAnsi="Times New Roman"/>
          <w:sz w:val="24"/>
          <w:szCs w:val="24"/>
        </w:rPr>
        <w:t>, in the Health Resources and</w:t>
      </w:r>
      <w:r w:rsidRPr="005777D9" w:rsidR="00061027">
        <w:rPr>
          <w:rFonts w:ascii="Times New Roman" w:hAnsi="Times New Roman"/>
          <w:sz w:val="24"/>
          <w:szCs w:val="24"/>
        </w:rPr>
        <w:t xml:space="preserve"> </w:t>
      </w:r>
      <w:r w:rsidRPr="005777D9">
        <w:rPr>
          <w:rFonts w:ascii="Times New Roman" w:hAnsi="Times New Roman"/>
          <w:sz w:val="24"/>
          <w:szCs w:val="24"/>
        </w:rPr>
        <w:t xml:space="preserve">Services Administration (HRSA), serves as the </w:t>
      </w:r>
      <w:r w:rsidRPr="005777D9" w:rsidR="00301BAE">
        <w:rPr>
          <w:rFonts w:ascii="Times New Roman" w:hAnsi="Times New Roman"/>
          <w:sz w:val="24"/>
          <w:szCs w:val="24"/>
        </w:rPr>
        <w:t xml:space="preserve">Health and Human Services </w:t>
      </w:r>
      <w:r w:rsidR="00A925AE">
        <w:rPr>
          <w:rFonts w:ascii="Times New Roman" w:hAnsi="Times New Roman"/>
          <w:sz w:val="24"/>
          <w:szCs w:val="24"/>
        </w:rPr>
        <w:t xml:space="preserve">(HHS) </w:t>
      </w:r>
      <w:r w:rsidRPr="005777D9">
        <w:rPr>
          <w:rFonts w:ascii="Times New Roman" w:hAnsi="Times New Roman"/>
          <w:sz w:val="24"/>
          <w:szCs w:val="24"/>
        </w:rPr>
        <w:t>Secretary’s delegate to collect this information</w:t>
      </w:r>
      <w:r w:rsidR="00CA37C8">
        <w:rPr>
          <w:rFonts w:ascii="Times New Roman" w:hAnsi="Times New Roman"/>
          <w:sz w:val="24"/>
          <w:szCs w:val="24"/>
        </w:rPr>
        <w:t xml:space="preserve"> and to </w:t>
      </w:r>
      <w:r w:rsidRPr="005777D9">
        <w:rPr>
          <w:rFonts w:ascii="Times New Roman" w:hAnsi="Times New Roman"/>
          <w:sz w:val="24"/>
          <w:szCs w:val="24"/>
        </w:rPr>
        <w:t xml:space="preserve">review it </w:t>
      </w:r>
      <w:r w:rsidR="00CA37C8">
        <w:rPr>
          <w:rFonts w:ascii="Times New Roman" w:hAnsi="Times New Roman"/>
          <w:sz w:val="24"/>
          <w:szCs w:val="24"/>
        </w:rPr>
        <w:t xml:space="preserve">prior to the award of </w:t>
      </w:r>
      <w:r w:rsidRPr="005777D9">
        <w:rPr>
          <w:rFonts w:ascii="Times New Roman" w:hAnsi="Times New Roman"/>
          <w:sz w:val="24"/>
          <w:szCs w:val="24"/>
        </w:rPr>
        <w:t>approximately $</w:t>
      </w:r>
      <w:r w:rsidR="00605CDA">
        <w:rPr>
          <w:rFonts w:ascii="Times New Roman" w:hAnsi="Times New Roman"/>
          <w:sz w:val="24"/>
          <w:szCs w:val="24"/>
        </w:rPr>
        <w:t>581</w:t>
      </w:r>
      <w:r w:rsidRPr="005777D9" w:rsidR="00605CDA">
        <w:rPr>
          <w:rFonts w:ascii="Times New Roman" w:hAnsi="Times New Roman"/>
          <w:sz w:val="24"/>
          <w:szCs w:val="24"/>
        </w:rPr>
        <w:t xml:space="preserve"> </w:t>
      </w:r>
      <w:r w:rsidRPr="005777D9">
        <w:rPr>
          <w:rFonts w:ascii="Times New Roman" w:hAnsi="Times New Roman"/>
          <w:sz w:val="24"/>
          <w:szCs w:val="24"/>
        </w:rPr>
        <w:t xml:space="preserve">million </w:t>
      </w:r>
      <w:r w:rsidR="00981908">
        <w:rPr>
          <w:rFonts w:ascii="Times New Roman" w:hAnsi="Times New Roman"/>
          <w:sz w:val="24"/>
          <w:szCs w:val="24"/>
        </w:rPr>
        <w:t xml:space="preserve">annually </w:t>
      </w:r>
      <w:r w:rsidR="00892B79">
        <w:rPr>
          <w:rFonts w:ascii="Times New Roman" w:hAnsi="Times New Roman"/>
          <w:sz w:val="24"/>
          <w:szCs w:val="24"/>
        </w:rPr>
        <w:t>in s</w:t>
      </w:r>
      <w:r w:rsidRPr="005777D9">
        <w:rPr>
          <w:rFonts w:ascii="Times New Roman" w:hAnsi="Times New Roman"/>
          <w:sz w:val="24"/>
          <w:szCs w:val="24"/>
        </w:rPr>
        <w:t>tate formula grants under the MCH</w:t>
      </w:r>
      <w:r w:rsidRPr="005777D9" w:rsidR="00061027">
        <w:rPr>
          <w:rFonts w:ascii="Times New Roman" w:hAnsi="Times New Roman"/>
          <w:sz w:val="24"/>
          <w:szCs w:val="24"/>
        </w:rPr>
        <w:t xml:space="preserve"> </w:t>
      </w:r>
      <w:r w:rsidRPr="005777D9">
        <w:rPr>
          <w:rFonts w:ascii="Times New Roman" w:hAnsi="Times New Roman"/>
          <w:sz w:val="24"/>
          <w:szCs w:val="24"/>
        </w:rPr>
        <w:t>Block Grant.</w:t>
      </w:r>
      <w:r w:rsidR="00535A04">
        <w:rPr>
          <w:rFonts w:ascii="Times New Roman" w:hAnsi="Times New Roman"/>
          <w:color w:val="31849B"/>
          <w:sz w:val="24"/>
          <w:szCs w:val="24"/>
        </w:rPr>
        <w:t xml:space="preserve"> </w:t>
      </w:r>
    </w:p>
    <w:p w:rsidR="005777D9" w:rsidRPr="00E371A6" w:rsidP="000934B7" w14:paraId="3886D215" w14:textId="77777777">
      <w:pPr>
        <w:autoSpaceDE w:val="0"/>
        <w:autoSpaceDN w:val="0"/>
        <w:adjustRightInd w:val="0"/>
        <w:spacing w:after="0" w:line="240" w:lineRule="auto"/>
        <w:ind w:left="720"/>
        <w:rPr>
          <w:rFonts w:ascii="Times New Roman" w:hAnsi="Times New Roman"/>
          <w:b/>
          <w:bCs/>
          <w:color w:val="31849B"/>
          <w:sz w:val="24"/>
          <w:szCs w:val="24"/>
        </w:rPr>
      </w:pPr>
    </w:p>
    <w:p w:rsidR="005777D9" w:rsidP="005777D9" w14:paraId="273645A6" w14:textId="5B7C7480">
      <w:pPr>
        <w:autoSpaceDE w:val="0"/>
        <w:autoSpaceDN w:val="0"/>
        <w:adjustRightInd w:val="0"/>
        <w:spacing w:after="0" w:line="240" w:lineRule="auto"/>
        <w:ind w:left="720"/>
        <w:rPr>
          <w:rFonts w:ascii="Times New Roman" w:eastAsia="Times New Roman" w:hAnsi="Times New Roman"/>
          <w:sz w:val="24"/>
          <w:szCs w:val="24"/>
        </w:rPr>
      </w:pPr>
      <w:r w:rsidRPr="00AB78B3">
        <w:rPr>
          <w:rFonts w:ascii="Times New Roman" w:hAnsi="Times New Roman"/>
          <w:i/>
          <w:sz w:val="24"/>
          <w:szCs w:val="24"/>
        </w:rPr>
        <w:t xml:space="preserve">The attached </w:t>
      </w:r>
      <w:r w:rsidRPr="00AB78B3" w:rsidR="007D0E96">
        <w:rPr>
          <w:rFonts w:ascii="Times New Roman" w:hAnsi="Times New Roman"/>
          <w:i/>
          <w:sz w:val="24"/>
          <w:szCs w:val="24"/>
        </w:rPr>
        <w:t>updated edition b</w:t>
      </w:r>
      <w:r w:rsidRPr="00AB78B3" w:rsidR="00014C01">
        <w:rPr>
          <w:rFonts w:ascii="Times New Roman" w:hAnsi="Times New Roman"/>
          <w:i/>
          <w:sz w:val="24"/>
          <w:szCs w:val="24"/>
        </w:rPr>
        <w:t xml:space="preserve">uilds on </w:t>
      </w:r>
      <w:r w:rsidRPr="00AB78B3" w:rsidR="00D832D7">
        <w:rPr>
          <w:rFonts w:ascii="Times New Roman" w:hAnsi="Times New Roman"/>
          <w:i/>
          <w:sz w:val="24"/>
          <w:szCs w:val="24"/>
        </w:rPr>
        <w:t>the transformative changes</w:t>
      </w:r>
      <w:r w:rsidRPr="00AB78B3" w:rsidR="00DA0FE9">
        <w:rPr>
          <w:rFonts w:ascii="Times New Roman" w:hAnsi="Times New Roman"/>
          <w:i/>
          <w:sz w:val="24"/>
          <w:szCs w:val="24"/>
        </w:rPr>
        <w:t xml:space="preserve"> that were </w:t>
      </w:r>
      <w:r w:rsidRPr="00AB78B3" w:rsidR="009814AA">
        <w:rPr>
          <w:rFonts w:ascii="Times New Roman" w:hAnsi="Times New Roman"/>
          <w:i/>
          <w:sz w:val="24"/>
          <w:szCs w:val="24"/>
        </w:rPr>
        <w:t xml:space="preserve">introduced with the release of the </w:t>
      </w:r>
      <w:r w:rsidRPr="00AB78B3" w:rsidR="00DA0FE9">
        <w:rPr>
          <w:rFonts w:ascii="Times New Roman" w:hAnsi="Times New Roman"/>
          <w:i/>
          <w:sz w:val="24"/>
          <w:szCs w:val="24"/>
        </w:rPr>
        <w:t xml:space="preserve">current </w:t>
      </w:r>
      <w:r w:rsidRPr="00AB78B3" w:rsidR="00140228">
        <w:rPr>
          <w:rFonts w:ascii="Times New Roman" w:hAnsi="Times New Roman"/>
          <w:i/>
          <w:sz w:val="24"/>
          <w:szCs w:val="24"/>
        </w:rPr>
        <w:t>Application/Annual Report Guidance</w:t>
      </w:r>
      <w:r w:rsidRPr="00AB78B3" w:rsidR="009814AA">
        <w:rPr>
          <w:rFonts w:ascii="Times New Roman" w:hAnsi="Times New Roman"/>
          <w:i/>
          <w:sz w:val="24"/>
          <w:szCs w:val="24"/>
        </w:rPr>
        <w:t xml:space="preserve"> in </w:t>
      </w:r>
      <w:r w:rsidRPr="00AB78B3" w:rsidR="00DA0FE9">
        <w:rPr>
          <w:rFonts w:ascii="Times New Roman" w:hAnsi="Times New Roman"/>
          <w:i/>
          <w:sz w:val="24"/>
          <w:szCs w:val="24"/>
        </w:rPr>
        <w:t>201</w:t>
      </w:r>
      <w:r w:rsidRPr="00AB78B3" w:rsidR="00FD25A1">
        <w:rPr>
          <w:rFonts w:ascii="Times New Roman" w:hAnsi="Times New Roman"/>
          <w:i/>
          <w:sz w:val="24"/>
          <w:szCs w:val="24"/>
        </w:rPr>
        <w:t>8</w:t>
      </w:r>
      <w:r w:rsidRPr="00AB78B3" w:rsidR="00DA0FE9">
        <w:rPr>
          <w:rFonts w:ascii="Times New Roman" w:hAnsi="Times New Roman"/>
          <w:i/>
          <w:sz w:val="24"/>
          <w:szCs w:val="24"/>
        </w:rPr>
        <w:t>.</w:t>
      </w:r>
      <w:r w:rsidR="00535A04">
        <w:rPr>
          <w:rFonts w:ascii="Times New Roman" w:hAnsi="Times New Roman"/>
          <w:i/>
          <w:sz w:val="24"/>
          <w:szCs w:val="24"/>
        </w:rPr>
        <w:t xml:space="preserve"> </w:t>
      </w:r>
      <w:r w:rsidR="00AF041C">
        <w:rPr>
          <w:rFonts w:ascii="Times New Roman" w:hAnsi="Times New Roman"/>
          <w:sz w:val="24"/>
          <w:szCs w:val="24"/>
        </w:rPr>
        <w:t xml:space="preserve">Full </w:t>
      </w:r>
      <w:r w:rsidR="003C6A5F">
        <w:rPr>
          <w:rFonts w:ascii="Times New Roman" w:hAnsi="Times New Roman"/>
          <w:sz w:val="24"/>
          <w:szCs w:val="24"/>
        </w:rPr>
        <w:t xml:space="preserve">implementation of </w:t>
      </w:r>
      <w:r w:rsidR="00AF041C">
        <w:rPr>
          <w:rFonts w:ascii="Times New Roman" w:hAnsi="Times New Roman"/>
          <w:sz w:val="24"/>
          <w:szCs w:val="24"/>
        </w:rPr>
        <w:t>the MCH Block Grant</w:t>
      </w:r>
      <w:r w:rsidRPr="00AF041C" w:rsidR="00AF041C">
        <w:rPr>
          <w:rFonts w:ascii="Times New Roman" w:hAnsi="Times New Roman"/>
          <w:sz w:val="24"/>
          <w:szCs w:val="24"/>
        </w:rPr>
        <w:t xml:space="preserve"> </w:t>
      </w:r>
      <w:r w:rsidR="003C6A5F">
        <w:rPr>
          <w:rFonts w:ascii="Times New Roman" w:hAnsi="Times New Roman"/>
          <w:sz w:val="24"/>
          <w:szCs w:val="24"/>
        </w:rPr>
        <w:t xml:space="preserve">transformation </w:t>
      </w:r>
      <w:r w:rsidR="00AF041C">
        <w:rPr>
          <w:rFonts w:ascii="Times New Roman" w:hAnsi="Times New Roman"/>
          <w:sz w:val="24"/>
          <w:szCs w:val="24"/>
        </w:rPr>
        <w:t xml:space="preserve">was achieved with the submission of the </w:t>
      </w:r>
      <w:r w:rsidR="006D3BED">
        <w:rPr>
          <w:rFonts w:ascii="Times New Roman" w:hAnsi="Times New Roman"/>
          <w:sz w:val="24"/>
          <w:szCs w:val="24"/>
        </w:rPr>
        <w:t xml:space="preserve">59 </w:t>
      </w:r>
      <w:r w:rsidR="00A50496">
        <w:rPr>
          <w:rFonts w:ascii="Times New Roman" w:hAnsi="Times New Roman"/>
          <w:sz w:val="24"/>
          <w:szCs w:val="24"/>
        </w:rPr>
        <w:t>s</w:t>
      </w:r>
      <w:r w:rsidR="00AF041C">
        <w:rPr>
          <w:rFonts w:ascii="Times New Roman" w:hAnsi="Times New Roman"/>
          <w:sz w:val="24"/>
          <w:szCs w:val="24"/>
        </w:rPr>
        <w:t>tate fiscal year (FY) 2018 Applications/FY 2016 Annual Reports in July 2017.</w:t>
      </w:r>
      <w:r w:rsidR="00535A04">
        <w:rPr>
          <w:rFonts w:ascii="Times New Roman" w:hAnsi="Times New Roman"/>
          <w:sz w:val="24"/>
          <w:szCs w:val="24"/>
        </w:rPr>
        <w:t xml:space="preserve"> </w:t>
      </w:r>
      <w:r w:rsidR="00FD25A1">
        <w:rPr>
          <w:rFonts w:ascii="Times New Roman" w:hAnsi="Times New Roman"/>
          <w:sz w:val="24"/>
          <w:szCs w:val="24"/>
        </w:rPr>
        <w:t>While carrying forward the t</w:t>
      </w:r>
      <w:r w:rsidRPr="00FD25A1" w:rsidR="00FD25A1">
        <w:rPr>
          <w:rFonts w:ascii="Times New Roman" w:hAnsi="Times New Roman"/>
          <w:sz w:val="24"/>
          <w:szCs w:val="24"/>
        </w:rPr>
        <w:t>hree aims of the MCH Block Grant transformation (i.e., reduce state burden; maintain state flexibility; and improve accountability), updates to the 20</w:t>
      </w:r>
      <w:r w:rsidR="00065E26">
        <w:rPr>
          <w:rFonts w:ascii="Times New Roman" w:hAnsi="Times New Roman"/>
          <w:sz w:val="24"/>
          <w:szCs w:val="24"/>
        </w:rPr>
        <w:t>2</w:t>
      </w:r>
      <w:r w:rsidR="00075963">
        <w:rPr>
          <w:rFonts w:ascii="Times New Roman" w:hAnsi="Times New Roman"/>
          <w:sz w:val="24"/>
          <w:szCs w:val="24"/>
        </w:rPr>
        <w:t>1</w:t>
      </w:r>
      <w:r w:rsidRPr="00FD25A1" w:rsidR="00FD25A1">
        <w:rPr>
          <w:rFonts w:ascii="Times New Roman" w:hAnsi="Times New Roman"/>
          <w:sz w:val="24"/>
          <w:szCs w:val="24"/>
        </w:rPr>
        <w:t xml:space="preserve"> Application/Annual Report Guidance further refine</w:t>
      </w:r>
      <w:r w:rsidR="00FD25A1">
        <w:rPr>
          <w:rFonts w:ascii="Times New Roman" w:hAnsi="Times New Roman"/>
          <w:sz w:val="24"/>
          <w:szCs w:val="24"/>
        </w:rPr>
        <w:t>d</w:t>
      </w:r>
      <w:r w:rsidRPr="00FD25A1" w:rsidR="00FD25A1">
        <w:rPr>
          <w:rFonts w:ascii="Times New Roman" w:hAnsi="Times New Roman"/>
          <w:sz w:val="24"/>
          <w:szCs w:val="24"/>
        </w:rPr>
        <w:t xml:space="preserve"> the reporting structure and </w:t>
      </w:r>
      <w:r w:rsidR="00FD25A1">
        <w:rPr>
          <w:rFonts w:ascii="Times New Roman" w:hAnsi="Times New Roman"/>
          <w:sz w:val="24"/>
          <w:szCs w:val="24"/>
        </w:rPr>
        <w:t>requirements</w:t>
      </w:r>
      <w:r w:rsidR="00894AC7">
        <w:rPr>
          <w:rFonts w:ascii="Times New Roman" w:hAnsi="Times New Roman"/>
          <w:sz w:val="24"/>
          <w:szCs w:val="24"/>
        </w:rPr>
        <w:t>.</w:t>
      </w:r>
      <w:r w:rsidR="00535A04">
        <w:rPr>
          <w:rFonts w:ascii="Times New Roman" w:hAnsi="Times New Roman"/>
          <w:sz w:val="24"/>
          <w:szCs w:val="24"/>
        </w:rPr>
        <w:t xml:space="preserve"> </w:t>
      </w:r>
      <w:r w:rsidR="00894AC7">
        <w:rPr>
          <w:rFonts w:ascii="Times New Roman" w:hAnsi="Times New Roman"/>
          <w:sz w:val="24"/>
          <w:szCs w:val="24"/>
        </w:rPr>
        <w:t xml:space="preserve">Updates to this edition of the </w:t>
      </w:r>
      <w:r w:rsidR="00F05CCC">
        <w:rPr>
          <w:rFonts w:ascii="Times New Roman" w:hAnsi="Times New Roman"/>
          <w:sz w:val="24"/>
          <w:szCs w:val="24"/>
        </w:rPr>
        <w:t xml:space="preserve">Application/Annual Report Guidance </w:t>
      </w:r>
      <w:r w:rsidR="00705897">
        <w:rPr>
          <w:rFonts w:ascii="Times New Roman" w:hAnsi="Times New Roman"/>
          <w:sz w:val="24"/>
          <w:szCs w:val="24"/>
        </w:rPr>
        <w:t xml:space="preserve">build on the reporting refinements and </w:t>
      </w:r>
      <w:r w:rsidR="00894AC7">
        <w:rPr>
          <w:rFonts w:ascii="Times New Roman" w:hAnsi="Times New Roman"/>
          <w:sz w:val="24"/>
          <w:szCs w:val="24"/>
        </w:rPr>
        <w:t>seek to further advance the f</w:t>
      </w:r>
      <w:r w:rsidRPr="0004690C" w:rsidR="00894AC7">
        <w:rPr>
          <w:rFonts w:ascii="Times New Roman" w:hAnsi="Times New Roman"/>
          <w:sz w:val="24"/>
          <w:szCs w:val="24"/>
        </w:rPr>
        <w:t>ed</w:t>
      </w:r>
      <w:r w:rsidR="00894AC7">
        <w:rPr>
          <w:rFonts w:ascii="Times New Roman" w:hAnsi="Times New Roman"/>
          <w:sz w:val="24"/>
          <w:szCs w:val="24"/>
        </w:rPr>
        <w:t>eral-s</w:t>
      </w:r>
      <w:r w:rsidRPr="0004690C" w:rsidR="00894AC7">
        <w:rPr>
          <w:rFonts w:ascii="Times New Roman" w:hAnsi="Times New Roman"/>
          <w:sz w:val="24"/>
          <w:szCs w:val="24"/>
        </w:rPr>
        <w:t>tate MCH partnership</w:t>
      </w:r>
      <w:r w:rsidR="00705897">
        <w:rPr>
          <w:rFonts w:ascii="Times New Roman" w:hAnsi="Times New Roman"/>
          <w:sz w:val="24"/>
          <w:szCs w:val="24"/>
        </w:rPr>
        <w:t>.</w:t>
      </w:r>
      <w:r w:rsidR="00535A04">
        <w:rPr>
          <w:rFonts w:ascii="Times New Roman" w:hAnsi="Times New Roman"/>
          <w:sz w:val="24"/>
          <w:szCs w:val="24"/>
        </w:rPr>
        <w:t xml:space="preserve"> </w:t>
      </w:r>
      <w:r w:rsidR="00705897">
        <w:rPr>
          <w:rFonts w:ascii="Times New Roman" w:hAnsi="Times New Roman"/>
          <w:sz w:val="24"/>
          <w:szCs w:val="24"/>
        </w:rPr>
        <w:t>C</w:t>
      </w:r>
      <w:r w:rsidR="008B2428">
        <w:rPr>
          <w:rFonts w:ascii="Times New Roman" w:hAnsi="Times New Roman"/>
          <w:sz w:val="24"/>
          <w:szCs w:val="24"/>
        </w:rPr>
        <w:t>larifying instructions and su</w:t>
      </w:r>
      <w:r w:rsidR="00686C33">
        <w:rPr>
          <w:rFonts w:ascii="Times New Roman" w:hAnsi="Times New Roman"/>
          <w:sz w:val="24"/>
          <w:szCs w:val="24"/>
        </w:rPr>
        <w:t xml:space="preserve">pportive </w:t>
      </w:r>
      <w:r w:rsidR="008B2428">
        <w:rPr>
          <w:rFonts w:ascii="Times New Roman" w:hAnsi="Times New Roman"/>
          <w:sz w:val="24"/>
          <w:szCs w:val="24"/>
        </w:rPr>
        <w:t>b</w:t>
      </w:r>
      <w:r w:rsidR="00884EDD">
        <w:rPr>
          <w:rFonts w:ascii="Times New Roman" w:hAnsi="Times New Roman"/>
          <w:sz w:val="24"/>
          <w:szCs w:val="24"/>
        </w:rPr>
        <w:t xml:space="preserve">ackground and resource information </w:t>
      </w:r>
      <w:r w:rsidR="00705897">
        <w:rPr>
          <w:rFonts w:ascii="Times New Roman" w:hAnsi="Times New Roman"/>
          <w:sz w:val="24"/>
          <w:szCs w:val="24"/>
        </w:rPr>
        <w:t xml:space="preserve">have been </w:t>
      </w:r>
      <w:r w:rsidR="00430446">
        <w:rPr>
          <w:rFonts w:ascii="Times New Roman" w:hAnsi="Times New Roman"/>
          <w:sz w:val="24"/>
          <w:szCs w:val="24"/>
        </w:rPr>
        <w:t>a</w:t>
      </w:r>
      <w:r w:rsidR="008B2428">
        <w:rPr>
          <w:rFonts w:ascii="Times New Roman" w:hAnsi="Times New Roman"/>
          <w:sz w:val="24"/>
          <w:szCs w:val="24"/>
        </w:rPr>
        <w:t>dded t</w:t>
      </w:r>
      <w:r w:rsidR="00936989">
        <w:rPr>
          <w:rFonts w:ascii="Times New Roman" w:hAnsi="Times New Roman"/>
          <w:sz w:val="24"/>
          <w:szCs w:val="24"/>
        </w:rPr>
        <w:t xml:space="preserve">o </w:t>
      </w:r>
      <w:r w:rsidR="00C65B09">
        <w:rPr>
          <w:rFonts w:ascii="Times New Roman" w:hAnsi="Times New Roman"/>
          <w:sz w:val="24"/>
          <w:szCs w:val="24"/>
        </w:rPr>
        <w:t xml:space="preserve">assist states in </w:t>
      </w:r>
      <w:r w:rsidR="00C73895">
        <w:rPr>
          <w:rFonts w:ascii="Times New Roman" w:hAnsi="Times New Roman"/>
          <w:sz w:val="24"/>
          <w:szCs w:val="24"/>
        </w:rPr>
        <w:t xml:space="preserve">the development of an Application/Annual Report that provides </w:t>
      </w:r>
      <w:r w:rsidRPr="00014C01" w:rsidR="00F34AD2">
        <w:rPr>
          <w:rFonts w:ascii="Times New Roman" w:eastAsia="Times New Roman" w:hAnsi="Times New Roman"/>
          <w:sz w:val="24"/>
          <w:szCs w:val="24"/>
        </w:rPr>
        <w:t xml:space="preserve">an articulate and comprehensive description of </w:t>
      </w:r>
      <w:r w:rsidR="009B7AA7">
        <w:rPr>
          <w:rFonts w:ascii="Times New Roman" w:eastAsia="Times New Roman" w:hAnsi="Times New Roman"/>
          <w:sz w:val="24"/>
          <w:szCs w:val="24"/>
        </w:rPr>
        <w:t xml:space="preserve">their </w:t>
      </w:r>
      <w:r w:rsidRPr="00014C01" w:rsidR="00F34AD2">
        <w:rPr>
          <w:rFonts w:ascii="Times New Roman" w:eastAsia="Times New Roman" w:hAnsi="Times New Roman"/>
          <w:sz w:val="24"/>
          <w:szCs w:val="24"/>
        </w:rPr>
        <w:t xml:space="preserve">Title V program </w:t>
      </w:r>
      <w:r w:rsidR="00430446">
        <w:rPr>
          <w:rFonts w:ascii="Times New Roman" w:eastAsia="Times New Roman" w:hAnsi="Times New Roman"/>
          <w:sz w:val="24"/>
          <w:szCs w:val="24"/>
        </w:rPr>
        <w:t xml:space="preserve">priorities, </w:t>
      </w:r>
      <w:r w:rsidR="000146D9">
        <w:rPr>
          <w:rFonts w:ascii="Times New Roman" w:eastAsia="Times New Roman" w:hAnsi="Times New Roman"/>
          <w:sz w:val="24"/>
          <w:szCs w:val="24"/>
        </w:rPr>
        <w:t xml:space="preserve">informs </w:t>
      </w:r>
      <w:r w:rsidR="00F67F61">
        <w:rPr>
          <w:rFonts w:ascii="Times New Roman" w:eastAsia="Times New Roman" w:hAnsi="Times New Roman"/>
          <w:sz w:val="24"/>
          <w:szCs w:val="24"/>
        </w:rPr>
        <w:t xml:space="preserve">their action planning and </w:t>
      </w:r>
      <w:r w:rsidR="000146D9">
        <w:rPr>
          <w:rFonts w:ascii="Times New Roman" w:eastAsia="Times New Roman" w:hAnsi="Times New Roman"/>
          <w:sz w:val="24"/>
          <w:szCs w:val="24"/>
        </w:rPr>
        <w:t>demonstrates</w:t>
      </w:r>
      <w:r w:rsidR="00F67F61">
        <w:rPr>
          <w:rFonts w:ascii="Times New Roman" w:eastAsia="Times New Roman" w:hAnsi="Times New Roman"/>
          <w:sz w:val="24"/>
          <w:szCs w:val="24"/>
        </w:rPr>
        <w:t xml:space="preserve"> their </w:t>
      </w:r>
      <w:r w:rsidR="00884EDD">
        <w:rPr>
          <w:rFonts w:ascii="Times New Roman" w:eastAsia="Times New Roman" w:hAnsi="Times New Roman"/>
          <w:sz w:val="24"/>
          <w:szCs w:val="24"/>
        </w:rPr>
        <w:t>l</w:t>
      </w:r>
      <w:r w:rsidRPr="00014C01" w:rsidR="00F34AD2">
        <w:rPr>
          <w:rFonts w:ascii="Times New Roman" w:eastAsia="Times New Roman" w:hAnsi="Times New Roman"/>
          <w:sz w:val="24"/>
          <w:szCs w:val="24"/>
        </w:rPr>
        <w:t>eadership efforts</w:t>
      </w:r>
      <w:r w:rsidR="00F34AD2">
        <w:rPr>
          <w:rFonts w:ascii="Times New Roman" w:eastAsia="Times New Roman" w:hAnsi="Times New Roman"/>
          <w:sz w:val="24"/>
          <w:szCs w:val="24"/>
        </w:rPr>
        <w:t>.</w:t>
      </w:r>
      <w:r w:rsidR="00535A04">
        <w:rPr>
          <w:rFonts w:ascii="Times New Roman" w:eastAsia="Times New Roman" w:hAnsi="Times New Roman"/>
          <w:sz w:val="24"/>
          <w:szCs w:val="24"/>
        </w:rPr>
        <w:t xml:space="preserve"> </w:t>
      </w:r>
    </w:p>
    <w:p w:rsidR="00AF4E77" w:rsidP="005777D9" w14:paraId="681AB8DC" w14:textId="77777777">
      <w:pPr>
        <w:autoSpaceDE w:val="0"/>
        <w:autoSpaceDN w:val="0"/>
        <w:adjustRightInd w:val="0"/>
        <w:spacing w:after="0" w:line="240" w:lineRule="auto"/>
        <w:ind w:left="720"/>
        <w:rPr>
          <w:rFonts w:ascii="Times New Roman" w:hAnsi="Times New Roman"/>
          <w:sz w:val="24"/>
          <w:szCs w:val="24"/>
        </w:rPr>
      </w:pPr>
    </w:p>
    <w:p w:rsidR="0001618B" w:rsidRPr="00C74EB5" w:rsidP="000934B7" w14:paraId="6432BBAB" w14:textId="508E266B">
      <w:pPr>
        <w:autoSpaceDE w:val="0"/>
        <w:autoSpaceDN w:val="0"/>
        <w:adjustRightInd w:val="0"/>
        <w:spacing w:after="0" w:line="240" w:lineRule="auto"/>
        <w:ind w:left="720"/>
        <w:rPr>
          <w:rFonts w:ascii="Times New Roman" w:hAnsi="Times New Roman"/>
          <w:sz w:val="24"/>
          <w:szCs w:val="24"/>
        </w:rPr>
      </w:pPr>
      <w:r w:rsidRPr="00C74EB5">
        <w:rPr>
          <w:rFonts w:ascii="Times New Roman" w:hAnsi="Times New Roman"/>
          <w:sz w:val="24"/>
          <w:szCs w:val="24"/>
        </w:rPr>
        <w:t>The MCH Block Grant is a formula grant under</w:t>
      </w:r>
      <w:r w:rsidR="00892B79">
        <w:rPr>
          <w:rFonts w:ascii="Times New Roman" w:hAnsi="Times New Roman"/>
          <w:sz w:val="24"/>
          <w:szCs w:val="24"/>
        </w:rPr>
        <w:t xml:space="preserve"> which funds are awarded to 59 s</w:t>
      </w:r>
      <w:r w:rsidRPr="00C74EB5">
        <w:rPr>
          <w:rFonts w:ascii="Times New Roman" w:hAnsi="Times New Roman"/>
          <w:sz w:val="24"/>
          <w:szCs w:val="24"/>
        </w:rPr>
        <w:t>tates and</w:t>
      </w:r>
      <w:r w:rsidRPr="00C74EB5" w:rsidR="000934B7">
        <w:rPr>
          <w:rFonts w:ascii="Times New Roman" w:hAnsi="Times New Roman"/>
          <w:sz w:val="24"/>
          <w:szCs w:val="24"/>
        </w:rPr>
        <w:t xml:space="preserve"> </w:t>
      </w:r>
      <w:r w:rsidRPr="00C74EB5">
        <w:rPr>
          <w:rFonts w:ascii="Times New Roman" w:hAnsi="Times New Roman"/>
          <w:sz w:val="24"/>
          <w:szCs w:val="24"/>
        </w:rPr>
        <w:t>jurisdictions upon the submission of an acceptable plan t</w:t>
      </w:r>
      <w:r w:rsidR="00C416E4">
        <w:rPr>
          <w:rFonts w:ascii="Times New Roman" w:hAnsi="Times New Roman"/>
          <w:sz w:val="24"/>
          <w:szCs w:val="24"/>
        </w:rPr>
        <w:t xml:space="preserve">hat </w:t>
      </w:r>
      <w:r w:rsidR="00E6762B">
        <w:rPr>
          <w:rFonts w:ascii="Times New Roman" w:hAnsi="Times New Roman"/>
          <w:sz w:val="24"/>
          <w:szCs w:val="24"/>
        </w:rPr>
        <w:t xml:space="preserve">addresses </w:t>
      </w:r>
      <w:r w:rsidRPr="00C74EB5">
        <w:rPr>
          <w:rFonts w:ascii="Times New Roman" w:hAnsi="Times New Roman"/>
          <w:sz w:val="24"/>
          <w:szCs w:val="24"/>
        </w:rPr>
        <w:t xml:space="preserve">the health services needs </w:t>
      </w:r>
      <w:r w:rsidR="00D34D06">
        <w:rPr>
          <w:rFonts w:ascii="Times New Roman" w:hAnsi="Times New Roman"/>
          <w:sz w:val="24"/>
          <w:szCs w:val="24"/>
        </w:rPr>
        <w:t xml:space="preserve">within a </w:t>
      </w:r>
      <w:r w:rsidR="00892B79">
        <w:rPr>
          <w:rFonts w:ascii="Times New Roman" w:hAnsi="Times New Roman"/>
          <w:sz w:val="24"/>
          <w:szCs w:val="24"/>
        </w:rPr>
        <w:t>s</w:t>
      </w:r>
      <w:r w:rsidR="00D34D06">
        <w:rPr>
          <w:rFonts w:ascii="Times New Roman" w:hAnsi="Times New Roman"/>
          <w:sz w:val="24"/>
          <w:szCs w:val="24"/>
        </w:rPr>
        <w:t xml:space="preserve">tate </w:t>
      </w:r>
      <w:r w:rsidR="00B14ECA">
        <w:rPr>
          <w:rFonts w:ascii="Times New Roman" w:hAnsi="Times New Roman"/>
          <w:sz w:val="24"/>
          <w:szCs w:val="24"/>
        </w:rPr>
        <w:t xml:space="preserve">for </w:t>
      </w:r>
      <w:r w:rsidR="008721C3">
        <w:rPr>
          <w:rFonts w:ascii="Times New Roman" w:hAnsi="Times New Roman"/>
          <w:sz w:val="24"/>
          <w:szCs w:val="24"/>
        </w:rPr>
        <w:t xml:space="preserve">the </w:t>
      </w:r>
      <w:r w:rsidRPr="00C74EB5">
        <w:rPr>
          <w:rFonts w:ascii="Times New Roman" w:hAnsi="Times New Roman"/>
          <w:sz w:val="24"/>
          <w:szCs w:val="24"/>
        </w:rPr>
        <w:t>target population</w:t>
      </w:r>
      <w:r w:rsidR="00D34D06">
        <w:rPr>
          <w:rFonts w:ascii="Times New Roman" w:hAnsi="Times New Roman"/>
          <w:sz w:val="24"/>
          <w:szCs w:val="24"/>
        </w:rPr>
        <w:t xml:space="preserve"> of </w:t>
      </w:r>
      <w:r w:rsidRPr="00C74EB5">
        <w:rPr>
          <w:rFonts w:ascii="Times New Roman" w:hAnsi="Times New Roman"/>
          <w:sz w:val="24"/>
          <w:szCs w:val="24"/>
        </w:rPr>
        <w:t>mothers, infants</w:t>
      </w:r>
      <w:r w:rsidR="008721C3">
        <w:rPr>
          <w:rFonts w:ascii="Times New Roman" w:hAnsi="Times New Roman"/>
          <w:sz w:val="24"/>
          <w:szCs w:val="24"/>
        </w:rPr>
        <w:t xml:space="preserve"> and </w:t>
      </w:r>
      <w:r w:rsidRPr="00C74EB5">
        <w:rPr>
          <w:rFonts w:ascii="Times New Roman" w:hAnsi="Times New Roman"/>
          <w:sz w:val="24"/>
          <w:szCs w:val="24"/>
        </w:rPr>
        <w:t>children</w:t>
      </w:r>
      <w:r w:rsidR="008721C3">
        <w:rPr>
          <w:rFonts w:ascii="Times New Roman" w:hAnsi="Times New Roman"/>
          <w:sz w:val="24"/>
          <w:szCs w:val="24"/>
        </w:rPr>
        <w:t xml:space="preserve">, which includes </w:t>
      </w:r>
      <w:r w:rsidR="00B14ECA">
        <w:rPr>
          <w:rFonts w:ascii="Times New Roman" w:hAnsi="Times New Roman"/>
          <w:sz w:val="24"/>
          <w:szCs w:val="24"/>
        </w:rPr>
        <w:t xml:space="preserve">children </w:t>
      </w:r>
      <w:r w:rsidR="00E6762B">
        <w:rPr>
          <w:rFonts w:ascii="Times New Roman" w:hAnsi="Times New Roman"/>
          <w:sz w:val="24"/>
          <w:szCs w:val="24"/>
        </w:rPr>
        <w:t xml:space="preserve">with </w:t>
      </w:r>
      <w:r w:rsidRPr="00C74EB5">
        <w:rPr>
          <w:rFonts w:ascii="Times New Roman" w:hAnsi="Times New Roman"/>
          <w:sz w:val="24"/>
          <w:szCs w:val="24"/>
        </w:rPr>
        <w:t>special health care needs</w:t>
      </w:r>
      <w:r w:rsidR="0086508A">
        <w:rPr>
          <w:rFonts w:ascii="Times New Roman" w:hAnsi="Times New Roman"/>
          <w:sz w:val="24"/>
          <w:szCs w:val="24"/>
        </w:rPr>
        <w:t xml:space="preserve"> (CSHCN)</w:t>
      </w:r>
      <w:r w:rsidR="00D265F8">
        <w:rPr>
          <w:rFonts w:ascii="Times New Roman" w:hAnsi="Times New Roman"/>
          <w:sz w:val="24"/>
          <w:szCs w:val="24"/>
        </w:rPr>
        <w:t>.</w:t>
      </w:r>
      <w:r w:rsidR="00535A04">
        <w:rPr>
          <w:rFonts w:ascii="Times New Roman" w:hAnsi="Times New Roman"/>
          <w:sz w:val="24"/>
          <w:szCs w:val="24"/>
        </w:rPr>
        <w:t xml:space="preserve"> </w:t>
      </w:r>
      <w:r w:rsidR="00B14ECA">
        <w:rPr>
          <w:rFonts w:ascii="Times New Roman" w:hAnsi="Times New Roman"/>
          <w:sz w:val="24"/>
          <w:szCs w:val="24"/>
        </w:rPr>
        <w:t>T</w:t>
      </w:r>
      <w:r w:rsidRPr="00C74EB5">
        <w:rPr>
          <w:rFonts w:ascii="Times New Roman" w:hAnsi="Times New Roman"/>
          <w:sz w:val="24"/>
          <w:szCs w:val="24"/>
        </w:rPr>
        <w:t xml:space="preserve">hrough this process, each </w:t>
      </w:r>
      <w:r w:rsidR="00892B79">
        <w:rPr>
          <w:rFonts w:ascii="Times New Roman" w:hAnsi="Times New Roman"/>
          <w:sz w:val="24"/>
          <w:szCs w:val="24"/>
        </w:rPr>
        <w:t>s</w:t>
      </w:r>
      <w:r w:rsidRPr="00C74EB5">
        <w:rPr>
          <w:rFonts w:ascii="Times New Roman" w:hAnsi="Times New Roman"/>
          <w:sz w:val="24"/>
          <w:szCs w:val="24"/>
        </w:rPr>
        <w:t xml:space="preserve">tate and jurisdiction </w:t>
      </w:r>
      <w:r w:rsidR="00E6762B">
        <w:rPr>
          <w:rFonts w:ascii="Times New Roman" w:hAnsi="Times New Roman"/>
          <w:sz w:val="24"/>
          <w:szCs w:val="24"/>
        </w:rPr>
        <w:t xml:space="preserve">supports </w:t>
      </w:r>
      <w:r w:rsidRPr="00C74EB5">
        <w:rPr>
          <w:rFonts w:ascii="Times New Roman" w:hAnsi="Times New Roman"/>
          <w:sz w:val="24"/>
          <w:szCs w:val="24"/>
        </w:rPr>
        <w:t>and promote</w:t>
      </w:r>
      <w:r w:rsidR="00E6762B">
        <w:rPr>
          <w:rFonts w:ascii="Times New Roman" w:hAnsi="Times New Roman"/>
          <w:sz w:val="24"/>
          <w:szCs w:val="24"/>
        </w:rPr>
        <w:t>s</w:t>
      </w:r>
      <w:r w:rsidRPr="00C74EB5">
        <w:rPr>
          <w:rFonts w:ascii="Times New Roman" w:hAnsi="Times New Roman"/>
          <w:sz w:val="24"/>
          <w:szCs w:val="24"/>
        </w:rPr>
        <w:t xml:space="preserve"> the development</w:t>
      </w:r>
      <w:r w:rsidRPr="00C74EB5" w:rsidR="000934B7">
        <w:rPr>
          <w:rFonts w:ascii="Times New Roman" w:hAnsi="Times New Roman"/>
          <w:sz w:val="24"/>
          <w:szCs w:val="24"/>
        </w:rPr>
        <w:t xml:space="preserve"> </w:t>
      </w:r>
      <w:r w:rsidRPr="00C74EB5">
        <w:rPr>
          <w:rFonts w:ascii="Times New Roman" w:hAnsi="Times New Roman"/>
          <w:sz w:val="24"/>
          <w:szCs w:val="24"/>
        </w:rPr>
        <w:t xml:space="preserve">and coordination of systems of care </w:t>
      </w:r>
      <w:r w:rsidR="00E6762B">
        <w:rPr>
          <w:rFonts w:ascii="Times New Roman" w:hAnsi="Times New Roman"/>
          <w:sz w:val="24"/>
          <w:szCs w:val="24"/>
        </w:rPr>
        <w:t xml:space="preserve">for the MCH population, which </w:t>
      </w:r>
      <w:r w:rsidRPr="00C74EB5">
        <w:rPr>
          <w:rFonts w:ascii="Times New Roman" w:hAnsi="Times New Roman"/>
          <w:sz w:val="24"/>
          <w:szCs w:val="24"/>
        </w:rPr>
        <w:t>are family-centered, community-based and culturally</w:t>
      </w:r>
      <w:r w:rsidRPr="00C74EB5" w:rsidR="000934B7">
        <w:rPr>
          <w:rFonts w:ascii="Times New Roman" w:hAnsi="Times New Roman"/>
          <w:sz w:val="24"/>
          <w:szCs w:val="24"/>
        </w:rPr>
        <w:t xml:space="preserve"> </w:t>
      </w:r>
      <w:r w:rsidRPr="00C74EB5">
        <w:rPr>
          <w:rFonts w:ascii="Times New Roman" w:hAnsi="Times New Roman"/>
          <w:sz w:val="24"/>
          <w:szCs w:val="24"/>
        </w:rPr>
        <w:t>appropriate.</w:t>
      </w:r>
    </w:p>
    <w:p w:rsidR="0001618B" w:rsidRPr="00E371A6" w:rsidP="000934B7" w14:paraId="0956709B" w14:textId="77777777">
      <w:pPr>
        <w:autoSpaceDE w:val="0"/>
        <w:autoSpaceDN w:val="0"/>
        <w:adjustRightInd w:val="0"/>
        <w:spacing w:after="0" w:line="240" w:lineRule="auto"/>
        <w:ind w:left="720"/>
        <w:rPr>
          <w:rFonts w:ascii="Times New Roman" w:hAnsi="Times New Roman"/>
          <w:color w:val="31849B"/>
          <w:sz w:val="24"/>
          <w:szCs w:val="24"/>
        </w:rPr>
      </w:pPr>
    </w:p>
    <w:p w:rsidR="00CB509A" w:rsidRPr="00C74EB5" w:rsidP="000934B7" w14:paraId="542AA9D9" w14:textId="77777777">
      <w:pPr>
        <w:autoSpaceDE w:val="0"/>
        <w:autoSpaceDN w:val="0"/>
        <w:adjustRightInd w:val="0"/>
        <w:spacing w:after="0" w:line="240" w:lineRule="auto"/>
        <w:ind w:left="720"/>
        <w:rPr>
          <w:rFonts w:ascii="Times New Roman" w:hAnsi="Times New Roman"/>
          <w:sz w:val="24"/>
          <w:szCs w:val="24"/>
        </w:rPr>
      </w:pPr>
      <w:r w:rsidRPr="00C74EB5">
        <w:rPr>
          <w:rFonts w:ascii="Times New Roman" w:hAnsi="Times New Roman"/>
          <w:b/>
          <w:bCs/>
          <w:sz w:val="24"/>
          <w:szCs w:val="24"/>
        </w:rPr>
        <w:t>History</w:t>
      </w:r>
    </w:p>
    <w:p w:rsidR="0013243B" w:rsidP="000934B7" w14:paraId="03C2C4E0" w14:textId="77777777">
      <w:pPr>
        <w:autoSpaceDE w:val="0"/>
        <w:autoSpaceDN w:val="0"/>
        <w:adjustRightInd w:val="0"/>
        <w:spacing w:after="0" w:line="240" w:lineRule="auto"/>
        <w:ind w:left="720"/>
        <w:rPr>
          <w:rFonts w:ascii="Times New Roman" w:hAnsi="Times New Roman"/>
          <w:sz w:val="24"/>
          <w:szCs w:val="24"/>
        </w:rPr>
      </w:pPr>
    </w:p>
    <w:p w:rsidR="0013243B" w:rsidRPr="001A596A" w:rsidP="0013243B" w14:paraId="62076D16"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T</w:t>
      </w:r>
      <w:r w:rsidRPr="001A596A">
        <w:rPr>
          <w:rFonts w:ascii="Times New Roman" w:hAnsi="Times New Roman"/>
          <w:sz w:val="24"/>
          <w:szCs w:val="24"/>
        </w:rPr>
        <w:t xml:space="preserve">he purpose of the Title V MCH Services Block Grant </w:t>
      </w:r>
      <w:r>
        <w:rPr>
          <w:rFonts w:ascii="Times New Roman" w:hAnsi="Times New Roman"/>
          <w:sz w:val="24"/>
          <w:szCs w:val="24"/>
        </w:rPr>
        <w:t>i</w:t>
      </w:r>
      <w:r w:rsidRPr="001A596A">
        <w:rPr>
          <w:rFonts w:ascii="Times New Roman" w:hAnsi="Times New Roman"/>
          <w:sz w:val="24"/>
          <w:szCs w:val="24"/>
        </w:rPr>
        <w:t xml:space="preserve">s to </w:t>
      </w:r>
      <w:r>
        <w:rPr>
          <w:rFonts w:ascii="Times New Roman" w:hAnsi="Times New Roman"/>
          <w:sz w:val="24"/>
          <w:szCs w:val="24"/>
        </w:rPr>
        <w:t xml:space="preserve">create federal/state partnerships in all 59 states/jurisdictions that support service systems for addressing MCH </w:t>
      </w:r>
      <w:r w:rsidRPr="001A596A">
        <w:rPr>
          <w:rFonts w:ascii="Times New Roman" w:hAnsi="Times New Roman"/>
          <w:sz w:val="24"/>
          <w:szCs w:val="24"/>
        </w:rPr>
        <w:t>challenges</w:t>
      </w:r>
      <w:r>
        <w:rPr>
          <w:rFonts w:ascii="Times New Roman" w:hAnsi="Times New Roman"/>
          <w:sz w:val="24"/>
          <w:szCs w:val="24"/>
        </w:rPr>
        <w:t>, such as:</w:t>
      </w:r>
    </w:p>
    <w:p w:rsidR="0013243B" w:rsidRPr="001A596A" w:rsidP="00C50D5F" w14:paraId="51F0C92C"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Significantly reducing infant mortality;</w:t>
      </w:r>
    </w:p>
    <w:p w:rsidR="0013243B" w:rsidRPr="001A596A" w:rsidP="00C50D5F" w14:paraId="1D627135"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comprehensive care for women before, during, and after pregnancy and childbirth;</w:t>
      </w:r>
    </w:p>
    <w:p w:rsidR="0013243B" w:rsidRPr="001A596A" w:rsidP="00C50D5F" w14:paraId="649DB806"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preventive and primary care services for infants, children, and adolescents;</w:t>
      </w:r>
    </w:p>
    <w:p w:rsidR="0013243B" w:rsidRPr="001A596A" w:rsidP="00C50D5F" w14:paraId="11A999BF"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comprehensive care for children and adolescents with special health care needs;</w:t>
      </w:r>
    </w:p>
    <w:p w:rsidR="0013243B" w:rsidRPr="001A596A" w:rsidP="00C50D5F" w14:paraId="327BE684"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Immunizing all children;</w:t>
      </w:r>
    </w:p>
    <w:p w:rsidR="0013243B" w:rsidRPr="001A596A" w:rsidP="00C50D5F" w14:paraId="56471D49"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Reducing adolescent pregnancy;</w:t>
      </w:r>
    </w:p>
    <w:p w:rsidR="0013243B" w:rsidRPr="001A596A" w:rsidP="00C50D5F" w14:paraId="013B505E"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Putting into community practice national standards and guidelines for prenatal care, for healthy and safe child care, and for the health supervision of infants, children, and adolescents;</w:t>
      </w:r>
    </w:p>
    <w:p w:rsidR="0013243B" w:rsidRPr="001A596A" w:rsidP="00C50D5F" w14:paraId="5B86C744"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Assuring access to care for all mothers and children; and</w:t>
      </w:r>
    </w:p>
    <w:p w:rsidR="0013243B" w:rsidRPr="001A596A" w:rsidP="00C50D5F" w14:paraId="5C97607B"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Meeting the nutritional and developmental needs of mothers, children, and families.</w:t>
      </w:r>
    </w:p>
    <w:p w:rsidR="0013243B" w:rsidRPr="00E371A6" w:rsidP="0013243B" w14:paraId="365D3FC0" w14:textId="77777777">
      <w:pPr>
        <w:autoSpaceDE w:val="0"/>
        <w:autoSpaceDN w:val="0"/>
        <w:adjustRightInd w:val="0"/>
        <w:spacing w:after="0" w:line="240" w:lineRule="auto"/>
        <w:ind w:left="720"/>
        <w:rPr>
          <w:rFonts w:ascii="Times New Roman" w:hAnsi="Times New Roman"/>
          <w:color w:val="31849B"/>
          <w:sz w:val="24"/>
          <w:szCs w:val="24"/>
        </w:rPr>
      </w:pPr>
    </w:p>
    <w:p w:rsidR="00CB509A" w:rsidRPr="00762308" w:rsidP="000934B7" w14:paraId="32638643" w14:textId="5E7C5A1C">
      <w:pPr>
        <w:autoSpaceDE w:val="0"/>
        <w:autoSpaceDN w:val="0"/>
        <w:adjustRightInd w:val="0"/>
        <w:spacing w:after="0" w:line="240" w:lineRule="auto"/>
        <w:ind w:left="720"/>
        <w:rPr>
          <w:rFonts w:ascii="Times New Roman" w:hAnsi="Times New Roman"/>
          <w:sz w:val="24"/>
          <w:szCs w:val="24"/>
        </w:rPr>
      </w:pPr>
      <w:r w:rsidRPr="00762308">
        <w:rPr>
          <w:rFonts w:ascii="Times New Roman" w:hAnsi="Times New Roman"/>
          <w:sz w:val="24"/>
          <w:szCs w:val="24"/>
        </w:rPr>
        <w:t xml:space="preserve">The </w:t>
      </w:r>
      <w:r w:rsidR="00892B79">
        <w:rPr>
          <w:rFonts w:ascii="Times New Roman" w:hAnsi="Times New Roman"/>
          <w:sz w:val="24"/>
          <w:szCs w:val="24"/>
        </w:rPr>
        <w:t>s</w:t>
      </w:r>
      <w:r w:rsidRPr="00762308">
        <w:rPr>
          <w:rFonts w:ascii="Times New Roman" w:hAnsi="Times New Roman"/>
          <w:sz w:val="24"/>
          <w:szCs w:val="24"/>
        </w:rPr>
        <w:t xml:space="preserve">tate health programs for mothers and children date </w:t>
      </w:r>
      <w:r w:rsidR="005E3221">
        <w:rPr>
          <w:rFonts w:ascii="Times New Roman" w:hAnsi="Times New Roman"/>
          <w:sz w:val="24"/>
          <w:szCs w:val="24"/>
        </w:rPr>
        <w:t xml:space="preserve">back </w:t>
      </w:r>
      <w:r w:rsidRPr="00762308">
        <w:rPr>
          <w:rFonts w:ascii="Times New Roman" w:hAnsi="Times New Roman"/>
          <w:sz w:val="24"/>
          <w:szCs w:val="24"/>
        </w:rPr>
        <w:t>to 1935</w:t>
      </w:r>
      <w:r w:rsidR="0021012A">
        <w:rPr>
          <w:rFonts w:ascii="Times New Roman" w:hAnsi="Times New Roman"/>
          <w:sz w:val="24"/>
          <w:szCs w:val="24"/>
        </w:rPr>
        <w:t>,</w:t>
      </w:r>
      <w:r w:rsidRPr="00762308">
        <w:rPr>
          <w:rFonts w:ascii="Times New Roman" w:hAnsi="Times New Roman"/>
          <w:sz w:val="24"/>
          <w:szCs w:val="24"/>
        </w:rPr>
        <w:t xml:space="preserve"> when these programs were</w:t>
      </w:r>
      <w:r w:rsidRPr="00762308" w:rsidR="000934B7">
        <w:rPr>
          <w:rFonts w:ascii="Times New Roman" w:hAnsi="Times New Roman"/>
          <w:sz w:val="24"/>
          <w:szCs w:val="24"/>
        </w:rPr>
        <w:t xml:space="preserve"> </w:t>
      </w:r>
      <w:r w:rsidRPr="00762308">
        <w:rPr>
          <w:rFonts w:ascii="Times New Roman" w:hAnsi="Times New Roman"/>
          <w:sz w:val="24"/>
          <w:szCs w:val="24"/>
        </w:rPr>
        <w:t>first authorized under Title V of the original Social Security Act.</w:t>
      </w:r>
      <w:r w:rsidR="00535A04">
        <w:rPr>
          <w:rFonts w:ascii="Times New Roman" w:hAnsi="Times New Roman"/>
          <w:sz w:val="24"/>
          <w:szCs w:val="24"/>
        </w:rPr>
        <w:t xml:space="preserve"> </w:t>
      </w:r>
      <w:r w:rsidRPr="00762308">
        <w:rPr>
          <w:rFonts w:ascii="Times New Roman" w:hAnsi="Times New Roman"/>
          <w:sz w:val="24"/>
          <w:szCs w:val="24"/>
        </w:rPr>
        <w:t>In 1981, Title V was amended</w:t>
      </w:r>
      <w:r w:rsidRPr="00762308" w:rsidR="000934B7">
        <w:rPr>
          <w:rFonts w:ascii="Times New Roman" w:hAnsi="Times New Roman"/>
          <w:sz w:val="24"/>
          <w:szCs w:val="24"/>
        </w:rPr>
        <w:t xml:space="preserve"> </w:t>
      </w:r>
      <w:r w:rsidRPr="00762308">
        <w:rPr>
          <w:rFonts w:ascii="Times New Roman" w:hAnsi="Times New Roman"/>
          <w:sz w:val="24"/>
          <w:szCs w:val="24"/>
        </w:rPr>
        <w:t xml:space="preserve">to create a single block grant </w:t>
      </w:r>
      <w:r w:rsidRPr="00762308" w:rsidR="00FC5D39">
        <w:rPr>
          <w:rFonts w:ascii="Times New Roman" w:hAnsi="Times New Roman"/>
          <w:sz w:val="24"/>
          <w:szCs w:val="24"/>
        </w:rPr>
        <w:t>program</w:t>
      </w:r>
      <w:r w:rsidR="00FC5D39">
        <w:rPr>
          <w:rFonts w:ascii="Times New Roman" w:hAnsi="Times New Roman"/>
          <w:sz w:val="24"/>
          <w:szCs w:val="24"/>
        </w:rPr>
        <w:t xml:space="preserve"> </w:t>
      </w:r>
      <w:r w:rsidRPr="00762308" w:rsidR="00FC5D39">
        <w:rPr>
          <w:rFonts w:ascii="Times New Roman" w:hAnsi="Times New Roman"/>
          <w:sz w:val="24"/>
          <w:szCs w:val="24"/>
        </w:rPr>
        <w:t>that</w:t>
      </w:r>
      <w:r w:rsidRPr="00762308">
        <w:rPr>
          <w:rFonts w:ascii="Times New Roman" w:hAnsi="Times New Roman"/>
          <w:sz w:val="24"/>
          <w:szCs w:val="24"/>
        </w:rPr>
        <w:t xml:space="preserve"> consolidated seven related categorical health</w:t>
      </w:r>
      <w:r w:rsidRPr="00762308" w:rsidR="000934B7">
        <w:rPr>
          <w:rFonts w:ascii="Times New Roman" w:hAnsi="Times New Roman"/>
          <w:sz w:val="24"/>
          <w:szCs w:val="24"/>
        </w:rPr>
        <w:t xml:space="preserve"> </w:t>
      </w:r>
      <w:r w:rsidRPr="00762308">
        <w:rPr>
          <w:rFonts w:ascii="Times New Roman" w:hAnsi="Times New Roman"/>
          <w:sz w:val="24"/>
          <w:szCs w:val="24"/>
        </w:rPr>
        <w:t>services programs for mothers and children into the MCH Services Block Grant.</w:t>
      </w:r>
      <w:r w:rsidR="00535A04">
        <w:rPr>
          <w:rFonts w:ascii="Times New Roman" w:hAnsi="Times New Roman"/>
          <w:sz w:val="24"/>
          <w:szCs w:val="24"/>
        </w:rPr>
        <w:t xml:space="preserve"> </w:t>
      </w:r>
      <w:r w:rsidRPr="00762308">
        <w:rPr>
          <w:rFonts w:ascii="Times New Roman" w:hAnsi="Times New Roman"/>
          <w:sz w:val="24"/>
          <w:szCs w:val="24"/>
        </w:rPr>
        <w:t>Programs</w:t>
      </w:r>
      <w:r w:rsidRPr="00762308" w:rsidR="000934B7">
        <w:rPr>
          <w:rFonts w:ascii="Times New Roman" w:hAnsi="Times New Roman"/>
          <w:sz w:val="24"/>
          <w:szCs w:val="24"/>
        </w:rPr>
        <w:t xml:space="preserve"> </w:t>
      </w:r>
      <w:r w:rsidRPr="00762308">
        <w:rPr>
          <w:rFonts w:ascii="Times New Roman" w:hAnsi="Times New Roman"/>
          <w:sz w:val="24"/>
          <w:szCs w:val="24"/>
        </w:rPr>
        <w:t xml:space="preserve">folded into the </w:t>
      </w:r>
      <w:r w:rsidR="005674CD">
        <w:rPr>
          <w:rFonts w:ascii="Times New Roman" w:hAnsi="Times New Roman"/>
          <w:sz w:val="24"/>
          <w:szCs w:val="24"/>
        </w:rPr>
        <w:t>MCH Block G</w:t>
      </w:r>
      <w:r w:rsidRPr="00762308">
        <w:rPr>
          <w:rFonts w:ascii="Times New Roman" w:hAnsi="Times New Roman"/>
          <w:sz w:val="24"/>
          <w:szCs w:val="24"/>
        </w:rPr>
        <w:t>rant included:</w:t>
      </w:r>
      <w:r w:rsidR="00535A04">
        <w:rPr>
          <w:rFonts w:ascii="Times New Roman" w:hAnsi="Times New Roman"/>
          <w:sz w:val="24"/>
          <w:szCs w:val="24"/>
        </w:rPr>
        <w:t xml:space="preserve"> </w:t>
      </w:r>
      <w:r w:rsidRPr="00762308">
        <w:rPr>
          <w:rFonts w:ascii="Times New Roman" w:hAnsi="Times New Roman"/>
          <w:sz w:val="24"/>
          <w:szCs w:val="24"/>
        </w:rPr>
        <w:t>Maternal and Child Health and Children with Special</w:t>
      </w:r>
      <w:r w:rsidRPr="00762308" w:rsidR="000934B7">
        <w:rPr>
          <w:rFonts w:ascii="Times New Roman" w:hAnsi="Times New Roman"/>
          <w:sz w:val="24"/>
          <w:szCs w:val="24"/>
        </w:rPr>
        <w:t xml:space="preserve"> </w:t>
      </w:r>
      <w:r w:rsidRPr="00762308">
        <w:rPr>
          <w:rFonts w:ascii="Times New Roman" w:hAnsi="Times New Roman"/>
          <w:sz w:val="24"/>
          <w:szCs w:val="24"/>
        </w:rPr>
        <w:t>Needs Services; Supplemental Security Income for Children with Disabilities Program; Lead-Based Poisoning Prevention; Genetic Disease; Sudden Infant Death Syndrome (SIDS);</w:t>
      </w:r>
      <w:r w:rsidRPr="00762308" w:rsidR="001E11F8">
        <w:rPr>
          <w:rFonts w:ascii="Times New Roman" w:hAnsi="Times New Roman"/>
          <w:sz w:val="24"/>
          <w:szCs w:val="24"/>
        </w:rPr>
        <w:t xml:space="preserve"> the </w:t>
      </w:r>
      <w:r w:rsidRPr="00762308">
        <w:rPr>
          <w:rFonts w:ascii="Times New Roman" w:hAnsi="Times New Roman"/>
          <w:sz w:val="24"/>
          <w:szCs w:val="24"/>
        </w:rPr>
        <w:t>Hemophilia Treatment Centers; and Adolescent Pregnancy Grants.</w:t>
      </w:r>
      <w:r w:rsidR="00535A04">
        <w:rPr>
          <w:rFonts w:ascii="Times New Roman" w:hAnsi="Times New Roman"/>
          <w:sz w:val="24"/>
          <w:szCs w:val="24"/>
        </w:rPr>
        <w:t xml:space="preserve"> </w:t>
      </w:r>
      <w:r w:rsidRPr="00762308">
        <w:rPr>
          <w:rFonts w:ascii="Times New Roman" w:hAnsi="Times New Roman"/>
          <w:sz w:val="24"/>
          <w:szCs w:val="24"/>
        </w:rPr>
        <w:t>In 1996, PL 104-193 created</w:t>
      </w:r>
      <w:r w:rsidRPr="00762308" w:rsidR="000934B7">
        <w:rPr>
          <w:rFonts w:ascii="Times New Roman" w:hAnsi="Times New Roman"/>
          <w:sz w:val="24"/>
          <w:szCs w:val="24"/>
        </w:rPr>
        <w:t xml:space="preserve"> </w:t>
      </w:r>
      <w:r w:rsidRPr="00762308">
        <w:rPr>
          <w:rFonts w:ascii="Times New Roman" w:hAnsi="Times New Roman"/>
          <w:sz w:val="24"/>
          <w:szCs w:val="24"/>
        </w:rPr>
        <w:t>a new section</w:t>
      </w:r>
      <w:r w:rsidR="005674CD">
        <w:rPr>
          <w:rFonts w:ascii="Times New Roman" w:hAnsi="Times New Roman"/>
          <w:sz w:val="24"/>
          <w:szCs w:val="24"/>
        </w:rPr>
        <w:t xml:space="preserve"> in </w:t>
      </w:r>
      <w:r w:rsidRPr="00762308">
        <w:rPr>
          <w:rFonts w:ascii="Times New Roman" w:hAnsi="Times New Roman"/>
          <w:sz w:val="24"/>
          <w:szCs w:val="24"/>
        </w:rPr>
        <w:t>Title V</w:t>
      </w:r>
      <w:r w:rsidR="005674CD">
        <w:rPr>
          <w:rFonts w:ascii="Times New Roman" w:hAnsi="Times New Roman"/>
          <w:sz w:val="24"/>
          <w:szCs w:val="24"/>
        </w:rPr>
        <w:t xml:space="preserve">, section 510, which </w:t>
      </w:r>
      <w:r w:rsidR="008721C3">
        <w:rPr>
          <w:rFonts w:ascii="Times New Roman" w:hAnsi="Times New Roman"/>
          <w:sz w:val="24"/>
          <w:szCs w:val="24"/>
        </w:rPr>
        <w:t>established a</w:t>
      </w:r>
      <w:r w:rsidRPr="00762308">
        <w:rPr>
          <w:rFonts w:ascii="Times New Roman" w:hAnsi="Times New Roman"/>
          <w:sz w:val="24"/>
          <w:szCs w:val="24"/>
        </w:rPr>
        <w:t xml:space="preserve"> separate program for abstinence education.</w:t>
      </w:r>
      <w:r w:rsidR="00535A04">
        <w:rPr>
          <w:rFonts w:ascii="Times New Roman" w:hAnsi="Times New Roman"/>
          <w:sz w:val="24"/>
          <w:szCs w:val="24"/>
        </w:rPr>
        <w:t xml:space="preserve"> </w:t>
      </w:r>
      <w:r w:rsidR="00762308">
        <w:rPr>
          <w:rFonts w:ascii="Times New Roman" w:hAnsi="Times New Roman"/>
          <w:sz w:val="24"/>
          <w:szCs w:val="24"/>
        </w:rPr>
        <w:t>More recently</w:t>
      </w:r>
      <w:r w:rsidR="00056E12">
        <w:rPr>
          <w:rFonts w:ascii="Times New Roman" w:hAnsi="Times New Roman"/>
          <w:sz w:val="24"/>
          <w:szCs w:val="24"/>
        </w:rPr>
        <w:t>, in 2010</w:t>
      </w:r>
      <w:r w:rsidR="00762308">
        <w:rPr>
          <w:rFonts w:ascii="Times New Roman" w:hAnsi="Times New Roman"/>
          <w:sz w:val="24"/>
          <w:szCs w:val="24"/>
        </w:rPr>
        <w:t>,</w:t>
      </w:r>
      <w:r w:rsidR="00215CB5">
        <w:rPr>
          <w:rFonts w:ascii="Times New Roman" w:hAnsi="Times New Roman"/>
          <w:sz w:val="24"/>
          <w:szCs w:val="24"/>
        </w:rPr>
        <w:t xml:space="preserve"> </w:t>
      </w:r>
      <w:r w:rsidR="00482374">
        <w:rPr>
          <w:rFonts w:ascii="Times New Roman" w:hAnsi="Times New Roman"/>
          <w:sz w:val="24"/>
          <w:szCs w:val="24"/>
        </w:rPr>
        <w:t>the Patient Protection and Afforda</w:t>
      </w:r>
      <w:r w:rsidR="00056E12">
        <w:rPr>
          <w:rFonts w:ascii="Times New Roman" w:hAnsi="Times New Roman"/>
          <w:sz w:val="24"/>
          <w:szCs w:val="24"/>
        </w:rPr>
        <w:t>ble Care Act (ACA) added a new s</w:t>
      </w:r>
      <w:r w:rsidR="00482374">
        <w:rPr>
          <w:rFonts w:ascii="Times New Roman" w:hAnsi="Times New Roman"/>
          <w:sz w:val="24"/>
          <w:szCs w:val="24"/>
        </w:rPr>
        <w:t>ection 511 to Title V of the Social Security Act</w:t>
      </w:r>
      <w:r w:rsidR="0017170D">
        <w:rPr>
          <w:rFonts w:ascii="Times New Roman" w:hAnsi="Times New Roman"/>
          <w:sz w:val="24"/>
          <w:szCs w:val="24"/>
        </w:rPr>
        <w:t xml:space="preserve">, which </w:t>
      </w:r>
      <w:r w:rsidR="00CA1D32">
        <w:rPr>
          <w:rFonts w:ascii="Times New Roman" w:hAnsi="Times New Roman"/>
          <w:sz w:val="24"/>
          <w:szCs w:val="24"/>
        </w:rPr>
        <w:t xml:space="preserve">created </w:t>
      </w:r>
      <w:r w:rsidR="00056E12">
        <w:rPr>
          <w:rFonts w:ascii="Times New Roman" w:hAnsi="Times New Roman"/>
          <w:sz w:val="24"/>
          <w:szCs w:val="24"/>
        </w:rPr>
        <w:t xml:space="preserve">the </w:t>
      </w:r>
      <w:r w:rsidR="005C5331">
        <w:rPr>
          <w:rFonts w:ascii="Times New Roman" w:hAnsi="Times New Roman"/>
          <w:sz w:val="24"/>
          <w:szCs w:val="24"/>
        </w:rPr>
        <w:t>Maternal, Infant and E</w:t>
      </w:r>
      <w:r w:rsidR="00482374">
        <w:rPr>
          <w:rFonts w:ascii="Times New Roman" w:hAnsi="Times New Roman"/>
          <w:sz w:val="24"/>
          <w:szCs w:val="24"/>
        </w:rPr>
        <w:t>arly Childhood Home Visiting Program.</w:t>
      </w:r>
      <w:r w:rsidR="00535A04">
        <w:rPr>
          <w:rFonts w:ascii="Times New Roman" w:hAnsi="Times New Roman"/>
          <w:sz w:val="24"/>
          <w:szCs w:val="24"/>
        </w:rPr>
        <w:t xml:space="preserve"> </w:t>
      </w:r>
      <w:r w:rsidR="00762308">
        <w:rPr>
          <w:rFonts w:ascii="Times New Roman" w:hAnsi="Times New Roman"/>
          <w:sz w:val="24"/>
          <w:szCs w:val="24"/>
        </w:rPr>
        <w:t xml:space="preserve"> </w:t>
      </w:r>
    </w:p>
    <w:p w:rsidR="0001618B" w:rsidRPr="00E371A6" w:rsidP="000934B7" w14:paraId="2F228631" w14:textId="77777777">
      <w:pPr>
        <w:autoSpaceDE w:val="0"/>
        <w:autoSpaceDN w:val="0"/>
        <w:adjustRightInd w:val="0"/>
        <w:spacing w:after="0" w:line="240" w:lineRule="auto"/>
        <w:ind w:left="720"/>
        <w:rPr>
          <w:rFonts w:ascii="Times New Roman" w:hAnsi="Times New Roman"/>
          <w:color w:val="31849B"/>
          <w:sz w:val="24"/>
          <w:szCs w:val="24"/>
        </w:rPr>
      </w:pPr>
    </w:p>
    <w:p w:rsidR="0001618B" w:rsidRPr="005C5331" w:rsidP="000934B7" w14:paraId="5A82D513" w14:textId="001A1E05">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Beginning in 1982, eligible s</w:t>
      </w:r>
      <w:r w:rsidRPr="005C5331" w:rsidR="00CB509A">
        <w:rPr>
          <w:rFonts w:ascii="Times New Roman" w:hAnsi="Times New Roman"/>
          <w:sz w:val="24"/>
          <w:szCs w:val="24"/>
        </w:rPr>
        <w:t xml:space="preserve">tates were required to submit </w:t>
      </w:r>
      <w:r w:rsidRPr="005C5331" w:rsidR="00585AA6">
        <w:rPr>
          <w:rFonts w:ascii="Times New Roman" w:hAnsi="Times New Roman"/>
          <w:sz w:val="24"/>
          <w:szCs w:val="24"/>
        </w:rPr>
        <w:t xml:space="preserve">a Report of Intended Expenditures </w:t>
      </w:r>
      <w:r w:rsidRPr="005C5331" w:rsidR="00CB509A">
        <w:rPr>
          <w:rFonts w:ascii="Times New Roman" w:hAnsi="Times New Roman"/>
          <w:sz w:val="24"/>
          <w:szCs w:val="24"/>
        </w:rPr>
        <w:t>annually to the</w:t>
      </w:r>
      <w:r w:rsidR="00585AA6">
        <w:rPr>
          <w:rFonts w:ascii="Times New Roman" w:hAnsi="Times New Roman"/>
          <w:sz w:val="24"/>
          <w:szCs w:val="24"/>
        </w:rPr>
        <w:t xml:space="preserve"> </w:t>
      </w:r>
      <w:r w:rsidR="00056E12">
        <w:rPr>
          <w:rFonts w:ascii="Times New Roman" w:hAnsi="Times New Roman"/>
          <w:sz w:val="24"/>
          <w:szCs w:val="24"/>
        </w:rPr>
        <w:t xml:space="preserve">HHS </w:t>
      </w:r>
      <w:r w:rsidRPr="005C5331" w:rsidR="00CB509A">
        <w:rPr>
          <w:rFonts w:ascii="Times New Roman" w:hAnsi="Times New Roman"/>
          <w:sz w:val="24"/>
          <w:szCs w:val="24"/>
        </w:rPr>
        <w:t>Secretary</w:t>
      </w:r>
      <w:r w:rsidR="00585AA6">
        <w:rPr>
          <w:rFonts w:ascii="Times New Roman" w:hAnsi="Times New Roman"/>
          <w:sz w:val="24"/>
          <w:szCs w:val="24"/>
        </w:rPr>
        <w:t>.</w:t>
      </w:r>
      <w:r w:rsidR="00535A04">
        <w:rPr>
          <w:rFonts w:ascii="Times New Roman" w:hAnsi="Times New Roman"/>
          <w:sz w:val="24"/>
          <w:szCs w:val="24"/>
        </w:rPr>
        <w:t xml:space="preserve"> </w:t>
      </w:r>
      <w:r w:rsidR="00585AA6">
        <w:rPr>
          <w:rFonts w:ascii="Times New Roman" w:hAnsi="Times New Roman"/>
          <w:sz w:val="24"/>
          <w:szCs w:val="24"/>
        </w:rPr>
        <w:t xml:space="preserve">This report </w:t>
      </w:r>
      <w:r w:rsidRPr="005C5331" w:rsidR="00CB509A">
        <w:rPr>
          <w:rFonts w:ascii="Times New Roman" w:hAnsi="Times New Roman"/>
          <w:sz w:val="24"/>
          <w:szCs w:val="24"/>
        </w:rPr>
        <w:t xml:space="preserve">outlined </w:t>
      </w:r>
      <w:r w:rsidR="00585AA6">
        <w:rPr>
          <w:rFonts w:ascii="Times New Roman" w:hAnsi="Times New Roman"/>
          <w:sz w:val="24"/>
          <w:szCs w:val="24"/>
        </w:rPr>
        <w:t xml:space="preserve">a </w:t>
      </w:r>
      <w:r w:rsidR="00A50496">
        <w:rPr>
          <w:rFonts w:ascii="Times New Roman" w:hAnsi="Times New Roman"/>
          <w:sz w:val="24"/>
          <w:szCs w:val="24"/>
        </w:rPr>
        <w:t>st</w:t>
      </w:r>
      <w:r w:rsidRPr="005C5331" w:rsidR="00CB509A">
        <w:rPr>
          <w:rFonts w:ascii="Times New Roman" w:hAnsi="Times New Roman"/>
          <w:sz w:val="24"/>
          <w:szCs w:val="24"/>
        </w:rPr>
        <w:t>ate</w:t>
      </w:r>
      <w:r w:rsidR="00585AA6">
        <w:rPr>
          <w:rFonts w:ascii="Times New Roman" w:hAnsi="Times New Roman"/>
          <w:sz w:val="24"/>
          <w:szCs w:val="24"/>
        </w:rPr>
        <w:t>’s</w:t>
      </w:r>
      <w:r w:rsidRPr="005C5331" w:rsidR="00CB509A">
        <w:rPr>
          <w:rFonts w:ascii="Times New Roman" w:hAnsi="Times New Roman"/>
          <w:sz w:val="24"/>
          <w:szCs w:val="24"/>
        </w:rPr>
        <w:t xml:space="preserve"> general plans for</w:t>
      </w:r>
      <w:r w:rsidRPr="005C5331" w:rsidR="000934B7">
        <w:rPr>
          <w:rFonts w:ascii="Times New Roman" w:hAnsi="Times New Roman"/>
          <w:sz w:val="24"/>
          <w:szCs w:val="24"/>
        </w:rPr>
        <w:t xml:space="preserve"> </w:t>
      </w:r>
      <w:r w:rsidR="00CA1D32">
        <w:rPr>
          <w:rFonts w:ascii="Times New Roman" w:hAnsi="Times New Roman"/>
          <w:sz w:val="24"/>
          <w:szCs w:val="24"/>
        </w:rPr>
        <w:t xml:space="preserve">the </w:t>
      </w:r>
      <w:r w:rsidRPr="005C5331" w:rsidR="00CB509A">
        <w:rPr>
          <w:rFonts w:ascii="Times New Roman" w:hAnsi="Times New Roman"/>
          <w:sz w:val="24"/>
          <w:szCs w:val="24"/>
        </w:rPr>
        <w:t xml:space="preserve">use of </w:t>
      </w:r>
      <w:r w:rsidR="00585AA6">
        <w:rPr>
          <w:rFonts w:ascii="Times New Roman" w:hAnsi="Times New Roman"/>
          <w:sz w:val="24"/>
          <w:szCs w:val="24"/>
        </w:rPr>
        <w:t>its MCH Block Grant funds and an A</w:t>
      </w:r>
      <w:r w:rsidRPr="005C5331" w:rsidR="00CB509A">
        <w:rPr>
          <w:rFonts w:ascii="Times New Roman" w:hAnsi="Times New Roman"/>
          <w:sz w:val="24"/>
          <w:szCs w:val="24"/>
        </w:rPr>
        <w:t xml:space="preserve">nnual </w:t>
      </w:r>
      <w:r w:rsidR="00585AA6">
        <w:rPr>
          <w:rFonts w:ascii="Times New Roman" w:hAnsi="Times New Roman"/>
          <w:sz w:val="24"/>
          <w:szCs w:val="24"/>
        </w:rPr>
        <w:t>R</w:t>
      </w:r>
      <w:r w:rsidRPr="005C5331" w:rsidR="00CB509A">
        <w:rPr>
          <w:rFonts w:ascii="Times New Roman" w:hAnsi="Times New Roman"/>
          <w:sz w:val="24"/>
          <w:szCs w:val="24"/>
        </w:rPr>
        <w:t>eport</w:t>
      </w:r>
      <w:r w:rsidR="00722975">
        <w:rPr>
          <w:rFonts w:ascii="Times New Roman" w:hAnsi="Times New Roman"/>
          <w:sz w:val="24"/>
          <w:szCs w:val="24"/>
        </w:rPr>
        <w:t xml:space="preserve"> (</w:t>
      </w:r>
      <w:r w:rsidRPr="005C5331" w:rsidR="00CB509A">
        <w:rPr>
          <w:rFonts w:ascii="Times New Roman" w:hAnsi="Times New Roman"/>
          <w:sz w:val="24"/>
          <w:szCs w:val="24"/>
        </w:rPr>
        <w:t>in an unspecified form and with unspecified</w:t>
      </w:r>
      <w:r w:rsidRPr="005C5331" w:rsidR="000934B7">
        <w:rPr>
          <w:rFonts w:ascii="Times New Roman" w:hAnsi="Times New Roman"/>
          <w:sz w:val="24"/>
          <w:szCs w:val="24"/>
        </w:rPr>
        <w:t xml:space="preserve"> </w:t>
      </w:r>
      <w:r w:rsidRPr="005C5331" w:rsidR="00CB509A">
        <w:rPr>
          <w:rFonts w:ascii="Times New Roman" w:hAnsi="Times New Roman"/>
          <w:sz w:val="24"/>
          <w:szCs w:val="24"/>
        </w:rPr>
        <w:t>content</w:t>
      </w:r>
      <w:r w:rsidR="00722975">
        <w:rPr>
          <w:rFonts w:ascii="Times New Roman" w:hAnsi="Times New Roman"/>
          <w:sz w:val="24"/>
          <w:szCs w:val="24"/>
        </w:rPr>
        <w:t xml:space="preserve">) </w:t>
      </w:r>
      <w:r w:rsidR="00CA1D32">
        <w:rPr>
          <w:rFonts w:ascii="Times New Roman" w:hAnsi="Times New Roman"/>
          <w:sz w:val="24"/>
          <w:szCs w:val="24"/>
        </w:rPr>
        <w:t xml:space="preserve">that would inform </w:t>
      </w:r>
      <w:r w:rsidRPr="005C5331" w:rsidR="00CB509A">
        <w:rPr>
          <w:rFonts w:ascii="Times New Roman" w:hAnsi="Times New Roman"/>
          <w:sz w:val="24"/>
          <w:szCs w:val="24"/>
        </w:rPr>
        <w:t xml:space="preserve">the Secretary </w:t>
      </w:r>
      <w:r w:rsidR="00CA1D32">
        <w:rPr>
          <w:rFonts w:ascii="Times New Roman" w:hAnsi="Times New Roman"/>
          <w:sz w:val="24"/>
          <w:szCs w:val="24"/>
        </w:rPr>
        <w:t xml:space="preserve">on </w:t>
      </w:r>
      <w:r w:rsidRPr="005C5331" w:rsidR="00CB509A">
        <w:rPr>
          <w:rFonts w:ascii="Times New Roman" w:hAnsi="Times New Roman"/>
          <w:sz w:val="24"/>
          <w:szCs w:val="24"/>
        </w:rPr>
        <w:t xml:space="preserve">how </w:t>
      </w:r>
      <w:r w:rsidR="00585AA6">
        <w:rPr>
          <w:rFonts w:ascii="Times New Roman" w:hAnsi="Times New Roman"/>
          <w:sz w:val="24"/>
          <w:szCs w:val="24"/>
        </w:rPr>
        <w:t xml:space="preserve">the </w:t>
      </w:r>
      <w:r w:rsidRPr="005C5331" w:rsidR="00CB509A">
        <w:rPr>
          <w:rFonts w:ascii="Times New Roman" w:hAnsi="Times New Roman"/>
          <w:sz w:val="24"/>
          <w:szCs w:val="24"/>
        </w:rPr>
        <w:t xml:space="preserve">block grant funds were </w:t>
      </w:r>
      <w:r w:rsidR="00CA1D32">
        <w:rPr>
          <w:rFonts w:ascii="Times New Roman" w:hAnsi="Times New Roman"/>
          <w:sz w:val="24"/>
          <w:szCs w:val="24"/>
        </w:rPr>
        <w:t xml:space="preserve">being </w:t>
      </w:r>
      <w:r w:rsidRPr="005C5331" w:rsidR="00CB509A">
        <w:rPr>
          <w:rFonts w:ascii="Times New Roman" w:hAnsi="Times New Roman"/>
          <w:sz w:val="24"/>
          <w:szCs w:val="24"/>
        </w:rPr>
        <w:t>spent.</w:t>
      </w:r>
      <w:r w:rsidR="00535A04">
        <w:rPr>
          <w:rFonts w:ascii="Times New Roman" w:hAnsi="Times New Roman"/>
          <w:sz w:val="24"/>
          <w:szCs w:val="24"/>
        </w:rPr>
        <w:t xml:space="preserve"> </w:t>
      </w:r>
      <w:r w:rsidRPr="005C5331" w:rsidR="00CB509A">
        <w:rPr>
          <w:rFonts w:ascii="Times New Roman" w:hAnsi="Times New Roman"/>
          <w:sz w:val="24"/>
          <w:szCs w:val="24"/>
        </w:rPr>
        <w:t>The</w:t>
      </w:r>
      <w:r w:rsidRPr="005C5331" w:rsidR="000934B7">
        <w:rPr>
          <w:rFonts w:ascii="Times New Roman" w:hAnsi="Times New Roman"/>
          <w:sz w:val="24"/>
          <w:szCs w:val="24"/>
        </w:rPr>
        <w:t xml:space="preserve"> </w:t>
      </w:r>
      <w:r w:rsidRPr="005C5331" w:rsidR="00CB509A">
        <w:rPr>
          <w:rFonts w:ascii="Times New Roman" w:hAnsi="Times New Roman"/>
          <w:sz w:val="24"/>
          <w:szCs w:val="24"/>
        </w:rPr>
        <w:t xml:space="preserve">Omnibus Budget Reconciliation Act (OBRA) of 1989 tightened accountability </w:t>
      </w:r>
      <w:r w:rsidR="00722975">
        <w:rPr>
          <w:rFonts w:ascii="Times New Roman" w:hAnsi="Times New Roman"/>
          <w:sz w:val="24"/>
          <w:szCs w:val="24"/>
        </w:rPr>
        <w:t xml:space="preserve">of funds expended </w:t>
      </w:r>
      <w:r w:rsidRPr="005C5331" w:rsidR="00CB509A">
        <w:rPr>
          <w:rFonts w:ascii="Times New Roman" w:hAnsi="Times New Roman"/>
          <w:sz w:val="24"/>
          <w:szCs w:val="24"/>
        </w:rPr>
        <w:t>under the MCH</w:t>
      </w:r>
      <w:r w:rsidRPr="005C5331" w:rsidR="000934B7">
        <w:rPr>
          <w:rFonts w:ascii="Times New Roman" w:hAnsi="Times New Roman"/>
          <w:sz w:val="24"/>
          <w:szCs w:val="24"/>
        </w:rPr>
        <w:t xml:space="preserve"> </w:t>
      </w:r>
      <w:r w:rsidRPr="005C5331" w:rsidR="00CB509A">
        <w:rPr>
          <w:rFonts w:ascii="Times New Roman" w:hAnsi="Times New Roman"/>
          <w:sz w:val="24"/>
          <w:szCs w:val="24"/>
        </w:rPr>
        <w:t>Block Grant.</w:t>
      </w:r>
      <w:r w:rsidR="00535A04">
        <w:rPr>
          <w:rFonts w:ascii="Times New Roman" w:hAnsi="Times New Roman"/>
          <w:sz w:val="24"/>
          <w:szCs w:val="24"/>
        </w:rPr>
        <w:t xml:space="preserve"> </w:t>
      </w:r>
      <w:r w:rsidRPr="005C5331" w:rsidR="00CB509A">
        <w:rPr>
          <w:rFonts w:ascii="Times New Roman" w:hAnsi="Times New Roman"/>
          <w:sz w:val="24"/>
          <w:szCs w:val="24"/>
        </w:rPr>
        <w:t>Congress placed a 10 percent limit on administrative costs and mandated</w:t>
      </w:r>
      <w:r w:rsidR="008C6ACD">
        <w:rPr>
          <w:rFonts w:ascii="Times New Roman" w:hAnsi="Times New Roman"/>
          <w:sz w:val="24"/>
          <w:szCs w:val="24"/>
        </w:rPr>
        <w:t xml:space="preserve"> </w:t>
      </w:r>
      <w:r w:rsidR="00F2428A">
        <w:rPr>
          <w:rFonts w:ascii="Times New Roman" w:hAnsi="Times New Roman"/>
          <w:sz w:val="24"/>
          <w:szCs w:val="24"/>
        </w:rPr>
        <w:t xml:space="preserve">a minimum </w:t>
      </w:r>
      <w:r w:rsidR="00186472">
        <w:rPr>
          <w:rFonts w:ascii="Times New Roman" w:hAnsi="Times New Roman"/>
          <w:sz w:val="24"/>
          <w:szCs w:val="24"/>
        </w:rPr>
        <w:t>s</w:t>
      </w:r>
      <w:r w:rsidRPr="005C5331" w:rsidR="00CB509A">
        <w:rPr>
          <w:rFonts w:ascii="Times New Roman" w:hAnsi="Times New Roman"/>
          <w:sz w:val="24"/>
          <w:szCs w:val="24"/>
        </w:rPr>
        <w:t>pending requirement</w:t>
      </w:r>
      <w:r w:rsidR="00F2428A">
        <w:rPr>
          <w:rFonts w:ascii="Times New Roman" w:hAnsi="Times New Roman"/>
          <w:sz w:val="24"/>
          <w:szCs w:val="24"/>
        </w:rPr>
        <w:t xml:space="preserve"> of 30 percent for the following two categories:</w:t>
      </w:r>
      <w:r w:rsidR="00535A04">
        <w:rPr>
          <w:rFonts w:ascii="Times New Roman" w:hAnsi="Times New Roman"/>
          <w:sz w:val="24"/>
          <w:szCs w:val="24"/>
        </w:rPr>
        <w:t xml:space="preserve"> </w:t>
      </w:r>
      <w:r w:rsidRPr="005C5331" w:rsidR="00CB509A">
        <w:rPr>
          <w:rFonts w:ascii="Times New Roman" w:hAnsi="Times New Roman"/>
          <w:sz w:val="24"/>
          <w:szCs w:val="24"/>
        </w:rPr>
        <w:t>(1) children’s preventive and primary health</w:t>
      </w:r>
      <w:r w:rsidRPr="005C5331" w:rsidR="000934B7">
        <w:rPr>
          <w:rFonts w:ascii="Times New Roman" w:hAnsi="Times New Roman"/>
          <w:sz w:val="24"/>
          <w:szCs w:val="24"/>
        </w:rPr>
        <w:t xml:space="preserve"> </w:t>
      </w:r>
      <w:r w:rsidRPr="005C5331" w:rsidR="00CB509A">
        <w:rPr>
          <w:rFonts w:ascii="Times New Roman" w:hAnsi="Times New Roman"/>
          <w:sz w:val="24"/>
          <w:szCs w:val="24"/>
        </w:rPr>
        <w:t>services</w:t>
      </w:r>
      <w:r w:rsidR="00A50496">
        <w:rPr>
          <w:rFonts w:ascii="Times New Roman" w:hAnsi="Times New Roman"/>
          <w:sz w:val="24"/>
          <w:szCs w:val="24"/>
        </w:rPr>
        <w:t>;</w:t>
      </w:r>
      <w:r w:rsidRPr="005C5331" w:rsidR="00CB509A">
        <w:rPr>
          <w:rFonts w:ascii="Times New Roman" w:hAnsi="Times New Roman"/>
          <w:sz w:val="24"/>
          <w:szCs w:val="24"/>
        </w:rPr>
        <w:t xml:space="preserve"> and (2) services and service coordination for </w:t>
      </w:r>
      <w:r w:rsidR="00F44FEC">
        <w:rPr>
          <w:rFonts w:ascii="Times New Roman" w:hAnsi="Times New Roman"/>
          <w:sz w:val="24"/>
          <w:szCs w:val="24"/>
        </w:rPr>
        <w:t>CSHCN</w:t>
      </w:r>
      <w:r w:rsidRPr="005C5331" w:rsidR="00CB509A">
        <w:rPr>
          <w:rFonts w:ascii="Times New Roman" w:hAnsi="Times New Roman"/>
          <w:sz w:val="24"/>
          <w:szCs w:val="24"/>
        </w:rPr>
        <w:t>.</w:t>
      </w:r>
      <w:r w:rsidR="00535A04">
        <w:rPr>
          <w:rFonts w:ascii="Times New Roman" w:hAnsi="Times New Roman"/>
          <w:sz w:val="24"/>
          <w:szCs w:val="24"/>
        </w:rPr>
        <w:t xml:space="preserve"> </w:t>
      </w:r>
      <w:r w:rsidR="0059051D">
        <w:rPr>
          <w:rFonts w:ascii="Times New Roman" w:hAnsi="Times New Roman"/>
          <w:sz w:val="24"/>
          <w:szCs w:val="24"/>
        </w:rPr>
        <w:t xml:space="preserve">Special </w:t>
      </w:r>
      <w:r w:rsidRPr="005C5331" w:rsidR="00CB509A">
        <w:rPr>
          <w:rFonts w:ascii="Times New Roman" w:hAnsi="Times New Roman"/>
          <w:sz w:val="24"/>
          <w:szCs w:val="24"/>
        </w:rPr>
        <w:t>emphasis was placed on the provision of services for low-income individuals and the</w:t>
      </w:r>
      <w:r w:rsidRPr="005C5331" w:rsidR="000934B7">
        <w:rPr>
          <w:rFonts w:ascii="Times New Roman" w:hAnsi="Times New Roman"/>
          <w:sz w:val="24"/>
          <w:szCs w:val="24"/>
        </w:rPr>
        <w:t xml:space="preserve"> </w:t>
      </w:r>
      <w:r w:rsidRPr="005C5331" w:rsidR="00CB509A">
        <w:rPr>
          <w:rFonts w:ascii="Times New Roman" w:hAnsi="Times New Roman"/>
          <w:sz w:val="24"/>
          <w:szCs w:val="24"/>
        </w:rPr>
        <w:t xml:space="preserve">development of comprehensive plans </w:t>
      </w:r>
      <w:r w:rsidRPr="005C5331" w:rsidR="00335D24">
        <w:rPr>
          <w:rFonts w:ascii="Times New Roman" w:hAnsi="Times New Roman"/>
          <w:sz w:val="24"/>
          <w:szCs w:val="24"/>
        </w:rPr>
        <w:t xml:space="preserve">for </w:t>
      </w:r>
      <w:r>
        <w:rPr>
          <w:rFonts w:ascii="Times New Roman" w:hAnsi="Times New Roman"/>
          <w:sz w:val="24"/>
          <w:szCs w:val="24"/>
        </w:rPr>
        <w:t>s</w:t>
      </w:r>
      <w:r w:rsidRPr="005C5331" w:rsidR="00335D24">
        <w:rPr>
          <w:rFonts w:ascii="Times New Roman" w:hAnsi="Times New Roman"/>
          <w:sz w:val="24"/>
          <w:szCs w:val="24"/>
        </w:rPr>
        <w:t>tate</w:t>
      </w:r>
      <w:r w:rsidR="00537A89">
        <w:rPr>
          <w:rFonts w:ascii="Times New Roman" w:hAnsi="Times New Roman"/>
          <w:sz w:val="24"/>
          <w:szCs w:val="24"/>
        </w:rPr>
        <w:t xml:space="preserve"> </w:t>
      </w:r>
      <w:r w:rsidRPr="005C5331" w:rsidR="00CB509A">
        <w:rPr>
          <w:rFonts w:ascii="Times New Roman" w:hAnsi="Times New Roman"/>
          <w:sz w:val="24"/>
          <w:szCs w:val="24"/>
        </w:rPr>
        <w:t>systems of services</w:t>
      </w:r>
      <w:r w:rsidR="00E33374">
        <w:rPr>
          <w:rFonts w:ascii="Times New Roman" w:hAnsi="Times New Roman"/>
          <w:sz w:val="24"/>
          <w:szCs w:val="24"/>
        </w:rPr>
        <w:t>,</w:t>
      </w:r>
      <w:r w:rsidRPr="005C5331" w:rsidR="00CB509A">
        <w:rPr>
          <w:rFonts w:ascii="Times New Roman" w:hAnsi="Times New Roman"/>
          <w:sz w:val="24"/>
          <w:szCs w:val="24"/>
        </w:rPr>
        <w:t xml:space="preserve"> </w:t>
      </w:r>
      <w:r w:rsidR="0059051D">
        <w:rPr>
          <w:rFonts w:ascii="Times New Roman" w:hAnsi="Times New Roman"/>
          <w:sz w:val="24"/>
          <w:szCs w:val="24"/>
        </w:rPr>
        <w:t xml:space="preserve">in accordance with </w:t>
      </w:r>
      <w:r w:rsidR="007922DD">
        <w:rPr>
          <w:rFonts w:ascii="Times New Roman" w:hAnsi="Times New Roman"/>
          <w:sz w:val="24"/>
          <w:szCs w:val="24"/>
        </w:rPr>
        <w:t xml:space="preserve">a </w:t>
      </w:r>
      <w:r w:rsidR="006A31FE">
        <w:rPr>
          <w:rFonts w:ascii="Times New Roman" w:hAnsi="Times New Roman"/>
          <w:sz w:val="24"/>
          <w:szCs w:val="24"/>
        </w:rPr>
        <w:t>s</w:t>
      </w:r>
      <w:r w:rsidRPr="005C5331" w:rsidR="00CB509A">
        <w:rPr>
          <w:rFonts w:ascii="Times New Roman" w:hAnsi="Times New Roman"/>
          <w:sz w:val="24"/>
          <w:szCs w:val="24"/>
        </w:rPr>
        <w:t xml:space="preserve">tate’s </w:t>
      </w:r>
      <w:r w:rsidR="0059051D">
        <w:rPr>
          <w:rFonts w:ascii="Times New Roman" w:hAnsi="Times New Roman"/>
          <w:sz w:val="24"/>
          <w:szCs w:val="24"/>
        </w:rPr>
        <w:t>F</w:t>
      </w:r>
      <w:r w:rsidR="00F2428A">
        <w:rPr>
          <w:rFonts w:ascii="Times New Roman" w:hAnsi="Times New Roman"/>
          <w:sz w:val="24"/>
          <w:szCs w:val="24"/>
        </w:rPr>
        <w:t>ive-</w:t>
      </w:r>
      <w:r w:rsidRPr="005C5331" w:rsidR="00CB509A">
        <w:rPr>
          <w:rFonts w:ascii="Times New Roman" w:hAnsi="Times New Roman"/>
          <w:sz w:val="24"/>
          <w:szCs w:val="24"/>
        </w:rPr>
        <w:t xml:space="preserve">year </w:t>
      </w:r>
      <w:r w:rsidR="00F2428A">
        <w:rPr>
          <w:rFonts w:ascii="Times New Roman" w:hAnsi="Times New Roman"/>
          <w:sz w:val="24"/>
          <w:szCs w:val="24"/>
        </w:rPr>
        <w:t>Needs A</w:t>
      </w:r>
      <w:r w:rsidRPr="005C5331" w:rsidR="00D17637">
        <w:rPr>
          <w:rFonts w:ascii="Times New Roman" w:hAnsi="Times New Roman"/>
          <w:sz w:val="24"/>
          <w:szCs w:val="24"/>
        </w:rPr>
        <w:t>ssessment</w:t>
      </w:r>
      <w:r w:rsidRPr="005C5331" w:rsidR="00CB509A">
        <w:rPr>
          <w:rFonts w:ascii="Times New Roman" w:hAnsi="Times New Roman"/>
          <w:sz w:val="24"/>
          <w:szCs w:val="24"/>
        </w:rPr>
        <w:t xml:space="preserve"> </w:t>
      </w:r>
      <w:r w:rsidR="00580CD9">
        <w:rPr>
          <w:rFonts w:ascii="Times New Roman" w:hAnsi="Times New Roman"/>
          <w:sz w:val="24"/>
          <w:szCs w:val="24"/>
        </w:rPr>
        <w:t>findings</w:t>
      </w:r>
      <w:r w:rsidR="0059051D">
        <w:rPr>
          <w:rFonts w:ascii="Times New Roman" w:hAnsi="Times New Roman"/>
          <w:sz w:val="24"/>
          <w:szCs w:val="24"/>
        </w:rPr>
        <w:t xml:space="preserve">, which </w:t>
      </w:r>
      <w:r w:rsidR="00537A89">
        <w:rPr>
          <w:rFonts w:ascii="Times New Roman" w:hAnsi="Times New Roman"/>
          <w:sz w:val="24"/>
          <w:szCs w:val="24"/>
        </w:rPr>
        <w:t xml:space="preserve">resulted in </w:t>
      </w:r>
      <w:r w:rsidRPr="005C5331" w:rsidR="00CB509A">
        <w:rPr>
          <w:rFonts w:ascii="Times New Roman" w:hAnsi="Times New Roman"/>
          <w:sz w:val="24"/>
          <w:szCs w:val="24"/>
        </w:rPr>
        <w:t xml:space="preserve">goals and objectives </w:t>
      </w:r>
      <w:r w:rsidR="007922DD">
        <w:rPr>
          <w:rFonts w:ascii="Times New Roman" w:hAnsi="Times New Roman"/>
          <w:sz w:val="24"/>
          <w:szCs w:val="24"/>
        </w:rPr>
        <w:t xml:space="preserve">that were </w:t>
      </w:r>
      <w:r w:rsidRPr="005C5331" w:rsidR="00CB509A">
        <w:rPr>
          <w:rFonts w:ascii="Times New Roman" w:hAnsi="Times New Roman"/>
          <w:sz w:val="24"/>
          <w:szCs w:val="24"/>
        </w:rPr>
        <w:t>consistent with</w:t>
      </w:r>
      <w:r w:rsidRPr="005C5331" w:rsidR="000934B7">
        <w:rPr>
          <w:rFonts w:ascii="Times New Roman" w:hAnsi="Times New Roman"/>
          <w:sz w:val="24"/>
          <w:szCs w:val="24"/>
        </w:rPr>
        <w:t xml:space="preserve"> </w:t>
      </w:r>
      <w:r w:rsidR="002E1018">
        <w:rPr>
          <w:rFonts w:ascii="Times New Roman" w:hAnsi="Times New Roman"/>
          <w:sz w:val="24"/>
          <w:szCs w:val="24"/>
        </w:rPr>
        <w:t>the N</w:t>
      </w:r>
      <w:r w:rsidR="00E55E1B">
        <w:rPr>
          <w:rFonts w:ascii="Times New Roman" w:hAnsi="Times New Roman"/>
          <w:sz w:val="24"/>
          <w:szCs w:val="24"/>
        </w:rPr>
        <w:t xml:space="preserve">ation’s </w:t>
      </w:r>
      <w:r w:rsidRPr="005C5331" w:rsidR="00CB509A">
        <w:rPr>
          <w:rFonts w:ascii="Times New Roman" w:hAnsi="Times New Roman"/>
          <w:sz w:val="24"/>
          <w:szCs w:val="24"/>
        </w:rPr>
        <w:t>Healthy People 2000 objectives.</w:t>
      </w:r>
    </w:p>
    <w:p w:rsidR="0001618B" w:rsidRPr="00E371A6" w:rsidP="000934B7" w14:paraId="68351A7C" w14:textId="77777777">
      <w:pPr>
        <w:autoSpaceDE w:val="0"/>
        <w:autoSpaceDN w:val="0"/>
        <w:adjustRightInd w:val="0"/>
        <w:spacing w:after="0" w:line="240" w:lineRule="auto"/>
        <w:ind w:left="720"/>
        <w:rPr>
          <w:rFonts w:ascii="Times New Roman" w:hAnsi="Times New Roman"/>
          <w:color w:val="31849B"/>
          <w:sz w:val="24"/>
          <w:szCs w:val="24"/>
        </w:rPr>
      </w:pPr>
    </w:p>
    <w:p w:rsidR="001A722C" w:rsidP="00785C3A" w14:paraId="5845E60E" w14:textId="23EA8AB9">
      <w:pPr>
        <w:autoSpaceDE w:val="0"/>
        <w:autoSpaceDN w:val="0"/>
        <w:adjustRightInd w:val="0"/>
        <w:spacing w:after="0" w:line="240" w:lineRule="auto"/>
        <w:ind w:left="720"/>
        <w:rPr>
          <w:rFonts w:ascii="Times New Roman" w:hAnsi="Times New Roman"/>
          <w:sz w:val="24"/>
          <w:szCs w:val="24"/>
        </w:rPr>
      </w:pPr>
      <w:r w:rsidRPr="000813F4">
        <w:rPr>
          <w:rFonts w:ascii="Times New Roman" w:hAnsi="Times New Roman"/>
          <w:sz w:val="24"/>
          <w:szCs w:val="24"/>
        </w:rPr>
        <w:t>In 1993</w:t>
      </w:r>
      <w:r w:rsidR="006F31B6">
        <w:rPr>
          <w:rFonts w:ascii="Times New Roman" w:hAnsi="Times New Roman"/>
          <w:sz w:val="24"/>
          <w:szCs w:val="24"/>
        </w:rPr>
        <w:t>,</w:t>
      </w:r>
      <w:r w:rsidRPr="000813F4">
        <w:rPr>
          <w:rFonts w:ascii="Times New Roman" w:hAnsi="Times New Roman"/>
          <w:sz w:val="24"/>
          <w:szCs w:val="24"/>
        </w:rPr>
        <w:t xml:space="preserve"> the Government Performance and Results Act (GPRA), Public Law 103-62, </w:t>
      </w:r>
      <w:r w:rsidR="008712C9">
        <w:rPr>
          <w:rFonts w:ascii="Times New Roman" w:hAnsi="Times New Roman"/>
          <w:sz w:val="24"/>
          <w:szCs w:val="24"/>
        </w:rPr>
        <w:t xml:space="preserve">was enacted which </w:t>
      </w:r>
      <w:r w:rsidRPr="000813F4">
        <w:rPr>
          <w:rFonts w:ascii="Times New Roman" w:hAnsi="Times New Roman"/>
          <w:sz w:val="24"/>
          <w:szCs w:val="24"/>
        </w:rPr>
        <w:t>require</w:t>
      </w:r>
      <w:r w:rsidR="008712C9">
        <w:rPr>
          <w:rFonts w:ascii="Times New Roman" w:hAnsi="Times New Roman"/>
          <w:sz w:val="24"/>
          <w:szCs w:val="24"/>
        </w:rPr>
        <w:t>s</w:t>
      </w:r>
      <w:r w:rsidRPr="000813F4">
        <w:rPr>
          <w:rFonts w:ascii="Times New Roman" w:hAnsi="Times New Roman"/>
          <w:sz w:val="24"/>
          <w:szCs w:val="24"/>
        </w:rPr>
        <w:t xml:space="preserve"> </w:t>
      </w:r>
      <w:r w:rsidR="002957DE">
        <w:rPr>
          <w:rFonts w:ascii="Times New Roman" w:hAnsi="Times New Roman"/>
          <w:sz w:val="24"/>
          <w:szCs w:val="24"/>
        </w:rPr>
        <w:t>f</w:t>
      </w:r>
      <w:r w:rsidRPr="000813F4">
        <w:rPr>
          <w:rFonts w:ascii="Times New Roman" w:hAnsi="Times New Roman"/>
          <w:sz w:val="24"/>
          <w:szCs w:val="24"/>
        </w:rPr>
        <w:t>ederal agencies to establish measurable goals t</w:t>
      </w:r>
      <w:r w:rsidR="006B168E">
        <w:rPr>
          <w:rFonts w:ascii="Times New Roman" w:hAnsi="Times New Roman"/>
          <w:sz w:val="24"/>
          <w:szCs w:val="24"/>
        </w:rPr>
        <w:t>hat are t</w:t>
      </w:r>
      <w:r w:rsidR="008712C9">
        <w:rPr>
          <w:rFonts w:ascii="Times New Roman" w:hAnsi="Times New Roman"/>
          <w:sz w:val="24"/>
          <w:szCs w:val="24"/>
        </w:rPr>
        <w:t xml:space="preserve">o be </w:t>
      </w:r>
      <w:r w:rsidRPr="000813F4">
        <w:rPr>
          <w:rFonts w:ascii="Times New Roman" w:hAnsi="Times New Roman"/>
          <w:sz w:val="24"/>
          <w:szCs w:val="24"/>
        </w:rPr>
        <w:t>reported as part of the budgetary process.</w:t>
      </w:r>
      <w:r w:rsidR="00535A04">
        <w:rPr>
          <w:rFonts w:ascii="Times New Roman" w:hAnsi="Times New Roman"/>
          <w:sz w:val="24"/>
          <w:szCs w:val="24"/>
        </w:rPr>
        <w:t xml:space="preserve"> </w:t>
      </w:r>
      <w:r>
        <w:rPr>
          <w:rFonts w:ascii="Times New Roman" w:hAnsi="Times New Roman"/>
          <w:sz w:val="24"/>
          <w:szCs w:val="24"/>
        </w:rPr>
        <w:t xml:space="preserve">In linking </w:t>
      </w:r>
      <w:r w:rsidRPr="000813F4">
        <w:rPr>
          <w:rFonts w:ascii="Times New Roman" w:hAnsi="Times New Roman"/>
          <w:sz w:val="24"/>
          <w:szCs w:val="24"/>
        </w:rPr>
        <w:t>funding decisions w</w:t>
      </w:r>
      <w:r>
        <w:rPr>
          <w:rFonts w:ascii="Times New Roman" w:hAnsi="Times New Roman"/>
          <w:sz w:val="24"/>
          <w:szCs w:val="24"/>
        </w:rPr>
        <w:t xml:space="preserve">ith </w:t>
      </w:r>
      <w:r w:rsidRPr="000813F4">
        <w:rPr>
          <w:rFonts w:ascii="Times New Roman" w:hAnsi="Times New Roman"/>
          <w:sz w:val="24"/>
          <w:szCs w:val="24"/>
        </w:rPr>
        <w:t>performance</w:t>
      </w:r>
      <w:r>
        <w:rPr>
          <w:rFonts w:ascii="Times New Roman" w:hAnsi="Times New Roman"/>
          <w:sz w:val="24"/>
          <w:szCs w:val="24"/>
        </w:rPr>
        <w:t xml:space="preserve">, </w:t>
      </w:r>
      <w:r w:rsidR="0043314A">
        <w:rPr>
          <w:rFonts w:ascii="Times New Roman" w:hAnsi="Times New Roman"/>
          <w:sz w:val="24"/>
          <w:szCs w:val="24"/>
        </w:rPr>
        <w:t xml:space="preserve">GPRA </w:t>
      </w:r>
      <w:r w:rsidR="008712C9">
        <w:rPr>
          <w:rFonts w:ascii="Times New Roman" w:hAnsi="Times New Roman"/>
          <w:sz w:val="24"/>
          <w:szCs w:val="24"/>
        </w:rPr>
        <w:t xml:space="preserve">calls for </w:t>
      </w:r>
      <w:r w:rsidR="002957DE">
        <w:rPr>
          <w:rFonts w:ascii="Times New Roman" w:hAnsi="Times New Roman"/>
          <w:sz w:val="24"/>
          <w:szCs w:val="24"/>
        </w:rPr>
        <w:t>f</w:t>
      </w:r>
      <w:r w:rsidRPr="000813F4">
        <w:rPr>
          <w:rFonts w:ascii="Times New Roman" w:hAnsi="Times New Roman"/>
          <w:sz w:val="24"/>
          <w:szCs w:val="24"/>
        </w:rPr>
        <w:t>ederal agenc</w:t>
      </w:r>
      <w:r w:rsidR="0043314A">
        <w:rPr>
          <w:rFonts w:ascii="Times New Roman" w:hAnsi="Times New Roman"/>
          <w:sz w:val="24"/>
          <w:szCs w:val="24"/>
        </w:rPr>
        <w:t xml:space="preserve">ies </w:t>
      </w:r>
      <w:r w:rsidRPr="000813F4">
        <w:rPr>
          <w:rFonts w:ascii="Times New Roman" w:hAnsi="Times New Roman"/>
          <w:sz w:val="24"/>
          <w:szCs w:val="24"/>
        </w:rPr>
        <w:t xml:space="preserve">to develop comprehensive strategic plans, annual performance plans </w:t>
      </w:r>
      <w:r w:rsidR="006328D7">
        <w:rPr>
          <w:rFonts w:ascii="Times New Roman" w:hAnsi="Times New Roman"/>
          <w:sz w:val="24"/>
          <w:szCs w:val="24"/>
        </w:rPr>
        <w:t>that</w:t>
      </w:r>
      <w:r w:rsidR="003520D9">
        <w:rPr>
          <w:rFonts w:ascii="Times New Roman" w:hAnsi="Times New Roman"/>
          <w:sz w:val="24"/>
          <w:szCs w:val="24"/>
        </w:rPr>
        <w:t xml:space="preserve"> include </w:t>
      </w:r>
      <w:r w:rsidRPr="000813F4">
        <w:rPr>
          <w:rFonts w:ascii="Times New Roman" w:hAnsi="Times New Roman"/>
          <w:sz w:val="24"/>
          <w:szCs w:val="24"/>
        </w:rPr>
        <w:t xml:space="preserve">measurable goals and objectives, and annual reports </w:t>
      </w:r>
      <w:r w:rsidR="003520D9">
        <w:rPr>
          <w:rFonts w:ascii="Times New Roman" w:hAnsi="Times New Roman"/>
          <w:sz w:val="24"/>
          <w:szCs w:val="24"/>
        </w:rPr>
        <w:t xml:space="preserve">that </w:t>
      </w:r>
      <w:r w:rsidR="008712C9">
        <w:rPr>
          <w:rFonts w:ascii="Times New Roman" w:hAnsi="Times New Roman"/>
          <w:sz w:val="24"/>
          <w:szCs w:val="24"/>
        </w:rPr>
        <w:t xml:space="preserve">compare </w:t>
      </w:r>
      <w:r w:rsidRPr="000813F4">
        <w:rPr>
          <w:rFonts w:ascii="Times New Roman" w:hAnsi="Times New Roman"/>
          <w:sz w:val="24"/>
          <w:szCs w:val="24"/>
        </w:rPr>
        <w:t xml:space="preserve">actual performance </w:t>
      </w:r>
      <w:r w:rsidR="00C4002B">
        <w:rPr>
          <w:rFonts w:ascii="Times New Roman" w:hAnsi="Times New Roman"/>
          <w:sz w:val="24"/>
          <w:szCs w:val="24"/>
        </w:rPr>
        <w:t xml:space="preserve">with established </w:t>
      </w:r>
      <w:r w:rsidRPr="000813F4">
        <w:rPr>
          <w:rFonts w:ascii="Times New Roman" w:hAnsi="Times New Roman"/>
          <w:sz w:val="24"/>
          <w:szCs w:val="24"/>
        </w:rPr>
        <w:t>performance goals.</w:t>
      </w:r>
      <w:r w:rsidR="00535A04">
        <w:rPr>
          <w:rFonts w:ascii="Times New Roman" w:hAnsi="Times New Roman"/>
          <w:sz w:val="24"/>
          <w:szCs w:val="24"/>
        </w:rPr>
        <w:t xml:space="preserve"> </w:t>
      </w:r>
      <w:r w:rsidRPr="000813F4">
        <w:rPr>
          <w:rFonts w:ascii="Times New Roman" w:hAnsi="Times New Roman"/>
          <w:sz w:val="24"/>
          <w:szCs w:val="24"/>
        </w:rPr>
        <w:t xml:space="preserve">The MCHB effort to respond to </w:t>
      </w:r>
      <w:r w:rsidR="005508E0">
        <w:rPr>
          <w:rFonts w:ascii="Times New Roman" w:hAnsi="Times New Roman"/>
          <w:sz w:val="24"/>
          <w:szCs w:val="24"/>
        </w:rPr>
        <w:t xml:space="preserve">the new </w:t>
      </w:r>
      <w:r w:rsidRPr="000813F4">
        <w:rPr>
          <w:rFonts w:ascii="Times New Roman" w:hAnsi="Times New Roman"/>
          <w:sz w:val="24"/>
          <w:szCs w:val="24"/>
        </w:rPr>
        <w:t xml:space="preserve">GPRA requirements coincided with other planned improvements to the </w:t>
      </w:r>
      <w:r w:rsidR="006151F8">
        <w:rPr>
          <w:rFonts w:ascii="Times New Roman" w:hAnsi="Times New Roman"/>
          <w:sz w:val="24"/>
          <w:szCs w:val="24"/>
        </w:rPr>
        <w:t xml:space="preserve">MCH Block Grant </w:t>
      </w:r>
      <w:r w:rsidR="00FB00F7">
        <w:rPr>
          <w:rFonts w:ascii="Times New Roman" w:hAnsi="Times New Roman"/>
          <w:sz w:val="24"/>
          <w:szCs w:val="24"/>
        </w:rPr>
        <w:t xml:space="preserve">Application/Annual Report </w:t>
      </w:r>
      <w:r w:rsidR="006151F8">
        <w:rPr>
          <w:rFonts w:ascii="Times New Roman" w:hAnsi="Times New Roman"/>
          <w:sz w:val="24"/>
          <w:szCs w:val="24"/>
        </w:rPr>
        <w:t>Guidance.</w:t>
      </w:r>
      <w:r w:rsidR="00535A04">
        <w:rPr>
          <w:rFonts w:ascii="Times New Roman" w:hAnsi="Times New Roman"/>
          <w:sz w:val="24"/>
          <w:szCs w:val="24"/>
        </w:rPr>
        <w:t xml:space="preserve"> </w:t>
      </w:r>
      <w:r w:rsidR="00561E43">
        <w:rPr>
          <w:rFonts w:ascii="Times New Roman" w:hAnsi="Times New Roman"/>
          <w:sz w:val="24"/>
          <w:szCs w:val="24"/>
        </w:rPr>
        <w:t xml:space="preserve">In meeting </w:t>
      </w:r>
      <w:r w:rsidR="00CF21AC">
        <w:rPr>
          <w:rFonts w:ascii="Times New Roman" w:hAnsi="Times New Roman"/>
          <w:sz w:val="24"/>
          <w:szCs w:val="24"/>
        </w:rPr>
        <w:t xml:space="preserve">its </w:t>
      </w:r>
      <w:r w:rsidR="00561E43">
        <w:rPr>
          <w:rFonts w:ascii="Times New Roman" w:hAnsi="Times New Roman"/>
          <w:sz w:val="24"/>
          <w:szCs w:val="24"/>
        </w:rPr>
        <w:t xml:space="preserve">GPRA </w:t>
      </w:r>
      <w:r w:rsidRPr="001A722C" w:rsidR="00561E43">
        <w:rPr>
          <w:rFonts w:ascii="Times New Roman" w:hAnsi="Times New Roman"/>
          <w:sz w:val="24"/>
          <w:szCs w:val="24"/>
        </w:rPr>
        <w:t>requirements</w:t>
      </w:r>
      <w:r w:rsidR="00561E43">
        <w:rPr>
          <w:rFonts w:ascii="Times New Roman" w:hAnsi="Times New Roman"/>
          <w:sz w:val="24"/>
          <w:szCs w:val="24"/>
        </w:rPr>
        <w:t xml:space="preserve">, </w:t>
      </w:r>
      <w:r w:rsidRPr="001A722C" w:rsidR="00561E43">
        <w:rPr>
          <w:rFonts w:ascii="Times New Roman" w:hAnsi="Times New Roman"/>
          <w:sz w:val="24"/>
          <w:szCs w:val="24"/>
        </w:rPr>
        <w:t xml:space="preserve">MCHB streamlined </w:t>
      </w:r>
      <w:r w:rsidR="00C02692">
        <w:rPr>
          <w:rFonts w:ascii="Times New Roman" w:hAnsi="Times New Roman"/>
          <w:sz w:val="24"/>
          <w:szCs w:val="24"/>
        </w:rPr>
        <w:t xml:space="preserve">the </w:t>
      </w:r>
      <w:r w:rsidRPr="000813F4" w:rsidR="004F2122">
        <w:rPr>
          <w:rFonts w:ascii="Times New Roman" w:hAnsi="Times New Roman"/>
          <w:sz w:val="24"/>
          <w:szCs w:val="24"/>
        </w:rPr>
        <w:t xml:space="preserve">1997 edition of the </w:t>
      </w:r>
      <w:r w:rsidRPr="004F2122" w:rsidR="004F2122">
        <w:rPr>
          <w:rFonts w:ascii="Times New Roman" w:hAnsi="Times New Roman"/>
          <w:i/>
          <w:sz w:val="24"/>
          <w:szCs w:val="24"/>
        </w:rPr>
        <w:t>Maternal and Child Health Services Title V Block Grant Program - Guidance and Forms for the Title V Application/Annual Report</w:t>
      </w:r>
      <w:r w:rsidRPr="000813F4" w:rsidR="004F2122">
        <w:rPr>
          <w:rFonts w:ascii="Times New Roman" w:hAnsi="Times New Roman"/>
          <w:sz w:val="24"/>
          <w:szCs w:val="24"/>
        </w:rPr>
        <w:t xml:space="preserve"> </w:t>
      </w:r>
      <w:r w:rsidR="00CF21AC">
        <w:rPr>
          <w:rFonts w:ascii="Times New Roman" w:hAnsi="Times New Roman"/>
          <w:sz w:val="24"/>
          <w:szCs w:val="24"/>
        </w:rPr>
        <w:t>by combining into a single document t</w:t>
      </w:r>
      <w:r w:rsidR="00460201">
        <w:rPr>
          <w:rFonts w:ascii="Times New Roman" w:hAnsi="Times New Roman"/>
          <w:sz w:val="24"/>
          <w:szCs w:val="24"/>
        </w:rPr>
        <w:t xml:space="preserve">he </w:t>
      </w:r>
      <w:r w:rsidR="00C02692">
        <w:rPr>
          <w:rFonts w:ascii="Times New Roman" w:hAnsi="Times New Roman"/>
          <w:sz w:val="24"/>
          <w:szCs w:val="24"/>
        </w:rPr>
        <w:t xml:space="preserve">instructions </w:t>
      </w:r>
      <w:r w:rsidR="00CF21AC">
        <w:rPr>
          <w:rFonts w:ascii="Times New Roman" w:hAnsi="Times New Roman"/>
          <w:sz w:val="24"/>
          <w:szCs w:val="24"/>
        </w:rPr>
        <w:t xml:space="preserve">to </w:t>
      </w:r>
      <w:r w:rsidR="00892B79">
        <w:rPr>
          <w:rFonts w:ascii="Times New Roman" w:hAnsi="Times New Roman"/>
          <w:sz w:val="24"/>
          <w:szCs w:val="24"/>
        </w:rPr>
        <w:t>s</w:t>
      </w:r>
      <w:r w:rsidR="004F2122">
        <w:rPr>
          <w:rFonts w:ascii="Times New Roman" w:hAnsi="Times New Roman"/>
          <w:sz w:val="24"/>
          <w:szCs w:val="24"/>
        </w:rPr>
        <w:t xml:space="preserve">tates </w:t>
      </w:r>
      <w:r w:rsidR="003C3AF9">
        <w:rPr>
          <w:rFonts w:ascii="Times New Roman" w:hAnsi="Times New Roman"/>
          <w:sz w:val="24"/>
          <w:szCs w:val="24"/>
        </w:rPr>
        <w:t xml:space="preserve">for preparing and submitting an </w:t>
      </w:r>
      <w:r w:rsidR="00335D24">
        <w:rPr>
          <w:rFonts w:ascii="Times New Roman" w:hAnsi="Times New Roman"/>
          <w:sz w:val="24"/>
          <w:szCs w:val="24"/>
        </w:rPr>
        <w:t>Annual R</w:t>
      </w:r>
      <w:r w:rsidRPr="00785C3A" w:rsidR="00785C3A">
        <w:rPr>
          <w:rFonts w:ascii="Times New Roman" w:hAnsi="Times New Roman"/>
          <w:sz w:val="24"/>
          <w:szCs w:val="24"/>
        </w:rPr>
        <w:t>eport,</w:t>
      </w:r>
      <w:r w:rsidR="00785C3A">
        <w:rPr>
          <w:rFonts w:ascii="Times New Roman" w:hAnsi="Times New Roman"/>
          <w:sz w:val="24"/>
          <w:szCs w:val="24"/>
        </w:rPr>
        <w:t xml:space="preserve"> </w:t>
      </w:r>
      <w:r w:rsidR="00335D24">
        <w:rPr>
          <w:rFonts w:ascii="Times New Roman" w:hAnsi="Times New Roman"/>
          <w:sz w:val="24"/>
          <w:szCs w:val="24"/>
        </w:rPr>
        <w:t xml:space="preserve">Application and </w:t>
      </w:r>
      <w:r w:rsidR="00BD3FBF">
        <w:rPr>
          <w:rFonts w:ascii="Times New Roman" w:hAnsi="Times New Roman"/>
          <w:sz w:val="24"/>
          <w:szCs w:val="24"/>
        </w:rPr>
        <w:t>F</w:t>
      </w:r>
      <w:r w:rsidR="00335D24">
        <w:rPr>
          <w:rFonts w:ascii="Times New Roman" w:hAnsi="Times New Roman"/>
          <w:sz w:val="24"/>
          <w:szCs w:val="24"/>
        </w:rPr>
        <w:t>ive-year Needs A</w:t>
      </w:r>
      <w:r w:rsidRPr="00785C3A" w:rsidR="00785C3A">
        <w:rPr>
          <w:rFonts w:ascii="Times New Roman" w:hAnsi="Times New Roman"/>
          <w:sz w:val="24"/>
          <w:szCs w:val="24"/>
        </w:rPr>
        <w:t>ssessment</w:t>
      </w:r>
      <w:r w:rsidR="00CF21AC">
        <w:rPr>
          <w:rFonts w:ascii="Times New Roman" w:hAnsi="Times New Roman"/>
          <w:sz w:val="24"/>
          <w:szCs w:val="24"/>
        </w:rPr>
        <w:t>.</w:t>
      </w:r>
      <w:r w:rsidR="00535A04">
        <w:rPr>
          <w:rFonts w:ascii="Times New Roman" w:hAnsi="Times New Roman"/>
          <w:sz w:val="24"/>
          <w:szCs w:val="24"/>
        </w:rPr>
        <w:t xml:space="preserve"> </w:t>
      </w:r>
      <w:r w:rsidR="00720AA6">
        <w:rPr>
          <w:rFonts w:ascii="Times New Roman" w:hAnsi="Times New Roman"/>
          <w:sz w:val="24"/>
          <w:szCs w:val="24"/>
        </w:rPr>
        <w:t>Th</w:t>
      </w:r>
      <w:r w:rsidR="00C01B4F">
        <w:rPr>
          <w:rFonts w:ascii="Times New Roman" w:hAnsi="Times New Roman"/>
          <w:sz w:val="24"/>
          <w:szCs w:val="24"/>
        </w:rPr>
        <w:t xml:space="preserve">e </w:t>
      </w:r>
      <w:r w:rsidR="00720AA6">
        <w:rPr>
          <w:rFonts w:ascii="Times New Roman" w:hAnsi="Times New Roman"/>
          <w:sz w:val="24"/>
          <w:szCs w:val="24"/>
        </w:rPr>
        <w:t xml:space="preserve">revised </w:t>
      </w:r>
      <w:r w:rsidR="00F44FEC">
        <w:rPr>
          <w:rFonts w:ascii="Times New Roman" w:hAnsi="Times New Roman"/>
          <w:sz w:val="24"/>
          <w:szCs w:val="24"/>
        </w:rPr>
        <w:t xml:space="preserve">Guidance </w:t>
      </w:r>
      <w:r w:rsidR="00720AA6">
        <w:rPr>
          <w:rFonts w:ascii="Times New Roman" w:hAnsi="Times New Roman"/>
          <w:sz w:val="24"/>
          <w:szCs w:val="24"/>
        </w:rPr>
        <w:t xml:space="preserve">served to </w:t>
      </w:r>
      <w:r w:rsidRPr="000813F4">
        <w:rPr>
          <w:rFonts w:ascii="Times New Roman" w:hAnsi="Times New Roman"/>
          <w:sz w:val="24"/>
          <w:szCs w:val="24"/>
        </w:rPr>
        <w:t xml:space="preserve">ensure that </w:t>
      </w:r>
      <w:r w:rsidR="00892B79">
        <w:rPr>
          <w:rFonts w:ascii="Times New Roman" w:hAnsi="Times New Roman"/>
          <w:sz w:val="24"/>
          <w:szCs w:val="24"/>
        </w:rPr>
        <w:t>s</w:t>
      </w:r>
      <w:r w:rsidRPr="000813F4">
        <w:rPr>
          <w:rFonts w:ascii="Times New Roman" w:hAnsi="Times New Roman"/>
          <w:sz w:val="24"/>
          <w:szCs w:val="24"/>
        </w:rPr>
        <w:t xml:space="preserve">tate </w:t>
      </w:r>
      <w:r w:rsidR="00CF21AC">
        <w:rPr>
          <w:rFonts w:ascii="Times New Roman" w:hAnsi="Times New Roman"/>
          <w:sz w:val="24"/>
          <w:szCs w:val="24"/>
        </w:rPr>
        <w:t xml:space="preserve">grantees </w:t>
      </w:r>
      <w:r w:rsidRPr="000813F4">
        <w:rPr>
          <w:rFonts w:ascii="Times New Roman" w:hAnsi="Times New Roman"/>
          <w:sz w:val="24"/>
          <w:szCs w:val="24"/>
        </w:rPr>
        <w:t>c</w:t>
      </w:r>
      <w:r w:rsidR="00FB1B01">
        <w:rPr>
          <w:rFonts w:ascii="Times New Roman" w:hAnsi="Times New Roman"/>
          <w:sz w:val="24"/>
          <w:szCs w:val="24"/>
        </w:rPr>
        <w:t xml:space="preserve">ould </w:t>
      </w:r>
      <w:r w:rsidRPr="000813F4">
        <w:rPr>
          <w:rFonts w:ascii="Times New Roman" w:hAnsi="Times New Roman"/>
          <w:sz w:val="24"/>
          <w:szCs w:val="24"/>
        </w:rPr>
        <w:t>clearly</w:t>
      </w:r>
      <w:r w:rsidR="00A4668C">
        <w:rPr>
          <w:rFonts w:ascii="Times New Roman" w:hAnsi="Times New Roman"/>
          <w:sz w:val="24"/>
          <w:szCs w:val="24"/>
        </w:rPr>
        <w:t xml:space="preserve"> and </w:t>
      </w:r>
      <w:r w:rsidRPr="000813F4">
        <w:rPr>
          <w:rFonts w:ascii="Times New Roman" w:hAnsi="Times New Roman"/>
          <w:sz w:val="24"/>
          <w:szCs w:val="24"/>
        </w:rPr>
        <w:t>concisely tell their MCH “stories”</w:t>
      </w:r>
      <w:r w:rsidR="00FB00F7">
        <w:rPr>
          <w:rFonts w:ascii="Times New Roman" w:hAnsi="Times New Roman"/>
          <w:sz w:val="24"/>
          <w:szCs w:val="24"/>
        </w:rPr>
        <w:t>.</w:t>
      </w:r>
      <w:r w:rsidR="00535A04">
        <w:rPr>
          <w:rFonts w:ascii="Times New Roman" w:hAnsi="Times New Roman"/>
          <w:sz w:val="24"/>
          <w:szCs w:val="24"/>
        </w:rPr>
        <w:t xml:space="preserve"> </w:t>
      </w:r>
      <w:r w:rsidR="00CF21AC">
        <w:rPr>
          <w:rFonts w:ascii="Times New Roman" w:hAnsi="Times New Roman"/>
          <w:sz w:val="24"/>
          <w:szCs w:val="24"/>
        </w:rPr>
        <w:t>T</w:t>
      </w:r>
      <w:r w:rsidR="00FB1B01">
        <w:rPr>
          <w:rFonts w:ascii="Times New Roman" w:hAnsi="Times New Roman"/>
          <w:sz w:val="24"/>
          <w:szCs w:val="24"/>
        </w:rPr>
        <w:t xml:space="preserve">he </w:t>
      </w:r>
      <w:r w:rsidRPr="000813F4">
        <w:rPr>
          <w:rFonts w:ascii="Times New Roman" w:hAnsi="Times New Roman"/>
          <w:sz w:val="24"/>
          <w:szCs w:val="24"/>
        </w:rPr>
        <w:t xml:space="preserve">Application/Annual Report </w:t>
      </w:r>
      <w:r w:rsidR="00CF21AC">
        <w:rPr>
          <w:rFonts w:ascii="Times New Roman" w:hAnsi="Times New Roman"/>
          <w:sz w:val="24"/>
          <w:szCs w:val="24"/>
        </w:rPr>
        <w:t xml:space="preserve">thus </w:t>
      </w:r>
      <w:r w:rsidR="00720AA6">
        <w:rPr>
          <w:rFonts w:ascii="Times New Roman" w:hAnsi="Times New Roman"/>
          <w:sz w:val="24"/>
          <w:szCs w:val="24"/>
        </w:rPr>
        <w:t xml:space="preserve">became </w:t>
      </w:r>
      <w:r w:rsidRPr="000813F4">
        <w:rPr>
          <w:rFonts w:ascii="Times New Roman" w:hAnsi="Times New Roman"/>
          <w:sz w:val="24"/>
          <w:szCs w:val="24"/>
        </w:rPr>
        <w:t xml:space="preserve">the basis </w:t>
      </w:r>
      <w:r w:rsidR="0020753A">
        <w:rPr>
          <w:rFonts w:ascii="Times New Roman" w:hAnsi="Times New Roman"/>
          <w:sz w:val="24"/>
          <w:szCs w:val="24"/>
        </w:rPr>
        <w:t xml:space="preserve">by which </w:t>
      </w:r>
      <w:r w:rsidRPr="000813F4">
        <w:rPr>
          <w:rFonts w:ascii="Times New Roman" w:hAnsi="Times New Roman"/>
          <w:sz w:val="24"/>
          <w:szCs w:val="24"/>
        </w:rPr>
        <w:t xml:space="preserve">MCHB </w:t>
      </w:r>
      <w:r w:rsidR="0020753A">
        <w:rPr>
          <w:rFonts w:ascii="Times New Roman" w:hAnsi="Times New Roman"/>
          <w:sz w:val="24"/>
          <w:szCs w:val="24"/>
        </w:rPr>
        <w:t xml:space="preserve">could </w:t>
      </w:r>
      <w:r w:rsidR="00720AA6">
        <w:rPr>
          <w:rFonts w:ascii="Times New Roman" w:hAnsi="Times New Roman"/>
          <w:sz w:val="24"/>
          <w:szCs w:val="24"/>
        </w:rPr>
        <w:t xml:space="preserve">meet its </w:t>
      </w:r>
      <w:r w:rsidRPr="000813F4">
        <w:rPr>
          <w:rFonts w:ascii="Times New Roman" w:hAnsi="Times New Roman"/>
          <w:sz w:val="24"/>
          <w:szCs w:val="24"/>
        </w:rPr>
        <w:t xml:space="preserve">GPRA </w:t>
      </w:r>
      <w:r w:rsidR="00FB00F7">
        <w:rPr>
          <w:rFonts w:ascii="Times New Roman" w:hAnsi="Times New Roman"/>
          <w:sz w:val="24"/>
          <w:szCs w:val="24"/>
        </w:rPr>
        <w:t xml:space="preserve">MCH </w:t>
      </w:r>
      <w:r w:rsidRPr="000813F4">
        <w:rPr>
          <w:rFonts w:ascii="Times New Roman" w:hAnsi="Times New Roman"/>
          <w:sz w:val="24"/>
          <w:szCs w:val="24"/>
        </w:rPr>
        <w:t xml:space="preserve">Block Grant </w:t>
      </w:r>
      <w:r w:rsidR="00FB00F7">
        <w:rPr>
          <w:rFonts w:ascii="Times New Roman" w:hAnsi="Times New Roman"/>
          <w:sz w:val="24"/>
          <w:szCs w:val="24"/>
        </w:rPr>
        <w:t>re</w:t>
      </w:r>
      <w:r w:rsidRPr="000813F4">
        <w:rPr>
          <w:rFonts w:ascii="Times New Roman" w:hAnsi="Times New Roman"/>
          <w:sz w:val="24"/>
          <w:szCs w:val="24"/>
        </w:rPr>
        <w:t>porting requirements.</w:t>
      </w:r>
      <w:r w:rsidR="00535A04">
        <w:rPr>
          <w:rFonts w:ascii="Times New Roman" w:hAnsi="Times New Roman"/>
          <w:sz w:val="24"/>
          <w:szCs w:val="24"/>
        </w:rPr>
        <w:t xml:space="preserve"> </w:t>
      </w:r>
      <w:r w:rsidR="003C3AF9">
        <w:rPr>
          <w:rFonts w:ascii="Times New Roman" w:hAnsi="Times New Roman"/>
          <w:sz w:val="24"/>
          <w:szCs w:val="24"/>
        </w:rPr>
        <w:t>Revisions to s</w:t>
      </w:r>
      <w:r w:rsidRPr="00274B76" w:rsidR="00274B76">
        <w:rPr>
          <w:rFonts w:ascii="Times New Roman" w:hAnsi="Times New Roman"/>
          <w:sz w:val="24"/>
          <w:szCs w:val="24"/>
        </w:rPr>
        <w:t>ubsequent edition</w:t>
      </w:r>
      <w:r w:rsidR="00274B76">
        <w:rPr>
          <w:rFonts w:ascii="Times New Roman" w:hAnsi="Times New Roman"/>
          <w:sz w:val="24"/>
          <w:szCs w:val="24"/>
        </w:rPr>
        <w:t>s</w:t>
      </w:r>
      <w:r w:rsidRPr="00274B76" w:rsidR="00274B76">
        <w:rPr>
          <w:rFonts w:ascii="Times New Roman" w:hAnsi="Times New Roman"/>
          <w:sz w:val="24"/>
          <w:szCs w:val="24"/>
        </w:rPr>
        <w:t xml:space="preserve"> </w:t>
      </w:r>
      <w:r w:rsidR="003C3AF9">
        <w:rPr>
          <w:rFonts w:ascii="Times New Roman" w:hAnsi="Times New Roman"/>
          <w:sz w:val="24"/>
          <w:szCs w:val="24"/>
        </w:rPr>
        <w:t xml:space="preserve">over the years have been </w:t>
      </w:r>
      <w:r w:rsidRPr="00274B76" w:rsidR="00274B76">
        <w:rPr>
          <w:rFonts w:ascii="Times New Roman" w:hAnsi="Times New Roman"/>
          <w:sz w:val="24"/>
          <w:szCs w:val="24"/>
        </w:rPr>
        <w:t>based on changes in MCH priorities,</w:t>
      </w:r>
      <w:r w:rsidR="003C3AF9">
        <w:rPr>
          <w:rFonts w:ascii="Times New Roman" w:hAnsi="Times New Roman"/>
          <w:sz w:val="24"/>
          <w:szCs w:val="24"/>
        </w:rPr>
        <w:t xml:space="preserve"> the </w:t>
      </w:r>
      <w:r w:rsidR="00DA5D73">
        <w:rPr>
          <w:rFonts w:ascii="Times New Roman" w:hAnsi="Times New Roman"/>
          <w:sz w:val="24"/>
          <w:szCs w:val="24"/>
        </w:rPr>
        <w:t xml:space="preserve">availability of new </w:t>
      </w:r>
      <w:r w:rsidR="0017147B">
        <w:rPr>
          <w:rFonts w:ascii="Times New Roman" w:hAnsi="Times New Roman"/>
          <w:sz w:val="24"/>
          <w:szCs w:val="24"/>
        </w:rPr>
        <w:t>n</w:t>
      </w:r>
      <w:r w:rsidRPr="00274B76" w:rsidR="00274B76">
        <w:rPr>
          <w:rFonts w:ascii="Times New Roman" w:hAnsi="Times New Roman"/>
          <w:sz w:val="24"/>
          <w:szCs w:val="24"/>
        </w:rPr>
        <w:t xml:space="preserve">ational data sources and </w:t>
      </w:r>
      <w:r w:rsidR="003C3AF9">
        <w:rPr>
          <w:rFonts w:ascii="Times New Roman" w:hAnsi="Times New Roman"/>
          <w:sz w:val="24"/>
          <w:szCs w:val="24"/>
        </w:rPr>
        <w:t xml:space="preserve">a </w:t>
      </w:r>
      <w:r w:rsidRPr="00274B76" w:rsidR="00274B76">
        <w:rPr>
          <w:rFonts w:ascii="Times New Roman" w:hAnsi="Times New Roman"/>
          <w:sz w:val="24"/>
          <w:szCs w:val="24"/>
        </w:rPr>
        <w:t>continuing effort</w:t>
      </w:r>
      <w:r w:rsidR="003C3AF9">
        <w:rPr>
          <w:rFonts w:ascii="Times New Roman" w:hAnsi="Times New Roman"/>
          <w:sz w:val="24"/>
          <w:szCs w:val="24"/>
        </w:rPr>
        <w:t xml:space="preserve"> within the </w:t>
      </w:r>
      <w:r w:rsidR="00DA5D73">
        <w:rPr>
          <w:rFonts w:ascii="Times New Roman" w:hAnsi="Times New Roman"/>
          <w:sz w:val="24"/>
          <w:szCs w:val="24"/>
        </w:rPr>
        <w:t xml:space="preserve">MCHB </w:t>
      </w:r>
      <w:r w:rsidRPr="00274B76" w:rsidR="00274B76">
        <w:rPr>
          <w:rFonts w:ascii="Times New Roman" w:hAnsi="Times New Roman"/>
          <w:sz w:val="24"/>
          <w:szCs w:val="24"/>
        </w:rPr>
        <w:t xml:space="preserve">to refine and streamline the Application/Annual Report preparation and submission process for </w:t>
      </w:r>
      <w:r w:rsidR="00892B79">
        <w:rPr>
          <w:rFonts w:ascii="Times New Roman" w:hAnsi="Times New Roman"/>
          <w:sz w:val="24"/>
          <w:szCs w:val="24"/>
        </w:rPr>
        <w:t>s</w:t>
      </w:r>
      <w:r w:rsidRPr="00274B76" w:rsidR="00274B76">
        <w:rPr>
          <w:rFonts w:ascii="Times New Roman" w:hAnsi="Times New Roman"/>
          <w:sz w:val="24"/>
          <w:szCs w:val="24"/>
        </w:rPr>
        <w:t>tates.</w:t>
      </w:r>
      <w:r w:rsidR="00535A04">
        <w:rPr>
          <w:rFonts w:ascii="Times New Roman" w:hAnsi="Times New Roman"/>
          <w:sz w:val="24"/>
          <w:szCs w:val="24"/>
        </w:rPr>
        <w:t xml:space="preserve">  </w:t>
      </w:r>
      <w:r w:rsidRPr="001A722C" w:rsidR="00CB509A">
        <w:rPr>
          <w:rFonts w:ascii="Times New Roman" w:hAnsi="Times New Roman"/>
          <w:sz w:val="24"/>
          <w:szCs w:val="24"/>
        </w:rPr>
        <w:t xml:space="preserve"> </w:t>
      </w:r>
    </w:p>
    <w:p w:rsidR="001A722C" w:rsidP="000934B7" w14:paraId="0C978D37" w14:textId="77777777">
      <w:pPr>
        <w:autoSpaceDE w:val="0"/>
        <w:autoSpaceDN w:val="0"/>
        <w:adjustRightInd w:val="0"/>
        <w:spacing w:after="0" w:line="240" w:lineRule="auto"/>
        <w:ind w:left="720"/>
        <w:rPr>
          <w:rFonts w:ascii="Times New Roman" w:hAnsi="Times New Roman"/>
          <w:sz w:val="24"/>
          <w:szCs w:val="24"/>
        </w:rPr>
      </w:pPr>
    </w:p>
    <w:p w:rsidR="00300773" w:rsidP="0062330E" w14:paraId="2D114090" w14:textId="77D89A72">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 partnership with the State Title V program leadership and other key stakeholders, the </w:t>
      </w:r>
      <w:r w:rsidRPr="00E52E4F" w:rsidR="00E52E4F">
        <w:rPr>
          <w:rFonts w:ascii="Times New Roman" w:hAnsi="Times New Roman"/>
          <w:sz w:val="24"/>
          <w:szCs w:val="24"/>
        </w:rPr>
        <w:t xml:space="preserve">MCHB initiated </w:t>
      </w:r>
      <w:r w:rsidR="001B4F05">
        <w:rPr>
          <w:rFonts w:ascii="Times New Roman" w:hAnsi="Times New Roman"/>
          <w:sz w:val="24"/>
          <w:szCs w:val="24"/>
        </w:rPr>
        <w:t xml:space="preserve">a major </w:t>
      </w:r>
      <w:r w:rsidR="00216C06">
        <w:rPr>
          <w:rFonts w:ascii="Times New Roman" w:hAnsi="Times New Roman"/>
          <w:sz w:val="24"/>
          <w:szCs w:val="24"/>
        </w:rPr>
        <w:t xml:space="preserve">transformative </w:t>
      </w:r>
      <w:r w:rsidRPr="00E52E4F" w:rsidR="00E52E4F">
        <w:rPr>
          <w:rFonts w:ascii="Times New Roman" w:hAnsi="Times New Roman"/>
          <w:sz w:val="24"/>
          <w:szCs w:val="24"/>
        </w:rPr>
        <w:t xml:space="preserve">effort </w:t>
      </w:r>
      <w:r w:rsidR="001B4F05">
        <w:rPr>
          <w:rFonts w:ascii="Times New Roman" w:hAnsi="Times New Roman"/>
          <w:sz w:val="24"/>
          <w:szCs w:val="24"/>
        </w:rPr>
        <w:t xml:space="preserve">in 2013 </w:t>
      </w:r>
      <w:r w:rsidR="00216C06">
        <w:rPr>
          <w:rFonts w:ascii="Times New Roman" w:hAnsi="Times New Roman"/>
          <w:sz w:val="24"/>
          <w:szCs w:val="24"/>
        </w:rPr>
        <w:t xml:space="preserve">for </w:t>
      </w:r>
      <w:r w:rsidR="001B4F05">
        <w:rPr>
          <w:rFonts w:ascii="Times New Roman" w:hAnsi="Times New Roman"/>
          <w:sz w:val="24"/>
          <w:szCs w:val="24"/>
        </w:rPr>
        <w:t>t</w:t>
      </w:r>
      <w:r w:rsidRPr="00E52E4F" w:rsidR="00E52E4F">
        <w:rPr>
          <w:rFonts w:ascii="Times New Roman" w:hAnsi="Times New Roman"/>
          <w:sz w:val="24"/>
          <w:szCs w:val="24"/>
        </w:rPr>
        <w:t xml:space="preserve">he </w:t>
      </w:r>
      <w:r w:rsidR="00DA5D73">
        <w:rPr>
          <w:rFonts w:ascii="Times New Roman" w:hAnsi="Times New Roman"/>
          <w:sz w:val="24"/>
          <w:szCs w:val="24"/>
        </w:rPr>
        <w:t xml:space="preserve">MCH Block Grant </w:t>
      </w:r>
      <w:r w:rsidR="00216C06">
        <w:rPr>
          <w:rFonts w:ascii="Times New Roman" w:hAnsi="Times New Roman"/>
          <w:sz w:val="24"/>
          <w:szCs w:val="24"/>
        </w:rPr>
        <w:t xml:space="preserve">to </w:t>
      </w:r>
      <w:r w:rsidR="001B4F05">
        <w:rPr>
          <w:rFonts w:ascii="Times New Roman" w:hAnsi="Times New Roman"/>
          <w:sz w:val="24"/>
          <w:szCs w:val="24"/>
        </w:rPr>
        <w:t xml:space="preserve">ensure </w:t>
      </w:r>
      <w:r w:rsidR="00216C06">
        <w:rPr>
          <w:rFonts w:ascii="Times New Roman" w:hAnsi="Times New Roman"/>
          <w:sz w:val="24"/>
          <w:szCs w:val="24"/>
        </w:rPr>
        <w:t xml:space="preserve">its </w:t>
      </w:r>
      <w:r>
        <w:rPr>
          <w:rFonts w:ascii="Times New Roman" w:hAnsi="Times New Roman"/>
          <w:sz w:val="24"/>
          <w:szCs w:val="24"/>
        </w:rPr>
        <w:t>co</w:t>
      </w:r>
      <w:r w:rsidRPr="00E52E4F" w:rsidR="00E52E4F">
        <w:rPr>
          <w:rFonts w:ascii="Times New Roman" w:hAnsi="Times New Roman"/>
          <w:sz w:val="24"/>
          <w:szCs w:val="24"/>
        </w:rPr>
        <w:t xml:space="preserve">ntinued </w:t>
      </w:r>
      <w:r w:rsidR="0084323B">
        <w:rPr>
          <w:rFonts w:ascii="Times New Roman" w:hAnsi="Times New Roman"/>
          <w:sz w:val="24"/>
          <w:szCs w:val="24"/>
        </w:rPr>
        <w:t>relevance</w:t>
      </w:r>
      <w:r w:rsidR="00DA5D73">
        <w:rPr>
          <w:rFonts w:ascii="Times New Roman" w:hAnsi="Times New Roman"/>
          <w:sz w:val="24"/>
          <w:szCs w:val="24"/>
        </w:rPr>
        <w:t xml:space="preserve"> </w:t>
      </w:r>
      <w:r w:rsidR="0084323B">
        <w:rPr>
          <w:rFonts w:ascii="Times New Roman" w:hAnsi="Times New Roman"/>
          <w:sz w:val="24"/>
          <w:szCs w:val="24"/>
        </w:rPr>
        <w:t xml:space="preserve">in a changing health care environment </w:t>
      </w:r>
      <w:r w:rsidR="00C34686">
        <w:rPr>
          <w:rFonts w:ascii="Times New Roman" w:hAnsi="Times New Roman"/>
          <w:sz w:val="24"/>
          <w:szCs w:val="24"/>
        </w:rPr>
        <w:t xml:space="preserve">and to maximize </w:t>
      </w:r>
      <w:r w:rsidR="00247653">
        <w:rPr>
          <w:rFonts w:ascii="Times New Roman" w:hAnsi="Times New Roman"/>
          <w:sz w:val="24"/>
          <w:szCs w:val="24"/>
        </w:rPr>
        <w:t xml:space="preserve">the program’s </w:t>
      </w:r>
      <w:r w:rsidRPr="00E52E4F" w:rsidR="00E52E4F">
        <w:rPr>
          <w:rFonts w:ascii="Times New Roman" w:hAnsi="Times New Roman"/>
          <w:sz w:val="24"/>
          <w:szCs w:val="24"/>
        </w:rPr>
        <w:t xml:space="preserve">effectiveness </w:t>
      </w:r>
      <w:r w:rsidR="00DE7308">
        <w:rPr>
          <w:rFonts w:ascii="Times New Roman" w:hAnsi="Times New Roman"/>
          <w:sz w:val="24"/>
          <w:szCs w:val="24"/>
        </w:rPr>
        <w:t xml:space="preserve">in </w:t>
      </w:r>
      <w:r>
        <w:rPr>
          <w:rFonts w:ascii="Times New Roman" w:hAnsi="Times New Roman"/>
          <w:sz w:val="24"/>
          <w:szCs w:val="24"/>
        </w:rPr>
        <w:t xml:space="preserve">responding </w:t>
      </w:r>
      <w:r w:rsidRPr="00E52E4F" w:rsidR="00E52E4F">
        <w:rPr>
          <w:rFonts w:ascii="Times New Roman" w:hAnsi="Times New Roman"/>
          <w:sz w:val="24"/>
          <w:szCs w:val="24"/>
        </w:rPr>
        <w:t xml:space="preserve">to </w:t>
      </w:r>
      <w:r w:rsidR="00DA5D73">
        <w:rPr>
          <w:rFonts w:ascii="Times New Roman" w:hAnsi="Times New Roman"/>
          <w:sz w:val="24"/>
          <w:szCs w:val="24"/>
        </w:rPr>
        <w:t xml:space="preserve">current and </w:t>
      </w:r>
      <w:r w:rsidR="00216C06">
        <w:rPr>
          <w:rFonts w:ascii="Times New Roman" w:hAnsi="Times New Roman"/>
          <w:sz w:val="24"/>
          <w:szCs w:val="24"/>
        </w:rPr>
        <w:t xml:space="preserve">future </w:t>
      </w:r>
      <w:r w:rsidRPr="00E52E4F" w:rsidR="00E52E4F">
        <w:rPr>
          <w:rFonts w:ascii="Times New Roman" w:hAnsi="Times New Roman"/>
          <w:sz w:val="24"/>
          <w:szCs w:val="24"/>
        </w:rPr>
        <w:t xml:space="preserve">needs </w:t>
      </w:r>
      <w:r w:rsidR="002E1018">
        <w:rPr>
          <w:rFonts w:ascii="Times New Roman" w:hAnsi="Times New Roman"/>
          <w:sz w:val="24"/>
          <w:szCs w:val="24"/>
        </w:rPr>
        <w:t xml:space="preserve">of </w:t>
      </w:r>
      <w:r w:rsidR="00574207">
        <w:rPr>
          <w:rFonts w:ascii="Times New Roman" w:hAnsi="Times New Roman"/>
          <w:sz w:val="24"/>
          <w:szCs w:val="24"/>
        </w:rPr>
        <w:t>the n</w:t>
      </w:r>
      <w:r w:rsidRPr="00E52E4F" w:rsidR="00E52E4F">
        <w:rPr>
          <w:rFonts w:ascii="Times New Roman" w:hAnsi="Times New Roman"/>
          <w:sz w:val="24"/>
          <w:szCs w:val="24"/>
        </w:rPr>
        <w:t xml:space="preserve">ation’s mothers and children, including </w:t>
      </w:r>
      <w:r w:rsidR="00F44FEC">
        <w:rPr>
          <w:rFonts w:ascii="Times New Roman" w:hAnsi="Times New Roman"/>
          <w:sz w:val="24"/>
          <w:szCs w:val="24"/>
        </w:rPr>
        <w:t>CSHCN.</w:t>
      </w:r>
      <w:r w:rsidR="00535A04">
        <w:rPr>
          <w:rFonts w:ascii="Times New Roman" w:hAnsi="Times New Roman"/>
          <w:sz w:val="24"/>
          <w:szCs w:val="24"/>
        </w:rPr>
        <w:t xml:space="preserve"> </w:t>
      </w:r>
      <w:r w:rsidR="003C16D0">
        <w:rPr>
          <w:rFonts w:ascii="Times New Roman" w:hAnsi="Times New Roman"/>
          <w:sz w:val="24"/>
          <w:szCs w:val="24"/>
        </w:rPr>
        <w:t>During the three-year implementation period, states applied a new three-tiered performance framework (depicted on the following page) to the development of a five-year State Action Plan</w:t>
      </w:r>
      <w:r w:rsidR="00801D92">
        <w:rPr>
          <w:rFonts w:ascii="Times New Roman" w:hAnsi="Times New Roman"/>
          <w:sz w:val="24"/>
          <w:szCs w:val="24"/>
        </w:rPr>
        <w:t>.</w:t>
      </w:r>
    </w:p>
    <w:p w:rsidR="00801D92" w:rsidP="0062330E" w14:paraId="09E69607" w14:textId="77777777">
      <w:pPr>
        <w:autoSpaceDE w:val="0"/>
        <w:autoSpaceDN w:val="0"/>
        <w:adjustRightInd w:val="0"/>
        <w:spacing w:after="0" w:line="240" w:lineRule="auto"/>
        <w:ind w:left="720"/>
        <w:rPr>
          <w:rFonts w:ascii="Times New Roman" w:hAnsi="Times New Roman"/>
          <w:sz w:val="24"/>
          <w:szCs w:val="24"/>
        </w:rPr>
      </w:pPr>
    </w:p>
    <w:p w:rsidR="00F14728" w:rsidP="00755ACF" w14:paraId="6E16497B" w14:textId="30EDCCB9">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The performance measure framework </w:t>
      </w:r>
      <w:r w:rsidR="00F46554">
        <w:rPr>
          <w:rFonts w:ascii="Times New Roman" w:hAnsi="Times New Roman"/>
          <w:sz w:val="24"/>
          <w:szCs w:val="24"/>
        </w:rPr>
        <w:t>was intended to increase program a</w:t>
      </w:r>
      <w:r w:rsidR="001A2AB5">
        <w:rPr>
          <w:rFonts w:ascii="Times New Roman" w:hAnsi="Times New Roman"/>
          <w:sz w:val="24"/>
          <w:szCs w:val="24"/>
        </w:rPr>
        <w:t xml:space="preserve">ccountability by enabling </w:t>
      </w:r>
      <w:r>
        <w:rPr>
          <w:rFonts w:ascii="Times New Roman" w:hAnsi="Times New Roman"/>
          <w:sz w:val="24"/>
          <w:szCs w:val="24"/>
        </w:rPr>
        <w:t xml:space="preserve">states to demonstrate </w:t>
      </w:r>
      <w:r w:rsidR="00F46554">
        <w:rPr>
          <w:rFonts w:ascii="Times New Roman" w:hAnsi="Times New Roman"/>
          <w:sz w:val="24"/>
          <w:szCs w:val="24"/>
        </w:rPr>
        <w:t xml:space="preserve">the </w:t>
      </w:r>
      <w:r w:rsidR="00801D92">
        <w:rPr>
          <w:rFonts w:ascii="Times New Roman" w:hAnsi="Times New Roman"/>
          <w:sz w:val="24"/>
          <w:szCs w:val="24"/>
        </w:rPr>
        <w:t xml:space="preserve">impacts </w:t>
      </w:r>
      <w:r w:rsidR="00F46554">
        <w:rPr>
          <w:rFonts w:ascii="Times New Roman" w:hAnsi="Times New Roman"/>
          <w:sz w:val="24"/>
          <w:szCs w:val="24"/>
        </w:rPr>
        <w:t xml:space="preserve">of Title V </w:t>
      </w:r>
      <w:r w:rsidR="001A2AB5">
        <w:rPr>
          <w:rFonts w:ascii="Times New Roman" w:hAnsi="Times New Roman"/>
          <w:sz w:val="24"/>
          <w:szCs w:val="24"/>
        </w:rPr>
        <w:t xml:space="preserve">on </w:t>
      </w:r>
      <w:r w:rsidR="00801D92">
        <w:rPr>
          <w:rFonts w:ascii="Times New Roman" w:hAnsi="Times New Roman"/>
          <w:sz w:val="24"/>
          <w:szCs w:val="24"/>
        </w:rPr>
        <w:t>health outcomes.</w:t>
      </w:r>
      <w:r w:rsidR="00535A04">
        <w:rPr>
          <w:rFonts w:ascii="Times New Roman" w:hAnsi="Times New Roman"/>
          <w:sz w:val="24"/>
          <w:szCs w:val="24"/>
        </w:rPr>
        <w:t xml:space="preserve"> </w:t>
      </w:r>
      <w:r>
        <w:rPr>
          <w:rFonts w:ascii="Times New Roman" w:hAnsi="Times New Roman"/>
          <w:sz w:val="24"/>
          <w:szCs w:val="24"/>
        </w:rPr>
        <w:t xml:space="preserve">Fifteen NPMs were identified across </w:t>
      </w:r>
      <w:r w:rsidR="00801D92">
        <w:rPr>
          <w:rFonts w:ascii="Times New Roman" w:hAnsi="Times New Roman"/>
          <w:sz w:val="24"/>
          <w:szCs w:val="24"/>
        </w:rPr>
        <w:t xml:space="preserve">six </w:t>
      </w:r>
      <w:r>
        <w:rPr>
          <w:rFonts w:ascii="Times New Roman" w:hAnsi="Times New Roman"/>
          <w:sz w:val="24"/>
          <w:szCs w:val="24"/>
        </w:rPr>
        <w:t>domains</w:t>
      </w:r>
      <w:r w:rsidR="00F46554">
        <w:rPr>
          <w:rFonts w:ascii="Times New Roman" w:hAnsi="Times New Roman"/>
          <w:sz w:val="24"/>
          <w:szCs w:val="24"/>
        </w:rPr>
        <w:t>.</w:t>
      </w:r>
      <w:r w:rsidR="00535A04">
        <w:rPr>
          <w:rFonts w:ascii="Times New Roman" w:hAnsi="Times New Roman"/>
          <w:sz w:val="24"/>
          <w:szCs w:val="24"/>
        </w:rPr>
        <w:t xml:space="preserve"> </w:t>
      </w:r>
      <w:r w:rsidR="00F46554">
        <w:rPr>
          <w:rFonts w:ascii="Times New Roman" w:hAnsi="Times New Roman"/>
          <w:sz w:val="24"/>
          <w:szCs w:val="24"/>
        </w:rPr>
        <w:t>S</w:t>
      </w:r>
      <w:r>
        <w:rPr>
          <w:rFonts w:ascii="Times New Roman" w:hAnsi="Times New Roman"/>
          <w:sz w:val="24"/>
          <w:szCs w:val="24"/>
        </w:rPr>
        <w:t>tates select</w:t>
      </w:r>
      <w:r w:rsidR="00F46554">
        <w:rPr>
          <w:rFonts w:ascii="Times New Roman" w:hAnsi="Times New Roman"/>
          <w:sz w:val="24"/>
          <w:szCs w:val="24"/>
        </w:rPr>
        <w:t xml:space="preserve">ed </w:t>
      </w:r>
      <w:r>
        <w:rPr>
          <w:rFonts w:ascii="Times New Roman" w:hAnsi="Times New Roman"/>
          <w:sz w:val="24"/>
          <w:szCs w:val="24"/>
        </w:rPr>
        <w:t xml:space="preserve">eight of </w:t>
      </w:r>
      <w:r w:rsidR="00F46554">
        <w:rPr>
          <w:rFonts w:ascii="Times New Roman" w:hAnsi="Times New Roman"/>
          <w:sz w:val="24"/>
          <w:szCs w:val="24"/>
        </w:rPr>
        <w:t xml:space="preserve">the </w:t>
      </w:r>
      <w:r>
        <w:rPr>
          <w:rFonts w:ascii="Times New Roman" w:hAnsi="Times New Roman"/>
          <w:sz w:val="24"/>
          <w:szCs w:val="24"/>
        </w:rPr>
        <w:t>15 NPMs</w:t>
      </w:r>
      <w:r w:rsidR="00F46554">
        <w:rPr>
          <w:rFonts w:ascii="Times New Roman" w:hAnsi="Times New Roman"/>
          <w:sz w:val="24"/>
          <w:szCs w:val="24"/>
        </w:rPr>
        <w:t>,</w:t>
      </w:r>
      <w:r>
        <w:rPr>
          <w:rFonts w:ascii="Times New Roman" w:hAnsi="Times New Roman"/>
          <w:sz w:val="24"/>
          <w:szCs w:val="24"/>
        </w:rPr>
        <w:t xml:space="preserve"> </w:t>
      </w:r>
      <w:r w:rsidR="00F46554">
        <w:rPr>
          <w:rFonts w:ascii="Times New Roman" w:hAnsi="Times New Roman"/>
          <w:sz w:val="24"/>
          <w:szCs w:val="24"/>
        </w:rPr>
        <w:t xml:space="preserve">based on the </w:t>
      </w:r>
      <w:r>
        <w:rPr>
          <w:rFonts w:ascii="Times New Roman" w:hAnsi="Times New Roman"/>
          <w:sz w:val="24"/>
          <w:szCs w:val="24"/>
        </w:rPr>
        <w:t xml:space="preserve">priority needs </w:t>
      </w:r>
      <w:r w:rsidR="00F46554">
        <w:rPr>
          <w:rFonts w:ascii="Times New Roman" w:hAnsi="Times New Roman"/>
          <w:sz w:val="24"/>
          <w:szCs w:val="24"/>
        </w:rPr>
        <w:t xml:space="preserve">that were </w:t>
      </w:r>
      <w:r w:rsidR="001A2AB5">
        <w:rPr>
          <w:rFonts w:ascii="Times New Roman" w:hAnsi="Times New Roman"/>
          <w:sz w:val="24"/>
          <w:szCs w:val="24"/>
        </w:rPr>
        <w:t xml:space="preserve">identified </w:t>
      </w:r>
      <w:r w:rsidR="00F46554">
        <w:rPr>
          <w:rFonts w:ascii="Times New Roman" w:hAnsi="Times New Roman"/>
          <w:sz w:val="24"/>
          <w:szCs w:val="24"/>
        </w:rPr>
        <w:t xml:space="preserve">in </w:t>
      </w:r>
      <w:r>
        <w:rPr>
          <w:rFonts w:ascii="Times New Roman" w:hAnsi="Times New Roman"/>
          <w:sz w:val="24"/>
          <w:szCs w:val="24"/>
        </w:rPr>
        <w:t>the 2015</w:t>
      </w:r>
      <w:r w:rsidR="004B1F0D">
        <w:rPr>
          <w:rFonts w:ascii="Times New Roman" w:hAnsi="Times New Roman"/>
          <w:sz w:val="24"/>
          <w:szCs w:val="24"/>
        </w:rPr>
        <w:t xml:space="preserve"> </w:t>
      </w:r>
      <w:r>
        <w:rPr>
          <w:rFonts w:ascii="Times New Roman" w:hAnsi="Times New Roman"/>
          <w:sz w:val="24"/>
          <w:szCs w:val="24"/>
        </w:rPr>
        <w:t>Five-Year Needs Assessment.</w:t>
      </w:r>
      <w:r w:rsidR="00535A04">
        <w:rPr>
          <w:rFonts w:ascii="Times New Roman" w:hAnsi="Times New Roman"/>
          <w:sz w:val="24"/>
          <w:szCs w:val="24"/>
        </w:rPr>
        <w:t xml:space="preserve"> </w:t>
      </w:r>
      <w:r w:rsidR="004B1F0D">
        <w:rPr>
          <w:rFonts w:ascii="Times New Roman" w:hAnsi="Times New Roman"/>
          <w:sz w:val="24"/>
          <w:szCs w:val="24"/>
        </w:rPr>
        <w:t xml:space="preserve">In addition, </w:t>
      </w:r>
      <w:r>
        <w:rPr>
          <w:rFonts w:ascii="Times New Roman" w:hAnsi="Times New Roman"/>
          <w:sz w:val="24"/>
          <w:szCs w:val="24"/>
        </w:rPr>
        <w:t>States develop</w:t>
      </w:r>
      <w:r w:rsidR="00F27385">
        <w:rPr>
          <w:rFonts w:ascii="Times New Roman" w:hAnsi="Times New Roman"/>
          <w:sz w:val="24"/>
          <w:szCs w:val="24"/>
        </w:rPr>
        <w:t>ed</w:t>
      </w:r>
      <w:r>
        <w:rPr>
          <w:rFonts w:ascii="Times New Roman" w:hAnsi="Times New Roman"/>
          <w:sz w:val="24"/>
          <w:szCs w:val="24"/>
        </w:rPr>
        <w:t xml:space="preserve"> between three and five State Performance Measures (SPMs) to address priority needs </w:t>
      </w:r>
      <w:r w:rsidR="009B4B62">
        <w:rPr>
          <w:rFonts w:ascii="Times New Roman" w:hAnsi="Times New Roman"/>
          <w:sz w:val="24"/>
          <w:szCs w:val="24"/>
        </w:rPr>
        <w:t xml:space="preserve">not aligned </w:t>
      </w:r>
      <w:r w:rsidR="001A2AB5">
        <w:rPr>
          <w:rFonts w:ascii="Times New Roman" w:hAnsi="Times New Roman"/>
          <w:sz w:val="24"/>
          <w:szCs w:val="24"/>
        </w:rPr>
        <w:t xml:space="preserve">with </w:t>
      </w:r>
      <w:r w:rsidR="00F27385">
        <w:rPr>
          <w:rFonts w:ascii="Times New Roman" w:hAnsi="Times New Roman"/>
          <w:sz w:val="24"/>
          <w:szCs w:val="24"/>
        </w:rPr>
        <w:t xml:space="preserve">the </w:t>
      </w:r>
      <w:r>
        <w:rPr>
          <w:rFonts w:ascii="Times New Roman" w:hAnsi="Times New Roman"/>
          <w:sz w:val="24"/>
          <w:szCs w:val="24"/>
        </w:rPr>
        <w:t>selected NPMs.</w:t>
      </w:r>
    </w:p>
    <w:p w:rsidR="006379CF" w:rsidP="00755ACF" w14:paraId="4BDDCE0C" w14:textId="77777777">
      <w:pPr>
        <w:autoSpaceDE w:val="0"/>
        <w:autoSpaceDN w:val="0"/>
        <w:adjustRightInd w:val="0"/>
        <w:spacing w:after="0" w:line="240" w:lineRule="auto"/>
        <w:ind w:left="720"/>
        <w:rPr>
          <w:rFonts w:ascii="Times New Roman" w:hAnsi="Times New Roman"/>
          <w:sz w:val="24"/>
          <w:szCs w:val="24"/>
        </w:rPr>
      </w:pPr>
    </w:p>
    <w:p w:rsidR="00755ACF" w:rsidP="00755ACF" w14:paraId="680DE3B3" w14:textId="2DD3B365">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0F3814">
        <w:rPr>
          <w:noProof/>
        </w:rPr>
        <w:drawing>
          <wp:inline distT="0" distB="0" distL="0" distR="0">
            <wp:extent cx="5276850" cy="2462073"/>
            <wp:effectExtent l="0" t="0" r="0" b="0"/>
            <wp:docPr id="4" name="Picture 4" descr="Comparison of Title V Performance Framework to Evaluation Log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87083" cy="2466847"/>
                    </a:xfrm>
                    <a:prstGeom prst="rect">
                      <a:avLst/>
                    </a:prstGeom>
                  </pic:spPr>
                </pic:pic>
              </a:graphicData>
            </a:graphic>
          </wp:inline>
        </w:drawing>
      </w:r>
    </w:p>
    <w:p w:rsidR="006328D7" w:rsidP="00413542" w14:paraId="77E53925" w14:textId="6B2CD6F4">
      <w:pPr>
        <w:autoSpaceDE w:val="0"/>
        <w:autoSpaceDN w:val="0"/>
        <w:adjustRightInd w:val="0"/>
        <w:spacing w:after="0" w:line="240" w:lineRule="auto"/>
        <w:ind w:left="720" w:firstLine="1080"/>
        <w:rPr>
          <w:rFonts w:ascii="Times New Roman" w:hAnsi="Times New Roman"/>
          <w:sz w:val="24"/>
          <w:szCs w:val="24"/>
        </w:rPr>
      </w:pPr>
      <w:r>
        <w:rPr>
          <w:rFonts w:ascii="Times New Roman" w:hAnsi="Times New Roman"/>
          <w:sz w:val="24"/>
          <w:szCs w:val="24"/>
        </w:rPr>
        <w:t xml:space="preserve"> </w:t>
      </w:r>
      <w:r w:rsidR="00F44FEC">
        <w:rPr>
          <w:rFonts w:ascii="Times New Roman" w:hAnsi="Times New Roman"/>
          <w:sz w:val="24"/>
          <w:szCs w:val="24"/>
        </w:rPr>
        <w:t xml:space="preserve"> </w:t>
      </w:r>
    </w:p>
    <w:p w:rsidR="00E00036" w:rsidP="002D725C" w14:paraId="2FCE2898" w14:textId="2C3ABB6E">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w:t>
      </w:r>
      <w:r w:rsidR="004A7324">
        <w:rPr>
          <w:rFonts w:ascii="Times New Roman" w:hAnsi="Times New Roman"/>
          <w:sz w:val="24"/>
          <w:szCs w:val="24"/>
        </w:rPr>
        <w:t xml:space="preserve">n recognition </w:t>
      </w:r>
      <w:r w:rsidR="00F56020">
        <w:rPr>
          <w:rFonts w:ascii="Times New Roman" w:hAnsi="Times New Roman"/>
          <w:sz w:val="24"/>
          <w:szCs w:val="24"/>
        </w:rPr>
        <w:t xml:space="preserve">of the varying needs and resources in the 59 states, MCHB </w:t>
      </w:r>
      <w:r w:rsidR="00590D63">
        <w:rPr>
          <w:rFonts w:ascii="Times New Roman" w:hAnsi="Times New Roman"/>
          <w:sz w:val="24"/>
          <w:szCs w:val="24"/>
        </w:rPr>
        <w:t>modified the performance measure requirement</w:t>
      </w:r>
      <w:r w:rsidR="00DD3797">
        <w:rPr>
          <w:rFonts w:ascii="Times New Roman" w:hAnsi="Times New Roman"/>
          <w:sz w:val="24"/>
          <w:szCs w:val="24"/>
        </w:rPr>
        <w:t>s</w:t>
      </w:r>
      <w:r w:rsidR="00590D63">
        <w:rPr>
          <w:rFonts w:ascii="Times New Roman" w:hAnsi="Times New Roman"/>
          <w:sz w:val="24"/>
          <w:szCs w:val="24"/>
        </w:rPr>
        <w:t xml:space="preserve"> in the 2018 Application/Annual Report Guidance</w:t>
      </w:r>
      <w:r w:rsidR="00DD3797">
        <w:rPr>
          <w:rFonts w:ascii="Times New Roman" w:hAnsi="Times New Roman"/>
          <w:sz w:val="24"/>
          <w:szCs w:val="24"/>
        </w:rPr>
        <w:t xml:space="preserve"> to allow states </w:t>
      </w:r>
      <w:r w:rsidRPr="00AF7B63" w:rsidR="00202C90">
        <w:rPr>
          <w:rFonts w:ascii="Times New Roman" w:hAnsi="Times New Roman"/>
          <w:sz w:val="24"/>
          <w:szCs w:val="24"/>
        </w:rPr>
        <w:t xml:space="preserve">added flexibility </w:t>
      </w:r>
      <w:r w:rsidR="00202C90">
        <w:rPr>
          <w:rFonts w:ascii="Times New Roman" w:hAnsi="Times New Roman"/>
          <w:sz w:val="24"/>
          <w:szCs w:val="24"/>
        </w:rPr>
        <w:t xml:space="preserve">in </w:t>
      </w:r>
      <w:r w:rsidRPr="00AF7B63" w:rsidR="00202C90">
        <w:rPr>
          <w:rFonts w:ascii="Times New Roman" w:hAnsi="Times New Roman"/>
          <w:sz w:val="24"/>
          <w:szCs w:val="24"/>
        </w:rPr>
        <w:t>determin</w:t>
      </w:r>
      <w:r w:rsidR="00202C90">
        <w:rPr>
          <w:rFonts w:ascii="Times New Roman" w:hAnsi="Times New Roman"/>
          <w:sz w:val="24"/>
          <w:szCs w:val="24"/>
        </w:rPr>
        <w:t xml:space="preserve">ing </w:t>
      </w:r>
      <w:r w:rsidRPr="00AF7B63" w:rsidR="00202C90">
        <w:rPr>
          <w:rFonts w:ascii="Times New Roman" w:hAnsi="Times New Roman"/>
          <w:sz w:val="24"/>
          <w:szCs w:val="24"/>
        </w:rPr>
        <w:t xml:space="preserve">the best combination of </w:t>
      </w:r>
      <w:r w:rsidR="00202C90">
        <w:rPr>
          <w:rFonts w:ascii="Times New Roman" w:hAnsi="Times New Roman"/>
          <w:sz w:val="24"/>
          <w:szCs w:val="24"/>
        </w:rPr>
        <w:t>NPMs and S</w:t>
      </w:r>
      <w:r w:rsidRPr="00AF7B63" w:rsidR="00202C90">
        <w:rPr>
          <w:rFonts w:ascii="Times New Roman" w:hAnsi="Times New Roman"/>
          <w:sz w:val="24"/>
          <w:szCs w:val="24"/>
        </w:rPr>
        <w:t>PMs</w:t>
      </w:r>
      <w:r w:rsidR="00202C90">
        <w:rPr>
          <w:rFonts w:ascii="Times New Roman" w:hAnsi="Times New Roman"/>
          <w:sz w:val="24"/>
          <w:szCs w:val="24"/>
        </w:rPr>
        <w:t xml:space="preserve"> </w:t>
      </w:r>
      <w:r w:rsidR="00DD3797">
        <w:rPr>
          <w:rFonts w:ascii="Times New Roman" w:hAnsi="Times New Roman"/>
          <w:sz w:val="24"/>
          <w:szCs w:val="24"/>
        </w:rPr>
        <w:t xml:space="preserve">to </w:t>
      </w:r>
      <w:r w:rsidR="00202C90">
        <w:rPr>
          <w:rFonts w:ascii="Times New Roman" w:hAnsi="Times New Roman"/>
          <w:sz w:val="24"/>
          <w:szCs w:val="24"/>
        </w:rPr>
        <w:t xml:space="preserve">address their individual MCH priority needs. States were required to </w:t>
      </w:r>
      <w:r w:rsidR="00DD3797">
        <w:rPr>
          <w:rFonts w:ascii="Times New Roman" w:hAnsi="Times New Roman"/>
          <w:sz w:val="24"/>
          <w:szCs w:val="24"/>
        </w:rPr>
        <w:t>select a minimum of five NPMs</w:t>
      </w:r>
      <w:r w:rsidR="007C516A">
        <w:rPr>
          <w:rFonts w:ascii="Times New Roman" w:hAnsi="Times New Roman"/>
          <w:sz w:val="24"/>
          <w:szCs w:val="24"/>
        </w:rPr>
        <w:t>, which included a</w:t>
      </w:r>
      <w:r>
        <w:rPr>
          <w:rFonts w:ascii="Times New Roman" w:hAnsi="Times New Roman"/>
          <w:sz w:val="24"/>
          <w:szCs w:val="24"/>
        </w:rPr>
        <w:t xml:space="preserve">t least </w:t>
      </w:r>
      <w:r w:rsidR="007C516A">
        <w:rPr>
          <w:rFonts w:ascii="Times New Roman" w:hAnsi="Times New Roman"/>
          <w:sz w:val="24"/>
          <w:szCs w:val="24"/>
        </w:rPr>
        <w:t>one NPM in each of the five population domain</w:t>
      </w:r>
      <w:r>
        <w:rPr>
          <w:rFonts w:ascii="Times New Roman" w:hAnsi="Times New Roman"/>
          <w:sz w:val="24"/>
          <w:szCs w:val="24"/>
        </w:rPr>
        <w:t>s</w:t>
      </w:r>
      <w:r w:rsidR="007C516A">
        <w:rPr>
          <w:rFonts w:ascii="Times New Roman" w:hAnsi="Times New Roman"/>
          <w:sz w:val="24"/>
          <w:szCs w:val="24"/>
        </w:rPr>
        <w:t>.</w:t>
      </w:r>
      <w:r w:rsidR="00535A04">
        <w:rPr>
          <w:rFonts w:ascii="Times New Roman" w:hAnsi="Times New Roman"/>
          <w:sz w:val="24"/>
          <w:szCs w:val="24"/>
        </w:rPr>
        <w:t xml:space="preserve"> </w:t>
      </w:r>
      <w:r w:rsidR="007C516A">
        <w:rPr>
          <w:rFonts w:ascii="Times New Roman" w:hAnsi="Times New Roman"/>
          <w:sz w:val="24"/>
          <w:szCs w:val="24"/>
        </w:rPr>
        <w:t xml:space="preserve">A state could choose to develop one or more SPMs </w:t>
      </w:r>
      <w:r w:rsidR="00507E25">
        <w:rPr>
          <w:rFonts w:ascii="Times New Roman" w:hAnsi="Times New Roman"/>
          <w:sz w:val="24"/>
          <w:szCs w:val="24"/>
        </w:rPr>
        <w:t xml:space="preserve">based on the extent to which the </w:t>
      </w:r>
      <w:r w:rsidR="00B436A2">
        <w:rPr>
          <w:rFonts w:ascii="Times New Roman" w:hAnsi="Times New Roman"/>
          <w:sz w:val="24"/>
          <w:szCs w:val="24"/>
        </w:rPr>
        <w:t xml:space="preserve">NPMs address the identified </w:t>
      </w:r>
      <w:r w:rsidR="00507E25">
        <w:rPr>
          <w:rFonts w:ascii="Times New Roman" w:hAnsi="Times New Roman"/>
          <w:sz w:val="24"/>
          <w:szCs w:val="24"/>
        </w:rPr>
        <w:t>priority needs</w:t>
      </w:r>
      <w:r w:rsidR="00B436A2">
        <w:rPr>
          <w:rFonts w:ascii="Times New Roman" w:hAnsi="Times New Roman"/>
          <w:sz w:val="24"/>
          <w:szCs w:val="24"/>
        </w:rPr>
        <w:t>.</w:t>
      </w:r>
      <w:r w:rsidR="00535A04">
        <w:rPr>
          <w:rFonts w:ascii="Times New Roman" w:hAnsi="Times New Roman"/>
          <w:sz w:val="24"/>
          <w:szCs w:val="24"/>
        </w:rPr>
        <w:t xml:space="preserve"> </w:t>
      </w:r>
      <w:r w:rsidR="0088581D">
        <w:rPr>
          <w:rFonts w:ascii="Times New Roman" w:hAnsi="Times New Roman"/>
          <w:sz w:val="24"/>
          <w:szCs w:val="24"/>
        </w:rPr>
        <w:t>Each priority need ha</w:t>
      </w:r>
      <w:r w:rsidR="00B436A2">
        <w:rPr>
          <w:rFonts w:ascii="Times New Roman" w:hAnsi="Times New Roman"/>
          <w:sz w:val="24"/>
          <w:szCs w:val="24"/>
        </w:rPr>
        <w:t>s</w:t>
      </w:r>
      <w:r w:rsidR="0088581D">
        <w:rPr>
          <w:rFonts w:ascii="Times New Roman" w:hAnsi="Times New Roman"/>
          <w:sz w:val="24"/>
          <w:szCs w:val="24"/>
        </w:rPr>
        <w:t xml:space="preserve"> to be addressed by either a NPM and/or SPM.</w:t>
      </w:r>
      <w:r w:rsidR="00535A04">
        <w:rPr>
          <w:rFonts w:ascii="Times New Roman" w:hAnsi="Times New Roman"/>
          <w:sz w:val="24"/>
          <w:szCs w:val="24"/>
        </w:rPr>
        <w:t xml:space="preserve"> </w:t>
      </w:r>
    </w:p>
    <w:p w:rsidR="00E00036" w:rsidP="002D725C" w14:paraId="12F81548" w14:textId="77777777">
      <w:pPr>
        <w:autoSpaceDE w:val="0"/>
        <w:autoSpaceDN w:val="0"/>
        <w:adjustRightInd w:val="0"/>
        <w:spacing w:after="0" w:line="240" w:lineRule="auto"/>
        <w:ind w:left="720"/>
        <w:rPr>
          <w:rFonts w:ascii="Times New Roman" w:hAnsi="Times New Roman"/>
          <w:sz w:val="24"/>
          <w:szCs w:val="24"/>
        </w:rPr>
      </w:pPr>
    </w:p>
    <w:p w:rsidR="00075963" w:rsidRPr="00EC31C3" w:rsidP="00075963" w14:paraId="306A9101" w14:textId="1E273770">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xml:space="preserve">This updated </w:t>
      </w:r>
      <w:r w:rsidRPr="00EC31C3" w:rsidR="00507E25">
        <w:rPr>
          <w:rFonts w:ascii="Times New Roman" w:hAnsi="Times New Roman"/>
          <w:iCs/>
          <w:sz w:val="24"/>
          <w:szCs w:val="24"/>
        </w:rPr>
        <w:t xml:space="preserve">edition of the </w:t>
      </w:r>
      <w:r w:rsidRPr="00EC31C3">
        <w:rPr>
          <w:rFonts w:ascii="Times New Roman" w:hAnsi="Times New Roman"/>
          <w:iCs/>
          <w:sz w:val="24"/>
          <w:szCs w:val="24"/>
        </w:rPr>
        <w:t xml:space="preserve">Application/Annual Report Guidance maintains the performance measure framework </w:t>
      </w:r>
      <w:r w:rsidRPr="00EC31C3" w:rsidR="00507E25">
        <w:rPr>
          <w:rFonts w:ascii="Times New Roman" w:hAnsi="Times New Roman"/>
          <w:iCs/>
          <w:sz w:val="24"/>
          <w:szCs w:val="24"/>
        </w:rPr>
        <w:t xml:space="preserve">that was </w:t>
      </w:r>
      <w:r w:rsidRPr="00EC31C3" w:rsidR="00551734">
        <w:rPr>
          <w:rFonts w:ascii="Times New Roman" w:hAnsi="Times New Roman"/>
          <w:iCs/>
          <w:sz w:val="24"/>
          <w:szCs w:val="24"/>
        </w:rPr>
        <w:t>established in the 2016 Application/Annual Report Guidance</w:t>
      </w:r>
      <w:r w:rsidRPr="00EC31C3" w:rsidR="00BB2FC8">
        <w:rPr>
          <w:rFonts w:ascii="Times New Roman" w:hAnsi="Times New Roman"/>
          <w:iCs/>
          <w:sz w:val="24"/>
          <w:szCs w:val="24"/>
        </w:rPr>
        <w:t xml:space="preserve"> and further refines it</w:t>
      </w:r>
      <w:r w:rsidRPr="00EC31C3">
        <w:rPr>
          <w:rFonts w:ascii="Times New Roman" w:hAnsi="Times New Roman"/>
          <w:iCs/>
          <w:sz w:val="24"/>
          <w:szCs w:val="24"/>
        </w:rPr>
        <w:t>.</w:t>
      </w:r>
      <w:r w:rsidRPr="00EC31C3" w:rsidR="00AA7589">
        <w:rPr>
          <w:rFonts w:ascii="Times New Roman" w:hAnsi="Times New Roman"/>
          <w:iCs/>
          <w:sz w:val="24"/>
          <w:szCs w:val="24"/>
        </w:rPr>
        <w:t xml:space="preserve"> </w:t>
      </w:r>
      <w:r w:rsidRPr="00EC31C3">
        <w:rPr>
          <w:rFonts w:ascii="Times New Roman" w:hAnsi="Times New Roman"/>
          <w:iCs/>
          <w:sz w:val="24"/>
          <w:szCs w:val="24"/>
        </w:rPr>
        <w:t xml:space="preserve">The NOMs and NPMs have been updated for this edition of the MCH Block Grant Application/Annual Report Guidance to reflect salient and emergent priorities at the state and national levels. In addition to being distributed within the five population health domains, the NPMs also represent three different measure domains of action which aim to improve the NOMs. The measure domains include: 1) clinical health systems; 2) health behaviors; and 3) social determinants of health. Within each MCH population health domain, there are at least three NPM options, with at least one NPM for each measure domain. The exception is for CSHCN where there is a greater focus on the need to improve clinical health systems. With this Guidance, there are now 20 NPMs, which provide a state more measurement options for selection in each domain. </w:t>
      </w:r>
    </w:p>
    <w:p w:rsidR="00AA7589" w:rsidRPr="00EC31C3" w:rsidP="00075963" w14:paraId="6FA94C56" w14:textId="77777777">
      <w:pPr>
        <w:autoSpaceDE w:val="0"/>
        <w:autoSpaceDN w:val="0"/>
        <w:adjustRightInd w:val="0"/>
        <w:spacing w:after="0" w:line="240" w:lineRule="auto"/>
        <w:ind w:left="720"/>
        <w:rPr>
          <w:rFonts w:ascii="Times New Roman" w:hAnsi="Times New Roman"/>
          <w:iCs/>
          <w:sz w:val="24"/>
          <w:szCs w:val="24"/>
        </w:rPr>
      </w:pPr>
    </w:p>
    <w:p w:rsidR="00107215" w:rsidRPr="00EC31C3" w:rsidP="00075963" w14:paraId="6FD192B7" w14:textId="77777777">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xml:space="preserve">Required Reporting on Universal NPMs: Each year, every state is required to address and report on two Universal NPMs. These two Universal NPMs were selected for their focus on access and quality of primary and preventive care and will serve to accelerate progress to “provide and assure mothers and children (in particular those with low income or with </w:t>
      </w:r>
      <w:r w:rsidRPr="00EC31C3">
        <w:rPr>
          <w:rFonts w:ascii="Times New Roman" w:hAnsi="Times New Roman"/>
          <w:iCs/>
          <w:sz w:val="24"/>
          <w:szCs w:val="24"/>
        </w:rPr>
        <w:t>limited availability of health services) access to quality maternal and child health services.” [Sec 501(a)(1)(A)]. The two Universal NPMs are</w:t>
      </w:r>
      <w:r w:rsidRPr="00EC31C3">
        <w:rPr>
          <w:rFonts w:ascii="Times New Roman" w:hAnsi="Times New Roman"/>
          <w:iCs/>
          <w:sz w:val="24"/>
          <w:szCs w:val="24"/>
        </w:rPr>
        <w:t>:</w:t>
      </w:r>
    </w:p>
    <w:p w:rsidR="00733828" w:rsidRPr="00EC31C3" w:rsidP="00733828" w14:paraId="13D6B7B3" w14:textId="3BEA18A5">
      <w:pPr>
        <w:pStyle w:val="ListParagraph"/>
        <w:numPr>
          <w:ilvl w:val="0"/>
          <w:numId w:val="16"/>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Postpartum Visit - A) Percent of women who attended a postpartum checkup within 12 weeks after giving birth and B) Percent of women who attended a postpartum checkup and received recommended care components; and </w:t>
      </w:r>
    </w:p>
    <w:p w:rsidR="00075963" w:rsidRPr="00EC31C3" w:rsidP="00EC31C3" w14:paraId="03499D2C" w14:textId="0384AC68">
      <w:pPr>
        <w:pStyle w:val="ListParagraph"/>
        <w:numPr>
          <w:ilvl w:val="0"/>
          <w:numId w:val="16"/>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Percent of children with and without special health care needs, ages 0 through 17, who have a medical home.</w:t>
      </w:r>
    </w:p>
    <w:p w:rsidR="00075963" w:rsidRPr="00EC31C3" w:rsidP="00075963" w14:paraId="2210AD49" w14:textId="77777777">
      <w:pPr>
        <w:autoSpaceDE w:val="0"/>
        <w:autoSpaceDN w:val="0"/>
        <w:adjustRightInd w:val="0"/>
        <w:spacing w:after="0" w:line="240" w:lineRule="auto"/>
        <w:ind w:left="720"/>
        <w:rPr>
          <w:rFonts w:ascii="Times New Roman" w:hAnsi="Times New Roman"/>
          <w:iCs/>
          <w:sz w:val="24"/>
          <w:szCs w:val="24"/>
        </w:rPr>
      </w:pPr>
    </w:p>
    <w:p w:rsidR="00075963" w:rsidRPr="00EC31C3" w:rsidP="00075963" w14:paraId="3A1F513D" w14:textId="64353D28">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xml:space="preserve">Addressing the maternal health crisis is a HRSA priority, as well as a state-level priority more broadly; therefore, for this Guidance, Postpartum Visit is the first Universal NPM. </w:t>
      </w:r>
      <w:r w:rsidRPr="00EC31C3" w:rsidR="00733828">
        <w:rPr>
          <w:rFonts w:ascii="Times New Roman" w:hAnsi="Times New Roman"/>
          <w:iCs/>
          <w:sz w:val="24"/>
          <w:szCs w:val="24"/>
        </w:rPr>
        <w:t>Addressing</w:t>
      </w:r>
      <w:r w:rsidRPr="00EC31C3">
        <w:rPr>
          <w:rFonts w:ascii="Times New Roman" w:hAnsi="Times New Roman"/>
          <w:iCs/>
          <w:sz w:val="24"/>
          <w:szCs w:val="24"/>
        </w:rPr>
        <w:t xml:space="preserve"> Postpartum Visit is intended to drive improvement in the </w:t>
      </w:r>
      <w:r w:rsidRPr="00EC31C3" w:rsidR="00733828">
        <w:rPr>
          <w:rFonts w:ascii="Times New Roman" w:hAnsi="Times New Roman"/>
          <w:iCs/>
          <w:sz w:val="24"/>
          <w:szCs w:val="24"/>
        </w:rPr>
        <w:t>m</w:t>
      </w:r>
      <w:r w:rsidRPr="00EC31C3">
        <w:rPr>
          <w:rFonts w:ascii="Times New Roman" w:hAnsi="Times New Roman"/>
          <w:iCs/>
          <w:sz w:val="24"/>
          <w:szCs w:val="24"/>
        </w:rPr>
        <w:t>aternal mortality rate. Untreated chronic conditions and pregnancy-related complications increase the risk of adverse health outcomes in the weeks and months following delivery. A comprehensive postpartum visit is an opportunity to improve maternal health by providing recommended clinical services, including screening, counseling, and management of health issues.</w:t>
      </w:r>
      <w:r w:rsidR="00535A04">
        <w:rPr>
          <w:rFonts w:ascii="Times New Roman" w:hAnsi="Times New Roman"/>
          <w:iCs/>
          <w:sz w:val="24"/>
          <w:szCs w:val="24"/>
        </w:rPr>
        <w:t xml:space="preserve"> </w:t>
      </w:r>
      <w:r w:rsidRPr="00EC31C3">
        <w:rPr>
          <w:rFonts w:ascii="Times New Roman" w:hAnsi="Times New Roman"/>
          <w:iCs/>
          <w:sz w:val="24"/>
          <w:szCs w:val="24"/>
        </w:rPr>
        <w:t>These services can lead to identification, treatment, and prevention of adverse outcomes to optimize maternal health following pregnancy.</w:t>
      </w:r>
    </w:p>
    <w:p w:rsidR="00075963" w:rsidRPr="00EC31C3" w:rsidP="00075963" w14:paraId="5BC0AA66" w14:textId="77777777">
      <w:pPr>
        <w:autoSpaceDE w:val="0"/>
        <w:autoSpaceDN w:val="0"/>
        <w:adjustRightInd w:val="0"/>
        <w:spacing w:after="0" w:line="240" w:lineRule="auto"/>
        <w:ind w:left="720"/>
        <w:rPr>
          <w:rFonts w:ascii="Times New Roman" w:hAnsi="Times New Roman"/>
          <w:iCs/>
          <w:sz w:val="24"/>
          <w:szCs w:val="24"/>
        </w:rPr>
      </w:pPr>
    </w:p>
    <w:p w:rsidR="00075963" w:rsidRPr="00EC31C3" w:rsidP="00075963" w14:paraId="5E7C6A1A" w14:textId="71EA3022">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xml:space="preserve">The second Universal NPM is Medical Home, selected in the CSHCN, Child, and Adolescent population health domains, which is intended to drive improvement in the core CSHCN outcome, Well-functioning system of care, as well as access to quality health care for all infants, children, and adolescents. The American Academy of Pediatrics (AAP) specifies seven qualities essential to medical home care, which include accessible, family-centered, continuous, comprehensive, coordinated, compassionate and culturally effective. Providing comprehensive and coordinated care to children in a medical home is the standard of pediatric practice. Research indicates that children with a stable and continuous source of health care are more likely to receive appropriate preventive care, are less likely to be hospitalized for preventable conditions, and are more likely to be diagnosed early for chronic or disabling conditions. </w:t>
      </w:r>
    </w:p>
    <w:p w:rsidR="00075963" w:rsidRPr="00EC31C3" w:rsidP="00075963" w14:paraId="12706444" w14:textId="77777777">
      <w:pPr>
        <w:autoSpaceDE w:val="0"/>
        <w:autoSpaceDN w:val="0"/>
        <w:adjustRightInd w:val="0"/>
        <w:spacing w:after="0" w:line="240" w:lineRule="auto"/>
        <w:ind w:left="720"/>
        <w:rPr>
          <w:rFonts w:ascii="Times New Roman" w:hAnsi="Times New Roman"/>
          <w:iCs/>
          <w:sz w:val="24"/>
          <w:szCs w:val="24"/>
        </w:rPr>
      </w:pPr>
    </w:p>
    <w:p w:rsidR="00075963" w:rsidRPr="00EC31C3" w:rsidP="00075963" w14:paraId="65FF493A" w14:textId="4D8D1C8A">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xml:space="preserve">A state </w:t>
      </w:r>
      <w:r w:rsidRPr="00EC31C3" w:rsidR="00B778C2">
        <w:rPr>
          <w:rFonts w:ascii="Times New Roman" w:hAnsi="Times New Roman"/>
          <w:iCs/>
          <w:sz w:val="24"/>
          <w:szCs w:val="24"/>
        </w:rPr>
        <w:t>will continue to</w:t>
      </w:r>
      <w:r w:rsidRPr="00EC31C3">
        <w:rPr>
          <w:rFonts w:ascii="Times New Roman" w:hAnsi="Times New Roman"/>
          <w:iCs/>
          <w:sz w:val="24"/>
          <w:szCs w:val="24"/>
        </w:rPr>
        <w:t xml:space="preserve"> report on a minimum of five (5) NPMs, which includes the two Universal NPMs, with at least one NPM for each of the five MCH population domains. States have the flexibility to select as many NPMs and SPMs as necessary to address each of its priority needs including the other NPMs within the Women/Maternal Health, Child Health, Adolescent Health, and CSHCN domains. There is no maximum for the number of NPMs that a state can select. See the Title V Block Grant Technical Assistance Resources at: </w:t>
      </w:r>
      <w:hyperlink r:id="rId12" w:history="1">
        <w:r w:rsidRPr="00F75EC5" w:rsidR="00F75EC5">
          <w:rPr>
            <w:rStyle w:val="Hyperlink"/>
            <w:rFonts w:ascii="Times New Roman" w:hAnsi="Times New Roman"/>
            <w:iCs/>
            <w:sz w:val="24"/>
            <w:szCs w:val="24"/>
          </w:rPr>
          <w:t>https://mchb.tvisdata.hrsa.gov/Home/Resources</w:t>
        </w:r>
      </w:hyperlink>
      <w:r w:rsidR="00A15C2C">
        <w:rPr>
          <w:rFonts w:ascii="Times New Roman" w:hAnsi="Times New Roman"/>
          <w:iCs/>
          <w:sz w:val="24"/>
          <w:szCs w:val="24"/>
        </w:rPr>
        <w:t xml:space="preserve"> </w:t>
      </w:r>
      <w:r w:rsidRPr="00EC31C3">
        <w:rPr>
          <w:rFonts w:ascii="Times New Roman" w:hAnsi="Times New Roman"/>
          <w:iCs/>
          <w:sz w:val="24"/>
          <w:szCs w:val="24"/>
        </w:rPr>
        <w:t xml:space="preserve">for detailed information about the NPM Framework, NOMs, and NPMs. </w:t>
      </w:r>
    </w:p>
    <w:p w:rsidR="00075963" w:rsidRPr="00EC31C3" w:rsidP="00075963" w14:paraId="328E6EB6" w14:textId="0DA9117C">
      <w:pPr>
        <w:autoSpaceDE w:val="0"/>
        <w:autoSpaceDN w:val="0"/>
        <w:adjustRightInd w:val="0"/>
        <w:spacing w:after="0" w:line="240" w:lineRule="auto"/>
        <w:ind w:left="720"/>
        <w:rPr>
          <w:rFonts w:ascii="Times New Roman" w:hAnsi="Times New Roman"/>
          <w:iCs/>
          <w:sz w:val="24"/>
          <w:szCs w:val="24"/>
        </w:rPr>
      </w:pPr>
      <w:r w:rsidRPr="00EC31C3">
        <w:rPr>
          <w:rFonts w:ascii="Times New Roman" w:hAnsi="Times New Roman"/>
          <w:iCs/>
          <w:sz w:val="24"/>
          <w:szCs w:val="24"/>
        </w:rPr>
        <w:t> </w:t>
      </w:r>
    </w:p>
    <w:p w:rsidR="003F7931" w:rsidRPr="00012CA7" w:rsidP="002D725C" w14:paraId="7217AA90" w14:textId="69780B55">
      <w:pPr>
        <w:autoSpaceDE w:val="0"/>
        <w:autoSpaceDN w:val="0"/>
        <w:adjustRightInd w:val="0"/>
        <w:spacing w:after="0" w:line="240" w:lineRule="auto"/>
        <w:ind w:left="720"/>
        <w:rPr>
          <w:rFonts w:ascii="Times New Roman" w:hAnsi="Times New Roman"/>
          <w:iCs/>
          <w:sz w:val="24"/>
          <w:szCs w:val="24"/>
        </w:rPr>
      </w:pPr>
      <w:r w:rsidRPr="00012CA7">
        <w:rPr>
          <w:rFonts w:ascii="Times New Roman" w:hAnsi="Times New Roman"/>
          <w:iCs/>
          <w:sz w:val="24"/>
          <w:szCs w:val="24"/>
        </w:rPr>
        <w:t>In addition, the Application/Annual Report Guidance emphasizes the need for a state to demonstrate the value of family and community partnerships in improving health outcomes across all sectors of the MCH population.</w:t>
      </w:r>
      <w:r w:rsidR="00535A04">
        <w:rPr>
          <w:rFonts w:ascii="Times New Roman" w:hAnsi="Times New Roman"/>
          <w:iCs/>
          <w:sz w:val="24"/>
          <w:szCs w:val="24"/>
        </w:rPr>
        <w:t xml:space="preserve"> </w:t>
      </w:r>
      <w:r w:rsidRPr="00012CA7">
        <w:rPr>
          <w:rFonts w:ascii="Times New Roman" w:hAnsi="Times New Roman"/>
          <w:iCs/>
          <w:sz w:val="24"/>
          <w:szCs w:val="24"/>
        </w:rPr>
        <w:t xml:space="preserve">Title V MCH programs support access to quality services and service delivery for all MCH populations to achieve their full health potential. The focus on advancing health equity is at the center of Title V’s work and highlights efforts improving equity and promoting fairness of services for the MCH populations, as states address their health care priority needs. Advancing health </w:t>
      </w:r>
      <w:r w:rsidRPr="00012CA7">
        <w:rPr>
          <w:rFonts w:ascii="Times New Roman" w:hAnsi="Times New Roman"/>
          <w:iCs/>
          <w:sz w:val="24"/>
          <w:szCs w:val="24"/>
        </w:rPr>
        <w:t>equity requires valuing everyone equally; making meaningful progress on mitigating or eliminating systemic barriers, such as poverty, racism, ableism, gender discrimination, and geographic disparities; and aligning resources to eliminate health and health care inequities. Addressing health equity includes focusing on major upstream drivers of health for MCH populations and integrating and centering the lived experience of diverse individuals, families, and communities into policy and program planning,</w:t>
      </w:r>
      <w:r w:rsidRPr="00EC31C3" w:rsidR="00012CA7">
        <w:rPr>
          <w:rFonts w:ascii="Times New Roman" w:hAnsi="Times New Roman"/>
          <w:iCs/>
          <w:sz w:val="24"/>
          <w:szCs w:val="24"/>
        </w:rPr>
        <w:t xml:space="preserve"> </w:t>
      </w:r>
      <w:r w:rsidRPr="00012CA7">
        <w:rPr>
          <w:rFonts w:ascii="Times New Roman" w:hAnsi="Times New Roman"/>
          <w:iCs/>
          <w:sz w:val="24"/>
          <w:szCs w:val="24"/>
        </w:rPr>
        <w:t>implementation, and monitoring. This Guidance communicates this principle throughout the sections of the document.</w:t>
      </w:r>
    </w:p>
    <w:p w:rsidR="003F7931" w:rsidP="002D725C" w14:paraId="5CDA105F" w14:textId="77777777">
      <w:pPr>
        <w:autoSpaceDE w:val="0"/>
        <w:autoSpaceDN w:val="0"/>
        <w:adjustRightInd w:val="0"/>
        <w:spacing w:after="0" w:line="240" w:lineRule="auto"/>
        <w:ind w:left="720"/>
        <w:rPr>
          <w:rFonts w:ascii="Times New Roman" w:hAnsi="Times New Roman"/>
          <w:sz w:val="24"/>
          <w:szCs w:val="24"/>
        </w:rPr>
      </w:pPr>
    </w:p>
    <w:p w:rsidR="002D725C" w:rsidRPr="002D725C" w:rsidP="002D725C" w14:paraId="39C40B5D" w14:textId="55CB2F11">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Since its development in 2002, the Title V Information System (TVIS) has contributed to numerous efficiencies in the Application/Annual Report Submission process.</w:t>
      </w:r>
      <w:r w:rsidR="00535A04">
        <w:rPr>
          <w:rFonts w:ascii="Times New Roman" w:hAnsi="Times New Roman"/>
          <w:sz w:val="24"/>
          <w:szCs w:val="24"/>
        </w:rPr>
        <w:t xml:space="preserve"> </w:t>
      </w:r>
      <w:r w:rsidRPr="002D725C">
        <w:rPr>
          <w:rFonts w:ascii="Times New Roman" w:hAnsi="Times New Roman"/>
          <w:sz w:val="24"/>
          <w:szCs w:val="24"/>
        </w:rPr>
        <w:t>The</w:t>
      </w:r>
      <w:r>
        <w:rPr>
          <w:rFonts w:ascii="Times New Roman" w:hAnsi="Times New Roman"/>
          <w:sz w:val="24"/>
          <w:szCs w:val="24"/>
        </w:rPr>
        <w:t xml:space="preserve"> TVIS</w:t>
      </w:r>
      <w:r w:rsidRPr="002D725C">
        <w:rPr>
          <w:rFonts w:ascii="Times New Roman" w:hAnsi="Times New Roman"/>
          <w:sz w:val="24"/>
          <w:szCs w:val="24"/>
        </w:rPr>
        <w:t xml:space="preserve"> is a </w:t>
      </w:r>
      <w:r w:rsidR="00F9236F">
        <w:rPr>
          <w:rFonts w:ascii="Times New Roman" w:hAnsi="Times New Roman"/>
          <w:sz w:val="24"/>
          <w:szCs w:val="24"/>
        </w:rPr>
        <w:t>web</w:t>
      </w:r>
      <w:r w:rsidRPr="002D725C">
        <w:rPr>
          <w:rFonts w:ascii="Times New Roman" w:hAnsi="Times New Roman"/>
          <w:sz w:val="24"/>
          <w:szCs w:val="24"/>
        </w:rPr>
        <w:t xml:space="preserve">-based system, which consists of </w:t>
      </w:r>
      <w:r>
        <w:rPr>
          <w:rFonts w:ascii="Times New Roman" w:hAnsi="Times New Roman"/>
          <w:sz w:val="24"/>
          <w:szCs w:val="24"/>
        </w:rPr>
        <w:t xml:space="preserve">the </w:t>
      </w:r>
      <w:r w:rsidRPr="002D725C">
        <w:rPr>
          <w:rFonts w:ascii="Times New Roman" w:hAnsi="Times New Roman"/>
          <w:sz w:val="24"/>
          <w:szCs w:val="24"/>
        </w:rPr>
        <w:t>TV</w:t>
      </w:r>
      <w:r w:rsidR="0005238A">
        <w:rPr>
          <w:rFonts w:ascii="Times New Roman" w:hAnsi="Times New Roman"/>
          <w:sz w:val="24"/>
          <w:szCs w:val="24"/>
        </w:rPr>
        <w:t>IS Data Entry System</w:t>
      </w:r>
      <w:r>
        <w:rPr>
          <w:rFonts w:ascii="Times New Roman" w:hAnsi="Times New Roman"/>
          <w:sz w:val="24"/>
          <w:szCs w:val="24"/>
        </w:rPr>
        <w:t xml:space="preserve"> and the </w:t>
      </w:r>
      <w:r w:rsidRPr="002D725C">
        <w:rPr>
          <w:rFonts w:ascii="Times New Roman" w:hAnsi="Times New Roman"/>
          <w:sz w:val="24"/>
          <w:szCs w:val="24"/>
        </w:rPr>
        <w:t>TVIS Web Reports</w:t>
      </w:r>
      <w:r>
        <w:rPr>
          <w:rFonts w:ascii="Times New Roman" w:hAnsi="Times New Roman"/>
          <w:sz w:val="24"/>
          <w:szCs w:val="24"/>
        </w:rPr>
        <w:t>.</w:t>
      </w:r>
      <w:r w:rsidR="00535A04">
        <w:rPr>
          <w:rFonts w:ascii="Times New Roman" w:hAnsi="Times New Roman"/>
          <w:sz w:val="24"/>
          <w:szCs w:val="24"/>
        </w:rPr>
        <w:t xml:space="preserve"> </w:t>
      </w:r>
      <w:r w:rsidRPr="002D725C">
        <w:rPr>
          <w:rFonts w:ascii="Times New Roman" w:hAnsi="Times New Roman"/>
          <w:sz w:val="24"/>
          <w:szCs w:val="24"/>
        </w:rPr>
        <w:t xml:space="preserve">The transformation of the MCH Block Grant mandated the development and deployment of a redesigned electronic data collection and </w:t>
      </w:r>
      <w:r w:rsidR="00F9236F">
        <w:rPr>
          <w:rFonts w:ascii="Times New Roman" w:hAnsi="Times New Roman"/>
          <w:sz w:val="24"/>
          <w:szCs w:val="24"/>
        </w:rPr>
        <w:t>web</w:t>
      </w:r>
      <w:r w:rsidRPr="002D725C">
        <w:rPr>
          <w:rFonts w:ascii="Times New Roman" w:hAnsi="Times New Roman"/>
          <w:sz w:val="24"/>
          <w:szCs w:val="24"/>
        </w:rPr>
        <w:t xml:space="preserve"> reports system in 2015.</w:t>
      </w:r>
      <w:r w:rsidR="00535A04">
        <w:rPr>
          <w:rFonts w:ascii="Times New Roman" w:hAnsi="Times New Roman"/>
          <w:sz w:val="24"/>
          <w:szCs w:val="24"/>
        </w:rPr>
        <w:t xml:space="preserve"> </w:t>
      </w:r>
      <w:r w:rsidR="005218CE">
        <w:rPr>
          <w:rFonts w:ascii="Times New Roman" w:hAnsi="Times New Roman"/>
          <w:sz w:val="24"/>
          <w:szCs w:val="24"/>
        </w:rPr>
        <w:t>Specific enhancements made to the redesigned TVIS are described in Section 3.</w:t>
      </w:r>
      <w:r w:rsidR="00535A04">
        <w:rPr>
          <w:rFonts w:ascii="Times New Roman" w:hAnsi="Times New Roman"/>
          <w:sz w:val="24"/>
          <w:szCs w:val="24"/>
        </w:rPr>
        <w:t xml:space="preserve"> </w:t>
      </w:r>
    </w:p>
    <w:p w:rsidR="00CB509A" w:rsidRPr="00E371A6" w:rsidP="00543AEE" w14:paraId="30F4C388" w14:textId="77777777">
      <w:pPr>
        <w:autoSpaceDE w:val="0"/>
        <w:autoSpaceDN w:val="0"/>
        <w:adjustRightInd w:val="0"/>
        <w:spacing w:after="0" w:line="240" w:lineRule="auto"/>
        <w:rPr>
          <w:rFonts w:ascii="Times New Roman" w:hAnsi="Times New Roman"/>
          <w:color w:val="31849B"/>
          <w:sz w:val="24"/>
          <w:szCs w:val="24"/>
        </w:rPr>
      </w:pPr>
    </w:p>
    <w:p w:rsidR="00CB509A" w:rsidRPr="001A596A" w:rsidP="007006B4" w14:paraId="38FDFC97" w14:textId="26F62C49">
      <w:pPr>
        <w:autoSpaceDE w:val="0"/>
        <w:autoSpaceDN w:val="0"/>
        <w:adjustRightInd w:val="0"/>
        <w:spacing w:after="0" w:line="240" w:lineRule="auto"/>
        <w:ind w:left="720" w:hanging="360"/>
        <w:rPr>
          <w:rFonts w:ascii="Times New Roman" w:hAnsi="Times New Roman"/>
          <w:b/>
          <w:bCs/>
          <w:sz w:val="24"/>
          <w:szCs w:val="24"/>
        </w:rPr>
      </w:pPr>
      <w:r w:rsidRPr="001A596A">
        <w:rPr>
          <w:rFonts w:ascii="Times New Roman" w:hAnsi="Times New Roman"/>
          <w:b/>
          <w:bCs/>
          <w:sz w:val="24"/>
          <w:szCs w:val="24"/>
        </w:rPr>
        <w:t xml:space="preserve">2. </w:t>
      </w:r>
      <w:r w:rsidRPr="001A596A" w:rsidR="007006B4">
        <w:rPr>
          <w:rFonts w:ascii="Times New Roman" w:hAnsi="Times New Roman"/>
          <w:b/>
          <w:bCs/>
          <w:sz w:val="24"/>
          <w:szCs w:val="24"/>
        </w:rPr>
        <w:tab/>
      </w:r>
      <w:r w:rsidR="00864DC4">
        <w:rPr>
          <w:rFonts w:ascii="Times New Roman" w:hAnsi="Times New Roman"/>
          <w:b/>
          <w:bCs/>
          <w:sz w:val="24"/>
          <w:szCs w:val="24"/>
        </w:rPr>
        <w:t xml:space="preserve">Purpose and Use of Information Collection </w:t>
      </w:r>
    </w:p>
    <w:p w:rsidR="000201E6" w:rsidP="005219E2" w14:paraId="02D011F0" w14:textId="77777777">
      <w:pPr>
        <w:autoSpaceDE w:val="0"/>
        <w:autoSpaceDN w:val="0"/>
        <w:adjustRightInd w:val="0"/>
        <w:spacing w:after="0" w:line="240" w:lineRule="auto"/>
        <w:ind w:left="720"/>
        <w:rPr>
          <w:rFonts w:ascii="Times New Roman" w:hAnsi="Times New Roman"/>
          <w:sz w:val="24"/>
          <w:szCs w:val="24"/>
        </w:rPr>
      </w:pPr>
    </w:p>
    <w:p w:rsidR="005219E2" w:rsidP="005219E2" w14:paraId="034CD8F1" w14:textId="3301A247">
      <w:pPr>
        <w:autoSpaceDE w:val="0"/>
        <w:autoSpaceDN w:val="0"/>
        <w:adjustRightInd w:val="0"/>
        <w:spacing w:after="0" w:line="240" w:lineRule="auto"/>
        <w:ind w:left="720"/>
        <w:rPr>
          <w:rFonts w:ascii="Times New Roman" w:hAnsi="Times New Roman"/>
          <w:sz w:val="24"/>
          <w:szCs w:val="24"/>
        </w:rPr>
      </w:pPr>
      <w:r w:rsidRPr="005219E2">
        <w:rPr>
          <w:rFonts w:ascii="Times New Roman" w:hAnsi="Times New Roman"/>
          <w:sz w:val="24"/>
          <w:szCs w:val="24"/>
        </w:rPr>
        <w:t>Th</w:t>
      </w:r>
      <w:r w:rsidR="009D72AE">
        <w:rPr>
          <w:rFonts w:ascii="Times New Roman" w:hAnsi="Times New Roman"/>
          <w:sz w:val="24"/>
          <w:szCs w:val="24"/>
        </w:rPr>
        <w:t xml:space="preserve">e Application/Annual Report </w:t>
      </w:r>
      <w:r w:rsidRPr="005219E2">
        <w:rPr>
          <w:rFonts w:ascii="Times New Roman" w:hAnsi="Times New Roman"/>
          <w:sz w:val="24"/>
          <w:szCs w:val="24"/>
        </w:rPr>
        <w:t>Guidance is used annually by the 50</w:t>
      </w:r>
      <w:r>
        <w:rPr>
          <w:rFonts w:ascii="Times New Roman" w:hAnsi="Times New Roman"/>
          <w:sz w:val="24"/>
          <w:szCs w:val="24"/>
        </w:rPr>
        <w:t xml:space="preserve"> </w:t>
      </w:r>
      <w:r w:rsidR="001A79CD">
        <w:rPr>
          <w:rFonts w:ascii="Times New Roman" w:hAnsi="Times New Roman"/>
          <w:sz w:val="24"/>
          <w:szCs w:val="24"/>
        </w:rPr>
        <w:t>s</w:t>
      </w:r>
      <w:r w:rsidRPr="005219E2">
        <w:rPr>
          <w:rFonts w:ascii="Times New Roman" w:hAnsi="Times New Roman"/>
          <w:sz w:val="24"/>
          <w:szCs w:val="24"/>
        </w:rPr>
        <w:t>tates and nine</w:t>
      </w:r>
      <w:r w:rsidR="00404C77">
        <w:rPr>
          <w:rFonts w:ascii="Times New Roman" w:hAnsi="Times New Roman"/>
          <w:sz w:val="24"/>
          <w:szCs w:val="24"/>
        </w:rPr>
        <w:t xml:space="preserve"> (9)</w:t>
      </w:r>
      <w:r w:rsidRPr="005219E2">
        <w:rPr>
          <w:rFonts w:ascii="Times New Roman" w:hAnsi="Times New Roman"/>
          <w:sz w:val="24"/>
          <w:szCs w:val="24"/>
        </w:rPr>
        <w:t xml:space="preserve"> jurisdictions in applying</w:t>
      </w:r>
      <w:r>
        <w:rPr>
          <w:rFonts w:ascii="Times New Roman" w:hAnsi="Times New Roman"/>
          <w:sz w:val="24"/>
          <w:szCs w:val="24"/>
        </w:rPr>
        <w:t xml:space="preserve"> </w:t>
      </w:r>
      <w:r w:rsidRPr="005219E2">
        <w:rPr>
          <w:rFonts w:ascii="Times New Roman" w:hAnsi="Times New Roman"/>
          <w:sz w:val="24"/>
          <w:szCs w:val="24"/>
        </w:rPr>
        <w:t>for</w:t>
      </w:r>
      <w:r w:rsidR="009D72AE">
        <w:rPr>
          <w:rFonts w:ascii="Times New Roman" w:hAnsi="Times New Roman"/>
          <w:sz w:val="24"/>
          <w:szCs w:val="24"/>
        </w:rPr>
        <w:t xml:space="preserve"> MCH</w:t>
      </w:r>
      <w:r w:rsidRPr="005219E2">
        <w:rPr>
          <w:rFonts w:ascii="Times New Roman" w:hAnsi="Times New Roman"/>
          <w:sz w:val="24"/>
          <w:szCs w:val="24"/>
        </w:rPr>
        <w:t xml:space="preserve"> Block Grants under Title V of the</w:t>
      </w:r>
      <w:r>
        <w:rPr>
          <w:rFonts w:ascii="Times New Roman" w:hAnsi="Times New Roman"/>
          <w:sz w:val="24"/>
          <w:szCs w:val="24"/>
        </w:rPr>
        <w:t xml:space="preserve"> </w:t>
      </w:r>
      <w:r w:rsidRPr="005219E2">
        <w:rPr>
          <w:rFonts w:ascii="Times New Roman" w:hAnsi="Times New Roman"/>
          <w:sz w:val="24"/>
          <w:szCs w:val="24"/>
        </w:rPr>
        <w:t xml:space="preserve">Social Security Act and in preparing </w:t>
      </w:r>
      <w:r w:rsidR="00404C77">
        <w:rPr>
          <w:rFonts w:ascii="Times New Roman" w:hAnsi="Times New Roman"/>
          <w:sz w:val="24"/>
          <w:szCs w:val="24"/>
        </w:rPr>
        <w:t xml:space="preserve">the </w:t>
      </w:r>
      <w:r w:rsidRPr="005219E2">
        <w:rPr>
          <w:rFonts w:ascii="Times New Roman" w:hAnsi="Times New Roman"/>
          <w:sz w:val="24"/>
          <w:szCs w:val="24"/>
        </w:rPr>
        <w:t>required</w:t>
      </w:r>
      <w:r>
        <w:rPr>
          <w:rFonts w:ascii="Times New Roman" w:hAnsi="Times New Roman"/>
          <w:sz w:val="24"/>
          <w:szCs w:val="24"/>
        </w:rPr>
        <w:t xml:space="preserve"> </w:t>
      </w:r>
      <w:r w:rsidRPr="005219E2">
        <w:rPr>
          <w:rFonts w:ascii="Times New Roman" w:hAnsi="Times New Roman"/>
          <w:sz w:val="24"/>
          <w:szCs w:val="24"/>
        </w:rPr>
        <w:t>Annual Report.</w:t>
      </w:r>
      <w:r w:rsidR="00535A04">
        <w:rPr>
          <w:rFonts w:ascii="Times New Roman" w:hAnsi="Times New Roman"/>
          <w:sz w:val="24"/>
          <w:szCs w:val="24"/>
        </w:rPr>
        <w:t xml:space="preserve"> </w:t>
      </w:r>
      <w:r w:rsidR="000201E6">
        <w:rPr>
          <w:rFonts w:ascii="Times New Roman" w:hAnsi="Times New Roman"/>
          <w:sz w:val="24"/>
          <w:szCs w:val="24"/>
        </w:rPr>
        <w:t>D</w:t>
      </w:r>
      <w:r w:rsidRPr="00141D15" w:rsidR="000201E6">
        <w:rPr>
          <w:rFonts w:ascii="Times New Roman" w:hAnsi="Times New Roman"/>
          <w:sz w:val="24"/>
          <w:szCs w:val="24"/>
        </w:rPr>
        <w:t>ata requested in th</w:t>
      </w:r>
      <w:r w:rsidR="000201E6">
        <w:rPr>
          <w:rFonts w:ascii="Times New Roman" w:hAnsi="Times New Roman"/>
          <w:sz w:val="24"/>
          <w:szCs w:val="24"/>
        </w:rPr>
        <w:t>e updated edition of the MCH Block Grant Application/Annual Report G</w:t>
      </w:r>
      <w:r w:rsidRPr="00141D15" w:rsidR="000201E6">
        <w:rPr>
          <w:rFonts w:ascii="Times New Roman" w:hAnsi="Times New Roman"/>
          <w:sz w:val="24"/>
          <w:szCs w:val="24"/>
        </w:rPr>
        <w:t xml:space="preserve">uidance are necessary to </w:t>
      </w:r>
      <w:r w:rsidR="000201E6">
        <w:rPr>
          <w:rFonts w:ascii="Times New Roman" w:hAnsi="Times New Roman"/>
          <w:sz w:val="24"/>
          <w:szCs w:val="24"/>
        </w:rPr>
        <w:t xml:space="preserve">assist states in telling </w:t>
      </w:r>
      <w:r w:rsidRPr="00095344" w:rsidR="000201E6">
        <w:rPr>
          <w:rFonts w:ascii="Times New Roman" w:hAnsi="Times New Roman"/>
          <w:sz w:val="24"/>
          <w:szCs w:val="24"/>
        </w:rPr>
        <w:t>a coherent</w:t>
      </w:r>
      <w:r w:rsidR="000201E6">
        <w:rPr>
          <w:rFonts w:ascii="Times New Roman" w:hAnsi="Times New Roman"/>
          <w:sz w:val="24"/>
          <w:szCs w:val="24"/>
        </w:rPr>
        <w:t xml:space="preserve"> and </w:t>
      </w:r>
      <w:r w:rsidRPr="00095344" w:rsidR="000201E6">
        <w:rPr>
          <w:rFonts w:ascii="Times New Roman" w:hAnsi="Times New Roman"/>
          <w:sz w:val="24"/>
          <w:szCs w:val="24"/>
        </w:rPr>
        <w:t>compelling story about the impact</w:t>
      </w:r>
      <w:r w:rsidR="000201E6">
        <w:rPr>
          <w:rFonts w:ascii="Times New Roman" w:hAnsi="Times New Roman"/>
          <w:sz w:val="24"/>
          <w:szCs w:val="24"/>
        </w:rPr>
        <w:t xml:space="preserve"> of their Title V programs, both within the state and nationally.</w:t>
      </w:r>
      <w:r w:rsidR="00535A04">
        <w:rPr>
          <w:rFonts w:ascii="Times New Roman" w:hAnsi="Times New Roman"/>
          <w:sz w:val="24"/>
          <w:szCs w:val="24"/>
        </w:rPr>
        <w:t xml:space="preserve"> </w:t>
      </w:r>
      <w:r w:rsidR="000201E6">
        <w:rPr>
          <w:rFonts w:ascii="Times New Roman" w:hAnsi="Times New Roman"/>
          <w:sz w:val="24"/>
          <w:szCs w:val="24"/>
        </w:rPr>
        <w:t xml:space="preserve">These data further help to demonstrate the Title V program’s </w:t>
      </w:r>
      <w:r w:rsidRPr="00095344" w:rsidR="000201E6">
        <w:rPr>
          <w:rFonts w:ascii="Times New Roman" w:hAnsi="Times New Roman"/>
          <w:sz w:val="24"/>
          <w:szCs w:val="24"/>
        </w:rPr>
        <w:t xml:space="preserve">return on investment </w:t>
      </w:r>
      <w:r w:rsidR="000201E6">
        <w:rPr>
          <w:rFonts w:ascii="Times New Roman" w:hAnsi="Times New Roman"/>
          <w:sz w:val="24"/>
          <w:szCs w:val="24"/>
        </w:rPr>
        <w:t xml:space="preserve">in ensuring accountability for the ongoing </w:t>
      </w:r>
      <w:r w:rsidRPr="00141D15" w:rsidR="000201E6">
        <w:rPr>
          <w:rFonts w:ascii="Times New Roman" w:hAnsi="Times New Roman"/>
          <w:sz w:val="24"/>
          <w:szCs w:val="24"/>
        </w:rPr>
        <w:t>monitor</w:t>
      </w:r>
      <w:r w:rsidR="000201E6">
        <w:rPr>
          <w:rFonts w:ascii="Times New Roman" w:hAnsi="Times New Roman"/>
          <w:sz w:val="24"/>
          <w:szCs w:val="24"/>
        </w:rPr>
        <w:t>ing</w:t>
      </w:r>
      <w:r w:rsidRPr="00141D15" w:rsidR="000201E6">
        <w:rPr>
          <w:rFonts w:ascii="Times New Roman" w:hAnsi="Times New Roman"/>
          <w:sz w:val="24"/>
          <w:szCs w:val="24"/>
        </w:rPr>
        <w:t xml:space="preserve"> </w:t>
      </w:r>
      <w:r w:rsidR="000201E6">
        <w:rPr>
          <w:rFonts w:ascii="Times New Roman" w:hAnsi="Times New Roman"/>
          <w:sz w:val="24"/>
          <w:szCs w:val="24"/>
        </w:rPr>
        <w:t>of health status in women and children, in documenting the progress that has been achieved relative to established National and State performance measure targets and in supporting an effective and responsive public health system for the nation’s MCH population.</w:t>
      </w:r>
      <w:r w:rsidR="00535A04">
        <w:rPr>
          <w:rFonts w:ascii="Times New Roman" w:hAnsi="Times New Roman"/>
          <w:sz w:val="24"/>
          <w:szCs w:val="24"/>
        </w:rPr>
        <w:t xml:space="preserve"> </w:t>
      </w:r>
      <w:r>
        <w:rPr>
          <w:rFonts w:ascii="Times New Roman" w:hAnsi="Times New Roman"/>
          <w:sz w:val="24"/>
          <w:szCs w:val="24"/>
        </w:rPr>
        <w:t xml:space="preserve"> </w:t>
      </w:r>
    </w:p>
    <w:p w:rsidR="005219E2" w:rsidP="005219E2" w14:paraId="362B443C" w14:textId="77777777">
      <w:pPr>
        <w:autoSpaceDE w:val="0"/>
        <w:autoSpaceDN w:val="0"/>
        <w:adjustRightInd w:val="0"/>
        <w:spacing w:after="0" w:line="240" w:lineRule="auto"/>
        <w:ind w:left="720"/>
        <w:rPr>
          <w:rFonts w:ascii="Times New Roman" w:hAnsi="Times New Roman"/>
          <w:sz w:val="24"/>
          <w:szCs w:val="24"/>
        </w:rPr>
      </w:pPr>
    </w:p>
    <w:p w:rsidR="00355B9E" w:rsidP="00355B9E" w14:paraId="1F501F9A" w14:textId="60BB5C80">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Consistent with the block grant concept, the attached updated </w:t>
      </w:r>
      <w:r w:rsidR="00935DBC">
        <w:rPr>
          <w:rFonts w:ascii="Times New Roman" w:hAnsi="Times New Roman"/>
          <w:sz w:val="24"/>
          <w:szCs w:val="24"/>
        </w:rPr>
        <w:t xml:space="preserve">edition of the </w:t>
      </w:r>
      <w:r>
        <w:rPr>
          <w:rFonts w:ascii="Times New Roman" w:hAnsi="Times New Roman"/>
          <w:sz w:val="24"/>
          <w:szCs w:val="24"/>
        </w:rPr>
        <w:t xml:space="preserve">Application/Annual Report Guidance retains the </w:t>
      </w:r>
      <w:r w:rsidRPr="006F31B6">
        <w:rPr>
          <w:rFonts w:ascii="Times New Roman" w:hAnsi="Times New Roman"/>
          <w:sz w:val="24"/>
          <w:szCs w:val="24"/>
        </w:rPr>
        <w:t xml:space="preserve">rights of </w:t>
      </w:r>
      <w:r>
        <w:rPr>
          <w:rFonts w:ascii="Times New Roman" w:hAnsi="Times New Roman"/>
          <w:sz w:val="24"/>
          <w:szCs w:val="24"/>
        </w:rPr>
        <w:t>each s</w:t>
      </w:r>
      <w:r w:rsidRPr="006F31B6">
        <w:rPr>
          <w:rFonts w:ascii="Times New Roman" w:hAnsi="Times New Roman"/>
          <w:sz w:val="24"/>
          <w:szCs w:val="24"/>
        </w:rPr>
        <w:t>tate</w:t>
      </w:r>
      <w:r>
        <w:rPr>
          <w:rFonts w:ascii="Times New Roman" w:hAnsi="Times New Roman"/>
          <w:sz w:val="24"/>
          <w:szCs w:val="24"/>
        </w:rPr>
        <w:t xml:space="preserve"> t</w:t>
      </w:r>
      <w:r w:rsidRPr="006F31B6">
        <w:rPr>
          <w:rFonts w:ascii="Times New Roman" w:hAnsi="Times New Roman"/>
          <w:sz w:val="24"/>
          <w:szCs w:val="24"/>
        </w:rPr>
        <w:t xml:space="preserve">o determine </w:t>
      </w:r>
      <w:r>
        <w:rPr>
          <w:rFonts w:ascii="Times New Roman" w:hAnsi="Times New Roman"/>
          <w:sz w:val="24"/>
          <w:szCs w:val="24"/>
        </w:rPr>
        <w:t xml:space="preserve">its </w:t>
      </w:r>
      <w:r w:rsidRPr="006F31B6">
        <w:rPr>
          <w:rFonts w:ascii="Times New Roman" w:hAnsi="Times New Roman"/>
          <w:sz w:val="24"/>
          <w:szCs w:val="24"/>
        </w:rPr>
        <w:t xml:space="preserve">own </w:t>
      </w:r>
      <w:r>
        <w:rPr>
          <w:rFonts w:ascii="Times New Roman" w:hAnsi="Times New Roman"/>
          <w:sz w:val="24"/>
          <w:szCs w:val="24"/>
        </w:rPr>
        <w:t xml:space="preserve">MCH priority </w:t>
      </w:r>
      <w:r w:rsidRPr="006F31B6">
        <w:rPr>
          <w:rFonts w:ascii="Times New Roman" w:hAnsi="Times New Roman"/>
          <w:sz w:val="24"/>
          <w:szCs w:val="24"/>
        </w:rPr>
        <w:t>needs</w:t>
      </w:r>
      <w:r>
        <w:rPr>
          <w:rFonts w:ascii="Times New Roman" w:hAnsi="Times New Roman"/>
          <w:sz w:val="24"/>
          <w:szCs w:val="24"/>
        </w:rPr>
        <w:t xml:space="preserve">, to develop tailored strategies for addressing its identified needs and to assume accountability in achieving measurable </w:t>
      </w:r>
      <w:r w:rsidRPr="006F31B6">
        <w:rPr>
          <w:rFonts w:ascii="Times New Roman" w:hAnsi="Times New Roman"/>
          <w:sz w:val="24"/>
          <w:szCs w:val="24"/>
        </w:rPr>
        <w:t xml:space="preserve">progress </w:t>
      </w:r>
      <w:r>
        <w:rPr>
          <w:rFonts w:ascii="Times New Roman" w:hAnsi="Times New Roman"/>
          <w:sz w:val="24"/>
          <w:szCs w:val="24"/>
        </w:rPr>
        <w:t>towards its s</w:t>
      </w:r>
      <w:r w:rsidRPr="006F31B6">
        <w:rPr>
          <w:rFonts w:ascii="Times New Roman" w:hAnsi="Times New Roman"/>
          <w:sz w:val="24"/>
          <w:szCs w:val="24"/>
        </w:rPr>
        <w:t xml:space="preserve">tated </w:t>
      </w:r>
      <w:r>
        <w:rPr>
          <w:rFonts w:ascii="Times New Roman" w:hAnsi="Times New Roman"/>
          <w:sz w:val="24"/>
          <w:szCs w:val="24"/>
        </w:rPr>
        <w:t xml:space="preserve">program </w:t>
      </w:r>
      <w:r w:rsidRPr="006F31B6">
        <w:rPr>
          <w:rFonts w:ascii="Times New Roman" w:hAnsi="Times New Roman"/>
          <w:sz w:val="24"/>
          <w:szCs w:val="24"/>
        </w:rPr>
        <w:t>goals</w:t>
      </w:r>
      <w:r>
        <w:rPr>
          <w:rFonts w:ascii="Times New Roman" w:hAnsi="Times New Roman"/>
          <w:sz w:val="24"/>
          <w:szCs w:val="24"/>
        </w:rPr>
        <w:t>.</w:t>
      </w:r>
      <w:r w:rsidR="00535A04">
        <w:rPr>
          <w:rFonts w:ascii="Times New Roman" w:hAnsi="Times New Roman"/>
          <w:sz w:val="24"/>
          <w:szCs w:val="24"/>
        </w:rPr>
        <w:t xml:space="preserve"> </w:t>
      </w:r>
      <w:r>
        <w:rPr>
          <w:rFonts w:ascii="Times New Roman" w:hAnsi="Times New Roman"/>
          <w:sz w:val="24"/>
          <w:szCs w:val="24"/>
        </w:rPr>
        <w:t>T</w:t>
      </w:r>
      <w:r w:rsidRPr="007430DC">
        <w:rPr>
          <w:rFonts w:ascii="Times New Roman" w:hAnsi="Times New Roman"/>
          <w:sz w:val="24"/>
          <w:szCs w:val="24"/>
        </w:rPr>
        <w:t>h</w:t>
      </w:r>
      <w:r>
        <w:rPr>
          <w:rFonts w:ascii="Times New Roman" w:hAnsi="Times New Roman"/>
          <w:sz w:val="24"/>
          <w:szCs w:val="24"/>
        </w:rPr>
        <w:t xml:space="preserve">e revised narrative </w:t>
      </w:r>
      <w:r w:rsidR="00E52F25">
        <w:rPr>
          <w:rFonts w:ascii="Times New Roman" w:hAnsi="Times New Roman"/>
          <w:sz w:val="24"/>
          <w:szCs w:val="24"/>
        </w:rPr>
        <w:t xml:space="preserve">reporting </w:t>
      </w:r>
      <w:r>
        <w:rPr>
          <w:rFonts w:ascii="Times New Roman" w:hAnsi="Times New Roman"/>
          <w:sz w:val="24"/>
          <w:szCs w:val="24"/>
        </w:rPr>
        <w:t>will also allow a State Title V program</w:t>
      </w:r>
      <w:r w:rsidRPr="007430DC">
        <w:rPr>
          <w:rFonts w:ascii="Times New Roman" w:hAnsi="Times New Roman"/>
          <w:sz w:val="24"/>
          <w:szCs w:val="24"/>
        </w:rPr>
        <w:t xml:space="preserve"> to reflect on </w:t>
      </w:r>
      <w:r>
        <w:rPr>
          <w:rFonts w:ascii="Times New Roman" w:hAnsi="Times New Roman"/>
          <w:sz w:val="24"/>
          <w:szCs w:val="24"/>
        </w:rPr>
        <w:t>its leadership role in the s</w:t>
      </w:r>
      <w:r w:rsidRPr="007430DC">
        <w:rPr>
          <w:rFonts w:ascii="Times New Roman" w:hAnsi="Times New Roman"/>
          <w:sz w:val="24"/>
          <w:szCs w:val="24"/>
        </w:rPr>
        <w:t xml:space="preserve">tate and to demonstrate the program’s contributions to the </w:t>
      </w:r>
      <w:r>
        <w:rPr>
          <w:rFonts w:ascii="Times New Roman" w:hAnsi="Times New Roman"/>
          <w:sz w:val="24"/>
          <w:szCs w:val="24"/>
        </w:rPr>
        <w:t>s</w:t>
      </w:r>
      <w:r w:rsidRPr="007430DC">
        <w:rPr>
          <w:rFonts w:ascii="Times New Roman" w:hAnsi="Times New Roman"/>
          <w:sz w:val="24"/>
          <w:szCs w:val="24"/>
        </w:rPr>
        <w:t xml:space="preserve">tate’s </w:t>
      </w:r>
      <w:r>
        <w:rPr>
          <w:rFonts w:ascii="Times New Roman" w:hAnsi="Times New Roman"/>
          <w:sz w:val="24"/>
          <w:szCs w:val="24"/>
        </w:rPr>
        <w:t xml:space="preserve">overall </w:t>
      </w:r>
      <w:r w:rsidRPr="007430DC">
        <w:rPr>
          <w:rFonts w:ascii="Times New Roman" w:hAnsi="Times New Roman"/>
          <w:sz w:val="24"/>
          <w:szCs w:val="24"/>
        </w:rPr>
        <w:t xml:space="preserve">public health system </w:t>
      </w:r>
      <w:r>
        <w:rPr>
          <w:rFonts w:ascii="Times New Roman" w:hAnsi="Times New Roman"/>
          <w:sz w:val="24"/>
          <w:szCs w:val="24"/>
        </w:rPr>
        <w:t xml:space="preserve">in </w:t>
      </w:r>
      <w:r w:rsidRPr="007430DC">
        <w:rPr>
          <w:rFonts w:ascii="Times New Roman" w:hAnsi="Times New Roman"/>
          <w:sz w:val="24"/>
          <w:szCs w:val="24"/>
        </w:rPr>
        <w:t>building improved and expanded systems of care for the MCH population</w:t>
      </w:r>
      <w:r w:rsidR="00692415">
        <w:rPr>
          <w:rFonts w:ascii="Times New Roman" w:hAnsi="Times New Roman"/>
          <w:sz w:val="24"/>
          <w:szCs w:val="24"/>
        </w:rPr>
        <w:t xml:space="preserve"> that </w:t>
      </w:r>
      <w:r w:rsidR="00E52F25">
        <w:rPr>
          <w:rFonts w:ascii="Times New Roman" w:hAnsi="Times New Roman"/>
          <w:sz w:val="24"/>
          <w:szCs w:val="24"/>
        </w:rPr>
        <w:t xml:space="preserve">are positioned to address </w:t>
      </w:r>
      <w:r w:rsidR="00692415">
        <w:rPr>
          <w:rFonts w:ascii="Times New Roman" w:hAnsi="Times New Roman"/>
          <w:sz w:val="24"/>
          <w:szCs w:val="24"/>
        </w:rPr>
        <w:t>current and emerging MCH needs.</w:t>
      </w:r>
    </w:p>
    <w:p w:rsidR="00355B9E" w:rsidP="00355B9E" w14:paraId="5FD91C2D" w14:textId="77777777">
      <w:pPr>
        <w:autoSpaceDE w:val="0"/>
        <w:autoSpaceDN w:val="0"/>
        <w:adjustRightInd w:val="0"/>
        <w:spacing w:after="0" w:line="240" w:lineRule="auto"/>
        <w:ind w:left="720"/>
        <w:rPr>
          <w:rFonts w:ascii="Times New Roman" w:hAnsi="Times New Roman"/>
          <w:sz w:val="24"/>
          <w:szCs w:val="24"/>
        </w:rPr>
      </w:pPr>
    </w:p>
    <w:p w:rsidR="00355B9E" w:rsidP="00355B9E" w14:paraId="271AE442" w14:textId="245DD7F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This updated Application/Annual Report Guidance adheres to the s</w:t>
      </w:r>
      <w:r w:rsidRPr="00F10D6A">
        <w:rPr>
          <w:rFonts w:ascii="Times New Roman" w:hAnsi="Times New Roman"/>
          <w:sz w:val="24"/>
          <w:szCs w:val="24"/>
        </w:rPr>
        <w:t>pecific statutory requirements</w:t>
      </w:r>
      <w:r>
        <w:rPr>
          <w:rFonts w:ascii="Times New Roman" w:hAnsi="Times New Roman"/>
          <w:sz w:val="24"/>
          <w:szCs w:val="24"/>
        </w:rPr>
        <w:t xml:space="preserve"> </w:t>
      </w:r>
      <w:r w:rsidR="00F91CA7">
        <w:rPr>
          <w:rFonts w:ascii="Times New Roman" w:hAnsi="Times New Roman"/>
          <w:sz w:val="24"/>
          <w:szCs w:val="24"/>
        </w:rPr>
        <w:t xml:space="preserve">contained </w:t>
      </w:r>
      <w:r>
        <w:rPr>
          <w:rFonts w:ascii="Times New Roman" w:hAnsi="Times New Roman"/>
          <w:sz w:val="24"/>
          <w:szCs w:val="24"/>
        </w:rPr>
        <w:t xml:space="preserve">in </w:t>
      </w:r>
      <w:r w:rsidRPr="00F10D6A">
        <w:rPr>
          <w:rFonts w:ascii="Times New Roman" w:hAnsi="Times New Roman"/>
          <w:sz w:val="24"/>
          <w:szCs w:val="24"/>
        </w:rPr>
        <w:t>Section</w:t>
      </w:r>
      <w:r>
        <w:rPr>
          <w:rFonts w:ascii="Times New Roman" w:hAnsi="Times New Roman"/>
          <w:sz w:val="24"/>
          <w:szCs w:val="24"/>
        </w:rPr>
        <w:t>s</w:t>
      </w:r>
      <w:r w:rsidRPr="00F10D6A">
        <w:rPr>
          <w:rFonts w:ascii="Times New Roman" w:hAnsi="Times New Roman"/>
          <w:sz w:val="24"/>
          <w:szCs w:val="24"/>
        </w:rPr>
        <w:t xml:space="preserve"> 501</w:t>
      </w:r>
      <w:r>
        <w:rPr>
          <w:rFonts w:ascii="Times New Roman" w:hAnsi="Times New Roman"/>
          <w:sz w:val="24"/>
          <w:szCs w:val="24"/>
        </w:rPr>
        <w:t xml:space="preserve"> and </w:t>
      </w:r>
      <w:r w:rsidRPr="00F10D6A">
        <w:rPr>
          <w:rFonts w:ascii="Times New Roman" w:hAnsi="Times New Roman"/>
          <w:sz w:val="24"/>
          <w:szCs w:val="24"/>
        </w:rPr>
        <w:t xml:space="preserve">503-509 of </w:t>
      </w:r>
      <w:r>
        <w:rPr>
          <w:rFonts w:ascii="Times New Roman" w:hAnsi="Times New Roman"/>
          <w:sz w:val="24"/>
          <w:szCs w:val="24"/>
        </w:rPr>
        <w:t xml:space="preserve">the </w:t>
      </w:r>
      <w:r w:rsidRPr="00F10D6A">
        <w:rPr>
          <w:rFonts w:ascii="Times New Roman" w:hAnsi="Times New Roman"/>
          <w:sz w:val="24"/>
          <w:szCs w:val="24"/>
        </w:rPr>
        <w:t>Title V</w:t>
      </w:r>
      <w:r>
        <w:rPr>
          <w:rFonts w:ascii="Times New Roman" w:hAnsi="Times New Roman"/>
          <w:sz w:val="24"/>
          <w:szCs w:val="24"/>
        </w:rPr>
        <w:t xml:space="preserve"> legislation and promotes the use of</w:t>
      </w:r>
      <w:r w:rsidRPr="00F10D6A">
        <w:rPr>
          <w:rFonts w:ascii="Times New Roman" w:hAnsi="Times New Roman"/>
          <w:sz w:val="24"/>
          <w:szCs w:val="24"/>
        </w:rPr>
        <w:t xml:space="preserve"> evidence-based </w:t>
      </w:r>
      <w:r w:rsidR="000F5284">
        <w:rPr>
          <w:rFonts w:ascii="Times New Roman" w:hAnsi="Times New Roman"/>
          <w:sz w:val="24"/>
          <w:szCs w:val="24"/>
        </w:rPr>
        <w:t>or -</w:t>
      </w:r>
      <w:r>
        <w:rPr>
          <w:rFonts w:ascii="Times New Roman" w:hAnsi="Times New Roman"/>
          <w:sz w:val="24"/>
          <w:szCs w:val="24"/>
        </w:rPr>
        <w:t xml:space="preserve">informed </w:t>
      </w:r>
      <w:r w:rsidRPr="00F10D6A">
        <w:rPr>
          <w:rFonts w:ascii="Times New Roman" w:hAnsi="Times New Roman"/>
          <w:sz w:val="24"/>
          <w:szCs w:val="24"/>
        </w:rPr>
        <w:t xml:space="preserve">public health practices </w:t>
      </w:r>
      <w:r>
        <w:rPr>
          <w:rFonts w:ascii="Times New Roman" w:hAnsi="Times New Roman"/>
          <w:sz w:val="24"/>
          <w:szCs w:val="24"/>
        </w:rPr>
        <w:t xml:space="preserve">by states in developing a Five-year Action Plan that responds to the unique MCH population and program needs </w:t>
      </w:r>
      <w:r w:rsidR="004B2C9B">
        <w:rPr>
          <w:rFonts w:ascii="Times New Roman" w:hAnsi="Times New Roman"/>
          <w:sz w:val="24"/>
          <w:szCs w:val="24"/>
        </w:rPr>
        <w:t xml:space="preserve">of </w:t>
      </w:r>
      <w:r w:rsidR="000C7C68">
        <w:rPr>
          <w:rFonts w:ascii="Times New Roman" w:hAnsi="Times New Roman"/>
          <w:sz w:val="24"/>
          <w:szCs w:val="24"/>
        </w:rPr>
        <w:t xml:space="preserve">each </w:t>
      </w:r>
      <w:r w:rsidR="004B2C9B">
        <w:rPr>
          <w:rFonts w:ascii="Times New Roman" w:hAnsi="Times New Roman"/>
          <w:sz w:val="24"/>
          <w:szCs w:val="24"/>
        </w:rPr>
        <w:t xml:space="preserve">individual </w:t>
      </w:r>
      <w:r>
        <w:rPr>
          <w:rFonts w:ascii="Times New Roman" w:hAnsi="Times New Roman"/>
          <w:sz w:val="24"/>
          <w:szCs w:val="24"/>
        </w:rPr>
        <w:t>state.</w:t>
      </w:r>
      <w:r w:rsidR="00535A04">
        <w:rPr>
          <w:rFonts w:ascii="Times New Roman" w:hAnsi="Times New Roman"/>
          <w:sz w:val="24"/>
          <w:szCs w:val="24"/>
        </w:rPr>
        <w:t xml:space="preserve"> </w:t>
      </w:r>
      <w:r>
        <w:rPr>
          <w:rFonts w:ascii="Times New Roman" w:hAnsi="Times New Roman"/>
          <w:sz w:val="24"/>
          <w:szCs w:val="24"/>
        </w:rPr>
        <w:t xml:space="preserve">In addition, the updated Guidance continues to </w:t>
      </w:r>
      <w:r w:rsidRPr="007248CC">
        <w:rPr>
          <w:rFonts w:ascii="Times New Roman" w:hAnsi="Times New Roman"/>
          <w:sz w:val="24"/>
          <w:szCs w:val="24"/>
        </w:rPr>
        <w:t>affirm the mission of Title V</w:t>
      </w:r>
      <w:r>
        <w:rPr>
          <w:rFonts w:ascii="Times New Roman" w:hAnsi="Times New Roman"/>
          <w:sz w:val="24"/>
          <w:szCs w:val="24"/>
        </w:rPr>
        <w:t xml:space="preserve"> as “t</w:t>
      </w:r>
      <w:r w:rsidRPr="007248CC">
        <w:rPr>
          <w:rFonts w:ascii="Times New Roman" w:hAnsi="Times New Roman"/>
          <w:sz w:val="24"/>
          <w:szCs w:val="24"/>
        </w:rPr>
        <w:t>o improve the health and well-being of all of America’s mothers, children, and families</w:t>
      </w:r>
      <w:r>
        <w:rPr>
          <w:rFonts w:ascii="Times New Roman" w:hAnsi="Times New Roman"/>
          <w:sz w:val="24"/>
          <w:szCs w:val="24"/>
        </w:rPr>
        <w:t>.”</w:t>
      </w:r>
      <w:r w:rsidR="00535A04">
        <w:rPr>
          <w:rFonts w:ascii="Times New Roman" w:hAnsi="Times New Roman"/>
          <w:sz w:val="24"/>
          <w:szCs w:val="24"/>
        </w:rPr>
        <w:t xml:space="preserve"> </w:t>
      </w:r>
    </w:p>
    <w:p w:rsidR="00355B9E" w:rsidRPr="00E371A6" w:rsidP="001E2A42" w14:paraId="4DB37FC2" w14:textId="77777777">
      <w:pPr>
        <w:autoSpaceDE w:val="0"/>
        <w:autoSpaceDN w:val="0"/>
        <w:adjustRightInd w:val="0"/>
        <w:spacing w:after="0" w:line="240" w:lineRule="auto"/>
        <w:ind w:left="720"/>
        <w:rPr>
          <w:rFonts w:ascii="Times New Roman" w:hAnsi="Times New Roman"/>
          <w:color w:val="31849B"/>
          <w:sz w:val="24"/>
          <w:szCs w:val="24"/>
        </w:rPr>
      </w:pPr>
    </w:p>
    <w:p w:rsidR="00CB509A" w:rsidRPr="000D278C" w:rsidP="007006B4" w14:paraId="7A390FC3" w14:textId="77777777">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bCs/>
          <w:sz w:val="24"/>
          <w:szCs w:val="24"/>
        </w:rPr>
        <w:t>Uses of I</w:t>
      </w:r>
      <w:r w:rsidRPr="000D278C">
        <w:rPr>
          <w:rFonts w:ascii="Times New Roman" w:hAnsi="Times New Roman"/>
          <w:b/>
          <w:bCs/>
          <w:sz w:val="24"/>
          <w:szCs w:val="24"/>
        </w:rPr>
        <w:t>nformation</w:t>
      </w:r>
    </w:p>
    <w:p w:rsidR="00CB509A" w:rsidRPr="000D278C" w:rsidP="007006B4" w14:paraId="7A1EA752" w14:textId="77777777">
      <w:pPr>
        <w:autoSpaceDE w:val="0"/>
        <w:autoSpaceDN w:val="0"/>
        <w:adjustRightInd w:val="0"/>
        <w:spacing w:after="0" w:line="240" w:lineRule="auto"/>
        <w:ind w:left="720"/>
        <w:rPr>
          <w:rFonts w:ascii="Times New Roman" w:hAnsi="Times New Roman"/>
          <w:sz w:val="24"/>
          <w:szCs w:val="24"/>
        </w:rPr>
      </w:pPr>
      <w:r w:rsidRPr="000D278C">
        <w:rPr>
          <w:rFonts w:ascii="Times New Roman" w:hAnsi="Times New Roman"/>
          <w:sz w:val="24"/>
          <w:szCs w:val="24"/>
        </w:rPr>
        <w:t xml:space="preserve">The data and attendant information that will be </w:t>
      </w:r>
      <w:r w:rsidR="00763549">
        <w:rPr>
          <w:rFonts w:ascii="Times New Roman" w:hAnsi="Times New Roman"/>
          <w:sz w:val="24"/>
          <w:szCs w:val="24"/>
        </w:rPr>
        <w:t xml:space="preserve">collected by the </w:t>
      </w:r>
      <w:r w:rsidR="001A79CD">
        <w:rPr>
          <w:rFonts w:ascii="Times New Roman" w:hAnsi="Times New Roman"/>
          <w:sz w:val="24"/>
          <w:szCs w:val="24"/>
        </w:rPr>
        <w:t>MCHB from the 59 s</w:t>
      </w:r>
      <w:r w:rsidRPr="000D278C">
        <w:rPr>
          <w:rFonts w:ascii="Times New Roman" w:hAnsi="Times New Roman"/>
          <w:sz w:val="24"/>
          <w:szCs w:val="24"/>
        </w:rPr>
        <w:t xml:space="preserve">tates </w:t>
      </w:r>
      <w:r w:rsidR="001A79CD">
        <w:rPr>
          <w:rFonts w:ascii="Times New Roman" w:hAnsi="Times New Roman"/>
          <w:sz w:val="24"/>
          <w:szCs w:val="24"/>
        </w:rPr>
        <w:t xml:space="preserve">and jurisdictions </w:t>
      </w:r>
      <w:r w:rsidRPr="000D278C">
        <w:rPr>
          <w:rFonts w:ascii="Times New Roman" w:hAnsi="Times New Roman"/>
          <w:sz w:val="24"/>
          <w:szCs w:val="24"/>
        </w:rPr>
        <w:t>through</w:t>
      </w:r>
      <w:r w:rsidRPr="000D278C" w:rsidR="007006B4">
        <w:rPr>
          <w:rFonts w:ascii="Times New Roman" w:hAnsi="Times New Roman"/>
          <w:sz w:val="24"/>
          <w:szCs w:val="24"/>
        </w:rPr>
        <w:t xml:space="preserve"> </w:t>
      </w:r>
      <w:r w:rsidRPr="000D278C">
        <w:rPr>
          <w:rFonts w:ascii="Times New Roman" w:hAnsi="Times New Roman"/>
          <w:sz w:val="24"/>
          <w:szCs w:val="24"/>
        </w:rPr>
        <w:t xml:space="preserve">the </w:t>
      </w:r>
      <w:r w:rsidRPr="000D278C" w:rsidR="000D278C">
        <w:rPr>
          <w:rFonts w:ascii="Times New Roman" w:hAnsi="Times New Roman"/>
          <w:sz w:val="24"/>
          <w:szCs w:val="24"/>
        </w:rPr>
        <w:t>A</w:t>
      </w:r>
      <w:r w:rsidRPr="000D278C">
        <w:rPr>
          <w:rFonts w:ascii="Times New Roman" w:hAnsi="Times New Roman"/>
          <w:sz w:val="24"/>
          <w:szCs w:val="24"/>
        </w:rPr>
        <w:t>pplication/</w:t>
      </w:r>
      <w:r w:rsidRPr="000D278C" w:rsidR="000D278C">
        <w:rPr>
          <w:rFonts w:ascii="Times New Roman" w:hAnsi="Times New Roman"/>
          <w:sz w:val="24"/>
          <w:szCs w:val="24"/>
        </w:rPr>
        <w:t>A</w:t>
      </w:r>
      <w:r w:rsidRPr="000D278C">
        <w:rPr>
          <w:rFonts w:ascii="Times New Roman" w:hAnsi="Times New Roman"/>
          <w:sz w:val="24"/>
          <w:szCs w:val="24"/>
        </w:rPr>
        <w:t xml:space="preserve">nnual </w:t>
      </w:r>
      <w:r w:rsidRPr="000D278C" w:rsidR="000D278C">
        <w:rPr>
          <w:rFonts w:ascii="Times New Roman" w:hAnsi="Times New Roman"/>
          <w:sz w:val="24"/>
          <w:szCs w:val="24"/>
        </w:rPr>
        <w:t>R</w:t>
      </w:r>
      <w:r w:rsidRPr="000D278C">
        <w:rPr>
          <w:rFonts w:ascii="Times New Roman" w:hAnsi="Times New Roman"/>
          <w:sz w:val="24"/>
          <w:szCs w:val="24"/>
        </w:rPr>
        <w:t>eport offer utility to both HRSA,</w:t>
      </w:r>
      <w:r w:rsidRPr="000D278C" w:rsidR="006911FC">
        <w:rPr>
          <w:rFonts w:ascii="Times New Roman" w:hAnsi="Times New Roman"/>
          <w:sz w:val="24"/>
          <w:szCs w:val="24"/>
        </w:rPr>
        <w:t xml:space="preserve"> </w:t>
      </w:r>
      <w:r w:rsidR="001A79CD">
        <w:rPr>
          <w:rFonts w:ascii="Times New Roman" w:hAnsi="Times New Roman"/>
          <w:sz w:val="24"/>
          <w:szCs w:val="24"/>
        </w:rPr>
        <w:t>MCHB, and to the individual s</w:t>
      </w:r>
      <w:r w:rsidRPr="000D278C">
        <w:rPr>
          <w:rFonts w:ascii="Times New Roman" w:hAnsi="Times New Roman"/>
          <w:sz w:val="24"/>
          <w:szCs w:val="24"/>
        </w:rPr>
        <w:t>tates and jurisdictions.</w:t>
      </w:r>
    </w:p>
    <w:p w:rsidR="00100CCB" w:rsidP="007006B4" w14:paraId="0505DBD2" w14:textId="77777777">
      <w:pPr>
        <w:autoSpaceDE w:val="0"/>
        <w:autoSpaceDN w:val="0"/>
        <w:adjustRightInd w:val="0"/>
        <w:spacing w:after="0" w:line="240" w:lineRule="auto"/>
        <w:ind w:left="720"/>
        <w:rPr>
          <w:rFonts w:ascii="Times New Roman" w:hAnsi="Times New Roman"/>
          <w:color w:val="31849B"/>
          <w:sz w:val="24"/>
          <w:szCs w:val="24"/>
        </w:rPr>
      </w:pPr>
    </w:p>
    <w:p w:rsidR="00CB509A" w:rsidRPr="000D278C" w:rsidP="007006B4" w14:paraId="4CCEB179" w14:textId="77777777">
      <w:pPr>
        <w:autoSpaceDE w:val="0"/>
        <w:autoSpaceDN w:val="0"/>
        <w:adjustRightInd w:val="0"/>
        <w:spacing w:after="0" w:line="240" w:lineRule="auto"/>
        <w:ind w:left="720"/>
        <w:rPr>
          <w:rFonts w:ascii="Times New Roman" w:hAnsi="Times New Roman"/>
          <w:b/>
          <w:bCs/>
          <w:sz w:val="24"/>
          <w:szCs w:val="24"/>
        </w:rPr>
      </w:pPr>
      <w:r w:rsidRPr="000D278C">
        <w:rPr>
          <w:rFonts w:ascii="Times New Roman" w:hAnsi="Times New Roman"/>
          <w:b/>
          <w:bCs/>
          <w:sz w:val="24"/>
          <w:szCs w:val="24"/>
        </w:rPr>
        <w:t>Federal</w:t>
      </w:r>
    </w:p>
    <w:p w:rsidR="0004690C" w:rsidRPr="000D278C" w:rsidP="00F34AD2" w14:paraId="307B52EA" w14:textId="1D9FB6F1">
      <w:pPr>
        <w:autoSpaceDE w:val="0"/>
        <w:autoSpaceDN w:val="0"/>
        <w:adjustRightInd w:val="0"/>
        <w:spacing w:after="0" w:line="240" w:lineRule="auto"/>
        <w:ind w:left="720"/>
        <w:rPr>
          <w:rFonts w:ascii="Times New Roman" w:hAnsi="Times New Roman"/>
          <w:sz w:val="24"/>
          <w:szCs w:val="24"/>
        </w:rPr>
      </w:pPr>
      <w:r w:rsidRPr="000D278C">
        <w:rPr>
          <w:rFonts w:ascii="Times New Roman" w:hAnsi="Times New Roman"/>
          <w:sz w:val="24"/>
          <w:szCs w:val="24"/>
        </w:rPr>
        <w:t>The information collected from</w:t>
      </w:r>
      <w:r w:rsidRPr="000D278C" w:rsidR="000D278C">
        <w:rPr>
          <w:rFonts w:ascii="Times New Roman" w:hAnsi="Times New Roman"/>
          <w:sz w:val="24"/>
          <w:szCs w:val="24"/>
        </w:rPr>
        <w:t xml:space="preserve"> </w:t>
      </w:r>
      <w:r w:rsidR="00404C77">
        <w:rPr>
          <w:rFonts w:ascii="Times New Roman" w:hAnsi="Times New Roman"/>
          <w:sz w:val="24"/>
          <w:szCs w:val="24"/>
        </w:rPr>
        <w:t>S</w:t>
      </w:r>
      <w:r w:rsidRPr="000D278C" w:rsidR="000D278C">
        <w:rPr>
          <w:rFonts w:ascii="Times New Roman" w:hAnsi="Times New Roman"/>
          <w:sz w:val="24"/>
          <w:szCs w:val="24"/>
        </w:rPr>
        <w:t>tate</w:t>
      </w:r>
      <w:r w:rsidR="00404C77">
        <w:rPr>
          <w:rFonts w:ascii="Times New Roman" w:hAnsi="Times New Roman"/>
          <w:sz w:val="24"/>
          <w:szCs w:val="24"/>
        </w:rPr>
        <w:t xml:space="preserve"> </w:t>
      </w:r>
      <w:r w:rsidRPr="000D278C" w:rsidR="000D278C">
        <w:rPr>
          <w:rFonts w:ascii="Times New Roman" w:hAnsi="Times New Roman"/>
          <w:sz w:val="24"/>
          <w:szCs w:val="24"/>
        </w:rPr>
        <w:t>Title V agencies in the Application/Annual R</w:t>
      </w:r>
      <w:r w:rsidRPr="000D278C">
        <w:rPr>
          <w:rFonts w:ascii="Times New Roman" w:hAnsi="Times New Roman"/>
          <w:sz w:val="24"/>
          <w:szCs w:val="24"/>
        </w:rPr>
        <w:t>eport will be</w:t>
      </w:r>
      <w:r w:rsidRPr="000D278C" w:rsidR="007006B4">
        <w:rPr>
          <w:rFonts w:ascii="Times New Roman" w:hAnsi="Times New Roman"/>
          <w:sz w:val="24"/>
          <w:szCs w:val="24"/>
        </w:rPr>
        <w:t xml:space="preserve"> </w:t>
      </w:r>
      <w:r w:rsidRPr="000D278C">
        <w:rPr>
          <w:rFonts w:ascii="Times New Roman" w:hAnsi="Times New Roman"/>
          <w:sz w:val="24"/>
          <w:szCs w:val="24"/>
        </w:rPr>
        <w:t>used to comply with statutory requirements</w:t>
      </w:r>
      <w:r w:rsidR="002C5A73">
        <w:rPr>
          <w:rFonts w:ascii="Times New Roman" w:hAnsi="Times New Roman"/>
          <w:sz w:val="24"/>
          <w:szCs w:val="24"/>
        </w:rPr>
        <w:t xml:space="preserve"> f</w:t>
      </w:r>
      <w:r w:rsidRPr="000D278C" w:rsidR="00CB2A1B">
        <w:rPr>
          <w:rFonts w:ascii="Times New Roman" w:hAnsi="Times New Roman"/>
          <w:sz w:val="24"/>
          <w:szCs w:val="24"/>
        </w:rPr>
        <w:t>or MCH Block G</w:t>
      </w:r>
      <w:r w:rsidRPr="000D278C">
        <w:rPr>
          <w:rFonts w:ascii="Times New Roman" w:hAnsi="Times New Roman"/>
          <w:sz w:val="24"/>
          <w:szCs w:val="24"/>
        </w:rPr>
        <w:t>rant</w:t>
      </w:r>
      <w:r w:rsidRPr="000D278C" w:rsidR="007006B4">
        <w:rPr>
          <w:rFonts w:ascii="Times New Roman" w:hAnsi="Times New Roman"/>
          <w:sz w:val="24"/>
          <w:szCs w:val="24"/>
        </w:rPr>
        <w:t xml:space="preserve"> </w:t>
      </w:r>
      <w:r w:rsidRPr="000D278C">
        <w:rPr>
          <w:rFonts w:ascii="Times New Roman" w:hAnsi="Times New Roman"/>
          <w:sz w:val="24"/>
          <w:szCs w:val="24"/>
        </w:rPr>
        <w:t>funds.</w:t>
      </w:r>
      <w:r w:rsidR="00535A04">
        <w:rPr>
          <w:rFonts w:ascii="Times New Roman" w:hAnsi="Times New Roman"/>
          <w:sz w:val="24"/>
          <w:szCs w:val="24"/>
        </w:rPr>
        <w:t xml:space="preserve"> </w:t>
      </w:r>
      <w:r w:rsidR="00763549">
        <w:rPr>
          <w:rFonts w:ascii="Times New Roman" w:hAnsi="Times New Roman"/>
          <w:sz w:val="24"/>
          <w:szCs w:val="24"/>
        </w:rPr>
        <w:t xml:space="preserve">HRSA’s </w:t>
      </w:r>
      <w:r w:rsidRPr="000D278C">
        <w:rPr>
          <w:rFonts w:ascii="Times New Roman" w:hAnsi="Times New Roman"/>
          <w:sz w:val="24"/>
          <w:szCs w:val="24"/>
        </w:rPr>
        <w:t>MCHB will use the information to t</w:t>
      </w:r>
      <w:r>
        <w:rPr>
          <w:rFonts w:ascii="Times New Roman" w:hAnsi="Times New Roman"/>
          <w:sz w:val="24"/>
          <w:szCs w:val="24"/>
        </w:rPr>
        <w:t>ake two administrative actions:</w:t>
      </w:r>
    </w:p>
    <w:p w:rsidR="0004690C" w:rsidRPr="0004690C" w:rsidP="00C50D5F" w14:paraId="06289A53" w14:textId="77777777">
      <w:pPr>
        <w:numPr>
          <w:ilvl w:val="0"/>
          <w:numId w:val="5"/>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Acceptance of Annual R</w:t>
      </w:r>
      <w:r w:rsidRPr="000D278C" w:rsidR="00CB509A">
        <w:rPr>
          <w:rFonts w:ascii="Times New Roman" w:hAnsi="Times New Roman"/>
          <w:sz w:val="24"/>
          <w:szCs w:val="24"/>
        </w:rPr>
        <w:t>eport submitted in accordance with standard format and requirements</w:t>
      </w:r>
      <w:r w:rsidRPr="000D278C" w:rsidR="007006B4">
        <w:rPr>
          <w:rFonts w:ascii="Times New Roman" w:hAnsi="Times New Roman"/>
          <w:sz w:val="24"/>
          <w:szCs w:val="24"/>
        </w:rPr>
        <w:t xml:space="preserve"> </w:t>
      </w:r>
      <w:r w:rsidRPr="000D278C" w:rsidR="00CB509A">
        <w:rPr>
          <w:rFonts w:ascii="Times New Roman" w:hAnsi="Times New Roman"/>
          <w:sz w:val="24"/>
          <w:szCs w:val="24"/>
        </w:rPr>
        <w:t>of Section 506 of the Act; and</w:t>
      </w:r>
    </w:p>
    <w:p w:rsidR="00CB509A" w:rsidRPr="0004690C" w:rsidP="00C50D5F" w14:paraId="5EB52849" w14:textId="77777777">
      <w:pPr>
        <w:numPr>
          <w:ilvl w:val="0"/>
          <w:numId w:val="5"/>
        </w:numPr>
        <w:autoSpaceDE w:val="0"/>
        <w:autoSpaceDN w:val="0"/>
        <w:adjustRightInd w:val="0"/>
        <w:spacing w:after="0" w:line="240" w:lineRule="auto"/>
        <w:ind w:left="1080"/>
        <w:rPr>
          <w:rFonts w:ascii="Times New Roman" w:hAnsi="Times New Roman"/>
          <w:sz w:val="24"/>
          <w:szCs w:val="24"/>
        </w:rPr>
      </w:pPr>
      <w:r w:rsidRPr="0004690C">
        <w:rPr>
          <w:rFonts w:ascii="Times New Roman" w:hAnsi="Times New Roman"/>
          <w:sz w:val="24"/>
          <w:szCs w:val="24"/>
        </w:rPr>
        <w:t>Acceptance of a complete State A</w:t>
      </w:r>
      <w:r w:rsidRPr="0004690C">
        <w:rPr>
          <w:rFonts w:ascii="Times New Roman" w:hAnsi="Times New Roman"/>
          <w:sz w:val="24"/>
          <w:szCs w:val="24"/>
        </w:rPr>
        <w:t>pplication submitted in accordance with the standard format</w:t>
      </w:r>
      <w:r w:rsidRPr="0004690C" w:rsidR="007006B4">
        <w:rPr>
          <w:rFonts w:ascii="Times New Roman" w:hAnsi="Times New Roman"/>
          <w:sz w:val="24"/>
          <w:szCs w:val="24"/>
        </w:rPr>
        <w:t xml:space="preserve"> </w:t>
      </w:r>
      <w:r w:rsidRPr="0004690C">
        <w:rPr>
          <w:rFonts w:ascii="Times New Roman" w:hAnsi="Times New Roman"/>
          <w:sz w:val="24"/>
          <w:szCs w:val="24"/>
        </w:rPr>
        <w:t xml:space="preserve">and requirements of </w:t>
      </w:r>
      <w:r w:rsidR="00C41CD0">
        <w:rPr>
          <w:rFonts w:ascii="Times New Roman" w:hAnsi="Times New Roman"/>
          <w:sz w:val="24"/>
          <w:szCs w:val="24"/>
        </w:rPr>
        <w:t xml:space="preserve">Section 505 of </w:t>
      </w:r>
      <w:r w:rsidRPr="0004690C">
        <w:rPr>
          <w:rFonts w:ascii="Times New Roman" w:hAnsi="Times New Roman"/>
          <w:sz w:val="24"/>
          <w:szCs w:val="24"/>
        </w:rPr>
        <w:t>the Act.</w:t>
      </w:r>
    </w:p>
    <w:p w:rsidR="00100CCB" w:rsidRPr="00E371A6" w:rsidP="007006B4" w14:paraId="66D752F5" w14:textId="77777777">
      <w:pPr>
        <w:autoSpaceDE w:val="0"/>
        <w:autoSpaceDN w:val="0"/>
        <w:adjustRightInd w:val="0"/>
        <w:spacing w:after="0" w:line="240" w:lineRule="auto"/>
        <w:ind w:left="720"/>
        <w:rPr>
          <w:rFonts w:ascii="Times New Roman" w:hAnsi="Times New Roman"/>
          <w:color w:val="31849B"/>
          <w:sz w:val="24"/>
          <w:szCs w:val="24"/>
        </w:rPr>
      </w:pPr>
    </w:p>
    <w:p w:rsidR="00CB509A" w:rsidRPr="003D0855" w:rsidP="007006B4" w14:paraId="6D96640F" w14:textId="6B5443B2">
      <w:pPr>
        <w:autoSpaceDE w:val="0"/>
        <w:autoSpaceDN w:val="0"/>
        <w:adjustRightInd w:val="0"/>
        <w:spacing w:after="0" w:line="240" w:lineRule="auto"/>
        <w:ind w:left="720"/>
        <w:rPr>
          <w:rFonts w:ascii="Times New Roman" w:hAnsi="Times New Roman"/>
          <w:sz w:val="24"/>
          <w:szCs w:val="24"/>
        </w:rPr>
      </w:pPr>
      <w:r w:rsidRPr="003D0855">
        <w:rPr>
          <w:rFonts w:ascii="Times New Roman" w:hAnsi="Times New Roman"/>
          <w:sz w:val="24"/>
          <w:szCs w:val="24"/>
        </w:rPr>
        <w:t xml:space="preserve">Additionally, as mandated by Section 506, information provided through the </w:t>
      </w:r>
      <w:r w:rsidR="00394CAE">
        <w:rPr>
          <w:rFonts w:ascii="Times New Roman" w:hAnsi="Times New Roman"/>
          <w:sz w:val="24"/>
          <w:szCs w:val="24"/>
        </w:rPr>
        <w:t>Annual R</w:t>
      </w:r>
      <w:r w:rsidRPr="003D0855">
        <w:rPr>
          <w:rFonts w:ascii="Times New Roman" w:hAnsi="Times New Roman"/>
          <w:sz w:val="24"/>
          <w:szCs w:val="24"/>
        </w:rPr>
        <w:t>eport and</w:t>
      </w:r>
      <w:r w:rsidRPr="003D0855" w:rsidR="007006B4">
        <w:rPr>
          <w:rFonts w:ascii="Times New Roman" w:hAnsi="Times New Roman"/>
          <w:sz w:val="24"/>
          <w:szCs w:val="24"/>
        </w:rPr>
        <w:t xml:space="preserve"> </w:t>
      </w:r>
      <w:r w:rsidR="001A79CD">
        <w:rPr>
          <w:rFonts w:ascii="Times New Roman" w:hAnsi="Times New Roman"/>
          <w:sz w:val="24"/>
          <w:szCs w:val="24"/>
        </w:rPr>
        <w:t>other sources of s</w:t>
      </w:r>
      <w:r w:rsidRPr="003D0855">
        <w:rPr>
          <w:rFonts w:ascii="Times New Roman" w:hAnsi="Times New Roman"/>
          <w:sz w:val="24"/>
          <w:szCs w:val="24"/>
        </w:rPr>
        <w:t xml:space="preserve">tate data gathered by </w:t>
      </w:r>
      <w:r w:rsidR="006A2375">
        <w:rPr>
          <w:rFonts w:ascii="Times New Roman" w:hAnsi="Times New Roman"/>
          <w:sz w:val="24"/>
          <w:szCs w:val="24"/>
        </w:rPr>
        <w:t xml:space="preserve">HRSA’s </w:t>
      </w:r>
      <w:r w:rsidRPr="003D0855">
        <w:rPr>
          <w:rFonts w:ascii="Times New Roman" w:hAnsi="Times New Roman"/>
          <w:sz w:val="24"/>
          <w:szCs w:val="24"/>
        </w:rPr>
        <w:t xml:space="preserve">MCHB will be aggregated and </w:t>
      </w:r>
      <w:r w:rsidR="0085331D">
        <w:rPr>
          <w:rFonts w:ascii="Times New Roman" w:hAnsi="Times New Roman"/>
          <w:sz w:val="24"/>
          <w:szCs w:val="24"/>
        </w:rPr>
        <w:t xml:space="preserve">made publicly available through </w:t>
      </w:r>
      <w:r w:rsidR="006F61BE">
        <w:rPr>
          <w:rFonts w:ascii="Times New Roman" w:hAnsi="Times New Roman"/>
          <w:sz w:val="24"/>
          <w:szCs w:val="24"/>
        </w:rPr>
        <w:t xml:space="preserve">the </w:t>
      </w:r>
      <w:r w:rsidRPr="003D0855">
        <w:rPr>
          <w:rFonts w:ascii="Times New Roman" w:hAnsi="Times New Roman"/>
          <w:sz w:val="24"/>
          <w:szCs w:val="24"/>
        </w:rPr>
        <w:t>T</w:t>
      </w:r>
      <w:r w:rsidR="0025574F">
        <w:rPr>
          <w:rFonts w:ascii="Times New Roman" w:hAnsi="Times New Roman"/>
          <w:sz w:val="24"/>
          <w:szCs w:val="24"/>
        </w:rPr>
        <w:t>VIS</w:t>
      </w:r>
      <w:r w:rsidR="0085331D">
        <w:rPr>
          <w:rFonts w:ascii="Times New Roman" w:hAnsi="Times New Roman"/>
          <w:sz w:val="24"/>
          <w:szCs w:val="24"/>
        </w:rPr>
        <w:t xml:space="preserve"> Web Reports</w:t>
      </w:r>
      <w:r w:rsidRPr="003D0855">
        <w:rPr>
          <w:rFonts w:ascii="Times New Roman" w:hAnsi="Times New Roman"/>
          <w:sz w:val="24"/>
          <w:szCs w:val="24"/>
        </w:rPr>
        <w:t>.</w:t>
      </w:r>
      <w:r w:rsidR="00535A04">
        <w:rPr>
          <w:rFonts w:ascii="Times New Roman" w:hAnsi="Times New Roman"/>
          <w:sz w:val="24"/>
          <w:szCs w:val="24"/>
        </w:rPr>
        <w:t xml:space="preserve"> </w:t>
      </w:r>
      <w:r w:rsidR="00283592">
        <w:rPr>
          <w:rFonts w:ascii="Times New Roman" w:hAnsi="Times New Roman"/>
          <w:sz w:val="24"/>
          <w:szCs w:val="24"/>
        </w:rPr>
        <w:t>Such r</w:t>
      </w:r>
      <w:r w:rsidRPr="000E47DD" w:rsidR="00283592">
        <w:rPr>
          <w:rFonts w:ascii="Times New Roman" w:hAnsi="Times New Roman"/>
          <w:sz w:val="24"/>
          <w:szCs w:val="24"/>
        </w:rPr>
        <w:t xml:space="preserve">eporting </w:t>
      </w:r>
      <w:r w:rsidR="00283592">
        <w:rPr>
          <w:rFonts w:ascii="Times New Roman" w:hAnsi="Times New Roman"/>
          <w:sz w:val="24"/>
          <w:szCs w:val="24"/>
        </w:rPr>
        <w:t xml:space="preserve">by the </w:t>
      </w:r>
      <w:r w:rsidR="001A79CD">
        <w:rPr>
          <w:rFonts w:ascii="Times New Roman" w:hAnsi="Times New Roman"/>
          <w:sz w:val="24"/>
          <w:szCs w:val="24"/>
        </w:rPr>
        <w:t>s</w:t>
      </w:r>
      <w:r w:rsidR="00283592">
        <w:rPr>
          <w:rFonts w:ascii="Times New Roman" w:hAnsi="Times New Roman"/>
          <w:sz w:val="24"/>
          <w:szCs w:val="24"/>
        </w:rPr>
        <w:t xml:space="preserve">tates </w:t>
      </w:r>
      <w:r w:rsidRPr="000E47DD" w:rsidR="00283592">
        <w:rPr>
          <w:rFonts w:ascii="Times New Roman" w:hAnsi="Times New Roman"/>
          <w:sz w:val="24"/>
          <w:szCs w:val="24"/>
        </w:rPr>
        <w:t xml:space="preserve">on </w:t>
      </w:r>
      <w:r w:rsidR="009C5E4B">
        <w:rPr>
          <w:rFonts w:ascii="Times New Roman" w:hAnsi="Times New Roman"/>
          <w:sz w:val="24"/>
          <w:szCs w:val="24"/>
        </w:rPr>
        <w:t>the</w:t>
      </w:r>
      <w:r w:rsidR="005702DA">
        <w:rPr>
          <w:rFonts w:ascii="Times New Roman" w:hAnsi="Times New Roman"/>
          <w:sz w:val="24"/>
          <w:szCs w:val="24"/>
        </w:rPr>
        <w:t>ir performance relative to the N</w:t>
      </w:r>
      <w:r w:rsidRPr="000E47DD" w:rsidR="00283592">
        <w:rPr>
          <w:rFonts w:ascii="Times New Roman" w:hAnsi="Times New Roman"/>
          <w:sz w:val="24"/>
          <w:szCs w:val="24"/>
        </w:rPr>
        <w:t xml:space="preserve">ational </w:t>
      </w:r>
      <w:r w:rsidR="005702DA">
        <w:rPr>
          <w:rFonts w:ascii="Times New Roman" w:hAnsi="Times New Roman"/>
          <w:sz w:val="24"/>
          <w:szCs w:val="24"/>
        </w:rPr>
        <w:t xml:space="preserve">performance and outcome </w:t>
      </w:r>
      <w:r w:rsidRPr="000E47DD" w:rsidR="00283592">
        <w:rPr>
          <w:rFonts w:ascii="Times New Roman" w:hAnsi="Times New Roman"/>
          <w:sz w:val="24"/>
          <w:szCs w:val="24"/>
        </w:rPr>
        <w:t xml:space="preserve">measures is used </w:t>
      </w:r>
      <w:r w:rsidR="0017147B">
        <w:rPr>
          <w:rFonts w:ascii="Times New Roman" w:hAnsi="Times New Roman"/>
          <w:sz w:val="24"/>
          <w:szCs w:val="24"/>
        </w:rPr>
        <w:t>by</w:t>
      </w:r>
      <w:r w:rsidR="000F5284">
        <w:rPr>
          <w:rFonts w:ascii="Times New Roman" w:hAnsi="Times New Roman"/>
          <w:sz w:val="24"/>
          <w:szCs w:val="24"/>
        </w:rPr>
        <w:t xml:space="preserve"> the</w:t>
      </w:r>
      <w:r w:rsidR="0017147B">
        <w:rPr>
          <w:rFonts w:ascii="Times New Roman" w:hAnsi="Times New Roman"/>
          <w:sz w:val="24"/>
          <w:szCs w:val="24"/>
        </w:rPr>
        <w:t xml:space="preserve"> MCHB to assess n</w:t>
      </w:r>
      <w:r w:rsidRPr="000E47DD" w:rsidR="00283592">
        <w:rPr>
          <w:rFonts w:ascii="Times New Roman" w:hAnsi="Times New Roman"/>
          <w:sz w:val="24"/>
          <w:szCs w:val="24"/>
        </w:rPr>
        <w:t>ational progress in key MCH priority areas and to facilitate the Bureau’s annual GPRA reporting.</w:t>
      </w:r>
      <w:r w:rsidR="00535A04">
        <w:rPr>
          <w:rFonts w:ascii="Times New Roman" w:hAnsi="Times New Roman"/>
          <w:sz w:val="24"/>
          <w:szCs w:val="24"/>
        </w:rPr>
        <w:t xml:space="preserve"> </w:t>
      </w:r>
      <w:r w:rsidR="009C5E4B">
        <w:rPr>
          <w:rFonts w:ascii="Times New Roman" w:hAnsi="Times New Roman"/>
          <w:sz w:val="24"/>
          <w:szCs w:val="24"/>
        </w:rPr>
        <w:t xml:space="preserve">In addition, the </w:t>
      </w:r>
      <w:r w:rsidRPr="003D0855">
        <w:rPr>
          <w:rFonts w:ascii="Times New Roman" w:hAnsi="Times New Roman"/>
          <w:sz w:val="24"/>
          <w:szCs w:val="24"/>
        </w:rPr>
        <w:t>MCHB will use the</w:t>
      </w:r>
      <w:r w:rsidR="009C5E4B">
        <w:rPr>
          <w:rFonts w:ascii="Times New Roman" w:hAnsi="Times New Roman"/>
          <w:sz w:val="24"/>
          <w:szCs w:val="24"/>
        </w:rPr>
        <w:t>se</w:t>
      </w:r>
      <w:r w:rsidRPr="003D0855">
        <w:rPr>
          <w:rFonts w:ascii="Times New Roman" w:hAnsi="Times New Roman"/>
          <w:sz w:val="24"/>
          <w:szCs w:val="24"/>
        </w:rPr>
        <w:t xml:space="preserve"> data to </w:t>
      </w:r>
      <w:r w:rsidR="009C5E4B">
        <w:rPr>
          <w:rFonts w:ascii="Times New Roman" w:hAnsi="Times New Roman"/>
          <w:sz w:val="24"/>
          <w:szCs w:val="24"/>
        </w:rPr>
        <w:t xml:space="preserve">identify </w:t>
      </w:r>
      <w:r w:rsidR="00BA7298">
        <w:rPr>
          <w:rFonts w:ascii="Times New Roman" w:hAnsi="Times New Roman"/>
          <w:sz w:val="24"/>
          <w:szCs w:val="24"/>
        </w:rPr>
        <w:t xml:space="preserve">current and </w:t>
      </w:r>
      <w:r w:rsidR="0025574F">
        <w:rPr>
          <w:rFonts w:ascii="Times New Roman" w:hAnsi="Times New Roman"/>
          <w:sz w:val="24"/>
          <w:szCs w:val="24"/>
        </w:rPr>
        <w:t xml:space="preserve">emerging </w:t>
      </w:r>
      <w:r w:rsidR="0017147B">
        <w:rPr>
          <w:rFonts w:ascii="Times New Roman" w:hAnsi="Times New Roman"/>
          <w:sz w:val="24"/>
          <w:szCs w:val="24"/>
        </w:rPr>
        <w:t>n</w:t>
      </w:r>
      <w:r w:rsidR="009C5E4B">
        <w:rPr>
          <w:rFonts w:ascii="Times New Roman" w:hAnsi="Times New Roman"/>
          <w:sz w:val="24"/>
          <w:szCs w:val="24"/>
        </w:rPr>
        <w:t>ational MCH priority areas</w:t>
      </w:r>
      <w:r w:rsidR="00C1188F">
        <w:rPr>
          <w:rFonts w:ascii="Times New Roman" w:hAnsi="Times New Roman"/>
          <w:sz w:val="24"/>
          <w:szCs w:val="24"/>
        </w:rPr>
        <w:t xml:space="preserve">, </w:t>
      </w:r>
      <w:r w:rsidRPr="003D0855">
        <w:rPr>
          <w:rFonts w:ascii="Times New Roman" w:hAnsi="Times New Roman"/>
          <w:sz w:val="24"/>
          <w:szCs w:val="24"/>
        </w:rPr>
        <w:t>guide strategic</w:t>
      </w:r>
      <w:r w:rsidRPr="003D0855" w:rsidR="007006B4">
        <w:rPr>
          <w:rFonts w:ascii="Times New Roman" w:hAnsi="Times New Roman"/>
          <w:sz w:val="24"/>
          <w:szCs w:val="24"/>
        </w:rPr>
        <w:t xml:space="preserve"> </w:t>
      </w:r>
      <w:r w:rsidRPr="003D0855">
        <w:rPr>
          <w:rFonts w:ascii="Times New Roman" w:hAnsi="Times New Roman"/>
          <w:sz w:val="24"/>
          <w:szCs w:val="24"/>
        </w:rPr>
        <w:t>planning efforts</w:t>
      </w:r>
      <w:r w:rsidR="00C1188F">
        <w:rPr>
          <w:rFonts w:ascii="Times New Roman" w:hAnsi="Times New Roman"/>
          <w:sz w:val="24"/>
          <w:szCs w:val="24"/>
        </w:rPr>
        <w:t xml:space="preserve"> and inform </w:t>
      </w:r>
      <w:r w:rsidR="0025574F">
        <w:rPr>
          <w:rFonts w:ascii="Times New Roman" w:hAnsi="Times New Roman"/>
          <w:sz w:val="24"/>
          <w:szCs w:val="24"/>
        </w:rPr>
        <w:t xml:space="preserve">the </w:t>
      </w:r>
      <w:r w:rsidR="00C1188F">
        <w:rPr>
          <w:rFonts w:ascii="Times New Roman" w:hAnsi="Times New Roman"/>
          <w:sz w:val="24"/>
          <w:szCs w:val="24"/>
        </w:rPr>
        <w:t>allocation of resources</w:t>
      </w:r>
      <w:r w:rsidRPr="003D0855">
        <w:rPr>
          <w:rFonts w:ascii="Times New Roman" w:hAnsi="Times New Roman"/>
          <w:sz w:val="24"/>
          <w:szCs w:val="24"/>
        </w:rPr>
        <w:t>.</w:t>
      </w:r>
    </w:p>
    <w:p w:rsidR="00100CCB" w:rsidP="007006B4" w14:paraId="3D89723C" w14:textId="77777777">
      <w:pPr>
        <w:autoSpaceDE w:val="0"/>
        <w:autoSpaceDN w:val="0"/>
        <w:adjustRightInd w:val="0"/>
        <w:spacing w:after="0" w:line="240" w:lineRule="auto"/>
        <w:ind w:left="720"/>
        <w:rPr>
          <w:rFonts w:ascii="Times New Roman" w:hAnsi="Times New Roman"/>
          <w:b/>
          <w:bCs/>
          <w:color w:val="31849B"/>
          <w:sz w:val="24"/>
          <w:szCs w:val="24"/>
        </w:rPr>
      </w:pPr>
    </w:p>
    <w:p w:rsidR="0085331D" w:rsidRPr="001F7A9C" w:rsidP="001F7A9C" w14:paraId="5CF03918" w14:textId="77777777">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bCs/>
          <w:sz w:val="24"/>
          <w:szCs w:val="24"/>
        </w:rPr>
        <w:t>State</w:t>
      </w:r>
    </w:p>
    <w:p w:rsidR="00CB509A" w:rsidRPr="003D0855" w:rsidP="00A34551" w14:paraId="06CB2AA2" w14:textId="77777777">
      <w:pPr>
        <w:autoSpaceDE w:val="0"/>
        <w:autoSpaceDN w:val="0"/>
        <w:adjustRightInd w:val="0"/>
        <w:spacing w:after="0" w:line="240" w:lineRule="auto"/>
        <w:ind w:left="720"/>
        <w:rPr>
          <w:rFonts w:ascii="Times New Roman" w:hAnsi="Times New Roman"/>
          <w:sz w:val="24"/>
          <w:szCs w:val="24"/>
        </w:rPr>
      </w:pPr>
      <w:r w:rsidRPr="003D0855">
        <w:rPr>
          <w:rFonts w:ascii="Times New Roman" w:hAnsi="Times New Roman"/>
          <w:sz w:val="24"/>
          <w:szCs w:val="24"/>
        </w:rPr>
        <w:t>States</w:t>
      </w:r>
      <w:r w:rsidR="00517BD1">
        <w:rPr>
          <w:rFonts w:ascii="Times New Roman" w:hAnsi="Times New Roman"/>
          <w:sz w:val="24"/>
          <w:szCs w:val="24"/>
        </w:rPr>
        <w:t xml:space="preserve"> </w:t>
      </w:r>
      <w:r w:rsidRPr="003D0855">
        <w:rPr>
          <w:rFonts w:ascii="Times New Roman" w:hAnsi="Times New Roman"/>
          <w:sz w:val="24"/>
          <w:szCs w:val="24"/>
        </w:rPr>
        <w:t xml:space="preserve">will use the </w:t>
      </w:r>
      <w:r w:rsidR="0017147B">
        <w:rPr>
          <w:rFonts w:ascii="Times New Roman" w:hAnsi="Times New Roman"/>
          <w:sz w:val="24"/>
          <w:szCs w:val="24"/>
        </w:rPr>
        <w:t>national and s</w:t>
      </w:r>
      <w:r w:rsidR="00562E2D">
        <w:rPr>
          <w:rFonts w:ascii="Times New Roman" w:hAnsi="Times New Roman"/>
          <w:sz w:val="24"/>
          <w:szCs w:val="24"/>
        </w:rPr>
        <w:t xml:space="preserve">tate-specific </w:t>
      </w:r>
      <w:r w:rsidRPr="003D0855">
        <w:rPr>
          <w:rFonts w:ascii="Times New Roman" w:hAnsi="Times New Roman"/>
          <w:sz w:val="24"/>
          <w:szCs w:val="24"/>
        </w:rPr>
        <w:t xml:space="preserve">data </w:t>
      </w:r>
      <w:r w:rsidR="001F7A9C">
        <w:rPr>
          <w:rFonts w:ascii="Times New Roman" w:hAnsi="Times New Roman"/>
          <w:sz w:val="24"/>
          <w:szCs w:val="24"/>
        </w:rPr>
        <w:t>to</w:t>
      </w:r>
      <w:r w:rsidR="00A34551">
        <w:rPr>
          <w:rFonts w:ascii="Times New Roman" w:hAnsi="Times New Roman"/>
          <w:sz w:val="24"/>
          <w:szCs w:val="24"/>
        </w:rPr>
        <w:t xml:space="preserve"> e</w:t>
      </w:r>
      <w:r w:rsidR="00E7418F">
        <w:rPr>
          <w:rFonts w:ascii="Times New Roman" w:hAnsi="Times New Roman"/>
          <w:sz w:val="24"/>
          <w:szCs w:val="24"/>
        </w:rPr>
        <w:t xml:space="preserve">stablish priorities for </w:t>
      </w:r>
      <w:r w:rsidRPr="003D0855">
        <w:rPr>
          <w:rFonts w:ascii="Times New Roman" w:hAnsi="Times New Roman"/>
          <w:sz w:val="24"/>
          <w:szCs w:val="24"/>
        </w:rPr>
        <w:t xml:space="preserve">their </w:t>
      </w:r>
      <w:r w:rsidR="00DD0013">
        <w:rPr>
          <w:rFonts w:ascii="Times New Roman" w:hAnsi="Times New Roman"/>
          <w:sz w:val="24"/>
          <w:szCs w:val="24"/>
        </w:rPr>
        <w:t xml:space="preserve">individual </w:t>
      </w:r>
      <w:r w:rsidRPr="003D0855">
        <w:rPr>
          <w:rFonts w:ascii="Times New Roman" w:hAnsi="Times New Roman"/>
          <w:sz w:val="24"/>
          <w:szCs w:val="24"/>
        </w:rPr>
        <w:t>MCH populations</w:t>
      </w:r>
      <w:r w:rsidR="00E7418F">
        <w:rPr>
          <w:rFonts w:ascii="Times New Roman" w:hAnsi="Times New Roman"/>
          <w:sz w:val="24"/>
          <w:szCs w:val="24"/>
        </w:rPr>
        <w:t>;</w:t>
      </w:r>
      <w:r w:rsidR="00A34551">
        <w:rPr>
          <w:rFonts w:ascii="Times New Roman" w:hAnsi="Times New Roman"/>
          <w:sz w:val="24"/>
          <w:szCs w:val="24"/>
        </w:rPr>
        <w:t xml:space="preserve"> s</w:t>
      </w:r>
      <w:r w:rsidR="00E6660A">
        <w:rPr>
          <w:rFonts w:ascii="Times New Roman" w:hAnsi="Times New Roman"/>
          <w:sz w:val="24"/>
          <w:szCs w:val="24"/>
        </w:rPr>
        <w:t>upport ongoing assessment of MCH population needs</w:t>
      </w:r>
      <w:r w:rsidR="00E7418F">
        <w:rPr>
          <w:rFonts w:ascii="Times New Roman" w:hAnsi="Times New Roman"/>
          <w:sz w:val="24"/>
          <w:szCs w:val="24"/>
        </w:rPr>
        <w:t>;</w:t>
      </w:r>
      <w:r w:rsidR="00A34551">
        <w:rPr>
          <w:rFonts w:ascii="Times New Roman" w:hAnsi="Times New Roman"/>
          <w:sz w:val="24"/>
          <w:szCs w:val="24"/>
        </w:rPr>
        <w:t xml:space="preserve"> d</w:t>
      </w:r>
      <w:r w:rsidR="00E7418F">
        <w:rPr>
          <w:rFonts w:ascii="Times New Roman" w:hAnsi="Times New Roman"/>
          <w:sz w:val="24"/>
          <w:szCs w:val="24"/>
        </w:rPr>
        <w:t xml:space="preserve">etermine </w:t>
      </w:r>
      <w:r w:rsidR="00E6660A">
        <w:rPr>
          <w:rFonts w:ascii="Times New Roman" w:hAnsi="Times New Roman"/>
          <w:sz w:val="24"/>
          <w:szCs w:val="24"/>
        </w:rPr>
        <w:t xml:space="preserve">effectiveness of current Title </w:t>
      </w:r>
      <w:r w:rsidR="00B50425">
        <w:rPr>
          <w:rFonts w:ascii="Times New Roman" w:hAnsi="Times New Roman"/>
          <w:sz w:val="24"/>
          <w:szCs w:val="24"/>
        </w:rPr>
        <w:t>V</w:t>
      </w:r>
      <w:r w:rsidR="00E6660A">
        <w:rPr>
          <w:rFonts w:ascii="Times New Roman" w:hAnsi="Times New Roman"/>
          <w:sz w:val="24"/>
          <w:szCs w:val="24"/>
        </w:rPr>
        <w:t xml:space="preserve"> program strategies</w:t>
      </w:r>
      <w:r w:rsidR="00E7418F">
        <w:rPr>
          <w:rFonts w:ascii="Times New Roman" w:hAnsi="Times New Roman"/>
          <w:sz w:val="24"/>
          <w:szCs w:val="24"/>
        </w:rPr>
        <w:t>;</w:t>
      </w:r>
      <w:r w:rsidR="00A34551">
        <w:rPr>
          <w:rFonts w:ascii="Times New Roman" w:hAnsi="Times New Roman"/>
          <w:sz w:val="24"/>
          <w:szCs w:val="24"/>
        </w:rPr>
        <w:t xml:space="preserve"> r</w:t>
      </w:r>
      <w:r w:rsidRPr="003D0855">
        <w:rPr>
          <w:rFonts w:ascii="Times New Roman" w:hAnsi="Times New Roman"/>
          <w:sz w:val="24"/>
          <w:szCs w:val="24"/>
        </w:rPr>
        <w:t>espond to other</w:t>
      </w:r>
      <w:r w:rsidRPr="003D0855" w:rsidR="007006B4">
        <w:rPr>
          <w:rFonts w:ascii="Times New Roman" w:hAnsi="Times New Roman"/>
          <w:sz w:val="24"/>
          <w:szCs w:val="24"/>
        </w:rPr>
        <w:t xml:space="preserve"> </w:t>
      </w:r>
      <w:r w:rsidR="001A79CD">
        <w:rPr>
          <w:rFonts w:ascii="Times New Roman" w:hAnsi="Times New Roman"/>
          <w:sz w:val="24"/>
          <w:szCs w:val="24"/>
        </w:rPr>
        <w:t>f</w:t>
      </w:r>
      <w:r w:rsidRPr="003D0855">
        <w:rPr>
          <w:rFonts w:ascii="Times New Roman" w:hAnsi="Times New Roman"/>
          <w:sz w:val="24"/>
          <w:szCs w:val="24"/>
        </w:rPr>
        <w:t xml:space="preserve">ederal, </w:t>
      </w:r>
      <w:r w:rsidR="001A79CD">
        <w:rPr>
          <w:rFonts w:ascii="Times New Roman" w:hAnsi="Times New Roman"/>
          <w:sz w:val="24"/>
          <w:szCs w:val="24"/>
        </w:rPr>
        <w:t>s</w:t>
      </w:r>
      <w:r w:rsidRPr="003D0855">
        <w:rPr>
          <w:rFonts w:ascii="Times New Roman" w:hAnsi="Times New Roman"/>
          <w:sz w:val="24"/>
          <w:szCs w:val="24"/>
        </w:rPr>
        <w:t>tate, and local performance requirements/requests; and</w:t>
      </w:r>
      <w:r w:rsidR="00A34551">
        <w:rPr>
          <w:rFonts w:ascii="Times New Roman" w:hAnsi="Times New Roman"/>
          <w:sz w:val="24"/>
          <w:szCs w:val="24"/>
        </w:rPr>
        <w:t xml:space="preserve"> d</w:t>
      </w:r>
      <w:r w:rsidRPr="003D0855">
        <w:rPr>
          <w:rFonts w:ascii="Times New Roman" w:hAnsi="Times New Roman"/>
          <w:sz w:val="24"/>
          <w:szCs w:val="24"/>
        </w:rPr>
        <w:t xml:space="preserve">evelop and justify efforts </w:t>
      </w:r>
      <w:r w:rsidR="00BA7298">
        <w:rPr>
          <w:rFonts w:ascii="Times New Roman" w:hAnsi="Times New Roman"/>
          <w:sz w:val="24"/>
          <w:szCs w:val="24"/>
        </w:rPr>
        <w:t xml:space="preserve">for advancing </w:t>
      </w:r>
      <w:r w:rsidRPr="003D0855">
        <w:rPr>
          <w:rFonts w:ascii="Times New Roman" w:hAnsi="Times New Roman"/>
          <w:sz w:val="24"/>
          <w:szCs w:val="24"/>
        </w:rPr>
        <w:t>MCH-related agendas with the legislatures and/or Governor’s offices.</w:t>
      </w:r>
    </w:p>
    <w:p w:rsidR="005A4CA7" w:rsidP="007006B4" w14:paraId="3B2F4552" w14:textId="77777777">
      <w:pPr>
        <w:autoSpaceDE w:val="0"/>
        <w:autoSpaceDN w:val="0"/>
        <w:adjustRightInd w:val="0"/>
        <w:spacing w:after="0" w:line="240" w:lineRule="auto"/>
        <w:ind w:left="720"/>
        <w:rPr>
          <w:rFonts w:ascii="Times New Roman" w:hAnsi="Times New Roman"/>
          <w:color w:val="31849B"/>
          <w:sz w:val="24"/>
          <w:szCs w:val="24"/>
        </w:rPr>
      </w:pPr>
    </w:p>
    <w:p w:rsidR="007D6F39" w:rsidRPr="00E7418F" w:rsidP="00E7418F" w14:paraId="1F8324AC" w14:textId="77777777">
      <w:pPr>
        <w:autoSpaceDE w:val="0"/>
        <w:autoSpaceDN w:val="0"/>
        <w:adjustRightInd w:val="0"/>
        <w:spacing w:after="0" w:line="240" w:lineRule="auto"/>
        <w:ind w:left="720"/>
        <w:rPr>
          <w:rFonts w:ascii="Times New Roman" w:hAnsi="Times New Roman"/>
          <w:b/>
          <w:bCs/>
          <w:sz w:val="24"/>
          <w:szCs w:val="24"/>
        </w:rPr>
      </w:pPr>
      <w:r w:rsidRPr="00EF56FD">
        <w:rPr>
          <w:rFonts w:ascii="Times New Roman" w:hAnsi="Times New Roman"/>
          <w:b/>
          <w:bCs/>
          <w:sz w:val="24"/>
          <w:szCs w:val="24"/>
        </w:rPr>
        <w:t xml:space="preserve">Information </w:t>
      </w:r>
      <w:r w:rsidR="00E7418F">
        <w:rPr>
          <w:rFonts w:ascii="Times New Roman" w:hAnsi="Times New Roman"/>
          <w:b/>
          <w:bCs/>
          <w:sz w:val="24"/>
          <w:szCs w:val="24"/>
        </w:rPr>
        <w:t>Collection and Proposed Changes</w:t>
      </w:r>
    </w:p>
    <w:p w:rsidR="00CB509A" w:rsidRPr="00EF56FD" w:rsidP="007006B4" w14:paraId="052291B6" w14:textId="27E29BAF">
      <w:pPr>
        <w:autoSpaceDE w:val="0"/>
        <w:autoSpaceDN w:val="0"/>
        <w:adjustRightInd w:val="0"/>
        <w:spacing w:after="0" w:line="240" w:lineRule="auto"/>
        <w:ind w:left="720"/>
        <w:rPr>
          <w:rFonts w:ascii="Times New Roman" w:hAnsi="Times New Roman"/>
          <w:sz w:val="24"/>
          <w:szCs w:val="24"/>
        </w:rPr>
      </w:pPr>
      <w:r w:rsidRPr="00EF56FD">
        <w:rPr>
          <w:rFonts w:ascii="Times New Roman" w:hAnsi="Times New Roman"/>
          <w:sz w:val="24"/>
          <w:szCs w:val="24"/>
        </w:rPr>
        <w:t>The combi</w:t>
      </w:r>
      <w:r w:rsidRPr="00EF56FD" w:rsidR="005D27FF">
        <w:rPr>
          <w:rFonts w:ascii="Times New Roman" w:hAnsi="Times New Roman"/>
          <w:sz w:val="24"/>
          <w:szCs w:val="24"/>
        </w:rPr>
        <w:t>ned Application/Annual R</w:t>
      </w:r>
      <w:r w:rsidRPr="00EF56FD">
        <w:rPr>
          <w:rFonts w:ascii="Times New Roman" w:hAnsi="Times New Roman"/>
          <w:sz w:val="24"/>
          <w:szCs w:val="24"/>
        </w:rPr>
        <w:t xml:space="preserve">eport will be completed and submitted to </w:t>
      </w:r>
      <w:r w:rsidR="006A2375">
        <w:rPr>
          <w:rFonts w:ascii="Times New Roman" w:hAnsi="Times New Roman"/>
          <w:sz w:val="24"/>
          <w:szCs w:val="24"/>
        </w:rPr>
        <w:t xml:space="preserve">HRSA’s </w:t>
      </w:r>
      <w:r w:rsidRPr="00EF56FD">
        <w:rPr>
          <w:rFonts w:ascii="Times New Roman" w:hAnsi="Times New Roman"/>
          <w:sz w:val="24"/>
          <w:szCs w:val="24"/>
        </w:rPr>
        <w:t>MCHB on an</w:t>
      </w:r>
      <w:r w:rsidRPr="00EF56FD" w:rsidR="007006B4">
        <w:rPr>
          <w:rFonts w:ascii="Times New Roman" w:hAnsi="Times New Roman"/>
          <w:sz w:val="24"/>
          <w:szCs w:val="24"/>
        </w:rPr>
        <w:t xml:space="preserve"> </w:t>
      </w:r>
      <w:r w:rsidRPr="00EF56FD" w:rsidR="007E5E6E">
        <w:rPr>
          <w:rFonts w:ascii="Times New Roman" w:hAnsi="Times New Roman"/>
          <w:sz w:val="24"/>
          <w:szCs w:val="24"/>
        </w:rPr>
        <w:t xml:space="preserve">annual </w:t>
      </w:r>
      <w:r w:rsidRPr="00EF56FD">
        <w:rPr>
          <w:rFonts w:ascii="Times New Roman" w:hAnsi="Times New Roman"/>
          <w:sz w:val="24"/>
          <w:szCs w:val="24"/>
        </w:rPr>
        <w:t>basis.</w:t>
      </w:r>
      <w:r w:rsidR="00535A04">
        <w:rPr>
          <w:rFonts w:ascii="Times New Roman" w:hAnsi="Times New Roman"/>
          <w:sz w:val="24"/>
          <w:szCs w:val="24"/>
        </w:rPr>
        <w:t xml:space="preserve"> </w:t>
      </w:r>
      <w:r w:rsidRPr="00EF56FD">
        <w:rPr>
          <w:rFonts w:ascii="Times New Roman" w:hAnsi="Times New Roman"/>
          <w:sz w:val="24"/>
          <w:szCs w:val="24"/>
        </w:rPr>
        <w:t>Th</w:t>
      </w:r>
      <w:r w:rsidR="00DD0013">
        <w:rPr>
          <w:rFonts w:ascii="Times New Roman" w:hAnsi="Times New Roman"/>
          <w:sz w:val="24"/>
          <w:szCs w:val="24"/>
        </w:rPr>
        <w:t xml:space="preserve">is reporting </w:t>
      </w:r>
      <w:r w:rsidR="000B66A9">
        <w:rPr>
          <w:rFonts w:ascii="Times New Roman" w:hAnsi="Times New Roman"/>
          <w:sz w:val="24"/>
          <w:szCs w:val="24"/>
        </w:rPr>
        <w:t>support</w:t>
      </w:r>
      <w:r w:rsidR="00DD0013">
        <w:rPr>
          <w:rFonts w:ascii="Times New Roman" w:hAnsi="Times New Roman"/>
          <w:sz w:val="24"/>
          <w:szCs w:val="24"/>
        </w:rPr>
        <w:t>s</w:t>
      </w:r>
      <w:r w:rsidR="000B66A9">
        <w:rPr>
          <w:rFonts w:ascii="Times New Roman" w:hAnsi="Times New Roman"/>
          <w:sz w:val="24"/>
          <w:szCs w:val="24"/>
        </w:rPr>
        <w:t xml:space="preserve"> s</w:t>
      </w:r>
      <w:r w:rsidR="00F245BC">
        <w:rPr>
          <w:rFonts w:ascii="Times New Roman" w:hAnsi="Times New Roman"/>
          <w:sz w:val="24"/>
          <w:szCs w:val="24"/>
        </w:rPr>
        <w:t>tates</w:t>
      </w:r>
      <w:r w:rsidR="000B66A9">
        <w:rPr>
          <w:rFonts w:ascii="Times New Roman" w:hAnsi="Times New Roman"/>
          <w:sz w:val="24"/>
          <w:szCs w:val="24"/>
        </w:rPr>
        <w:t xml:space="preserve"> </w:t>
      </w:r>
      <w:r w:rsidR="00F245BC">
        <w:rPr>
          <w:rFonts w:ascii="Times New Roman" w:hAnsi="Times New Roman"/>
          <w:sz w:val="24"/>
          <w:szCs w:val="24"/>
        </w:rPr>
        <w:t xml:space="preserve">in their data-driven </w:t>
      </w:r>
      <w:r w:rsidR="00B3711C">
        <w:rPr>
          <w:rFonts w:ascii="Times New Roman" w:hAnsi="Times New Roman"/>
          <w:sz w:val="24"/>
          <w:szCs w:val="24"/>
        </w:rPr>
        <w:t xml:space="preserve">MCH </w:t>
      </w:r>
      <w:r w:rsidR="00F245BC">
        <w:rPr>
          <w:rFonts w:ascii="Times New Roman" w:hAnsi="Times New Roman"/>
          <w:sz w:val="24"/>
          <w:szCs w:val="24"/>
        </w:rPr>
        <w:t xml:space="preserve">programming </w:t>
      </w:r>
      <w:r w:rsidR="00B3711C">
        <w:rPr>
          <w:rFonts w:ascii="Times New Roman" w:hAnsi="Times New Roman"/>
          <w:sz w:val="24"/>
          <w:szCs w:val="24"/>
        </w:rPr>
        <w:t>and quality improvement efforts</w:t>
      </w:r>
      <w:r w:rsidR="00CF13D5">
        <w:rPr>
          <w:rFonts w:ascii="Times New Roman" w:hAnsi="Times New Roman"/>
          <w:sz w:val="24"/>
          <w:szCs w:val="24"/>
        </w:rPr>
        <w:t xml:space="preserve"> by reflecting </w:t>
      </w:r>
      <w:r w:rsidR="00DD0013">
        <w:rPr>
          <w:rFonts w:ascii="Times New Roman" w:hAnsi="Times New Roman"/>
          <w:sz w:val="24"/>
          <w:szCs w:val="24"/>
        </w:rPr>
        <w:t xml:space="preserve">on </w:t>
      </w:r>
      <w:r w:rsidR="00D36A89">
        <w:rPr>
          <w:rFonts w:ascii="Times New Roman" w:hAnsi="Times New Roman"/>
          <w:sz w:val="24"/>
          <w:szCs w:val="24"/>
        </w:rPr>
        <w:t xml:space="preserve">a </w:t>
      </w:r>
      <w:r w:rsidR="000B66A9">
        <w:rPr>
          <w:rFonts w:ascii="Times New Roman" w:hAnsi="Times New Roman"/>
          <w:sz w:val="24"/>
          <w:szCs w:val="24"/>
        </w:rPr>
        <w:t>s</w:t>
      </w:r>
      <w:r w:rsidR="00B3711C">
        <w:rPr>
          <w:rFonts w:ascii="Times New Roman" w:hAnsi="Times New Roman"/>
          <w:sz w:val="24"/>
          <w:szCs w:val="24"/>
        </w:rPr>
        <w:t>tate’s MCH priority needs, health status</w:t>
      </w:r>
      <w:r w:rsidR="00885EE5">
        <w:rPr>
          <w:rFonts w:ascii="Times New Roman" w:hAnsi="Times New Roman"/>
          <w:sz w:val="24"/>
          <w:szCs w:val="24"/>
        </w:rPr>
        <w:t xml:space="preserve"> of </w:t>
      </w:r>
      <w:r w:rsidR="00564557">
        <w:rPr>
          <w:rFonts w:ascii="Times New Roman" w:hAnsi="Times New Roman"/>
          <w:sz w:val="24"/>
          <w:szCs w:val="24"/>
        </w:rPr>
        <w:t xml:space="preserve">its </w:t>
      </w:r>
      <w:r w:rsidR="00885EE5">
        <w:rPr>
          <w:rFonts w:ascii="Times New Roman" w:hAnsi="Times New Roman"/>
          <w:sz w:val="24"/>
          <w:szCs w:val="24"/>
        </w:rPr>
        <w:t>MCH population</w:t>
      </w:r>
      <w:r w:rsidR="00B3711C">
        <w:rPr>
          <w:rFonts w:ascii="Times New Roman" w:hAnsi="Times New Roman"/>
          <w:sz w:val="24"/>
          <w:szCs w:val="24"/>
        </w:rPr>
        <w:t xml:space="preserve">, </w:t>
      </w:r>
      <w:r w:rsidR="001A3609">
        <w:rPr>
          <w:rFonts w:ascii="Times New Roman" w:hAnsi="Times New Roman"/>
          <w:sz w:val="24"/>
          <w:szCs w:val="24"/>
        </w:rPr>
        <w:t>e</w:t>
      </w:r>
      <w:r w:rsidR="00F11FF4">
        <w:rPr>
          <w:rFonts w:ascii="Times New Roman" w:hAnsi="Times New Roman"/>
          <w:sz w:val="24"/>
          <w:szCs w:val="24"/>
        </w:rPr>
        <w:t xml:space="preserve">stablished </w:t>
      </w:r>
      <w:r w:rsidR="00E3632E">
        <w:rPr>
          <w:rFonts w:ascii="Times New Roman" w:hAnsi="Times New Roman"/>
          <w:sz w:val="24"/>
          <w:szCs w:val="24"/>
        </w:rPr>
        <w:t>systems of care</w:t>
      </w:r>
      <w:r w:rsidR="001A3609">
        <w:rPr>
          <w:rFonts w:ascii="Times New Roman" w:hAnsi="Times New Roman"/>
          <w:sz w:val="24"/>
          <w:szCs w:val="24"/>
        </w:rPr>
        <w:t xml:space="preserve">, </w:t>
      </w:r>
      <w:r w:rsidR="00763549">
        <w:rPr>
          <w:rFonts w:ascii="Times New Roman" w:hAnsi="Times New Roman"/>
          <w:sz w:val="24"/>
          <w:szCs w:val="24"/>
        </w:rPr>
        <w:t xml:space="preserve">existing </w:t>
      </w:r>
      <w:r w:rsidR="00CF13D5">
        <w:rPr>
          <w:rFonts w:ascii="Times New Roman" w:hAnsi="Times New Roman"/>
          <w:sz w:val="24"/>
          <w:szCs w:val="24"/>
        </w:rPr>
        <w:t>gaps</w:t>
      </w:r>
      <w:r w:rsidR="001A3609">
        <w:rPr>
          <w:rFonts w:ascii="Times New Roman" w:hAnsi="Times New Roman"/>
          <w:sz w:val="24"/>
          <w:szCs w:val="24"/>
        </w:rPr>
        <w:t xml:space="preserve"> in health care delivery, </w:t>
      </w:r>
      <w:r w:rsidR="0051125F">
        <w:rPr>
          <w:rFonts w:ascii="Times New Roman" w:hAnsi="Times New Roman"/>
          <w:sz w:val="24"/>
          <w:szCs w:val="24"/>
        </w:rPr>
        <w:t>ava</w:t>
      </w:r>
      <w:r w:rsidR="00E3632E">
        <w:rPr>
          <w:rFonts w:ascii="Times New Roman" w:hAnsi="Times New Roman"/>
          <w:sz w:val="24"/>
          <w:szCs w:val="24"/>
        </w:rPr>
        <w:t xml:space="preserve">ilable </w:t>
      </w:r>
      <w:r w:rsidRPr="00EF56FD">
        <w:rPr>
          <w:rFonts w:ascii="Times New Roman" w:hAnsi="Times New Roman"/>
          <w:sz w:val="24"/>
          <w:szCs w:val="24"/>
        </w:rPr>
        <w:t>fund</w:t>
      </w:r>
      <w:r w:rsidR="00B3711C">
        <w:rPr>
          <w:rFonts w:ascii="Times New Roman" w:hAnsi="Times New Roman"/>
          <w:sz w:val="24"/>
          <w:szCs w:val="24"/>
        </w:rPr>
        <w:t xml:space="preserve">ing/resources </w:t>
      </w:r>
      <w:r w:rsidRPr="00EF56FD">
        <w:rPr>
          <w:rFonts w:ascii="Times New Roman" w:hAnsi="Times New Roman"/>
          <w:sz w:val="24"/>
          <w:szCs w:val="24"/>
        </w:rPr>
        <w:t xml:space="preserve">and </w:t>
      </w:r>
      <w:r w:rsidR="00B94184">
        <w:rPr>
          <w:rFonts w:ascii="Times New Roman" w:hAnsi="Times New Roman"/>
          <w:sz w:val="24"/>
          <w:szCs w:val="24"/>
        </w:rPr>
        <w:t xml:space="preserve">data trends </w:t>
      </w:r>
      <w:r w:rsidR="006A5C6E">
        <w:rPr>
          <w:rFonts w:ascii="Times New Roman" w:hAnsi="Times New Roman"/>
          <w:sz w:val="24"/>
          <w:szCs w:val="24"/>
        </w:rPr>
        <w:t xml:space="preserve">relative to its selected </w:t>
      </w:r>
      <w:r w:rsidR="00B94184">
        <w:rPr>
          <w:rFonts w:ascii="Times New Roman" w:hAnsi="Times New Roman"/>
          <w:sz w:val="24"/>
          <w:szCs w:val="24"/>
        </w:rPr>
        <w:t xml:space="preserve">National/State </w:t>
      </w:r>
      <w:r w:rsidR="00665A2A">
        <w:rPr>
          <w:rFonts w:ascii="Times New Roman" w:hAnsi="Times New Roman"/>
          <w:sz w:val="24"/>
          <w:szCs w:val="24"/>
        </w:rPr>
        <w:t>performance</w:t>
      </w:r>
      <w:r w:rsidR="00B94184">
        <w:rPr>
          <w:rFonts w:ascii="Times New Roman" w:hAnsi="Times New Roman"/>
          <w:sz w:val="24"/>
          <w:szCs w:val="24"/>
        </w:rPr>
        <w:t xml:space="preserve"> and outcome measures</w:t>
      </w:r>
      <w:r w:rsidR="00D36A89">
        <w:rPr>
          <w:rFonts w:ascii="Times New Roman" w:hAnsi="Times New Roman"/>
          <w:sz w:val="24"/>
          <w:szCs w:val="24"/>
        </w:rPr>
        <w:t>.</w:t>
      </w:r>
      <w:r w:rsidR="00535A04">
        <w:rPr>
          <w:rFonts w:ascii="Times New Roman" w:hAnsi="Times New Roman"/>
          <w:sz w:val="24"/>
          <w:szCs w:val="24"/>
        </w:rPr>
        <w:t xml:space="preserve"> </w:t>
      </w:r>
    </w:p>
    <w:p w:rsidR="005A4CA7" w:rsidRPr="00E371A6" w:rsidP="007006B4" w14:paraId="1A3CA193" w14:textId="77777777">
      <w:pPr>
        <w:autoSpaceDE w:val="0"/>
        <w:autoSpaceDN w:val="0"/>
        <w:adjustRightInd w:val="0"/>
        <w:spacing w:after="0" w:line="240" w:lineRule="auto"/>
        <w:ind w:left="720"/>
        <w:rPr>
          <w:rFonts w:ascii="Times New Roman" w:hAnsi="Times New Roman"/>
          <w:color w:val="31849B"/>
          <w:sz w:val="24"/>
          <w:szCs w:val="24"/>
        </w:rPr>
      </w:pPr>
    </w:p>
    <w:p w:rsidR="00B94184" w:rsidP="00FD7BD4" w14:paraId="230F4F8F" w14:textId="03BB3961">
      <w:pPr>
        <w:autoSpaceDE w:val="0"/>
        <w:autoSpaceDN w:val="0"/>
        <w:adjustRightInd w:val="0"/>
        <w:spacing w:after="0" w:line="240" w:lineRule="auto"/>
        <w:ind w:left="720"/>
        <w:rPr>
          <w:rFonts w:ascii="Times New Roman" w:hAnsi="Times New Roman"/>
          <w:sz w:val="24"/>
          <w:szCs w:val="24"/>
        </w:rPr>
      </w:pPr>
      <w:r w:rsidRPr="004027FF">
        <w:rPr>
          <w:rFonts w:ascii="Times New Roman" w:hAnsi="Times New Roman"/>
          <w:sz w:val="24"/>
          <w:szCs w:val="24"/>
        </w:rPr>
        <w:t>Th</w:t>
      </w:r>
      <w:r w:rsidR="00763549">
        <w:rPr>
          <w:rFonts w:ascii="Times New Roman" w:hAnsi="Times New Roman"/>
          <w:sz w:val="24"/>
          <w:szCs w:val="24"/>
        </w:rPr>
        <w:t xml:space="preserve">e </w:t>
      </w:r>
      <w:r w:rsidR="00B50425">
        <w:rPr>
          <w:rFonts w:ascii="Times New Roman" w:hAnsi="Times New Roman"/>
          <w:sz w:val="24"/>
          <w:szCs w:val="24"/>
        </w:rPr>
        <w:t xml:space="preserve">updated </w:t>
      </w:r>
      <w:r w:rsidRPr="004027FF" w:rsidR="004027FF">
        <w:rPr>
          <w:rFonts w:ascii="Times New Roman" w:hAnsi="Times New Roman"/>
          <w:sz w:val="24"/>
          <w:szCs w:val="24"/>
        </w:rPr>
        <w:t>edition of the</w:t>
      </w:r>
      <w:r w:rsidR="00B50425">
        <w:rPr>
          <w:rFonts w:ascii="Times New Roman" w:hAnsi="Times New Roman"/>
          <w:sz w:val="24"/>
          <w:szCs w:val="24"/>
        </w:rPr>
        <w:t xml:space="preserve"> Application/Annual Report</w:t>
      </w:r>
      <w:r w:rsidRPr="004027FF" w:rsidR="004027FF">
        <w:rPr>
          <w:rFonts w:ascii="Times New Roman" w:hAnsi="Times New Roman"/>
          <w:sz w:val="24"/>
          <w:szCs w:val="24"/>
        </w:rPr>
        <w:t xml:space="preserve"> </w:t>
      </w:r>
      <w:r w:rsidRPr="004027FF">
        <w:rPr>
          <w:rFonts w:ascii="Times New Roman" w:hAnsi="Times New Roman"/>
          <w:sz w:val="24"/>
          <w:szCs w:val="24"/>
        </w:rPr>
        <w:t>G</w:t>
      </w:r>
      <w:r w:rsidRPr="004027FF" w:rsidR="00CB509A">
        <w:rPr>
          <w:rFonts w:ascii="Times New Roman" w:hAnsi="Times New Roman"/>
          <w:sz w:val="24"/>
          <w:szCs w:val="24"/>
        </w:rPr>
        <w:t xml:space="preserve">uidance </w:t>
      </w:r>
      <w:r w:rsidR="004027FF">
        <w:rPr>
          <w:rFonts w:ascii="Times New Roman" w:hAnsi="Times New Roman"/>
          <w:sz w:val="24"/>
          <w:szCs w:val="24"/>
        </w:rPr>
        <w:t xml:space="preserve">contains </w:t>
      </w:r>
      <w:r w:rsidRPr="004027FF" w:rsidR="00CB509A">
        <w:rPr>
          <w:rFonts w:ascii="Times New Roman" w:hAnsi="Times New Roman"/>
          <w:sz w:val="24"/>
          <w:szCs w:val="24"/>
        </w:rPr>
        <w:t xml:space="preserve">data collection and reporting </w:t>
      </w:r>
      <w:r w:rsidRPr="004027FF">
        <w:rPr>
          <w:rFonts w:ascii="Times New Roman" w:hAnsi="Times New Roman"/>
          <w:sz w:val="24"/>
          <w:szCs w:val="24"/>
        </w:rPr>
        <w:t xml:space="preserve">requirements that are </w:t>
      </w:r>
      <w:r w:rsidRPr="004027FF" w:rsidR="00CB509A">
        <w:rPr>
          <w:rFonts w:ascii="Times New Roman" w:hAnsi="Times New Roman"/>
          <w:sz w:val="24"/>
          <w:szCs w:val="24"/>
        </w:rPr>
        <w:t xml:space="preserve">consistent with GPRA and the </w:t>
      </w:r>
      <w:r w:rsidR="00587239">
        <w:rPr>
          <w:rFonts w:ascii="Times New Roman" w:hAnsi="Times New Roman"/>
          <w:sz w:val="24"/>
          <w:szCs w:val="24"/>
        </w:rPr>
        <w:t xml:space="preserve">established </w:t>
      </w:r>
      <w:r w:rsidR="007C187B">
        <w:rPr>
          <w:rFonts w:ascii="Times New Roman" w:hAnsi="Times New Roman"/>
          <w:sz w:val="24"/>
          <w:szCs w:val="24"/>
        </w:rPr>
        <w:t xml:space="preserve">Title V </w:t>
      </w:r>
      <w:r w:rsidR="004027FF">
        <w:rPr>
          <w:rFonts w:ascii="Times New Roman" w:hAnsi="Times New Roman"/>
          <w:sz w:val="24"/>
          <w:szCs w:val="24"/>
        </w:rPr>
        <w:t xml:space="preserve">MCH </w:t>
      </w:r>
      <w:r w:rsidR="005E1BAE">
        <w:rPr>
          <w:rFonts w:ascii="Times New Roman" w:hAnsi="Times New Roman"/>
          <w:sz w:val="24"/>
          <w:szCs w:val="24"/>
        </w:rPr>
        <w:t xml:space="preserve">federal/state </w:t>
      </w:r>
      <w:r w:rsidR="004027FF">
        <w:rPr>
          <w:rFonts w:ascii="Times New Roman" w:hAnsi="Times New Roman"/>
          <w:sz w:val="24"/>
          <w:szCs w:val="24"/>
        </w:rPr>
        <w:t>partnership.</w:t>
      </w:r>
      <w:r w:rsidR="00535A04">
        <w:rPr>
          <w:rFonts w:ascii="Times New Roman" w:hAnsi="Times New Roman"/>
          <w:sz w:val="24"/>
          <w:szCs w:val="24"/>
        </w:rPr>
        <w:t xml:space="preserve"> </w:t>
      </w:r>
      <w:r w:rsidR="007C187B">
        <w:rPr>
          <w:rFonts w:ascii="Times New Roman" w:hAnsi="Times New Roman"/>
          <w:sz w:val="24"/>
          <w:szCs w:val="24"/>
        </w:rPr>
        <w:t xml:space="preserve">Through such reporting, </w:t>
      </w:r>
      <w:r w:rsidR="00F15556">
        <w:rPr>
          <w:rFonts w:ascii="Times New Roman" w:hAnsi="Times New Roman"/>
          <w:sz w:val="24"/>
          <w:szCs w:val="24"/>
        </w:rPr>
        <w:t xml:space="preserve">HRSA’s </w:t>
      </w:r>
      <w:r w:rsidRPr="004027FF" w:rsidR="00CB509A">
        <w:rPr>
          <w:rFonts w:ascii="Times New Roman" w:hAnsi="Times New Roman"/>
          <w:sz w:val="24"/>
          <w:szCs w:val="24"/>
        </w:rPr>
        <w:t xml:space="preserve">MCHB and </w:t>
      </w:r>
      <w:r w:rsidR="0013799B">
        <w:rPr>
          <w:rFonts w:ascii="Times New Roman" w:hAnsi="Times New Roman"/>
          <w:sz w:val="24"/>
          <w:szCs w:val="24"/>
        </w:rPr>
        <w:t xml:space="preserve">the </w:t>
      </w:r>
      <w:r w:rsidR="005E1BAE">
        <w:rPr>
          <w:rFonts w:ascii="Times New Roman" w:hAnsi="Times New Roman"/>
          <w:sz w:val="24"/>
          <w:szCs w:val="24"/>
        </w:rPr>
        <w:t>s</w:t>
      </w:r>
      <w:r w:rsidRPr="004027FF" w:rsidR="00CB509A">
        <w:rPr>
          <w:rFonts w:ascii="Times New Roman" w:hAnsi="Times New Roman"/>
          <w:sz w:val="24"/>
          <w:szCs w:val="24"/>
        </w:rPr>
        <w:t>tates demonstrate</w:t>
      </w:r>
      <w:r w:rsidRPr="004027FF" w:rsidR="007006B4">
        <w:rPr>
          <w:rFonts w:ascii="Times New Roman" w:hAnsi="Times New Roman"/>
          <w:sz w:val="24"/>
          <w:szCs w:val="24"/>
        </w:rPr>
        <w:t xml:space="preserve"> </w:t>
      </w:r>
      <w:r w:rsidRPr="004027FF" w:rsidR="00CB509A">
        <w:rPr>
          <w:rFonts w:ascii="Times New Roman" w:hAnsi="Times New Roman"/>
          <w:sz w:val="24"/>
          <w:szCs w:val="24"/>
        </w:rPr>
        <w:t xml:space="preserve">accountability </w:t>
      </w:r>
      <w:r w:rsidR="00587239">
        <w:rPr>
          <w:rFonts w:ascii="Times New Roman" w:hAnsi="Times New Roman"/>
          <w:sz w:val="24"/>
          <w:szCs w:val="24"/>
        </w:rPr>
        <w:t xml:space="preserve">in the </w:t>
      </w:r>
      <w:r w:rsidR="007C187B">
        <w:rPr>
          <w:rFonts w:ascii="Times New Roman" w:hAnsi="Times New Roman"/>
          <w:sz w:val="24"/>
          <w:szCs w:val="24"/>
        </w:rPr>
        <w:t xml:space="preserve">use of </w:t>
      </w:r>
      <w:r w:rsidR="00D50686">
        <w:rPr>
          <w:rFonts w:ascii="Times New Roman" w:hAnsi="Times New Roman"/>
          <w:sz w:val="24"/>
          <w:szCs w:val="24"/>
        </w:rPr>
        <w:t>f</w:t>
      </w:r>
      <w:r w:rsidR="007C187B">
        <w:rPr>
          <w:rFonts w:ascii="Times New Roman" w:hAnsi="Times New Roman"/>
          <w:sz w:val="24"/>
          <w:szCs w:val="24"/>
        </w:rPr>
        <w:t xml:space="preserve">ederal Title V </w:t>
      </w:r>
      <w:r w:rsidRPr="004027FF" w:rsidR="00CB509A">
        <w:rPr>
          <w:rFonts w:ascii="Times New Roman" w:hAnsi="Times New Roman"/>
          <w:sz w:val="24"/>
          <w:szCs w:val="24"/>
        </w:rPr>
        <w:t xml:space="preserve">funds </w:t>
      </w:r>
      <w:r w:rsidR="00587239">
        <w:rPr>
          <w:rFonts w:ascii="Times New Roman" w:hAnsi="Times New Roman"/>
          <w:sz w:val="24"/>
          <w:szCs w:val="24"/>
        </w:rPr>
        <w:t xml:space="preserve">and </w:t>
      </w:r>
      <w:r w:rsidR="0013799B">
        <w:rPr>
          <w:rFonts w:ascii="Times New Roman" w:hAnsi="Times New Roman"/>
          <w:sz w:val="24"/>
          <w:szCs w:val="24"/>
        </w:rPr>
        <w:t xml:space="preserve">the </w:t>
      </w:r>
      <w:r w:rsidR="005E1BAE">
        <w:rPr>
          <w:rFonts w:ascii="Times New Roman" w:hAnsi="Times New Roman"/>
          <w:sz w:val="24"/>
          <w:szCs w:val="24"/>
        </w:rPr>
        <w:t>required s</w:t>
      </w:r>
      <w:r w:rsidR="007C187B">
        <w:rPr>
          <w:rFonts w:ascii="Times New Roman" w:hAnsi="Times New Roman"/>
          <w:sz w:val="24"/>
          <w:szCs w:val="24"/>
        </w:rPr>
        <w:t>tate matching funds</w:t>
      </w:r>
      <w:r w:rsidR="00004B68">
        <w:rPr>
          <w:rFonts w:ascii="Times New Roman" w:hAnsi="Times New Roman"/>
          <w:sz w:val="24"/>
          <w:szCs w:val="24"/>
        </w:rPr>
        <w:t xml:space="preserve"> </w:t>
      </w:r>
      <w:r w:rsidR="0013799B">
        <w:rPr>
          <w:rFonts w:ascii="Times New Roman" w:hAnsi="Times New Roman"/>
          <w:sz w:val="24"/>
          <w:szCs w:val="24"/>
        </w:rPr>
        <w:t xml:space="preserve">for </w:t>
      </w:r>
      <w:r w:rsidR="007C187B">
        <w:rPr>
          <w:rFonts w:ascii="Times New Roman" w:hAnsi="Times New Roman"/>
          <w:sz w:val="24"/>
          <w:szCs w:val="24"/>
        </w:rPr>
        <w:t xml:space="preserve">meeting </w:t>
      </w:r>
      <w:r w:rsidR="0013799B">
        <w:rPr>
          <w:rFonts w:ascii="Times New Roman" w:hAnsi="Times New Roman"/>
          <w:sz w:val="24"/>
          <w:szCs w:val="24"/>
        </w:rPr>
        <w:t xml:space="preserve">the </w:t>
      </w:r>
      <w:r w:rsidR="00587239">
        <w:rPr>
          <w:rFonts w:ascii="Times New Roman" w:hAnsi="Times New Roman"/>
          <w:sz w:val="24"/>
          <w:szCs w:val="24"/>
        </w:rPr>
        <w:t>legislative</w:t>
      </w:r>
      <w:r w:rsidR="007C187B">
        <w:rPr>
          <w:rFonts w:ascii="Times New Roman" w:hAnsi="Times New Roman"/>
          <w:sz w:val="24"/>
          <w:szCs w:val="24"/>
        </w:rPr>
        <w:t xml:space="preserve"> intent.</w:t>
      </w:r>
      <w:r w:rsidR="00535A04">
        <w:rPr>
          <w:rFonts w:ascii="Times New Roman" w:hAnsi="Times New Roman"/>
          <w:sz w:val="24"/>
          <w:szCs w:val="24"/>
        </w:rPr>
        <w:t xml:space="preserve"> </w:t>
      </w:r>
    </w:p>
    <w:p w:rsidR="00B94184" w:rsidP="00FD7BD4" w14:paraId="1D6BDB8C" w14:textId="77777777">
      <w:pPr>
        <w:autoSpaceDE w:val="0"/>
        <w:autoSpaceDN w:val="0"/>
        <w:adjustRightInd w:val="0"/>
        <w:spacing w:after="0" w:line="240" w:lineRule="auto"/>
        <w:ind w:left="720"/>
        <w:rPr>
          <w:rFonts w:ascii="Times New Roman" w:hAnsi="Times New Roman"/>
          <w:sz w:val="24"/>
          <w:szCs w:val="24"/>
        </w:rPr>
      </w:pPr>
    </w:p>
    <w:p w:rsidR="00896135" w:rsidRPr="00EC31C3" w:rsidP="00896135" w14:paraId="79C8BB4D" w14:textId="4094EC9F">
      <w:pPr>
        <w:autoSpaceDE w:val="0"/>
        <w:autoSpaceDN w:val="0"/>
        <w:adjustRightInd w:val="0"/>
        <w:spacing w:after="0" w:line="240" w:lineRule="auto"/>
        <w:ind w:left="720"/>
        <w:rPr>
          <w:rFonts w:ascii="Times New Roman" w:hAnsi="Times New Roman"/>
          <w:iCs/>
          <w:sz w:val="24"/>
          <w:szCs w:val="24"/>
        </w:rPr>
      </w:pPr>
      <w:r>
        <w:rPr>
          <w:rFonts w:ascii="Times New Roman" w:hAnsi="Times New Roman"/>
          <w:iCs/>
          <w:sz w:val="24"/>
          <w:szCs w:val="24"/>
        </w:rPr>
        <w:t xml:space="preserve">Major </w:t>
      </w:r>
      <w:r w:rsidR="00A54CA4">
        <w:rPr>
          <w:rFonts w:ascii="Times New Roman" w:hAnsi="Times New Roman"/>
          <w:iCs/>
          <w:sz w:val="24"/>
          <w:szCs w:val="24"/>
        </w:rPr>
        <w:t>p</w:t>
      </w:r>
      <w:r w:rsidRPr="00EC31C3" w:rsidR="009624DB">
        <w:rPr>
          <w:rFonts w:ascii="Times New Roman" w:hAnsi="Times New Roman"/>
          <w:iCs/>
          <w:sz w:val="24"/>
          <w:szCs w:val="24"/>
        </w:rPr>
        <w:t>roposed changes to this edition are listed below:</w:t>
      </w:r>
      <w:r w:rsidR="00535A04">
        <w:rPr>
          <w:rFonts w:ascii="Times New Roman" w:hAnsi="Times New Roman"/>
          <w:iCs/>
          <w:sz w:val="24"/>
          <w:szCs w:val="24"/>
        </w:rPr>
        <w:t xml:space="preserve"> </w:t>
      </w:r>
    </w:p>
    <w:p w:rsidR="00896135" w:rsidRPr="00EC31C3" w:rsidP="00896135" w14:paraId="7548B4D3"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Revised Approach for Interim-Year Reporting: states </w:t>
      </w:r>
      <w:r w:rsidRPr="00EC31C3">
        <w:rPr>
          <w:rFonts w:ascii="Times New Roman" w:hAnsi="Times New Roman"/>
          <w:iCs/>
          <w:sz w:val="24"/>
          <w:szCs w:val="24"/>
        </w:rPr>
        <w:t xml:space="preserve">will </w:t>
      </w:r>
      <w:r w:rsidRPr="00EC31C3">
        <w:rPr>
          <w:rFonts w:ascii="Times New Roman" w:hAnsi="Times New Roman"/>
          <w:iCs/>
          <w:sz w:val="24"/>
          <w:szCs w:val="24"/>
        </w:rPr>
        <w:t>decide whether updates are needed to numerous sections of the guidance during interim years two through five, following submission of the five-year Needs Assessment in year one</w:t>
      </w:r>
      <w:r w:rsidRPr="00EC31C3">
        <w:rPr>
          <w:rFonts w:ascii="Times New Roman" w:hAnsi="Times New Roman"/>
          <w:iCs/>
          <w:sz w:val="24"/>
          <w:szCs w:val="24"/>
        </w:rPr>
        <w:t>.</w:t>
      </w:r>
    </w:p>
    <w:p w:rsidR="00896135" w:rsidRPr="00EC31C3" w:rsidP="00896135" w14:paraId="3E6395CF" w14:textId="1F9BEC75">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Streamlining and Reorganizing of the Guidance: </w:t>
      </w:r>
      <w:r w:rsidRPr="00EC31C3">
        <w:rPr>
          <w:rFonts w:ascii="Times New Roman" w:hAnsi="Times New Roman"/>
          <w:iCs/>
          <w:sz w:val="24"/>
          <w:szCs w:val="24"/>
        </w:rPr>
        <w:t xml:space="preserve">the requirements for state narrative reporting are </w:t>
      </w:r>
      <w:r w:rsidRPr="00EC31C3">
        <w:rPr>
          <w:rFonts w:ascii="Times New Roman" w:hAnsi="Times New Roman"/>
          <w:iCs/>
          <w:sz w:val="24"/>
          <w:szCs w:val="24"/>
        </w:rPr>
        <w:t>streamli</w:t>
      </w:r>
      <w:r w:rsidRPr="00EC31C3">
        <w:rPr>
          <w:rFonts w:ascii="Times New Roman" w:hAnsi="Times New Roman"/>
          <w:iCs/>
          <w:sz w:val="24"/>
          <w:szCs w:val="24"/>
        </w:rPr>
        <w:t>ned</w:t>
      </w:r>
      <w:r w:rsidRPr="00EC31C3">
        <w:rPr>
          <w:rFonts w:ascii="Times New Roman" w:hAnsi="Times New Roman"/>
          <w:iCs/>
          <w:sz w:val="24"/>
          <w:szCs w:val="24"/>
        </w:rPr>
        <w:t xml:space="preserve"> and </w:t>
      </w:r>
      <w:r w:rsidRPr="00A54CA4" w:rsidR="00A54CA4">
        <w:rPr>
          <w:rFonts w:ascii="Times New Roman" w:hAnsi="Times New Roman"/>
          <w:iCs/>
          <w:sz w:val="24"/>
          <w:szCs w:val="24"/>
        </w:rPr>
        <w:t>reorganized in</w:t>
      </w:r>
      <w:r w:rsidRPr="00EC31C3">
        <w:rPr>
          <w:rFonts w:ascii="Times New Roman" w:hAnsi="Times New Roman"/>
          <w:iCs/>
          <w:sz w:val="24"/>
          <w:szCs w:val="24"/>
        </w:rPr>
        <w:t xml:space="preserve"> order to eliminate duplication.</w:t>
      </w:r>
    </w:p>
    <w:p w:rsidR="00896135" w:rsidRPr="00EC31C3" w:rsidP="00896135" w14:paraId="5D653004"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Family and Community Partnership: </w:t>
      </w:r>
      <w:r w:rsidRPr="00EC31C3">
        <w:rPr>
          <w:rFonts w:ascii="Times New Roman" w:hAnsi="Times New Roman"/>
          <w:iCs/>
          <w:sz w:val="24"/>
          <w:szCs w:val="24"/>
        </w:rPr>
        <w:t>E</w:t>
      </w:r>
      <w:r w:rsidRPr="00EC31C3">
        <w:rPr>
          <w:rFonts w:ascii="Times New Roman" w:hAnsi="Times New Roman"/>
          <w:iCs/>
          <w:sz w:val="24"/>
          <w:szCs w:val="24"/>
        </w:rPr>
        <w:t xml:space="preserve">xpectations around state Title V reporting on family and community partnerships </w:t>
      </w:r>
      <w:r w:rsidRPr="00EC31C3">
        <w:rPr>
          <w:rFonts w:ascii="Times New Roman" w:hAnsi="Times New Roman"/>
          <w:iCs/>
          <w:sz w:val="24"/>
          <w:szCs w:val="24"/>
        </w:rPr>
        <w:t>are</w:t>
      </w:r>
      <w:r w:rsidRPr="00EC31C3">
        <w:rPr>
          <w:rFonts w:ascii="Times New Roman" w:hAnsi="Times New Roman"/>
          <w:iCs/>
          <w:sz w:val="24"/>
          <w:szCs w:val="24"/>
        </w:rPr>
        <w:t xml:space="preserve"> clarified, such as reporting on partnership with HRSA’s Family-to-Family Health Information Centers, discussion on the impact these partnerships have on the MCH population, and their value in improving outcomes.</w:t>
      </w:r>
    </w:p>
    <w:p w:rsidR="00896135" w:rsidRPr="00EC31C3" w:rsidP="00896135" w14:paraId="5CBF7459" w14:textId="15926496">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Health Equity: </w:t>
      </w:r>
      <w:r w:rsidRPr="00EC31C3">
        <w:rPr>
          <w:rFonts w:ascii="Times New Roman" w:hAnsi="Times New Roman"/>
          <w:iCs/>
          <w:sz w:val="24"/>
          <w:szCs w:val="24"/>
        </w:rPr>
        <w:t xml:space="preserve">There is a stronger </w:t>
      </w:r>
      <w:r w:rsidRPr="00EC31C3">
        <w:rPr>
          <w:rFonts w:ascii="Times New Roman" w:hAnsi="Times New Roman"/>
          <w:iCs/>
          <w:sz w:val="24"/>
          <w:szCs w:val="24"/>
        </w:rPr>
        <w:t xml:space="preserve">emphasis on health equity, including it being a guiding principle of the Title V Program. </w:t>
      </w:r>
      <w:r w:rsidRPr="00EC31C3" w:rsidR="0098446D">
        <w:rPr>
          <w:rFonts w:ascii="Times New Roman" w:hAnsi="Times New Roman"/>
          <w:iCs/>
          <w:sz w:val="24"/>
          <w:szCs w:val="24"/>
        </w:rPr>
        <w:t>Discussion on this principle is incorporated in the needs assessment sections and the state action plan for each MCH population. States have the option to identify and set annual targets for priority populations under each National Performance Measure (NPM) and use prepopulated, stratified data to report annual progress.</w:t>
      </w:r>
    </w:p>
    <w:p w:rsidR="00896135" w:rsidRPr="00EC31C3" w:rsidP="00896135" w14:paraId="19A21E70"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Children and Youth with Special Health Care Needs: </w:t>
      </w:r>
      <w:r w:rsidRPr="00EC31C3">
        <w:rPr>
          <w:rFonts w:ascii="Times New Roman" w:hAnsi="Times New Roman"/>
          <w:iCs/>
          <w:sz w:val="24"/>
          <w:szCs w:val="24"/>
        </w:rPr>
        <w:t>The instructions for describing the CSHCN system of care and the Annual Report and Application narrative for the CSHCN population domain have clarified.</w:t>
      </w:r>
    </w:p>
    <w:p w:rsidR="0098446D" w:rsidRPr="00EC31C3" w:rsidP="00896135" w14:paraId="2DF7382E"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Reporting on Stillbirth: HRSA will add an NOM for stillbirth rate defined as, “number of fetal deaths at 20 or more weeks gestation per 1,000 live births plus fetal deaths.” In addition, HRSA will update the narrative in the tenth edition of the Guidance to revise the last sentence of III.B.3.a System of Care for Mothers, Children, and Families to include bereavement and stillbirth, as follows: "In describing the state's system of care for mothers, infants, and children, the role of the Title V program in addressing key MCH issues, which may include access to quality services, prenatal and postpartum care, maternal morbidity and mortality, stillbirth, newborn screening, infant mortality, preventive and primary care services for children and adolescents, immunizations, injury prevention, oral health, behavioral and mental health, bereavement, and/or substance use, should be clearly identified.” HRSA also added an example for Form 5b, pregnant women, around health promotion campaigns that address stillbirth and postpartum depression.</w:t>
      </w:r>
    </w:p>
    <w:p w:rsidR="0098446D" w:rsidRPr="00EC31C3" w:rsidP="0098446D" w14:paraId="64B10E03"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Universal Measures: The two universal measures, Postpartum Visit and Medical Home, are selected as national priorities because of their focus on access and quality of essential primary and preventive care for mothers and children, including children with special health care needs. To help reduce burden, instructions will clarify that only one Evidence-based or -informed Strategy Measure (ESM) is required for Medical Home. HRSA has removed the requirement to discuss Medical Home in the Adolescent Health Domain, emphasizing reporting in the Child Health Domain. States may optionally report on Medical Home in the Adolescent Health Domain in addition to the required Child Health and CSHCN domains. HRSA did not receive specific comments on the Postpartum Visit universal measure.</w:t>
      </w:r>
    </w:p>
    <w:p w:rsidR="0098446D" w:rsidRPr="00EC31C3" w:rsidP="0098446D" w14:paraId="39A2BD90" w14:textId="39375F5C">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 xml:space="preserve">Standardized Measures: </w:t>
      </w:r>
      <w:r w:rsidRPr="00EC31C3">
        <w:rPr>
          <w:rFonts w:ascii="Times New Roman" w:hAnsi="Times New Roman"/>
          <w:iCs/>
          <w:sz w:val="24"/>
          <w:szCs w:val="24"/>
        </w:rPr>
        <w:t>A new set of Standardized Measures are available to select as SPMs. Similar to NOMs and NPMs, annual performance data for these SPMs will be prepopulated by MCHB from national data sources, if available, and provided to the states for their use. States will be able to target priority populations for MCH outcomes. The Standardized Measures set contains measures that were NPMs in the previous Guidance as well as former NOMs that function better as performance measures</w:t>
      </w:r>
      <w:r w:rsidR="00EC31C3">
        <w:rPr>
          <w:rFonts w:ascii="Times New Roman" w:hAnsi="Times New Roman"/>
          <w:iCs/>
          <w:sz w:val="24"/>
          <w:szCs w:val="24"/>
        </w:rPr>
        <w:t>.</w:t>
      </w:r>
    </w:p>
    <w:p w:rsidR="0098446D" w:rsidRPr="00EC31C3" w:rsidP="0098446D" w14:paraId="58640505" w14:textId="77777777">
      <w:pPr>
        <w:pStyle w:val="ListParagraph"/>
        <w:numPr>
          <w:ilvl w:val="0"/>
          <w:numId w:val="15"/>
        </w:numPr>
        <w:autoSpaceDE w:val="0"/>
        <w:autoSpaceDN w:val="0"/>
        <w:adjustRightInd w:val="0"/>
        <w:spacing w:after="0" w:line="240" w:lineRule="auto"/>
        <w:rPr>
          <w:rFonts w:ascii="Times New Roman" w:hAnsi="Times New Roman"/>
          <w:iCs/>
          <w:sz w:val="24"/>
          <w:szCs w:val="24"/>
        </w:rPr>
      </w:pPr>
      <w:r w:rsidRPr="00EC31C3">
        <w:rPr>
          <w:rFonts w:ascii="Times New Roman" w:hAnsi="Times New Roman"/>
          <w:iCs/>
          <w:sz w:val="24"/>
          <w:szCs w:val="24"/>
        </w:rPr>
        <w:t>Form 7 Title V Program Workforce: Form 7 instructions will be clarified to better define what is a full-time employee (FTE), the relationship between the data fields, and the data being collected about positions lost over the past 12 months.</w:t>
      </w:r>
    </w:p>
    <w:p w:rsidR="00384281" w:rsidP="0091662F" w14:paraId="5C74D366" w14:textId="77777777">
      <w:pPr>
        <w:autoSpaceDE w:val="0"/>
        <w:autoSpaceDN w:val="0"/>
        <w:adjustRightInd w:val="0"/>
        <w:spacing w:after="0" w:line="240" w:lineRule="auto"/>
        <w:ind w:left="720"/>
        <w:rPr>
          <w:rFonts w:ascii="Times New Roman" w:hAnsi="Times New Roman"/>
          <w:sz w:val="24"/>
          <w:szCs w:val="24"/>
        </w:rPr>
      </w:pPr>
    </w:p>
    <w:p w:rsidR="00CB509A" w:rsidRPr="00B30C6F" w:rsidP="0091662F" w14:paraId="08DEDD4E" w14:textId="210F4FFF">
      <w:pPr>
        <w:autoSpaceDE w:val="0"/>
        <w:autoSpaceDN w:val="0"/>
        <w:adjustRightInd w:val="0"/>
        <w:spacing w:after="0" w:line="240" w:lineRule="auto"/>
        <w:ind w:left="720" w:hanging="360"/>
        <w:rPr>
          <w:rFonts w:ascii="Times New Roman" w:hAnsi="Times New Roman"/>
          <w:b/>
          <w:bCs/>
          <w:sz w:val="24"/>
          <w:szCs w:val="24"/>
        </w:rPr>
      </w:pPr>
      <w:r w:rsidRPr="00B30C6F">
        <w:rPr>
          <w:rFonts w:ascii="Times New Roman" w:hAnsi="Times New Roman"/>
          <w:b/>
          <w:bCs/>
          <w:sz w:val="24"/>
          <w:szCs w:val="24"/>
        </w:rPr>
        <w:t xml:space="preserve">3. </w:t>
      </w:r>
      <w:r w:rsidRPr="00B30C6F" w:rsidR="007D63D2">
        <w:rPr>
          <w:rFonts w:ascii="Times New Roman" w:hAnsi="Times New Roman"/>
          <w:b/>
          <w:bCs/>
          <w:sz w:val="24"/>
          <w:szCs w:val="24"/>
        </w:rPr>
        <w:tab/>
      </w:r>
      <w:r w:rsidR="00DB73EE">
        <w:rPr>
          <w:rFonts w:ascii="Times New Roman" w:hAnsi="Times New Roman"/>
          <w:b/>
          <w:bCs/>
          <w:sz w:val="24"/>
          <w:szCs w:val="24"/>
        </w:rPr>
        <w:t>Use of Improved Information Technology and Burden Reduction</w:t>
      </w:r>
    </w:p>
    <w:p w:rsidR="00982808" w:rsidRPr="00E371A6" w:rsidP="00CB509A" w14:paraId="68DCA65E" w14:textId="77777777">
      <w:pPr>
        <w:autoSpaceDE w:val="0"/>
        <w:autoSpaceDN w:val="0"/>
        <w:adjustRightInd w:val="0"/>
        <w:spacing w:after="0" w:line="240" w:lineRule="auto"/>
        <w:rPr>
          <w:rFonts w:ascii="Times New Roman" w:hAnsi="Times New Roman"/>
          <w:b/>
          <w:bCs/>
          <w:color w:val="31849B"/>
          <w:sz w:val="24"/>
          <w:szCs w:val="24"/>
        </w:rPr>
      </w:pPr>
    </w:p>
    <w:p w:rsidR="006C4B52" w:rsidRPr="006C4B52" w:rsidP="00DD0013" w14:paraId="73E7445B" w14:textId="3553489D">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sz w:val="24"/>
          <w:szCs w:val="24"/>
        </w:rPr>
        <w:t>Since 1997, HRSA has made efforts to improve the use of information technology in data collection.</w:t>
      </w:r>
      <w:r w:rsidR="00535A04">
        <w:rPr>
          <w:rFonts w:ascii="Times New Roman" w:hAnsi="Times New Roman"/>
          <w:sz w:val="24"/>
          <w:szCs w:val="24"/>
        </w:rPr>
        <w:t xml:space="preserve"> </w:t>
      </w:r>
      <w:r w:rsidRPr="006C4B52">
        <w:rPr>
          <w:rFonts w:ascii="Times New Roman" w:hAnsi="Times New Roman"/>
          <w:sz w:val="24"/>
          <w:szCs w:val="24"/>
        </w:rPr>
        <w:t xml:space="preserve">In 2002, the </w:t>
      </w:r>
      <w:r w:rsidR="00787B7A">
        <w:rPr>
          <w:rFonts w:ascii="Times New Roman" w:hAnsi="Times New Roman"/>
          <w:sz w:val="24"/>
          <w:szCs w:val="24"/>
        </w:rPr>
        <w:t xml:space="preserve">MCHB </w:t>
      </w:r>
      <w:r w:rsidRPr="006C4B52">
        <w:rPr>
          <w:rFonts w:ascii="Times New Roman" w:hAnsi="Times New Roman"/>
          <w:sz w:val="24"/>
          <w:szCs w:val="24"/>
        </w:rPr>
        <w:t xml:space="preserve">developed the TVIS in order to better support </w:t>
      </w:r>
      <w:r w:rsidR="00787B7A">
        <w:rPr>
          <w:rFonts w:ascii="Times New Roman" w:hAnsi="Times New Roman"/>
          <w:sz w:val="24"/>
          <w:szCs w:val="24"/>
        </w:rPr>
        <w:t xml:space="preserve">its </w:t>
      </w:r>
      <w:r w:rsidRPr="006C4B52">
        <w:rPr>
          <w:rFonts w:ascii="Times New Roman" w:hAnsi="Times New Roman"/>
          <w:sz w:val="24"/>
          <w:szCs w:val="24"/>
        </w:rPr>
        <w:t xml:space="preserve">work in managing the Title V </w:t>
      </w:r>
      <w:r w:rsidR="00787B7A">
        <w:rPr>
          <w:rFonts w:ascii="Times New Roman" w:hAnsi="Times New Roman"/>
          <w:sz w:val="24"/>
          <w:szCs w:val="24"/>
        </w:rPr>
        <w:t xml:space="preserve">MCH </w:t>
      </w:r>
      <w:r w:rsidRPr="006C4B52">
        <w:rPr>
          <w:rFonts w:ascii="Times New Roman" w:hAnsi="Times New Roman"/>
          <w:sz w:val="24"/>
          <w:szCs w:val="24"/>
        </w:rPr>
        <w:t>Block</w:t>
      </w:r>
      <w:r w:rsidR="00787B7A">
        <w:rPr>
          <w:rFonts w:ascii="Times New Roman" w:hAnsi="Times New Roman"/>
          <w:sz w:val="24"/>
          <w:szCs w:val="24"/>
        </w:rPr>
        <w:t xml:space="preserve"> Grant</w:t>
      </w:r>
      <w:r w:rsidRPr="006C4B52">
        <w:rPr>
          <w:rFonts w:ascii="Times New Roman" w:hAnsi="Times New Roman"/>
          <w:sz w:val="24"/>
          <w:szCs w:val="24"/>
        </w:rPr>
        <w:t>.</w:t>
      </w:r>
      <w:r w:rsidR="00535A04">
        <w:rPr>
          <w:rFonts w:ascii="Times New Roman" w:hAnsi="Times New Roman"/>
          <w:sz w:val="24"/>
          <w:szCs w:val="24"/>
        </w:rPr>
        <w:t xml:space="preserve"> </w:t>
      </w:r>
      <w:r w:rsidRPr="006C4B52">
        <w:rPr>
          <w:rFonts w:ascii="Times New Roman" w:hAnsi="Times New Roman"/>
          <w:sz w:val="24"/>
          <w:szCs w:val="24"/>
        </w:rPr>
        <w:t xml:space="preserve">TVIS was developed to provide an on-line mechanism for </w:t>
      </w:r>
      <w:r w:rsidR="0047701F">
        <w:rPr>
          <w:rFonts w:ascii="Times New Roman" w:hAnsi="Times New Roman"/>
          <w:sz w:val="24"/>
          <w:szCs w:val="24"/>
        </w:rPr>
        <w:t>s</w:t>
      </w:r>
      <w:r w:rsidRPr="006C4B52">
        <w:rPr>
          <w:rFonts w:ascii="Times New Roman" w:hAnsi="Times New Roman"/>
          <w:sz w:val="24"/>
          <w:szCs w:val="24"/>
        </w:rPr>
        <w:t>tates to complete the required financial</w:t>
      </w:r>
      <w:r w:rsidR="003210DB">
        <w:rPr>
          <w:rFonts w:ascii="Times New Roman" w:hAnsi="Times New Roman"/>
          <w:sz w:val="24"/>
          <w:szCs w:val="24"/>
        </w:rPr>
        <w:t>/</w:t>
      </w:r>
      <w:r w:rsidRPr="006C4B52">
        <w:rPr>
          <w:rFonts w:ascii="Times New Roman" w:hAnsi="Times New Roman"/>
          <w:sz w:val="24"/>
          <w:szCs w:val="24"/>
        </w:rPr>
        <w:t xml:space="preserve">program </w:t>
      </w:r>
      <w:r w:rsidR="003210DB">
        <w:rPr>
          <w:rFonts w:ascii="Times New Roman" w:hAnsi="Times New Roman"/>
          <w:sz w:val="24"/>
          <w:szCs w:val="24"/>
        </w:rPr>
        <w:t xml:space="preserve">reporting </w:t>
      </w:r>
      <w:r w:rsidRPr="006C4B52">
        <w:rPr>
          <w:rFonts w:ascii="Times New Roman" w:hAnsi="Times New Roman"/>
          <w:sz w:val="24"/>
          <w:szCs w:val="24"/>
        </w:rPr>
        <w:t xml:space="preserve">forms and </w:t>
      </w:r>
      <w:r w:rsidR="003210DB">
        <w:rPr>
          <w:rFonts w:ascii="Times New Roman" w:hAnsi="Times New Roman"/>
          <w:sz w:val="24"/>
          <w:szCs w:val="24"/>
        </w:rPr>
        <w:t>Application/</w:t>
      </w:r>
      <w:r w:rsidR="00787B7A">
        <w:rPr>
          <w:rFonts w:ascii="Times New Roman" w:hAnsi="Times New Roman"/>
          <w:sz w:val="24"/>
          <w:szCs w:val="24"/>
        </w:rPr>
        <w:t>A</w:t>
      </w:r>
      <w:r w:rsidRPr="006C4B52">
        <w:rPr>
          <w:rFonts w:ascii="Times New Roman" w:hAnsi="Times New Roman"/>
          <w:sz w:val="24"/>
          <w:szCs w:val="24"/>
        </w:rPr>
        <w:t xml:space="preserve">nnual </w:t>
      </w:r>
      <w:r w:rsidR="00787B7A">
        <w:rPr>
          <w:rFonts w:ascii="Times New Roman" w:hAnsi="Times New Roman"/>
          <w:sz w:val="24"/>
          <w:szCs w:val="24"/>
        </w:rPr>
        <w:t>R</w:t>
      </w:r>
      <w:r w:rsidRPr="006C4B52">
        <w:rPr>
          <w:rFonts w:ascii="Times New Roman" w:hAnsi="Times New Roman"/>
          <w:sz w:val="24"/>
          <w:szCs w:val="24"/>
        </w:rPr>
        <w:t>eport narrative</w:t>
      </w:r>
      <w:r w:rsidR="00FD796D">
        <w:rPr>
          <w:rFonts w:ascii="Times New Roman" w:hAnsi="Times New Roman"/>
          <w:sz w:val="24"/>
          <w:szCs w:val="24"/>
        </w:rPr>
        <w:t xml:space="preserve"> discussion</w:t>
      </w:r>
      <w:r w:rsidRPr="006C4B52">
        <w:rPr>
          <w:rFonts w:ascii="Times New Roman" w:hAnsi="Times New Roman"/>
          <w:sz w:val="24"/>
          <w:szCs w:val="24"/>
        </w:rPr>
        <w:t>.</w:t>
      </w:r>
      <w:r w:rsidR="00535A04">
        <w:rPr>
          <w:rFonts w:ascii="Times New Roman" w:hAnsi="Times New Roman"/>
          <w:sz w:val="24"/>
          <w:szCs w:val="24"/>
        </w:rPr>
        <w:t xml:space="preserve"> </w:t>
      </w:r>
      <w:r w:rsidRPr="006C4B52">
        <w:rPr>
          <w:rFonts w:ascii="Times New Roman" w:hAnsi="Times New Roman"/>
          <w:sz w:val="24"/>
          <w:szCs w:val="24"/>
        </w:rPr>
        <w:t xml:space="preserve">It was also developed to provide a means to display the </w:t>
      </w:r>
      <w:r w:rsidR="00787B7A">
        <w:rPr>
          <w:rFonts w:ascii="Times New Roman" w:hAnsi="Times New Roman"/>
          <w:sz w:val="24"/>
          <w:szCs w:val="24"/>
        </w:rPr>
        <w:t>A</w:t>
      </w:r>
      <w:r w:rsidRPr="006C4B52">
        <w:rPr>
          <w:rFonts w:ascii="Times New Roman" w:hAnsi="Times New Roman"/>
          <w:sz w:val="24"/>
          <w:szCs w:val="24"/>
        </w:rPr>
        <w:t>pplication</w:t>
      </w:r>
      <w:r w:rsidR="00787B7A">
        <w:rPr>
          <w:rFonts w:ascii="Times New Roman" w:hAnsi="Times New Roman"/>
          <w:sz w:val="24"/>
          <w:szCs w:val="24"/>
        </w:rPr>
        <w:t>/A</w:t>
      </w:r>
      <w:r w:rsidRPr="006C4B52">
        <w:rPr>
          <w:rFonts w:ascii="Times New Roman" w:hAnsi="Times New Roman"/>
          <w:sz w:val="24"/>
          <w:szCs w:val="24"/>
        </w:rPr>
        <w:t xml:space="preserve">nnual </w:t>
      </w:r>
      <w:r w:rsidR="00787B7A">
        <w:rPr>
          <w:rFonts w:ascii="Times New Roman" w:hAnsi="Times New Roman"/>
          <w:sz w:val="24"/>
          <w:szCs w:val="24"/>
        </w:rPr>
        <w:t>R</w:t>
      </w:r>
      <w:r w:rsidRPr="006C4B52">
        <w:rPr>
          <w:rFonts w:ascii="Times New Roman" w:hAnsi="Times New Roman"/>
          <w:sz w:val="24"/>
          <w:szCs w:val="24"/>
        </w:rPr>
        <w:t>eport data to the general public.</w:t>
      </w:r>
      <w:r w:rsidR="00535A04">
        <w:rPr>
          <w:rFonts w:ascii="Times New Roman" w:hAnsi="Times New Roman"/>
          <w:sz w:val="24"/>
          <w:szCs w:val="24"/>
        </w:rPr>
        <w:t xml:space="preserve"> </w:t>
      </w:r>
      <w:r w:rsidRPr="006C4B52">
        <w:rPr>
          <w:rFonts w:ascii="Times New Roman" w:hAnsi="Times New Roman"/>
          <w:sz w:val="24"/>
          <w:szCs w:val="24"/>
        </w:rPr>
        <w:t>As such, TV</w:t>
      </w:r>
      <w:r w:rsidR="00DD0013">
        <w:rPr>
          <w:rFonts w:ascii="Times New Roman" w:hAnsi="Times New Roman"/>
          <w:sz w:val="24"/>
          <w:szCs w:val="24"/>
        </w:rPr>
        <w:t xml:space="preserve">IS consists of two components: </w:t>
      </w:r>
    </w:p>
    <w:p w:rsidR="006C4B52" w:rsidRPr="006C4B52" w:rsidP="00C50D5F" w14:paraId="0A363998" w14:textId="77777777">
      <w:pPr>
        <w:numPr>
          <w:ilvl w:val="0"/>
          <w:numId w:val="8"/>
        </w:numPr>
        <w:autoSpaceDE w:val="0"/>
        <w:autoSpaceDN w:val="0"/>
        <w:adjustRightInd w:val="0"/>
        <w:spacing w:after="0" w:line="240" w:lineRule="auto"/>
        <w:rPr>
          <w:rFonts w:ascii="Times New Roman" w:hAnsi="Times New Roman"/>
          <w:sz w:val="24"/>
          <w:szCs w:val="24"/>
        </w:rPr>
      </w:pPr>
      <w:r w:rsidRPr="006C4B52">
        <w:rPr>
          <w:rFonts w:ascii="Times New Roman" w:hAnsi="Times New Roman"/>
          <w:sz w:val="24"/>
          <w:szCs w:val="24"/>
        </w:rPr>
        <w:t>TV</w:t>
      </w:r>
      <w:r w:rsidR="0047701F">
        <w:rPr>
          <w:rFonts w:ascii="Times New Roman" w:hAnsi="Times New Roman"/>
          <w:sz w:val="24"/>
          <w:szCs w:val="24"/>
        </w:rPr>
        <w:t>IS Data Entry System - used by s</w:t>
      </w:r>
      <w:r w:rsidRPr="006C4B52">
        <w:rPr>
          <w:rFonts w:ascii="Times New Roman" w:hAnsi="Times New Roman"/>
          <w:sz w:val="24"/>
          <w:szCs w:val="24"/>
        </w:rPr>
        <w:t xml:space="preserve">tate Title V </w:t>
      </w:r>
      <w:r w:rsidR="00817C6D">
        <w:rPr>
          <w:rFonts w:ascii="Times New Roman" w:hAnsi="Times New Roman"/>
          <w:sz w:val="24"/>
          <w:szCs w:val="24"/>
        </w:rPr>
        <w:t xml:space="preserve">MCH </w:t>
      </w:r>
      <w:r w:rsidRPr="006C4B52">
        <w:rPr>
          <w:rFonts w:ascii="Times New Roman" w:hAnsi="Times New Roman"/>
          <w:sz w:val="24"/>
          <w:szCs w:val="24"/>
        </w:rPr>
        <w:t>Block grantees to submit their financial, program, and performance data as part of their yearly Application/Annual Report; and</w:t>
      </w:r>
    </w:p>
    <w:p w:rsidR="006C4B52" w:rsidRPr="006C4B52" w:rsidP="00C50D5F" w14:paraId="5D4C2A4C" w14:textId="0B17B2B5">
      <w:pPr>
        <w:numPr>
          <w:ilvl w:val="0"/>
          <w:numId w:val="8"/>
        </w:numPr>
        <w:autoSpaceDE w:val="0"/>
        <w:autoSpaceDN w:val="0"/>
        <w:adjustRightInd w:val="0"/>
        <w:spacing w:after="0" w:line="240" w:lineRule="auto"/>
        <w:rPr>
          <w:rFonts w:ascii="Times New Roman" w:hAnsi="Times New Roman"/>
          <w:sz w:val="24"/>
          <w:szCs w:val="24"/>
        </w:rPr>
      </w:pPr>
      <w:r w:rsidRPr="006C4B52">
        <w:rPr>
          <w:rFonts w:ascii="Times New Roman" w:hAnsi="Times New Roman"/>
          <w:sz w:val="24"/>
          <w:szCs w:val="24"/>
        </w:rPr>
        <w:t xml:space="preserve">TVIS Web Reports - a </w:t>
      </w:r>
      <w:r w:rsidR="00F9236F">
        <w:rPr>
          <w:rFonts w:ascii="Times New Roman" w:hAnsi="Times New Roman"/>
          <w:sz w:val="24"/>
          <w:szCs w:val="24"/>
        </w:rPr>
        <w:t>web</w:t>
      </w:r>
      <w:r w:rsidRPr="006C4B52">
        <w:rPr>
          <w:rFonts w:ascii="Times New Roman" w:hAnsi="Times New Roman"/>
          <w:sz w:val="24"/>
          <w:szCs w:val="24"/>
        </w:rPr>
        <w:t>-based interface that allows public users to search, view and retrieve t</w:t>
      </w:r>
      <w:r w:rsidR="00787B7A">
        <w:rPr>
          <w:rFonts w:ascii="Times New Roman" w:hAnsi="Times New Roman"/>
          <w:sz w:val="24"/>
          <w:szCs w:val="24"/>
        </w:rPr>
        <w:t>he finalized Title V data that i</w:t>
      </w:r>
      <w:r w:rsidRPr="006C4B52">
        <w:rPr>
          <w:rFonts w:ascii="Times New Roman" w:hAnsi="Times New Roman"/>
          <w:sz w:val="24"/>
          <w:szCs w:val="24"/>
        </w:rPr>
        <w:t>s submitted by the 59 State</w:t>
      </w:r>
      <w:r w:rsidR="00535A04">
        <w:rPr>
          <w:rFonts w:ascii="Times New Roman" w:hAnsi="Times New Roman"/>
          <w:sz w:val="24"/>
          <w:szCs w:val="24"/>
        </w:rPr>
        <w:t xml:space="preserve">  </w:t>
      </w:r>
      <w:r w:rsidRPr="006C4B52">
        <w:rPr>
          <w:rFonts w:ascii="Times New Roman" w:hAnsi="Times New Roman"/>
          <w:sz w:val="24"/>
          <w:szCs w:val="24"/>
        </w:rPr>
        <w:t xml:space="preserve">Title V </w:t>
      </w:r>
      <w:r w:rsidR="0047701F">
        <w:rPr>
          <w:rFonts w:ascii="Times New Roman" w:hAnsi="Times New Roman"/>
          <w:sz w:val="24"/>
          <w:szCs w:val="24"/>
        </w:rPr>
        <w:t xml:space="preserve">MCH </w:t>
      </w:r>
      <w:r w:rsidRPr="006C4B52">
        <w:rPr>
          <w:rFonts w:ascii="Times New Roman" w:hAnsi="Times New Roman"/>
          <w:sz w:val="24"/>
          <w:szCs w:val="24"/>
        </w:rPr>
        <w:t>Block grantees.</w:t>
      </w:r>
    </w:p>
    <w:p w:rsidR="006C4B52" w:rsidRPr="006C4B52" w:rsidP="006C4B52" w14:paraId="4DFF9AA6" w14:textId="77777777">
      <w:pPr>
        <w:autoSpaceDE w:val="0"/>
        <w:autoSpaceDN w:val="0"/>
        <w:adjustRightInd w:val="0"/>
        <w:spacing w:after="0" w:line="240" w:lineRule="auto"/>
        <w:ind w:left="720"/>
        <w:rPr>
          <w:rFonts w:ascii="Times New Roman" w:hAnsi="Times New Roman"/>
          <w:color w:val="31849B"/>
          <w:sz w:val="24"/>
          <w:szCs w:val="24"/>
        </w:rPr>
      </w:pPr>
    </w:p>
    <w:p w:rsidR="006C4B52" w:rsidRPr="006C4B52" w:rsidP="006C4B52" w14:paraId="61DCA181" w14:textId="6EEC11B2">
      <w:pPr>
        <w:spacing w:after="0" w:line="240" w:lineRule="auto"/>
        <w:ind w:left="720"/>
        <w:rPr>
          <w:rFonts w:ascii="Times New Roman" w:hAnsi="Times New Roman"/>
          <w:color w:val="31849B"/>
          <w:sz w:val="24"/>
          <w:szCs w:val="24"/>
        </w:rPr>
      </w:pPr>
      <w:r w:rsidRPr="006C4B52">
        <w:rPr>
          <w:rFonts w:ascii="Times New Roman" w:hAnsi="Times New Roman"/>
          <w:sz w:val="24"/>
          <w:szCs w:val="24"/>
        </w:rPr>
        <w:t xml:space="preserve">TVIS Data Entry System, which allows grantees to enter data into </w:t>
      </w:r>
      <w:r w:rsidR="00F9236F">
        <w:rPr>
          <w:rFonts w:ascii="Times New Roman" w:hAnsi="Times New Roman"/>
          <w:sz w:val="24"/>
          <w:szCs w:val="24"/>
        </w:rPr>
        <w:t>web</w:t>
      </w:r>
      <w:r w:rsidRPr="006C4B52">
        <w:rPr>
          <w:rFonts w:ascii="Times New Roman" w:hAnsi="Times New Roman"/>
          <w:sz w:val="24"/>
          <w:szCs w:val="24"/>
        </w:rPr>
        <w:t xml:space="preserve">-based forms and report sections, is derived from the </w:t>
      </w:r>
      <w:r w:rsidRPr="006C4B52">
        <w:rPr>
          <w:rFonts w:ascii="Times New Roman" w:hAnsi="Times New Roman"/>
          <w:i/>
          <w:sz w:val="24"/>
          <w:szCs w:val="24"/>
        </w:rPr>
        <w:t>Guidance and Forms for the Title V Application and Annual Report, Maternal and Child Health Services Title V Block Grant Program</w:t>
      </w:r>
      <w:r w:rsidRPr="006C4B52">
        <w:rPr>
          <w:rFonts w:ascii="Times New Roman" w:hAnsi="Times New Roman"/>
          <w:sz w:val="24"/>
          <w:szCs w:val="24"/>
        </w:rPr>
        <w:t>.</w:t>
      </w:r>
      <w:r w:rsidR="00535A04">
        <w:rPr>
          <w:rFonts w:ascii="Times New Roman" w:hAnsi="Times New Roman"/>
          <w:sz w:val="24"/>
          <w:szCs w:val="24"/>
        </w:rPr>
        <w:t xml:space="preserve"> </w:t>
      </w:r>
      <w:r w:rsidRPr="006C4B52">
        <w:rPr>
          <w:rFonts w:ascii="Times New Roman" w:hAnsi="Times New Roman"/>
          <w:sz w:val="24"/>
          <w:szCs w:val="24"/>
        </w:rPr>
        <w:t>State users electronically enter data and upload information as appropriate.</w:t>
      </w:r>
      <w:r w:rsidR="00535A04">
        <w:rPr>
          <w:rFonts w:ascii="Times New Roman" w:hAnsi="Times New Roman"/>
          <w:color w:val="31849B"/>
          <w:sz w:val="24"/>
          <w:szCs w:val="24"/>
        </w:rPr>
        <w:t xml:space="preserve"> </w:t>
      </w:r>
      <w:r w:rsidRPr="006C4B52">
        <w:rPr>
          <w:rFonts w:ascii="Times New Roman" w:hAnsi="Times New Roman"/>
          <w:sz w:val="24"/>
          <w:szCs w:val="24"/>
        </w:rPr>
        <w:t>The interface provides the “forms” of the Application that can be completed online, and those forms in turn submit data to a relational database that is developed to HRSA standards (e.g., SQL Server Relational Database) and is integrated with the larger and related agency grant management system known as the HRSA’s Electronic Handbooks (EHB).</w:t>
      </w:r>
      <w:r w:rsidR="00535A04">
        <w:rPr>
          <w:rFonts w:ascii="Times New Roman" w:hAnsi="Times New Roman"/>
          <w:sz w:val="24"/>
          <w:szCs w:val="24"/>
        </w:rPr>
        <w:t xml:space="preserve"> </w:t>
      </w:r>
      <w:r w:rsidRPr="006C4B52">
        <w:rPr>
          <w:rFonts w:ascii="Times New Roman" w:hAnsi="Times New Roman"/>
          <w:sz w:val="24"/>
          <w:szCs w:val="24"/>
        </w:rPr>
        <w:t xml:space="preserve">This system provides significant benefits, as users are permitted to complete the Application/Annual Report forms via the </w:t>
      </w:r>
      <w:r w:rsidR="00F9236F">
        <w:rPr>
          <w:rFonts w:ascii="Times New Roman" w:hAnsi="Times New Roman"/>
          <w:sz w:val="24"/>
          <w:szCs w:val="24"/>
        </w:rPr>
        <w:t>web</w:t>
      </w:r>
      <w:r w:rsidRPr="006C4B52">
        <w:rPr>
          <w:rFonts w:ascii="Times New Roman" w:hAnsi="Times New Roman"/>
          <w:sz w:val="24"/>
          <w:szCs w:val="24"/>
        </w:rPr>
        <w:t xml:space="preserve"> and to submit </w:t>
      </w:r>
      <w:r w:rsidR="00016DED">
        <w:rPr>
          <w:rFonts w:ascii="Times New Roman" w:hAnsi="Times New Roman"/>
          <w:sz w:val="24"/>
          <w:szCs w:val="24"/>
        </w:rPr>
        <w:t xml:space="preserve">the </w:t>
      </w:r>
      <w:r w:rsidRPr="006C4B52">
        <w:rPr>
          <w:rFonts w:ascii="Times New Roman" w:hAnsi="Times New Roman"/>
          <w:sz w:val="24"/>
          <w:szCs w:val="24"/>
        </w:rPr>
        <w:t>Application/Annual Report forms directly to the data</w:t>
      </w:r>
      <w:r w:rsidR="00A0032F">
        <w:rPr>
          <w:rFonts w:ascii="Times New Roman" w:hAnsi="Times New Roman"/>
          <w:sz w:val="24"/>
          <w:szCs w:val="24"/>
        </w:rPr>
        <w:t>base.</w:t>
      </w:r>
      <w:r w:rsidR="00535A04">
        <w:rPr>
          <w:rFonts w:ascii="Times New Roman" w:hAnsi="Times New Roman"/>
          <w:sz w:val="24"/>
          <w:szCs w:val="24"/>
        </w:rPr>
        <w:t xml:space="preserve"> </w:t>
      </w:r>
      <w:r w:rsidR="00A0032F">
        <w:rPr>
          <w:rFonts w:ascii="Times New Roman" w:hAnsi="Times New Roman"/>
          <w:sz w:val="24"/>
          <w:szCs w:val="24"/>
        </w:rPr>
        <w:t>It should be noted that s</w:t>
      </w:r>
      <w:r w:rsidRPr="006C4B52">
        <w:rPr>
          <w:rFonts w:ascii="Times New Roman" w:hAnsi="Times New Roman"/>
          <w:sz w:val="24"/>
          <w:szCs w:val="24"/>
        </w:rPr>
        <w:t xml:space="preserve">tates are required to provide data only for the Application/Annual Reporting year, as other data cells are pre-populated from </w:t>
      </w:r>
      <w:r w:rsidR="00016DED">
        <w:rPr>
          <w:rFonts w:ascii="Times New Roman" w:hAnsi="Times New Roman"/>
          <w:sz w:val="24"/>
          <w:szCs w:val="24"/>
        </w:rPr>
        <w:t xml:space="preserve">the </w:t>
      </w:r>
      <w:r w:rsidRPr="006C4B52">
        <w:rPr>
          <w:rFonts w:ascii="Times New Roman" w:hAnsi="Times New Roman"/>
          <w:sz w:val="24"/>
          <w:szCs w:val="24"/>
        </w:rPr>
        <w:t>previous years’ submissions.</w:t>
      </w:r>
      <w:r w:rsidR="00535A04">
        <w:rPr>
          <w:rFonts w:ascii="Times New Roman" w:hAnsi="Times New Roman"/>
          <w:sz w:val="24"/>
          <w:szCs w:val="24"/>
        </w:rPr>
        <w:t xml:space="preserve">   </w:t>
      </w:r>
      <w:r w:rsidRPr="006C4B52">
        <w:rPr>
          <w:rFonts w:ascii="Times New Roman" w:hAnsi="Times New Roman"/>
          <w:color w:val="31849B"/>
          <w:sz w:val="24"/>
          <w:szCs w:val="24"/>
        </w:rPr>
        <w:t xml:space="preserve"> </w:t>
      </w:r>
    </w:p>
    <w:p w:rsidR="006C4B52" w:rsidRPr="006C4B52" w:rsidP="006C4B52" w14:paraId="682CAB7A" w14:textId="77777777">
      <w:pPr>
        <w:autoSpaceDE w:val="0"/>
        <w:autoSpaceDN w:val="0"/>
        <w:adjustRightInd w:val="0"/>
        <w:spacing w:after="0" w:line="240" w:lineRule="auto"/>
        <w:ind w:left="720"/>
        <w:rPr>
          <w:rFonts w:ascii="Times New Roman" w:hAnsi="Times New Roman"/>
          <w:b/>
          <w:bCs/>
          <w:sz w:val="24"/>
          <w:szCs w:val="24"/>
        </w:rPr>
      </w:pPr>
    </w:p>
    <w:p w:rsidR="006C4B52" w:rsidRPr="006C4B52" w:rsidP="006C4B52" w14:paraId="14BB4A74" w14:textId="7BA7A9AE">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sz w:val="24"/>
          <w:szCs w:val="24"/>
        </w:rPr>
        <w:t>TVIS Web Reports is a database that allows users to search and sort da</w:t>
      </w:r>
      <w:r w:rsidR="00A0032F">
        <w:rPr>
          <w:rFonts w:ascii="Times New Roman" w:hAnsi="Times New Roman"/>
          <w:sz w:val="24"/>
          <w:szCs w:val="24"/>
        </w:rPr>
        <w:t>ta on the health status of the n</w:t>
      </w:r>
      <w:r w:rsidRPr="006C4B52">
        <w:rPr>
          <w:rFonts w:ascii="Times New Roman" w:hAnsi="Times New Roman"/>
          <w:sz w:val="24"/>
          <w:szCs w:val="24"/>
        </w:rPr>
        <w:t>ation’s mothers and children</w:t>
      </w:r>
      <w:r w:rsidR="00787B7A">
        <w:rPr>
          <w:rFonts w:ascii="Times New Roman" w:hAnsi="Times New Roman"/>
          <w:sz w:val="24"/>
          <w:szCs w:val="24"/>
        </w:rPr>
        <w:t>,</w:t>
      </w:r>
      <w:r w:rsidRPr="006C4B52">
        <w:rPr>
          <w:rFonts w:ascii="Times New Roman" w:hAnsi="Times New Roman"/>
          <w:sz w:val="24"/>
          <w:szCs w:val="24"/>
        </w:rPr>
        <w:t xml:space="preserve"> as submitted by the 59 State</w:t>
      </w:r>
      <w:r w:rsidR="00A0032F">
        <w:rPr>
          <w:rFonts w:ascii="Times New Roman" w:hAnsi="Times New Roman"/>
          <w:sz w:val="24"/>
          <w:szCs w:val="24"/>
        </w:rPr>
        <w:t xml:space="preserve"> MCH Block G</w:t>
      </w:r>
      <w:r w:rsidRPr="006C4B52">
        <w:rPr>
          <w:rFonts w:ascii="Times New Roman" w:hAnsi="Times New Roman"/>
          <w:sz w:val="24"/>
          <w:szCs w:val="24"/>
        </w:rPr>
        <w:t>rantees.</w:t>
      </w:r>
      <w:r w:rsidR="00535A04">
        <w:rPr>
          <w:rFonts w:ascii="Times New Roman" w:hAnsi="Times New Roman"/>
          <w:sz w:val="24"/>
          <w:szCs w:val="24"/>
        </w:rPr>
        <w:t xml:space="preserve"> </w:t>
      </w:r>
      <w:r w:rsidRPr="006C4B52">
        <w:rPr>
          <w:rFonts w:ascii="Times New Roman" w:hAnsi="Times New Roman"/>
          <w:sz w:val="24"/>
          <w:szCs w:val="24"/>
        </w:rPr>
        <w:t>This database assures that Title V program data on maternal and child health are u</w:t>
      </w:r>
      <w:r w:rsidR="00A0032F">
        <w:rPr>
          <w:rFonts w:ascii="Times New Roman" w:hAnsi="Times New Roman"/>
          <w:sz w:val="24"/>
          <w:szCs w:val="24"/>
        </w:rPr>
        <w:t>niformly available from all 50 s</w:t>
      </w:r>
      <w:r w:rsidRPr="006C4B52">
        <w:rPr>
          <w:rFonts w:ascii="Times New Roman" w:hAnsi="Times New Roman"/>
          <w:sz w:val="24"/>
          <w:szCs w:val="24"/>
        </w:rPr>
        <w:t>tates and nine</w:t>
      </w:r>
      <w:r w:rsidR="00A0032F">
        <w:rPr>
          <w:rFonts w:ascii="Times New Roman" w:hAnsi="Times New Roman"/>
          <w:sz w:val="24"/>
          <w:szCs w:val="24"/>
        </w:rPr>
        <w:t xml:space="preserve"> (9)</w:t>
      </w:r>
      <w:r w:rsidRPr="006C4B52">
        <w:rPr>
          <w:rFonts w:ascii="Times New Roman" w:hAnsi="Times New Roman"/>
          <w:sz w:val="24"/>
          <w:szCs w:val="24"/>
        </w:rPr>
        <w:t xml:space="preserve"> jurisdiction</w:t>
      </w:r>
      <w:r w:rsidR="00A0032F">
        <w:rPr>
          <w:rFonts w:ascii="Times New Roman" w:hAnsi="Times New Roman"/>
          <w:sz w:val="24"/>
          <w:szCs w:val="24"/>
        </w:rPr>
        <w:t>s.</w:t>
      </w:r>
      <w:r w:rsidR="00535A04">
        <w:rPr>
          <w:rFonts w:ascii="Times New Roman" w:hAnsi="Times New Roman"/>
          <w:sz w:val="24"/>
          <w:szCs w:val="24"/>
        </w:rPr>
        <w:t xml:space="preserve"> </w:t>
      </w:r>
      <w:r w:rsidR="00A0032F">
        <w:rPr>
          <w:rFonts w:ascii="Times New Roman" w:hAnsi="Times New Roman"/>
          <w:sz w:val="24"/>
          <w:szCs w:val="24"/>
        </w:rPr>
        <w:t>Access to the data enables s</w:t>
      </w:r>
      <w:r w:rsidRPr="006C4B52">
        <w:rPr>
          <w:rFonts w:ascii="Times New Roman" w:hAnsi="Times New Roman"/>
          <w:sz w:val="24"/>
          <w:szCs w:val="24"/>
        </w:rPr>
        <w:t xml:space="preserve">tates, communities, policymakers, and health care professionals to make </w:t>
      </w:r>
      <w:r w:rsidR="00A35FC2">
        <w:rPr>
          <w:rFonts w:ascii="Times New Roman" w:hAnsi="Times New Roman"/>
          <w:sz w:val="24"/>
          <w:szCs w:val="24"/>
        </w:rPr>
        <w:t>i</w:t>
      </w:r>
      <w:r w:rsidRPr="006C4B52">
        <w:rPr>
          <w:rFonts w:ascii="Times New Roman" w:hAnsi="Times New Roman"/>
          <w:sz w:val="24"/>
          <w:szCs w:val="24"/>
        </w:rPr>
        <w:t>nformed decisions about meeting the health care needs of women and children in the United States.</w:t>
      </w:r>
      <w:r w:rsidR="00535A04">
        <w:rPr>
          <w:rFonts w:ascii="Times New Roman" w:hAnsi="Times New Roman"/>
          <w:sz w:val="24"/>
          <w:szCs w:val="24"/>
        </w:rPr>
        <w:t xml:space="preserve"> </w:t>
      </w:r>
      <w:r w:rsidRPr="006C4B52">
        <w:rPr>
          <w:rFonts w:ascii="Times New Roman" w:hAnsi="Times New Roman"/>
          <w:sz w:val="24"/>
          <w:szCs w:val="24"/>
        </w:rPr>
        <w:t xml:space="preserve">Since the TVIS makes all information publicly accessible on the </w:t>
      </w:r>
      <w:r w:rsidR="00F9236F">
        <w:rPr>
          <w:rFonts w:ascii="Times New Roman" w:hAnsi="Times New Roman"/>
          <w:sz w:val="24"/>
          <w:szCs w:val="24"/>
        </w:rPr>
        <w:t>web</w:t>
      </w:r>
      <w:r w:rsidRPr="006C4B52">
        <w:rPr>
          <w:rFonts w:ascii="Times New Roman" w:hAnsi="Times New Roman"/>
          <w:sz w:val="24"/>
          <w:szCs w:val="24"/>
        </w:rPr>
        <w:t>,</w:t>
      </w:r>
      <w:r w:rsidR="00A0032F">
        <w:rPr>
          <w:rFonts w:ascii="Times New Roman" w:hAnsi="Times New Roman"/>
          <w:sz w:val="16"/>
          <w:szCs w:val="16"/>
        </w:rPr>
        <w:t xml:space="preserve"> </w:t>
      </w:r>
      <w:r w:rsidR="00A0032F">
        <w:rPr>
          <w:rFonts w:ascii="Times New Roman" w:hAnsi="Times New Roman"/>
          <w:sz w:val="24"/>
          <w:szCs w:val="24"/>
        </w:rPr>
        <w:t>s</w:t>
      </w:r>
      <w:r w:rsidRPr="006C4B52">
        <w:rPr>
          <w:rFonts w:ascii="Times New Roman" w:hAnsi="Times New Roman"/>
          <w:sz w:val="24"/>
          <w:szCs w:val="24"/>
        </w:rPr>
        <w:t>tates have strong incentive to ensure the quality and accuracy of the data they submit.</w:t>
      </w:r>
    </w:p>
    <w:p w:rsidR="006C4B52" w:rsidRPr="006C4B52" w:rsidP="006C4B52" w14:paraId="70240387" w14:textId="77777777">
      <w:pPr>
        <w:autoSpaceDE w:val="0"/>
        <w:autoSpaceDN w:val="0"/>
        <w:adjustRightInd w:val="0"/>
        <w:spacing w:after="0" w:line="240" w:lineRule="auto"/>
        <w:ind w:left="720"/>
        <w:rPr>
          <w:rFonts w:ascii="Times New Roman" w:hAnsi="Times New Roman"/>
          <w:sz w:val="24"/>
          <w:szCs w:val="24"/>
        </w:rPr>
      </w:pPr>
    </w:p>
    <w:p w:rsidR="006C4B52" w:rsidRPr="002411F1" w:rsidP="006C4B52" w14:paraId="30A84582" w14:textId="6A25751D">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t>Transformational changes made to the State MCH Block Grant program in 201</w:t>
      </w:r>
      <w:r w:rsidRPr="002411F1" w:rsidR="000D502E">
        <w:rPr>
          <w:rFonts w:ascii="Times New Roman" w:hAnsi="Times New Roman"/>
          <w:sz w:val="24"/>
          <w:szCs w:val="24"/>
        </w:rPr>
        <w:t>6</w:t>
      </w:r>
      <w:r w:rsidRPr="002411F1">
        <w:rPr>
          <w:rFonts w:ascii="Times New Roman" w:hAnsi="Times New Roman"/>
          <w:sz w:val="24"/>
          <w:szCs w:val="24"/>
        </w:rPr>
        <w:t xml:space="preserve"> brought new reporting requirements and a revised narrative format to the MCH Block Grant Application/Annual Report.</w:t>
      </w:r>
      <w:r w:rsidR="00535A04">
        <w:rPr>
          <w:rFonts w:ascii="Times New Roman" w:hAnsi="Times New Roman"/>
          <w:sz w:val="24"/>
          <w:szCs w:val="24"/>
        </w:rPr>
        <w:t xml:space="preserve"> </w:t>
      </w:r>
      <w:r w:rsidRPr="002411F1">
        <w:rPr>
          <w:rFonts w:ascii="Times New Roman" w:hAnsi="Times New Roman"/>
          <w:sz w:val="24"/>
          <w:szCs w:val="24"/>
        </w:rPr>
        <w:t xml:space="preserve">The transformational changes mandated the redevelopment and deployment of TVIS. </w:t>
      </w:r>
    </w:p>
    <w:p w:rsidR="006C4B52" w:rsidRPr="002411F1" w:rsidP="006C4B52" w14:paraId="427F629E" w14:textId="77777777">
      <w:pPr>
        <w:autoSpaceDE w:val="0"/>
        <w:autoSpaceDN w:val="0"/>
        <w:adjustRightInd w:val="0"/>
        <w:spacing w:after="0" w:line="240" w:lineRule="auto"/>
        <w:ind w:left="720"/>
        <w:rPr>
          <w:rFonts w:ascii="Times New Roman" w:hAnsi="Times New Roman"/>
          <w:sz w:val="24"/>
          <w:szCs w:val="24"/>
        </w:rPr>
      </w:pPr>
    </w:p>
    <w:p w:rsidR="006C4B52" w:rsidRPr="002411F1" w:rsidP="006C4B52" w14:paraId="2BF731CC" w14:textId="77777777">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t xml:space="preserve">Enhancements to </w:t>
      </w:r>
      <w:r w:rsidRPr="002411F1">
        <w:rPr>
          <w:rFonts w:ascii="Times New Roman" w:hAnsi="Times New Roman"/>
          <w:sz w:val="24"/>
          <w:szCs w:val="24"/>
        </w:rPr>
        <w:t xml:space="preserve">TVIS Data Entry </w:t>
      </w:r>
      <w:r w:rsidRPr="002411F1" w:rsidR="000D502E">
        <w:rPr>
          <w:rFonts w:ascii="Times New Roman" w:hAnsi="Times New Roman"/>
          <w:sz w:val="24"/>
          <w:szCs w:val="24"/>
        </w:rPr>
        <w:t xml:space="preserve">since 2016 </w:t>
      </w:r>
      <w:r w:rsidRPr="002411F1">
        <w:rPr>
          <w:rFonts w:ascii="Times New Roman" w:hAnsi="Times New Roman"/>
          <w:sz w:val="24"/>
          <w:szCs w:val="24"/>
        </w:rPr>
        <w:t xml:space="preserve">include streamlined data entry, built-in checks and validations to ensure data quality, fewer data reporting forms, pre-populated </w:t>
      </w:r>
      <w:r w:rsidRPr="002411F1" w:rsidR="00787B7A">
        <w:rPr>
          <w:rFonts w:ascii="Times New Roman" w:hAnsi="Times New Roman"/>
          <w:sz w:val="24"/>
          <w:szCs w:val="24"/>
        </w:rPr>
        <w:t>N</w:t>
      </w:r>
      <w:r w:rsidRPr="002411F1">
        <w:rPr>
          <w:rFonts w:ascii="Times New Roman" w:hAnsi="Times New Roman"/>
          <w:sz w:val="24"/>
          <w:szCs w:val="24"/>
        </w:rPr>
        <w:t xml:space="preserve">ational outcome and performance measure data (as available from </w:t>
      </w:r>
      <w:r w:rsidRPr="002411F1" w:rsidR="0017147B">
        <w:rPr>
          <w:rFonts w:ascii="Times New Roman" w:hAnsi="Times New Roman"/>
          <w:sz w:val="24"/>
          <w:szCs w:val="24"/>
        </w:rPr>
        <w:t>n</w:t>
      </w:r>
      <w:r w:rsidRPr="002411F1">
        <w:rPr>
          <w:rFonts w:ascii="Times New Roman" w:hAnsi="Times New Roman"/>
          <w:sz w:val="24"/>
          <w:szCs w:val="24"/>
        </w:rPr>
        <w:t>ational data sources)</w:t>
      </w:r>
      <w:r w:rsidRPr="002411F1" w:rsidR="00231C48">
        <w:rPr>
          <w:rFonts w:ascii="Times New Roman" w:hAnsi="Times New Roman"/>
          <w:sz w:val="24"/>
          <w:szCs w:val="24"/>
        </w:rPr>
        <w:t xml:space="preserve">, </w:t>
      </w:r>
      <w:r w:rsidRPr="002411F1">
        <w:rPr>
          <w:rFonts w:ascii="Times New Roman" w:hAnsi="Times New Roman"/>
          <w:sz w:val="24"/>
          <w:szCs w:val="24"/>
        </w:rPr>
        <w:t>and intuitive Five-year State Action Plan Table.</w:t>
      </w:r>
    </w:p>
    <w:p w:rsidR="006C4B52" w:rsidRPr="002411F1" w:rsidP="006C4B52" w14:paraId="453E3640" w14:textId="77777777">
      <w:pPr>
        <w:autoSpaceDE w:val="0"/>
        <w:autoSpaceDN w:val="0"/>
        <w:adjustRightInd w:val="0"/>
        <w:spacing w:after="0" w:line="240" w:lineRule="auto"/>
        <w:ind w:left="720"/>
        <w:rPr>
          <w:rFonts w:ascii="Times New Roman" w:hAnsi="Times New Roman"/>
          <w:sz w:val="24"/>
          <w:szCs w:val="24"/>
        </w:rPr>
      </w:pPr>
    </w:p>
    <w:p w:rsidR="006C4B52" w:rsidRPr="002411F1" w:rsidP="006C4B52" w14:paraId="7EB4189A" w14:textId="4C2506C8">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t xml:space="preserve">TVIS Web Reports has been enhanced to feature </w:t>
      </w:r>
      <w:r w:rsidRPr="002411F1" w:rsidR="00787B7A">
        <w:rPr>
          <w:rFonts w:ascii="Times New Roman" w:hAnsi="Times New Roman"/>
          <w:sz w:val="24"/>
          <w:szCs w:val="24"/>
        </w:rPr>
        <w:t xml:space="preserve">a </w:t>
      </w:r>
      <w:r w:rsidRPr="002411F1">
        <w:rPr>
          <w:rFonts w:ascii="Times New Roman" w:hAnsi="Times New Roman"/>
          <w:sz w:val="24"/>
          <w:szCs w:val="24"/>
        </w:rPr>
        <w:t>data dashboard presentation of the new performance measure framework (</w:t>
      </w:r>
      <w:r w:rsidRPr="002411F1" w:rsidR="0017147B">
        <w:rPr>
          <w:rFonts w:ascii="Times New Roman" w:hAnsi="Times New Roman"/>
          <w:sz w:val="24"/>
          <w:szCs w:val="24"/>
        </w:rPr>
        <w:t>national and s</w:t>
      </w:r>
      <w:r w:rsidRPr="002411F1">
        <w:rPr>
          <w:rFonts w:ascii="Times New Roman" w:hAnsi="Times New Roman"/>
          <w:sz w:val="24"/>
          <w:szCs w:val="24"/>
        </w:rPr>
        <w:t>tate-level data), interactive charts and maps, data downloads (images and Excel), updated narrative search feature</w:t>
      </w:r>
      <w:r w:rsidR="006E2387">
        <w:rPr>
          <w:rFonts w:ascii="Times New Roman" w:hAnsi="Times New Roman"/>
          <w:sz w:val="24"/>
          <w:szCs w:val="24"/>
        </w:rPr>
        <w:t>, a N</w:t>
      </w:r>
      <w:r w:rsidRPr="002411F1" w:rsidR="000D502E">
        <w:rPr>
          <w:rFonts w:ascii="Times New Roman" w:hAnsi="Times New Roman"/>
          <w:sz w:val="24"/>
          <w:szCs w:val="24"/>
        </w:rPr>
        <w:t>ational Snapshot</w:t>
      </w:r>
      <w:r w:rsidRPr="002411F1">
        <w:rPr>
          <w:rFonts w:ascii="Times New Roman" w:hAnsi="Times New Roman"/>
          <w:sz w:val="24"/>
          <w:szCs w:val="24"/>
        </w:rPr>
        <w:t xml:space="preserve"> and </w:t>
      </w:r>
      <w:r w:rsidRPr="002411F1" w:rsidR="000D502E">
        <w:rPr>
          <w:rFonts w:ascii="Times New Roman" w:hAnsi="Times New Roman"/>
          <w:sz w:val="24"/>
          <w:szCs w:val="24"/>
        </w:rPr>
        <w:t xml:space="preserve">a </w:t>
      </w:r>
      <w:r w:rsidRPr="002411F1">
        <w:rPr>
          <w:rFonts w:ascii="Times New Roman" w:hAnsi="Times New Roman"/>
          <w:sz w:val="24"/>
          <w:szCs w:val="24"/>
        </w:rPr>
        <w:t>State Snapshot</w:t>
      </w:r>
      <w:r w:rsidRPr="002411F1" w:rsidR="000D502E">
        <w:rPr>
          <w:rFonts w:ascii="Times New Roman" w:hAnsi="Times New Roman"/>
          <w:sz w:val="24"/>
          <w:szCs w:val="24"/>
        </w:rPr>
        <w:t xml:space="preserve"> for each of the 59 states and jurisdictions, which is updated annually and </w:t>
      </w:r>
      <w:r w:rsidRPr="002411F1" w:rsidR="00787B7A">
        <w:rPr>
          <w:rFonts w:ascii="Times New Roman" w:hAnsi="Times New Roman"/>
          <w:sz w:val="24"/>
          <w:szCs w:val="24"/>
        </w:rPr>
        <w:t>p</w:t>
      </w:r>
      <w:r w:rsidRPr="002411F1">
        <w:rPr>
          <w:rFonts w:ascii="Times New Roman" w:hAnsi="Times New Roman"/>
          <w:sz w:val="24"/>
          <w:szCs w:val="24"/>
        </w:rPr>
        <w:t>ulls data from various data reporting forms.</w:t>
      </w:r>
      <w:r w:rsidR="00535A04">
        <w:rPr>
          <w:rFonts w:ascii="Times New Roman" w:hAnsi="Times New Roman"/>
          <w:sz w:val="24"/>
          <w:szCs w:val="24"/>
        </w:rPr>
        <w:t xml:space="preserve"> </w:t>
      </w:r>
      <w:r w:rsidRPr="002411F1">
        <w:rPr>
          <w:rFonts w:ascii="Times New Roman" w:hAnsi="Times New Roman"/>
          <w:sz w:val="24"/>
          <w:szCs w:val="24"/>
        </w:rPr>
        <w:t>The</w:t>
      </w:r>
      <w:r w:rsidRPr="002411F1" w:rsidR="00A0032F">
        <w:rPr>
          <w:rFonts w:ascii="Times New Roman" w:hAnsi="Times New Roman"/>
          <w:sz w:val="24"/>
          <w:szCs w:val="24"/>
        </w:rPr>
        <w:t xml:space="preserve"> data reported annually by the s</w:t>
      </w:r>
      <w:r w:rsidRPr="002411F1">
        <w:rPr>
          <w:rFonts w:ascii="Times New Roman" w:hAnsi="Times New Roman"/>
          <w:sz w:val="24"/>
          <w:szCs w:val="24"/>
        </w:rPr>
        <w:t>tates are available to the public on the enhanced TVIS Web Reports at:</w:t>
      </w:r>
      <w:r w:rsidR="00535A04">
        <w:rPr>
          <w:rFonts w:ascii="Times New Roman" w:hAnsi="Times New Roman"/>
          <w:sz w:val="24"/>
          <w:szCs w:val="24"/>
        </w:rPr>
        <w:t xml:space="preserve"> </w:t>
      </w:r>
      <w:hyperlink r:id="rId13" w:history="1">
        <w:r w:rsidRPr="002411F1">
          <w:rPr>
            <w:rFonts w:ascii="Times New Roman" w:hAnsi="Times New Roman"/>
            <w:color w:val="0000FF"/>
            <w:sz w:val="24"/>
            <w:szCs w:val="24"/>
            <w:u w:val="single"/>
          </w:rPr>
          <w:t>https://mchb.tvisdata.hrsa.gov</w:t>
        </w:r>
      </w:hyperlink>
      <w:r w:rsidRPr="002411F1">
        <w:rPr>
          <w:rFonts w:ascii="Times New Roman" w:hAnsi="Times New Roman"/>
          <w:sz w:val="24"/>
          <w:szCs w:val="24"/>
        </w:rPr>
        <w:t>.</w:t>
      </w:r>
    </w:p>
    <w:p w:rsidR="006C4B52" w:rsidRPr="002411F1" w:rsidP="006C4B52" w14:paraId="5E20C69A" w14:textId="77777777">
      <w:pPr>
        <w:autoSpaceDE w:val="0"/>
        <w:autoSpaceDN w:val="0"/>
        <w:adjustRightInd w:val="0"/>
        <w:spacing w:after="0" w:line="240" w:lineRule="auto"/>
        <w:ind w:left="720"/>
        <w:rPr>
          <w:rFonts w:ascii="Times New Roman" w:hAnsi="Times New Roman"/>
          <w:sz w:val="24"/>
          <w:szCs w:val="24"/>
        </w:rPr>
      </w:pPr>
    </w:p>
    <w:p w:rsidR="006C4B52" w:rsidP="006C4B52" w14:paraId="2A6FE920" w14:textId="6E458F34">
      <w:pPr>
        <w:autoSpaceDE w:val="0"/>
        <w:autoSpaceDN w:val="0"/>
        <w:adjustRightInd w:val="0"/>
        <w:spacing w:after="0" w:line="240" w:lineRule="auto"/>
        <w:ind w:left="720"/>
        <w:rPr>
          <w:rFonts w:ascii="Times New Roman" w:hAnsi="Times New Roman"/>
          <w:iCs/>
          <w:sz w:val="24"/>
          <w:szCs w:val="24"/>
        </w:rPr>
      </w:pPr>
      <w:r w:rsidRPr="002411F1">
        <w:rPr>
          <w:rFonts w:ascii="Times New Roman" w:hAnsi="Times New Roman"/>
          <w:iCs/>
          <w:sz w:val="24"/>
          <w:szCs w:val="24"/>
        </w:rPr>
        <w:t xml:space="preserve">In addition to the proposed changes in the </w:t>
      </w:r>
      <w:r w:rsidRPr="002411F1" w:rsidR="00787B7A">
        <w:rPr>
          <w:rFonts w:ascii="Times New Roman" w:hAnsi="Times New Roman"/>
          <w:iCs/>
          <w:sz w:val="24"/>
          <w:szCs w:val="24"/>
        </w:rPr>
        <w:t xml:space="preserve">updated Application/Annual Report </w:t>
      </w:r>
      <w:r w:rsidRPr="002411F1">
        <w:rPr>
          <w:rFonts w:ascii="Times New Roman" w:hAnsi="Times New Roman"/>
          <w:iCs/>
          <w:sz w:val="24"/>
          <w:szCs w:val="24"/>
        </w:rPr>
        <w:t xml:space="preserve">Guidance, </w:t>
      </w:r>
      <w:r w:rsidRPr="002411F1" w:rsidR="00787B7A">
        <w:rPr>
          <w:rFonts w:ascii="Times New Roman" w:hAnsi="Times New Roman"/>
          <w:iCs/>
          <w:sz w:val="24"/>
          <w:szCs w:val="24"/>
        </w:rPr>
        <w:t xml:space="preserve">the </w:t>
      </w:r>
      <w:r w:rsidRPr="002411F1">
        <w:rPr>
          <w:rFonts w:ascii="Times New Roman" w:hAnsi="Times New Roman"/>
          <w:iCs/>
          <w:sz w:val="24"/>
          <w:szCs w:val="24"/>
        </w:rPr>
        <w:t xml:space="preserve">MCHB continues to add increased functionality and other enhancements to the TVIS that serve to assist </w:t>
      </w:r>
      <w:r w:rsidRPr="002411F1" w:rsidR="00A0032F">
        <w:rPr>
          <w:rFonts w:ascii="Times New Roman" w:hAnsi="Times New Roman"/>
          <w:iCs/>
          <w:sz w:val="24"/>
          <w:szCs w:val="24"/>
        </w:rPr>
        <w:t>s</w:t>
      </w:r>
      <w:r w:rsidRPr="002411F1">
        <w:rPr>
          <w:rFonts w:ascii="Times New Roman" w:hAnsi="Times New Roman"/>
          <w:iCs/>
          <w:sz w:val="24"/>
          <w:szCs w:val="24"/>
        </w:rPr>
        <w:t>tates in completing and submitting their online Applications/Annual Reports.</w:t>
      </w:r>
      <w:r w:rsidR="00535A04">
        <w:rPr>
          <w:rFonts w:ascii="Times New Roman" w:hAnsi="Times New Roman"/>
          <w:iCs/>
          <w:sz w:val="24"/>
          <w:szCs w:val="24"/>
        </w:rPr>
        <w:t xml:space="preserve"> </w:t>
      </w:r>
      <w:r w:rsidRPr="002411F1" w:rsidR="00231C48">
        <w:rPr>
          <w:rFonts w:ascii="Times New Roman" w:hAnsi="Times New Roman"/>
          <w:iCs/>
          <w:sz w:val="24"/>
          <w:szCs w:val="24"/>
        </w:rPr>
        <w:t>In response to requests from numerous states, a Word upload feature was added in 2018.</w:t>
      </w:r>
      <w:r w:rsidR="00535A04">
        <w:rPr>
          <w:rFonts w:ascii="Times New Roman" w:hAnsi="Times New Roman"/>
          <w:iCs/>
          <w:sz w:val="24"/>
          <w:szCs w:val="24"/>
        </w:rPr>
        <w:t xml:space="preserve"> </w:t>
      </w:r>
      <w:r w:rsidRPr="002411F1">
        <w:rPr>
          <w:rFonts w:ascii="Times New Roman" w:hAnsi="Times New Roman"/>
          <w:iCs/>
          <w:sz w:val="24"/>
          <w:szCs w:val="24"/>
        </w:rPr>
        <w:t xml:space="preserve">This functionality </w:t>
      </w:r>
      <w:r w:rsidRPr="002411F1" w:rsidR="00231C48">
        <w:rPr>
          <w:rFonts w:ascii="Times New Roman" w:hAnsi="Times New Roman"/>
          <w:iCs/>
          <w:sz w:val="24"/>
          <w:szCs w:val="24"/>
        </w:rPr>
        <w:t xml:space="preserve">has been well received by state users and has contributed to burden reduction in </w:t>
      </w:r>
      <w:r w:rsidRPr="002411F1">
        <w:rPr>
          <w:rFonts w:ascii="Times New Roman" w:hAnsi="Times New Roman"/>
          <w:iCs/>
          <w:sz w:val="24"/>
          <w:szCs w:val="24"/>
        </w:rPr>
        <w:t xml:space="preserve">submitting </w:t>
      </w:r>
      <w:r w:rsidRPr="002411F1" w:rsidR="009B359A">
        <w:rPr>
          <w:rFonts w:ascii="Times New Roman" w:hAnsi="Times New Roman"/>
          <w:iCs/>
          <w:sz w:val="24"/>
          <w:szCs w:val="24"/>
        </w:rPr>
        <w:t xml:space="preserve">a </w:t>
      </w:r>
      <w:r w:rsidRPr="002411F1" w:rsidR="00787B7A">
        <w:rPr>
          <w:rFonts w:ascii="Times New Roman" w:hAnsi="Times New Roman"/>
          <w:iCs/>
          <w:sz w:val="24"/>
          <w:szCs w:val="24"/>
        </w:rPr>
        <w:t xml:space="preserve">MCH Block Grant </w:t>
      </w:r>
      <w:r w:rsidRPr="002411F1">
        <w:rPr>
          <w:rFonts w:ascii="Times New Roman" w:hAnsi="Times New Roman"/>
          <w:iCs/>
          <w:sz w:val="24"/>
          <w:szCs w:val="24"/>
        </w:rPr>
        <w:t>Application/Annual Report in the TVIS.</w:t>
      </w:r>
    </w:p>
    <w:p w:rsidR="00283592" w:rsidP="006C4B52" w14:paraId="224F28AC" w14:textId="77777777">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iCs/>
          <w:sz w:val="24"/>
          <w:szCs w:val="24"/>
        </w:rPr>
        <w:t xml:space="preserve"> </w:t>
      </w:r>
    </w:p>
    <w:p w:rsidR="00CB509A" w:rsidRPr="00B40332" w:rsidP="007D63D2" w14:paraId="51D8233A" w14:textId="233926C9">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t xml:space="preserve">4. </w:t>
      </w:r>
      <w:r w:rsidRPr="00B40332" w:rsidR="007D63D2">
        <w:rPr>
          <w:rFonts w:ascii="Times New Roman" w:hAnsi="Times New Roman"/>
          <w:b/>
          <w:bCs/>
          <w:sz w:val="24"/>
          <w:szCs w:val="24"/>
        </w:rPr>
        <w:tab/>
      </w:r>
      <w:r w:rsidR="00DB73EE">
        <w:rPr>
          <w:rFonts w:ascii="Times New Roman" w:hAnsi="Times New Roman"/>
          <w:b/>
          <w:bCs/>
          <w:sz w:val="24"/>
          <w:szCs w:val="24"/>
        </w:rPr>
        <w:t xml:space="preserve">Effort to Identify Duplication and Use of Similar Information </w:t>
      </w:r>
    </w:p>
    <w:p w:rsidR="00CF2B7E" w:rsidRPr="00E371A6" w:rsidP="00CB509A" w14:paraId="6BCC529E" w14:textId="77777777">
      <w:pPr>
        <w:autoSpaceDE w:val="0"/>
        <w:autoSpaceDN w:val="0"/>
        <w:adjustRightInd w:val="0"/>
        <w:spacing w:after="0" w:line="240" w:lineRule="auto"/>
        <w:rPr>
          <w:rFonts w:ascii="Times New Roman" w:hAnsi="Times New Roman"/>
          <w:b/>
          <w:bCs/>
          <w:color w:val="31849B"/>
          <w:sz w:val="24"/>
          <w:szCs w:val="24"/>
        </w:rPr>
      </w:pPr>
    </w:p>
    <w:p w:rsidR="00EF0366" w:rsidP="007D63D2" w14:paraId="188A5C7B" w14:textId="097066A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 establishing s</w:t>
      </w:r>
      <w:r w:rsidRPr="00E66312" w:rsidR="00DA3547">
        <w:rPr>
          <w:rFonts w:ascii="Times New Roman" w:hAnsi="Times New Roman"/>
          <w:sz w:val="24"/>
          <w:szCs w:val="24"/>
        </w:rPr>
        <w:t xml:space="preserve">tate reporting requirements, </w:t>
      </w:r>
      <w:r w:rsidR="004907A9">
        <w:rPr>
          <w:rFonts w:ascii="Times New Roman" w:hAnsi="Times New Roman"/>
          <w:sz w:val="24"/>
          <w:szCs w:val="24"/>
        </w:rPr>
        <w:t xml:space="preserve">the </w:t>
      </w:r>
      <w:r w:rsidRPr="00E66312" w:rsidR="00496C57">
        <w:rPr>
          <w:rFonts w:ascii="Times New Roman" w:hAnsi="Times New Roman"/>
          <w:sz w:val="24"/>
          <w:szCs w:val="24"/>
        </w:rPr>
        <w:t>MCHB</w:t>
      </w:r>
      <w:r w:rsidR="0017147B">
        <w:rPr>
          <w:rFonts w:ascii="Times New Roman" w:hAnsi="Times New Roman"/>
          <w:sz w:val="24"/>
          <w:szCs w:val="24"/>
        </w:rPr>
        <w:t xml:space="preserve"> considers the availability of n</w:t>
      </w:r>
      <w:r w:rsidRPr="00E66312" w:rsidR="00496C57">
        <w:rPr>
          <w:rFonts w:ascii="Times New Roman" w:hAnsi="Times New Roman"/>
          <w:sz w:val="24"/>
          <w:szCs w:val="24"/>
        </w:rPr>
        <w:t xml:space="preserve">ational data from other </w:t>
      </w:r>
      <w:r w:rsidR="00AB6844">
        <w:rPr>
          <w:rFonts w:ascii="Times New Roman" w:hAnsi="Times New Roman"/>
          <w:sz w:val="24"/>
          <w:szCs w:val="24"/>
        </w:rPr>
        <w:t>f</w:t>
      </w:r>
      <w:r w:rsidRPr="00E66312" w:rsidR="00496C57">
        <w:rPr>
          <w:rFonts w:ascii="Times New Roman" w:hAnsi="Times New Roman"/>
          <w:sz w:val="24"/>
          <w:szCs w:val="24"/>
        </w:rPr>
        <w:t>ederal agencies</w:t>
      </w:r>
      <w:r w:rsidRPr="00E66312" w:rsidR="00E66312">
        <w:rPr>
          <w:rFonts w:ascii="Times New Roman" w:hAnsi="Times New Roman"/>
          <w:sz w:val="24"/>
          <w:szCs w:val="24"/>
        </w:rPr>
        <w:t>.</w:t>
      </w:r>
      <w:r w:rsidR="00535A04">
        <w:rPr>
          <w:rFonts w:ascii="Times New Roman" w:hAnsi="Times New Roman"/>
          <w:sz w:val="24"/>
          <w:szCs w:val="24"/>
        </w:rPr>
        <w:t xml:space="preserve"> </w:t>
      </w:r>
      <w:r w:rsidRPr="00E66312" w:rsidR="00E66312">
        <w:rPr>
          <w:rFonts w:ascii="Times New Roman" w:hAnsi="Times New Roman"/>
          <w:sz w:val="24"/>
          <w:szCs w:val="24"/>
        </w:rPr>
        <w:t>As required by Section 509(a)(5) of the Act, e</w:t>
      </w:r>
      <w:r w:rsidRPr="00E66312" w:rsidR="00496C57">
        <w:rPr>
          <w:rFonts w:ascii="Times New Roman" w:hAnsi="Times New Roman"/>
          <w:sz w:val="24"/>
          <w:szCs w:val="24"/>
        </w:rPr>
        <w:t>very effort</w:t>
      </w:r>
      <w:r w:rsidRPr="00E66312" w:rsidR="00E66312">
        <w:rPr>
          <w:rFonts w:ascii="Times New Roman" w:hAnsi="Times New Roman"/>
          <w:sz w:val="24"/>
          <w:szCs w:val="24"/>
        </w:rPr>
        <w:t xml:space="preserve"> is made </w:t>
      </w:r>
      <w:r w:rsidRPr="00E66312" w:rsidR="00496C57">
        <w:rPr>
          <w:rFonts w:ascii="Times New Roman" w:hAnsi="Times New Roman"/>
          <w:sz w:val="24"/>
          <w:szCs w:val="24"/>
        </w:rPr>
        <w:t>to not duplicate data collection efforts.</w:t>
      </w:r>
      <w:r w:rsidR="00535A04">
        <w:rPr>
          <w:rFonts w:ascii="Times New Roman" w:hAnsi="Times New Roman"/>
          <w:sz w:val="24"/>
          <w:szCs w:val="24"/>
        </w:rPr>
        <w:t xml:space="preserve"> </w:t>
      </w:r>
      <w:r w:rsidRPr="00E66312">
        <w:rPr>
          <w:rFonts w:ascii="Times New Roman" w:hAnsi="Times New Roman"/>
          <w:sz w:val="24"/>
          <w:szCs w:val="24"/>
        </w:rPr>
        <w:t>C</w:t>
      </w:r>
      <w:r w:rsidRPr="00E66312" w:rsidR="00E66312">
        <w:rPr>
          <w:rFonts w:ascii="Times New Roman" w:hAnsi="Times New Roman"/>
          <w:sz w:val="24"/>
          <w:szCs w:val="24"/>
        </w:rPr>
        <w:t xml:space="preserve">onsiderations for </w:t>
      </w:r>
      <w:r w:rsidRPr="00E66312">
        <w:rPr>
          <w:rFonts w:ascii="Times New Roman" w:hAnsi="Times New Roman"/>
          <w:sz w:val="24"/>
          <w:szCs w:val="24"/>
        </w:rPr>
        <w:t xml:space="preserve">determining </w:t>
      </w:r>
      <w:r w:rsidR="00E66312">
        <w:rPr>
          <w:rFonts w:ascii="Times New Roman" w:hAnsi="Times New Roman"/>
          <w:sz w:val="24"/>
          <w:szCs w:val="24"/>
        </w:rPr>
        <w:t xml:space="preserve">the </w:t>
      </w:r>
      <w:r w:rsidRPr="00E66312" w:rsidR="00496C57">
        <w:rPr>
          <w:rFonts w:ascii="Times New Roman" w:hAnsi="Times New Roman"/>
          <w:sz w:val="24"/>
          <w:szCs w:val="24"/>
        </w:rPr>
        <w:t xml:space="preserve">required </w:t>
      </w:r>
      <w:r w:rsidRPr="00E66312" w:rsidR="00CB509A">
        <w:rPr>
          <w:rFonts w:ascii="Times New Roman" w:hAnsi="Times New Roman"/>
          <w:sz w:val="24"/>
          <w:szCs w:val="24"/>
        </w:rPr>
        <w:t xml:space="preserve">data </w:t>
      </w:r>
      <w:r w:rsidRPr="00E66312" w:rsidR="00496C57">
        <w:rPr>
          <w:rFonts w:ascii="Times New Roman" w:hAnsi="Times New Roman"/>
          <w:sz w:val="24"/>
          <w:szCs w:val="24"/>
        </w:rPr>
        <w:t>reporting elements</w:t>
      </w:r>
      <w:r w:rsidRPr="00E66312">
        <w:rPr>
          <w:rFonts w:ascii="Times New Roman" w:hAnsi="Times New Roman"/>
          <w:sz w:val="24"/>
          <w:szCs w:val="24"/>
        </w:rPr>
        <w:t>, as</w:t>
      </w:r>
      <w:r w:rsidRPr="00E66312" w:rsidR="00496C57">
        <w:rPr>
          <w:rFonts w:ascii="Times New Roman" w:hAnsi="Times New Roman"/>
          <w:sz w:val="24"/>
          <w:szCs w:val="24"/>
        </w:rPr>
        <w:t xml:space="preserve"> specified in th</w:t>
      </w:r>
      <w:r w:rsidRPr="00E66312">
        <w:rPr>
          <w:rFonts w:ascii="Times New Roman" w:hAnsi="Times New Roman"/>
          <w:sz w:val="24"/>
          <w:szCs w:val="24"/>
        </w:rPr>
        <w:t xml:space="preserve">e </w:t>
      </w:r>
      <w:r w:rsidRPr="00E66312" w:rsidR="00496C57">
        <w:rPr>
          <w:rFonts w:ascii="Times New Roman" w:hAnsi="Times New Roman"/>
          <w:sz w:val="24"/>
          <w:szCs w:val="24"/>
        </w:rPr>
        <w:t>MCH Block Grant Application</w:t>
      </w:r>
      <w:r w:rsidR="0032181B">
        <w:rPr>
          <w:rFonts w:ascii="Times New Roman" w:hAnsi="Times New Roman"/>
          <w:sz w:val="24"/>
          <w:szCs w:val="24"/>
        </w:rPr>
        <w:t>/</w:t>
      </w:r>
      <w:r w:rsidRPr="00E66312" w:rsidR="00496C57">
        <w:rPr>
          <w:rFonts w:ascii="Times New Roman" w:hAnsi="Times New Roman"/>
          <w:sz w:val="24"/>
          <w:szCs w:val="24"/>
        </w:rPr>
        <w:t>Annual Report Guidance</w:t>
      </w:r>
      <w:r w:rsidRPr="00E66312">
        <w:rPr>
          <w:rFonts w:ascii="Times New Roman" w:hAnsi="Times New Roman"/>
          <w:sz w:val="24"/>
          <w:szCs w:val="24"/>
        </w:rPr>
        <w:t>,</w:t>
      </w:r>
      <w:r w:rsidRPr="00E66312" w:rsidR="00496C57">
        <w:rPr>
          <w:rFonts w:ascii="Times New Roman" w:hAnsi="Times New Roman"/>
          <w:sz w:val="24"/>
          <w:szCs w:val="24"/>
        </w:rPr>
        <w:t xml:space="preserve"> </w:t>
      </w:r>
      <w:r w:rsidRPr="00E66312">
        <w:rPr>
          <w:rFonts w:ascii="Times New Roman" w:hAnsi="Times New Roman"/>
          <w:sz w:val="24"/>
          <w:szCs w:val="24"/>
        </w:rPr>
        <w:t>include</w:t>
      </w:r>
      <w:r w:rsidRPr="00E66312" w:rsidR="00E66312">
        <w:rPr>
          <w:rFonts w:ascii="Times New Roman" w:hAnsi="Times New Roman"/>
          <w:sz w:val="24"/>
          <w:szCs w:val="24"/>
        </w:rPr>
        <w:t>:</w:t>
      </w:r>
    </w:p>
    <w:p w:rsidR="00EF0366" w:rsidRPr="00E66312" w:rsidP="00C50D5F" w14:paraId="0F0A8F83" w14:textId="381F8B68">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u</w:t>
      </w:r>
      <w:r w:rsidRPr="00E66312" w:rsidR="00CB509A">
        <w:rPr>
          <w:rFonts w:ascii="Times New Roman" w:hAnsi="Times New Roman"/>
          <w:sz w:val="24"/>
          <w:szCs w:val="24"/>
        </w:rPr>
        <w:t>nique</w:t>
      </w:r>
      <w:r w:rsidRPr="00E66312" w:rsidR="005F0A94">
        <w:rPr>
          <w:rFonts w:ascii="Times New Roman" w:hAnsi="Times New Roman"/>
          <w:sz w:val="24"/>
          <w:szCs w:val="24"/>
        </w:rPr>
        <w:t xml:space="preserve"> </w:t>
      </w:r>
      <w:r w:rsidRPr="00E66312" w:rsidR="00CB509A">
        <w:rPr>
          <w:rFonts w:ascii="Times New Roman" w:hAnsi="Times New Roman"/>
          <w:sz w:val="24"/>
          <w:szCs w:val="24"/>
        </w:rPr>
        <w:t>to the Title V program</w:t>
      </w:r>
      <w:r w:rsidRPr="00E66312" w:rsidR="00496C57">
        <w:rPr>
          <w:rFonts w:ascii="Times New Roman" w:hAnsi="Times New Roman"/>
          <w:sz w:val="24"/>
          <w:szCs w:val="24"/>
        </w:rPr>
        <w:t xml:space="preserve"> </w:t>
      </w:r>
      <w:r w:rsidRPr="00E66312" w:rsidR="00CB509A">
        <w:rPr>
          <w:rFonts w:ascii="Times New Roman" w:hAnsi="Times New Roman"/>
          <w:sz w:val="24"/>
          <w:szCs w:val="24"/>
        </w:rPr>
        <w:t xml:space="preserve">at </w:t>
      </w:r>
      <w:r w:rsidRPr="00E66312" w:rsidR="00496C57">
        <w:rPr>
          <w:rFonts w:ascii="Times New Roman" w:hAnsi="Times New Roman"/>
          <w:sz w:val="24"/>
          <w:szCs w:val="24"/>
        </w:rPr>
        <w:t xml:space="preserve">both </w:t>
      </w:r>
      <w:r w:rsidRPr="00E66312" w:rsidR="00CB509A">
        <w:rPr>
          <w:rFonts w:ascii="Times New Roman" w:hAnsi="Times New Roman"/>
          <w:sz w:val="24"/>
          <w:szCs w:val="24"/>
        </w:rPr>
        <w:t xml:space="preserve">the </w:t>
      </w:r>
      <w:r w:rsidR="0017147B">
        <w:rPr>
          <w:rFonts w:ascii="Times New Roman" w:hAnsi="Times New Roman"/>
          <w:sz w:val="24"/>
          <w:szCs w:val="24"/>
        </w:rPr>
        <w:t>s</w:t>
      </w:r>
      <w:r w:rsidRPr="00E66312" w:rsidR="00CB509A">
        <w:rPr>
          <w:rFonts w:ascii="Times New Roman" w:hAnsi="Times New Roman"/>
          <w:sz w:val="24"/>
          <w:szCs w:val="24"/>
        </w:rPr>
        <w:t xml:space="preserve">tate and </w:t>
      </w:r>
      <w:r w:rsidR="0017147B">
        <w:rPr>
          <w:rFonts w:ascii="Times New Roman" w:hAnsi="Times New Roman"/>
          <w:sz w:val="24"/>
          <w:szCs w:val="24"/>
        </w:rPr>
        <w:t>n</w:t>
      </w:r>
      <w:r w:rsidRPr="00E66312" w:rsidR="00CB509A">
        <w:rPr>
          <w:rFonts w:ascii="Times New Roman" w:hAnsi="Times New Roman"/>
          <w:sz w:val="24"/>
          <w:szCs w:val="24"/>
        </w:rPr>
        <w:t>ational level</w:t>
      </w:r>
      <w:r w:rsidRPr="00E66312">
        <w:rPr>
          <w:rFonts w:ascii="Times New Roman" w:hAnsi="Times New Roman"/>
          <w:sz w:val="24"/>
          <w:szCs w:val="24"/>
        </w:rPr>
        <w:t>s;</w:t>
      </w:r>
      <w:r w:rsidR="00535A04">
        <w:rPr>
          <w:rFonts w:ascii="Times New Roman" w:hAnsi="Times New Roman"/>
          <w:sz w:val="24"/>
          <w:szCs w:val="24"/>
        </w:rPr>
        <w:t xml:space="preserve"> </w:t>
      </w:r>
    </w:p>
    <w:p w:rsidR="00E66312" w:rsidP="00C50D5F" w14:paraId="23304A3E"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r</w:t>
      </w:r>
      <w:r w:rsidRPr="00E66312" w:rsidR="00CB509A">
        <w:rPr>
          <w:rFonts w:ascii="Times New Roman" w:hAnsi="Times New Roman"/>
          <w:sz w:val="24"/>
          <w:szCs w:val="24"/>
        </w:rPr>
        <w:t>equired by statute</w:t>
      </w:r>
      <w:r w:rsidRPr="00E66312" w:rsidR="00EF0366">
        <w:rPr>
          <w:rFonts w:ascii="Times New Roman" w:hAnsi="Times New Roman"/>
          <w:sz w:val="24"/>
          <w:szCs w:val="24"/>
        </w:rPr>
        <w:t xml:space="preserve">; </w:t>
      </w:r>
    </w:p>
    <w:p w:rsidR="00DA3547" w:rsidRPr="00E66312" w:rsidP="00C50D5F" w14:paraId="0E9CE21A"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needed to a</w:t>
      </w:r>
      <w:r w:rsidRPr="00E66312" w:rsidR="00EF0366">
        <w:rPr>
          <w:rFonts w:ascii="Times New Roman" w:hAnsi="Times New Roman"/>
          <w:sz w:val="24"/>
          <w:szCs w:val="24"/>
        </w:rPr>
        <w:t xml:space="preserve">ddress </w:t>
      </w:r>
      <w:r w:rsidRPr="00E66312" w:rsidR="00CB509A">
        <w:rPr>
          <w:rFonts w:ascii="Times New Roman" w:hAnsi="Times New Roman"/>
          <w:sz w:val="24"/>
          <w:szCs w:val="24"/>
        </w:rPr>
        <w:t>Department</w:t>
      </w:r>
      <w:r w:rsidR="00FA5B60">
        <w:rPr>
          <w:rFonts w:ascii="Times New Roman" w:hAnsi="Times New Roman"/>
          <w:sz w:val="24"/>
          <w:szCs w:val="24"/>
        </w:rPr>
        <w:t>al n</w:t>
      </w:r>
      <w:r w:rsidRPr="00E66312" w:rsidR="00EF0366">
        <w:rPr>
          <w:rFonts w:ascii="Times New Roman" w:hAnsi="Times New Roman"/>
          <w:sz w:val="24"/>
          <w:szCs w:val="24"/>
        </w:rPr>
        <w:t>eeds</w:t>
      </w:r>
      <w:r w:rsidR="00E66312">
        <w:rPr>
          <w:rFonts w:ascii="Times New Roman" w:hAnsi="Times New Roman"/>
          <w:sz w:val="24"/>
          <w:szCs w:val="24"/>
        </w:rPr>
        <w:t xml:space="preserve">; </w:t>
      </w:r>
      <w:r w:rsidR="0032181B">
        <w:rPr>
          <w:rFonts w:ascii="Times New Roman" w:hAnsi="Times New Roman"/>
          <w:sz w:val="24"/>
          <w:szCs w:val="24"/>
        </w:rPr>
        <w:t>and/</w:t>
      </w:r>
      <w:r w:rsidR="00E66312">
        <w:rPr>
          <w:rFonts w:ascii="Times New Roman" w:hAnsi="Times New Roman"/>
          <w:sz w:val="24"/>
          <w:szCs w:val="24"/>
        </w:rPr>
        <w:t xml:space="preserve">or </w:t>
      </w:r>
    </w:p>
    <w:p w:rsidR="00E66312" w:rsidP="00C50D5F" w14:paraId="339AAE0D"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n</w:t>
      </w:r>
      <w:r w:rsidRPr="00E66312" w:rsidR="00CB509A">
        <w:rPr>
          <w:rFonts w:ascii="Times New Roman" w:hAnsi="Times New Roman"/>
          <w:sz w:val="24"/>
          <w:szCs w:val="24"/>
        </w:rPr>
        <w:t xml:space="preserve">ot available </w:t>
      </w:r>
      <w:r>
        <w:rPr>
          <w:rFonts w:ascii="Times New Roman" w:hAnsi="Times New Roman"/>
          <w:sz w:val="24"/>
          <w:szCs w:val="24"/>
        </w:rPr>
        <w:t>f</w:t>
      </w:r>
      <w:r w:rsidR="002972DC">
        <w:rPr>
          <w:rFonts w:ascii="Times New Roman" w:hAnsi="Times New Roman"/>
          <w:sz w:val="24"/>
          <w:szCs w:val="24"/>
        </w:rPr>
        <w:t xml:space="preserve">rom </w:t>
      </w:r>
      <w:r>
        <w:rPr>
          <w:rFonts w:ascii="Times New Roman" w:hAnsi="Times New Roman"/>
          <w:sz w:val="24"/>
          <w:szCs w:val="24"/>
        </w:rPr>
        <w:t>other sour</w:t>
      </w:r>
      <w:r w:rsidR="002972DC">
        <w:rPr>
          <w:rFonts w:ascii="Times New Roman" w:hAnsi="Times New Roman"/>
          <w:sz w:val="24"/>
          <w:szCs w:val="24"/>
        </w:rPr>
        <w:t>c</w:t>
      </w:r>
      <w:r>
        <w:rPr>
          <w:rFonts w:ascii="Times New Roman" w:hAnsi="Times New Roman"/>
          <w:sz w:val="24"/>
          <w:szCs w:val="24"/>
        </w:rPr>
        <w:t>es.</w:t>
      </w:r>
      <w:r w:rsidRPr="00E66312" w:rsidR="00CB509A">
        <w:rPr>
          <w:rFonts w:ascii="Times New Roman" w:hAnsi="Times New Roman"/>
          <w:sz w:val="24"/>
          <w:szCs w:val="24"/>
        </w:rPr>
        <w:t xml:space="preserve"> </w:t>
      </w:r>
    </w:p>
    <w:p w:rsidR="00E66312" w:rsidP="00871656" w14:paraId="501401D0" w14:textId="77777777">
      <w:pPr>
        <w:autoSpaceDE w:val="0"/>
        <w:autoSpaceDN w:val="0"/>
        <w:adjustRightInd w:val="0"/>
        <w:spacing w:after="0" w:line="240" w:lineRule="auto"/>
        <w:rPr>
          <w:rFonts w:ascii="Times New Roman" w:hAnsi="Times New Roman"/>
          <w:sz w:val="24"/>
          <w:szCs w:val="24"/>
        </w:rPr>
      </w:pPr>
    </w:p>
    <w:p w:rsidR="00CB509A" w:rsidRPr="00E66312" w:rsidP="00871656" w14:paraId="2A966147" w14:textId="2D33F417">
      <w:pPr>
        <w:autoSpaceDE w:val="0"/>
        <w:autoSpaceDN w:val="0"/>
        <w:adjustRightInd w:val="0"/>
        <w:spacing w:after="0" w:line="240" w:lineRule="auto"/>
        <w:ind w:left="720"/>
        <w:rPr>
          <w:rFonts w:ascii="Times New Roman" w:hAnsi="Times New Roman"/>
          <w:sz w:val="24"/>
          <w:szCs w:val="24"/>
        </w:rPr>
      </w:pPr>
      <w:r w:rsidRPr="00E66312">
        <w:rPr>
          <w:rFonts w:ascii="Times New Roman" w:hAnsi="Times New Roman"/>
          <w:sz w:val="24"/>
          <w:szCs w:val="24"/>
        </w:rPr>
        <w:t xml:space="preserve">The data requirements </w:t>
      </w:r>
      <w:r w:rsidR="00871656">
        <w:rPr>
          <w:rFonts w:ascii="Times New Roman" w:hAnsi="Times New Roman"/>
          <w:sz w:val="24"/>
          <w:szCs w:val="24"/>
        </w:rPr>
        <w:t xml:space="preserve">specified in </w:t>
      </w:r>
      <w:r w:rsidRPr="00E66312">
        <w:rPr>
          <w:rFonts w:ascii="Times New Roman" w:hAnsi="Times New Roman"/>
          <w:sz w:val="24"/>
          <w:szCs w:val="24"/>
        </w:rPr>
        <w:t>Sections 505 and 506 have</w:t>
      </w:r>
      <w:r w:rsidRPr="00E66312" w:rsidR="00E77092">
        <w:rPr>
          <w:rFonts w:ascii="Times New Roman" w:hAnsi="Times New Roman"/>
          <w:sz w:val="24"/>
          <w:szCs w:val="24"/>
        </w:rPr>
        <w:t xml:space="preserve"> </w:t>
      </w:r>
      <w:r w:rsidRPr="00E66312">
        <w:rPr>
          <w:rFonts w:ascii="Times New Roman" w:hAnsi="Times New Roman"/>
          <w:sz w:val="24"/>
          <w:szCs w:val="24"/>
        </w:rPr>
        <w:t>b</w:t>
      </w:r>
      <w:r w:rsidR="00FA5B60">
        <w:rPr>
          <w:rFonts w:ascii="Times New Roman" w:hAnsi="Times New Roman"/>
          <w:sz w:val="24"/>
          <w:szCs w:val="24"/>
        </w:rPr>
        <w:t>een discussed extensively with s</w:t>
      </w:r>
      <w:r w:rsidRPr="00E66312">
        <w:rPr>
          <w:rFonts w:ascii="Times New Roman" w:hAnsi="Times New Roman"/>
          <w:sz w:val="24"/>
          <w:szCs w:val="24"/>
        </w:rPr>
        <w:t>tates in public meetings</w:t>
      </w:r>
      <w:r w:rsidR="002972DC">
        <w:rPr>
          <w:rFonts w:ascii="Times New Roman" w:hAnsi="Times New Roman"/>
          <w:sz w:val="24"/>
          <w:szCs w:val="24"/>
        </w:rPr>
        <w:t>.</w:t>
      </w:r>
      <w:r w:rsidR="00535A04">
        <w:rPr>
          <w:rFonts w:ascii="Times New Roman" w:hAnsi="Times New Roman"/>
          <w:sz w:val="24"/>
          <w:szCs w:val="24"/>
        </w:rPr>
        <w:t xml:space="preserve"> </w:t>
      </w:r>
      <w:r w:rsidR="002972DC">
        <w:rPr>
          <w:rFonts w:ascii="Times New Roman" w:hAnsi="Times New Roman"/>
          <w:sz w:val="24"/>
          <w:szCs w:val="24"/>
        </w:rPr>
        <w:t xml:space="preserve">Addressing them </w:t>
      </w:r>
      <w:r w:rsidR="0028615C">
        <w:rPr>
          <w:rFonts w:ascii="Times New Roman" w:hAnsi="Times New Roman"/>
          <w:sz w:val="24"/>
          <w:szCs w:val="24"/>
        </w:rPr>
        <w:t xml:space="preserve">is </w:t>
      </w:r>
      <w:r w:rsidR="002972DC">
        <w:rPr>
          <w:rFonts w:ascii="Times New Roman" w:hAnsi="Times New Roman"/>
          <w:sz w:val="24"/>
          <w:szCs w:val="24"/>
        </w:rPr>
        <w:t xml:space="preserve">part of the </w:t>
      </w:r>
      <w:r w:rsidR="00871656">
        <w:rPr>
          <w:rFonts w:ascii="Times New Roman" w:hAnsi="Times New Roman"/>
          <w:sz w:val="24"/>
          <w:szCs w:val="24"/>
        </w:rPr>
        <w:t xml:space="preserve">shared responsibility </w:t>
      </w:r>
      <w:r w:rsidR="001F13F1">
        <w:rPr>
          <w:rFonts w:ascii="Times New Roman" w:hAnsi="Times New Roman"/>
          <w:sz w:val="24"/>
          <w:szCs w:val="24"/>
        </w:rPr>
        <w:t xml:space="preserve">that exists through the </w:t>
      </w:r>
      <w:r w:rsidR="0028615C">
        <w:rPr>
          <w:rFonts w:ascii="Times New Roman" w:hAnsi="Times New Roman"/>
          <w:sz w:val="24"/>
          <w:szCs w:val="24"/>
        </w:rPr>
        <w:t xml:space="preserve">program’s administrative </w:t>
      </w:r>
      <w:r w:rsidR="0032181B">
        <w:rPr>
          <w:rFonts w:ascii="Times New Roman" w:hAnsi="Times New Roman"/>
          <w:sz w:val="24"/>
          <w:szCs w:val="24"/>
        </w:rPr>
        <w:t xml:space="preserve">structure of a </w:t>
      </w:r>
      <w:r w:rsidR="00FA5B60">
        <w:rPr>
          <w:rFonts w:ascii="Times New Roman" w:hAnsi="Times New Roman"/>
          <w:sz w:val="24"/>
          <w:szCs w:val="24"/>
        </w:rPr>
        <w:t>federal/s</w:t>
      </w:r>
      <w:r w:rsidR="00871656">
        <w:rPr>
          <w:rFonts w:ascii="Times New Roman" w:hAnsi="Times New Roman"/>
          <w:sz w:val="24"/>
          <w:szCs w:val="24"/>
        </w:rPr>
        <w:t>tate partnership</w:t>
      </w:r>
      <w:r w:rsidR="0032181B">
        <w:rPr>
          <w:rFonts w:ascii="Times New Roman" w:hAnsi="Times New Roman"/>
          <w:sz w:val="24"/>
          <w:szCs w:val="24"/>
        </w:rPr>
        <w:t>.</w:t>
      </w:r>
    </w:p>
    <w:p w:rsidR="00CF2B7E" w:rsidRPr="00E371A6" w:rsidP="00CB509A" w14:paraId="661EBD07" w14:textId="77777777">
      <w:pPr>
        <w:autoSpaceDE w:val="0"/>
        <w:autoSpaceDN w:val="0"/>
        <w:adjustRightInd w:val="0"/>
        <w:spacing w:after="0" w:line="240" w:lineRule="auto"/>
        <w:rPr>
          <w:rFonts w:ascii="Times New Roman" w:hAnsi="Times New Roman"/>
          <w:color w:val="31849B"/>
          <w:sz w:val="24"/>
          <w:szCs w:val="24"/>
        </w:rPr>
      </w:pPr>
    </w:p>
    <w:p w:rsidR="00536FEF" w:rsidRPr="00DF6CD4" w:rsidP="00194092" w14:paraId="4446A663" w14:textId="407B7CBB">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 addition to being one </w:t>
      </w:r>
      <w:r w:rsidR="00552691">
        <w:rPr>
          <w:rFonts w:ascii="Times New Roman" w:hAnsi="Times New Roman"/>
          <w:sz w:val="24"/>
          <w:szCs w:val="24"/>
        </w:rPr>
        <w:t xml:space="preserve">of the </w:t>
      </w:r>
      <w:r w:rsidR="00E624A1">
        <w:rPr>
          <w:rFonts w:ascii="Times New Roman" w:hAnsi="Times New Roman"/>
          <w:sz w:val="24"/>
          <w:szCs w:val="24"/>
        </w:rPr>
        <w:t>t</w:t>
      </w:r>
      <w:r w:rsidR="002972DC">
        <w:rPr>
          <w:rFonts w:ascii="Times New Roman" w:hAnsi="Times New Roman"/>
          <w:sz w:val="24"/>
          <w:szCs w:val="24"/>
        </w:rPr>
        <w:t xml:space="preserve">riple </w:t>
      </w:r>
      <w:r w:rsidR="00E624A1">
        <w:rPr>
          <w:rFonts w:ascii="Times New Roman" w:hAnsi="Times New Roman"/>
          <w:sz w:val="24"/>
          <w:szCs w:val="24"/>
        </w:rPr>
        <w:t xml:space="preserve">aims of the </w:t>
      </w:r>
      <w:r w:rsidR="00D40B7A">
        <w:rPr>
          <w:rFonts w:ascii="Times New Roman" w:hAnsi="Times New Roman"/>
          <w:sz w:val="24"/>
          <w:szCs w:val="24"/>
        </w:rPr>
        <w:t xml:space="preserve">2016 </w:t>
      </w:r>
      <w:r w:rsidR="00E624A1">
        <w:rPr>
          <w:rFonts w:ascii="Times New Roman" w:hAnsi="Times New Roman"/>
          <w:sz w:val="24"/>
          <w:szCs w:val="24"/>
        </w:rPr>
        <w:t>MCH Block Grant transformation</w:t>
      </w:r>
      <w:r>
        <w:rPr>
          <w:rFonts w:ascii="Times New Roman" w:hAnsi="Times New Roman"/>
          <w:sz w:val="24"/>
          <w:szCs w:val="24"/>
        </w:rPr>
        <w:t xml:space="preserve">, </w:t>
      </w:r>
      <w:r w:rsidR="00552691">
        <w:rPr>
          <w:rFonts w:ascii="Times New Roman" w:hAnsi="Times New Roman"/>
          <w:sz w:val="24"/>
          <w:szCs w:val="24"/>
        </w:rPr>
        <w:t>reduced duplication remain</w:t>
      </w:r>
      <w:r>
        <w:rPr>
          <w:rFonts w:ascii="Times New Roman" w:hAnsi="Times New Roman"/>
          <w:sz w:val="24"/>
          <w:szCs w:val="24"/>
        </w:rPr>
        <w:t xml:space="preserve">s </w:t>
      </w:r>
      <w:r w:rsidR="00552691">
        <w:rPr>
          <w:rFonts w:ascii="Times New Roman" w:hAnsi="Times New Roman"/>
          <w:sz w:val="24"/>
          <w:szCs w:val="24"/>
        </w:rPr>
        <w:t xml:space="preserve">a priority for </w:t>
      </w:r>
      <w:r w:rsidR="0082763B">
        <w:rPr>
          <w:rFonts w:ascii="Times New Roman" w:hAnsi="Times New Roman"/>
          <w:sz w:val="24"/>
          <w:szCs w:val="24"/>
        </w:rPr>
        <w:t xml:space="preserve">the </w:t>
      </w:r>
      <w:r w:rsidR="00552691">
        <w:rPr>
          <w:rFonts w:ascii="Times New Roman" w:hAnsi="Times New Roman"/>
          <w:sz w:val="24"/>
          <w:szCs w:val="24"/>
        </w:rPr>
        <w:t>MCHB</w:t>
      </w:r>
      <w:r>
        <w:rPr>
          <w:rFonts w:ascii="Times New Roman" w:hAnsi="Times New Roman"/>
          <w:sz w:val="24"/>
          <w:szCs w:val="24"/>
        </w:rPr>
        <w:t>.</w:t>
      </w:r>
      <w:r w:rsidR="00535A04">
        <w:rPr>
          <w:rFonts w:ascii="Times New Roman" w:hAnsi="Times New Roman"/>
          <w:sz w:val="24"/>
          <w:szCs w:val="24"/>
        </w:rPr>
        <w:t xml:space="preserve"> </w:t>
      </w:r>
      <w:r w:rsidR="0052225D">
        <w:rPr>
          <w:rFonts w:ascii="Times New Roman" w:hAnsi="Times New Roman"/>
          <w:sz w:val="24"/>
          <w:szCs w:val="24"/>
        </w:rPr>
        <w:t>Ongoing feedback received from s</w:t>
      </w:r>
      <w:r w:rsidR="00552691">
        <w:rPr>
          <w:rFonts w:ascii="Times New Roman" w:hAnsi="Times New Roman"/>
          <w:sz w:val="24"/>
          <w:szCs w:val="24"/>
        </w:rPr>
        <w:t xml:space="preserve">tate partners on the Application/Annual Report submission process, along with </w:t>
      </w:r>
      <w:r w:rsidR="0082763B">
        <w:rPr>
          <w:rFonts w:ascii="Times New Roman" w:hAnsi="Times New Roman"/>
          <w:sz w:val="24"/>
          <w:szCs w:val="24"/>
        </w:rPr>
        <w:t xml:space="preserve">feedback received in the </w:t>
      </w:r>
      <w:r w:rsidR="00552691">
        <w:rPr>
          <w:rFonts w:ascii="Times New Roman" w:hAnsi="Times New Roman"/>
          <w:sz w:val="24"/>
          <w:szCs w:val="24"/>
        </w:rPr>
        <w:t xml:space="preserve">annual </w:t>
      </w:r>
      <w:r w:rsidR="0082763B">
        <w:rPr>
          <w:rFonts w:ascii="Times New Roman" w:hAnsi="Times New Roman"/>
          <w:sz w:val="24"/>
          <w:szCs w:val="24"/>
        </w:rPr>
        <w:t>TVIS User Satisfaction Survey (OMB Number: 0915-0212)</w:t>
      </w:r>
      <w:r w:rsidR="00552691">
        <w:rPr>
          <w:rFonts w:ascii="Times New Roman" w:hAnsi="Times New Roman"/>
          <w:sz w:val="24"/>
          <w:szCs w:val="24"/>
        </w:rPr>
        <w:t xml:space="preserve">, help to </w:t>
      </w:r>
      <w:r w:rsidR="00743C42">
        <w:rPr>
          <w:rFonts w:ascii="Times New Roman" w:hAnsi="Times New Roman"/>
          <w:sz w:val="24"/>
          <w:szCs w:val="24"/>
        </w:rPr>
        <w:t>guide b</w:t>
      </w:r>
      <w:r w:rsidR="00552691">
        <w:rPr>
          <w:rFonts w:ascii="Times New Roman" w:hAnsi="Times New Roman"/>
          <w:sz w:val="24"/>
          <w:szCs w:val="24"/>
        </w:rPr>
        <w:t>urden reduction efforts</w:t>
      </w:r>
      <w:r>
        <w:rPr>
          <w:rFonts w:ascii="Times New Roman" w:hAnsi="Times New Roman"/>
          <w:sz w:val="24"/>
          <w:szCs w:val="24"/>
        </w:rPr>
        <w:t>.</w:t>
      </w:r>
      <w:r w:rsidR="00535A04">
        <w:rPr>
          <w:rFonts w:ascii="Times New Roman" w:hAnsi="Times New Roman"/>
          <w:sz w:val="24"/>
          <w:szCs w:val="24"/>
        </w:rPr>
        <w:t xml:space="preserve"> </w:t>
      </w:r>
      <w:r w:rsidRPr="00DF6CD4" w:rsidR="00194092">
        <w:rPr>
          <w:rFonts w:ascii="Times New Roman" w:hAnsi="Times New Roman"/>
          <w:sz w:val="24"/>
          <w:szCs w:val="24"/>
        </w:rPr>
        <w:t>Efficiencies that have been incorporated into the updated Application/Annual Report Guidance include:</w:t>
      </w:r>
    </w:p>
    <w:p w:rsidR="00916EDD" w:rsidRPr="00DF6CD4" w:rsidP="00C50D5F" w14:paraId="6569EC92"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 xml:space="preserve">Continued pre-population of the National performance and outcome data for states in the TVIS; </w:t>
      </w:r>
    </w:p>
    <w:p w:rsidR="00142F16" w:rsidRPr="00DF6CD4" w:rsidP="00C50D5F" w14:paraId="2BA57741" w14:textId="591FD37C">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S</w:t>
      </w:r>
      <w:r w:rsidRPr="00DF6CD4" w:rsidR="00552691">
        <w:rPr>
          <w:rFonts w:ascii="Times New Roman" w:hAnsi="Times New Roman"/>
          <w:sz w:val="24"/>
          <w:szCs w:val="24"/>
        </w:rPr>
        <w:t xml:space="preserve">treamlined narrative reporting </w:t>
      </w:r>
      <w:r w:rsidRPr="00DF6CD4" w:rsidR="002311FF">
        <w:rPr>
          <w:rFonts w:ascii="Times New Roman" w:hAnsi="Times New Roman"/>
          <w:sz w:val="24"/>
          <w:szCs w:val="24"/>
        </w:rPr>
        <w:t>across the State Overview, Needs Assessment</w:t>
      </w:r>
      <w:r w:rsidR="00A54CA4">
        <w:rPr>
          <w:rFonts w:ascii="Times New Roman" w:hAnsi="Times New Roman"/>
          <w:sz w:val="24"/>
          <w:szCs w:val="24"/>
        </w:rPr>
        <w:t>,</w:t>
      </w:r>
      <w:r w:rsidRPr="00DF6CD4" w:rsidR="002311FF">
        <w:rPr>
          <w:rFonts w:ascii="Times New Roman" w:hAnsi="Times New Roman"/>
          <w:sz w:val="24"/>
          <w:szCs w:val="24"/>
        </w:rPr>
        <w:t xml:space="preserve"> and State Action Plan </w:t>
      </w:r>
      <w:r w:rsidRPr="00DF6CD4" w:rsidR="007725CC">
        <w:rPr>
          <w:rFonts w:ascii="Times New Roman" w:hAnsi="Times New Roman"/>
          <w:sz w:val="24"/>
          <w:szCs w:val="24"/>
        </w:rPr>
        <w:t xml:space="preserve">sections </w:t>
      </w:r>
      <w:r w:rsidRPr="00DF6CD4" w:rsidR="002311FF">
        <w:rPr>
          <w:rFonts w:ascii="Times New Roman" w:hAnsi="Times New Roman"/>
          <w:sz w:val="24"/>
          <w:szCs w:val="24"/>
        </w:rPr>
        <w:t xml:space="preserve">to </w:t>
      </w:r>
      <w:r w:rsidRPr="00DF6CD4" w:rsidR="007725CC">
        <w:rPr>
          <w:rFonts w:ascii="Times New Roman" w:hAnsi="Times New Roman"/>
          <w:sz w:val="24"/>
          <w:szCs w:val="24"/>
        </w:rPr>
        <w:t xml:space="preserve">allow for </w:t>
      </w:r>
      <w:r w:rsidRPr="00DF6CD4" w:rsidR="002311FF">
        <w:rPr>
          <w:rFonts w:ascii="Times New Roman" w:hAnsi="Times New Roman"/>
          <w:sz w:val="24"/>
          <w:szCs w:val="24"/>
        </w:rPr>
        <w:t>a more logical flow</w:t>
      </w:r>
      <w:r w:rsidRPr="00DF6CD4">
        <w:rPr>
          <w:rFonts w:ascii="Times New Roman" w:hAnsi="Times New Roman"/>
          <w:sz w:val="24"/>
          <w:szCs w:val="24"/>
        </w:rPr>
        <w:t>;</w:t>
      </w:r>
    </w:p>
    <w:p w:rsidR="00142F16" w:rsidRPr="00DF6CD4" w:rsidP="00C50D5F" w14:paraId="05DCC6C4"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R</w:t>
      </w:r>
      <w:r w:rsidRPr="00DF6CD4" w:rsidR="00552691">
        <w:rPr>
          <w:rFonts w:ascii="Times New Roman" w:hAnsi="Times New Roman"/>
          <w:sz w:val="24"/>
          <w:szCs w:val="24"/>
        </w:rPr>
        <w:t xml:space="preserve">educed duplication across </w:t>
      </w:r>
      <w:r w:rsidRPr="00DF6CD4" w:rsidR="007725CC">
        <w:rPr>
          <w:rFonts w:ascii="Times New Roman" w:hAnsi="Times New Roman"/>
          <w:sz w:val="24"/>
          <w:szCs w:val="24"/>
        </w:rPr>
        <w:t xml:space="preserve">the narrative </w:t>
      </w:r>
      <w:r w:rsidRPr="00DF6CD4" w:rsidR="00552691">
        <w:rPr>
          <w:rFonts w:ascii="Times New Roman" w:hAnsi="Times New Roman"/>
          <w:sz w:val="24"/>
          <w:szCs w:val="24"/>
        </w:rPr>
        <w:t>sections of the Application/Annual Report</w:t>
      </w:r>
      <w:r w:rsidRPr="00DF6CD4">
        <w:rPr>
          <w:rFonts w:ascii="Times New Roman" w:hAnsi="Times New Roman"/>
          <w:sz w:val="24"/>
          <w:szCs w:val="24"/>
        </w:rPr>
        <w:t>;</w:t>
      </w:r>
    </w:p>
    <w:p w:rsidR="00B6669F" w:rsidRPr="00DF6CD4" w:rsidP="00C50D5F" w14:paraId="01C211FE" w14:textId="0FC36A6E">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 xml:space="preserve">Clearer descriptions of </w:t>
      </w:r>
      <w:r w:rsidRPr="00DF6CD4">
        <w:rPr>
          <w:rFonts w:ascii="Times New Roman" w:hAnsi="Times New Roman"/>
          <w:sz w:val="24"/>
          <w:szCs w:val="24"/>
        </w:rPr>
        <w:t xml:space="preserve">expected content </w:t>
      </w:r>
      <w:r w:rsidRPr="00DF6CD4" w:rsidR="007725CC">
        <w:rPr>
          <w:rFonts w:ascii="Times New Roman" w:hAnsi="Times New Roman"/>
          <w:sz w:val="24"/>
          <w:szCs w:val="24"/>
        </w:rPr>
        <w:t xml:space="preserve">for </w:t>
      </w:r>
      <w:r w:rsidRPr="00DF6CD4">
        <w:rPr>
          <w:rFonts w:ascii="Times New Roman" w:hAnsi="Times New Roman"/>
          <w:sz w:val="24"/>
          <w:szCs w:val="24"/>
        </w:rPr>
        <w:t>individual narrative sections of the Application/Annual Report</w:t>
      </w:r>
      <w:r w:rsidR="00A54CA4">
        <w:rPr>
          <w:rFonts w:ascii="Times New Roman" w:hAnsi="Times New Roman"/>
          <w:sz w:val="24"/>
          <w:szCs w:val="24"/>
        </w:rPr>
        <w:t>;</w:t>
      </w:r>
      <w:r w:rsidRPr="00DF6CD4" w:rsidR="00D77D00">
        <w:rPr>
          <w:rFonts w:ascii="Times New Roman" w:hAnsi="Times New Roman"/>
          <w:sz w:val="24"/>
          <w:szCs w:val="24"/>
        </w:rPr>
        <w:t xml:space="preserve"> and</w:t>
      </w:r>
    </w:p>
    <w:p w:rsidR="00194092" w:rsidRPr="00DF6CD4" w:rsidP="00C50D5F" w14:paraId="0D38E703" w14:textId="77777777">
      <w:pPr>
        <w:numPr>
          <w:ilvl w:val="0"/>
          <w:numId w:val="3"/>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Continued incorporation of a Needs Assessment Summary into the Application; and</w:t>
      </w:r>
    </w:p>
    <w:p w:rsidR="00194092" w:rsidRPr="00DF6CD4" w:rsidP="00C50D5F" w14:paraId="5B03183C" w14:textId="377D7880">
      <w:pPr>
        <w:numPr>
          <w:ilvl w:val="0"/>
          <w:numId w:val="3"/>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Further clarification of reporting instructions and</w:t>
      </w:r>
      <w:r w:rsidRPr="00DF6CD4" w:rsidR="00916EDD">
        <w:rPr>
          <w:rFonts w:ascii="Times New Roman" w:hAnsi="Times New Roman"/>
          <w:sz w:val="24"/>
          <w:szCs w:val="24"/>
        </w:rPr>
        <w:t xml:space="preserve"> </w:t>
      </w:r>
      <w:r w:rsidRPr="00DF6CD4" w:rsidR="00676652">
        <w:rPr>
          <w:rFonts w:ascii="Times New Roman" w:hAnsi="Times New Roman"/>
          <w:sz w:val="24"/>
          <w:szCs w:val="24"/>
        </w:rPr>
        <w:t xml:space="preserve">the </w:t>
      </w:r>
      <w:r w:rsidRPr="00DF6CD4" w:rsidR="0013053B">
        <w:rPr>
          <w:rFonts w:ascii="Times New Roman" w:hAnsi="Times New Roman"/>
          <w:sz w:val="24"/>
          <w:szCs w:val="24"/>
        </w:rPr>
        <w:t xml:space="preserve">use of </w:t>
      </w:r>
      <w:r w:rsidRPr="00DF6CD4" w:rsidR="00916EDD">
        <w:rPr>
          <w:rFonts w:ascii="Times New Roman" w:hAnsi="Times New Roman"/>
          <w:sz w:val="24"/>
          <w:szCs w:val="24"/>
        </w:rPr>
        <w:t>consisten</w:t>
      </w:r>
      <w:r w:rsidRPr="00DF6CD4" w:rsidR="0013053B">
        <w:rPr>
          <w:rFonts w:ascii="Times New Roman" w:hAnsi="Times New Roman"/>
          <w:sz w:val="24"/>
          <w:szCs w:val="24"/>
        </w:rPr>
        <w:t>t d</w:t>
      </w:r>
      <w:r w:rsidRPr="00DF6CD4" w:rsidR="00916EDD">
        <w:rPr>
          <w:rFonts w:ascii="Times New Roman" w:hAnsi="Times New Roman"/>
          <w:sz w:val="24"/>
          <w:szCs w:val="24"/>
        </w:rPr>
        <w:t xml:space="preserve">efinitions </w:t>
      </w:r>
      <w:r w:rsidRPr="00DF6CD4" w:rsidR="009C73FE">
        <w:rPr>
          <w:rFonts w:ascii="Times New Roman" w:hAnsi="Times New Roman"/>
          <w:sz w:val="24"/>
          <w:szCs w:val="24"/>
        </w:rPr>
        <w:t xml:space="preserve">across the Glossary and </w:t>
      </w:r>
      <w:r w:rsidRPr="00DF6CD4" w:rsidR="00916EDD">
        <w:rPr>
          <w:rFonts w:ascii="Times New Roman" w:hAnsi="Times New Roman"/>
          <w:sz w:val="24"/>
          <w:szCs w:val="24"/>
        </w:rPr>
        <w:t>individual sections of the Application/Annual Report</w:t>
      </w:r>
      <w:r w:rsidRPr="00DF6CD4" w:rsidR="00676652">
        <w:rPr>
          <w:rFonts w:ascii="Times New Roman" w:hAnsi="Times New Roman"/>
          <w:sz w:val="24"/>
          <w:szCs w:val="24"/>
        </w:rPr>
        <w:t xml:space="preserve"> Guidance</w:t>
      </w:r>
      <w:r w:rsidRPr="00DF6CD4">
        <w:rPr>
          <w:rFonts w:ascii="Times New Roman" w:hAnsi="Times New Roman"/>
          <w:sz w:val="24"/>
          <w:szCs w:val="24"/>
        </w:rPr>
        <w:t>.</w:t>
      </w:r>
      <w:r w:rsidR="00535A04">
        <w:rPr>
          <w:rFonts w:ascii="Times New Roman" w:hAnsi="Times New Roman"/>
          <w:sz w:val="24"/>
          <w:szCs w:val="24"/>
        </w:rPr>
        <w:t xml:space="preserve">        </w:t>
      </w:r>
      <w:r w:rsidRPr="00DF6CD4">
        <w:rPr>
          <w:rFonts w:ascii="Times New Roman" w:hAnsi="Times New Roman"/>
          <w:sz w:val="24"/>
          <w:szCs w:val="24"/>
        </w:rPr>
        <w:t xml:space="preserve"> </w:t>
      </w:r>
    </w:p>
    <w:p w:rsidR="00743C42" w:rsidP="007D63D2" w14:paraId="20C5A4D5" w14:textId="77777777">
      <w:pPr>
        <w:autoSpaceDE w:val="0"/>
        <w:autoSpaceDN w:val="0"/>
        <w:adjustRightInd w:val="0"/>
        <w:spacing w:after="0" w:line="240" w:lineRule="auto"/>
        <w:ind w:left="720"/>
        <w:rPr>
          <w:rFonts w:ascii="Times New Roman" w:hAnsi="Times New Roman"/>
          <w:sz w:val="24"/>
          <w:szCs w:val="24"/>
        </w:rPr>
      </w:pPr>
    </w:p>
    <w:p w:rsidR="00743C42" w:rsidRPr="00743C42" w:rsidP="00743C42" w14:paraId="59515146" w14:textId="63849DA4">
      <w:pPr>
        <w:autoSpaceDE w:val="0"/>
        <w:autoSpaceDN w:val="0"/>
        <w:adjustRightInd w:val="0"/>
        <w:spacing w:after="0" w:line="240" w:lineRule="auto"/>
        <w:ind w:left="720"/>
        <w:rPr>
          <w:rFonts w:ascii="Times New Roman" w:hAnsi="Times New Roman"/>
          <w:iCs/>
          <w:sz w:val="24"/>
          <w:szCs w:val="24"/>
        </w:rPr>
      </w:pPr>
      <w:r>
        <w:rPr>
          <w:rFonts w:ascii="Times New Roman" w:hAnsi="Times New Roman"/>
          <w:iCs/>
          <w:sz w:val="24"/>
          <w:szCs w:val="24"/>
        </w:rPr>
        <w:t xml:space="preserve">As discussed in Section 3, the </w:t>
      </w:r>
      <w:r w:rsidRPr="00743C42">
        <w:rPr>
          <w:rFonts w:ascii="Times New Roman" w:hAnsi="Times New Roman"/>
          <w:iCs/>
          <w:sz w:val="24"/>
          <w:szCs w:val="24"/>
        </w:rPr>
        <w:t xml:space="preserve">MCHB continues to add increased functionality and other enhancements to the </w:t>
      </w:r>
      <w:r w:rsidR="004B784F">
        <w:rPr>
          <w:rFonts w:ascii="Times New Roman" w:hAnsi="Times New Roman"/>
          <w:iCs/>
          <w:sz w:val="24"/>
          <w:szCs w:val="24"/>
        </w:rPr>
        <w:t xml:space="preserve">TVIS </w:t>
      </w:r>
      <w:r>
        <w:rPr>
          <w:rFonts w:ascii="Times New Roman" w:hAnsi="Times New Roman"/>
          <w:iCs/>
          <w:sz w:val="24"/>
          <w:szCs w:val="24"/>
        </w:rPr>
        <w:t xml:space="preserve">in an effort to </w:t>
      </w:r>
      <w:r w:rsidRPr="00743C42">
        <w:rPr>
          <w:rFonts w:ascii="Times New Roman" w:hAnsi="Times New Roman"/>
          <w:iCs/>
          <w:sz w:val="24"/>
          <w:szCs w:val="24"/>
        </w:rPr>
        <w:t xml:space="preserve">reduce burden </w:t>
      </w:r>
      <w:r w:rsidR="0052225D">
        <w:rPr>
          <w:rFonts w:ascii="Times New Roman" w:hAnsi="Times New Roman"/>
          <w:iCs/>
          <w:sz w:val="24"/>
          <w:szCs w:val="24"/>
        </w:rPr>
        <w:t>for s</w:t>
      </w:r>
      <w:r>
        <w:rPr>
          <w:rFonts w:ascii="Times New Roman" w:hAnsi="Times New Roman"/>
          <w:iCs/>
          <w:sz w:val="24"/>
          <w:szCs w:val="24"/>
        </w:rPr>
        <w:t xml:space="preserve">tates in submitting </w:t>
      </w:r>
      <w:r w:rsidRPr="00743C42">
        <w:rPr>
          <w:rFonts w:ascii="Times New Roman" w:hAnsi="Times New Roman"/>
          <w:iCs/>
          <w:sz w:val="24"/>
          <w:szCs w:val="24"/>
        </w:rPr>
        <w:t xml:space="preserve">the </w:t>
      </w:r>
      <w:r>
        <w:rPr>
          <w:rFonts w:ascii="Times New Roman" w:hAnsi="Times New Roman"/>
          <w:iCs/>
          <w:sz w:val="24"/>
          <w:szCs w:val="24"/>
        </w:rPr>
        <w:t xml:space="preserve">yearly MCH Block Grant </w:t>
      </w:r>
      <w:r w:rsidRPr="00743C42">
        <w:rPr>
          <w:rFonts w:ascii="Times New Roman" w:hAnsi="Times New Roman"/>
          <w:iCs/>
          <w:sz w:val="24"/>
          <w:szCs w:val="24"/>
        </w:rPr>
        <w:t>Application/Annual Report.</w:t>
      </w:r>
      <w:r w:rsidR="00535A04">
        <w:rPr>
          <w:rFonts w:ascii="Times New Roman" w:hAnsi="Times New Roman"/>
          <w:iCs/>
          <w:sz w:val="24"/>
          <w:szCs w:val="24"/>
        </w:rPr>
        <w:t xml:space="preserve"> </w:t>
      </w:r>
      <w:r w:rsidRPr="00743C42">
        <w:rPr>
          <w:rFonts w:ascii="Times New Roman" w:hAnsi="Times New Roman"/>
          <w:iCs/>
          <w:sz w:val="24"/>
          <w:szCs w:val="24"/>
        </w:rPr>
        <w:t xml:space="preserve"> </w:t>
      </w:r>
    </w:p>
    <w:p w:rsidR="00E624A1" w:rsidP="000441BB" w14:paraId="1FA7D8BA" w14:textId="77777777">
      <w:pPr>
        <w:autoSpaceDE w:val="0"/>
        <w:autoSpaceDN w:val="0"/>
        <w:adjustRightInd w:val="0"/>
        <w:spacing w:after="0" w:line="240" w:lineRule="auto"/>
        <w:rPr>
          <w:rFonts w:ascii="Times New Roman" w:hAnsi="Times New Roman"/>
          <w:color w:val="31849B"/>
          <w:sz w:val="24"/>
          <w:szCs w:val="24"/>
        </w:rPr>
      </w:pPr>
    </w:p>
    <w:p w:rsidR="00CB509A" w:rsidRPr="00342232" w:rsidP="007D63D2" w14:paraId="05321970" w14:textId="3558C81F">
      <w:pPr>
        <w:autoSpaceDE w:val="0"/>
        <w:autoSpaceDN w:val="0"/>
        <w:adjustRightInd w:val="0"/>
        <w:spacing w:after="0" w:line="240" w:lineRule="auto"/>
        <w:ind w:left="720" w:hanging="360"/>
        <w:rPr>
          <w:rFonts w:ascii="Times New Roman" w:hAnsi="Times New Roman"/>
          <w:b/>
          <w:bCs/>
          <w:sz w:val="24"/>
          <w:szCs w:val="24"/>
        </w:rPr>
      </w:pPr>
      <w:r w:rsidRPr="00342232">
        <w:rPr>
          <w:rFonts w:ascii="Times New Roman" w:hAnsi="Times New Roman"/>
          <w:b/>
          <w:bCs/>
          <w:sz w:val="24"/>
          <w:szCs w:val="24"/>
        </w:rPr>
        <w:t xml:space="preserve">5. </w:t>
      </w:r>
      <w:r w:rsidRPr="00342232" w:rsidR="007D63D2">
        <w:rPr>
          <w:rFonts w:ascii="Times New Roman" w:hAnsi="Times New Roman"/>
          <w:b/>
          <w:bCs/>
          <w:sz w:val="24"/>
          <w:szCs w:val="24"/>
        </w:rPr>
        <w:tab/>
      </w:r>
      <w:r w:rsidR="00DB73EE">
        <w:rPr>
          <w:rFonts w:ascii="Times New Roman" w:hAnsi="Times New Roman"/>
          <w:b/>
          <w:bCs/>
          <w:sz w:val="24"/>
          <w:szCs w:val="24"/>
        </w:rPr>
        <w:t xml:space="preserve">Impact on Small Businesses or Other Small Entities </w:t>
      </w:r>
    </w:p>
    <w:p w:rsidR="004B64B1" w:rsidRPr="00342232" w:rsidP="00CB509A" w14:paraId="6E068433" w14:textId="77777777">
      <w:pPr>
        <w:autoSpaceDE w:val="0"/>
        <w:autoSpaceDN w:val="0"/>
        <w:adjustRightInd w:val="0"/>
        <w:spacing w:after="0" w:line="240" w:lineRule="auto"/>
        <w:rPr>
          <w:rFonts w:ascii="Times New Roman" w:hAnsi="Times New Roman"/>
          <w:b/>
          <w:bCs/>
          <w:sz w:val="24"/>
          <w:szCs w:val="24"/>
        </w:rPr>
      </w:pPr>
    </w:p>
    <w:p w:rsidR="00CB509A" w:rsidRPr="00342232" w:rsidP="007D63D2" w14:paraId="0B0A804E" w14:textId="2A020E14">
      <w:pPr>
        <w:autoSpaceDE w:val="0"/>
        <w:autoSpaceDN w:val="0"/>
        <w:adjustRightInd w:val="0"/>
        <w:spacing w:after="0" w:line="240" w:lineRule="auto"/>
        <w:ind w:left="720"/>
        <w:rPr>
          <w:rFonts w:ascii="Times New Roman" w:hAnsi="Times New Roman"/>
          <w:sz w:val="24"/>
          <w:szCs w:val="24"/>
        </w:rPr>
      </w:pPr>
      <w:r w:rsidRPr="00342232">
        <w:rPr>
          <w:rFonts w:ascii="Times New Roman" w:hAnsi="Times New Roman"/>
          <w:sz w:val="24"/>
          <w:szCs w:val="24"/>
        </w:rPr>
        <w:t>No small business or other small entities are involved.</w:t>
      </w:r>
      <w:r w:rsidR="00535A04">
        <w:rPr>
          <w:rFonts w:ascii="Times New Roman" w:hAnsi="Times New Roman"/>
          <w:sz w:val="24"/>
          <w:szCs w:val="24"/>
        </w:rPr>
        <w:t xml:space="preserve"> </w:t>
      </w:r>
    </w:p>
    <w:p w:rsidR="004907A9" w:rsidRPr="00E371A6" w:rsidP="00CB509A" w14:paraId="2CE8F9D8" w14:textId="77777777">
      <w:pPr>
        <w:autoSpaceDE w:val="0"/>
        <w:autoSpaceDN w:val="0"/>
        <w:adjustRightInd w:val="0"/>
        <w:spacing w:after="0" w:line="240" w:lineRule="auto"/>
        <w:rPr>
          <w:rFonts w:ascii="Times New Roman" w:hAnsi="Times New Roman"/>
          <w:color w:val="31849B"/>
          <w:sz w:val="24"/>
          <w:szCs w:val="24"/>
        </w:rPr>
      </w:pPr>
    </w:p>
    <w:p w:rsidR="00CB509A" w:rsidRPr="00FC36AD" w:rsidP="007D63D2" w14:paraId="00C58E37" w14:textId="79402610">
      <w:pPr>
        <w:autoSpaceDE w:val="0"/>
        <w:autoSpaceDN w:val="0"/>
        <w:adjustRightInd w:val="0"/>
        <w:spacing w:after="0" w:line="240" w:lineRule="auto"/>
        <w:ind w:left="720" w:hanging="360"/>
        <w:rPr>
          <w:rFonts w:ascii="Times New Roman" w:hAnsi="Times New Roman"/>
          <w:b/>
          <w:bCs/>
          <w:sz w:val="24"/>
          <w:szCs w:val="24"/>
        </w:rPr>
      </w:pPr>
      <w:r w:rsidRPr="00FC36AD">
        <w:rPr>
          <w:rFonts w:ascii="Times New Roman" w:hAnsi="Times New Roman"/>
          <w:b/>
          <w:bCs/>
          <w:sz w:val="24"/>
          <w:szCs w:val="24"/>
        </w:rPr>
        <w:t xml:space="preserve">6. </w:t>
      </w:r>
      <w:r w:rsidRPr="00FC36AD" w:rsidR="007D63D2">
        <w:rPr>
          <w:rFonts w:ascii="Times New Roman" w:hAnsi="Times New Roman"/>
          <w:b/>
          <w:bCs/>
          <w:sz w:val="24"/>
          <w:szCs w:val="24"/>
        </w:rPr>
        <w:tab/>
      </w:r>
      <w:r w:rsidR="00DB73EE">
        <w:rPr>
          <w:rFonts w:ascii="Times New Roman" w:hAnsi="Times New Roman"/>
          <w:b/>
          <w:bCs/>
          <w:sz w:val="24"/>
          <w:szCs w:val="24"/>
        </w:rPr>
        <w:t xml:space="preserve"> Consequences of Collecting the Information Less Frequently</w:t>
      </w:r>
    </w:p>
    <w:p w:rsidR="004B64B1" w:rsidRPr="00FC36AD" w:rsidP="00CB509A" w14:paraId="35ED970B" w14:textId="77777777">
      <w:pPr>
        <w:autoSpaceDE w:val="0"/>
        <w:autoSpaceDN w:val="0"/>
        <w:adjustRightInd w:val="0"/>
        <w:spacing w:after="0" w:line="240" w:lineRule="auto"/>
        <w:rPr>
          <w:rFonts w:ascii="Times New Roman" w:hAnsi="Times New Roman"/>
          <w:b/>
          <w:bCs/>
          <w:sz w:val="24"/>
          <w:szCs w:val="24"/>
        </w:rPr>
      </w:pPr>
    </w:p>
    <w:p w:rsidR="00CB509A" w:rsidRPr="00FC36AD" w:rsidP="00511211" w14:paraId="76C84A46" w14:textId="01DFCCD4">
      <w:pPr>
        <w:autoSpaceDE w:val="0"/>
        <w:autoSpaceDN w:val="0"/>
        <w:adjustRightInd w:val="0"/>
        <w:spacing w:after="0" w:line="240" w:lineRule="auto"/>
        <w:ind w:left="720"/>
        <w:rPr>
          <w:rFonts w:ascii="Times New Roman" w:hAnsi="Times New Roman"/>
          <w:sz w:val="24"/>
          <w:szCs w:val="24"/>
        </w:rPr>
      </w:pPr>
      <w:r w:rsidRPr="00FC36AD">
        <w:rPr>
          <w:rFonts w:ascii="Times New Roman" w:hAnsi="Times New Roman"/>
          <w:sz w:val="24"/>
          <w:szCs w:val="24"/>
        </w:rPr>
        <w:t>Annual s</w:t>
      </w:r>
      <w:r w:rsidRPr="00FC36AD">
        <w:rPr>
          <w:rFonts w:ascii="Times New Roman" w:hAnsi="Times New Roman"/>
          <w:sz w:val="24"/>
          <w:szCs w:val="24"/>
        </w:rPr>
        <w:t xml:space="preserve">ubmission of </w:t>
      </w:r>
      <w:r w:rsidRPr="00FC36AD" w:rsidR="00B40332">
        <w:rPr>
          <w:rFonts w:ascii="Times New Roman" w:hAnsi="Times New Roman"/>
          <w:sz w:val="24"/>
          <w:szCs w:val="24"/>
        </w:rPr>
        <w:t>a</w:t>
      </w:r>
      <w:r w:rsidRPr="00FC36AD">
        <w:rPr>
          <w:rFonts w:ascii="Times New Roman" w:hAnsi="Times New Roman"/>
          <w:sz w:val="24"/>
          <w:szCs w:val="24"/>
        </w:rPr>
        <w:t xml:space="preserve">n </w:t>
      </w:r>
      <w:r w:rsidRPr="00FC36AD" w:rsidR="00B40332">
        <w:rPr>
          <w:rFonts w:ascii="Times New Roman" w:hAnsi="Times New Roman"/>
          <w:sz w:val="24"/>
          <w:szCs w:val="24"/>
        </w:rPr>
        <w:t>Application</w:t>
      </w:r>
      <w:r w:rsidRPr="00FC36AD">
        <w:rPr>
          <w:rFonts w:ascii="Times New Roman" w:hAnsi="Times New Roman"/>
          <w:sz w:val="24"/>
          <w:szCs w:val="24"/>
        </w:rPr>
        <w:t xml:space="preserve"> </w:t>
      </w:r>
      <w:r w:rsidRPr="00FC36AD">
        <w:rPr>
          <w:rFonts w:ascii="Times New Roman" w:hAnsi="Times New Roman"/>
          <w:sz w:val="24"/>
          <w:szCs w:val="24"/>
        </w:rPr>
        <w:t>i</w:t>
      </w:r>
      <w:r w:rsidR="0052225D">
        <w:rPr>
          <w:rFonts w:ascii="Times New Roman" w:hAnsi="Times New Roman"/>
          <w:sz w:val="24"/>
          <w:szCs w:val="24"/>
        </w:rPr>
        <w:t>s required by law to entitle a s</w:t>
      </w:r>
      <w:r w:rsidRPr="00FC36AD">
        <w:rPr>
          <w:rFonts w:ascii="Times New Roman" w:hAnsi="Times New Roman"/>
          <w:sz w:val="24"/>
          <w:szCs w:val="24"/>
        </w:rPr>
        <w:t>tate to receive</w:t>
      </w:r>
      <w:r w:rsidRPr="00FC36AD" w:rsidR="00511211">
        <w:rPr>
          <w:rFonts w:ascii="Times New Roman" w:hAnsi="Times New Roman"/>
          <w:sz w:val="24"/>
          <w:szCs w:val="24"/>
        </w:rPr>
        <w:t xml:space="preserve"> </w:t>
      </w:r>
      <w:r w:rsidRPr="00FC36AD">
        <w:rPr>
          <w:rFonts w:ascii="Times New Roman" w:hAnsi="Times New Roman"/>
          <w:sz w:val="24"/>
          <w:szCs w:val="24"/>
        </w:rPr>
        <w:t>MCH Block Grant funds (Sec.505).</w:t>
      </w:r>
      <w:r w:rsidR="00535A04">
        <w:rPr>
          <w:rFonts w:ascii="Times New Roman" w:hAnsi="Times New Roman"/>
          <w:sz w:val="24"/>
          <w:szCs w:val="24"/>
        </w:rPr>
        <w:t xml:space="preserve"> </w:t>
      </w:r>
      <w:r w:rsidRPr="00FC36AD">
        <w:rPr>
          <w:rFonts w:ascii="Times New Roman" w:hAnsi="Times New Roman"/>
          <w:sz w:val="24"/>
          <w:szCs w:val="24"/>
        </w:rPr>
        <w:t>An Annual R</w:t>
      </w:r>
      <w:r w:rsidRPr="00FC36AD">
        <w:rPr>
          <w:rFonts w:ascii="Times New Roman" w:hAnsi="Times New Roman"/>
          <w:sz w:val="24"/>
          <w:szCs w:val="24"/>
        </w:rPr>
        <w:t>eport on the expenditure of the previous year’s funds is</w:t>
      </w:r>
      <w:r w:rsidRPr="00FC36AD" w:rsidR="00511211">
        <w:rPr>
          <w:rFonts w:ascii="Times New Roman" w:hAnsi="Times New Roman"/>
          <w:sz w:val="24"/>
          <w:szCs w:val="24"/>
        </w:rPr>
        <w:t xml:space="preserve"> </w:t>
      </w:r>
      <w:r w:rsidRPr="00FC36AD">
        <w:rPr>
          <w:rFonts w:ascii="Times New Roman" w:hAnsi="Times New Roman"/>
          <w:sz w:val="24"/>
          <w:szCs w:val="24"/>
        </w:rPr>
        <w:t>also required by Section 506 of Title V.</w:t>
      </w:r>
      <w:r w:rsidR="00535A04">
        <w:rPr>
          <w:rFonts w:ascii="Times New Roman" w:hAnsi="Times New Roman"/>
          <w:sz w:val="24"/>
          <w:szCs w:val="24"/>
        </w:rPr>
        <w:t xml:space="preserve"> </w:t>
      </w:r>
      <w:r w:rsidR="0052225D">
        <w:rPr>
          <w:rFonts w:ascii="Times New Roman" w:hAnsi="Times New Roman"/>
          <w:sz w:val="24"/>
          <w:szCs w:val="24"/>
        </w:rPr>
        <w:t>Section 505(a) requires a s</w:t>
      </w:r>
      <w:r w:rsidRPr="00FC36AD">
        <w:rPr>
          <w:rFonts w:ascii="Times New Roman" w:hAnsi="Times New Roman"/>
          <w:sz w:val="24"/>
          <w:szCs w:val="24"/>
        </w:rPr>
        <w:t xml:space="preserve">tate </w:t>
      </w:r>
      <w:r w:rsidR="0052225D">
        <w:rPr>
          <w:rFonts w:ascii="Times New Roman" w:hAnsi="Times New Roman"/>
          <w:sz w:val="24"/>
          <w:szCs w:val="24"/>
        </w:rPr>
        <w:t>to conduct a s</w:t>
      </w:r>
      <w:r w:rsidR="001923F4">
        <w:rPr>
          <w:rFonts w:ascii="Times New Roman" w:hAnsi="Times New Roman"/>
          <w:sz w:val="24"/>
          <w:szCs w:val="24"/>
        </w:rPr>
        <w:t>tate</w:t>
      </w:r>
      <w:r w:rsidRPr="00FC36AD">
        <w:rPr>
          <w:rFonts w:ascii="Times New Roman" w:hAnsi="Times New Roman"/>
          <w:sz w:val="24"/>
          <w:szCs w:val="24"/>
        </w:rPr>
        <w:t>wide Needs A</w:t>
      </w:r>
      <w:r w:rsidRPr="00FC36AD">
        <w:rPr>
          <w:rFonts w:ascii="Times New Roman" w:hAnsi="Times New Roman"/>
          <w:sz w:val="24"/>
          <w:szCs w:val="24"/>
        </w:rPr>
        <w:t>ssessment every</w:t>
      </w:r>
      <w:r w:rsidRPr="00FC36AD" w:rsidR="00511211">
        <w:rPr>
          <w:rFonts w:ascii="Times New Roman" w:hAnsi="Times New Roman"/>
          <w:sz w:val="24"/>
          <w:szCs w:val="24"/>
        </w:rPr>
        <w:t xml:space="preserve"> </w:t>
      </w:r>
      <w:r w:rsidRPr="00FC36AD">
        <w:rPr>
          <w:rFonts w:ascii="Times New Roman" w:hAnsi="Times New Roman"/>
          <w:sz w:val="24"/>
          <w:szCs w:val="24"/>
        </w:rPr>
        <w:t>5 years</w:t>
      </w:r>
      <w:r w:rsidRPr="00FC36AD">
        <w:rPr>
          <w:rFonts w:ascii="Times New Roman" w:hAnsi="Times New Roman"/>
          <w:sz w:val="24"/>
          <w:szCs w:val="24"/>
        </w:rPr>
        <w:t>.</w:t>
      </w:r>
      <w:r w:rsidR="00535A04">
        <w:rPr>
          <w:rFonts w:ascii="Times New Roman" w:hAnsi="Times New Roman"/>
          <w:sz w:val="24"/>
          <w:szCs w:val="24"/>
        </w:rPr>
        <w:t xml:space="preserve"> </w:t>
      </w:r>
      <w:r w:rsidRPr="00FC36AD">
        <w:rPr>
          <w:rFonts w:ascii="Times New Roman" w:hAnsi="Times New Roman"/>
          <w:sz w:val="24"/>
          <w:szCs w:val="24"/>
        </w:rPr>
        <w:t xml:space="preserve">The next </w:t>
      </w:r>
      <w:r w:rsidR="000841C2">
        <w:rPr>
          <w:rFonts w:ascii="Times New Roman" w:hAnsi="Times New Roman"/>
          <w:sz w:val="24"/>
          <w:szCs w:val="24"/>
        </w:rPr>
        <w:t xml:space="preserve">Five-Year </w:t>
      </w:r>
      <w:r w:rsidRPr="00FC36AD">
        <w:rPr>
          <w:rFonts w:ascii="Times New Roman" w:hAnsi="Times New Roman"/>
          <w:sz w:val="24"/>
          <w:szCs w:val="24"/>
        </w:rPr>
        <w:t xml:space="preserve">Needs Assessment </w:t>
      </w:r>
      <w:r w:rsidR="00FC36AD">
        <w:rPr>
          <w:rFonts w:ascii="Times New Roman" w:hAnsi="Times New Roman"/>
          <w:sz w:val="24"/>
          <w:szCs w:val="24"/>
        </w:rPr>
        <w:t xml:space="preserve">reporting </w:t>
      </w:r>
      <w:r w:rsidRPr="00FC36AD">
        <w:rPr>
          <w:rFonts w:ascii="Times New Roman" w:hAnsi="Times New Roman"/>
          <w:sz w:val="24"/>
          <w:szCs w:val="24"/>
        </w:rPr>
        <w:t xml:space="preserve">is </w:t>
      </w:r>
      <w:r w:rsidRPr="00FC36AD" w:rsidR="004E26EC">
        <w:rPr>
          <w:rFonts w:ascii="Times New Roman" w:hAnsi="Times New Roman"/>
          <w:sz w:val="24"/>
          <w:szCs w:val="24"/>
        </w:rPr>
        <w:t xml:space="preserve">due to be submitted </w:t>
      </w:r>
      <w:r w:rsidRPr="00FC36AD">
        <w:rPr>
          <w:rFonts w:ascii="Times New Roman" w:hAnsi="Times New Roman"/>
          <w:sz w:val="24"/>
          <w:szCs w:val="24"/>
        </w:rPr>
        <w:t xml:space="preserve">in </w:t>
      </w:r>
      <w:r w:rsidR="009A6174">
        <w:rPr>
          <w:rFonts w:ascii="Times New Roman" w:hAnsi="Times New Roman"/>
          <w:sz w:val="24"/>
          <w:szCs w:val="24"/>
        </w:rPr>
        <w:t xml:space="preserve">July </w:t>
      </w:r>
      <w:r w:rsidRPr="00FC36AD">
        <w:rPr>
          <w:rFonts w:ascii="Times New Roman" w:hAnsi="Times New Roman"/>
          <w:sz w:val="24"/>
          <w:szCs w:val="24"/>
        </w:rPr>
        <w:t>20</w:t>
      </w:r>
      <w:r w:rsidR="00392ACE">
        <w:rPr>
          <w:rFonts w:ascii="Times New Roman" w:hAnsi="Times New Roman"/>
          <w:sz w:val="24"/>
          <w:szCs w:val="24"/>
        </w:rPr>
        <w:t>25</w:t>
      </w:r>
      <w:r w:rsidR="00966EBA">
        <w:rPr>
          <w:rFonts w:ascii="Times New Roman" w:hAnsi="Times New Roman"/>
          <w:sz w:val="24"/>
          <w:szCs w:val="24"/>
        </w:rPr>
        <w:t>,</w:t>
      </w:r>
      <w:r w:rsidR="009A6174">
        <w:rPr>
          <w:rFonts w:ascii="Times New Roman" w:hAnsi="Times New Roman"/>
          <w:sz w:val="24"/>
          <w:szCs w:val="24"/>
        </w:rPr>
        <w:t xml:space="preserve"> as part of the FY 202</w:t>
      </w:r>
      <w:r w:rsidR="00392ACE">
        <w:rPr>
          <w:rFonts w:ascii="Times New Roman" w:hAnsi="Times New Roman"/>
          <w:sz w:val="24"/>
          <w:szCs w:val="24"/>
        </w:rPr>
        <w:t>6</w:t>
      </w:r>
      <w:r w:rsidR="009A6174">
        <w:rPr>
          <w:rFonts w:ascii="Times New Roman" w:hAnsi="Times New Roman"/>
          <w:sz w:val="24"/>
          <w:szCs w:val="24"/>
        </w:rPr>
        <w:t xml:space="preserve"> Application/FY 20</w:t>
      </w:r>
      <w:r w:rsidR="00392ACE">
        <w:rPr>
          <w:rFonts w:ascii="Times New Roman" w:hAnsi="Times New Roman"/>
          <w:sz w:val="24"/>
          <w:szCs w:val="24"/>
        </w:rPr>
        <w:t>24</w:t>
      </w:r>
      <w:r w:rsidR="009A6174">
        <w:rPr>
          <w:rFonts w:ascii="Times New Roman" w:hAnsi="Times New Roman"/>
          <w:sz w:val="24"/>
          <w:szCs w:val="24"/>
        </w:rPr>
        <w:t xml:space="preserve"> Annual Report</w:t>
      </w:r>
      <w:r w:rsidRPr="00FC36AD">
        <w:rPr>
          <w:rFonts w:ascii="Times New Roman" w:hAnsi="Times New Roman"/>
          <w:sz w:val="24"/>
          <w:szCs w:val="24"/>
        </w:rPr>
        <w:t>.</w:t>
      </w:r>
    </w:p>
    <w:p w:rsidR="004B64B1" w:rsidRPr="00E371A6" w:rsidP="00CB509A" w14:paraId="7CD65D75" w14:textId="77777777">
      <w:pPr>
        <w:autoSpaceDE w:val="0"/>
        <w:autoSpaceDN w:val="0"/>
        <w:adjustRightInd w:val="0"/>
        <w:spacing w:after="0" w:line="240" w:lineRule="auto"/>
        <w:rPr>
          <w:rFonts w:ascii="Times New Roman" w:hAnsi="Times New Roman"/>
          <w:color w:val="31849B"/>
          <w:sz w:val="24"/>
          <w:szCs w:val="24"/>
        </w:rPr>
      </w:pPr>
    </w:p>
    <w:p w:rsidR="00CB509A" w:rsidRPr="00B40332" w:rsidP="00511211" w14:paraId="46CC3F6C" w14:textId="79A1407F">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t xml:space="preserve">7. </w:t>
      </w:r>
      <w:r w:rsidRPr="00B40332" w:rsidR="00511211">
        <w:rPr>
          <w:rFonts w:ascii="Times New Roman" w:hAnsi="Times New Roman"/>
          <w:b/>
          <w:bCs/>
          <w:sz w:val="24"/>
          <w:szCs w:val="24"/>
        </w:rPr>
        <w:tab/>
      </w:r>
      <w:r w:rsidR="00DB73EE">
        <w:rPr>
          <w:rFonts w:ascii="Times New Roman" w:hAnsi="Times New Roman"/>
          <w:b/>
          <w:bCs/>
          <w:sz w:val="24"/>
          <w:szCs w:val="24"/>
        </w:rPr>
        <w:t xml:space="preserve">Special Circumstances Relating to the Guidelines of CFR 1320.5 </w:t>
      </w:r>
    </w:p>
    <w:p w:rsidR="004B64B1" w:rsidRPr="00B40332" w:rsidP="00CB509A" w14:paraId="24A9FE0F" w14:textId="77777777">
      <w:pPr>
        <w:autoSpaceDE w:val="0"/>
        <w:autoSpaceDN w:val="0"/>
        <w:adjustRightInd w:val="0"/>
        <w:spacing w:after="0" w:line="240" w:lineRule="auto"/>
        <w:rPr>
          <w:rFonts w:ascii="Times New Roman" w:hAnsi="Times New Roman"/>
          <w:b/>
          <w:bCs/>
          <w:sz w:val="24"/>
          <w:szCs w:val="24"/>
        </w:rPr>
      </w:pPr>
    </w:p>
    <w:p w:rsidR="00E74D52" w:rsidRPr="000441BB" w:rsidP="000441BB" w14:paraId="2884478A" w14:textId="3A344C75">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This data collection is consistent with the guidelines in 5 CRF 1320.5</w:t>
      </w:r>
      <w:r w:rsidRPr="00B40332" w:rsidR="008B213A">
        <w:rPr>
          <w:rFonts w:ascii="Times New Roman" w:hAnsi="Times New Roman"/>
          <w:sz w:val="24"/>
          <w:szCs w:val="24"/>
        </w:rPr>
        <w:t>.</w:t>
      </w:r>
      <w:r w:rsidR="00535A04">
        <w:rPr>
          <w:rFonts w:ascii="Times New Roman" w:hAnsi="Times New Roman"/>
          <w:sz w:val="24"/>
          <w:szCs w:val="24"/>
        </w:rPr>
        <w:t xml:space="preserve"> </w:t>
      </w:r>
    </w:p>
    <w:p w:rsidR="00831B74" w:rsidRPr="00E371A6" w:rsidP="00CB509A" w14:paraId="75B9348C" w14:textId="77777777">
      <w:pPr>
        <w:autoSpaceDE w:val="0"/>
        <w:autoSpaceDN w:val="0"/>
        <w:adjustRightInd w:val="0"/>
        <w:spacing w:after="0" w:line="240" w:lineRule="auto"/>
        <w:rPr>
          <w:rFonts w:ascii="Times New Roman" w:hAnsi="Times New Roman"/>
          <w:color w:val="31849B"/>
          <w:sz w:val="24"/>
          <w:szCs w:val="24"/>
        </w:rPr>
      </w:pPr>
    </w:p>
    <w:p w:rsidR="00CB509A" w:rsidRPr="003C7728" w:rsidP="002C5928" w14:paraId="5D21E0A2" w14:textId="78742350">
      <w:pPr>
        <w:autoSpaceDE w:val="0"/>
        <w:autoSpaceDN w:val="0"/>
        <w:adjustRightInd w:val="0"/>
        <w:spacing w:after="0" w:line="240" w:lineRule="auto"/>
        <w:ind w:left="720" w:hanging="360"/>
        <w:rPr>
          <w:rFonts w:ascii="Times New Roman" w:hAnsi="Times New Roman"/>
          <w:b/>
          <w:bCs/>
          <w:sz w:val="24"/>
          <w:szCs w:val="24"/>
        </w:rPr>
      </w:pPr>
      <w:r w:rsidRPr="003C7728">
        <w:rPr>
          <w:rFonts w:ascii="Times New Roman" w:hAnsi="Times New Roman"/>
          <w:b/>
          <w:bCs/>
          <w:sz w:val="24"/>
          <w:szCs w:val="24"/>
        </w:rPr>
        <w:t xml:space="preserve">8. </w:t>
      </w:r>
      <w:r w:rsidRPr="003C7728" w:rsidR="00511211">
        <w:rPr>
          <w:rFonts w:ascii="Times New Roman" w:hAnsi="Times New Roman"/>
          <w:b/>
          <w:bCs/>
          <w:sz w:val="24"/>
          <w:szCs w:val="24"/>
        </w:rPr>
        <w:tab/>
      </w:r>
      <w:r w:rsidR="00DB73EE">
        <w:rPr>
          <w:rFonts w:ascii="Times New Roman" w:hAnsi="Times New Roman"/>
          <w:b/>
          <w:bCs/>
          <w:sz w:val="24"/>
          <w:szCs w:val="24"/>
        </w:rPr>
        <w:t xml:space="preserve">Comments in Response to the Federal Register Notice/ Outside Consultation </w:t>
      </w:r>
    </w:p>
    <w:p w:rsidR="004B64B1" w:rsidRPr="00E371A6" w:rsidP="002C5928" w14:paraId="77B397C4" w14:textId="77777777">
      <w:pPr>
        <w:autoSpaceDE w:val="0"/>
        <w:autoSpaceDN w:val="0"/>
        <w:adjustRightInd w:val="0"/>
        <w:spacing w:after="0" w:line="240" w:lineRule="auto"/>
        <w:rPr>
          <w:rFonts w:ascii="Times New Roman" w:hAnsi="Times New Roman"/>
          <w:b/>
          <w:bCs/>
          <w:color w:val="31849B"/>
          <w:sz w:val="24"/>
          <w:szCs w:val="24"/>
        </w:rPr>
      </w:pPr>
    </w:p>
    <w:p w:rsidR="00E74D52" w:rsidRPr="005945E2" w:rsidP="002C5928" w14:paraId="3FD23024" w14:textId="5559E2F9">
      <w:pPr>
        <w:autoSpaceDE w:val="0"/>
        <w:autoSpaceDN w:val="0"/>
        <w:adjustRightInd w:val="0"/>
        <w:spacing w:after="0" w:line="240" w:lineRule="auto"/>
        <w:ind w:left="720"/>
        <w:rPr>
          <w:rFonts w:ascii="Times New Roman" w:hAnsi="Times New Roman"/>
          <w:sz w:val="24"/>
          <w:szCs w:val="24"/>
          <w:u w:val="single"/>
        </w:rPr>
      </w:pPr>
      <w:r w:rsidRPr="005945E2">
        <w:rPr>
          <w:rFonts w:ascii="Times New Roman" w:hAnsi="Times New Roman"/>
          <w:sz w:val="24"/>
          <w:szCs w:val="24"/>
          <w:u w:val="single"/>
        </w:rPr>
        <w:t>Section 8A:</w:t>
      </w:r>
    </w:p>
    <w:p w:rsidR="00E74D52" w:rsidRPr="005945E2" w:rsidP="002C5928" w14:paraId="7D8DAB51" w14:textId="77777777">
      <w:pPr>
        <w:autoSpaceDE w:val="0"/>
        <w:autoSpaceDN w:val="0"/>
        <w:adjustRightInd w:val="0"/>
        <w:spacing w:after="0" w:line="240" w:lineRule="auto"/>
        <w:ind w:left="720"/>
        <w:rPr>
          <w:rFonts w:ascii="Times New Roman" w:hAnsi="Times New Roman"/>
          <w:color w:val="31849B"/>
          <w:sz w:val="24"/>
          <w:szCs w:val="24"/>
        </w:rPr>
      </w:pPr>
    </w:p>
    <w:p w:rsidR="0098446D" w:rsidRPr="001E78DC" w:rsidP="002F3D33" w14:paraId="50629DCA" w14:textId="26517C74">
      <w:pPr>
        <w:pStyle w:val="ListParagraph"/>
        <w:spacing w:after="0" w:line="240" w:lineRule="auto"/>
        <w:rPr>
          <w:rFonts w:ascii="Times New Roman" w:hAnsi="Times New Roman"/>
          <w:sz w:val="24"/>
          <w:szCs w:val="24"/>
        </w:rPr>
      </w:pPr>
      <w:r w:rsidRPr="0098446D">
        <w:rPr>
          <w:rFonts w:ascii="Times New Roman" w:hAnsi="Times New Roman"/>
          <w:sz w:val="24"/>
          <w:szCs w:val="24"/>
        </w:rPr>
        <w:t xml:space="preserve">A 60-day notice was published in the Federal Register </w:t>
      </w:r>
      <w:r w:rsidRPr="0027701B">
        <w:rPr>
          <w:rFonts w:ascii="Times New Roman" w:hAnsi="Times New Roman"/>
          <w:sz w:val="24"/>
          <w:szCs w:val="24"/>
        </w:rPr>
        <w:t xml:space="preserve">on </w:t>
      </w:r>
      <w:r w:rsidRPr="0027701B" w:rsidR="002F3D33">
        <w:rPr>
          <w:rStyle w:val="normaltextrun"/>
          <w:rFonts w:ascii="Times New Roman" w:hAnsi="Times New Roman"/>
          <w:color w:val="000000"/>
          <w:shd w:val="clear" w:color="auto" w:fill="FFFFFF"/>
        </w:rPr>
        <w:t>May 5th, 2023, vol. 88, No. 87; pp. 29135-37 (see attachment B).</w:t>
      </w:r>
      <w:r w:rsidR="002F3D33">
        <w:rPr>
          <w:rStyle w:val="normaltextrun"/>
          <w:rFonts w:ascii="Arial" w:hAnsi="Arial" w:cs="Arial"/>
          <w:b/>
          <w:bCs/>
          <w:color w:val="000000"/>
          <w:shd w:val="clear" w:color="auto" w:fill="FFFFFF"/>
        </w:rPr>
        <w:t xml:space="preserve">  </w:t>
      </w:r>
      <w:r w:rsidRPr="001E78DC" w:rsidR="00535A04">
        <w:rPr>
          <w:rFonts w:ascii="Times New Roman" w:hAnsi="Times New Roman"/>
          <w:sz w:val="24"/>
          <w:szCs w:val="24"/>
        </w:rPr>
        <w:t xml:space="preserve"> </w:t>
      </w:r>
      <w:r w:rsidRPr="001E78DC">
        <w:rPr>
          <w:rFonts w:ascii="Times New Roman" w:hAnsi="Times New Roman"/>
          <w:sz w:val="24"/>
          <w:szCs w:val="24"/>
        </w:rPr>
        <w:t xml:space="preserve">HRSA received 170 comments on the proposed updates to the tenth edition of the Guidance, from a variety of responders, including state Title V </w:t>
      </w:r>
      <w:r w:rsidRPr="001E78DC">
        <w:rPr>
          <w:rFonts w:ascii="Times New Roman" w:hAnsi="Times New Roman"/>
          <w:sz w:val="24"/>
          <w:szCs w:val="24"/>
        </w:rPr>
        <w:t>Programs, other state agencies, public health organizations, universities, members of the community, and other stakeholders. Of the 170 comments, 80 requested that stillbirth be addressed in the Guidance, and 71 requested that the oral health performance measures be retained as a national performance measure. The remainder of comments (19) included suggestions for clarifying instructions in certain sections of the Guidance, including examples of partnership with non-governmental organizations and family organizations, or responding to reporting burden on the universal performance measures. HRSA considered all public comments as part of its deliberative process in finalizing updates to the tenth edition of the Title V Maternal and Child Health Services Block Grant to States Program: Guidance and Forms for the Title V Application/Annual Report.</w:t>
      </w:r>
    </w:p>
    <w:p w:rsidR="0098446D" w:rsidP="00E34AEF" w14:paraId="29EAEF78" w14:textId="77777777">
      <w:pPr>
        <w:pStyle w:val="ListParagraph"/>
        <w:spacing w:after="0" w:line="240" w:lineRule="auto"/>
        <w:rPr>
          <w:rFonts w:ascii="Times New Roman" w:hAnsi="Times New Roman"/>
          <w:sz w:val="24"/>
          <w:szCs w:val="24"/>
        </w:rPr>
      </w:pPr>
    </w:p>
    <w:p w:rsidR="00841253" w:rsidRPr="00E34AEF" w:rsidP="00E34AEF" w14:paraId="06C9884E" w14:textId="2F0F9810">
      <w:pPr>
        <w:pStyle w:val="ListParagraph"/>
        <w:spacing w:after="0" w:line="240" w:lineRule="auto"/>
        <w:rPr>
          <w:rFonts w:ascii="Times New Roman" w:hAnsi="Times New Roman"/>
          <w:sz w:val="24"/>
          <w:szCs w:val="24"/>
        </w:rPr>
      </w:pPr>
      <w:r>
        <w:rPr>
          <w:rFonts w:ascii="Times New Roman" w:hAnsi="Times New Roman"/>
          <w:sz w:val="24"/>
          <w:szCs w:val="24"/>
        </w:rPr>
        <w:t xml:space="preserve">A </w:t>
      </w:r>
      <w:r w:rsidRPr="005945E2">
        <w:rPr>
          <w:rFonts w:ascii="Times New Roman" w:hAnsi="Times New Roman"/>
          <w:sz w:val="24"/>
          <w:szCs w:val="24"/>
        </w:rPr>
        <w:t xml:space="preserve">log of the </w:t>
      </w:r>
      <w:r w:rsidR="00B910C5">
        <w:rPr>
          <w:rFonts w:ascii="Times New Roman" w:hAnsi="Times New Roman"/>
          <w:sz w:val="24"/>
          <w:szCs w:val="24"/>
        </w:rPr>
        <w:t>pu</w:t>
      </w:r>
      <w:r w:rsidRPr="005945E2">
        <w:rPr>
          <w:rFonts w:ascii="Times New Roman" w:hAnsi="Times New Roman"/>
          <w:sz w:val="24"/>
          <w:szCs w:val="24"/>
        </w:rPr>
        <w:t xml:space="preserve">blic comments </w:t>
      </w:r>
      <w:r w:rsidR="00346D03">
        <w:rPr>
          <w:rFonts w:ascii="Times New Roman" w:hAnsi="Times New Roman"/>
          <w:sz w:val="24"/>
          <w:szCs w:val="24"/>
        </w:rPr>
        <w:t xml:space="preserve">received </w:t>
      </w:r>
      <w:r w:rsidR="00234FF2">
        <w:rPr>
          <w:rFonts w:ascii="Times New Roman" w:hAnsi="Times New Roman"/>
          <w:sz w:val="24"/>
          <w:szCs w:val="24"/>
        </w:rPr>
        <w:t>i</w:t>
      </w:r>
      <w:r w:rsidRPr="005945E2">
        <w:rPr>
          <w:rFonts w:ascii="Times New Roman" w:hAnsi="Times New Roman"/>
          <w:sz w:val="24"/>
          <w:szCs w:val="24"/>
        </w:rPr>
        <w:t>s provided in Attachment C.</w:t>
      </w:r>
      <w:r w:rsidR="00535A04">
        <w:rPr>
          <w:rFonts w:ascii="Times New Roman" w:hAnsi="Times New Roman"/>
          <w:sz w:val="24"/>
          <w:szCs w:val="24"/>
        </w:rPr>
        <w:t xml:space="preserve"> </w:t>
      </w:r>
      <w:r w:rsidR="004907A9">
        <w:rPr>
          <w:rFonts w:ascii="Times New Roman" w:hAnsi="Times New Roman"/>
          <w:sz w:val="24"/>
          <w:szCs w:val="24"/>
        </w:rPr>
        <w:t>which also includes</w:t>
      </w:r>
      <w:r w:rsidR="007368C1">
        <w:rPr>
          <w:rFonts w:ascii="Times New Roman" w:hAnsi="Times New Roman"/>
          <w:sz w:val="24"/>
          <w:szCs w:val="24"/>
        </w:rPr>
        <w:t xml:space="preserve"> </w:t>
      </w:r>
      <w:r w:rsidR="00B6342B">
        <w:rPr>
          <w:rFonts w:ascii="Times New Roman" w:hAnsi="Times New Roman"/>
          <w:sz w:val="24"/>
          <w:szCs w:val="24"/>
        </w:rPr>
        <w:t>the responses prepared by HRSA’s MCHB</w:t>
      </w:r>
      <w:r w:rsidR="00B8575A">
        <w:rPr>
          <w:rFonts w:ascii="Times New Roman" w:hAnsi="Times New Roman"/>
          <w:sz w:val="24"/>
          <w:szCs w:val="24"/>
        </w:rPr>
        <w:t>.</w:t>
      </w:r>
      <w:r w:rsidR="00535A04">
        <w:rPr>
          <w:rFonts w:ascii="Times New Roman" w:hAnsi="Times New Roman"/>
          <w:sz w:val="24"/>
          <w:szCs w:val="24"/>
        </w:rPr>
        <w:t xml:space="preserve"> </w:t>
      </w:r>
    </w:p>
    <w:p w:rsidR="00082B71" w:rsidP="00F630AA" w14:paraId="7C7EC597" w14:textId="17506722">
      <w:pPr>
        <w:pStyle w:val="CommentText"/>
        <w:spacing w:after="0"/>
        <w:rPr>
          <w:rFonts w:ascii="Times New Roman" w:hAnsi="Times New Roman"/>
          <w:sz w:val="24"/>
          <w:szCs w:val="24"/>
        </w:rPr>
      </w:pPr>
      <w:r>
        <w:rPr>
          <w:rFonts w:ascii="Times New Roman" w:hAnsi="Times New Roman"/>
          <w:sz w:val="24"/>
          <w:szCs w:val="24"/>
        </w:rPr>
        <w:t xml:space="preserve">  </w:t>
      </w:r>
    </w:p>
    <w:p w:rsidR="00CB509A" w:rsidRPr="000C720D" w:rsidP="00511211" w14:paraId="266F26F8" w14:textId="77777777">
      <w:pPr>
        <w:autoSpaceDE w:val="0"/>
        <w:autoSpaceDN w:val="0"/>
        <w:adjustRightInd w:val="0"/>
        <w:spacing w:after="0" w:line="240" w:lineRule="auto"/>
        <w:ind w:left="720"/>
        <w:rPr>
          <w:rFonts w:ascii="Times New Roman" w:hAnsi="Times New Roman"/>
          <w:bCs/>
          <w:sz w:val="24"/>
          <w:szCs w:val="24"/>
          <w:u w:val="single"/>
        </w:rPr>
      </w:pPr>
      <w:r w:rsidRPr="000C720D">
        <w:rPr>
          <w:rFonts w:ascii="Times New Roman" w:hAnsi="Times New Roman"/>
          <w:bCs/>
          <w:sz w:val="24"/>
          <w:szCs w:val="24"/>
          <w:u w:val="single"/>
        </w:rPr>
        <w:t>Section 8B:</w:t>
      </w:r>
    </w:p>
    <w:p w:rsidR="00E74D52" w:rsidRPr="000C720D" w:rsidP="00511211" w14:paraId="1136CE57" w14:textId="77777777">
      <w:pPr>
        <w:autoSpaceDE w:val="0"/>
        <w:autoSpaceDN w:val="0"/>
        <w:adjustRightInd w:val="0"/>
        <w:spacing w:after="0" w:line="240" w:lineRule="auto"/>
        <w:ind w:left="720"/>
        <w:rPr>
          <w:rFonts w:ascii="Times New Roman" w:hAnsi="Times New Roman"/>
          <w:color w:val="31849B"/>
          <w:sz w:val="24"/>
          <w:szCs w:val="24"/>
        </w:rPr>
      </w:pPr>
    </w:p>
    <w:p w:rsidR="006E77B8" w:rsidP="006E77B8" w14:paraId="7E9695B3" w14:textId="66B95045">
      <w:pPr>
        <w:spacing w:after="0" w:line="240" w:lineRule="auto"/>
        <w:ind w:left="720"/>
        <w:rPr>
          <w:rFonts w:ascii="Times New Roman" w:hAnsi="Times New Roman"/>
          <w:sz w:val="24"/>
          <w:szCs w:val="24"/>
        </w:rPr>
      </w:pPr>
      <w:r>
        <w:rPr>
          <w:rFonts w:ascii="Times New Roman" w:hAnsi="Times New Roman"/>
          <w:sz w:val="24"/>
          <w:szCs w:val="24"/>
        </w:rPr>
        <w:t xml:space="preserve">By legislation, the </w:t>
      </w:r>
      <w:r w:rsidR="000C720D">
        <w:rPr>
          <w:rFonts w:ascii="Times New Roman" w:hAnsi="Times New Roman"/>
          <w:sz w:val="24"/>
          <w:szCs w:val="24"/>
        </w:rPr>
        <w:t>MCH Bl</w:t>
      </w:r>
      <w:r w:rsidR="00B726A3">
        <w:rPr>
          <w:rFonts w:ascii="Times New Roman" w:hAnsi="Times New Roman"/>
          <w:sz w:val="24"/>
          <w:szCs w:val="24"/>
        </w:rPr>
        <w:t>ock Grant is administered as a federal-s</w:t>
      </w:r>
      <w:r w:rsidR="000C720D">
        <w:rPr>
          <w:rFonts w:ascii="Times New Roman" w:hAnsi="Times New Roman"/>
          <w:sz w:val="24"/>
          <w:szCs w:val="24"/>
        </w:rPr>
        <w:t>tate partnership.</w:t>
      </w:r>
      <w:r w:rsidR="00535A04">
        <w:rPr>
          <w:rFonts w:ascii="Times New Roman" w:hAnsi="Times New Roman"/>
          <w:sz w:val="24"/>
          <w:szCs w:val="24"/>
        </w:rPr>
        <w:t xml:space="preserve"> </w:t>
      </w:r>
      <w:r w:rsidR="000C720D">
        <w:rPr>
          <w:rFonts w:ascii="Times New Roman" w:hAnsi="Times New Roman"/>
          <w:sz w:val="24"/>
          <w:szCs w:val="24"/>
        </w:rPr>
        <w:t xml:space="preserve">Throughout the development of the updated Application/Annual Report Guidance, the MCHB engaged a </w:t>
      </w:r>
      <w:r w:rsidRPr="000C720D" w:rsidR="00F763A8">
        <w:rPr>
          <w:rFonts w:ascii="Times New Roman" w:hAnsi="Times New Roman"/>
          <w:sz w:val="24"/>
          <w:szCs w:val="24"/>
        </w:rPr>
        <w:t xml:space="preserve">range of </w:t>
      </w:r>
      <w:r w:rsidR="0017147B">
        <w:rPr>
          <w:rFonts w:ascii="Times New Roman" w:hAnsi="Times New Roman"/>
          <w:sz w:val="24"/>
          <w:szCs w:val="24"/>
        </w:rPr>
        <w:t>national and s</w:t>
      </w:r>
      <w:r w:rsidR="00AD7F09">
        <w:rPr>
          <w:rFonts w:ascii="Times New Roman" w:hAnsi="Times New Roman"/>
          <w:sz w:val="24"/>
          <w:szCs w:val="24"/>
        </w:rPr>
        <w:t xml:space="preserve">tate </w:t>
      </w:r>
      <w:r w:rsidRPr="000C720D" w:rsidR="00F763A8">
        <w:rPr>
          <w:rFonts w:ascii="Times New Roman" w:hAnsi="Times New Roman"/>
          <w:sz w:val="24"/>
          <w:szCs w:val="24"/>
        </w:rPr>
        <w:t>MCH leaders and key stakeholders.</w:t>
      </w:r>
      <w:r w:rsidR="00535A04">
        <w:rPr>
          <w:rFonts w:ascii="Times New Roman" w:hAnsi="Times New Roman"/>
          <w:sz w:val="24"/>
          <w:szCs w:val="24"/>
        </w:rPr>
        <w:t xml:space="preserve"> </w:t>
      </w:r>
      <w:r w:rsidRPr="002349BC" w:rsidR="000C720D">
        <w:rPr>
          <w:rFonts w:ascii="Times New Roman" w:hAnsi="Times New Roman"/>
          <w:sz w:val="24"/>
          <w:szCs w:val="24"/>
        </w:rPr>
        <w:t xml:space="preserve">The proposed updates </w:t>
      </w:r>
      <w:r w:rsidRPr="002349BC">
        <w:rPr>
          <w:rFonts w:ascii="Times New Roman" w:hAnsi="Times New Roman"/>
          <w:sz w:val="24"/>
          <w:szCs w:val="24"/>
        </w:rPr>
        <w:t>to th</w:t>
      </w:r>
      <w:r w:rsidR="003D23B4">
        <w:rPr>
          <w:rFonts w:ascii="Times New Roman" w:hAnsi="Times New Roman"/>
          <w:sz w:val="24"/>
          <w:szCs w:val="24"/>
        </w:rPr>
        <w:t xml:space="preserve">is </w:t>
      </w:r>
      <w:r w:rsidRPr="002349BC">
        <w:rPr>
          <w:rFonts w:ascii="Times New Roman" w:hAnsi="Times New Roman"/>
          <w:sz w:val="24"/>
          <w:szCs w:val="24"/>
        </w:rPr>
        <w:t xml:space="preserve">edition </w:t>
      </w:r>
      <w:r w:rsidRPr="002349BC" w:rsidR="00273357">
        <w:rPr>
          <w:rFonts w:ascii="Times New Roman" w:hAnsi="Times New Roman"/>
          <w:sz w:val="24"/>
          <w:szCs w:val="24"/>
        </w:rPr>
        <w:t>(20</w:t>
      </w:r>
      <w:r w:rsidRPr="002349BC" w:rsidR="002349BC">
        <w:rPr>
          <w:rFonts w:ascii="Times New Roman" w:hAnsi="Times New Roman"/>
          <w:sz w:val="24"/>
          <w:szCs w:val="24"/>
        </w:rPr>
        <w:t>2</w:t>
      </w:r>
      <w:r w:rsidR="00F9510F">
        <w:rPr>
          <w:rFonts w:ascii="Times New Roman" w:hAnsi="Times New Roman"/>
          <w:sz w:val="24"/>
          <w:szCs w:val="24"/>
        </w:rPr>
        <w:t>3</w:t>
      </w:r>
      <w:r w:rsidRPr="002349BC" w:rsidR="00273357">
        <w:rPr>
          <w:rFonts w:ascii="Times New Roman" w:hAnsi="Times New Roman"/>
          <w:sz w:val="24"/>
          <w:szCs w:val="24"/>
        </w:rPr>
        <w:t xml:space="preserve">) </w:t>
      </w:r>
      <w:r w:rsidRPr="002349BC">
        <w:rPr>
          <w:rFonts w:ascii="Times New Roman" w:hAnsi="Times New Roman"/>
          <w:sz w:val="24"/>
          <w:szCs w:val="24"/>
        </w:rPr>
        <w:t xml:space="preserve">of the Application/Annual Report Guidance </w:t>
      </w:r>
      <w:r w:rsidRPr="002349BC" w:rsidR="000C720D">
        <w:rPr>
          <w:rFonts w:ascii="Times New Roman" w:hAnsi="Times New Roman"/>
          <w:sz w:val="24"/>
          <w:szCs w:val="24"/>
        </w:rPr>
        <w:t xml:space="preserve">reflect the recommendations </w:t>
      </w:r>
      <w:r w:rsidRPr="002349BC" w:rsidR="00AD7F09">
        <w:rPr>
          <w:rFonts w:ascii="Times New Roman" w:hAnsi="Times New Roman"/>
          <w:sz w:val="24"/>
          <w:szCs w:val="24"/>
        </w:rPr>
        <w:t xml:space="preserve">of </w:t>
      </w:r>
      <w:r w:rsidR="00200DE6">
        <w:rPr>
          <w:rFonts w:ascii="Times New Roman" w:hAnsi="Times New Roman"/>
          <w:sz w:val="24"/>
          <w:szCs w:val="24"/>
        </w:rPr>
        <w:t>four</w:t>
      </w:r>
      <w:r w:rsidRPr="002349BC" w:rsidR="00200DE6">
        <w:rPr>
          <w:rFonts w:ascii="Times New Roman" w:hAnsi="Times New Roman"/>
          <w:sz w:val="24"/>
          <w:szCs w:val="24"/>
        </w:rPr>
        <w:t xml:space="preserve"> </w:t>
      </w:r>
      <w:r w:rsidRPr="002349BC" w:rsidR="000C720D">
        <w:rPr>
          <w:rFonts w:ascii="Times New Roman" w:hAnsi="Times New Roman"/>
          <w:sz w:val="24"/>
          <w:szCs w:val="24"/>
        </w:rPr>
        <w:t xml:space="preserve">internal </w:t>
      </w:r>
      <w:r w:rsidRPr="002349BC">
        <w:rPr>
          <w:rFonts w:ascii="Times New Roman" w:hAnsi="Times New Roman"/>
          <w:sz w:val="24"/>
          <w:szCs w:val="24"/>
        </w:rPr>
        <w:t xml:space="preserve">MCHB </w:t>
      </w:r>
      <w:r w:rsidRPr="002349BC" w:rsidR="000C720D">
        <w:rPr>
          <w:rFonts w:ascii="Times New Roman" w:hAnsi="Times New Roman"/>
          <w:sz w:val="24"/>
          <w:szCs w:val="24"/>
        </w:rPr>
        <w:t>workgroups</w:t>
      </w:r>
      <w:r w:rsidRPr="002349BC" w:rsidR="00AD7F09">
        <w:rPr>
          <w:rFonts w:ascii="Times New Roman" w:hAnsi="Times New Roman"/>
          <w:sz w:val="24"/>
          <w:szCs w:val="24"/>
        </w:rPr>
        <w:t xml:space="preserve"> </w:t>
      </w:r>
      <w:r w:rsidRPr="002349BC" w:rsidR="00194ABF">
        <w:rPr>
          <w:rFonts w:ascii="Times New Roman" w:hAnsi="Times New Roman"/>
          <w:sz w:val="24"/>
          <w:szCs w:val="24"/>
        </w:rPr>
        <w:t>(</w:t>
      </w:r>
      <w:r w:rsidRPr="002349BC" w:rsidR="004158B6">
        <w:rPr>
          <w:rFonts w:ascii="Times New Roman" w:hAnsi="Times New Roman"/>
          <w:sz w:val="24"/>
          <w:szCs w:val="24"/>
        </w:rPr>
        <w:t xml:space="preserve">i.e., </w:t>
      </w:r>
      <w:r w:rsidRPr="002349BC" w:rsidR="00194ABF">
        <w:rPr>
          <w:rFonts w:ascii="Times New Roman" w:hAnsi="Times New Roman"/>
          <w:sz w:val="24"/>
          <w:szCs w:val="24"/>
        </w:rPr>
        <w:t>National Performance and Outcome Measures Workgroup;</w:t>
      </w:r>
      <w:r w:rsidR="003C4ECE">
        <w:rPr>
          <w:rFonts w:ascii="Times New Roman" w:hAnsi="Times New Roman"/>
          <w:sz w:val="24"/>
          <w:szCs w:val="24"/>
        </w:rPr>
        <w:t xml:space="preserve"> Children with Special Health Care Needs</w:t>
      </w:r>
      <w:r w:rsidRPr="002349BC" w:rsidR="00194ABF">
        <w:rPr>
          <w:rFonts w:ascii="Times New Roman" w:hAnsi="Times New Roman"/>
          <w:sz w:val="24"/>
          <w:szCs w:val="24"/>
        </w:rPr>
        <w:t xml:space="preserve"> </w:t>
      </w:r>
      <w:r w:rsidR="003C4ECE">
        <w:rPr>
          <w:rFonts w:ascii="Times New Roman" w:hAnsi="Times New Roman"/>
          <w:sz w:val="24"/>
          <w:szCs w:val="24"/>
        </w:rPr>
        <w:t>(</w:t>
      </w:r>
      <w:r w:rsidRPr="002349BC" w:rsidR="00194ABF">
        <w:rPr>
          <w:rFonts w:ascii="Times New Roman" w:hAnsi="Times New Roman"/>
          <w:sz w:val="24"/>
          <w:szCs w:val="24"/>
        </w:rPr>
        <w:t>CSHCN</w:t>
      </w:r>
      <w:r w:rsidR="003C4ECE">
        <w:rPr>
          <w:rFonts w:ascii="Times New Roman" w:hAnsi="Times New Roman"/>
          <w:sz w:val="24"/>
          <w:szCs w:val="24"/>
        </w:rPr>
        <w:t>)</w:t>
      </w:r>
      <w:r w:rsidRPr="002349BC" w:rsidR="00194ABF">
        <w:rPr>
          <w:rFonts w:ascii="Times New Roman" w:hAnsi="Times New Roman"/>
          <w:sz w:val="24"/>
          <w:szCs w:val="24"/>
        </w:rPr>
        <w:t xml:space="preserve"> and Family Engagement/Leadership Workgroup; </w:t>
      </w:r>
      <w:r w:rsidR="00200DE6">
        <w:rPr>
          <w:rFonts w:ascii="Times New Roman" w:hAnsi="Times New Roman"/>
          <w:sz w:val="24"/>
          <w:szCs w:val="24"/>
        </w:rPr>
        <w:t xml:space="preserve">Health Equity Workgroup, </w:t>
      </w:r>
      <w:r w:rsidRPr="002349BC" w:rsidR="00194ABF">
        <w:rPr>
          <w:rFonts w:ascii="Times New Roman" w:hAnsi="Times New Roman"/>
          <w:sz w:val="24"/>
          <w:szCs w:val="24"/>
        </w:rPr>
        <w:t>and Narrative Guidance/Reporting Forms</w:t>
      </w:r>
      <w:r w:rsidRPr="002349BC">
        <w:rPr>
          <w:rFonts w:ascii="Times New Roman" w:hAnsi="Times New Roman"/>
          <w:sz w:val="24"/>
          <w:szCs w:val="24"/>
        </w:rPr>
        <w:t xml:space="preserve"> Workgroup</w:t>
      </w:r>
      <w:r w:rsidRPr="002349BC" w:rsidR="00194ABF">
        <w:rPr>
          <w:rFonts w:ascii="Times New Roman" w:hAnsi="Times New Roman"/>
          <w:sz w:val="24"/>
          <w:szCs w:val="24"/>
        </w:rPr>
        <w:t xml:space="preserve">) </w:t>
      </w:r>
      <w:r w:rsidRPr="002349BC" w:rsidR="000C720D">
        <w:rPr>
          <w:rFonts w:ascii="Times New Roman" w:hAnsi="Times New Roman"/>
          <w:sz w:val="24"/>
          <w:szCs w:val="24"/>
        </w:rPr>
        <w:t xml:space="preserve">and </w:t>
      </w:r>
      <w:r w:rsidRPr="002349BC" w:rsidR="004158B6">
        <w:rPr>
          <w:rFonts w:ascii="Times New Roman" w:hAnsi="Times New Roman"/>
          <w:sz w:val="24"/>
          <w:szCs w:val="24"/>
        </w:rPr>
        <w:t xml:space="preserve">the </w:t>
      </w:r>
      <w:r w:rsidRPr="002349BC" w:rsidR="00EB5EEE">
        <w:rPr>
          <w:rFonts w:ascii="Times New Roman" w:hAnsi="Times New Roman"/>
          <w:sz w:val="24"/>
          <w:szCs w:val="24"/>
        </w:rPr>
        <w:t xml:space="preserve">input </w:t>
      </w:r>
      <w:r w:rsidRPr="002349BC" w:rsidR="00493651">
        <w:rPr>
          <w:rFonts w:ascii="Times New Roman" w:hAnsi="Times New Roman"/>
          <w:sz w:val="24"/>
          <w:szCs w:val="24"/>
        </w:rPr>
        <w:t xml:space="preserve">received from </w:t>
      </w:r>
      <w:r w:rsidRPr="002349BC" w:rsidR="00EB5EEE">
        <w:rPr>
          <w:rFonts w:ascii="Times New Roman" w:hAnsi="Times New Roman"/>
          <w:sz w:val="24"/>
          <w:szCs w:val="24"/>
        </w:rPr>
        <w:t>e</w:t>
      </w:r>
      <w:r w:rsidRPr="002349BC" w:rsidR="000C720D">
        <w:rPr>
          <w:rFonts w:ascii="Times New Roman" w:hAnsi="Times New Roman"/>
          <w:sz w:val="24"/>
          <w:szCs w:val="24"/>
        </w:rPr>
        <w:t>xternal partners.</w:t>
      </w:r>
      <w:r w:rsidR="00535A04">
        <w:rPr>
          <w:rFonts w:ascii="Times New Roman" w:hAnsi="Times New Roman"/>
          <w:sz w:val="24"/>
          <w:szCs w:val="24"/>
        </w:rPr>
        <w:t xml:space="preserve"> </w:t>
      </w:r>
      <w:r w:rsidRPr="00024622">
        <w:rPr>
          <w:rFonts w:ascii="Times New Roman" w:hAnsi="Times New Roman"/>
          <w:sz w:val="24"/>
          <w:szCs w:val="24"/>
        </w:rPr>
        <w:t xml:space="preserve">It should be noted that the </w:t>
      </w:r>
      <w:r w:rsidRPr="00024622" w:rsidR="004158B6">
        <w:rPr>
          <w:rFonts w:ascii="Times New Roman" w:hAnsi="Times New Roman"/>
          <w:sz w:val="24"/>
          <w:szCs w:val="24"/>
        </w:rPr>
        <w:t xml:space="preserve">CSHCN and Family Engagement/Leadership Workgroup solicited </w:t>
      </w:r>
      <w:r w:rsidRPr="00024622" w:rsidR="00493651">
        <w:rPr>
          <w:rFonts w:ascii="Times New Roman" w:hAnsi="Times New Roman"/>
          <w:sz w:val="24"/>
          <w:szCs w:val="24"/>
        </w:rPr>
        <w:t xml:space="preserve">feedback from </w:t>
      </w:r>
      <w:r w:rsidR="00B84E27">
        <w:rPr>
          <w:rFonts w:ascii="Times New Roman" w:hAnsi="Times New Roman"/>
          <w:sz w:val="24"/>
          <w:szCs w:val="24"/>
        </w:rPr>
        <w:t>the Population Health Workgroup, which is comprised of federal and non-federal members,</w:t>
      </w:r>
      <w:r w:rsidR="00535A04">
        <w:rPr>
          <w:rFonts w:ascii="Times New Roman" w:hAnsi="Times New Roman"/>
          <w:sz w:val="24"/>
          <w:szCs w:val="24"/>
        </w:rPr>
        <w:t xml:space="preserve">  </w:t>
      </w:r>
      <w:r w:rsidR="000C720D">
        <w:rPr>
          <w:rFonts w:ascii="Times New Roman" w:hAnsi="Times New Roman"/>
          <w:sz w:val="24"/>
          <w:szCs w:val="24"/>
        </w:rPr>
        <w:t xml:space="preserve"> </w:t>
      </w:r>
    </w:p>
    <w:p w:rsidR="006E77B8" w:rsidP="006E77B8" w14:paraId="71F9F9C6" w14:textId="77777777">
      <w:pPr>
        <w:spacing w:after="0" w:line="240" w:lineRule="auto"/>
        <w:ind w:left="720"/>
        <w:rPr>
          <w:rFonts w:ascii="Times New Roman" w:hAnsi="Times New Roman"/>
          <w:sz w:val="24"/>
          <w:szCs w:val="24"/>
        </w:rPr>
      </w:pPr>
    </w:p>
    <w:p w:rsidR="00AD7F09" w:rsidRPr="002349BC" w:rsidP="00F630AA" w14:paraId="1DF0039D" w14:textId="6E495189">
      <w:pPr>
        <w:spacing w:after="0" w:line="240" w:lineRule="auto"/>
        <w:ind w:left="720"/>
        <w:rPr>
          <w:rFonts w:ascii="Times New Roman" w:hAnsi="Times New Roman"/>
          <w:sz w:val="24"/>
          <w:szCs w:val="24"/>
        </w:rPr>
      </w:pPr>
      <w:r w:rsidRPr="002349BC">
        <w:rPr>
          <w:rFonts w:ascii="Times New Roman" w:hAnsi="Times New Roman"/>
          <w:sz w:val="24"/>
          <w:szCs w:val="24"/>
        </w:rPr>
        <w:t xml:space="preserve">Specific </w:t>
      </w:r>
      <w:r w:rsidRPr="002349BC" w:rsidR="004645C4">
        <w:rPr>
          <w:rFonts w:ascii="Times New Roman" w:hAnsi="Times New Roman"/>
          <w:sz w:val="24"/>
          <w:szCs w:val="24"/>
        </w:rPr>
        <w:t xml:space="preserve">MCHB efforts to solicit </w:t>
      </w:r>
      <w:r w:rsidRPr="002349BC">
        <w:rPr>
          <w:rFonts w:ascii="Times New Roman" w:hAnsi="Times New Roman"/>
          <w:sz w:val="24"/>
          <w:szCs w:val="24"/>
        </w:rPr>
        <w:t>stakeholder feedback included:</w:t>
      </w:r>
      <w:r w:rsidR="00535A04">
        <w:rPr>
          <w:rFonts w:ascii="Times New Roman" w:hAnsi="Times New Roman"/>
          <w:sz w:val="24"/>
          <w:szCs w:val="24"/>
        </w:rPr>
        <w:t xml:space="preserve"> </w:t>
      </w:r>
    </w:p>
    <w:p w:rsidR="001B317F" w:rsidP="00C50D5F" w14:paraId="4DF292BC" w14:textId="27E1D7CB">
      <w:pPr>
        <w:numPr>
          <w:ilvl w:val="1"/>
          <w:numId w:val="7"/>
        </w:numPr>
        <w:autoSpaceDE w:val="0"/>
        <w:autoSpaceDN w:val="0"/>
        <w:adjustRightInd w:val="0"/>
        <w:spacing w:after="0" w:line="240" w:lineRule="auto"/>
        <w:ind w:left="1080"/>
        <w:rPr>
          <w:rFonts w:ascii="Times New Roman" w:hAnsi="Times New Roman"/>
          <w:sz w:val="24"/>
          <w:szCs w:val="24"/>
        </w:rPr>
      </w:pPr>
      <w:r w:rsidRPr="002349BC">
        <w:rPr>
          <w:rFonts w:ascii="Times New Roman" w:hAnsi="Times New Roman"/>
          <w:sz w:val="24"/>
          <w:szCs w:val="24"/>
        </w:rPr>
        <w:t xml:space="preserve">Convening of </w:t>
      </w:r>
      <w:r w:rsidRPr="002349BC" w:rsidR="002349BC">
        <w:rPr>
          <w:rFonts w:ascii="Times New Roman" w:hAnsi="Times New Roman"/>
          <w:sz w:val="24"/>
          <w:szCs w:val="24"/>
        </w:rPr>
        <w:t xml:space="preserve">a </w:t>
      </w:r>
      <w:r w:rsidR="00EB2C21">
        <w:rPr>
          <w:rFonts w:ascii="Times New Roman" w:hAnsi="Times New Roman"/>
          <w:sz w:val="24"/>
          <w:szCs w:val="24"/>
        </w:rPr>
        <w:t xml:space="preserve">series of townhalls with </w:t>
      </w:r>
      <w:r>
        <w:rPr>
          <w:rFonts w:ascii="Times New Roman" w:hAnsi="Times New Roman"/>
          <w:sz w:val="24"/>
          <w:szCs w:val="24"/>
        </w:rPr>
        <w:t>states in region to examine the performance measure framework</w:t>
      </w:r>
      <w:r w:rsidR="00EC31C3">
        <w:rPr>
          <w:rFonts w:ascii="Times New Roman" w:hAnsi="Times New Roman"/>
          <w:sz w:val="24"/>
          <w:szCs w:val="24"/>
        </w:rPr>
        <w:t>;</w:t>
      </w:r>
    </w:p>
    <w:p w:rsidR="000C720D" w:rsidRPr="002349BC" w:rsidP="00C50D5F" w14:paraId="1BC75A0E" w14:textId="078F9774">
      <w:pPr>
        <w:numPr>
          <w:ilvl w:val="1"/>
          <w:numId w:val="7"/>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 xml:space="preserve">Two virtual </w:t>
      </w:r>
      <w:r w:rsidRPr="002349BC" w:rsidR="000741AC">
        <w:rPr>
          <w:rFonts w:ascii="Times New Roman" w:hAnsi="Times New Roman"/>
          <w:sz w:val="24"/>
          <w:szCs w:val="24"/>
        </w:rPr>
        <w:t>n</w:t>
      </w:r>
      <w:r w:rsidRPr="002349BC" w:rsidR="004645C4">
        <w:rPr>
          <w:rFonts w:ascii="Times New Roman" w:hAnsi="Times New Roman"/>
          <w:sz w:val="24"/>
          <w:szCs w:val="24"/>
        </w:rPr>
        <w:t xml:space="preserve">ational </w:t>
      </w:r>
      <w:r w:rsidRPr="002349BC">
        <w:rPr>
          <w:rFonts w:ascii="Times New Roman" w:hAnsi="Times New Roman"/>
          <w:sz w:val="24"/>
          <w:szCs w:val="24"/>
        </w:rPr>
        <w:t>Town Hall session</w:t>
      </w:r>
      <w:r>
        <w:rPr>
          <w:rFonts w:ascii="Times New Roman" w:hAnsi="Times New Roman"/>
          <w:sz w:val="24"/>
          <w:szCs w:val="24"/>
        </w:rPr>
        <w:t>s</w:t>
      </w:r>
      <w:r w:rsidRPr="002349BC">
        <w:rPr>
          <w:rFonts w:ascii="Times New Roman" w:hAnsi="Times New Roman"/>
          <w:sz w:val="24"/>
          <w:szCs w:val="24"/>
        </w:rPr>
        <w:t xml:space="preserve"> with State Title V MCH programs</w:t>
      </w:r>
      <w:r>
        <w:rPr>
          <w:rFonts w:ascii="Times New Roman" w:hAnsi="Times New Roman"/>
          <w:sz w:val="24"/>
          <w:szCs w:val="24"/>
        </w:rPr>
        <w:t>,</w:t>
      </w:r>
      <w:r w:rsidR="00BE32A3">
        <w:rPr>
          <w:rFonts w:ascii="Times New Roman" w:hAnsi="Times New Roman"/>
          <w:sz w:val="24"/>
          <w:szCs w:val="24"/>
        </w:rPr>
        <w:t xml:space="preserve"> stakeholders, partners,</w:t>
      </w:r>
      <w:r>
        <w:rPr>
          <w:rFonts w:ascii="Times New Roman" w:hAnsi="Times New Roman"/>
          <w:sz w:val="24"/>
          <w:szCs w:val="24"/>
        </w:rPr>
        <w:t xml:space="preserve"> community</w:t>
      </w:r>
      <w:r w:rsidR="00BE32A3">
        <w:rPr>
          <w:rFonts w:ascii="Times New Roman" w:hAnsi="Times New Roman"/>
          <w:sz w:val="24"/>
          <w:szCs w:val="24"/>
        </w:rPr>
        <w:t xml:space="preserve"> members, and families</w:t>
      </w:r>
      <w:r w:rsidRPr="002349BC">
        <w:rPr>
          <w:rFonts w:ascii="Times New Roman" w:hAnsi="Times New Roman"/>
          <w:sz w:val="24"/>
          <w:szCs w:val="24"/>
        </w:rPr>
        <w:t>;</w:t>
      </w:r>
    </w:p>
    <w:p w:rsidR="002814C4" w:rsidRPr="002349BC" w:rsidP="00C50D5F" w14:paraId="49D69185" w14:textId="4BA377D9">
      <w:pPr>
        <w:numPr>
          <w:ilvl w:val="1"/>
          <w:numId w:val="7"/>
        </w:numPr>
        <w:autoSpaceDE w:val="0"/>
        <w:autoSpaceDN w:val="0"/>
        <w:adjustRightInd w:val="0"/>
        <w:spacing w:after="0" w:line="240" w:lineRule="auto"/>
        <w:ind w:left="1080"/>
        <w:rPr>
          <w:rFonts w:ascii="Times New Roman" w:hAnsi="Times New Roman"/>
          <w:sz w:val="24"/>
          <w:szCs w:val="24"/>
        </w:rPr>
      </w:pPr>
      <w:r w:rsidRPr="002349BC">
        <w:rPr>
          <w:rFonts w:ascii="Times New Roman" w:hAnsi="Times New Roman"/>
          <w:sz w:val="24"/>
          <w:szCs w:val="24"/>
        </w:rPr>
        <w:t>Conducting an informational webinar</w:t>
      </w:r>
      <w:r w:rsidR="002349BC">
        <w:rPr>
          <w:rFonts w:ascii="Times New Roman" w:hAnsi="Times New Roman"/>
          <w:sz w:val="24"/>
          <w:szCs w:val="24"/>
        </w:rPr>
        <w:t xml:space="preserve"> </w:t>
      </w:r>
      <w:r w:rsidR="002C4FDB">
        <w:rPr>
          <w:rFonts w:ascii="Times New Roman" w:hAnsi="Times New Roman"/>
          <w:sz w:val="24"/>
          <w:szCs w:val="24"/>
        </w:rPr>
        <w:t xml:space="preserve">on the proposed updates </w:t>
      </w:r>
      <w:r w:rsidR="002349BC">
        <w:rPr>
          <w:rFonts w:ascii="Times New Roman" w:hAnsi="Times New Roman"/>
          <w:sz w:val="24"/>
          <w:szCs w:val="24"/>
        </w:rPr>
        <w:t>for State Title V MCH programs</w:t>
      </w:r>
      <w:r w:rsidRPr="002349BC">
        <w:rPr>
          <w:rFonts w:ascii="Times New Roman" w:hAnsi="Times New Roman"/>
          <w:sz w:val="24"/>
          <w:szCs w:val="24"/>
        </w:rPr>
        <w:t>;</w:t>
      </w:r>
      <w:r w:rsidR="003C6C29">
        <w:rPr>
          <w:rFonts w:ascii="Times New Roman" w:hAnsi="Times New Roman"/>
          <w:sz w:val="24"/>
          <w:szCs w:val="24"/>
        </w:rPr>
        <w:t xml:space="preserve"> and</w:t>
      </w:r>
    </w:p>
    <w:p w:rsidR="000C720D" w:rsidRPr="002C4FDB" w:rsidP="00E96501" w14:paraId="47996B44" w14:textId="0DC9F93F">
      <w:pPr>
        <w:numPr>
          <w:ilvl w:val="1"/>
          <w:numId w:val="7"/>
        </w:numPr>
        <w:autoSpaceDE w:val="0"/>
        <w:autoSpaceDN w:val="0"/>
        <w:adjustRightInd w:val="0"/>
        <w:spacing w:after="0" w:line="240" w:lineRule="auto"/>
        <w:ind w:left="1080"/>
        <w:rPr>
          <w:rFonts w:ascii="Times New Roman" w:hAnsi="Times New Roman"/>
          <w:sz w:val="24"/>
          <w:szCs w:val="24"/>
        </w:rPr>
      </w:pPr>
      <w:r w:rsidRPr="002C4FDB">
        <w:rPr>
          <w:rFonts w:ascii="Times New Roman" w:hAnsi="Times New Roman"/>
          <w:sz w:val="24"/>
          <w:szCs w:val="24"/>
        </w:rPr>
        <w:t>Soliciting i</w:t>
      </w:r>
      <w:r w:rsidRPr="002C4FDB" w:rsidR="002814C4">
        <w:rPr>
          <w:rFonts w:ascii="Times New Roman" w:hAnsi="Times New Roman"/>
          <w:sz w:val="24"/>
          <w:szCs w:val="24"/>
        </w:rPr>
        <w:t xml:space="preserve">nput </w:t>
      </w:r>
      <w:r w:rsidRPr="002C4FDB">
        <w:rPr>
          <w:rFonts w:ascii="Times New Roman" w:hAnsi="Times New Roman"/>
          <w:sz w:val="24"/>
          <w:szCs w:val="24"/>
        </w:rPr>
        <w:t xml:space="preserve">from </w:t>
      </w:r>
      <w:r w:rsidR="003C4ECE">
        <w:rPr>
          <w:rFonts w:ascii="Times New Roman" w:hAnsi="Times New Roman"/>
          <w:sz w:val="24"/>
          <w:szCs w:val="24"/>
        </w:rPr>
        <w:t xml:space="preserve">the </w:t>
      </w:r>
      <w:r w:rsidRPr="002C4FDB" w:rsidR="002814C4">
        <w:rPr>
          <w:rFonts w:ascii="Times New Roman" w:hAnsi="Times New Roman"/>
          <w:sz w:val="24"/>
          <w:szCs w:val="24"/>
        </w:rPr>
        <w:t>A</w:t>
      </w:r>
      <w:r w:rsidR="003C4ECE">
        <w:rPr>
          <w:rFonts w:ascii="Times New Roman" w:hAnsi="Times New Roman"/>
          <w:sz w:val="24"/>
          <w:szCs w:val="24"/>
        </w:rPr>
        <w:t>ssociation of Maternal and Child Health Programs</w:t>
      </w:r>
      <w:r w:rsidR="006379CF">
        <w:rPr>
          <w:rFonts w:ascii="Times New Roman" w:hAnsi="Times New Roman"/>
          <w:sz w:val="24"/>
          <w:szCs w:val="24"/>
        </w:rPr>
        <w:t>.</w:t>
      </w:r>
    </w:p>
    <w:p w:rsidR="000C720D" w:rsidP="006E77B8" w14:paraId="2D5977B7" w14:textId="33BA6806">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Pr="000C720D" w:rsidR="00A86B39">
        <w:rPr>
          <w:rFonts w:ascii="Times New Roman" w:hAnsi="Times New Roman"/>
          <w:sz w:val="24"/>
          <w:szCs w:val="24"/>
        </w:rPr>
        <w:t xml:space="preserve"> </w:t>
      </w:r>
    </w:p>
    <w:p w:rsidR="00071B82" w:rsidRPr="00071B82" w:rsidP="00071B82" w14:paraId="4CEC4B63" w14:textId="11357118">
      <w:pPr>
        <w:autoSpaceDE w:val="0"/>
        <w:autoSpaceDN w:val="0"/>
        <w:adjustRightInd w:val="0"/>
        <w:spacing w:after="0" w:line="240" w:lineRule="auto"/>
        <w:ind w:left="720"/>
        <w:rPr>
          <w:rFonts w:ascii="Times New Roman" w:hAnsi="Times New Roman"/>
          <w:sz w:val="24"/>
          <w:szCs w:val="24"/>
        </w:rPr>
      </w:pPr>
      <w:r w:rsidRPr="00751674">
        <w:rPr>
          <w:rFonts w:ascii="Times New Roman" w:hAnsi="Times New Roman"/>
          <w:sz w:val="24"/>
          <w:szCs w:val="24"/>
        </w:rPr>
        <w:t>W</w:t>
      </w:r>
      <w:r w:rsidRPr="00751674" w:rsidR="00AB4C44">
        <w:rPr>
          <w:rFonts w:ascii="Times New Roman" w:hAnsi="Times New Roman"/>
          <w:sz w:val="24"/>
          <w:szCs w:val="24"/>
        </w:rPr>
        <w:t xml:space="preserve">hile preliminary, proposed updates to the next edition </w:t>
      </w:r>
      <w:r w:rsidRPr="00751674" w:rsidR="00751674">
        <w:rPr>
          <w:rFonts w:ascii="Times New Roman" w:hAnsi="Times New Roman"/>
          <w:sz w:val="24"/>
          <w:szCs w:val="24"/>
        </w:rPr>
        <w:t>(202</w:t>
      </w:r>
      <w:r w:rsidR="00F9510F">
        <w:rPr>
          <w:rFonts w:ascii="Times New Roman" w:hAnsi="Times New Roman"/>
          <w:sz w:val="24"/>
          <w:szCs w:val="24"/>
        </w:rPr>
        <w:t>3</w:t>
      </w:r>
      <w:r w:rsidRPr="00751674" w:rsidR="00751674">
        <w:rPr>
          <w:rFonts w:ascii="Times New Roman" w:hAnsi="Times New Roman"/>
          <w:sz w:val="24"/>
          <w:szCs w:val="24"/>
        </w:rPr>
        <w:t xml:space="preserve">) </w:t>
      </w:r>
      <w:r w:rsidRPr="00751674" w:rsidR="00AB4C44">
        <w:rPr>
          <w:rFonts w:ascii="Times New Roman" w:hAnsi="Times New Roman"/>
          <w:sz w:val="24"/>
          <w:szCs w:val="24"/>
        </w:rPr>
        <w:t xml:space="preserve">of the Application/Annual Report Guidance were </w:t>
      </w:r>
      <w:r w:rsidRPr="00751674" w:rsidR="00615C74">
        <w:rPr>
          <w:rFonts w:ascii="Times New Roman" w:hAnsi="Times New Roman"/>
          <w:sz w:val="24"/>
          <w:szCs w:val="24"/>
        </w:rPr>
        <w:t xml:space="preserve">shared with the State Title V Directors and the MCH community </w:t>
      </w:r>
      <w:r w:rsidRPr="00751674" w:rsidR="00DC236E">
        <w:rPr>
          <w:rFonts w:ascii="Times New Roman" w:hAnsi="Times New Roman"/>
          <w:sz w:val="24"/>
          <w:szCs w:val="24"/>
        </w:rPr>
        <w:t xml:space="preserve">in </w:t>
      </w:r>
      <w:r w:rsidRPr="00751674">
        <w:rPr>
          <w:rFonts w:ascii="Times New Roman" w:hAnsi="Times New Roman"/>
          <w:sz w:val="24"/>
          <w:szCs w:val="24"/>
        </w:rPr>
        <w:t xml:space="preserve">a </w:t>
      </w:r>
      <w:r w:rsidRPr="00751674" w:rsidR="00751674">
        <w:rPr>
          <w:rFonts w:ascii="Times New Roman" w:hAnsi="Times New Roman"/>
          <w:sz w:val="24"/>
          <w:szCs w:val="24"/>
        </w:rPr>
        <w:t>webinar presentation in</w:t>
      </w:r>
      <w:r w:rsidR="00F9510F">
        <w:rPr>
          <w:rFonts w:ascii="Times New Roman" w:hAnsi="Times New Roman"/>
          <w:sz w:val="24"/>
          <w:szCs w:val="24"/>
        </w:rPr>
        <w:t xml:space="preserve"> May 2023</w:t>
      </w:r>
      <w:r w:rsidRPr="00751674" w:rsidR="00751674">
        <w:rPr>
          <w:rFonts w:ascii="Times New Roman" w:hAnsi="Times New Roman"/>
          <w:sz w:val="24"/>
          <w:szCs w:val="24"/>
        </w:rPr>
        <w:t xml:space="preserve">. </w:t>
      </w:r>
      <w:r w:rsidRPr="00751674" w:rsidR="00AB4C44">
        <w:rPr>
          <w:rFonts w:ascii="Times New Roman" w:hAnsi="Times New Roman"/>
          <w:sz w:val="24"/>
          <w:szCs w:val="24"/>
        </w:rPr>
        <w:t xml:space="preserve">Upon </w:t>
      </w:r>
      <w:r w:rsidRPr="00751674">
        <w:rPr>
          <w:rFonts w:ascii="Times New Roman" w:hAnsi="Times New Roman"/>
          <w:sz w:val="24"/>
          <w:szCs w:val="24"/>
        </w:rPr>
        <w:t xml:space="preserve">its </w:t>
      </w:r>
      <w:r w:rsidRPr="00751674" w:rsidR="00AB4C44">
        <w:rPr>
          <w:rFonts w:ascii="Times New Roman" w:hAnsi="Times New Roman"/>
          <w:sz w:val="24"/>
          <w:szCs w:val="24"/>
        </w:rPr>
        <w:t>publication</w:t>
      </w:r>
      <w:r w:rsidRPr="00751674" w:rsidR="00BC6CBD">
        <w:rPr>
          <w:rFonts w:ascii="Times New Roman" w:hAnsi="Times New Roman"/>
          <w:sz w:val="24"/>
          <w:szCs w:val="24"/>
        </w:rPr>
        <w:t xml:space="preserve"> on </w:t>
      </w:r>
      <w:r w:rsidR="00F9510F">
        <w:rPr>
          <w:rFonts w:ascii="Times New Roman" w:hAnsi="Times New Roman"/>
          <w:sz w:val="24"/>
          <w:szCs w:val="24"/>
        </w:rPr>
        <w:t xml:space="preserve">May 5, </w:t>
      </w:r>
      <w:r w:rsidRPr="00751674" w:rsidR="00BC6CBD">
        <w:rPr>
          <w:rFonts w:ascii="Times New Roman" w:hAnsi="Times New Roman"/>
          <w:sz w:val="24"/>
          <w:szCs w:val="24"/>
        </w:rPr>
        <w:t>20</w:t>
      </w:r>
      <w:r w:rsidRPr="00751674" w:rsidR="00751674">
        <w:rPr>
          <w:rFonts w:ascii="Times New Roman" w:hAnsi="Times New Roman"/>
          <w:sz w:val="24"/>
          <w:szCs w:val="24"/>
        </w:rPr>
        <w:t>2</w:t>
      </w:r>
      <w:r w:rsidR="00F9510F">
        <w:rPr>
          <w:rFonts w:ascii="Times New Roman" w:hAnsi="Times New Roman"/>
          <w:sz w:val="24"/>
          <w:szCs w:val="24"/>
        </w:rPr>
        <w:t>3</w:t>
      </w:r>
      <w:r w:rsidRPr="00751674" w:rsidR="00BC6CBD">
        <w:rPr>
          <w:rFonts w:ascii="Times New Roman" w:hAnsi="Times New Roman"/>
          <w:sz w:val="24"/>
          <w:szCs w:val="24"/>
        </w:rPr>
        <w:t>,</w:t>
      </w:r>
      <w:r w:rsidR="00BC6CBD">
        <w:rPr>
          <w:rFonts w:ascii="Times New Roman" w:hAnsi="Times New Roman"/>
          <w:sz w:val="24"/>
          <w:szCs w:val="24"/>
        </w:rPr>
        <w:t xml:space="preserve"> </w:t>
      </w:r>
      <w:r w:rsidR="00AB4C44">
        <w:rPr>
          <w:rFonts w:ascii="Times New Roman" w:hAnsi="Times New Roman"/>
          <w:sz w:val="24"/>
          <w:szCs w:val="24"/>
        </w:rPr>
        <w:t>the MCHB provided State Title V Directors with</w:t>
      </w:r>
      <w:r w:rsidR="00173F2B">
        <w:rPr>
          <w:rFonts w:ascii="Times New Roman" w:hAnsi="Times New Roman"/>
          <w:sz w:val="24"/>
          <w:szCs w:val="24"/>
        </w:rPr>
        <w:t xml:space="preserve"> a </w:t>
      </w:r>
      <w:r w:rsidR="00AB4C44">
        <w:rPr>
          <w:rFonts w:ascii="Times New Roman" w:hAnsi="Times New Roman"/>
          <w:sz w:val="24"/>
          <w:szCs w:val="24"/>
        </w:rPr>
        <w:t xml:space="preserve">link to </w:t>
      </w:r>
      <w:r w:rsidR="00173F2B">
        <w:rPr>
          <w:rFonts w:ascii="Times New Roman" w:hAnsi="Times New Roman"/>
          <w:sz w:val="24"/>
          <w:szCs w:val="24"/>
        </w:rPr>
        <w:t xml:space="preserve">the </w:t>
      </w:r>
      <w:r w:rsidRPr="00AB4C44" w:rsidR="00AB4C44">
        <w:rPr>
          <w:rFonts w:ascii="Times New Roman" w:hAnsi="Times New Roman"/>
          <w:i/>
          <w:sz w:val="24"/>
          <w:szCs w:val="24"/>
        </w:rPr>
        <w:t>Federal Register</w:t>
      </w:r>
      <w:r w:rsidR="00AB4C44">
        <w:rPr>
          <w:rFonts w:ascii="Times New Roman" w:hAnsi="Times New Roman"/>
          <w:sz w:val="24"/>
          <w:szCs w:val="24"/>
        </w:rPr>
        <w:t xml:space="preserve"> Notice </w:t>
      </w:r>
      <w:r w:rsidR="00BC6CBD">
        <w:rPr>
          <w:rFonts w:ascii="Times New Roman" w:hAnsi="Times New Roman"/>
          <w:sz w:val="24"/>
          <w:szCs w:val="24"/>
        </w:rPr>
        <w:t>that a</w:t>
      </w:r>
      <w:r w:rsidR="00173F2B">
        <w:rPr>
          <w:rFonts w:ascii="Times New Roman" w:hAnsi="Times New Roman"/>
          <w:sz w:val="24"/>
          <w:szCs w:val="24"/>
        </w:rPr>
        <w:t xml:space="preserve">nnounced </w:t>
      </w:r>
      <w:r>
        <w:rPr>
          <w:rFonts w:ascii="Times New Roman" w:hAnsi="Times New Roman"/>
          <w:sz w:val="24"/>
          <w:szCs w:val="24"/>
        </w:rPr>
        <w:t xml:space="preserve">a </w:t>
      </w:r>
      <w:r w:rsidR="00AB4C44">
        <w:rPr>
          <w:rFonts w:ascii="Times New Roman" w:hAnsi="Times New Roman"/>
          <w:sz w:val="24"/>
          <w:szCs w:val="24"/>
        </w:rPr>
        <w:t>60-day public comment period</w:t>
      </w:r>
      <w:r>
        <w:rPr>
          <w:rFonts w:ascii="Times New Roman" w:hAnsi="Times New Roman"/>
          <w:sz w:val="24"/>
          <w:szCs w:val="24"/>
        </w:rPr>
        <w:t xml:space="preserve"> for the draft updated Application/Annual Report Guidance</w:t>
      </w:r>
      <w:r w:rsidR="00AB4C44">
        <w:rPr>
          <w:rFonts w:ascii="Times New Roman" w:hAnsi="Times New Roman"/>
          <w:sz w:val="24"/>
          <w:szCs w:val="24"/>
        </w:rPr>
        <w:t>.</w:t>
      </w:r>
      <w:r w:rsidR="00535A04">
        <w:rPr>
          <w:rFonts w:ascii="Times New Roman" w:hAnsi="Times New Roman"/>
          <w:sz w:val="24"/>
          <w:szCs w:val="24"/>
        </w:rPr>
        <w:t xml:space="preserve"> </w:t>
      </w:r>
      <w:r w:rsidRPr="00071B82">
        <w:rPr>
          <w:rFonts w:ascii="Times New Roman" w:hAnsi="Times New Roman"/>
          <w:sz w:val="24"/>
          <w:szCs w:val="24"/>
        </w:rPr>
        <w:t>The public comments</w:t>
      </w:r>
      <w:r w:rsidR="00615C74">
        <w:rPr>
          <w:rFonts w:ascii="Times New Roman" w:hAnsi="Times New Roman"/>
          <w:sz w:val="24"/>
          <w:szCs w:val="24"/>
        </w:rPr>
        <w:t xml:space="preserve"> </w:t>
      </w:r>
      <w:r w:rsidR="00DC236E">
        <w:rPr>
          <w:rFonts w:ascii="Times New Roman" w:hAnsi="Times New Roman"/>
          <w:sz w:val="24"/>
          <w:szCs w:val="24"/>
        </w:rPr>
        <w:t xml:space="preserve">received </w:t>
      </w:r>
      <w:r w:rsidR="00615C74">
        <w:rPr>
          <w:rFonts w:ascii="Times New Roman" w:hAnsi="Times New Roman"/>
          <w:sz w:val="24"/>
          <w:szCs w:val="24"/>
        </w:rPr>
        <w:t xml:space="preserve">prior to the release of the draft updated Guidance and the comments </w:t>
      </w:r>
      <w:r w:rsidR="00173F2B">
        <w:rPr>
          <w:rFonts w:ascii="Times New Roman" w:hAnsi="Times New Roman"/>
          <w:sz w:val="24"/>
          <w:szCs w:val="24"/>
        </w:rPr>
        <w:t xml:space="preserve">received </w:t>
      </w:r>
      <w:r w:rsidR="00615C74">
        <w:rPr>
          <w:rFonts w:ascii="Times New Roman" w:hAnsi="Times New Roman"/>
          <w:sz w:val="24"/>
          <w:szCs w:val="24"/>
        </w:rPr>
        <w:t xml:space="preserve">following its release helped to inform the development of the </w:t>
      </w:r>
      <w:r w:rsidRPr="00071B82">
        <w:rPr>
          <w:rFonts w:ascii="Times New Roman" w:hAnsi="Times New Roman"/>
          <w:sz w:val="24"/>
          <w:szCs w:val="24"/>
        </w:rPr>
        <w:t xml:space="preserve">attached </w:t>
      </w:r>
      <w:r>
        <w:rPr>
          <w:rFonts w:ascii="Times New Roman" w:hAnsi="Times New Roman"/>
          <w:sz w:val="24"/>
          <w:szCs w:val="24"/>
        </w:rPr>
        <w:t xml:space="preserve">updated </w:t>
      </w:r>
      <w:r w:rsidRPr="00071B82">
        <w:rPr>
          <w:rFonts w:ascii="Times New Roman" w:hAnsi="Times New Roman"/>
          <w:sz w:val="24"/>
          <w:szCs w:val="24"/>
        </w:rPr>
        <w:t>Application/Annual Report Guidance.</w:t>
      </w:r>
    </w:p>
    <w:p w:rsidR="000C720D" w:rsidP="006E77B8" w14:paraId="2014E4C4" w14:textId="49F89443">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194ABF">
        <w:rPr>
          <w:rFonts w:ascii="Times New Roman" w:hAnsi="Times New Roman"/>
          <w:sz w:val="24"/>
          <w:szCs w:val="24"/>
        </w:rPr>
        <w:t xml:space="preserve"> </w:t>
      </w:r>
    </w:p>
    <w:p w:rsidR="00CB509A" w:rsidRPr="00B40332" w:rsidP="00511211" w14:paraId="5C98F7D6" w14:textId="5F112E58">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t xml:space="preserve">9. </w:t>
      </w:r>
      <w:r w:rsidRPr="00B40332" w:rsidR="00511211">
        <w:rPr>
          <w:rFonts w:ascii="Times New Roman" w:hAnsi="Times New Roman"/>
          <w:b/>
          <w:bCs/>
          <w:sz w:val="24"/>
          <w:szCs w:val="24"/>
        </w:rPr>
        <w:tab/>
      </w:r>
      <w:r w:rsidR="00DB73EE">
        <w:rPr>
          <w:rFonts w:ascii="Times New Roman" w:hAnsi="Times New Roman"/>
          <w:b/>
          <w:bCs/>
          <w:sz w:val="24"/>
          <w:szCs w:val="24"/>
        </w:rPr>
        <w:t xml:space="preserve">Explanation of any Payment/ Gift to Respondents </w:t>
      </w:r>
    </w:p>
    <w:p w:rsidR="004B64B1" w:rsidRPr="00B40332" w:rsidP="00804E6F" w14:paraId="7368B544" w14:textId="77777777">
      <w:pPr>
        <w:autoSpaceDE w:val="0"/>
        <w:autoSpaceDN w:val="0"/>
        <w:adjustRightInd w:val="0"/>
        <w:spacing w:after="0" w:line="240" w:lineRule="auto"/>
        <w:rPr>
          <w:rFonts w:ascii="Times New Roman" w:hAnsi="Times New Roman"/>
          <w:sz w:val="24"/>
          <w:szCs w:val="24"/>
        </w:rPr>
      </w:pPr>
    </w:p>
    <w:p w:rsidR="00CB509A" w:rsidRPr="00B40332" w:rsidP="00804E6F" w14:paraId="12FEDA75"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Respondents will not be remunerated.</w:t>
      </w:r>
    </w:p>
    <w:p w:rsidR="00B12F3D" w:rsidP="00CB509A" w14:paraId="560F6B95" w14:textId="77777777">
      <w:pPr>
        <w:autoSpaceDE w:val="0"/>
        <w:autoSpaceDN w:val="0"/>
        <w:adjustRightInd w:val="0"/>
        <w:spacing w:after="0" w:line="240" w:lineRule="auto"/>
        <w:rPr>
          <w:rFonts w:ascii="Times New Roman" w:hAnsi="Times New Roman"/>
          <w:b/>
          <w:bCs/>
          <w:color w:val="31849B"/>
          <w:sz w:val="24"/>
          <w:szCs w:val="24"/>
        </w:rPr>
      </w:pPr>
    </w:p>
    <w:p w:rsidR="00CB509A" w:rsidRPr="00B40332" w:rsidP="00511211" w14:paraId="289F0BFF" w14:textId="7A414DA3">
      <w:pPr>
        <w:autoSpaceDE w:val="0"/>
        <w:autoSpaceDN w:val="0"/>
        <w:adjustRightInd w:val="0"/>
        <w:spacing w:after="0" w:line="240" w:lineRule="auto"/>
        <w:ind w:left="720" w:hanging="450"/>
        <w:rPr>
          <w:rFonts w:ascii="Times New Roman" w:hAnsi="Times New Roman"/>
          <w:b/>
          <w:bCs/>
          <w:sz w:val="24"/>
          <w:szCs w:val="24"/>
        </w:rPr>
      </w:pPr>
      <w:r w:rsidRPr="00B40332">
        <w:rPr>
          <w:rFonts w:ascii="Times New Roman" w:hAnsi="Times New Roman"/>
          <w:b/>
          <w:bCs/>
          <w:sz w:val="24"/>
          <w:szCs w:val="24"/>
        </w:rPr>
        <w:t xml:space="preserve">10. </w:t>
      </w:r>
      <w:r w:rsidRPr="00B40332" w:rsidR="00511211">
        <w:rPr>
          <w:rFonts w:ascii="Times New Roman" w:hAnsi="Times New Roman"/>
          <w:b/>
          <w:bCs/>
          <w:sz w:val="24"/>
          <w:szCs w:val="24"/>
        </w:rPr>
        <w:tab/>
      </w:r>
      <w:r w:rsidR="00DB73EE">
        <w:rPr>
          <w:rFonts w:ascii="Times New Roman" w:hAnsi="Times New Roman"/>
          <w:b/>
          <w:bCs/>
          <w:sz w:val="24"/>
          <w:szCs w:val="24"/>
        </w:rPr>
        <w:t xml:space="preserve">Assurance of Confidentiality Provided to Respondents </w:t>
      </w:r>
    </w:p>
    <w:p w:rsidR="004B64B1" w:rsidRPr="00B40332" w:rsidP="00CB509A" w14:paraId="789BF972" w14:textId="77777777">
      <w:pPr>
        <w:autoSpaceDE w:val="0"/>
        <w:autoSpaceDN w:val="0"/>
        <w:adjustRightInd w:val="0"/>
        <w:spacing w:after="0" w:line="240" w:lineRule="auto"/>
        <w:rPr>
          <w:rFonts w:ascii="Times New Roman" w:hAnsi="Times New Roman"/>
          <w:b/>
          <w:bCs/>
          <w:sz w:val="24"/>
          <w:szCs w:val="24"/>
        </w:rPr>
      </w:pPr>
    </w:p>
    <w:p w:rsidR="00CB509A" w:rsidRPr="00B40332" w:rsidP="00511211" w14:paraId="12BD7304"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The Privacy Act does not apply in this data gathering effort because the information to be</w:t>
      </w:r>
      <w:r w:rsidRPr="00B40332" w:rsidR="00B40332">
        <w:rPr>
          <w:rFonts w:ascii="Times New Roman" w:hAnsi="Times New Roman"/>
          <w:sz w:val="24"/>
          <w:szCs w:val="24"/>
        </w:rPr>
        <w:t xml:space="preserve"> </w:t>
      </w:r>
      <w:r w:rsidRPr="00B40332">
        <w:rPr>
          <w:rFonts w:ascii="Times New Roman" w:hAnsi="Times New Roman"/>
          <w:sz w:val="24"/>
          <w:szCs w:val="24"/>
        </w:rPr>
        <w:t>collected will not identify any individuals by name or collect any individual information.</w:t>
      </w:r>
    </w:p>
    <w:p w:rsidR="004B64B1" w:rsidRPr="00B40332" w:rsidP="00511211" w14:paraId="08F229D0" w14:textId="77777777">
      <w:pPr>
        <w:autoSpaceDE w:val="0"/>
        <w:autoSpaceDN w:val="0"/>
        <w:adjustRightInd w:val="0"/>
        <w:spacing w:after="0" w:line="240" w:lineRule="auto"/>
        <w:ind w:left="720"/>
        <w:rPr>
          <w:rFonts w:ascii="Times New Roman" w:hAnsi="Times New Roman"/>
          <w:sz w:val="24"/>
          <w:szCs w:val="24"/>
        </w:rPr>
      </w:pPr>
    </w:p>
    <w:p w:rsidR="00CB509A" w:rsidRPr="00B40332" w:rsidP="00511211" w14:paraId="4D3ABD5F" w14:textId="184E578A">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All Annual R</w:t>
      </w:r>
      <w:r w:rsidRPr="00B40332">
        <w:rPr>
          <w:rFonts w:ascii="Times New Roman" w:hAnsi="Times New Roman"/>
          <w:sz w:val="24"/>
          <w:szCs w:val="24"/>
        </w:rPr>
        <w:t>eports</w:t>
      </w:r>
      <w:r w:rsidRPr="00B40332" w:rsidR="00B54F1B">
        <w:rPr>
          <w:rFonts w:ascii="Times New Roman" w:hAnsi="Times New Roman"/>
          <w:sz w:val="24"/>
          <w:szCs w:val="24"/>
        </w:rPr>
        <w:t>,</w:t>
      </w:r>
      <w:r w:rsidRPr="00B40332">
        <w:rPr>
          <w:rFonts w:ascii="Times New Roman" w:hAnsi="Times New Roman"/>
          <w:sz w:val="24"/>
          <w:szCs w:val="24"/>
        </w:rPr>
        <w:t xml:space="preserve"> A</w:t>
      </w:r>
      <w:r w:rsidRPr="00B40332">
        <w:rPr>
          <w:rFonts w:ascii="Times New Roman" w:hAnsi="Times New Roman"/>
          <w:sz w:val="24"/>
          <w:szCs w:val="24"/>
        </w:rPr>
        <w:t xml:space="preserve">pplications, </w:t>
      </w:r>
      <w:r w:rsidRPr="00B40332" w:rsidR="00B54F1B">
        <w:rPr>
          <w:rFonts w:ascii="Times New Roman" w:hAnsi="Times New Roman"/>
          <w:sz w:val="24"/>
          <w:szCs w:val="24"/>
        </w:rPr>
        <w:t xml:space="preserve">and </w:t>
      </w:r>
      <w:r w:rsidRPr="00B40332">
        <w:rPr>
          <w:rFonts w:ascii="Times New Roman" w:hAnsi="Times New Roman"/>
          <w:sz w:val="24"/>
          <w:szCs w:val="24"/>
        </w:rPr>
        <w:t>associated information submitted</w:t>
      </w:r>
      <w:r w:rsidRPr="00B40332" w:rsidR="00B54F1B">
        <w:rPr>
          <w:rFonts w:ascii="Times New Roman" w:hAnsi="Times New Roman"/>
          <w:sz w:val="24"/>
          <w:szCs w:val="24"/>
        </w:rPr>
        <w:t xml:space="preserve"> </w:t>
      </w:r>
      <w:r w:rsidRPr="00B40332">
        <w:rPr>
          <w:rFonts w:ascii="Times New Roman" w:hAnsi="Times New Roman"/>
          <w:sz w:val="24"/>
          <w:szCs w:val="24"/>
        </w:rPr>
        <w:t>under Title V are public documents and available to the public on demand.</w:t>
      </w:r>
      <w:r w:rsidR="00535A04">
        <w:rPr>
          <w:rFonts w:ascii="Times New Roman" w:hAnsi="Times New Roman"/>
          <w:sz w:val="24"/>
          <w:szCs w:val="24"/>
        </w:rPr>
        <w:t xml:space="preserve"> </w:t>
      </w:r>
      <w:r w:rsidRPr="00B40332">
        <w:rPr>
          <w:rFonts w:ascii="Times New Roman" w:hAnsi="Times New Roman"/>
          <w:sz w:val="24"/>
          <w:szCs w:val="24"/>
        </w:rPr>
        <w:t>Section 505 requires</w:t>
      </w:r>
      <w:r w:rsidRPr="00B40332" w:rsidR="00B54F1B">
        <w:rPr>
          <w:rFonts w:ascii="Times New Roman" w:hAnsi="Times New Roman"/>
          <w:sz w:val="24"/>
          <w:szCs w:val="24"/>
        </w:rPr>
        <w:t xml:space="preserve"> </w:t>
      </w:r>
      <w:r w:rsidR="004B1D0A">
        <w:rPr>
          <w:rFonts w:ascii="Times New Roman" w:hAnsi="Times New Roman"/>
          <w:sz w:val="24"/>
          <w:szCs w:val="24"/>
        </w:rPr>
        <w:t>each s</w:t>
      </w:r>
      <w:r w:rsidRPr="00B40332">
        <w:rPr>
          <w:rFonts w:ascii="Times New Roman" w:hAnsi="Times New Roman"/>
          <w:sz w:val="24"/>
          <w:szCs w:val="24"/>
        </w:rPr>
        <w:t>tate to have public disclosure through the MCH Block Grant</w:t>
      </w:r>
      <w:r w:rsidRPr="00B40332" w:rsidR="00B54F1B">
        <w:rPr>
          <w:rFonts w:ascii="Times New Roman" w:hAnsi="Times New Roman"/>
          <w:sz w:val="24"/>
          <w:szCs w:val="24"/>
        </w:rPr>
        <w:t xml:space="preserve"> </w:t>
      </w:r>
      <w:r w:rsidRPr="00B40332">
        <w:rPr>
          <w:rFonts w:ascii="Times New Roman" w:hAnsi="Times New Roman"/>
          <w:sz w:val="24"/>
          <w:szCs w:val="24"/>
        </w:rPr>
        <w:t>A</w:t>
      </w:r>
      <w:r w:rsidRPr="00B40332">
        <w:rPr>
          <w:rFonts w:ascii="Times New Roman" w:hAnsi="Times New Roman"/>
          <w:sz w:val="24"/>
          <w:szCs w:val="24"/>
        </w:rPr>
        <w:t>pplication process to facilitate public review and comment by interested persons or</w:t>
      </w:r>
      <w:r w:rsidRPr="00B40332" w:rsidR="006911FC">
        <w:rPr>
          <w:rFonts w:ascii="Times New Roman" w:hAnsi="Times New Roman"/>
          <w:sz w:val="24"/>
          <w:szCs w:val="24"/>
        </w:rPr>
        <w:t xml:space="preserve"> </w:t>
      </w:r>
      <w:r w:rsidRPr="00B40332">
        <w:rPr>
          <w:rFonts w:ascii="Times New Roman" w:hAnsi="Times New Roman"/>
          <w:sz w:val="24"/>
          <w:szCs w:val="24"/>
        </w:rPr>
        <w:t>organizations during its development or transmittal.</w:t>
      </w:r>
    </w:p>
    <w:p w:rsidR="00CB54C2" w:rsidP="00CB509A" w14:paraId="617FB0D0" w14:textId="77777777">
      <w:pPr>
        <w:autoSpaceDE w:val="0"/>
        <w:autoSpaceDN w:val="0"/>
        <w:adjustRightInd w:val="0"/>
        <w:spacing w:after="0" w:line="240" w:lineRule="auto"/>
        <w:rPr>
          <w:rFonts w:ascii="Times New Roman" w:hAnsi="Times New Roman"/>
          <w:color w:val="31849B"/>
          <w:sz w:val="24"/>
          <w:szCs w:val="24"/>
        </w:rPr>
      </w:pPr>
    </w:p>
    <w:p w:rsidR="00CB509A" w:rsidRPr="00B40332" w:rsidP="00511211" w14:paraId="7AAF0A74" w14:textId="3EC9A575">
      <w:pPr>
        <w:autoSpaceDE w:val="0"/>
        <w:autoSpaceDN w:val="0"/>
        <w:adjustRightInd w:val="0"/>
        <w:spacing w:after="0" w:line="240" w:lineRule="auto"/>
        <w:ind w:left="720" w:hanging="450"/>
        <w:rPr>
          <w:rFonts w:ascii="Times New Roman" w:hAnsi="Times New Roman"/>
          <w:b/>
          <w:bCs/>
          <w:sz w:val="24"/>
          <w:szCs w:val="24"/>
        </w:rPr>
      </w:pPr>
      <w:r w:rsidRPr="00B40332">
        <w:rPr>
          <w:rFonts w:ascii="Times New Roman" w:hAnsi="Times New Roman"/>
          <w:b/>
          <w:bCs/>
          <w:sz w:val="24"/>
          <w:szCs w:val="24"/>
        </w:rPr>
        <w:t xml:space="preserve">11. </w:t>
      </w:r>
      <w:r w:rsidRPr="00B40332" w:rsidR="00511211">
        <w:rPr>
          <w:rFonts w:ascii="Times New Roman" w:hAnsi="Times New Roman"/>
          <w:b/>
          <w:bCs/>
          <w:sz w:val="24"/>
          <w:szCs w:val="24"/>
        </w:rPr>
        <w:tab/>
      </w:r>
      <w:r w:rsidR="00DB73EE">
        <w:rPr>
          <w:rFonts w:ascii="Times New Roman" w:hAnsi="Times New Roman"/>
          <w:b/>
          <w:bCs/>
          <w:sz w:val="24"/>
          <w:szCs w:val="24"/>
        </w:rPr>
        <w:t xml:space="preserve">Justification for Sensitive Questions </w:t>
      </w:r>
    </w:p>
    <w:p w:rsidR="004B64B1" w:rsidRPr="00B40332" w:rsidP="00626F67" w14:paraId="2830FDC0" w14:textId="77777777">
      <w:pPr>
        <w:autoSpaceDE w:val="0"/>
        <w:autoSpaceDN w:val="0"/>
        <w:adjustRightInd w:val="0"/>
        <w:spacing w:after="0" w:line="240" w:lineRule="auto"/>
        <w:rPr>
          <w:rFonts w:ascii="Times New Roman" w:hAnsi="Times New Roman"/>
          <w:b/>
          <w:bCs/>
          <w:sz w:val="24"/>
          <w:szCs w:val="24"/>
        </w:rPr>
      </w:pPr>
    </w:p>
    <w:p w:rsidR="00CB509A" w:rsidRPr="00B40332" w:rsidP="00626F67" w14:paraId="7A838118"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There are no questions of a sensitive nature associated with this data collection effort.</w:t>
      </w:r>
    </w:p>
    <w:p w:rsidR="00B726A3" w:rsidRPr="00E371A6" w:rsidP="00626F67" w14:paraId="21FC6776" w14:textId="77777777">
      <w:pPr>
        <w:autoSpaceDE w:val="0"/>
        <w:autoSpaceDN w:val="0"/>
        <w:adjustRightInd w:val="0"/>
        <w:spacing w:after="0" w:line="240" w:lineRule="auto"/>
        <w:rPr>
          <w:rFonts w:ascii="Times New Roman" w:hAnsi="Times New Roman"/>
          <w:color w:val="31849B"/>
          <w:sz w:val="24"/>
          <w:szCs w:val="24"/>
        </w:rPr>
      </w:pPr>
    </w:p>
    <w:p w:rsidR="00CB509A" w:rsidRPr="0086588D" w:rsidP="00626F67" w14:paraId="6B19E983" w14:textId="143708C4">
      <w:pPr>
        <w:autoSpaceDE w:val="0"/>
        <w:autoSpaceDN w:val="0"/>
        <w:adjustRightInd w:val="0"/>
        <w:spacing w:after="0" w:line="240" w:lineRule="auto"/>
        <w:ind w:left="720" w:hanging="450"/>
        <w:rPr>
          <w:rFonts w:ascii="Times New Roman" w:hAnsi="Times New Roman"/>
          <w:b/>
          <w:bCs/>
          <w:sz w:val="24"/>
          <w:szCs w:val="24"/>
        </w:rPr>
      </w:pPr>
      <w:r w:rsidRPr="0086588D">
        <w:rPr>
          <w:rFonts w:ascii="Times New Roman" w:hAnsi="Times New Roman"/>
          <w:b/>
          <w:bCs/>
          <w:sz w:val="24"/>
          <w:szCs w:val="24"/>
        </w:rPr>
        <w:t xml:space="preserve">12. </w:t>
      </w:r>
      <w:r w:rsidRPr="0086588D" w:rsidR="00511211">
        <w:rPr>
          <w:rFonts w:ascii="Times New Roman" w:hAnsi="Times New Roman"/>
          <w:b/>
          <w:bCs/>
          <w:sz w:val="24"/>
          <w:szCs w:val="24"/>
        </w:rPr>
        <w:tab/>
      </w:r>
      <w:r w:rsidR="00DB73EE">
        <w:rPr>
          <w:rFonts w:ascii="Times New Roman" w:hAnsi="Times New Roman"/>
          <w:b/>
          <w:bCs/>
          <w:sz w:val="24"/>
          <w:szCs w:val="24"/>
        </w:rPr>
        <w:t xml:space="preserve"> Estimated of Annualized Hour and Cost Burden </w:t>
      </w:r>
    </w:p>
    <w:p w:rsidR="00532FF5" w:rsidRPr="00E371A6" w:rsidP="00626F67" w14:paraId="5C204A03" w14:textId="77777777">
      <w:pPr>
        <w:autoSpaceDE w:val="0"/>
        <w:autoSpaceDN w:val="0"/>
        <w:adjustRightInd w:val="0"/>
        <w:spacing w:after="0" w:line="240" w:lineRule="auto"/>
        <w:rPr>
          <w:rFonts w:ascii="Times New Roman" w:hAnsi="Times New Roman"/>
          <w:b/>
          <w:bCs/>
          <w:color w:val="31849B"/>
          <w:sz w:val="24"/>
          <w:szCs w:val="24"/>
        </w:rPr>
      </w:pPr>
    </w:p>
    <w:p w:rsidR="00EB223E" w:rsidRPr="00EB223E" w:rsidP="00626F67" w14:paraId="5DC44601" w14:textId="01D607DD">
      <w:pPr>
        <w:autoSpaceDE w:val="0"/>
        <w:autoSpaceDN w:val="0"/>
        <w:adjustRightInd w:val="0"/>
        <w:spacing w:after="0" w:line="240" w:lineRule="auto"/>
        <w:ind w:left="720"/>
        <w:rPr>
          <w:rFonts w:ascii="Times New Roman" w:hAnsi="Times New Roman"/>
          <w:iCs/>
          <w:sz w:val="24"/>
          <w:szCs w:val="24"/>
        </w:rPr>
      </w:pPr>
      <w:r w:rsidRPr="00EB223E">
        <w:rPr>
          <w:rFonts w:ascii="Times New Roman" w:hAnsi="Times New Roman"/>
          <w:iCs/>
          <w:sz w:val="24"/>
          <w:szCs w:val="24"/>
        </w:rPr>
        <w:t xml:space="preserve">The </w:t>
      </w:r>
      <w:r w:rsidRPr="00EB223E" w:rsidR="0038763D">
        <w:rPr>
          <w:rFonts w:ascii="Times New Roman" w:hAnsi="Times New Roman"/>
          <w:iCs/>
          <w:sz w:val="24"/>
          <w:szCs w:val="24"/>
        </w:rPr>
        <w:t xml:space="preserve">annual </w:t>
      </w:r>
      <w:r w:rsidRPr="00EB223E">
        <w:rPr>
          <w:rFonts w:ascii="Times New Roman" w:hAnsi="Times New Roman"/>
          <w:iCs/>
          <w:sz w:val="24"/>
          <w:szCs w:val="24"/>
        </w:rPr>
        <w:t xml:space="preserve">burden estimate for this activity is based </w:t>
      </w:r>
      <w:r w:rsidRPr="00EB223E" w:rsidR="0086588D">
        <w:rPr>
          <w:rFonts w:ascii="Times New Roman" w:hAnsi="Times New Roman"/>
          <w:iCs/>
          <w:sz w:val="24"/>
          <w:szCs w:val="24"/>
        </w:rPr>
        <w:t>on previous burden estimates</w:t>
      </w:r>
      <w:r w:rsidR="0027701B">
        <w:rPr>
          <w:rFonts w:ascii="Times New Roman" w:hAnsi="Times New Roman"/>
          <w:iCs/>
          <w:sz w:val="24"/>
          <w:szCs w:val="24"/>
        </w:rPr>
        <w:t xml:space="preserve"> as well as </w:t>
      </w:r>
      <w:r w:rsidRPr="00EB223E">
        <w:rPr>
          <w:rFonts w:ascii="Times New Roman" w:hAnsi="Times New Roman"/>
          <w:iCs/>
          <w:sz w:val="24"/>
          <w:szCs w:val="24"/>
        </w:rPr>
        <w:t xml:space="preserve"> </w:t>
      </w:r>
      <w:r w:rsidRPr="00EB223E" w:rsidR="0086588D">
        <w:rPr>
          <w:rFonts w:ascii="Times New Roman" w:hAnsi="Times New Roman"/>
          <w:iCs/>
          <w:sz w:val="24"/>
          <w:szCs w:val="24"/>
        </w:rPr>
        <w:t xml:space="preserve">consultations with </w:t>
      </w:r>
      <w:r w:rsidRPr="00EB223E" w:rsidR="00334380">
        <w:rPr>
          <w:rFonts w:ascii="Times New Roman" w:hAnsi="Times New Roman"/>
          <w:iCs/>
          <w:sz w:val="24"/>
          <w:szCs w:val="24"/>
        </w:rPr>
        <w:t xml:space="preserve">eight </w:t>
      </w:r>
      <w:r w:rsidRPr="00EB223E" w:rsidR="00804E6F">
        <w:rPr>
          <w:rFonts w:ascii="Times New Roman" w:hAnsi="Times New Roman"/>
          <w:iCs/>
          <w:sz w:val="24"/>
          <w:szCs w:val="24"/>
        </w:rPr>
        <w:t>selected State Title V MCH Directors (i.e.,</w:t>
      </w:r>
      <w:r w:rsidR="006379CF">
        <w:rPr>
          <w:rFonts w:ascii="Times New Roman" w:hAnsi="Times New Roman"/>
          <w:iCs/>
          <w:sz w:val="24"/>
          <w:szCs w:val="24"/>
        </w:rPr>
        <w:t xml:space="preserve"> </w:t>
      </w:r>
      <w:r w:rsidR="00EC31C3">
        <w:rPr>
          <w:rFonts w:ascii="Times New Roman" w:hAnsi="Times New Roman"/>
          <w:iCs/>
          <w:sz w:val="24"/>
          <w:szCs w:val="24"/>
        </w:rPr>
        <w:t>AK, LA, ME, MT, NV, NC, OK, and USVI</w:t>
      </w:r>
      <w:r w:rsidRPr="00EB223E" w:rsidR="00C23F97">
        <w:rPr>
          <w:rFonts w:ascii="Times New Roman" w:hAnsi="Times New Roman"/>
          <w:iCs/>
          <w:sz w:val="24"/>
          <w:szCs w:val="24"/>
        </w:rPr>
        <w:t>)</w:t>
      </w:r>
      <w:r w:rsidR="00162469">
        <w:rPr>
          <w:rFonts w:ascii="Times New Roman" w:hAnsi="Times New Roman"/>
          <w:iCs/>
          <w:sz w:val="24"/>
          <w:szCs w:val="24"/>
        </w:rPr>
        <w:t xml:space="preserve"> on the minimum number of hours needed by staff to complete an annual submission the application and report </w:t>
      </w:r>
      <w:r w:rsidRPr="00EB223E">
        <w:rPr>
          <w:rFonts w:ascii="Times New Roman" w:hAnsi="Times New Roman"/>
          <w:iCs/>
          <w:sz w:val="24"/>
          <w:szCs w:val="24"/>
        </w:rPr>
        <w:t xml:space="preserve">These </w:t>
      </w:r>
      <w:r w:rsidRPr="00EB223E" w:rsidR="008656F2">
        <w:rPr>
          <w:rFonts w:ascii="Times New Roman" w:hAnsi="Times New Roman"/>
          <w:iCs/>
          <w:sz w:val="24"/>
          <w:szCs w:val="24"/>
        </w:rPr>
        <w:t>s</w:t>
      </w:r>
      <w:r w:rsidRPr="00EB223E" w:rsidR="00804E6F">
        <w:rPr>
          <w:rFonts w:ascii="Times New Roman" w:hAnsi="Times New Roman"/>
          <w:iCs/>
          <w:sz w:val="24"/>
          <w:szCs w:val="24"/>
        </w:rPr>
        <w:t>tates represent</w:t>
      </w:r>
      <w:r w:rsidRPr="00EB223E" w:rsidR="008656F2">
        <w:rPr>
          <w:rFonts w:ascii="Times New Roman" w:hAnsi="Times New Roman"/>
          <w:iCs/>
          <w:sz w:val="24"/>
          <w:szCs w:val="24"/>
        </w:rPr>
        <w:t>ed</w:t>
      </w:r>
      <w:r w:rsidRPr="00EB223E" w:rsidR="00804E6F">
        <w:rPr>
          <w:rFonts w:ascii="Times New Roman" w:hAnsi="Times New Roman"/>
          <w:iCs/>
          <w:sz w:val="24"/>
          <w:szCs w:val="24"/>
        </w:rPr>
        <w:t xml:space="preserve"> a range of population sizes, funding levels and urban/rural characteristics.</w:t>
      </w:r>
      <w:r w:rsidR="00AC4B71">
        <w:rPr>
          <w:rFonts w:ascii="Times New Roman" w:hAnsi="Times New Roman"/>
          <w:iCs/>
          <w:sz w:val="24"/>
          <w:szCs w:val="24"/>
        </w:rPr>
        <w:t xml:space="preserve"> Estimates</w:t>
      </w:r>
      <w:r w:rsidR="001E17E5">
        <w:rPr>
          <w:rFonts w:ascii="Times New Roman" w:hAnsi="Times New Roman"/>
          <w:iCs/>
          <w:sz w:val="24"/>
          <w:szCs w:val="24"/>
        </w:rPr>
        <w:t xml:space="preserve"> for hours </w:t>
      </w:r>
      <w:r w:rsidR="00AC4B71">
        <w:rPr>
          <w:rFonts w:ascii="Times New Roman" w:hAnsi="Times New Roman"/>
          <w:iCs/>
          <w:sz w:val="24"/>
          <w:szCs w:val="24"/>
        </w:rPr>
        <w:t>provided</w:t>
      </w:r>
      <w:r w:rsidR="001E17E5">
        <w:rPr>
          <w:rFonts w:ascii="Times New Roman" w:hAnsi="Times New Roman"/>
          <w:iCs/>
          <w:sz w:val="24"/>
          <w:szCs w:val="24"/>
        </w:rPr>
        <w:t xml:space="preserve"> by states for reporting during the year of the needs assessment ranged from 100-410 hours. Estimates for interim year reporting (those years between needs assessments) ranged from 66-265. These hours were used as the basis for determining the minimum number of hours needed to submit an annual report</w:t>
      </w:r>
      <w:r w:rsidR="00AC4B71">
        <w:rPr>
          <w:rFonts w:ascii="Times New Roman" w:hAnsi="Times New Roman"/>
          <w:iCs/>
          <w:sz w:val="24"/>
          <w:szCs w:val="24"/>
        </w:rPr>
        <w:t xml:space="preserve"> in conjunction with estimates provided for previous versions of the Guidance</w:t>
      </w:r>
      <w:r w:rsidR="001E17E5">
        <w:rPr>
          <w:rFonts w:ascii="Times New Roman" w:hAnsi="Times New Roman"/>
          <w:iCs/>
          <w:sz w:val="24"/>
          <w:szCs w:val="24"/>
        </w:rPr>
        <w:t xml:space="preserve">. </w:t>
      </w:r>
    </w:p>
    <w:p w:rsidR="00EB223E" w:rsidP="00626F67" w14:paraId="4DBE8A4D" w14:textId="77777777">
      <w:pPr>
        <w:autoSpaceDE w:val="0"/>
        <w:autoSpaceDN w:val="0"/>
        <w:adjustRightInd w:val="0"/>
        <w:spacing w:after="0" w:line="240" w:lineRule="auto"/>
        <w:ind w:left="720"/>
        <w:rPr>
          <w:rFonts w:ascii="Times New Roman" w:hAnsi="Times New Roman"/>
          <w:iCs/>
          <w:sz w:val="24"/>
          <w:szCs w:val="24"/>
          <w:highlight w:val="yellow"/>
        </w:rPr>
      </w:pPr>
    </w:p>
    <w:p w:rsidR="00804E6F" w:rsidP="00626F67" w14:paraId="21CC8211" w14:textId="722E777D">
      <w:pPr>
        <w:autoSpaceDE w:val="0"/>
        <w:autoSpaceDN w:val="0"/>
        <w:adjustRightInd w:val="0"/>
        <w:spacing w:after="0" w:line="240" w:lineRule="auto"/>
        <w:ind w:left="720"/>
        <w:rPr>
          <w:rFonts w:ascii="Times New Roman" w:hAnsi="Times New Roman"/>
          <w:sz w:val="24"/>
          <w:szCs w:val="24"/>
        </w:rPr>
      </w:pPr>
      <w:r>
        <w:rPr>
          <w:rFonts w:ascii="Times New Roman" w:hAnsi="Times New Roman"/>
          <w:iCs/>
          <w:sz w:val="24"/>
          <w:szCs w:val="24"/>
        </w:rPr>
        <w:t xml:space="preserve">HRSA’s MCHB </w:t>
      </w:r>
      <w:r w:rsidRPr="00146A81" w:rsidR="00146A81">
        <w:rPr>
          <w:rFonts w:ascii="Times New Roman" w:hAnsi="Times New Roman"/>
          <w:iCs/>
          <w:sz w:val="24"/>
          <w:szCs w:val="24"/>
        </w:rPr>
        <w:t>recognize</w:t>
      </w:r>
      <w:r>
        <w:rPr>
          <w:rFonts w:ascii="Times New Roman" w:hAnsi="Times New Roman"/>
          <w:iCs/>
          <w:sz w:val="24"/>
          <w:szCs w:val="24"/>
        </w:rPr>
        <w:t>s</w:t>
      </w:r>
      <w:r w:rsidRPr="00146A81" w:rsidR="00146A81">
        <w:rPr>
          <w:rFonts w:ascii="Times New Roman" w:hAnsi="Times New Roman"/>
          <w:iCs/>
          <w:sz w:val="24"/>
          <w:szCs w:val="24"/>
        </w:rPr>
        <w:t xml:space="preserve"> that the full extent of the anticipated burden reduction will be realized over time</w:t>
      </w:r>
      <w:r>
        <w:rPr>
          <w:rFonts w:ascii="Times New Roman" w:hAnsi="Times New Roman"/>
          <w:iCs/>
          <w:sz w:val="24"/>
          <w:szCs w:val="24"/>
        </w:rPr>
        <w:t>,</w:t>
      </w:r>
      <w:r w:rsidR="007F2D07">
        <w:rPr>
          <w:rFonts w:ascii="Times New Roman" w:hAnsi="Times New Roman"/>
          <w:iCs/>
          <w:sz w:val="24"/>
          <w:szCs w:val="24"/>
        </w:rPr>
        <w:t xml:space="preserve"> as s</w:t>
      </w:r>
      <w:r w:rsidRPr="00146A81" w:rsidR="00146A81">
        <w:rPr>
          <w:rFonts w:ascii="Times New Roman" w:hAnsi="Times New Roman"/>
          <w:iCs/>
          <w:sz w:val="24"/>
          <w:szCs w:val="24"/>
        </w:rPr>
        <w:t xml:space="preserve">tates </w:t>
      </w:r>
      <w:r w:rsidR="006340BB">
        <w:rPr>
          <w:rFonts w:ascii="Times New Roman" w:hAnsi="Times New Roman"/>
          <w:iCs/>
          <w:sz w:val="24"/>
          <w:szCs w:val="24"/>
        </w:rPr>
        <w:t xml:space="preserve">continue to </w:t>
      </w:r>
      <w:r w:rsidRPr="00146A81" w:rsidR="00146A81">
        <w:rPr>
          <w:rFonts w:ascii="Times New Roman" w:hAnsi="Times New Roman"/>
          <w:iCs/>
          <w:sz w:val="24"/>
          <w:szCs w:val="24"/>
        </w:rPr>
        <w:t xml:space="preserve">become more familiar with the </w:t>
      </w:r>
      <w:r w:rsidR="006340BB">
        <w:rPr>
          <w:rFonts w:ascii="Times New Roman" w:hAnsi="Times New Roman"/>
          <w:iCs/>
          <w:sz w:val="24"/>
          <w:szCs w:val="24"/>
        </w:rPr>
        <w:t xml:space="preserve">performance measure framework and </w:t>
      </w:r>
      <w:r w:rsidRPr="00146A81" w:rsidR="00146A81">
        <w:rPr>
          <w:rFonts w:ascii="Times New Roman" w:hAnsi="Times New Roman"/>
          <w:iCs/>
          <w:sz w:val="24"/>
          <w:szCs w:val="24"/>
        </w:rPr>
        <w:t>reporting requirements.</w:t>
      </w:r>
      <w:r w:rsidR="00535A04">
        <w:rPr>
          <w:rFonts w:ascii="Times New Roman" w:hAnsi="Times New Roman"/>
          <w:iCs/>
          <w:sz w:val="24"/>
          <w:szCs w:val="24"/>
        </w:rPr>
        <w:t xml:space="preserve"> </w:t>
      </w:r>
      <w:r w:rsidR="006340BB">
        <w:rPr>
          <w:rFonts w:ascii="Times New Roman" w:hAnsi="Times New Roman"/>
          <w:iCs/>
          <w:sz w:val="24"/>
          <w:szCs w:val="24"/>
        </w:rPr>
        <w:t>It is anticipated that the clarifying instructions</w:t>
      </w:r>
      <w:r w:rsidR="00CC45D2">
        <w:rPr>
          <w:rFonts w:ascii="Times New Roman" w:hAnsi="Times New Roman"/>
          <w:iCs/>
          <w:sz w:val="24"/>
          <w:szCs w:val="24"/>
        </w:rPr>
        <w:t xml:space="preserve">, </w:t>
      </w:r>
      <w:r w:rsidR="006340BB">
        <w:rPr>
          <w:rFonts w:ascii="Times New Roman" w:hAnsi="Times New Roman"/>
          <w:iCs/>
          <w:sz w:val="24"/>
          <w:szCs w:val="24"/>
        </w:rPr>
        <w:t xml:space="preserve">supplemental background </w:t>
      </w:r>
      <w:r w:rsidR="00CC45D2">
        <w:rPr>
          <w:rFonts w:ascii="Times New Roman" w:hAnsi="Times New Roman"/>
          <w:iCs/>
          <w:sz w:val="24"/>
          <w:szCs w:val="24"/>
        </w:rPr>
        <w:t xml:space="preserve">information, </w:t>
      </w:r>
      <w:r w:rsidR="006340BB">
        <w:rPr>
          <w:rFonts w:ascii="Times New Roman" w:hAnsi="Times New Roman"/>
          <w:iCs/>
          <w:sz w:val="24"/>
          <w:szCs w:val="24"/>
        </w:rPr>
        <w:t>and resource</w:t>
      </w:r>
      <w:r w:rsidR="00CC45D2">
        <w:rPr>
          <w:rFonts w:ascii="Times New Roman" w:hAnsi="Times New Roman"/>
          <w:iCs/>
          <w:sz w:val="24"/>
          <w:szCs w:val="24"/>
        </w:rPr>
        <w:t xml:space="preserve">s/tools provided in the updated edition of the Application/Annual Report Guidance </w:t>
      </w:r>
      <w:r w:rsidR="006340BB">
        <w:rPr>
          <w:rFonts w:ascii="Times New Roman" w:hAnsi="Times New Roman"/>
          <w:iCs/>
          <w:sz w:val="24"/>
          <w:szCs w:val="24"/>
        </w:rPr>
        <w:t>will assist states in preparing the yearly MCH Block Grant Application/Annual Report</w:t>
      </w:r>
      <w:r w:rsidR="00CC45D2">
        <w:rPr>
          <w:rFonts w:ascii="Times New Roman" w:hAnsi="Times New Roman"/>
          <w:iCs/>
          <w:sz w:val="24"/>
          <w:szCs w:val="24"/>
        </w:rPr>
        <w:t xml:space="preserve">, which will lead </w:t>
      </w:r>
      <w:r w:rsidR="006340BB">
        <w:rPr>
          <w:rFonts w:ascii="Times New Roman" w:hAnsi="Times New Roman"/>
          <w:iCs/>
          <w:sz w:val="24"/>
          <w:szCs w:val="24"/>
        </w:rPr>
        <w:t>to further reductions in burden.</w:t>
      </w:r>
      <w:r w:rsidR="00535A04">
        <w:rPr>
          <w:rFonts w:ascii="Times New Roman" w:hAnsi="Times New Roman"/>
          <w:iCs/>
          <w:sz w:val="24"/>
          <w:szCs w:val="24"/>
        </w:rPr>
        <w:t xml:space="preserve"> </w:t>
      </w:r>
      <w:r w:rsidR="006340BB">
        <w:rPr>
          <w:rFonts w:ascii="Times New Roman" w:hAnsi="Times New Roman"/>
          <w:iCs/>
          <w:sz w:val="24"/>
          <w:szCs w:val="24"/>
        </w:rPr>
        <w:t>T</w:t>
      </w:r>
      <w:r w:rsidRPr="00146A81" w:rsidR="0064176E">
        <w:rPr>
          <w:rFonts w:ascii="Times New Roman" w:hAnsi="Times New Roman"/>
          <w:sz w:val="24"/>
          <w:szCs w:val="24"/>
        </w:rPr>
        <w:t>he estimated</w:t>
      </w:r>
      <w:r w:rsidRPr="00146A81" w:rsidR="00E74D52">
        <w:rPr>
          <w:rFonts w:ascii="Times New Roman" w:hAnsi="Times New Roman"/>
          <w:sz w:val="24"/>
          <w:szCs w:val="24"/>
        </w:rPr>
        <w:t xml:space="preserve"> </w:t>
      </w:r>
      <w:r w:rsidRPr="00146A81" w:rsidR="00532FF5">
        <w:rPr>
          <w:rFonts w:ascii="Times New Roman" w:hAnsi="Times New Roman"/>
          <w:sz w:val="24"/>
          <w:szCs w:val="24"/>
        </w:rPr>
        <w:t xml:space="preserve">average annual </w:t>
      </w:r>
      <w:r w:rsidRPr="00146A81" w:rsidR="00CB509A">
        <w:rPr>
          <w:rFonts w:ascii="Times New Roman" w:hAnsi="Times New Roman"/>
          <w:sz w:val="24"/>
          <w:szCs w:val="24"/>
        </w:rPr>
        <w:t xml:space="preserve">burden </w:t>
      </w:r>
      <w:r w:rsidRPr="00146A81" w:rsidR="00532FF5">
        <w:rPr>
          <w:rFonts w:ascii="Times New Roman" w:hAnsi="Times New Roman"/>
          <w:sz w:val="24"/>
          <w:szCs w:val="24"/>
        </w:rPr>
        <w:t xml:space="preserve">is </w:t>
      </w:r>
      <w:r>
        <w:rPr>
          <w:rFonts w:ascii="Times New Roman" w:hAnsi="Times New Roman"/>
          <w:sz w:val="24"/>
          <w:szCs w:val="24"/>
        </w:rPr>
        <w:t xml:space="preserve">presented </w:t>
      </w:r>
      <w:r w:rsidR="008656F2">
        <w:rPr>
          <w:rFonts w:ascii="Times New Roman" w:hAnsi="Times New Roman"/>
          <w:sz w:val="24"/>
          <w:szCs w:val="24"/>
        </w:rPr>
        <w:t>below</w:t>
      </w:r>
      <w:r>
        <w:rPr>
          <w:rFonts w:ascii="Times New Roman" w:hAnsi="Times New Roman"/>
          <w:sz w:val="24"/>
          <w:szCs w:val="24"/>
        </w:rPr>
        <w:t>.</w:t>
      </w:r>
    </w:p>
    <w:p w:rsidR="00ED5304" w:rsidP="00626F67" w14:paraId="3DA694B3" w14:textId="77777777">
      <w:pPr>
        <w:autoSpaceDE w:val="0"/>
        <w:autoSpaceDN w:val="0"/>
        <w:adjustRightInd w:val="0"/>
        <w:spacing w:after="0" w:line="240" w:lineRule="auto"/>
        <w:ind w:left="720"/>
        <w:rPr>
          <w:rFonts w:ascii="Times New Roman" w:hAnsi="Times New Roman"/>
          <w:color w:val="31849B"/>
          <w:sz w:val="24"/>
          <w:szCs w:val="24"/>
          <w:u w:val="single"/>
        </w:rPr>
      </w:pPr>
    </w:p>
    <w:p w:rsidR="00532FF5" w:rsidRPr="00DB0374" w:rsidP="00626F67" w14:paraId="3AA37EA7" w14:textId="7BAAF5DA">
      <w:pPr>
        <w:autoSpaceDE w:val="0"/>
        <w:autoSpaceDN w:val="0"/>
        <w:adjustRightInd w:val="0"/>
        <w:spacing w:after="0" w:line="240" w:lineRule="auto"/>
        <w:ind w:left="720"/>
        <w:rPr>
          <w:rFonts w:ascii="Times New Roman" w:hAnsi="Times New Roman"/>
          <w:sz w:val="24"/>
          <w:szCs w:val="24"/>
        </w:rPr>
      </w:pPr>
      <w:r w:rsidRPr="009B3CCE">
        <w:rPr>
          <w:rFonts w:ascii="Times New Roman" w:hAnsi="Times New Roman"/>
          <w:sz w:val="24"/>
          <w:szCs w:val="24"/>
          <w:u w:val="single"/>
        </w:rPr>
        <w:t>Section 12A:</w:t>
      </w:r>
      <w:r w:rsidR="00535A04">
        <w:rPr>
          <w:rFonts w:ascii="Times New Roman" w:hAnsi="Times New Roman"/>
          <w:sz w:val="24"/>
          <w:szCs w:val="24"/>
        </w:rPr>
        <w:t xml:space="preserve"> </w:t>
      </w:r>
    </w:p>
    <w:p w:rsidR="00C35E95" w:rsidRPr="005D155E" w:rsidP="00626F67" w14:paraId="2D3EAE87" w14:textId="77777777">
      <w:pPr>
        <w:autoSpaceDE w:val="0"/>
        <w:autoSpaceDN w:val="0"/>
        <w:adjustRightInd w:val="0"/>
        <w:spacing w:after="0" w:line="240" w:lineRule="auto"/>
        <w:ind w:left="720"/>
        <w:rPr>
          <w:rFonts w:ascii="Times New Roman" w:hAnsi="Times New Roman"/>
          <w:sz w:val="24"/>
          <w:szCs w:val="24"/>
          <w:u w:val="single"/>
        </w:rPr>
      </w:pPr>
    </w:p>
    <w:p w:rsidR="004B64B1" w:rsidRPr="009B3CCE" w:rsidP="00626F67" w14:paraId="58BA2D0F" w14:textId="5ABDF2FE">
      <w:pPr>
        <w:autoSpaceDE w:val="0"/>
        <w:autoSpaceDN w:val="0"/>
        <w:adjustRightInd w:val="0"/>
        <w:spacing w:after="0" w:line="240" w:lineRule="auto"/>
        <w:ind w:left="720"/>
        <w:rPr>
          <w:rFonts w:ascii="Times New Roman" w:hAnsi="Times New Roman"/>
          <w:sz w:val="24"/>
          <w:szCs w:val="24"/>
        </w:rPr>
      </w:pPr>
      <w:r w:rsidRPr="00261053">
        <w:rPr>
          <w:rFonts w:ascii="Times New Roman" w:hAnsi="Times New Roman"/>
          <w:sz w:val="24"/>
          <w:szCs w:val="24"/>
        </w:rPr>
        <w:t>Estimated Annualized Burden Hours</w:t>
      </w:r>
    </w:p>
    <w:p w:rsidR="00C35E95" w:rsidRPr="005D155E" w:rsidP="00511211" w14:paraId="795F853E" w14:textId="77777777">
      <w:pPr>
        <w:autoSpaceDE w:val="0"/>
        <w:autoSpaceDN w:val="0"/>
        <w:adjustRightInd w:val="0"/>
        <w:spacing w:after="0" w:line="240" w:lineRule="auto"/>
        <w:ind w:left="720"/>
        <w:rPr>
          <w:rFonts w:ascii="Times New Roman" w:hAnsi="Times New Roman"/>
          <w:color w:val="31849B"/>
          <w:sz w:val="24"/>
          <w:szCs w:val="24"/>
        </w:rPr>
      </w:pPr>
    </w:p>
    <w:tbl>
      <w:tblPr>
        <w:tblW w:w="5000" w:type="pct"/>
        <w:tblLayout w:type="fixed"/>
        <w:tblCellMar>
          <w:left w:w="97" w:type="dxa"/>
          <w:right w:w="97" w:type="dxa"/>
        </w:tblCellMar>
        <w:tblLook w:val="0000"/>
      </w:tblPr>
      <w:tblGrid>
        <w:gridCol w:w="1815"/>
        <w:gridCol w:w="1454"/>
        <w:gridCol w:w="1815"/>
        <w:gridCol w:w="1454"/>
        <w:gridCol w:w="1362"/>
        <w:gridCol w:w="1454"/>
      </w:tblGrid>
      <w:tr w14:paraId="1FF9F03F" w14:textId="77777777" w:rsidTr="00EC31C3">
        <w:tblPrEx>
          <w:tblW w:w="5000" w:type="pct"/>
          <w:tblLayout w:type="fixed"/>
          <w:tblCellMar>
            <w:left w:w="97" w:type="dxa"/>
            <w:right w:w="97" w:type="dxa"/>
          </w:tblCellMar>
          <w:tblLook w:val="0000"/>
        </w:tblPrEx>
        <w:tc>
          <w:tcPr>
            <w:tcW w:w="944"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76C462B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p>
          <w:p w:rsidR="003C6C29" w:rsidRPr="001E78DC" w:rsidP="002458CB" w14:paraId="670CACA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r w:rsidRPr="001E78DC">
              <w:rPr>
                <w:rFonts w:ascii="Times New Roman" w:hAnsi="Times New Roman"/>
                <w:b/>
                <w:bCs/>
              </w:rPr>
              <w:t>Form Name</w:t>
            </w:r>
          </w:p>
        </w:tc>
        <w:tc>
          <w:tcPr>
            <w:tcW w:w="756"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6C49AAD6" w14:textId="77777777">
            <w:pPr>
              <w:pStyle w:val="BodyText"/>
              <w:jc w:val="center"/>
              <w:rPr>
                <w:rFonts w:ascii="Times New Roman" w:hAnsi="Times New Roman"/>
                <w:b/>
                <w:bCs/>
              </w:rPr>
            </w:pPr>
            <w:r w:rsidRPr="001E78DC">
              <w:rPr>
                <w:rFonts w:ascii="Times New Roman" w:hAnsi="Times New Roman"/>
                <w:b/>
                <w:bCs/>
              </w:rPr>
              <w:t>Number of Respondents</w:t>
            </w:r>
          </w:p>
        </w:tc>
        <w:tc>
          <w:tcPr>
            <w:tcW w:w="944"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612BB7D8" w14:textId="77777777">
            <w:pPr>
              <w:pStyle w:val="BodyText"/>
              <w:jc w:val="center"/>
              <w:rPr>
                <w:rFonts w:ascii="Times New Roman" w:hAnsi="Times New Roman"/>
                <w:b/>
                <w:bCs/>
              </w:rPr>
            </w:pPr>
          </w:p>
          <w:p w:rsidR="003C6C29" w:rsidRPr="001E78DC" w:rsidP="002458CB" w14:paraId="6538CD15" w14:textId="77777777">
            <w:pPr>
              <w:pStyle w:val="BodyText"/>
              <w:jc w:val="center"/>
              <w:rPr>
                <w:rFonts w:ascii="Times New Roman" w:hAnsi="Times New Roman"/>
                <w:b/>
                <w:bCs/>
              </w:rPr>
            </w:pPr>
            <w:r w:rsidRPr="001E78DC">
              <w:rPr>
                <w:rFonts w:ascii="Times New Roman" w:hAnsi="Times New Roman"/>
                <w:b/>
                <w:bCs/>
              </w:rPr>
              <w:t>Number of Responses per Respondent</w:t>
            </w:r>
          </w:p>
        </w:tc>
        <w:tc>
          <w:tcPr>
            <w:tcW w:w="756"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4F2082E2" w14:textId="77777777">
            <w:pPr>
              <w:pStyle w:val="BodyText"/>
              <w:jc w:val="center"/>
              <w:rPr>
                <w:rFonts w:ascii="Times New Roman" w:hAnsi="Times New Roman"/>
                <w:b/>
                <w:bCs/>
              </w:rPr>
            </w:pPr>
          </w:p>
          <w:p w:rsidR="003C6C29" w:rsidRPr="001E78DC" w:rsidP="002458CB" w14:paraId="2D49F34A" w14:textId="77777777">
            <w:pPr>
              <w:pStyle w:val="BodyText"/>
              <w:jc w:val="center"/>
              <w:rPr>
                <w:rFonts w:ascii="Times New Roman" w:hAnsi="Times New Roman"/>
                <w:b/>
                <w:bCs/>
              </w:rPr>
            </w:pPr>
            <w:r w:rsidRPr="001E78DC">
              <w:rPr>
                <w:rFonts w:ascii="Times New Roman" w:hAnsi="Times New Roman"/>
                <w:b/>
                <w:bCs/>
              </w:rPr>
              <w:t>Total Responses</w:t>
            </w:r>
          </w:p>
        </w:tc>
        <w:tc>
          <w:tcPr>
            <w:tcW w:w="708"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090739E6" w14:textId="77777777">
            <w:pPr>
              <w:pStyle w:val="BodyText"/>
              <w:jc w:val="center"/>
              <w:rPr>
                <w:rFonts w:ascii="Times New Roman" w:hAnsi="Times New Roman"/>
                <w:b/>
                <w:bCs/>
              </w:rPr>
            </w:pPr>
          </w:p>
          <w:p w:rsidR="003C6C29" w:rsidRPr="001E78DC" w:rsidP="002458CB" w14:paraId="7544E220" w14:textId="77777777">
            <w:pPr>
              <w:pStyle w:val="BodyText"/>
              <w:jc w:val="center"/>
              <w:rPr>
                <w:rFonts w:ascii="Times New Roman" w:hAnsi="Times New Roman"/>
                <w:b/>
                <w:bCs/>
              </w:rPr>
            </w:pPr>
            <w:r w:rsidRPr="001E78DC">
              <w:rPr>
                <w:rFonts w:ascii="Times New Roman" w:hAnsi="Times New Roman"/>
                <w:b/>
                <w:bCs/>
              </w:rPr>
              <w:t>Average Burden per Response (in hours)</w:t>
            </w:r>
          </w:p>
        </w:tc>
        <w:tc>
          <w:tcPr>
            <w:tcW w:w="756" w:type="pct"/>
            <w:tcBorders>
              <w:top w:val="single" w:sz="2" w:space="0" w:color="auto"/>
              <w:left w:val="single" w:sz="2" w:space="0" w:color="auto"/>
              <w:bottom w:val="single" w:sz="2" w:space="0" w:color="auto"/>
              <w:right w:val="single" w:sz="2" w:space="0" w:color="auto"/>
            </w:tcBorders>
            <w:vAlign w:val="bottom"/>
          </w:tcPr>
          <w:p w:rsidR="003C6C29" w:rsidRPr="001E78DC" w:rsidP="002458CB" w14:paraId="6EA3E0F4" w14:textId="77777777">
            <w:pPr>
              <w:pStyle w:val="BodyText"/>
              <w:jc w:val="center"/>
              <w:rPr>
                <w:rFonts w:ascii="Times New Roman" w:hAnsi="Times New Roman"/>
                <w:b/>
                <w:bCs/>
              </w:rPr>
            </w:pPr>
            <w:r w:rsidRPr="001E78DC">
              <w:rPr>
                <w:rFonts w:ascii="Times New Roman" w:hAnsi="Times New Roman"/>
                <w:b/>
                <w:bCs/>
              </w:rPr>
              <w:t>Total Burden Hours</w:t>
            </w:r>
          </w:p>
        </w:tc>
      </w:tr>
      <w:tr w14:paraId="44A74019" w14:textId="77777777" w:rsidTr="00EC31C3">
        <w:tblPrEx>
          <w:tblW w:w="5000" w:type="pct"/>
          <w:tblLayout w:type="fixed"/>
          <w:tblCellMar>
            <w:left w:w="97" w:type="dxa"/>
            <w:right w:w="97" w:type="dxa"/>
          </w:tblCellMar>
          <w:tblLook w:val="0000"/>
        </w:tblPrEx>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52826140" w14:textId="77777777">
            <w:pPr>
              <w:rPr>
                <w:rFonts w:ascii="Times New Roman" w:hAnsi="Times New Roman"/>
              </w:rPr>
            </w:pPr>
            <w:r w:rsidRPr="001E78DC">
              <w:rPr>
                <w:rFonts w:ascii="Times New Roman" w:hAnsi="Times New Roman"/>
              </w:rPr>
              <w:t>Application and Annual Report without Five-Year Needs Assessment Summary</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6ED9AF36" w14:textId="77777777">
            <w:pPr>
              <w:jc w:val="right"/>
              <w:rPr>
                <w:rFonts w:ascii="Times New Roman" w:hAnsi="Times New Roman"/>
              </w:rPr>
            </w:pPr>
            <w:r w:rsidRPr="001E78DC">
              <w:rPr>
                <w:rFonts w:ascii="Times New Roman" w:hAnsi="Times New Roman"/>
              </w:rPr>
              <w:t>59</w:t>
            </w:r>
          </w:p>
        </w:tc>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30239817" w14:textId="77777777">
            <w:pPr>
              <w:jc w:val="right"/>
              <w:rPr>
                <w:rFonts w:ascii="Times New Roman" w:hAnsi="Times New Roman"/>
              </w:rPr>
            </w:pPr>
            <w:r w:rsidRPr="001E78DC">
              <w:rPr>
                <w:rFonts w:ascii="Times New Roman" w:hAnsi="Times New Roman"/>
              </w:rPr>
              <w:t>1</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608E6C5E" w14:textId="77777777">
            <w:pPr>
              <w:jc w:val="right"/>
              <w:rPr>
                <w:rFonts w:ascii="Times New Roman" w:hAnsi="Times New Roman"/>
              </w:rPr>
            </w:pPr>
            <w:r w:rsidRPr="001E78DC">
              <w:rPr>
                <w:rFonts w:ascii="Times New Roman" w:hAnsi="Times New Roman"/>
              </w:rPr>
              <w:t>59</w:t>
            </w:r>
          </w:p>
        </w:tc>
        <w:tc>
          <w:tcPr>
            <w:tcW w:w="708" w:type="pct"/>
            <w:tcBorders>
              <w:top w:val="single" w:sz="2" w:space="0" w:color="auto"/>
              <w:left w:val="single" w:sz="2" w:space="0" w:color="auto"/>
              <w:bottom w:val="single" w:sz="2" w:space="0" w:color="auto"/>
              <w:right w:val="single" w:sz="2" w:space="0" w:color="auto"/>
            </w:tcBorders>
          </w:tcPr>
          <w:p w:rsidR="003C6C29" w:rsidRPr="001E78DC" w:rsidP="002458CB" w14:paraId="52E02CF6" w14:textId="77777777">
            <w:pPr>
              <w:jc w:val="right"/>
              <w:rPr>
                <w:rFonts w:ascii="Times New Roman" w:hAnsi="Times New Roman"/>
              </w:rPr>
            </w:pPr>
            <w:r w:rsidRPr="001E78DC">
              <w:rPr>
                <w:rFonts w:ascii="Times New Roman" w:hAnsi="Times New Roman"/>
              </w:rPr>
              <w:t xml:space="preserve">115 </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7D29B8E6" w14:textId="77777777">
            <w:pPr>
              <w:jc w:val="right"/>
              <w:rPr>
                <w:rFonts w:ascii="Times New Roman" w:hAnsi="Times New Roman"/>
              </w:rPr>
            </w:pPr>
            <w:r w:rsidRPr="001E78DC">
              <w:rPr>
                <w:rFonts w:ascii="Times New Roman" w:hAnsi="Times New Roman"/>
              </w:rPr>
              <w:t>6,785</w:t>
            </w:r>
          </w:p>
        </w:tc>
      </w:tr>
      <w:tr w14:paraId="3EA3E9B3" w14:textId="77777777" w:rsidTr="00EC31C3">
        <w:tblPrEx>
          <w:tblW w:w="5000" w:type="pct"/>
          <w:tblLayout w:type="fixed"/>
          <w:tblCellMar>
            <w:left w:w="97" w:type="dxa"/>
            <w:right w:w="97" w:type="dxa"/>
          </w:tblCellMar>
          <w:tblLook w:val="0000"/>
        </w:tblPrEx>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5F52D253" w14:textId="77777777">
            <w:pPr>
              <w:rPr>
                <w:rFonts w:ascii="Times New Roman" w:hAnsi="Times New Roman"/>
              </w:rPr>
            </w:pPr>
            <w:r w:rsidRPr="001E78DC">
              <w:rPr>
                <w:rFonts w:ascii="Times New Roman" w:hAnsi="Times New Roman"/>
              </w:rPr>
              <w:t>Application and Annual Report with Five-Year Needs Assessment Summary</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075BB2CA" w14:textId="77777777">
            <w:pPr>
              <w:jc w:val="right"/>
              <w:rPr>
                <w:rFonts w:ascii="Times New Roman" w:hAnsi="Times New Roman"/>
              </w:rPr>
            </w:pPr>
            <w:r w:rsidRPr="001E78DC">
              <w:rPr>
                <w:rFonts w:ascii="Times New Roman" w:hAnsi="Times New Roman"/>
              </w:rPr>
              <w:t>59</w:t>
            </w:r>
          </w:p>
        </w:tc>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63E6B3CA" w14:textId="77777777">
            <w:pPr>
              <w:jc w:val="right"/>
              <w:rPr>
                <w:rFonts w:ascii="Times New Roman" w:hAnsi="Times New Roman"/>
              </w:rPr>
            </w:pPr>
            <w:r w:rsidRPr="001E78DC">
              <w:rPr>
                <w:rFonts w:ascii="Times New Roman" w:hAnsi="Times New Roman"/>
              </w:rPr>
              <w:t>1</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248C465E" w14:textId="77777777">
            <w:pPr>
              <w:jc w:val="right"/>
              <w:rPr>
                <w:rFonts w:ascii="Times New Roman" w:hAnsi="Times New Roman"/>
              </w:rPr>
            </w:pPr>
            <w:r w:rsidRPr="001E78DC">
              <w:rPr>
                <w:rFonts w:ascii="Times New Roman" w:hAnsi="Times New Roman"/>
              </w:rPr>
              <w:t>59</w:t>
            </w:r>
          </w:p>
        </w:tc>
        <w:tc>
          <w:tcPr>
            <w:tcW w:w="708" w:type="pct"/>
            <w:tcBorders>
              <w:top w:val="single" w:sz="2" w:space="0" w:color="auto"/>
              <w:left w:val="single" w:sz="2" w:space="0" w:color="auto"/>
              <w:bottom w:val="single" w:sz="2" w:space="0" w:color="auto"/>
              <w:right w:val="single" w:sz="2" w:space="0" w:color="auto"/>
            </w:tcBorders>
          </w:tcPr>
          <w:p w:rsidR="003C6C29" w:rsidRPr="001E78DC" w:rsidP="002458CB" w14:paraId="347452E6" w14:textId="77777777">
            <w:pPr>
              <w:jc w:val="right"/>
              <w:rPr>
                <w:rFonts w:ascii="Times New Roman" w:hAnsi="Times New Roman"/>
              </w:rPr>
            </w:pPr>
            <w:r w:rsidRPr="001E78DC">
              <w:rPr>
                <w:rFonts w:ascii="Times New Roman" w:hAnsi="Times New Roman"/>
              </w:rPr>
              <w:t>181</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6D9D17B8" w14:textId="77777777">
            <w:pPr>
              <w:jc w:val="right"/>
              <w:rPr>
                <w:rFonts w:ascii="Times New Roman" w:hAnsi="Times New Roman"/>
              </w:rPr>
            </w:pPr>
            <w:r w:rsidRPr="001E78DC">
              <w:rPr>
                <w:rFonts w:ascii="Times New Roman" w:hAnsi="Times New Roman"/>
              </w:rPr>
              <w:t>10,679</w:t>
            </w:r>
          </w:p>
        </w:tc>
      </w:tr>
      <w:tr w14:paraId="7F5FFB00" w14:textId="77777777" w:rsidTr="00EC31C3">
        <w:tblPrEx>
          <w:tblW w:w="5000" w:type="pct"/>
          <w:tblLayout w:type="fixed"/>
          <w:tblCellMar>
            <w:left w:w="97" w:type="dxa"/>
            <w:right w:w="97" w:type="dxa"/>
          </w:tblCellMar>
          <w:tblLook w:val="0000"/>
        </w:tblPrEx>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31495B9C" w14:textId="77777777">
            <w:pPr>
              <w:rPr>
                <w:rFonts w:ascii="Times New Roman" w:hAnsi="Times New Roman"/>
              </w:rPr>
            </w:pPr>
            <w:r w:rsidRPr="001E78DC">
              <w:rPr>
                <w:rFonts w:ascii="Times New Roman" w:hAnsi="Times New Roman"/>
              </w:rPr>
              <w:t>Total</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664C3282" w14:textId="77777777">
            <w:pPr>
              <w:jc w:val="right"/>
              <w:rPr>
                <w:rFonts w:ascii="Times New Roman" w:hAnsi="Times New Roman"/>
              </w:rPr>
            </w:pPr>
            <w:r w:rsidRPr="001E78DC">
              <w:rPr>
                <w:rFonts w:ascii="Times New Roman" w:hAnsi="Times New Roman"/>
              </w:rPr>
              <w:t>59</w:t>
            </w:r>
          </w:p>
        </w:tc>
        <w:tc>
          <w:tcPr>
            <w:tcW w:w="944" w:type="pct"/>
            <w:tcBorders>
              <w:top w:val="single" w:sz="2" w:space="0" w:color="auto"/>
              <w:left w:val="single" w:sz="2" w:space="0" w:color="auto"/>
              <w:bottom w:val="single" w:sz="2" w:space="0" w:color="auto"/>
              <w:right w:val="single" w:sz="2" w:space="0" w:color="auto"/>
            </w:tcBorders>
          </w:tcPr>
          <w:p w:rsidR="003C6C29" w:rsidRPr="001E78DC" w:rsidP="002458CB" w14:paraId="143A7FF8" w14:textId="77777777">
            <w:pPr>
              <w:jc w:val="right"/>
              <w:rPr>
                <w:rFonts w:ascii="Times New Roman" w:hAnsi="Times New Roman"/>
              </w:rPr>
            </w:pPr>
            <w:r w:rsidRPr="001E78DC">
              <w:rPr>
                <w:rFonts w:ascii="Times New Roman" w:hAnsi="Times New Roman"/>
              </w:rPr>
              <w:t>……</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234BFF4C" w14:textId="77777777">
            <w:pPr>
              <w:jc w:val="right"/>
              <w:rPr>
                <w:rFonts w:ascii="Times New Roman" w:hAnsi="Times New Roman"/>
              </w:rPr>
            </w:pPr>
            <w:r w:rsidRPr="001E78DC">
              <w:rPr>
                <w:rFonts w:ascii="Times New Roman" w:hAnsi="Times New Roman"/>
              </w:rPr>
              <w:t>59</w:t>
            </w:r>
          </w:p>
        </w:tc>
        <w:tc>
          <w:tcPr>
            <w:tcW w:w="708" w:type="pct"/>
            <w:tcBorders>
              <w:top w:val="single" w:sz="2" w:space="0" w:color="auto"/>
              <w:left w:val="single" w:sz="2" w:space="0" w:color="auto"/>
              <w:bottom w:val="single" w:sz="2" w:space="0" w:color="auto"/>
              <w:right w:val="single" w:sz="2" w:space="0" w:color="auto"/>
            </w:tcBorders>
          </w:tcPr>
          <w:p w:rsidR="003C6C29" w:rsidRPr="001E78DC" w:rsidP="002458CB" w14:paraId="358DD4E9" w14:textId="77777777">
            <w:pPr>
              <w:jc w:val="right"/>
              <w:rPr>
                <w:rFonts w:ascii="Times New Roman" w:hAnsi="Times New Roman"/>
              </w:rPr>
            </w:pPr>
            <w:r w:rsidRPr="001E78DC">
              <w:rPr>
                <w:rFonts w:ascii="Times New Roman" w:hAnsi="Times New Roman"/>
              </w:rPr>
              <w:t>……</w:t>
            </w:r>
          </w:p>
        </w:tc>
        <w:tc>
          <w:tcPr>
            <w:tcW w:w="756" w:type="pct"/>
            <w:tcBorders>
              <w:top w:val="single" w:sz="2" w:space="0" w:color="auto"/>
              <w:left w:val="single" w:sz="2" w:space="0" w:color="auto"/>
              <w:bottom w:val="single" w:sz="2" w:space="0" w:color="auto"/>
              <w:right w:val="single" w:sz="2" w:space="0" w:color="auto"/>
            </w:tcBorders>
          </w:tcPr>
          <w:p w:rsidR="003C6C29" w:rsidRPr="001E78DC" w:rsidP="002458CB" w14:paraId="1D2DC15E" w14:textId="77777777">
            <w:pPr>
              <w:jc w:val="right"/>
              <w:rPr>
                <w:rFonts w:ascii="Times New Roman" w:hAnsi="Times New Roman"/>
              </w:rPr>
            </w:pPr>
            <w:r w:rsidRPr="001E78DC">
              <w:rPr>
                <w:rFonts w:ascii="Times New Roman" w:hAnsi="Times New Roman"/>
              </w:rPr>
              <w:t>17,464</w:t>
            </w:r>
          </w:p>
        </w:tc>
      </w:tr>
    </w:tbl>
    <w:p w:rsidR="00E55634" w:rsidRPr="003C6C29" w:rsidP="005F1988" w14:paraId="337638FB" w14:textId="77777777">
      <w:pPr>
        <w:autoSpaceDE w:val="0"/>
        <w:autoSpaceDN w:val="0"/>
        <w:adjustRightInd w:val="0"/>
        <w:spacing w:after="0" w:line="240" w:lineRule="auto"/>
        <w:ind w:left="720"/>
        <w:rPr>
          <w:rFonts w:ascii="Times New Roman" w:hAnsi="Times New Roman"/>
          <w:bCs/>
          <w:sz w:val="24"/>
          <w:szCs w:val="24"/>
          <w:u w:val="single"/>
        </w:rPr>
      </w:pPr>
    </w:p>
    <w:p w:rsidR="004261B9" w:rsidRPr="00DB0374" w:rsidP="005F1988" w14:paraId="5974B41F" w14:textId="77777777">
      <w:pPr>
        <w:autoSpaceDE w:val="0"/>
        <w:autoSpaceDN w:val="0"/>
        <w:adjustRightInd w:val="0"/>
        <w:spacing w:after="0" w:line="240" w:lineRule="auto"/>
        <w:ind w:left="720"/>
        <w:rPr>
          <w:rFonts w:ascii="Times New Roman" w:hAnsi="Times New Roman"/>
          <w:bCs/>
          <w:sz w:val="24"/>
          <w:szCs w:val="24"/>
          <w:u w:val="single"/>
        </w:rPr>
      </w:pPr>
      <w:r w:rsidRPr="00DB0374">
        <w:rPr>
          <w:rFonts w:ascii="Times New Roman" w:hAnsi="Times New Roman"/>
          <w:bCs/>
          <w:sz w:val="24"/>
          <w:szCs w:val="24"/>
          <w:u w:val="single"/>
        </w:rPr>
        <w:t>Section 12B:</w:t>
      </w:r>
    </w:p>
    <w:p w:rsidR="004261B9" w:rsidRPr="005D155E" w:rsidP="005F1988" w14:paraId="6D2EF947" w14:textId="77777777">
      <w:pPr>
        <w:autoSpaceDE w:val="0"/>
        <w:autoSpaceDN w:val="0"/>
        <w:adjustRightInd w:val="0"/>
        <w:spacing w:after="0" w:line="240" w:lineRule="auto"/>
        <w:rPr>
          <w:rFonts w:ascii="Times New Roman" w:hAnsi="Times New Roman"/>
          <w:b/>
          <w:bCs/>
          <w:sz w:val="24"/>
          <w:szCs w:val="24"/>
        </w:rPr>
      </w:pPr>
    </w:p>
    <w:p w:rsidR="00C35E95" w:rsidRPr="00DB0374" w:rsidP="005F1988" w14:paraId="3E1E07D6" w14:textId="77777777">
      <w:pPr>
        <w:autoSpaceDE w:val="0"/>
        <w:autoSpaceDN w:val="0"/>
        <w:adjustRightInd w:val="0"/>
        <w:spacing w:after="0" w:line="240" w:lineRule="auto"/>
        <w:ind w:left="720"/>
        <w:rPr>
          <w:rFonts w:ascii="Times New Roman" w:hAnsi="Times New Roman"/>
          <w:bCs/>
          <w:sz w:val="24"/>
          <w:szCs w:val="24"/>
        </w:rPr>
      </w:pPr>
      <w:r w:rsidRPr="00DB0374">
        <w:rPr>
          <w:rFonts w:ascii="Times New Roman" w:hAnsi="Times New Roman"/>
          <w:bCs/>
          <w:sz w:val="24"/>
          <w:szCs w:val="24"/>
        </w:rPr>
        <w:t>Estimated Annualized Burden Costs</w:t>
      </w:r>
    </w:p>
    <w:p w:rsidR="00C35E95" w:rsidP="005F1988" w14:paraId="211F7E14" w14:textId="77777777">
      <w:pPr>
        <w:autoSpaceDE w:val="0"/>
        <w:autoSpaceDN w:val="0"/>
        <w:adjustRightInd w:val="0"/>
        <w:spacing w:after="0" w:line="240" w:lineRule="auto"/>
        <w:rPr>
          <w:rFonts w:ascii="Times New Roman" w:hAnsi="Times New Roman"/>
          <w:bCs/>
          <w:sz w:val="24"/>
          <w:szCs w:val="24"/>
        </w:rPr>
      </w:pPr>
    </w:p>
    <w:p w:rsidR="0077314B" w:rsidP="0077314B" w14:paraId="503476DE" w14:textId="075C938E">
      <w:pPr>
        <w:autoSpaceDE w:val="0"/>
        <w:autoSpaceDN w:val="0"/>
        <w:adjustRightInd w:val="0"/>
        <w:spacing w:after="0" w:line="240" w:lineRule="auto"/>
        <w:ind w:left="720"/>
        <w:rPr>
          <w:rFonts w:ascii="Times New Roman" w:hAnsi="Times New Roman"/>
          <w:bCs/>
          <w:sz w:val="24"/>
          <w:szCs w:val="24"/>
        </w:rPr>
      </w:pPr>
      <w:r>
        <w:rPr>
          <w:rFonts w:ascii="Times New Roman" w:hAnsi="Times New Roman"/>
          <w:bCs/>
          <w:sz w:val="24"/>
          <w:szCs w:val="24"/>
        </w:rPr>
        <w:t>As a Block Grant, states do not collect and report salary information or the working hour distribution of staff who are involved in administering the Title V program.</w:t>
      </w:r>
      <w:r w:rsidR="00535A04">
        <w:rPr>
          <w:rFonts w:ascii="Times New Roman" w:hAnsi="Times New Roman"/>
          <w:bCs/>
          <w:sz w:val="24"/>
          <w:szCs w:val="24"/>
        </w:rPr>
        <w:t xml:space="preserve"> </w:t>
      </w:r>
      <w:r>
        <w:rPr>
          <w:rFonts w:ascii="Times New Roman" w:hAnsi="Times New Roman"/>
          <w:bCs/>
          <w:sz w:val="24"/>
          <w:szCs w:val="24"/>
        </w:rPr>
        <w:t>In addition, the salary of staff supported under Title V will vary significantly across states.</w:t>
      </w:r>
      <w:r w:rsidR="00535A04">
        <w:rPr>
          <w:rFonts w:ascii="Times New Roman" w:hAnsi="Times New Roman"/>
          <w:bCs/>
          <w:sz w:val="24"/>
          <w:szCs w:val="24"/>
        </w:rPr>
        <w:t xml:space="preserve"> </w:t>
      </w:r>
      <w:r w:rsidR="001E17E5">
        <w:rPr>
          <w:rFonts w:ascii="Times New Roman" w:hAnsi="Times New Roman"/>
          <w:bCs/>
          <w:sz w:val="24"/>
          <w:szCs w:val="24"/>
        </w:rPr>
        <w:t>o</w:t>
      </w:r>
      <w:r>
        <w:rPr>
          <w:rFonts w:ascii="Times New Roman" w:hAnsi="Times New Roman"/>
          <w:bCs/>
          <w:sz w:val="24"/>
          <w:szCs w:val="24"/>
        </w:rPr>
        <w:t>rganizational capacity also varies, with the larger states typically utilizing more program staff than do smaller states.</w:t>
      </w:r>
      <w:r w:rsidR="00535A04">
        <w:rPr>
          <w:rFonts w:ascii="Times New Roman" w:hAnsi="Times New Roman"/>
          <w:bCs/>
          <w:sz w:val="24"/>
          <w:szCs w:val="24"/>
        </w:rPr>
        <w:t xml:space="preserve"> </w:t>
      </w:r>
      <w:r>
        <w:rPr>
          <w:rFonts w:ascii="Times New Roman" w:hAnsi="Times New Roman"/>
          <w:bCs/>
          <w:sz w:val="24"/>
          <w:szCs w:val="24"/>
        </w:rPr>
        <w:t>Each State Title V program has a unique organizational structure.</w:t>
      </w:r>
      <w:r w:rsidR="00535A04">
        <w:rPr>
          <w:rFonts w:ascii="Times New Roman" w:hAnsi="Times New Roman"/>
          <w:bCs/>
          <w:sz w:val="24"/>
          <w:szCs w:val="24"/>
        </w:rPr>
        <w:t xml:space="preserve"> </w:t>
      </w:r>
      <w:r>
        <w:rPr>
          <w:rFonts w:ascii="Times New Roman" w:hAnsi="Times New Roman"/>
          <w:bCs/>
          <w:sz w:val="24"/>
          <w:szCs w:val="24"/>
        </w:rPr>
        <w:t>Given its public health leadership role and the breadth of the services that are supported, the administration of a State Title V program requires multiple partners and health department units (e.g., MCH Director and staff, CSHCN Director and staff, Epidemiologist(s) and other supportive staff in Vital Statistics and Laboratory Services.)</w:t>
      </w:r>
      <w:r w:rsidR="00535A04">
        <w:rPr>
          <w:rFonts w:ascii="Times New Roman" w:hAnsi="Times New Roman"/>
          <w:bCs/>
          <w:sz w:val="24"/>
          <w:szCs w:val="24"/>
        </w:rPr>
        <w:t xml:space="preserve">    </w:t>
      </w:r>
    </w:p>
    <w:p w:rsidR="0077314B" w:rsidP="0077314B" w14:paraId="07C105EF" w14:textId="77777777">
      <w:pPr>
        <w:autoSpaceDE w:val="0"/>
        <w:autoSpaceDN w:val="0"/>
        <w:adjustRightInd w:val="0"/>
        <w:spacing w:after="0" w:line="240" w:lineRule="auto"/>
        <w:ind w:left="720"/>
        <w:rPr>
          <w:rFonts w:ascii="Times New Roman" w:hAnsi="Times New Roman"/>
          <w:bCs/>
          <w:sz w:val="24"/>
          <w:szCs w:val="24"/>
        </w:rPr>
      </w:pPr>
    </w:p>
    <w:p w:rsidR="0077314B" w:rsidP="001E78DC" w14:paraId="130D48CA" w14:textId="4342C680">
      <w:pPr>
        <w:tabs>
          <w:tab w:val="left" w:pos="7920"/>
        </w:tabs>
        <w:autoSpaceDE w:val="0"/>
        <w:autoSpaceDN w:val="0"/>
        <w:adjustRightInd w:val="0"/>
        <w:spacing w:after="0" w:line="240" w:lineRule="auto"/>
        <w:ind w:left="720"/>
        <w:rPr>
          <w:rFonts w:ascii="Times New Roman" w:hAnsi="Times New Roman"/>
          <w:bCs/>
          <w:sz w:val="24"/>
          <w:szCs w:val="24"/>
        </w:rPr>
      </w:pPr>
      <w:r w:rsidRPr="00441E86">
        <w:rPr>
          <w:rFonts w:ascii="Times New Roman" w:hAnsi="Times New Roman"/>
          <w:bCs/>
          <w:sz w:val="24"/>
          <w:szCs w:val="24"/>
        </w:rPr>
        <w:t>Based on the Bureau of Labor Statistics, Occupational Employment and Wages for</w:t>
      </w:r>
      <w:r w:rsidR="00535A04">
        <w:rPr>
          <w:rFonts w:ascii="Times New Roman" w:hAnsi="Times New Roman"/>
          <w:bCs/>
          <w:sz w:val="24"/>
          <w:szCs w:val="24"/>
        </w:rPr>
        <w:t xml:space="preserve"> </w:t>
      </w:r>
      <w:r w:rsidRPr="00441E86" w:rsidR="000C4249">
        <w:rPr>
          <w:rFonts w:ascii="Times New Roman" w:hAnsi="Times New Roman"/>
          <w:bCs/>
          <w:sz w:val="24"/>
          <w:szCs w:val="24"/>
        </w:rPr>
        <w:t xml:space="preserve">May </w:t>
      </w:r>
      <w:r w:rsidRPr="00441E86" w:rsidR="008137A6">
        <w:rPr>
          <w:rFonts w:ascii="Times New Roman" w:hAnsi="Times New Roman"/>
          <w:bCs/>
          <w:sz w:val="24"/>
          <w:szCs w:val="24"/>
        </w:rPr>
        <w:t>20</w:t>
      </w:r>
      <w:r w:rsidR="003C6C29">
        <w:rPr>
          <w:rFonts w:ascii="Times New Roman" w:hAnsi="Times New Roman"/>
          <w:bCs/>
          <w:sz w:val="24"/>
          <w:szCs w:val="24"/>
        </w:rPr>
        <w:t>22</w:t>
      </w:r>
      <w:r w:rsidRPr="00441E86">
        <w:rPr>
          <w:rFonts w:ascii="Times New Roman" w:hAnsi="Times New Roman"/>
          <w:bCs/>
          <w:sz w:val="24"/>
          <w:szCs w:val="24"/>
        </w:rPr>
        <w:t>, the national me</w:t>
      </w:r>
      <w:r w:rsidRPr="00441E86" w:rsidR="008137A6">
        <w:rPr>
          <w:rFonts w:ascii="Times New Roman" w:hAnsi="Times New Roman"/>
          <w:bCs/>
          <w:sz w:val="24"/>
          <w:szCs w:val="24"/>
        </w:rPr>
        <w:t xml:space="preserve">an </w:t>
      </w:r>
      <w:r w:rsidRPr="00441E86">
        <w:rPr>
          <w:rFonts w:ascii="Times New Roman" w:hAnsi="Times New Roman"/>
          <w:bCs/>
          <w:sz w:val="24"/>
          <w:szCs w:val="24"/>
        </w:rPr>
        <w:t xml:space="preserve">wage estimate for </w:t>
      </w:r>
      <w:r w:rsidR="001E17E5">
        <w:rPr>
          <w:rFonts w:ascii="Times New Roman" w:hAnsi="Times New Roman"/>
          <w:bCs/>
          <w:sz w:val="24"/>
          <w:szCs w:val="24"/>
        </w:rPr>
        <w:t xml:space="preserve">11-911 </w:t>
      </w:r>
      <w:r w:rsidRPr="00441E86">
        <w:rPr>
          <w:rFonts w:ascii="Times New Roman" w:hAnsi="Times New Roman"/>
          <w:bCs/>
          <w:sz w:val="24"/>
          <w:szCs w:val="24"/>
        </w:rPr>
        <w:t>Medical and Health Services Managers in organizations that include public health agencies is $</w:t>
      </w:r>
      <w:r w:rsidR="003C6C29">
        <w:rPr>
          <w:rFonts w:ascii="Times New Roman" w:hAnsi="Times New Roman"/>
          <w:bCs/>
          <w:sz w:val="24"/>
          <w:szCs w:val="24"/>
        </w:rPr>
        <w:t>61.53</w:t>
      </w:r>
      <w:r w:rsidRPr="00441E86" w:rsidR="00313000">
        <w:rPr>
          <w:rFonts w:ascii="Times New Roman" w:hAnsi="Times New Roman"/>
          <w:bCs/>
          <w:sz w:val="24"/>
          <w:szCs w:val="24"/>
        </w:rPr>
        <w:t xml:space="preserve"> (</w:t>
      </w:r>
      <w:hyperlink r:id="rId14" w:history="1">
        <w:r w:rsidRPr="00441E86" w:rsidR="007C33EC">
          <w:rPr>
            <w:rStyle w:val="Hyperlink"/>
            <w:rFonts w:ascii="Times New Roman" w:hAnsi="Times New Roman"/>
            <w:bCs/>
            <w:sz w:val="24"/>
            <w:szCs w:val="24"/>
          </w:rPr>
          <w:t>https://www.bls.gov/oes/current/oes119111.htm</w:t>
        </w:r>
      </w:hyperlink>
      <w:r w:rsidRPr="00441E86" w:rsidR="000C4249">
        <w:rPr>
          <w:rFonts w:ascii="Times New Roman" w:hAnsi="Times New Roman"/>
          <w:bCs/>
          <w:sz w:val="24"/>
          <w:szCs w:val="24"/>
        </w:rPr>
        <w:t>)</w:t>
      </w:r>
      <w:r w:rsidRPr="00441E86" w:rsidR="007C33EC">
        <w:rPr>
          <w:rFonts w:ascii="Times New Roman" w:hAnsi="Times New Roman"/>
          <w:bCs/>
          <w:sz w:val="24"/>
          <w:szCs w:val="24"/>
        </w:rPr>
        <w:t>.</w:t>
      </w:r>
      <w:r w:rsidR="00535A04">
        <w:rPr>
          <w:rFonts w:ascii="Times New Roman" w:hAnsi="Times New Roman"/>
          <w:bCs/>
          <w:sz w:val="24"/>
          <w:szCs w:val="24"/>
        </w:rPr>
        <w:t xml:space="preserve"> </w:t>
      </w:r>
      <w:r w:rsidRPr="001E78DC" w:rsidR="009363E4">
        <w:rPr>
          <w:rStyle w:val="cf01"/>
          <w:rFonts w:ascii="Times New Roman" w:hAnsi="Times New Roman" w:cs="Times New Roman"/>
          <w:sz w:val="24"/>
          <w:szCs w:val="24"/>
        </w:rPr>
        <w:t xml:space="preserve">Wage has been doubled to account for overhead costs.  </w:t>
      </w:r>
      <w:r w:rsidRPr="009363E4">
        <w:rPr>
          <w:rFonts w:ascii="Times New Roman" w:hAnsi="Times New Roman"/>
          <w:bCs/>
          <w:sz w:val="24"/>
          <w:szCs w:val="24"/>
        </w:rPr>
        <w:t>The preparation and yearly submission of the Application/Annual Report and Five-Year Needs Assessment requires multiple levels of staff.</w:t>
      </w:r>
      <w:r w:rsidRPr="009363E4" w:rsidR="00535A04">
        <w:rPr>
          <w:rFonts w:ascii="Times New Roman" w:hAnsi="Times New Roman"/>
          <w:bCs/>
          <w:sz w:val="24"/>
          <w:szCs w:val="24"/>
        </w:rPr>
        <w:t xml:space="preserve"> </w:t>
      </w:r>
      <w:r w:rsidRPr="009363E4">
        <w:rPr>
          <w:rFonts w:ascii="Times New Roman" w:hAnsi="Times New Roman"/>
          <w:bCs/>
          <w:sz w:val="24"/>
          <w:szCs w:val="24"/>
        </w:rPr>
        <w:t>As the Health Services Manager likely has one of the higher salaries, this rate was used to calculate the following annualized cost to the State Title V programs</w:t>
      </w:r>
      <w:r w:rsidRPr="009363E4" w:rsidR="00371855">
        <w:rPr>
          <w:rFonts w:ascii="Times New Roman" w:hAnsi="Times New Roman"/>
          <w:bCs/>
          <w:sz w:val="24"/>
          <w:szCs w:val="24"/>
        </w:rPr>
        <w:t xml:space="preserve"> to</w:t>
      </w:r>
      <w:r w:rsidR="00371855">
        <w:rPr>
          <w:rFonts w:ascii="Times New Roman" w:hAnsi="Times New Roman"/>
          <w:bCs/>
          <w:sz w:val="24"/>
          <w:szCs w:val="24"/>
        </w:rPr>
        <w:t xml:space="preserve"> account for costs nation-wide across the </w:t>
      </w:r>
      <w:r w:rsidR="00371855">
        <w:rPr>
          <w:rFonts w:ascii="Times New Roman" w:hAnsi="Times New Roman"/>
          <w:bCs/>
          <w:sz w:val="24"/>
          <w:szCs w:val="24"/>
        </w:rPr>
        <w:t xml:space="preserve">59 states and </w:t>
      </w:r>
      <w:r w:rsidR="009363E4">
        <w:rPr>
          <w:rFonts w:ascii="Times New Roman" w:hAnsi="Times New Roman"/>
          <w:bCs/>
          <w:sz w:val="24"/>
          <w:szCs w:val="24"/>
        </w:rPr>
        <w:t>jurisdictions</w:t>
      </w:r>
      <w:r w:rsidRPr="00F074C9">
        <w:rPr>
          <w:rFonts w:ascii="Times New Roman" w:hAnsi="Times New Roman"/>
          <w:bCs/>
          <w:sz w:val="24"/>
          <w:szCs w:val="24"/>
        </w:rPr>
        <w:t>.</w:t>
      </w:r>
      <w:r w:rsidR="00371855">
        <w:rPr>
          <w:rFonts w:ascii="Times New Roman" w:hAnsi="Times New Roman"/>
          <w:bCs/>
          <w:sz w:val="24"/>
          <w:szCs w:val="24"/>
        </w:rPr>
        <w:t xml:space="preserve"> By using the mean</w:t>
      </w:r>
      <w:r w:rsidR="009363E4">
        <w:rPr>
          <w:rFonts w:ascii="Times New Roman" w:hAnsi="Times New Roman"/>
          <w:bCs/>
          <w:sz w:val="24"/>
          <w:szCs w:val="24"/>
        </w:rPr>
        <w:t xml:space="preserve"> hourly wage</w:t>
      </w:r>
      <w:r w:rsidR="00371855">
        <w:rPr>
          <w:rFonts w:ascii="Times New Roman" w:hAnsi="Times New Roman"/>
          <w:bCs/>
          <w:sz w:val="24"/>
          <w:szCs w:val="24"/>
        </w:rPr>
        <w:t xml:space="preserve"> nationally,</w:t>
      </w:r>
      <w:r w:rsidR="009363E4">
        <w:rPr>
          <w:rFonts w:ascii="Times New Roman" w:hAnsi="Times New Roman"/>
          <w:bCs/>
          <w:sz w:val="24"/>
          <w:szCs w:val="24"/>
        </w:rPr>
        <w:t xml:space="preserve"> we have not adjusted for differences in locality.</w:t>
      </w:r>
      <w:r w:rsidR="00535A04">
        <w:rPr>
          <w:rFonts w:ascii="Times New Roman" w:hAnsi="Times New Roman"/>
          <w:bCs/>
          <w:sz w:val="24"/>
          <w:szCs w:val="24"/>
        </w:rPr>
        <w:t xml:space="preserve">  </w:t>
      </w:r>
    </w:p>
    <w:p w:rsidR="0077314B" w:rsidP="005F1988" w14:paraId="7FAE323D" w14:textId="77777777">
      <w:pPr>
        <w:autoSpaceDE w:val="0"/>
        <w:autoSpaceDN w:val="0"/>
        <w:adjustRightInd w:val="0"/>
        <w:spacing w:after="0" w:line="240" w:lineRule="auto"/>
        <w:rPr>
          <w:rFonts w:ascii="Times New Roman" w:hAnsi="Times New Roman"/>
          <w:bCs/>
          <w:sz w:val="24"/>
          <w:szCs w:val="24"/>
        </w:rPr>
      </w:pPr>
    </w:p>
    <w:tbl>
      <w:tblPr>
        <w:tblW w:w="80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4"/>
        <w:gridCol w:w="1733"/>
        <w:gridCol w:w="1550"/>
        <w:gridCol w:w="2006"/>
      </w:tblGrid>
      <w:tr w14:paraId="467F3360" w14:textId="77777777" w:rsidTr="001E78DC">
        <w:tblPrEx>
          <w:tblW w:w="80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79"/>
        </w:trPr>
        <w:tc>
          <w:tcPr>
            <w:tcW w:w="2734" w:type="dxa"/>
          </w:tcPr>
          <w:p w:rsidR="00C35E95" w:rsidRPr="00973842" w:rsidP="005F1988" w14:paraId="58CA4B97" w14:textId="77777777">
            <w:pPr>
              <w:spacing w:after="0" w:line="240" w:lineRule="auto"/>
              <w:rPr>
                <w:rFonts w:ascii="Times New Roman" w:hAnsi="Times New Roman"/>
                <w:b/>
              </w:rPr>
            </w:pPr>
            <w:r w:rsidRPr="00973842">
              <w:rPr>
                <w:rFonts w:ascii="Times New Roman" w:hAnsi="Times New Roman"/>
                <w:b/>
              </w:rPr>
              <w:t>Type of Respondent</w:t>
            </w:r>
          </w:p>
        </w:tc>
        <w:tc>
          <w:tcPr>
            <w:tcW w:w="1733" w:type="dxa"/>
          </w:tcPr>
          <w:p w:rsidR="00C35E95" w:rsidRPr="00973842" w:rsidP="00074F25" w14:paraId="63C2BC64" w14:textId="738DD8ED">
            <w:pPr>
              <w:spacing w:after="0" w:line="240" w:lineRule="auto"/>
              <w:rPr>
                <w:rFonts w:ascii="Times New Roman" w:hAnsi="Times New Roman"/>
                <w:b/>
              </w:rPr>
            </w:pPr>
            <w:r w:rsidRPr="00973842">
              <w:rPr>
                <w:rFonts w:ascii="Times New Roman" w:hAnsi="Times New Roman"/>
                <w:b/>
              </w:rPr>
              <w:t xml:space="preserve">Average </w:t>
            </w:r>
            <w:r w:rsidRPr="00973842" w:rsidR="00074F25">
              <w:rPr>
                <w:rFonts w:ascii="Times New Roman" w:hAnsi="Times New Roman"/>
                <w:b/>
              </w:rPr>
              <w:t xml:space="preserve">Total </w:t>
            </w:r>
            <w:r w:rsidRPr="00973842">
              <w:rPr>
                <w:rFonts w:ascii="Times New Roman" w:hAnsi="Times New Roman"/>
                <w:b/>
              </w:rPr>
              <w:t xml:space="preserve">Annual </w:t>
            </w:r>
            <w:r w:rsidRPr="00973842">
              <w:rPr>
                <w:rFonts w:ascii="Times New Roman" w:hAnsi="Times New Roman"/>
                <w:b/>
              </w:rPr>
              <w:t>Burden Hours</w:t>
            </w:r>
            <w:r w:rsidR="00422789">
              <w:rPr>
                <w:rFonts w:ascii="Times New Roman" w:hAnsi="Times New Roman"/>
                <w:b/>
              </w:rPr>
              <w:t xml:space="preserve"> </w:t>
            </w:r>
          </w:p>
        </w:tc>
        <w:tc>
          <w:tcPr>
            <w:tcW w:w="1550" w:type="dxa"/>
          </w:tcPr>
          <w:p w:rsidR="00C35E95" w:rsidRPr="00973842" w:rsidP="005F1988" w14:paraId="40C22EAE" w14:textId="43BBBEF1">
            <w:pPr>
              <w:spacing w:after="0" w:line="240" w:lineRule="auto"/>
              <w:rPr>
                <w:rFonts w:ascii="Times New Roman" w:hAnsi="Times New Roman"/>
                <w:b/>
              </w:rPr>
            </w:pPr>
            <w:r w:rsidRPr="00973842">
              <w:rPr>
                <w:rFonts w:ascii="Times New Roman" w:hAnsi="Times New Roman"/>
                <w:b/>
              </w:rPr>
              <w:t>Hourly Wage Rate</w:t>
            </w:r>
          </w:p>
        </w:tc>
        <w:tc>
          <w:tcPr>
            <w:tcW w:w="2006" w:type="dxa"/>
          </w:tcPr>
          <w:p w:rsidR="00C35E95" w:rsidRPr="00973842" w:rsidP="005F1988" w14:paraId="7485A7B1" w14:textId="3EB1F881">
            <w:pPr>
              <w:spacing w:after="0" w:line="240" w:lineRule="auto"/>
              <w:rPr>
                <w:rFonts w:ascii="Times New Roman" w:hAnsi="Times New Roman"/>
                <w:b/>
              </w:rPr>
            </w:pPr>
            <w:r w:rsidRPr="00973842">
              <w:rPr>
                <w:rFonts w:ascii="Times New Roman" w:hAnsi="Times New Roman"/>
                <w:b/>
              </w:rPr>
              <w:t>Total Respondent Costs</w:t>
            </w:r>
            <w:r>
              <w:rPr>
                <w:rStyle w:val="FootnoteReference"/>
                <w:rFonts w:ascii="Times New Roman" w:hAnsi="Times New Roman"/>
                <w:b/>
              </w:rPr>
              <w:footnoteReference w:id="2"/>
            </w:r>
          </w:p>
        </w:tc>
      </w:tr>
      <w:tr w14:paraId="73D8892C" w14:textId="77777777" w:rsidTr="001E78DC">
        <w:tblPrEx>
          <w:tblW w:w="8023" w:type="dxa"/>
          <w:tblInd w:w="715" w:type="dxa"/>
          <w:tblLook w:val="01E0"/>
        </w:tblPrEx>
        <w:trPr>
          <w:trHeight w:val="1574"/>
        </w:trPr>
        <w:tc>
          <w:tcPr>
            <w:tcW w:w="2734" w:type="dxa"/>
            <w:tcBorders>
              <w:top w:val="single" w:sz="4" w:space="0" w:color="auto"/>
              <w:left w:val="single" w:sz="4" w:space="0" w:color="auto"/>
              <w:bottom w:val="single" w:sz="4" w:space="0" w:color="auto"/>
              <w:right w:val="single" w:sz="4" w:space="0" w:color="auto"/>
            </w:tcBorders>
          </w:tcPr>
          <w:p w:rsidR="00422789" w:rsidRPr="001E78DC" w:rsidP="00F41571" w14:paraId="2770CA84" w14:textId="77777777">
            <w:pPr>
              <w:spacing w:after="0" w:line="240" w:lineRule="auto"/>
              <w:rPr>
                <w:rFonts w:ascii="Times New Roman" w:hAnsi="Times New Roman"/>
                <w:bCs/>
              </w:rPr>
            </w:pPr>
            <w:r w:rsidRPr="001E78DC">
              <w:rPr>
                <w:rFonts w:ascii="Times New Roman" w:hAnsi="Times New Roman"/>
                <w:bCs/>
              </w:rPr>
              <w:t>Medical and Health Services Manager - Application and Annual Report without Five-Year Needs Assessment Summary</w:t>
            </w:r>
          </w:p>
        </w:tc>
        <w:tc>
          <w:tcPr>
            <w:tcW w:w="1733" w:type="dxa"/>
            <w:tcBorders>
              <w:top w:val="single" w:sz="4" w:space="0" w:color="auto"/>
              <w:left w:val="single" w:sz="4" w:space="0" w:color="auto"/>
              <w:bottom w:val="single" w:sz="4" w:space="0" w:color="auto"/>
              <w:right w:val="single" w:sz="4" w:space="0" w:color="auto"/>
            </w:tcBorders>
          </w:tcPr>
          <w:p w:rsidR="00422789" w:rsidRPr="001E78DC" w:rsidP="001E78DC" w14:paraId="2D15ED64" w14:textId="77777777">
            <w:pPr>
              <w:spacing w:after="0" w:line="240" w:lineRule="auto"/>
              <w:jc w:val="right"/>
              <w:rPr>
                <w:rFonts w:ascii="Times New Roman" w:hAnsi="Times New Roman"/>
                <w:bCs/>
              </w:rPr>
            </w:pPr>
            <w:r w:rsidRPr="001E78DC">
              <w:rPr>
                <w:rFonts w:ascii="Times New Roman" w:hAnsi="Times New Roman"/>
                <w:bCs/>
              </w:rPr>
              <w:t>6,785</w:t>
            </w:r>
          </w:p>
        </w:tc>
        <w:tc>
          <w:tcPr>
            <w:tcW w:w="1550" w:type="dxa"/>
            <w:tcBorders>
              <w:top w:val="single" w:sz="4" w:space="0" w:color="auto"/>
              <w:left w:val="single" w:sz="4" w:space="0" w:color="auto"/>
              <w:bottom w:val="single" w:sz="4" w:space="0" w:color="auto"/>
              <w:right w:val="single" w:sz="4" w:space="0" w:color="auto"/>
            </w:tcBorders>
          </w:tcPr>
          <w:p w:rsidR="00422789" w:rsidRPr="001E78DC" w:rsidP="001E78DC" w14:paraId="3D40DB16" w14:textId="77777777">
            <w:pPr>
              <w:spacing w:after="0" w:line="240" w:lineRule="auto"/>
              <w:jc w:val="right"/>
              <w:rPr>
                <w:rFonts w:ascii="Times New Roman" w:hAnsi="Times New Roman"/>
                <w:bCs/>
              </w:rPr>
            </w:pPr>
            <w:r w:rsidRPr="001E78DC">
              <w:rPr>
                <w:rFonts w:ascii="Times New Roman" w:hAnsi="Times New Roman"/>
                <w:bCs/>
              </w:rPr>
              <w:t>$61.35</w:t>
            </w:r>
          </w:p>
          <w:p w:rsidR="00422789" w:rsidRPr="001E78DC" w:rsidP="001E78DC" w14:paraId="7C21B8F3" w14:textId="77777777">
            <w:pPr>
              <w:spacing w:after="0" w:line="240" w:lineRule="auto"/>
              <w:jc w:val="right"/>
              <w:rPr>
                <w:rFonts w:ascii="Times New Roman" w:hAnsi="Times New Roman"/>
                <w:bCs/>
              </w:rPr>
            </w:pPr>
          </w:p>
        </w:tc>
        <w:tc>
          <w:tcPr>
            <w:tcW w:w="2006" w:type="dxa"/>
            <w:tcBorders>
              <w:top w:val="single" w:sz="4" w:space="0" w:color="auto"/>
              <w:left w:val="single" w:sz="4" w:space="0" w:color="auto"/>
              <w:bottom w:val="single" w:sz="4" w:space="0" w:color="auto"/>
              <w:right w:val="single" w:sz="4" w:space="0" w:color="auto"/>
            </w:tcBorders>
          </w:tcPr>
          <w:p w:rsidR="00422789" w:rsidRPr="001E78DC" w:rsidP="001E78DC" w14:paraId="34C139F0" w14:textId="20936892">
            <w:pPr>
              <w:spacing w:after="0" w:line="240" w:lineRule="auto"/>
              <w:jc w:val="right"/>
              <w:rPr>
                <w:rFonts w:ascii="Times New Roman" w:hAnsi="Times New Roman"/>
                <w:bCs/>
              </w:rPr>
            </w:pPr>
            <w:r>
              <w:rPr>
                <w:rFonts w:ascii="Times New Roman" w:hAnsi="Times New Roman"/>
                <w:bCs/>
              </w:rPr>
              <w:t>$</w:t>
            </w:r>
            <w:r w:rsidR="00EB723F">
              <w:rPr>
                <w:rFonts w:ascii="Times New Roman" w:hAnsi="Times New Roman"/>
                <w:bCs/>
              </w:rPr>
              <w:t>832,520</w:t>
            </w:r>
          </w:p>
        </w:tc>
      </w:tr>
      <w:tr w14:paraId="6F8371B4" w14:textId="77777777" w:rsidTr="001E78DC">
        <w:tblPrEx>
          <w:tblW w:w="8023" w:type="dxa"/>
          <w:tblInd w:w="715" w:type="dxa"/>
          <w:tblLook w:val="01E0"/>
        </w:tblPrEx>
        <w:trPr>
          <w:trHeight w:val="1065"/>
        </w:trPr>
        <w:tc>
          <w:tcPr>
            <w:tcW w:w="2734" w:type="dxa"/>
          </w:tcPr>
          <w:p w:rsidR="00C35E95" w:rsidRPr="00422789" w:rsidP="005F1988" w14:paraId="18E2D04E" w14:textId="7D7862A9">
            <w:pPr>
              <w:spacing w:after="0" w:line="240" w:lineRule="auto"/>
              <w:rPr>
                <w:rFonts w:ascii="Times New Roman" w:hAnsi="Times New Roman"/>
                <w:bCs/>
              </w:rPr>
            </w:pPr>
            <w:bookmarkStart w:id="0" w:name="_Hlk146613384"/>
            <w:r w:rsidRPr="00422789">
              <w:rPr>
                <w:rFonts w:ascii="Times New Roman" w:hAnsi="Times New Roman"/>
                <w:bCs/>
              </w:rPr>
              <w:t>Medical and Health Services Manager</w:t>
            </w:r>
            <w:r w:rsidRPr="00422789" w:rsidR="00422789">
              <w:rPr>
                <w:rFonts w:ascii="Times New Roman" w:hAnsi="Times New Roman"/>
                <w:bCs/>
              </w:rPr>
              <w:t xml:space="preserve"> - </w:t>
            </w:r>
            <w:r w:rsidRPr="00422789" w:rsidR="00422789">
              <w:rPr>
                <w:rFonts w:ascii="Times New Roman" w:hAnsi="Times New Roman"/>
                <w:bCs/>
                <w:sz w:val="24"/>
                <w:szCs w:val="24"/>
              </w:rPr>
              <w:t>Application and Annual Report with Five-Year Needs Assessment Summary</w:t>
            </w:r>
          </w:p>
        </w:tc>
        <w:tc>
          <w:tcPr>
            <w:tcW w:w="1733" w:type="dxa"/>
          </w:tcPr>
          <w:p w:rsidR="00C35E95" w:rsidRPr="00422789" w:rsidP="001E78DC" w14:paraId="505DFF6D" w14:textId="041440C7">
            <w:pPr>
              <w:spacing w:after="0" w:line="240" w:lineRule="auto"/>
              <w:jc w:val="right"/>
              <w:rPr>
                <w:rFonts w:ascii="Times New Roman" w:hAnsi="Times New Roman"/>
                <w:bCs/>
              </w:rPr>
            </w:pPr>
            <w:r w:rsidRPr="00422789">
              <w:rPr>
                <w:rFonts w:ascii="Times New Roman" w:hAnsi="Times New Roman"/>
                <w:bCs/>
                <w:sz w:val="24"/>
                <w:szCs w:val="24"/>
              </w:rPr>
              <w:t>10,679</w:t>
            </w:r>
          </w:p>
        </w:tc>
        <w:tc>
          <w:tcPr>
            <w:tcW w:w="1550" w:type="dxa"/>
          </w:tcPr>
          <w:p w:rsidR="00C35E95" w:rsidRPr="00422789" w:rsidP="001E78DC" w14:paraId="411CD030" w14:textId="191CDA99">
            <w:pPr>
              <w:spacing w:after="0" w:line="240" w:lineRule="auto"/>
              <w:jc w:val="right"/>
              <w:rPr>
                <w:rFonts w:ascii="Times New Roman" w:hAnsi="Times New Roman"/>
                <w:bCs/>
              </w:rPr>
            </w:pPr>
            <w:r w:rsidRPr="00422789">
              <w:rPr>
                <w:rFonts w:ascii="Times New Roman" w:hAnsi="Times New Roman"/>
                <w:bCs/>
              </w:rPr>
              <w:t>$</w:t>
            </w:r>
            <w:r w:rsidRPr="00422789" w:rsidR="008C1EF3">
              <w:rPr>
                <w:rFonts w:ascii="Times New Roman" w:hAnsi="Times New Roman"/>
                <w:bCs/>
              </w:rPr>
              <w:t>61.35</w:t>
            </w:r>
          </w:p>
          <w:p w:rsidR="008137A6" w:rsidRPr="00422789" w:rsidP="001E78DC" w14:paraId="096BA83E" w14:textId="77777777">
            <w:pPr>
              <w:spacing w:after="0" w:line="240" w:lineRule="auto"/>
              <w:jc w:val="right"/>
              <w:rPr>
                <w:rFonts w:ascii="Times New Roman" w:hAnsi="Times New Roman"/>
                <w:bCs/>
              </w:rPr>
            </w:pPr>
          </w:p>
        </w:tc>
        <w:tc>
          <w:tcPr>
            <w:tcW w:w="2006" w:type="dxa"/>
          </w:tcPr>
          <w:p w:rsidR="00C35E95" w:rsidRPr="00422789" w:rsidP="001E78DC" w14:paraId="02220E18" w14:textId="23C7FA0E">
            <w:pPr>
              <w:spacing w:after="0" w:line="240" w:lineRule="auto"/>
              <w:jc w:val="right"/>
              <w:rPr>
                <w:rFonts w:ascii="Times New Roman" w:hAnsi="Times New Roman"/>
                <w:bCs/>
              </w:rPr>
            </w:pPr>
            <w:r>
              <w:rPr>
                <w:rFonts w:ascii="Times New Roman" w:hAnsi="Times New Roman"/>
                <w:bCs/>
              </w:rPr>
              <w:t>$</w:t>
            </w:r>
            <w:r w:rsidR="00EB723F">
              <w:rPr>
                <w:rFonts w:ascii="Times New Roman" w:hAnsi="Times New Roman"/>
                <w:bCs/>
              </w:rPr>
              <w:t>1,310,314</w:t>
            </w:r>
          </w:p>
        </w:tc>
      </w:tr>
      <w:bookmarkEnd w:id="0"/>
      <w:tr w14:paraId="054ADD2E" w14:textId="77777777" w:rsidTr="001E78DC">
        <w:tblPrEx>
          <w:tblW w:w="8023" w:type="dxa"/>
          <w:tblInd w:w="715" w:type="dxa"/>
          <w:tblLook w:val="01E0"/>
        </w:tblPrEx>
        <w:trPr>
          <w:trHeight w:val="176"/>
        </w:trPr>
        <w:tc>
          <w:tcPr>
            <w:tcW w:w="2734" w:type="dxa"/>
          </w:tcPr>
          <w:p w:rsidR="00C35E95" w:rsidRPr="00973842" w:rsidP="005F1988" w14:paraId="20ADEF12" w14:textId="77777777">
            <w:pPr>
              <w:spacing w:after="0" w:line="240" w:lineRule="auto"/>
              <w:rPr>
                <w:rFonts w:ascii="Times New Roman" w:hAnsi="Times New Roman"/>
                <w:b/>
              </w:rPr>
            </w:pPr>
            <w:r w:rsidRPr="00973842">
              <w:rPr>
                <w:rFonts w:ascii="Times New Roman" w:hAnsi="Times New Roman"/>
                <w:b/>
              </w:rPr>
              <w:t xml:space="preserve">Total </w:t>
            </w:r>
          </w:p>
        </w:tc>
        <w:tc>
          <w:tcPr>
            <w:tcW w:w="1733" w:type="dxa"/>
          </w:tcPr>
          <w:p w:rsidR="00C35E95" w:rsidRPr="00973842" w:rsidP="001E78DC" w14:paraId="4BB94680" w14:textId="434CE5E6">
            <w:pPr>
              <w:spacing w:after="0" w:line="240" w:lineRule="auto"/>
              <w:jc w:val="right"/>
              <w:rPr>
                <w:rFonts w:ascii="Times New Roman" w:hAnsi="Times New Roman"/>
              </w:rPr>
            </w:pPr>
            <w:r>
              <w:rPr>
                <w:rFonts w:ascii="Times New Roman" w:hAnsi="Times New Roman"/>
              </w:rPr>
              <w:t>17,464</w:t>
            </w:r>
          </w:p>
        </w:tc>
        <w:tc>
          <w:tcPr>
            <w:tcW w:w="1550" w:type="dxa"/>
          </w:tcPr>
          <w:p w:rsidR="00C35E95" w:rsidRPr="00973842" w:rsidP="001E78DC" w14:paraId="1DD288D9" w14:textId="77777777">
            <w:pPr>
              <w:spacing w:after="0" w:line="240" w:lineRule="auto"/>
              <w:jc w:val="right"/>
              <w:rPr>
                <w:rFonts w:ascii="Times New Roman" w:hAnsi="Times New Roman"/>
              </w:rPr>
            </w:pPr>
          </w:p>
        </w:tc>
        <w:tc>
          <w:tcPr>
            <w:tcW w:w="2006" w:type="dxa"/>
          </w:tcPr>
          <w:p w:rsidR="00C35E95" w:rsidRPr="00973842" w:rsidP="001E78DC" w14:paraId="30D8B956" w14:textId="2E32A86A">
            <w:pPr>
              <w:spacing w:after="0" w:line="240" w:lineRule="auto"/>
              <w:jc w:val="right"/>
              <w:rPr>
                <w:rFonts w:ascii="Times New Roman" w:hAnsi="Times New Roman"/>
              </w:rPr>
            </w:pPr>
            <w:r w:rsidRPr="00973842">
              <w:rPr>
                <w:rFonts w:ascii="Times New Roman" w:hAnsi="Times New Roman"/>
              </w:rPr>
              <w:t>$</w:t>
            </w:r>
            <w:r w:rsidR="00EB723F">
              <w:rPr>
                <w:rFonts w:ascii="Times New Roman" w:hAnsi="Times New Roman"/>
              </w:rPr>
              <w:t>2,142,834</w:t>
            </w:r>
          </w:p>
        </w:tc>
      </w:tr>
    </w:tbl>
    <w:p w:rsidR="0032502A" w:rsidP="001E78DC" w14:paraId="2413E562" w14:textId="3427A067">
      <w:pPr>
        <w:autoSpaceDE w:val="0"/>
        <w:autoSpaceDN w:val="0"/>
        <w:adjustRightInd w:val="0"/>
        <w:spacing w:after="0" w:line="240" w:lineRule="auto"/>
        <w:ind w:left="720"/>
        <w:rPr>
          <w:rFonts w:ascii="Times New Roman" w:hAnsi="Times New Roman"/>
          <w:b/>
          <w:bCs/>
          <w:sz w:val="24"/>
          <w:szCs w:val="24"/>
        </w:rPr>
      </w:pPr>
    </w:p>
    <w:p w:rsidR="009363E4" w:rsidP="00C82EB3" w14:paraId="22BF1098" w14:textId="77777777">
      <w:pPr>
        <w:autoSpaceDE w:val="0"/>
        <w:autoSpaceDN w:val="0"/>
        <w:adjustRightInd w:val="0"/>
        <w:spacing w:after="0" w:line="240" w:lineRule="auto"/>
        <w:ind w:left="720" w:hanging="450"/>
        <w:rPr>
          <w:rFonts w:ascii="Times New Roman" w:hAnsi="Times New Roman"/>
          <w:b/>
          <w:bCs/>
          <w:sz w:val="24"/>
          <w:szCs w:val="24"/>
        </w:rPr>
      </w:pPr>
    </w:p>
    <w:p w:rsidR="00C679A3" w:rsidRPr="0013483B" w:rsidP="001E78DC" w14:paraId="68E7F570" w14:textId="0C2936E7">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13. </w:t>
      </w:r>
      <w:r w:rsidRPr="0013483B" w:rsidR="00C82EB3">
        <w:rPr>
          <w:rFonts w:ascii="Times New Roman" w:hAnsi="Times New Roman"/>
          <w:b/>
          <w:bCs/>
          <w:sz w:val="24"/>
          <w:szCs w:val="24"/>
        </w:rPr>
        <w:tab/>
      </w:r>
      <w:r w:rsidR="00DB73EE">
        <w:rPr>
          <w:rFonts w:ascii="Times New Roman" w:hAnsi="Times New Roman"/>
          <w:b/>
          <w:bCs/>
          <w:sz w:val="24"/>
          <w:szCs w:val="24"/>
        </w:rPr>
        <w:t xml:space="preserve">Estimates of other Total Annual Cost Burden to Respondents or Recordkeepers/ Capital Costs </w:t>
      </w:r>
    </w:p>
    <w:p w:rsidR="00CB509A" w:rsidRPr="0013483B" w:rsidP="00C82EB3" w14:paraId="25BFACE5"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There is no capital, start-up costs, or operation and maintenance costs associated with this data</w:t>
      </w:r>
      <w:r w:rsidRPr="0013483B" w:rsidR="00C82EB3">
        <w:rPr>
          <w:rFonts w:ascii="Times New Roman" w:hAnsi="Times New Roman"/>
          <w:sz w:val="24"/>
          <w:szCs w:val="24"/>
        </w:rPr>
        <w:t xml:space="preserve"> </w:t>
      </w:r>
      <w:r w:rsidRPr="0013483B">
        <w:rPr>
          <w:rFonts w:ascii="Times New Roman" w:hAnsi="Times New Roman"/>
          <w:sz w:val="24"/>
          <w:szCs w:val="24"/>
        </w:rPr>
        <w:t>collection.</w:t>
      </w:r>
    </w:p>
    <w:p w:rsidR="009363E4" w:rsidP="00CB509A" w14:paraId="7FD8350D" w14:textId="77777777">
      <w:pPr>
        <w:autoSpaceDE w:val="0"/>
        <w:autoSpaceDN w:val="0"/>
        <w:adjustRightInd w:val="0"/>
        <w:spacing w:after="0" w:line="240" w:lineRule="auto"/>
        <w:rPr>
          <w:rFonts w:ascii="Times New Roman" w:hAnsi="Times New Roman"/>
          <w:color w:val="31849B"/>
          <w:sz w:val="24"/>
          <w:szCs w:val="24"/>
        </w:rPr>
      </w:pPr>
    </w:p>
    <w:p w:rsidR="00CB509A" w:rsidRPr="0090627F" w:rsidP="00C82EB3" w14:paraId="72215133" w14:textId="1CA97F54">
      <w:pPr>
        <w:autoSpaceDE w:val="0"/>
        <w:autoSpaceDN w:val="0"/>
        <w:adjustRightInd w:val="0"/>
        <w:spacing w:after="0" w:line="240" w:lineRule="auto"/>
        <w:ind w:left="720" w:hanging="450"/>
        <w:rPr>
          <w:rFonts w:ascii="Times New Roman" w:hAnsi="Times New Roman"/>
          <w:b/>
          <w:bCs/>
          <w:sz w:val="24"/>
          <w:szCs w:val="24"/>
        </w:rPr>
      </w:pPr>
      <w:r w:rsidRPr="0090627F">
        <w:rPr>
          <w:rFonts w:ascii="Times New Roman" w:hAnsi="Times New Roman"/>
          <w:b/>
          <w:bCs/>
          <w:sz w:val="24"/>
          <w:szCs w:val="24"/>
        </w:rPr>
        <w:t xml:space="preserve">14. </w:t>
      </w:r>
      <w:r w:rsidRPr="0090627F" w:rsidR="00C82EB3">
        <w:rPr>
          <w:rFonts w:ascii="Times New Roman" w:hAnsi="Times New Roman"/>
          <w:b/>
          <w:bCs/>
          <w:sz w:val="24"/>
          <w:szCs w:val="24"/>
        </w:rPr>
        <w:tab/>
      </w:r>
      <w:r w:rsidR="00DB73EE">
        <w:rPr>
          <w:rFonts w:ascii="Times New Roman" w:hAnsi="Times New Roman"/>
          <w:b/>
          <w:bCs/>
          <w:sz w:val="24"/>
          <w:szCs w:val="24"/>
        </w:rPr>
        <w:t>Annualized Cost to the Federal Government</w:t>
      </w:r>
    </w:p>
    <w:p w:rsidR="00C679A3" w:rsidRPr="0090627F" w:rsidP="00CB509A" w14:paraId="03350E96" w14:textId="77777777">
      <w:pPr>
        <w:autoSpaceDE w:val="0"/>
        <w:autoSpaceDN w:val="0"/>
        <w:adjustRightInd w:val="0"/>
        <w:spacing w:after="0" w:line="240" w:lineRule="auto"/>
        <w:rPr>
          <w:rFonts w:ascii="Times New Roman" w:hAnsi="Times New Roman"/>
          <w:b/>
          <w:bCs/>
          <w:sz w:val="24"/>
          <w:szCs w:val="24"/>
        </w:rPr>
      </w:pPr>
    </w:p>
    <w:p w:rsidR="001853E0" w:rsidP="00626F67" w14:paraId="0A6B977C" w14:textId="0FF6EB80">
      <w:pPr>
        <w:autoSpaceDE w:val="0"/>
        <w:autoSpaceDN w:val="0"/>
        <w:adjustRightInd w:val="0"/>
        <w:spacing w:after="0" w:line="240" w:lineRule="auto"/>
        <w:ind w:left="720"/>
        <w:rPr>
          <w:rFonts w:ascii="Times New Roman" w:hAnsi="Times New Roman"/>
          <w:sz w:val="24"/>
          <w:szCs w:val="24"/>
        </w:rPr>
      </w:pPr>
      <w:r w:rsidRPr="00C23D2E">
        <w:rPr>
          <w:rFonts w:ascii="Times New Roman" w:hAnsi="Times New Roman"/>
          <w:sz w:val="24"/>
          <w:szCs w:val="24"/>
        </w:rPr>
        <w:t>Th</w:t>
      </w:r>
      <w:r w:rsidRPr="00C23D2E" w:rsidR="008468C8">
        <w:rPr>
          <w:rFonts w:ascii="Times New Roman" w:hAnsi="Times New Roman"/>
          <w:sz w:val="24"/>
          <w:szCs w:val="24"/>
        </w:rPr>
        <w:t xml:space="preserve">e level of </w:t>
      </w:r>
      <w:r w:rsidRPr="00C23D2E">
        <w:rPr>
          <w:rFonts w:ascii="Times New Roman" w:hAnsi="Times New Roman"/>
          <w:sz w:val="24"/>
          <w:szCs w:val="24"/>
        </w:rPr>
        <w:t xml:space="preserve">federal staff </w:t>
      </w:r>
      <w:r w:rsidRPr="00C23D2E" w:rsidR="008468C8">
        <w:rPr>
          <w:rFonts w:ascii="Times New Roman" w:hAnsi="Times New Roman"/>
          <w:sz w:val="24"/>
          <w:szCs w:val="24"/>
        </w:rPr>
        <w:t xml:space="preserve">effort </w:t>
      </w:r>
      <w:r w:rsidRPr="00C23D2E" w:rsidR="00B36AAC">
        <w:rPr>
          <w:rFonts w:ascii="Times New Roman" w:hAnsi="Times New Roman"/>
          <w:sz w:val="24"/>
          <w:szCs w:val="24"/>
        </w:rPr>
        <w:t xml:space="preserve">associated with this activity </w:t>
      </w:r>
      <w:r w:rsidRPr="00C23D2E">
        <w:rPr>
          <w:rFonts w:ascii="Times New Roman" w:hAnsi="Times New Roman"/>
          <w:sz w:val="24"/>
          <w:szCs w:val="24"/>
        </w:rPr>
        <w:t>is approximately 0.</w:t>
      </w:r>
      <w:r w:rsidRPr="00C23D2E" w:rsidR="00B76C57">
        <w:rPr>
          <w:rFonts w:ascii="Times New Roman" w:hAnsi="Times New Roman"/>
          <w:sz w:val="24"/>
          <w:szCs w:val="24"/>
        </w:rPr>
        <w:t xml:space="preserve">5 </w:t>
      </w:r>
      <w:r w:rsidRPr="00C23D2E">
        <w:rPr>
          <w:rFonts w:ascii="Times New Roman" w:hAnsi="Times New Roman"/>
          <w:sz w:val="24"/>
          <w:szCs w:val="24"/>
        </w:rPr>
        <w:t xml:space="preserve">full-time equivalent (FTE) </w:t>
      </w:r>
      <w:r w:rsidRPr="00C23D2E" w:rsidR="008E3AEC">
        <w:rPr>
          <w:rFonts w:ascii="Times New Roman" w:hAnsi="Times New Roman"/>
          <w:sz w:val="24"/>
          <w:szCs w:val="24"/>
        </w:rPr>
        <w:t xml:space="preserve">of </w:t>
      </w:r>
      <w:r w:rsidRPr="00C23D2E" w:rsidR="008468C8">
        <w:rPr>
          <w:rFonts w:ascii="Times New Roman" w:hAnsi="Times New Roman"/>
          <w:sz w:val="24"/>
          <w:szCs w:val="24"/>
        </w:rPr>
        <w:t>one Federal staff (GS-15</w:t>
      </w:r>
      <w:r w:rsidR="00422789">
        <w:rPr>
          <w:rFonts w:ascii="Times New Roman" w:hAnsi="Times New Roman"/>
          <w:sz w:val="24"/>
          <w:szCs w:val="24"/>
        </w:rPr>
        <w:t>-10</w:t>
      </w:r>
      <w:r w:rsidRPr="00C23D2E" w:rsidR="008468C8">
        <w:rPr>
          <w:rFonts w:ascii="Times New Roman" w:hAnsi="Times New Roman"/>
          <w:sz w:val="24"/>
          <w:szCs w:val="24"/>
        </w:rPr>
        <w:t>)</w:t>
      </w:r>
      <w:r w:rsidR="00422789">
        <w:rPr>
          <w:rFonts w:ascii="Times New Roman" w:hAnsi="Times New Roman"/>
          <w:sz w:val="24"/>
          <w:szCs w:val="24"/>
        </w:rPr>
        <w:t xml:space="preserve"> based in HRSA Central Office in the Washington, DC area</w:t>
      </w:r>
      <w:r w:rsidR="00371855">
        <w:rPr>
          <w:rFonts w:ascii="Times New Roman" w:hAnsi="Times New Roman"/>
          <w:sz w:val="24"/>
          <w:szCs w:val="24"/>
        </w:rPr>
        <w:t xml:space="preserve"> (</w:t>
      </w:r>
      <w:hyperlink r:id="rId15" w:history="1">
        <w:r w:rsidRPr="00E51F32" w:rsidR="00371855">
          <w:rPr>
            <w:rStyle w:val="Hyperlink"/>
            <w:rFonts w:ascii="Times New Roman" w:hAnsi="Times New Roman"/>
            <w:sz w:val="24"/>
            <w:szCs w:val="24"/>
          </w:rPr>
          <w:t>https://www.opm.gov/policy-data-oversight/pay-leave/salaries-wages/salary-tables/pdf/2023/DCB.pdf</w:t>
        </w:r>
      </w:hyperlink>
      <w:r w:rsidR="00371855">
        <w:rPr>
          <w:rFonts w:ascii="Times New Roman" w:hAnsi="Times New Roman"/>
          <w:sz w:val="24"/>
          <w:szCs w:val="24"/>
        </w:rPr>
        <w:t>)</w:t>
      </w:r>
      <w:r w:rsidRPr="00C23D2E" w:rsidR="008E3AEC">
        <w:rPr>
          <w:rFonts w:ascii="Times New Roman" w:hAnsi="Times New Roman"/>
          <w:sz w:val="24"/>
          <w:szCs w:val="24"/>
        </w:rPr>
        <w:t>.</w:t>
      </w:r>
      <w:r w:rsidR="00535A04">
        <w:rPr>
          <w:rFonts w:ascii="Times New Roman" w:hAnsi="Times New Roman"/>
          <w:sz w:val="24"/>
          <w:szCs w:val="24"/>
        </w:rPr>
        <w:t xml:space="preserve"> </w:t>
      </w:r>
      <w:r w:rsidR="00943624">
        <w:rPr>
          <w:rFonts w:ascii="Times New Roman" w:hAnsi="Times New Roman"/>
          <w:sz w:val="24"/>
          <w:szCs w:val="24"/>
        </w:rPr>
        <w:t xml:space="preserve">This wage has been multiplied by 1.5 to account for overhead costs. </w:t>
      </w:r>
      <w:r w:rsidRPr="00C23D2E" w:rsidR="008E3AEC">
        <w:rPr>
          <w:rFonts w:ascii="Times New Roman" w:hAnsi="Times New Roman"/>
          <w:sz w:val="24"/>
          <w:szCs w:val="24"/>
        </w:rPr>
        <w:t xml:space="preserve">The </w:t>
      </w:r>
      <w:r w:rsidRPr="00C23D2E" w:rsidR="005D443E">
        <w:rPr>
          <w:rFonts w:ascii="Times New Roman" w:hAnsi="Times New Roman"/>
          <w:sz w:val="24"/>
          <w:szCs w:val="24"/>
        </w:rPr>
        <w:t xml:space="preserve">estimated </w:t>
      </w:r>
      <w:r w:rsidRPr="00C23D2E" w:rsidR="008E3AEC">
        <w:rPr>
          <w:rFonts w:ascii="Times New Roman" w:hAnsi="Times New Roman"/>
          <w:sz w:val="24"/>
          <w:szCs w:val="24"/>
        </w:rPr>
        <w:t xml:space="preserve">annual </w:t>
      </w:r>
      <w:r w:rsidRPr="00C23D2E" w:rsidR="004A38FA">
        <w:rPr>
          <w:rFonts w:ascii="Times New Roman" w:hAnsi="Times New Roman"/>
          <w:sz w:val="24"/>
          <w:szCs w:val="24"/>
        </w:rPr>
        <w:t xml:space="preserve">salary </w:t>
      </w:r>
      <w:r w:rsidRPr="00C23D2E" w:rsidR="008E3AEC">
        <w:rPr>
          <w:rFonts w:ascii="Times New Roman" w:hAnsi="Times New Roman"/>
          <w:sz w:val="24"/>
          <w:szCs w:val="24"/>
        </w:rPr>
        <w:t xml:space="preserve">cost </w:t>
      </w:r>
      <w:r w:rsidRPr="00C23D2E" w:rsidR="00B36AAC">
        <w:rPr>
          <w:rFonts w:ascii="Times New Roman" w:hAnsi="Times New Roman"/>
          <w:sz w:val="24"/>
          <w:szCs w:val="24"/>
        </w:rPr>
        <w:t xml:space="preserve">of </w:t>
      </w:r>
      <w:r w:rsidRPr="00C23D2E" w:rsidR="008E3AEC">
        <w:rPr>
          <w:rFonts w:ascii="Times New Roman" w:hAnsi="Times New Roman"/>
          <w:sz w:val="24"/>
          <w:szCs w:val="24"/>
        </w:rPr>
        <w:t>this level of effort is $</w:t>
      </w:r>
      <w:r w:rsidR="0054445F">
        <w:rPr>
          <w:rFonts w:ascii="Times New Roman" w:hAnsi="Times New Roman"/>
          <w:sz w:val="24"/>
          <w:szCs w:val="24"/>
        </w:rPr>
        <w:t xml:space="preserve">137,625. </w:t>
      </w:r>
    </w:p>
    <w:p w:rsidR="001853E0" w:rsidP="00626F67" w14:paraId="57AAF4E9" w14:textId="7F44ED4F">
      <w:pPr>
        <w:autoSpaceDE w:val="0"/>
        <w:autoSpaceDN w:val="0"/>
        <w:adjustRightInd w:val="0"/>
        <w:spacing w:after="0" w:line="240" w:lineRule="auto"/>
        <w:ind w:left="720"/>
        <w:rPr>
          <w:rFonts w:ascii="Times New Roman" w:hAnsi="Times New Roman"/>
          <w:sz w:val="24"/>
          <w:szCs w:val="24"/>
        </w:rPr>
      </w:pPr>
    </w:p>
    <w:tbl>
      <w:tblPr>
        <w:tblpPr w:leftFromText="180" w:rightFromText="180" w:vertAnchor="text" w:horzAnchor="margin" w:tblpX="712" w:tblpY="87"/>
        <w:tblW w:w="8640" w:type="dxa"/>
        <w:tblLayout w:type="fixed"/>
        <w:tblCellMar>
          <w:left w:w="100" w:type="dxa"/>
          <w:right w:w="100" w:type="dxa"/>
        </w:tblCellMar>
        <w:tblLook w:val="04A0"/>
      </w:tblPr>
      <w:tblGrid>
        <w:gridCol w:w="1342"/>
        <w:gridCol w:w="2340"/>
        <w:gridCol w:w="1178"/>
        <w:gridCol w:w="1980"/>
        <w:gridCol w:w="1800"/>
      </w:tblGrid>
      <w:tr w14:paraId="01D3694A" w14:textId="77777777" w:rsidTr="0054445F">
        <w:tblPrEx>
          <w:tblW w:w="8640" w:type="dxa"/>
          <w:tblLayout w:type="fixed"/>
          <w:tblCellMar>
            <w:left w:w="100" w:type="dxa"/>
            <w:right w:w="100" w:type="dxa"/>
          </w:tblCellMar>
          <w:tblLook w:val="04A0"/>
        </w:tblPrEx>
        <w:trPr>
          <w:cantSplit/>
          <w:trHeight w:val="840"/>
        </w:trPr>
        <w:tc>
          <w:tcPr>
            <w:tcW w:w="1342"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hideMark/>
          </w:tcPr>
          <w:p w:rsidR="001853E0" w:rsidRPr="001E78DC" w:rsidP="001E78DC" w14:paraId="6F31992F" w14:textId="5E1C9F5D">
            <w:pPr>
              <w:tabs>
                <w:tab w:val="left" w:pos="-1080"/>
                <w:tab w:val="left" w:pos="-720"/>
                <w:tab w:val="left" w:pos="0"/>
                <w:tab w:val="left" w:pos="270"/>
                <w:tab w:val="left" w:pos="540"/>
                <w:tab w:val="left" w:pos="900"/>
              </w:tabs>
              <w:spacing w:before="100" w:after="48"/>
              <w:rPr>
                <w:rFonts w:ascii="Times New Roman" w:hAnsi="Times New Roman"/>
                <w:b/>
                <w:bCs/>
              </w:rPr>
            </w:pPr>
            <w:r>
              <w:rPr>
                <w:rFonts w:ascii="Times New Roman" w:hAnsi="Times New Roman"/>
                <w:b/>
                <w:bCs/>
              </w:rPr>
              <w:t>Federal Support</w:t>
            </w:r>
          </w:p>
        </w:tc>
        <w:tc>
          <w:tcPr>
            <w:tcW w:w="234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hideMark/>
          </w:tcPr>
          <w:p w:rsidR="001853E0" w:rsidRPr="001E78DC" w:rsidP="001E78DC" w14:paraId="5CCE9BB4" w14:textId="77777777">
            <w:pPr>
              <w:tabs>
                <w:tab w:val="left" w:pos="-1080"/>
                <w:tab w:val="left" w:pos="-720"/>
                <w:tab w:val="left" w:pos="0"/>
                <w:tab w:val="left" w:pos="270"/>
                <w:tab w:val="left" w:pos="540"/>
                <w:tab w:val="left" w:pos="900"/>
              </w:tabs>
              <w:spacing w:before="100" w:after="48"/>
              <w:rPr>
                <w:rFonts w:ascii="Times New Roman" w:hAnsi="Times New Roman"/>
                <w:b/>
                <w:bCs/>
              </w:rPr>
            </w:pPr>
            <w:r w:rsidRPr="001E78DC">
              <w:rPr>
                <w:rFonts w:ascii="Times New Roman" w:hAnsi="Times New Roman"/>
                <w:b/>
                <w:bCs/>
              </w:rPr>
              <w:t>Base Pay Rate</w:t>
            </w:r>
            <w:r>
              <w:rPr>
                <w:rStyle w:val="FootnoteReference"/>
                <w:rFonts w:ascii="Times New Roman" w:hAnsi="Times New Roman"/>
                <w:b/>
                <w:bCs/>
              </w:rPr>
              <w:footnoteReference w:id="3"/>
            </w:r>
          </w:p>
        </w:tc>
        <w:tc>
          <w:tcPr>
            <w:tcW w:w="1178"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hideMark/>
          </w:tcPr>
          <w:p w:rsidR="001853E0" w:rsidRPr="001E78DC" w:rsidP="001E78DC" w14:paraId="7D383D80" w14:textId="50D1F595">
            <w:pPr>
              <w:tabs>
                <w:tab w:val="left" w:pos="-1080"/>
                <w:tab w:val="left" w:pos="-720"/>
                <w:tab w:val="left" w:pos="0"/>
                <w:tab w:val="left" w:pos="270"/>
                <w:tab w:val="left" w:pos="540"/>
                <w:tab w:val="left" w:pos="900"/>
              </w:tabs>
              <w:spacing w:before="100" w:after="48"/>
              <w:rPr>
                <w:rFonts w:ascii="Times New Roman" w:hAnsi="Times New Roman"/>
                <w:b/>
                <w:bCs/>
              </w:rPr>
            </w:pPr>
            <w:r w:rsidRPr="001E78DC">
              <w:rPr>
                <w:rFonts w:ascii="Times New Roman" w:hAnsi="Times New Roman"/>
                <w:b/>
                <w:bCs/>
              </w:rPr>
              <w:t xml:space="preserve">Response time in Hours </w:t>
            </w:r>
          </w:p>
        </w:tc>
        <w:tc>
          <w:tcPr>
            <w:tcW w:w="198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hideMark/>
          </w:tcPr>
          <w:p w:rsidR="001853E0" w:rsidRPr="001E78DC" w:rsidP="001E78DC" w14:paraId="719C5407" w14:textId="195470F7">
            <w:pPr>
              <w:tabs>
                <w:tab w:val="left" w:pos="-1080"/>
                <w:tab w:val="left" w:pos="-720"/>
                <w:tab w:val="left" w:pos="0"/>
                <w:tab w:val="left" w:pos="270"/>
                <w:tab w:val="left" w:pos="540"/>
                <w:tab w:val="left" w:pos="900"/>
              </w:tabs>
              <w:spacing w:before="100" w:after="48"/>
              <w:rPr>
                <w:rFonts w:ascii="Times New Roman" w:hAnsi="Times New Roman"/>
                <w:b/>
                <w:bCs/>
              </w:rPr>
            </w:pPr>
            <w:r w:rsidRPr="001E78DC">
              <w:rPr>
                <w:rFonts w:ascii="Times New Roman" w:hAnsi="Times New Roman"/>
                <w:b/>
                <w:bCs/>
              </w:rPr>
              <w:t>Number of F</w:t>
            </w:r>
            <w:r w:rsidRPr="001E78DC" w:rsidR="00806664">
              <w:rPr>
                <w:rFonts w:ascii="Times New Roman" w:hAnsi="Times New Roman"/>
                <w:b/>
                <w:bCs/>
              </w:rPr>
              <w:t xml:space="preserve">ull Time </w:t>
            </w:r>
            <w:r w:rsidR="00371855">
              <w:rPr>
                <w:rFonts w:ascii="Times New Roman" w:hAnsi="Times New Roman"/>
                <w:b/>
                <w:bCs/>
              </w:rPr>
              <w:t>Personnel</w:t>
            </w:r>
          </w:p>
        </w:tc>
        <w:tc>
          <w:tcPr>
            <w:tcW w:w="180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hideMark/>
          </w:tcPr>
          <w:p w:rsidR="001853E0" w:rsidRPr="001E78DC" w:rsidP="001E78DC" w14:paraId="15508C8D" w14:textId="77777777">
            <w:pPr>
              <w:tabs>
                <w:tab w:val="left" w:pos="-1080"/>
                <w:tab w:val="left" w:pos="-720"/>
                <w:tab w:val="left" w:pos="0"/>
                <w:tab w:val="left" w:pos="270"/>
                <w:tab w:val="left" w:pos="540"/>
                <w:tab w:val="left" w:pos="900"/>
              </w:tabs>
              <w:spacing w:before="100" w:after="48"/>
              <w:rPr>
                <w:rFonts w:ascii="Times New Roman" w:hAnsi="Times New Roman"/>
                <w:b/>
                <w:bCs/>
              </w:rPr>
            </w:pPr>
            <w:r w:rsidRPr="001E78DC">
              <w:rPr>
                <w:rFonts w:ascii="Times New Roman" w:hAnsi="Times New Roman"/>
                <w:b/>
                <w:bCs/>
              </w:rPr>
              <w:t xml:space="preserve">Total </w:t>
            </w:r>
            <w:r w:rsidRPr="001E78DC">
              <w:rPr>
                <w:rFonts w:ascii="Times New Roman" w:hAnsi="Times New Roman"/>
                <w:b/>
              </w:rPr>
              <w:br/>
            </w:r>
            <w:r w:rsidRPr="001E78DC">
              <w:rPr>
                <w:rFonts w:ascii="Times New Roman" w:hAnsi="Times New Roman"/>
                <w:b/>
                <w:bCs/>
              </w:rPr>
              <w:t>Annual Cost</w:t>
            </w:r>
          </w:p>
        </w:tc>
      </w:tr>
      <w:tr w14:paraId="629E4519" w14:textId="77777777" w:rsidTr="001E78DC">
        <w:tblPrEx>
          <w:tblW w:w="8640" w:type="dxa"/>
          <w:tblLayout w:type="fixed"/>
          <w:tblCellMar>
            <w:left w:w="100" w:type="dxa"/>
            <w:right w:w="100" w:type="dxa"/>
          </w:tblCellMar>
          <w:tblLook w:val="04A0"/>
        </w:tblPrEx>
        <w:trPr>
          <w:cantSplit/>
          <w:trHeight w:val="885"/>
        </w:trPr>
        <w:tc>
          <w:tcPr>
            <w:tcW w:w="1342" w:type="dxa"/>
            <w:tcBorders>
              <w:top w:val="single" w:sz="6" w:space="0" w:color="000000" w:themeColor="text1"/>
              <w:left w:val="single" w:sz="6" w:space="0" w:color="000000" w:themeColor="text1"/>
              <w:bottom w:val="single" w:sz="6" w:space="0" w:color="000000" w:themeColor="text1"/>
              <w:right w:val="nil"/>
            </w:tcBorders>
            <w:vAlign w:val="center"/>
            <w:hideMark/>
          </w:tcPr>
          <w:p w:rsidR="001853E0" w:rsidRPr="001E78DC" w:rsidP="001E78DC" w14:paraId="270FEBD6" w14:textId="29D3D0B3">
            <w:pPr>
              <w:tabs>
                <w:tab w:val="left" w:pos="-1080"/>
                <w:tab w:val="left" w:pos="-720"/>
                <w:tab w:val="left" w:pos="0"/>
                <w:tab w:val="left" w:pos="270"/>
                <w:tab w:val="left" w:pos="540"/>
                <w:tab w:val="left" w:pos="900"/>
              </w:tabs>
              <w:spacing w:before="100" w:after="48"/>
              <w:rPr>
                <w:rFonts w:ascii="Times New Roman" w:hAnsi="Times New Roman"/>
              </w:rPr>
            </w:pPr>
            <w:r>
              <w:rPr>
                <w:rFonts w:ascii="Times New Roman" w:hAnsi="Times New Roman"/>
              </w:rPr>
              <w:t>Federal</w:t>
            </w:r>
          </w:p>
        </w:tc>
        <w:tc>
          <w:tcPr>
            <w:tcW w:w="2340" w:type="dxa"/>
            <w:tcBorders>
              <w:top w:val="single" w:sz="6" w:space="0" w:color="000000" w:themeColor="text1"/>
              <w:left w:val="single" w:sz="6" w:space="0" w:color="000000" w:themeColor="text1"/>
              <w:bottom w:val="single" w:sz="6" w:space="0" w:color="000000" w:themeColor="text1"/>
              <w:right w:val="nil"/>
            </w:tcBorders>
            <w:vAlign w:val="center"/>
            <w:hideMark/>
          </w:tcPr>
          <w:p w:rsidR="00371855" w:rsidRPr="001E78DC" w:rsidP="001E78DC" w14:paraId="485FCD2D" w14:textId="3D2B055C">
            <w:pPr>
              <w:tabs>
                <w:tab w:val="left" w:pos="-1080"/>
                <w:tab w:val="left" w:pos="-720"/>
                <w:tab w:val="left" w:pos="0"/>
                <w:tab w:val="left" w:pos="270"/>
                <w:tab w:val="left" w:pos="540"/>
                <w:tab w:val="left" w:pos="900"/>
              </w:tabs>
              <w:spacing w:before="100" w:after="48"/>
              <w:rPr>
                <w:rFonts w:ascii="Times New Roman" w:hAnsi="Times New Roman"/>
              </w:rPr>
            </w:pPr>
            <w:r w:rsidRPr="001E78DC">
              <w:rPr>
                <w:rFonts w:ascii="Times New Roman" w:hAnsi="Times New Roman"/>
              </w:rPr>
              <w:t>$1</w:t>
            </w:r>
            <w:r w:rsidR="0054445F">
              <w:rPr>
                <w:rFonts w:ascii="Times New Roman" w:hAnsi="Times New Roman"/>
              </w:rPr>
              <w:t>83,500</w:t>
            </w:r>
            <w:r>
              <w:rPr>
                <w:rFonts w:ascii="Times New Roman" w:hAnsi="Times New Roman"/>
              </w:rPr>
              <w:t xml:space="preserve"> </w:t>
            </w:r>
          </w:p>
          <w:p w:rsidR="001853E0" w:rsidRPr="001E78DC" w:rsidP="001E78DC" w14:paraId="60D4872B" w14:textId="36797DED">
            <w:pPr>
              <w:tabs>
                <w:tab w:val="left" w:pos="-1080"/>
                <w:tab w:val="left" w:pos="-720"/>
                <w:tab w:val="left" w:pos="0"/>
                <w:tab w:val="left" w:pos="270"/>
                <w:tab w:val="left" w:pos="540"/>
                <w:tab w:val="left" w:pos="900"/>
              </w:tabs>
              <w:spacing w:before="100" w:after="48"/>
              <w:rPr>
                <w:rFonts w:ascii="Times New Roman" w:hAnsi="Times New Roman"/>
              </w:rPr>
            </w:pPr>
            <w:r w:rsidRPr="001E78DC">
              <w:rPr>
                <w:rFonts w:ascii="Times New Roman" w:hAnsi="Times New Roman"/>
              </w:rPr>
              <w:t>(GS-1</w:t>
            </w:r>
            <w:r w:rsidRPr="001E78DC" w:rsidR="0054445F">
              <w:rPr>
                <w:rFonts w:ascii="Times New Roman" w:hAnsi="Times New Roman"/>
              </w:rPr>
              <w:t>5</w:t>
            </w:r>
            <w:r w:rsidRPr="001E78DC">
              <w:rPr>
                <w:rFonts w:ascii="Times New Roman" w:hAnsi="Times New Roman"/>
              </w:rPr>
              <w:t>, Step 1</w:t>
            </w:r>
            <w:r w:rsidRPr="001E78DC" w:rsidR="0054445F">
              <w:rPr>
                <w:rFonts w:ascii="Times New Roman" w:hAnsi="Times New Roman"/>
              </w:rPr>
              <w:t xml:space="preserve">0 in </w:t>
            </w:r>
            <w:r w:rsidR="00371855">
              <w:rPr>
                <w:rFonts w:ascii="Times New Roman" w:hAnsi="Times New Roman"/>
              </w:rPr>
              <w:t xml:space="preserve">the Washington </w:t>
            </w:r>
            <w:r w:rsidRPr="001E78DC" w:rsidR="0054445F">
              <w:rPr>
                <w:rFonts w:ascii="Times New Roman" w:hAnsi="Times New Roman"/>
              </w:rPr>
              <w:t>DC ar</w:t>
            </w:r>
            <w:r w:rsidR="00371855">
              <w:rPr>
                <w:rFonts w:ascii="Times New Roman" w:hAnsi="Times New Roman"/>
              </w:rPr>
              <w:t>ea</w:t>
            </w:r>
            <w:r w:rsidRPr="001E78DC">
              <w:rPr>
                <w:rFonts w:ascii="Times New Roman" w:hAnsi="Times New Roman"/>
              </w:rPr>
              <w:t>)</w:t>
            </w:r>
          </w:p>
        </w:tc>
        <w:tc>
          <w:tcPr>
            <w:tcW w:w="1178" w:type="dxa"/>
            <w:tcBorders>
              <w:top w:val="single" w:sz="6" w:space="0" w:color="000000" w:themeColor="text1"/>
              <w:left w:val="single" w:sz="6" w:space="0" w:color="000000" w:themeColor="text1"/>
              <w:bottom w:val="single" w:sz="6" w:space="0" w:color="000000" w:themeColor="text1"/>
              <w:right w:val="nil"/>
            </w:tcBorders>
            <w:vAlign w:val="center"/>
            <w:hideMark/>
          </w:tcPr>
          <w:p w:rsidR="001853E0" w:rsidRPr="001E78DC" w:rsidP="00371855" w14:paraId="54526E70" w14:textId="6DE0CF53">
            <w:pPr>
              <w:tabs>
                <w:tab w:val="left" w:pos="-1080"/>
                <w:tab w:val="left" w:pos="-720"/>
                <w:tab w:val="left" w:pos="0"/>
                <w:tab w:val="left" w:pos="270"/>
                <w:tab w:val="left" w:pos="540"/>
                <w:tab w:val="left" w:pos="900"/>
              </w:tabs>
              <w:spacing w:before="100" w:after="48"/>
              <w:jc w:val="center"/>
              <w:rPr>
                <w:rFonts w:ascii="Times New Roman" w:hAnsi="Times New Roman"/>
              </w:rPr>
            </w:pPr>
            <w:r w:rsidRPr="001E78DC">
              <w:rPr>
                <w:rFonts w:ascii="Times New Roman" w:hAnsi="Times New Roman"/>
              </w:rPr>
              <w:t>.</w:t>
            </w:r>
            <w:r w:rsidR="0054445F">
              <w:rPr>
                <w:rFonts w:ascii="Times New Roman" w:hAnsi="Times New Roman"/>
              </w:rPr>
              <w:t>50</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853E0" w:rsidRPr="001E78DC" w:rsidP="00371855" w14:paraId="79639527" w14:textId="647EA85F">
            <w:pPr>
              <w:tabs>
                <w:tab w:val="left" w:pos="-1080"/>
                <w:tab w:val="left" w:pos="-720"/>
                <w:tab w:val="left" w:pos="0"/>
                <w:tab w:val="left" w:pos="270"/>
                <w:tab w:val="left" w:pos="540"/>
                <w:tab w:val="left" w:pos="900"/>
              </w:tabs>
              <w:spacing w:before="100" w:after="48"/>
              <w:jc w:val="center"/>
              <w:rPr>
                <w:rFonts w:ascii="Times New Roman" w:hAnsi="Times New Roman"/>
              </w:rPr>
            </w:pPr>
            <w:r>
              <w:rPr>
                <w:rFonts w:ascii="Times New Roman" w:hAnsi="Times New Roman"/>
              </w:rPr>
              <w:t>1</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853E0" w:rsidRPr="001E78DC" w:rsidP="001E78DC" w14:paraId="7C5DEA88" w14:textId="77777777">
            <w:pPr>
              <w:tabs>
                <w:tab w:val="left" w:pos="-1080"/>
                <w:tab w:val="left" w:pos="-720"/>
                <w:tab w:val="left" w:pos="0"/>
                <w:tab w:val="left" w:pos="270"/>
                <w:tab w:val="left" w:pos="540"/>
                <w:tab w:val="left" w:pos="900"/>
              </w:tabs>
              <w:spacing w:before="100" w:after="48"/>
              <w:jc w:val="right"/>
              <w:rPr>
                <w:rFonts w:ascii="Times New Roman" w:hAnsi="Times New Roman"/>
              </w:rPr>
            </w:pPr>
          </w:p>
          <w:p w:rsidR="001853E0" w:rsidRPr="001E78DC" w:rsidP="001E78DC" w14:paraId="39FB5CDE" w14:textId="6A0E4337">
            <w:pPr>
              <w:tabs>
                <w:tab w:val="left" w:pos="-1080"/>
                <w:tab w:val="left" w:pos="-720"/>
                <w:tab w:val="left" w:pos="0"/>
                <w:tab w:val="left" w:pos="270"/>
                <w:tab w:val="left" w:pos="540"/>
                <w:tab w:val="left" w:pos="900"/>
              </w:tabs>
              <w:spacing w:before="100" w:after="48"/>
              <w:jc w:val="right"/>
              <w:rPr>
                <w:rFonts w:ascii="Times New Roman" w:hAnsi="Times New Roman"/>
              </w:rPr>
            </w:pPr>
            <w:r w:rsidRPr="001E78DC">
              <w:rPr>
                <w:rFonts w:ascii="Times New Roman" w:hAnsi="Times New Roman"/>
              </w:rPr>
              <w:t>$</w:t>
            </w:r>
            <w:r w:rsidR="00371855">
              <w:rPr>
                <w:rFonts w:ascii="Times New Roman" w:hAnsi="Times New Roman"/>
              </w:rPr>
              <w:t>137,625</w:t>
            </w:r>
          </w:p>
          <w:p w:rsidR="001853E0" w:rsidRPr="001E78DC" w:rsidP="001E78DC" w14:paraId="7B26750E" w14:textId="77777777">
            <w:pPr>
              <w:tabs>
                <w:tab w:val="left" w:pos="-1080"/>
                <w:tab w:val="left" w:pos="-720"/>
                <w:tab w:val="left" w:pos="0"/>
                <w:tab w:val="left" w:pos="270"/>
                <w:tab w:val="left" w:pos="540"/>
                <w:tab w:val="left" w:pos="900"/>
              </w:tabs>
              <w:spacing w:before="100" w:after="48"/>
              <w:jc w:val="right"/>
              <w:rPr>
                <w:rFonts w:ascii="Times New Roman" w:hAnsi="Times New Roman"/>
              </w:rPr>
            </w:pPr>
          </w:p>
        </w:tc>
      </w:tr>
      <w:tr w14:paraId="5149A80F" w14:textId="77777777" w:rsidTr="001E78DC">
        <w:tblPrEx>
          <w:tblW w:w="8640" w:type="dxa"/>
          <w:tblLayout w:type="fixed"/>
          <w:tblCellMar>
            <w:left w:w="100" w:type="dxa"/>
            <w:right w:w="100" w:type="dxa"/>
          </w:tblCellMar>
          <w:tblLook w:val="04A0"/>
        </w:tblPrEx>
        <w:trPr>
          <w:cantSplit/>
          <w:trHeight w:val="615"/>
        </w:trPr>
        <w:tc>
          <w:tcPr>
            <w:tcW w:w="1342" w:type="dxa"/>
            <w:tcBorders>
              <w:top w:val="single" w:sz="6" w:space="0" w:color="000000" w:themeColor="text1"/>
              <w:left w:val="single" w:sz="6" w:space="0" w:color="000000" w:themeColor="text1"/>
              <w:bottom w:val="single" w:sz="6" w:space="0" w:color="000000" w:themeColor="text1"/>
              <w:right w:val="nil"/>
            </w:tcBorders>
            <w:vAlign w:val="center"/>
            <w:hideMark/>
          </w:tcPr>
          <w:p w:rsidR="001853E0" w:rsidRPr="001E78DC" w:rsidP="001E78DC" w14:paraId="0CEE454B" w14:textId="403574BD">
            <w:pPr>
              <w:tabs>
                <w:tab w:val="left" w:pos="-1080"/>
                <w:tab w:val="left" w:pos="-720"/>
                <w:tab w:val="left" w:pos="0"/>
                <w:tab w:val="left" w:pos="270"/>
                <w:tab w:val="left" w:pos="540"/>
                <w:tab w:val="left" w:pos="900"/>
              </w:tabs>
              <w:spacing w:before="100" w:after="48"/>
              <w:rPr>
                <w:rFonts w:ascii="Times New Roman" w:hAnsi="Times New Roman"/>
              </w:rPr>
            </w:pPr>
            <w:r w:rsidRPr="001E78DC">
              <w:rPr>
                <w:rFonts w:ascii="Times New Roman" w:hAnsi="Times New Roman"/>
              </w:rPr>
              <w:t>Contractor</w:t>
            </w:r>
            <w:r>
              <w:rPr>
                <w:rFonts w:ascii="Times New Roman" w:hAnsi="Times New Roman"/>
              </w:rPr>
              <w:t xml:space="preserve"> support for Block Grant Reviews</w:t>
            </w:r>
          </w:p>
        </w:tc>
        <w:tc>
          <w:tcPr>
            <w:tcW w:w="2340" w:type="dxa"/>
            <w:tcBorders>
              <w:top w:val="single" w:sz="6" w:space="0" w:color="000000" w:themeColor="text1"/>
              <w:left w:val="single" w:sz="6" w:space="0" w:color="000000" w:themeColor="text1"/>
              <w:bottom w:val="single" w:sz="6" w:space="0" w:color="000000" w:themeColor="text1"/>
              <w:right w:val="nil"/>
            </w:tcBorders>
            <w:vAlign w:val="center"/>
          </w:tcPr>
          <w:p w:rsidR="001853E0" w:rsidRPr="001E78DC" w:rsidP="0054445F" w14:paraId="2BE4FE0D" w14:textId="03024720">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178" w:type="dxa"/>
            <w:tcBorders>
              <w:top w:val="single" w:sz="6" w:space="0" w:color="000000" w:themeColor="text1"/>
              <w:left w:val="single" w:sz="6" w:space="0" w:color="000000" w:themeColor="text1"/>
              <w:bottom w:val="single" w:sz="6" w:space="0" w:color="000000" w:themeColor="text1"/>
              <w:right w:val="nil"/>
            </w:tcBorders>
            <w:vAlign w:val="center"/>
          </w:tcPr>
          <w:p w:rsidR="001853E0" w:rsidRPr="001E78DC" w:rsidP="0054445F" w14:paraId="0AF30E38" w14:textId="096F35B9">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853E0" w:rsidRPr="001E78DC" w:rsidP="0054445F" w14:paraId="2975377D" w14:textId="0A6CBC4D">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853E0" w:rsidRPr="001E78DC" w:rsidP="001E78DC" w14:paraId="10DE7248" w14:textId="08808206">
            <w:pPr>
              <w:tabs>
                <w:tab w:val="left" w:pos="-1080"/>
                <w:tab w:val="left" w:pos="-720"/>
                <w:tab w:val="left" w:pos="0"/>
                <w:tab w:val="left" w:pos="270"/>
                <w:tab w:val="left" w:pos="540"/>
                <w:tab w:val="left" w:pos="900"/>
              </w:tabs>
              <w:spacing w:before="100" w:after="48"/>
              <w:jc w:val="right"/>
              <w:rPr>
                <w:rFonts w:ascii="Times New Roman" w:hAnsi="Times New Roman"/>
              </w:rPr>
            </w:pPr>
            <w:r w:rsidRPr="001E78DC">
              <w:rPr>
                <w:rFonts w:ascii="Times New Roman" w:hAnsi="Times New Roman"/>
              </w:rPr>
              <w:t>$</w:t>
            </w:r>
            <w:r w:rsidR="004C6F49">
              <w:rPr>
                <w:rFonts w:ascii="Times New Roman" w:hAnsi="Times New Roman"/>
              </w:rPr>
              <w:t>218,000</w:t>
            </w:r>
          </w:p>
        </w:tc>
      </w:tr>
      <w:tr w14:paraId="3286F7DB" w14:textId="77777777" w:rsidTr="001E78DC">
        <w:tblPrEx>
          <w:tblW w:w="8640" w:type="dxa"/>
          <w:tblLayout w:type="fixed"/>
          <w:tblCellMar>
            <w:left w:w="100" w:type="dxa"/>
            <w:right w:w="100" w:type="dxa"/>
          </w:tblCellMar>
          <w:tblLook w:val="04A0"/>
        </w:tblPrEx>
        <w:trPr>
          <w:cantSplit/>
          <w:trHeight w:val="597"/>
        </w:trPr>
        <w:tc>
          <w:tcPr>
            <w:tcW w:w="1342" w:type="dxa"/>
            <w:tcBorders>
              <w:top w:val="single" w:sz="6" w:space="0" w:color="000000" w:themeColor="text1"/>
              <w:left w:val="single" w:sz="6" w:space="0" w:color="000000" w:themeColor="text1"/>
              <w:bottom w:val="single" w:sz="6" w:space="0" w:color="000000" w:themeColor="text1"/>
              <w:right w:val="nil"/>
            </w:tcBorders>
            <w:vAlign w:val="center"/>
            <w:hideMark/>
          </w:tcPr>
          <w:p w:rsidR="001853E0" w:rsidRPr="001E78DC" w:rsidP="0054445F" w14:paraId="76CD9ADB" w14:textId="77777777">
            <w:pPr>
              <w:tabs>
                <w:tab w:val="left" w:pos="-1080"/>
                <w:tab w:val="left" w:pos="-720"/>
                <w:tab w:val="left" w:pos="0"/>
                <w:tab w:val="left" w:pos="270"/>
                <w:tab w:val="left" w:pos="540"/>
                <w:tab w:val="left" w:pos="900"/>
              </w:tabs>
              <w:spacing w:before="100" w:after="48"/>
              <w:jc w:val="center"/>
              <w:rPr>
                <w:rFonts w:ascii="Times New Roman" w:hAnsi="Times New Roman"/>
              </w:rPr>
            </w:pPr>
            <w:r w:rsidRPr="001E78DC">
              <w:rPr>
                <w:rFonts w:ascii="Times New Roman" w:hAnsi="Times New Roman"/>
              </w:rPr>
              <w:t>Total</w:t>
            </w:r>
          </w:p>
        </w:tc>
        <w:tc>
          <w:tcPr>
            <w:tcW w:w="2340" w:type="dxa"/>
            <w:tcBorders>
              <w:top w:val="single" w:sz="6" w:space="0" w:color="000000" w:themeColor="text1"/>
              <w:left w:val="single" w:sz="6" w:space="0" w:color="000000" w:themeColor="text1"/>
              <w:bottom w:val="single" w:sz="6" w:space="0" w:color="000000" w:themeColor="text1"/>
              <w:right w:val="nil"/>
            </w:tcBorders>
            <w:vAlign w:val="center"/>
          </w:tcPr>
          <w:p w:rsidR="001853E0" w:rsidRPr="001E78DC" w:rsidP="0054445F" w14:paraId="48BABBBE" w14:textId="77777777">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178" w:type="dxa"/>
            <w:tcBorders>
              <w:top w:val="single" w:sz="6" w:space="0" w:color="000000" w:themeColor="text1"/>
              <w:left w:val="single" w:sz="6" w:space="0" w:color="000000" w:themeColor="text1"/>
              <w:bottom w:val="single" w:sz="6" w:space="0" w:color="000000" w:themeColor="text1"/>
              <w:right w:val="nil"/>
            </w:tcBorders>
            <w:vAlign w:val="center"/>
          </w:tcPr>
          <w:p w:rsidR="001853E0" w:rsidRPr="001E78DC" w:rsidP="0054445F" w14:paraId="3EC14F5A" w14:textId="77777777">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853E0" w:rsidRPr="001E78DC" w:rsidP="0054445F" w14:paraId="190DF5AE" w14:textId="77777777">
            <w:pPr>
              <w:tabs>
                <w:tab w:val="left" w:pos="-1080"/>
                <w:tab w:val="left" w:pos="-720"/>
                <w:tab w:val="left" w:pos="0"/>
                <w:tab w:val="left" w:pos="270"/>
                <w:tab w:val="left" w:pos="540"/>
                <w:tab w:val="left" w:pos="900"/>
              </w:tabs>
              <w:spacing w:before="100" w:after="48"/>
              <w:jc w:val="center"/>
              <w:rPr>
                <w:rFonts w:ascii="Times New Roman" w:hAnsi="Times New Roman"/>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853E0" w:rsidRPr="001E78DC" w:rsidP="001E78DC" w14:paraId="4796E0B6" w14:textId="4508E345">
            <w:pPr>
              <w:tabs>
                <w:tab w:val="left" w:pos="-1080"/>
                <w:tab w:val="left" w:pos="-720"/>
                <w:tab w:val="left" w:pos="0"/>
                <w:tab w:val="left" w:pos="270"/>
                <w:tab w:val="left" w:pos="540"/>
                <w:tab w:val="left" w:pos="900"/>
              </w:tabs>
              <w:spacing w:before="100" w:after="48"/>
              <w:jc w:val="right"/>
              <w:rPr>
                <w:rFonts w:ascii="Times New Roman" w:hAnsi="Times New Roman"/>
              </w:rPr>
            </w:pPr>
            <w:r w:rsidRPr="001E78DC">
              <w:rPr>
                <w:rFonts w:ascii="Times New Roman" w:hAnsi="Times New Roman"/>
              </w:rPr>
              <w:t>$</w:t>
            </w:r>
            <w:r w:rsidR="006B060D">
              <w:rPr>
                <w:rFonts w:ascii="Times New Roman" w:hAnsi="Times New Roman"/>
              </w:rPr>
              <w:t>355,625</w:t>
            </w:r>
          </w:p>
        </w:tc>
      </w:tr>
    </w:tbl>
    <w:p w:rsidR="001853E0" w:rsidP="001E78DC" w14:paraId="45341872" w14:textId="77777777">
      <w:pPr>
        <w:autoSpaceDE w:val="0"/>
        <w:autoSpaceDN w:val="0"/>
        <w:adjustRightInd w:val="0"/>
        <w:spacing w:after="0" w:line="240" w:lineRule="auto"/>
        <w:rPr>
          <w:rFonts w:ascii="Times New Roman" w:hAnsi="Times New Roman"/>
          <w:sz w:val="24"/>
          <w:szCs w:val="24"/>
        </w:rPr>
      </w:pPr>
    </w:p>
    <w:p w:rsidR="0054445F" w:rsidP="00626F67" w14:paraId="45C6353F" w14:textId="02EE34B9">
      <w:pPr>
        <w:autoSpaceDE w:val="0"/>
        <w:autoSpaceDN w:val="0"/>
        <w:adjustRightInd w:val="0"/>
        <w:spacing w:after="0" w:line="240" w:lineRule="auto"/>
        <w:ind w:left="720"/>
        <w:rPr>
          <w:rFonts w:ascii="Times New Roman" w:hAnsi="Times New Roman"/>
          <w:sz w:val="24"/>
          <w:szCs w:val="24"/>
        </w:rPr>
      </w:pPr>
    </w:p>
    <w:p w:rsidR="00CB509A" w:rsidRPr="00943625" w:rsidP="00626F67" w14:paraId="257D4A1D" w14:textId="5A94EC14">
      <w:pPr>
        <w:autoSpaceDE w:val="0"/>
        <w:autoSpaceDN w:val="0"/>
        <w:adjustRightInd w:val="0"/>
        <w:spacing w:after="0" w:line="240" w:lineRule="auto"/>
        <w:ind w:left="720"/>
        <w:rPr>
          <w:rFonts w:ascii="Times New Roman" w:hAnsi="Times New Roman"/>
          <w:b/>
          <w:bCs/>
          <w:sz w:val="24"/>
          <w:szCs w:val="24"/>
        </w:rPr>
      </w:pPr>
      <w:r w:rsidRPr="00C23D2E">
        <w:rPr>
          <w:rFonts w:ascii="Times New Roman" w:hAnsi="Times New Roman"/>
          <w:sz w:val="24"/>
          <w:szCs w:val="24"/>
        </w:rPr>
        <w:t xml:space="preserve">Subsequent editions </w:t>
      </w:r>
      <w:r w:rsidRPr="00C23D2E" w:rsidR="003F0ED2">
        <w:rPr>
          <w:rFonts w:ascii="Times New Roman" w:hAnsi="Times New Roman"/>
          <w:sz w:val="24"/>
          <w:szCs w:val="24"/>
        </w:rPr>
        <w:t xml:space="preserve">of the Application/Annual Report Guidance </w:t>
      </w:r>
      <w:r w:rsidRPr="00C23D2E">
        <w:rPr>
          <w:rFonts w:ascii="Times New Roman" w:hAnsi="Times New Roman"/>
          <w:sz w:val="24"/>
          <w:szCs w:val="24"/>
        </w:rPr>
        <w:t xml:space="preserve">will </w:t>
      </w:r>
      <w:r w:rsidRPr="00C23D2E" w:rsidR="00D03059">
        <w:rPr>
          <w:rFonts w:ascii="Times New Roman" w:hAnsi="Times New Roman"/>
          <w:sz w:val="24"/>
          <w:szCs w:val="24"/>
        </w:rPr>
        <w:t xml:space="preserve">likely </w:t>
      </w:r>
      <w:r w:rsidRPr="00C23D2E">
        <w:rPr>
          <w:rFonts w:ascii="Times New Roman" w:hAnsi="Times New Roman"/>
          <w:sz w:val="24"/>
          <w:szCs w:val="24"/>
        </w:rPr>
        <w:t>require less policy development</w:t>
      </w:r>
      <w:r w:rsidRPr="00C23D2E" w:rsidR="007F012D">
        <w:rPr>
          <w:rFonts w:ascii="Times New Roman" w:hAnsi="Times New Roman"/>
          <w:sz w:val="24"/>
          <w:szCs w:val="24"/>
        </w:rPr>
        <w:t xml:space="preserve"> and </w:t>
      </w:r>
      <w:r w:rsidRPr="00C23D2E" w:rsidR="00D03059">
        <w:rPr>
          <w:rFonts w:ascii="Times New Roman" w:hAnsi="Times New Roman"/>
          <w:sz w:val="24"/>
          <w:szCs w:val="24"/>
        </w:rPr>
        <w:t xml:space="preserve">managerial </w:t>
      </w:r>
      <w:r w:rsidRPr="00C23D2E" w:rsidR="007F012D">
        <w:rPr>
          <w:rFonts w:ascii="Times New Roman" w:hAnsi="Times New Roman"/>
          <w:sz w:val="24"/>
          <w:szCs w:val="24"/>
        </w:rPr>
        <w:t>oversight</w:t>
      </w:r>
      <w:r w:rsidRPr="00C23D2E" w:rsidR="00D03059">
        <w:rPr>
          <w:rFonts w:ascii="Times New Roman" w:hAnsi="Times New Roman"/>
          <w:sz w:val="24"/>
          <w:szCs w:val="24"/>
        </w:rPr>
        <w:t xml:space="preserve">, which will result in further reductions </w:t>
      </w:r>
      <w:r w:rsidRPr="00C23D2E" w:rsidR="00E55634">
        <w:rPr>
          <w:rFonts w:ascii="Times New Roman" w:hAnsi="Times New Roman"/>
          <w:sz w:val="24"/>
          <w:szCs w:val="24"/>
        </w:rPr>
        <w:t xml:space="preserve">of </w:t>
      </w:r>
      <w:r w:rsidRPr="00C23D2E" w:rsidR="00D03059">
        <w:rPr>
          <w:rFonts w:ascii="Times New Roman" w:hAnsi="Times New Roman"/>
          <w:sz w:val="24"/>
          <w:szCs w:val="24"/>
        </w:rPr>
        <w:t xml:space="preserve">the level of </w:t>
      </w:r>
      <w:r w:rsidRPr="00C23D2E" w:rsidR="00E55634">
        <w:rPr>
          <w:rFonts w:ascii="Times New Roman" w:hAnsi="Times New Roman"/>
          <w:sz w:val="24"/>
          <w:szCs w:val="24"/>
        </w:rPr>
        <w:t xml:space="preserve">required </w:t>
      </w:r>
      <w:r w:rsidRPr="00C23D2E" w:rsidR="00D03059">
        <w:rPr>
          <w:rFonts w:ascii="Times New Roman" w:hAnsi="Times New Roman"/>
          <w:sz w:val="24"/>
          <w:szCs w:val="24"/>
        </w:rPr>
        <w:t xml:space="preserve">effort and grade level </w:t>
      </w:r>
      <w:r w:rsidRPr="00C23D2E" w:rsidR="00E55634">
        <w:rPr>
          <w:rFonts w:ascii="Times New Roman" w:hAnsi="Times New Roman"/>
          <w:sz w:val="24"/>
          <w:szCs w:val="24"/>
        </w:rPr>
        <w:t xml:space="preserve">for </w:t>
      </w:r>
      <w:r w:rsidRPr="00C23D2E" w:rsidR="00D03059">
        <w:rPr>
          <w:rFonts w:ascii="Times New Roman" w:hAnsi="Times New Roman"/>
          <w:sz w:val="24"/>
          <w:szCs w:val="24"/>
        </w:rPr>
        <w:t>Federal program staff who perform this work.</w:t>
      </w:r>
      <w:r w:rsidR="00535A04">
        <w:rPr>
          <w:rFonts w:ascii="Times New Roman" w:hAnsi="Times New Roman"/>
          <w:sz w:val="24"/>
          <w:szCs w:val="24"/>
        </w:rPr>
        <w:t xml:space="preserve"> </w:t>
      </w:r>
      <w:r w:rsidRPr="00C23D2E" w:rsidR="007F2D07">
        <w:rPr>
          <w:rFonts w:ascii="Times New Roman" w:hAnsi="Times New Roman"/>
          <w:sz w:val="24"/>
          <w:szCs w:val="24"/>
        </w:rPr>
        <w:t>In addition to f</w:t>
      </w:r>
      <w:r w:rsidRPr="00C23D2E" w:rsidR="00B47493">
        <w:rPr>
          <w:rFonts w:ascii="Times New Roman" w:hAnsi="Times New Roman"/>
          <w:sz w:val="24"/>
          <w:szCs w:val="24"/>
        </w:rPr>
        <w:t xml:space="preserve">ederal program staff </w:t>
      </w:r>
      <w:r w:rsidRPr="00C23D2E" w:rsidR="007547B3">
        <w:rPr>
          <w:rFonts w:ascii="Times New Roman" w:hAnsi="Times New Roman"/>
          <w:sz w:val="24"/>
          <w:szCs w:val="24"/>
        </w:rPr>
        <w:t xml:space="preserve">support, </w:t>
      </w:r>
      <w:r w:rsidRPr="00C23D2E" w:rsidR="00B47493">
        <w:rPr>
          <w:rFonts w:ascii="Times New Roman" w:hAnsi="Times New Roman"/>
          <w:sz w:val="24"/>
          <w:szCs w:val="24"/>
        </w:rPr>
        <w:t xml:space="preserve">approximately </w:t>
      </w:r>
      <w:r w:rsidRPr="00C23D2E" w:rsidR="00593C6F">
        <w:rPr>
          <w:rFonts w:ascii="Times New Roman" w:hAnsi="Times New Roman"/>
          <w:sz w:val="24"/>
          <w:szCs w:val="24"/>
        </w:rPr>
        <w:t>$</w:t>
      </w:r>
      <w:r w:rsidR="004C6F49">
        <w:rPr>
          <w:rFonts w:ascii="Times New Roman" w:hAnsi="Times New Roman"/>
          <w:sz w:val="24"/>
          <w:szCs w:val="24"/>
        </w:rPr>
        <w:t>218</w:t>
      </w:r>
      <w:r w:rsidRPr="00C23D2E" w:rsidR="00593C6F">
        <w:rPr>
          <w:rFonts w:ascii="Times New Roman" w:hAnsi="Times New Roman"/>
          <w:sz w:val="24"/>
          <w:szCs w:val="24"/>
        </w:rPr>
        <w:t>,000</w:t>
      </w:r>
      <w:r w:rsidRPr="00C23D2E">
        <w:rPr>
          <w:rFonts w:ascii="Times New Roman" w:hAnsi="Times New Roman"/>
          <w:sz w:val="24"/>
          <w:szCs w:val="24"/>
        </w:rPr>
        <w:t xml:space="preserve"> is needed </w:t>
      </w:r>
      <w:r w:rsidRPr="00C23D2E" w:rsidR="001F254A">
        <w:rPr>
          <w:rFonts w:ascii="Times New Roman" w:hAnsi="Times New Roman"/>
          <w:sz w:val="24"/>
          <w:szCs w:val="24"/>
        </w:rPr>
        <w:t xml:space="preserve">annually to </w:t>
      </w:r>
      <w:r w:rsidRPr="00C23D2E" w:rsidR="007547B3">
        <w:rPr>
          <w:rFonts w:ascii="Times New Roman" w:hAnsi="Times New Roman"/>
          <w:sz w:val="24"/>
          <w:szCs w:val="24"/>
        </w:rPr>
        <w:t xml:space="preserve">cover </w:t>
      </w:r>
      <w:r w:rsidRPr="00C23D2E">
        <w:rPr>
          <w:rFonts w:ascii="Times New Roman" w:hAnsi="Times New Roman"/>
          <w:sz w:val="24"/>
          <w:szCs w:val="24"/>
        </w:rPr>
        <w:t>operational</w:t>
      </w:r>
      <w:r w:rsidRPr="00C23D2E" w:rsidR="006911FC">
        <w:rPr>
          <w:rFonts w:ascii="Times New Roman" w:hAnsi="Times New Roman"/>
          <w:sz w:val="24"/>
          <w:szCs w:val="24"/>
        </w:rPr>
        <w:t xml:space="preserve"> </w:t>
      </w:r>
      <w:r w:rsidRPr="00C23D2E">
        <w:rPr>
          <w:rFonts w:ascii="Times New Roman" w:hAnsi="Times New Roman"/>
          <w:sz w:val="24"/>
          <w:szCs w:val="24"/>
        </w:rPr>
        <w:t>costs</w:t>
      </w:r>
      <w:r w:rsidRPr="00C23D2E" w:rsidR="001F254A">
        <w:rPr>
          <w:rFonts w:ascii="Times New Roman" w:hAnsi="Times New Roman"/>
          <w:sz w:val="24"/>
          <w:szCs w:val="24"/>
        </w:rPr>
        <w:t xml:space="preserve"> associated with </w:t>
      </w:r>
      <w:r w:rsidRPr="00C23D2E" w:rsidR="003F0ED2">
        <w:rPr>
          <w:rFonts w:ascii="Times New Roman" w:hAnsi="Times New Roman"/>
          <w:sz w:val="24"/>
          <w:szCs w:val="24"/>
        </w:rPr>
        <w:t xml:space="preserve">conducting an </w:t>
      </w:r>
      <w:r w:rsidRPr="00C23D2E" w:rsidR="002B77BB">
        <w:rPr>
          <w:rFonts w:ascii="Times New Roman" w:hAnsi="Times New Roman"/>
          <w:sz w:val="24"/>
          <w:szCs w:val="24"/>
        </w:rPr>
        <w:t xml:space="preserve">annual review of </w:t>
      </w:r>
      <w:r w:rsidRPr="00C23D2E" w:rsidR="005E7297">
        <w:rPr>
          <w:rFonts w:ascii="Times New Roman" w:hAnsi="Times New Roman"/>
          <w:sz w:val="24"/>
          <w:szCs w:val="24"/>
        </w:rPr>
        <w:t xml:space="preserve">each of the 59 </w:t>
      </w:r>
      <w:r w:rsidRPr="00C23D2E" w:rsidR="00B47493">
        <w:rPr>
          <w:rFonts w:ascii="Times New Roman" w:hAnsi="Times New Roman"/>
          <w:sz w:val="24"/>
          <w:szCs w:val="24"/>
        </w:rPr>
        <w:t xml:space="preserve">State </w:t>
      </w:r>
      <w:r w:rsidRPr="00C23D2E" w:rsidR="005E7297">
        <w:rPr>
          <w:rFonts w:ascii="Times New Roman" w:hAnsi="Times New Roman"/>
          <w:sz w:val="24"/>
          <w:szCs w:val="24"/>
        </w:rPr>
        <w:t xml:space="preserve">MCH </w:t>
      </w:r>
      <w:r w:rsidRPr="00C23D2E" w:rsidR="00675A14">
        <w:rPr>
          <w:rFonts w:ascii="Times New Roman" w:hAnsi="Times New Roman"/>
          <w:sz w:val="24"/>
          <w:szCs w:val="24"/>
        </w:rPr>
        <w:t>Block G</w:t>
      </w:r>
      <w:r w:rsidRPr="00C23D2E" w:rsidR="008218BC">
        <w:rPr>
          <w:rFonts w:ascii="Times New Roman" w:hAnsi="Times New Roman"/>
          <w:sz w:val="24"/>
          <w:szCs w:val="24"/>
        </w:rPr>
        <w:t>rant A</w:t>
      </w:r>
      <w:r w:rsidRPr="00C23D2E">
        <w:rPr>
          <w:rFonts w:ascii="Times New Roman" w:hAnsi="Times New Roman"/>
          <w:sz w:val="24"/>
          <w:szCs w:val="24"/>
        </w:rPr>
        <w:t>pplications</w:t>
      </w:r>
      <w:r w:rsidRPr="00C23D2E" w:rsidR="008218BC">
        <w:rPr>
          <w:rFonts w:ascii="Times New Roman" w:hAnsi="Times New Roman"/>
          <w:sz w:val="24"/>
          <w:szCs w:val="24"/>
        </w:rPr>
        <w:t>/Annual R</w:t>
      </w:r>
      <w:r w:rsidRPr="00C23D2E">
        <w:rPr>
          <w:rFonts w:ascii="Times New Roman" w:hAnsi="Times New Roman"/>
          <w:sz w:val="24"/>
          <w:szCs w:val="24"/>
        </w:rPr>
        <w:t>eport</w:t>
      </w:r>
      <w:r w:rsidRPr="00C23D2E" w:rsidR="001F254A">
        <w:rPr>
          <w:rFonts w:ascii="Times New Roman" w:hAnsi="Times New Roman"/>
          <w:sz w:val="24"/>
          <w:szCs w:val="24"/>
        </w:rPr>
        <w:t>s</w:t>
      </w:r>
      <w:r w:rsidRPr="00C23D2E" w:rsidR="002B77BB">
        <w:rPr>
          <w:rFonts w:ascii="Times New Roman" w:hAnsi="Times New Roman"/>
          <w:sz w:val="24"/>
          <w:szCs w:val="24"/>
        </w:rPr>
        <w:t>.</w:t>
      </w:r>
      <w:r w:rsidR="00535A04">
        <w:rPr>
          <w:rFonts w:ascii="Times New Roman" w:hAnsi="Times New Roman"/>
          <w:sz w:val="24"/>
          <w:szCs w:val="24"/>
        </w:rPr>
        <w:t xml:space="preserve"> </w:t>
      </w:r>
    </w:p>
    <w:p w:rsidR="00C679A3" w:rsidRPr="00943625" w:rsidP="00626F67" w14:paraId="5291082A" w14:textId="77777777">
      <w:pPr>
        <w:autoSpaceDE w:val="0"/>
        <w:autoSpaceDN w:val="0"/>
        <w:adjustRightInd w:val="0"/>
        <w:spacing w:after="0" w:line="240" w:lineRule="auto"/>
        <w:rPr>
          <w:rFonts w:ascii="Times New Roman" w:hAnsi="Times New Roman"/>
          <w:b/>
          <w:bCs/>
          <w:sz w:val="24"/>
          <w:szCs w:val="24"/>
        </w:rPr>
      </w:pPr>
    </w:p>
    <w:p w:rsidR="00CB509A" w:rsidRPr="00624B72" w:rsidP="00626F67" w14:paraId="20F304A2" w14:textId="7B52CBB0">
      <w:pPr>
        <w:autoSpaceDE w:val="0"/>
        <w:autoSpaceDN w:val="0"/>
        <w:adjustRightInd w:val="0"/>
        <w:spacing w:after="0" w:line="240" w:lineRule="auto"/>
        <w:ind w:left="720" w:hanging="450"/>
        <w:rPr>
          <w:rFonts w:ascii="Times New Roman" w:hAnsi="Times New Roman"/>
          <w:b/>
          <w:bCs/>
          <w:sz w:val="24"/>
          <w:szCs w:val="24"/>
        </w:rPr>
      </w:pPr>
      <w:r w:rsidRPr="00624B72">
        <w:rPr>
          <w:rFonts w:ascii="Times New Roman" w:hAnsi="Times New Roman"/>
          <w:b/>
          <w:bCs/>
          <w:sz w:val="24"/>
          <w:szCs w:val="24"/>
        </w:rPr>
        <w:t xml:space="preserve">15. </w:t>
      </w:r>
      <w:r w:rsidRPr="00624B72" w:rsidR="00C82EB3">
        <w:rPr>
          <w:rFonts w:ascii="Times New Roman" w:hAnsi="Times New Roman"/>
          <w:b/>
          <w:bCs/>
          <w:sz w:val="24"/>
          <w:szCs w:val="24"/>
        </w:rPr>
        <w:tab/>
      </w:r>
      <w:r w:rsidR="00DB73EE">
        <w:rPr>
          <w:rFonts w:ascii="Times New Roman" w:hAnsi="Times New Roman"/>
          <w:b/>
          <w:bCs/>
          <w:sz w:val="24"/>
          <w:szCs w:val="24"/>
        </w:rPr>
        <w:t>Explanation for Program Changes or Adjustments</w:t>
      </w:r>
    </w:p>
    <w:p w:rsidR="00C679A3" w:rsidRPr="00624B72" w:rsidP="00626F67" w14:paraId="2605785F" w14:textId="77777777">
      <w:pPr>
        <w:autoSpaceDE w:val="0"/>
        <w:autoSpaceDN w:val="0"/>
        <w:adjustRightInd w:val="0"/>
        <w:spacing w:after="0" w:line="240" w:lineRule="auto"/>
        <w:rPr>
          <w:rFonts w:ascii="Times New Roman" w:hAnsi="Times New Roman"/>
          <w:b/>
          <w:bCs/>
          <w:sz w:val="24"/>
          <w:szCs w:val="24"/>
        </w:rPr>
      </w:pPr>
    </w:p>
    <w:p w:rsidR="005E7984" w:rsidRPr="00CA3473" w:rsidP="005E7984" w14:paraId="3AE78CDC" w14:textId="7F33FB01">
      <w:pPr>
        <w:autoSpaceDE w:val="0"/>
        <w:autoSpaceDN w:val="0"/>
        <w:adjustRightInd w:val="0"/>
        <w:spacing w:after="0" w:line="240" w:lineRule="auto"/>
        <w:ind w:left="720"/>
        <w:rPr>
          <w:rFonts w:ascii="Times New Roman" w:hAnsi="Times New Roman"/>
          <w:sz w:val="24"/>
          <w:szCs w:val="24"/>
        </w:rPr>
      </w:pPr>
      <w:r w:rsidRPr="00CA3473">
        <w:rPr>
          <w:rFonts w:ascii="Times New Roman" w:hAnsi="Times New Roman"/>
          <w:sz w:val="24"/>
          <w:szCs w:val="24"/>
        </w:rPr>
        <w:t xml:space="preserve">The current inventory for this activity in a year in which States do not report on the findings of a Five-year Needs Assessment is </w:t>
      </w:r>
      <w:r w:rsidR="008C1EF3">
        <w:rPr>
          <w:rFonts w:ascii="Times New Roman" w:hAnsi="Times New Roman"/>
          <w:sz w:val="24"/>
          <w:szCs w:val="24"/>
        </w:rPr>
        <w:t>6</w:t>
      </w:r>
      <w:r w:rsidR="0018315C">
        <w:rPr>
          <w:rFonts w:ascii="Times New Roman" w:hAnsi="Times New Roman"/>
          <w:sz w:val="24"/>
          <w:szCs w:val="24"/>
        </w:rPr>
        <w:t>,</w:t>
      </w:r>
      <w:r w:rsidR="008C1EF3">
        <w:rPr>
          <w:rFonts w:ascii="Times New Roman" w:hAnsi="Times New Roman"/>
          <w:sz w:val="24"/>
          <w:szCs w:val="24"/>
        </w:rPr>
        <w:t>785</w:t>
      </w:r>
      <w:r w:rsidRPr="00CA3473">
        <w:rPr>
          <w:rFonts w:ascii="Times New Roman" w:hAnsi="Times New Roman"/>
          <w:sz w:val="24"/>
          <w:szCs w:val="24"/>
        </w:rPr>
        <w:t xml:space="preserve"> hours.</w:t>
      </w:r>
      <w:r w:rsidR="00535A04">
        <w:rPr>
          <w:rFonts w:ascii="Times New Roman" w:hAnsi="Times New Roman"/>
          <w:sz w:val="24"/>
          <w:szCs w:val="24"/>
        </w:rPr>
        <w:t xml:space="preserve"> </w:t>
      </w:r>
      <w:r w:rsidRPr="00CA3473">
        <w:rPr>
          <w:rFonts w:ascii="Times New Roman" w:hAnsi="Times New Roman"/>
          <w:sz w:val="24"/>
          <w:szCs w:val="24"/>
        </w:rPr>
        <w:t xml:space="preserve">In a year in which the state submits a Five-Year Needs Assessment Summary as part of its Application/Annual Report, the current estimate is </w:t>
      </w:r>
      <w:r w:rsidR="008C1EF3">
        <w:rPr>
          <w:rFonts w:ascii="Times New Roman" w:hAnsi="Times New Roman"/>
          <w:sz w:val="24"/>
          <w:szCs w:val="24"/>
        </w:rPr>
        <w:t>10,679</w:t>
      </w:r>
      <w:r w:rsidRPr="00CA3473">
        <w:rPr>
          <w:rFonts w:ascii="Times New Roman" w:hAnsi="Times New Roman"/>
          <w:sz w:val="24"/>
          <w:szCs w:val="24"/>
        </w:rPr>
        <w:t xml:space="preserve"> hours.</w:t>
      </w:r>
      <w:r w:rsidR="00535A04">
        <w:rPr>
          <w:rFonts w:ascii="Times New Roman" w:hAnsi="Times New Roman"/>
          <w:sz w:val="24"/>
          <w:szCs w:val="24"/>
        </w:rPr>
        <w:t xml:space="preserve"> </w:t>
      </w:r>
      <w:r w:rsidRPr="00CA3473" w:rsidR="00ED7485">
        <w:rPr>
          <w:rFonts w:ascii="Times New Roman" w:hAnsi="Times New Roman"/>
          <w:sz w:val="24"/>
          <w:szCs w:val="24"/>
        </w:rPr>
        <w:t>The three-year period to be covered by the updated Application/Annual Report Guidance will include the submission of a Five-Year Needs Assessment Summary</w:t>
      </w:r>
      <w:r w:rsidRPr="00CA3473" w:rsidR="00F572CA">
        <w:rPr>
          <w:rFonts w:ascii="Times New Roman" w:hAnsi="Times New Roman"/>
          <w:sz w:val="24"/>
          <w:szCs w:val="24"/>
        </w:rPr>
        <w:t>.</w:t>
      </w:r>
      <w:r w:rsidR="00535A04">
        <w:rPr>
          <w:rFonts w:ascii="Times New Roman" w:hAnsi="Times New Roman"/>
          <w:sz w:val="24"/>
          <w:szCs w:val="24"/>
        </w:rPr>
        <w:t xml:space="preserve"> </w:t>
      </w:r>
      <w:r w:rsidRPr="00CA3473" w:rsidR="00BC5B2B">
        <w:rPr>
          <w:rFonts w:ascii="Times New Roman" w:hAnsi="Times New Roman"/>
          <w:sz w:val="24"/>
          <w:szCs w:val="24"/>
        </w:rPr>
        <w:t xml:space="preserve">Updates to the Application/Annual Report that contribute to </w:t>
      </w:r>
      <w:r w:rsidRPr="00CA3473">
        <w:rPr>
          <w:rFonts w:ascii="Times New Roman" w:hAnsi="Times New Roman"/>
          <w:sz w:val="24"/>
          <w:szCs w:val="24"/>
        </w:rPr>
        <w:t>th</w:t>
      </w:r>
      <w:r w:rsidRPr="00CA3473" w:rsidR="0081557B">
        <w:rPr>
          <w:rFonts w:ascii="Times New Roman" w:hAnsi="Times New Roman"/>
          <w:sz w:val="24"/>
          <w:szCs w:val="24"/>
        </w:rPr>
        <w:t>e</w:t>
      </w:r>
      <w:r w:rsidRPr="00CA3473">
        <w:rPr>
          <w:rFonts w:ascii="Times New Roman" w:hAnsi="Times New Roman"/>
          <w:sz w:val="24"/>
          <w:szCs w:val="24"/>
        </w:rPr>
        <w:t xml:space="preserve"> </w:t>
      </w:r>
      <w:r w:rsidRPr="00CA3473" w:rsidR="00BC5B2B">
        <w:rPr>
          <w:rFonts w:ascii="Times New Roman" w:hAnsi="Times New Roman"/>
          <w:sz w:val="24"/>
          <w:szCs w:val="24"/>
        </w:rPr>
        <w:t xml:space="preserve">anticipated </w:t>
      </w:r>
      <w:r w:rsidRPr="00CA3473">
        <w:rPr>
          <w:rFonts w:ascii="Times New Roman" w:hAnsi="Times New Roman"/>
          <w:sz w:val="24"/>
          <w:szCs w:val="24"/>
        </w:rPr>
        <w:t xml:space="preserve">reduction </w:t>
      </w:r>
      <w:r w:rsidRPr="00CA3473" w:rsidR="00BC5B2B">
        <w:rPr>
          <w:rFonts w:ascii="Times New Roman" w:hAnsi="Times New Roman"/>
          <w:sz w:val="24"/>
          <w:szCs w:val="24"/>
        </w:rPr>
        <w:t xml:space="preserve">in effort </w:t>
      </w:r>
      <w:r w:rsidRPr="00CA3473">
        <w:rPr>
          <w:rFonts w:ascii="Times New Roman" w:hAnsi="Times New Roman"/>
          <w:sz w:val="24"/>
          <w:szCs w:val="24"/>
        </w:rPr>
        <w:t>are:</w:t>
      </w:r>
    </w:p>
    <w:p w:rsidR="005E7984" w:rsidRPr="00CA3473" w:rsidP="00C50D5F" w14:paraId="60139E2D"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Streamlined narrative reporting</w:t>
      </w:r>
      <w:r w:rsidRPr="00CA3473" w:rsidR="00F572CA">
        <w:rPr>
          <w:rFonts w:ascii="Times New Roman" w:hAnsi="Times New Roman"/>
          <w:sz w:val="24"/>
          <w:szCs w:val="24"/>
        </w:rPr>
        <w:t xml:space="preserve"> for the State MCH Block Grant Application/Annual Report and the SSDI annual performance and progress reports;</w:t>
      </w:r>
    </w:p>
    <w:p w:rsidR="00F572CA" w:rsidRPr="00CA3473" w:rsidP="00C50D5F" w14:paraId="6BA7FE69"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 xml:space="preserve">Clearer instructions for completing reporting forms; </w:t>
      </w:r>
    </w:p>
    <w:p w:rsidR="005E7984" w:rsidRPr="00CA3473" w:rsidP="00C50D5F" w14:paraId="26D7E8B9" w14:textId="6E783BCE">
      <w:pPr>
        <w:numPr>
          <w:ilvl w:val="0"/>
          <w:numId w:val="9"/>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Development of a technical resource document</w:t>
      </w:r>
      <w:r w:rsidR="00AC354A">
        <w:rPr>
          <w:rFonts w:ascii="Times New Roman" w:hAnsi="Times New Roman"/>
          <w:sz w:val="24"/>
          <w:szCs w:val="24"/>
        </w:rPr>
        <w:t xml:space="preserve"> that includes u</w:t>
      </w:r>
      <w:r w:rsidRPr="00CA3473" w:rsidR="00F572CA">
        <w:rPr>
          <w:rFonts w:ascii="Times New Roman" w:hAnsi="Times New Roman"/>
          <w:sz w:val="24"/>
          <w:szCs w:val="24"/>
        </w:rPr>
        <w:t>pdated references,</w:t>
      </w:r>
      <w:r w:rsidR="00AC354A">
        <w:rPr>
          <w:rFonts w:ascii="Times New Roman" w:hAnsi="Times New Roman"/>
          <w:sz w:val="24"/>
          <w:szCs w:val="24"/>
        </w:rPr>
        <w:t xml:space="preserve"> </w:t>
      </w:r>
      <w:r w:rsidR="00C30AB4">
        <w:rPr>
          <w:rFonts w:ascii="Times New Roman" w:hAnsi="Times New Roman"/>
          <w:sz w:val="24"/>
          <w:szCs w:val="24"/>
        </w:rPr>
        <w:t xml:space="preserve">a </w:t>
      </w:r>
      <w:r w:rsidR="00AC354A">
        <w:rPr>
          <w:rFonts w:ascii="Times New Roman" w:hAnsi="Times New Roman"/>
          <w:sz w:val="24"/>
          <w:szCs w:val="24"/>
        </w:rPr>
        <w:t>complete g</w:t>
      </w:r>
      <w:r w:rsidRPr="00CA3473" w:rsidR="00F572CA">
        <w:rPr>
          <w:rFonts w:ascii="Times New Roman" w:hAnsi="Times New Roman"/>
          <w:sz w:val="24"/>
          <w:szCs w:val="24"/>
        </w:rPr>
        <w:t>lossary</w:t>
      </w:r>
      <w:r w:rsidRPr="00CA3473" w:rsidR="00B469DA">
        <w:rPr>
          <w:rFonts w:ascii="Times New Roman" w:hAnsi="Times New Roman"/>
          <w:sz w:val="24"/>
          <w:szCs w:val="24"/>
        </w:rPr>
        <w:t xml:space="preserve">, </w:t>
      </w:r>
      <w:r w:rsidRPr="00CA3473" w:rsidR="00F572CA">
        <w:rPr>
          <w:rFonts w:ascii="Times New Roman" w:hAnsi="Times New Roman"/>
          <w:sz w:val="24"/>
          <w:szCs w:val="24"/>
        </w:rPr>
        <w:t xml:space="preserve">added resources, tools, state examples and supportive background information; </w:t>
      </w:r>
      <w:r w:rsidRPr="00CA3473">
        <w:rPr>
          <w:rFonts w:ascii="Times New Roman" w:hAnsi="Times New Roman"/>
          <w:sz w:val="24"/>
          <w:szCs w:val="24"/>
        </w:rPr>
        <w:t xml:space="preserve">and </w:t>
      </w:r>
    </w:p>
    <w:p w:rsidR="005E7984" w:rsidRPr="00CA3473" w:rsidP="00C50D5F" w14:paraId="4407CE4F" w14:textId="1BFB3690">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Continued enhancements to the TVIS.</w:t>
      </w:r>
      <w:r w:rsidR="00535A04">
        <w:rPr>
          <w:rFonts w:ascii="Times New Roman" w:hAnsi="Times New Roman"/>
          <w:sz w:val="24"/>
          <w:szCs w:val="24"/>
        </w:rPr>
        <w:t xml:space="preserve">   </w:t>
      </w:r>
    </w:p>
    <w:p w:rsidR="005E7984" w:rsidRPr="00CA3473" w:rsidP="00B66D9C" w14:paraId="7A828303" w14:textId="77777777">
      <w:pPr>
        <w:spacing w:after="0" w:line="240" w:lineRule="auto"/>
        <w:ind w:left="720"/>
        <w:rPr>
          <w:rFonts w:ascii="Times New Roman" w:hAnsi="Times New Roman"/>
          <w:sz w:val="24"/>
          <w:szCs w:val="24"/>
        </w:rPr>
      </w:pPr>
    </w:p>
    <w:p w:rsidR="00DF2B97" w:rsidP="00B66D9C" w14:paraId="1B3CA6F0" w14:textId="1834712E">
      <w:pPr>
        <w:spacing w:after="0" w:line="240" w:lineRule="auto"/>
        <w:ind w:left="720"/>
        <w:rPr>
          <w:rFonts w:ascii="Times New Roman" w:hAnsi="Times New Roman"/>
          <w:sz w:val="24"/>
          <w:szCs w:val="24"/>
        </w:rPr>
      </w:pPr>
      <w:r>
        <w:rPr>
          <w:rFonts w:ascii="Times New Roman" w:hAnsi="Times New Roman"/>
          <w:sz w:val="24"/>
          <w:szCs w:val="24"/>
        </w:rPr>
        <w:t xml:space="preserve">States have also indicated that </w:t>
      </w:r>
      <w:r w:rsidR="00AC354A">
        <w:rPr>
          <w:rFonts w:ascii="Times New Roman" w:hAnsi="Times New Roman"/>
          <w:sz w:val="24"/>
          <w:szCs w:val="24"/>
        </w:rPr>
        <w:t xml:space="preserve">having technical assistance support that provides </w:t>
      </w:r>
      <w:r>
        <w:rPr>
          <w:rFonts w:ascii="Times New Roman" w:hAnsi="Times New Roman"/>
          <w:sz w:val="24"/>
          <w:szCs w:val="24"/>
        </w:rPr>
        <w:t xml:space="preserve">resources, state examples and definitions are helpful and welcome. </w:t>
      </w:r>
      <w:r w:rsidRPr="00CA3473" w:rsidR="0004473A">
        <w:rPr>
          <w:rFonts w:ascii="Times New Roman" w:hAnsi="Times New Roman"/>
          <w:sz w:val="24"/>
          <w:szCs w:val="24"/>
        </w:rPr>
        <w:t xml:space="preserve">Continuing efforts to add </w:t>
      </w:r>
      <w:r w:rsidRPr="00CA3473" w:rsidR="00CF28EF">
        <w:rPr>
          <w:rFonts w:ascii="Times New Roman" w:hAnsi="Times New Roman"/>
          <w:sz w:val="24"/>
          <w:szCs w:val="24"/>
        </w:rPr>
        <w:t xml:space="preserve">functionality </w:t>
      </w:r>
      <w:r w:rsidRPr="00CA3473" w:rsidR="006E7189">
        <w:rPr>
          <w:rFonts w:ascii="Times New Roman" w:hAnsi="Times New Roman"/>
          <w:sz w:val="24"/>
          <w:szCs w:val="24"/>
        </w:rPr>
        <w:t xml:space="preserve">to </w:t>
      </w:r>
      <w:r w:rsidRPr="00CA3473" w:rsidR="00CF28EF">
        <w:rPr>
          <w:rFonts w:ascii="Times New Roman" w:hAnsi="Times New Roman"/>
          <w:sz w:val="24"/>
          <w:szCs w:val="24"/>
        </w:rPr>
        <w:t xml:space="preserve">the TVIS data entry system </w:t>
      </w:r>
      <w:r w:rsidRPr="00CA3473" w:rsidR="00796A55">
        <w:rPr>
          <w:rFonts w:ascii="Times New Roman" w:hAnsi="Times New Roman"/>
          <w:sz w:val="24"/>
          <w:szCs w:val="24"/>
        </w:rPr>
        <w:t xml:space="preserve">over the coming years should </w:t>
      </w:r>
      <w:r w:rsidRPr="00CA3473" w:rsidR="003C3E14">
        <w:rPr>
          <w:rFonts w:ascii="Times New Roman" w:hAnsi="Times New Roman"/>
          <w:sz w:val="24"/>
          <w:szCs w:val="24"/>
        </w:rPr>
        <w:t xml:space="preserve">further </w:t>
      </w:r>
      <w:r w:rsidRPr="00CA3473" w:rsidR="0004473A">
        <w:rPr>
          <w:rFonts w:ascii="Times New Roman" w:hAnsi="Times New Roman"/>
          <w:sz w:val="24"/>
          <w:szCs w:val="24"/>
        </w:rPr>
        <w:t xml:space="preserve">serve to </w:t>
      </w:r>
      <w:r w:rsidRPr="00CA3473" w:rsidR="006E7189">
        <w:rPr>
          <w:rFonts w:ascii="Times New Roman" w:hAnsi="Times New Roman"/>
          <w:sz w:val="24"/>
          <w:szCs w:val="24"/>
        </w:rPr>
        <w:t xml:space="preserve">simplify and </w:t>
      </w:r>
      <w:r w:rsidRPr="00CA3473" w:rsidR="00CF28EF">
        <w:rPr>
          <w:rFonts w:ascii="Times New Roman" w:hAnsi="Times New Roman"/>
          <w:sz w:val="24"/>
          <w:szCs w:val="24"/>
        </w:rPr>
        <w:t xml:space="preserve">enhance the </w:t>
      </w:r>
      <w:r w:rsidRPr="00CA3473" w:rsidR="007F2D07">
        <w:rPr>
          <w:rFonts w:ascii="Times New Roman" w:hAnsi="Times New Roman"/>
          <w:sz w:val="24"/>
          <w:szCs w:val="24"/>
        </w:rPr>
        <w:t>s</w:t>
      </w:r>
      <w:r w:rsidRPr="00CA3473" w:rsidR="006E7189">
        <w:rPr>
          <w:rFonts w:ascii="Times New Roman" w:hAnsi="Times New Roman"/>
          <w:sz w:val="24"/>
          <w:szCs w:val="24"/>
        </w:rPr>
        <w:t xml:space="preserve">tate </w:t>
      </w:r>
      <w:r w:rsidRPr="00CA3473" w:rsidR="00CF28EF">
        <w:rPr>
          <w:rFonts w:ascii="Times New Roman" w:hAnsi="Times New Roman"/>
          <w:sz w:val="24"/>
          <w:szCs w:val="24"/>
        </w:rPr>
        <w:t>user experience.</w:t>
      </w:r>
      <w:r w:rsidR="00535A04">
        <w:rPr>
          <w:rFonts w:ascii="Times New Roman" w:hAnsi="Times New Roman"/>
          <w:sz w:val="24"/>
          <w:szCs w:val="24"/>
        </w:rPr>
        <w:t xml:space="preserve"> </w:t>
      </w:r>
      <w:r w:rsidRPr="00CA3473" w:rsidR="002D7E2E">
        <w:rPr>
          <w:rFonts w:ascii="Times New Roman" w:hAnsi="Times New Roman"/>
          <w:sz w:val="24"/>
          <w:szCs w:val="24"/>
        </w:rPr>
        <w:t xml:space="preserve">It should be noted that the estimated burden hours reflect a minimum level of burden </w:t>
      </w:r>
      <w:r w:rsidRPr="00CA3473" w:rsidR="002D6234">
        <w:rPr>
          <w:rFonts w:ascii="Times New Roman" w:hAnsi="Times New Roman"/>
          <w:sz w:val="24"/>
          <w:szCs w:val="24"/>
        </w:rPr>
        <w:t xml:space="preserve">considered </w:t>
      </w:r>
      <w:r w:rsidRPr="00CA3473" w:rsidR="007F2D07">
        <w:rPr>
          <w:rFonts w:ascii="Times New Roman" w:hAnsi="Times New Roman"/>
          <w:sz w:val="24"/>
          <w:szCs w:val="24"/>
        </w:rPr>
        <w:t>necessary</w:t>
      </w:r>
      <w:r w:rsidRPr="00CA3473" w:rsidR="002D7E2E">
        <w:rPr>
          <w:rFonts w:ascii="Times New Roman" w:hAnsi="Times New Roman"/>
          <w:sz w:val="24"/>
          <w:szCs w:val="24"/>
        </w:rPr>
        <w:t xml:space="preserve"> </w:t>
      </w:r>
      <w:r w:rsidRPr="00CA3473" w:rsidR="00E42151">
        <w:rPr>
          <w:rFonts w:ascii="Times New Roman" w:hAnsi="Times New Roman"/>
          <w:sz w:val="24"/>
          <w:szCs w:val="24"/>
        </w:rPr>
        <w:t xml:space="preserve">to </w:t>
      </w:r>
      <w:r w:rsidRPr="00CA3473" w:rsidR="007F2D07">
        <w:rPr>
          <w:rFonts w:ascii="Times New Roman" w:hAnsi="Times New Roman"/>
          <w:sz w:val="24"/>
          <w:szCs w:val="24"/>
        </w:rPr>
        <w:t xml:space="preserve">meeting </w:t>
      </w:r>
      <w:r w:rsidRPr="00CA3473" w:rsidR="002D7E2E">
        <w:rPr>
          <w:rFonts w:ascii="Times New Roman" w:hAnsi="Times New Roman"/>
          <w:sz w:val="24"/>
          <w:szCs w:val="24"/>
        </w:rPr>
        <w:t>the specified reporting requirements.</w:t>
      </w:r>
      <w:r w:rsidR="00535A04">
        <w:rPr>
          <w:rFonts w:ascii="Times New Roman" w:hAnsi="Times New Roman"/>
          <w:sz w:val="24"/>
          <w:szCs w:val="24"/>
        </w:rPr>
        <w:t xml:space="preserve"> </w:t>
      </w:r>
      <w:r w:rsidRPr="00CA3473" w:rsidR="00B66D9C">
        <w:rPr>
          <w:rFonts w:ascii="Times New Roman" w:hAnsi="Times New Roman"/>
          <w:sz w:val="24"/>
          <w:szCs w:val="24"/>
        </w:rPr>
        <w:t xml:space="preserve">Many </w:t>
      </w:r>
      <w:r w:rsidRPr="00CA3473" w:rsidR="007F2D07">
        <w:rPr>
          <w:rFonts w:ascii="Times New Roman" w:hAnsi="Times New Roman"/>
          <w:sz w:val="24"/>
          <w:szCs w:val="24"/>
        </w:rPr>
        <w:t>s</w:t>
      </w:r>
      <w:r w:rsidRPr="00CA3473" w:rsidR="002D7E2E">
        <w:rPr>
          <w:rFonts w:ascii="Times New Roman" w:hAnsi="Times New Roman"/>
          <w:sz w:val="24"/>
          <w:szCs w:val="24"/>
        </w:rPr>
        <w:t xml:space="preserve">tates </w:t>
      </w:r>
      <w:r w:rsidRPr="00CA3473" w:rsidR="00C752C8">
        <w:rPr>
          <w:rFonts w:ascii="Times New Roman" w:hAnsi="Times New Roman"/>
          <w:sz w:val="24"/>
          <w:szCs w:val="24"/>
        </w:rPr>
        <w:t xml:space="preserve">choose to engage in </w:t>
      </w:r>
      <w:r w:rsidRPr="00CA3473" w:rsidR="00B66D9C">
        <w:rPr>
          <w:rFonts w:ascii="Times New Roman" w:hAnsi="Times New Roman"/>
          <w:sz w:val="24"/>
          <w:szCs w:val="24"/>
        </w:rPr>
        <w:t xml:space="preserve">a </w:t>
      </w:r>
      <w:r w:rsidRPr="00CA3473" w:rsidR="002D7E2E">
        <w:rPr>
          <w:rFonts w:ascii="Times New Roman" w:hAnsi="Times New Roman"/>
          <w:sz w:val="24"/>
          <w:szCs w:val="24"/>
        </w:rPr>
        <w:t xml:space="preserve">more </w:t>
      </w:r>
      <w:r w:rsidRPr="00CA3473" w:rsidR="00C752C8">
        <w:rPr>
          <w:rFonts w:ascii="Times New Roman" w:hAnsi="Times New Roman"/>
          <w:sz w:val="24"/>
          <w:szCs w:val="24"/>
        </w:rPr>
        <w:t xml:space="preserve">extensive </w:t>
      </w:r>
      <w:r w:rsidRPr="00CA3473" w:rsidR="00B66D9C">
        <w:rPr>
          <w:rFonts w:ascii="Times New Roman" w:hAnsi="Times New Roman"/>
          <w:sz w:val="24"/>
          <w:szCs w:val="24"/>
        </w:rPr>
        <w:t xml:space="preserve">process for conducting the Five-Year </w:t>
      </w:r>
      <w:r w:rsidRPr="00CA3473" w:rsidR="00C752C8">
        <w:rPr>
          <w:rFonts w:ascii="Times New Roman" w:hAnsi="Times New Roman"/>
          <w:sz w:val="24"/>
          <w:szCs w:val="24"/>
        </w:rPr>
        <w:t xml:space="preserve">Needs Assessment </w:t>
      </w:r>
      <w:r w:rsidRPr="00CA3473" w:rsidR="00B66D9C">
        <w:rPr>
          <w:rFonts w:ascii="Times New Roman" w:hAnsi="Times New Roman"/>
          <w:sz w:val="24"/>
          <w:szCs w:val="24"/>
        </w:rPr>
        <w:t xml:space="preserve">and </w:t>
      </w:r>
      <w:r w:rsidRPr="00CA3473" w:rsidR="002D6234">
        <w:rPr>
          <w:rFonts w:ascii="Times New Roman" w:hAnsi="Times New Roman"/>
          <w:sz w:val="24"/>
          <w:szCs w:val="24"/>
        </w:rPr>
        <w:t xml:space="preserve">in </w:t>
      </w:r>
      <w:r w:rsidRPr="00CA3473" w:rsidR="00B66D9C">
        <w:rPr>
          <w:rFonts w:ascii="Times New Roman" w:hAnsi="Times New Roman"/>
          <w:sz w:val="24"/>
          <w:szCs w:val="24"/>
        </w:rPr>
        <w:t>preparing the yearly Ap</w:t>
      </w:r>
      <w:r w:rsidRPr="00CA3473" w:rsidR="00C752C8">
        <w:rPr>
          <w:rFonts w:ascii="Times New Roman" w:hAnsi="Times New Roman"/>
          <w:sz w:val="24"/>
          <w:szCs w:val="24"/>
        </w:rPr>
        <w:t>plication/Annual Report</w:t>
      </w:r>
      <w:r w:rsidRPr="00CA3473" w:rsidR="00B66D9C">
        <w:rPr>
          <w:rFonts w:ascii="Times New Roman" w:hAnsi="Times New Roman"/>
          <w:sz w:val="24"/>
          <w:szCs w:val="24"/>
        </w:rPr>
        <w:t>.</w:t>
      </w:r>
      <w:r w:rsidR="00535A04">
        <w:rPr>
          <w:rFonts w:ascii="Times New Roman" w:hAnsi="Times New Roman"/>
          <w:sz w:val="24"/>
          <w:szCs w:val="24"/>
        </w:rPr>
        <w:t xml:space="preserve"> </w:t>
      </w:r>
      <w:r w:rsidRPr="00CA3473" w:rsidR="00B66D9C">
        <w:rPr>
          <w:rFonts w:ascii="Times New Roman" w:hAnsi="Times New Roman"/>
          <w:sz w:val="24"/>
          <w:szCs w:val="24"/>
        </w:rPr>
        <w:t>F</w:t>
      </w:r>
      <w:r w:rsidRPr="00CA3473" w:rsidR="007F2D07">
        <w:rPr>
          <w:rFonts w:ascii="Times New Roman" w:hAnsi="Times New Roman"/>
          <w:sz w:val="24"/>
          <w:szCs w:val="24"/>
        </w:rPr>
        <w:t>or these s</w:t>
      </w:r>
      <w:r w:rsidRPr="00CA3473" w:rsidR="00C752C8">
        <w:rPr>
          <w:rFonts w:ascii="Times New Roman" w:hAnsi="Times New Roman"/>
          <w:sz w:val="24"/>
          <w:szCs w:val="24"/>
        </w:rPr>
        <w:t>tates, the MCHB burden estimates may be low.</w:t>
      </w:r>
      <w:r w:rsidR="00535A04">
        <w:rPr>
          <w:rFonts w:ascii="Times New Roman" w:hAnsi="Times New Roman"/>
          <w:sz w:val="24"/>
          <w:szCs w:val="24"/>
        </w:rPr>
        <w:t xml:space="preserve">   </w:t>
      </w:r>
    </w:p>
    <w:p w:rsidR="00F41BAC" w:rsidP="00F41BAC" w14:paraId="3C247299" w14:textId="77777777">
      <w:pPr>
        <w:autoSpaceDE w:val="0"/>
        <w:autoSpaceDN w:val="0"/>
        <w:adjustRightInd w:val="0"/>
        <w:spacing w:after="0" w:line="240" w:lineRule="auto"/>
        <w:ind w:left="720"/>
        <w:rPr>
          <w:rFonts w:ascii="Times New Roman" w:hAnsi="Times New Roman"/>
          <w:sz w:val="24"/>
          <w:szCs w:val="24"/>
        </w:rPr>
      </w:pPr>
    </w:p>
    <w:p w:rsidR="00DF2B97" w:rsidRPr="00943625" w:rsidP="00F41BAC" w14:paraId="665F4AB4" w14:textId="2EE6B9DE">
      <w:pPr>
        <w:autoSpaceDE w:val="0"/>
        <w:autoSpaceDN w:val="0"/>
        <w:adjustRightInd w:val="0"/>
        <w:spacing w:after="0" w:line="240" w:lineRule="auto"/>
        <w:ind w:left="720"/>
        <w:rPr>
          <w:rFonts w:ascii="Times New Roman" w:hAnsi="Times New Roman"/>
          <w:b/>
          <w:bCs/>
          <w:sz w:val="24"/>
          <w:szCs w:val="24"/>
        </w:rPr>
      </w:pPr>
      <w:r w:rsidRPr="00C23D2E">
        <w:rPr>
          <w:rFonts w:ascii="Times New Roman" w:hAnsi="Times New Roman"/>
          <w:sz w:val="24"/>
          <w:szCs w:val="24"/>
        </w:rPr>
        <w:t xml:space="preserve">It should be noted that </w:t>
      </w:r>
      <w:r>
        <w:rPr>
          <w:rFonts w:ascii="Times New Roman" w:hAnsi="Times New Roman"/>
          <w:sz w:val="24"/>
          <w:szCs w:val="24"/>
        </w:rPr>
        <w:t xml:space="preserve">the </w:t>
      </w:r>
      <w:r w:rsidRPr="00C23D2E">
        <w:rPr>
          <w:rFonts w:ascii="Times New Roman" w:hAnsi="Times New Roman"/>
          <w:sz w:val="24"/>
          <w:szCs w:val="24"/>
        </w:rPr>
        <w:t xml:space="preserve">operational costs </w:t>
      </w:r>
      <w:r>
        <w:rPr>
          <w:rFonts w:ascii="Times New Roman" w:hAnsi="Times New Roman"/>
          <w:sz w:val="24"/>
          <w:szCs w:val="24"/>
        </w:rPr>
        <w:t xml:space="preserve">to support the </w:t>
      </w:r>
      <w:r w:rsidRPr="00C23D2E">
        <w:rPr>
          <w:rFonts w:ascii="Times New Roman" w:hAnsi="Times New Roman"/>
          <w:sz w:val="24"/>
          <w:szCs w:val="24"/>
        </w:rPr>
        <w:t xml:space="preserve">State </w:t>
      </w:r>
      <w:r>
        <w:rPr>
          <w:rFonts w:ascii="Times New Roman" w:hAnsi="Times New Roman"/>
          <w:sz w:val="24"/>
          <w:szCs w:val="24"/>
        </w:rPr>
        <w:t>M</w:t>
      </w:r>
      <w:r w:rsidRPr="00C23D2E">
        <w:rPr>
          <w:rFonts w:ascii="Times New Roman" w:hAnsi="Times New Roman"/>
          <w:sz w:val="24"/>
          <w:szCs w:val="24"/>
        </w:rPr>
        <w:t>CH Block Grant reviews were lower in FY 2020</w:t>
      </w:r>
      <w:r>
        <w:rPr>
          <w:rFonts w:ascii="Times New Roman" w:hAnsi="Times New Roman"/>
          <w:sz w:val="24"/>
          <w:szCs w:val="24"/>
        </w:rPr>
        <w:t xml:space="preserve">-FY2022, as a result of the COVID-19 pandemic and the </w:t>
      </w:r>
      <w:r w:rsidRPr="00C23D2E">
        <w:rPr>
          <w:rFonts w:ascii="Times New Roman" w:hAnsi="Times New Roman"/>
          <w:sz w:val="24"/>
          <w:szCs w:val="24"/>
        </w:rPr>
        <w:t>inability to conduct in-person reviews</w:t>
      </w:r>
      <w:r>
        <w:rPr>
          <w:rFonts w:ascii="Times New Roman" w:hAnsi="Times New Roman"/>
          <w:sz w:val="24"/>
          <w:szCs w:val="24"/>
        </w:rPr>
        <w:t xml:space="preserve"> with the State Title V programs. </w:t>
      </w:r>
      <w:r w:rsidRPr="00C23D2E">
        <w:rPr>
          <w:rFonts w:ascii="Times New Roman" w:hAnsi="Times New Roman"/>
          <w:sz w:val="24"/>
          <w:szCs w:val="24"/>
        </w:rPr>
        <w:t>Contract costs for the enhancement, operations and maintenance of the TVIS for FY 2020 were</w:t>
      </w:r>
      <w:r>
        <w:rPr>
          <w:rFonts w:ascii="Times New Roman" w:hAnsi="Times New Roman"/>
          <w:sz w:val="24"/>
          <w:szCs w:val="24"/>
        </w:rPr>
        <w:t xml:space="preserve"> </w:t>
      </w:r>
      <w:r w:rsidRPr="008D1C4B">
        <w:rPr>
          <w:rFonts w:ascii="Times New Roman" w:hAnsi="Times New Roman"/>
          <w:sz w:val="24"/>
          <w:szCs w:val="24"/>
        </w:rPr>
        <w:t>$</w:t>
      </w:r>
      <w:r>
        <w:rPr>
          <w:rFonts w:ascii="Times New Roman" w:hAnsi="Times New Roman"/>
          <w:sz w:val="24"/>
          <w:szCs w:val="24"/>
        </w:rPr>
        <w:t>1,600,000</w:t>
      </w:r>
      <w:r w:rsidRPr="00C23D2E">
        <w:rPr>
          <w:rFonts w:ascii="Times New Roman" w:hAnsi="Times New Roman"/>
          <w:sz w:val="24"/>
          <w:szCs w:val="24"/>
        </w:rPr>
        <w:t>.</w:t>
      </w:r>
      <w:r>
        <w:rPr>
          <w:rFonts w:ascii="Times New Roman" w:hAnsi="Times New Roman"/>
          <w:sz w:val="24"/>
          <w:szCs w:val="24"/>
        </w:rPr>
        <w:t xml:space="preserve"> </w:t>
      </w:r>
      <w:r w:rsidRPr="00C23D2E">
        <w:rPr>
          <w:rFonts w:ascii="Times New Roman" w:hAnsi="Times New Roman"/>
          <w:sz w:val="24"/>
          <w:szCs w:val="24"/>
        </w:rPr>
        <w:t xml:space="preserve">On this basis, the estimated annual cost to the Federal government for the operations and maintenance of the TVIS (electronic data entry for states and the </w:t>
      </w:r>
      <w:r w:rsidR="00F41BAC">
        <w:rPr>
          <w:rFonts w:ascii="Times New Roman" w:hAnsi="Times New Roman"/>
          <w:sz w:val="24"/>
          <w:szCs w:val="24"/>
        </w:rPr>
        <w:t>w</w:t>
      </w:r>
      <w:r w:rsidRPr="00C23D2E">
        <w:rPr>
          <w:rFonts w:ascii="Times New Roman" w:hAnsi="Times New Roman"/>
          <w:sz w:val="24"/>
          <w:szCs w:val="24"/>
        </w:rPr>
        <w:t>eb reports), continued development of the TVIS to address changes in narrative and data reporting requirements and review of the State Applications/Annual Reports under the updated Application/Annual Report Guidance is $1,</w:t>
      </w:r>
      <w:r>
        <w:rPr>
          <w:rFonts w:ascii="Times New Roman" w:hAnsi="Times New Roman"/>
          <w:sz w:val="24"/>
          <w:szCs w:val="24"/>
        </w:rPr>
        <w:t>831,750</w:t>
      </w:r>
      <w:r w:rsidRPr="00C23D2E">
        <w:rPr>
          <w:rFonts w:ascii="Times New Roman" w:hAnsi="Times New Roman"/>
          <w:sz w:val="24"/>
          <w:szCs w:val="24"/>
        </w:rPr>
        <w:t>.</w:t>
      </w:r>
    </w:p>
    <w:p w:rsidR="00442B75" w:rsidRPr="00624B72" w:rsidP="00626F67" w14:paraId="37ACA071" w14:textId="2B6A3420">
      <w:pPr>
        <w:spacing w:after="0" w:line="240" w:lineRule="auto"/>
        <w:ind w:left="720"/>
        <w:rPr>
          <w:rFonts w:ascii="Times New Roman" w:eastAsia="Times New Roman" w:hAnsi="Times New Roman"/>
          <w:sz w:val="24"/>
          <w:szCs w:val="24"/>
        </w:rPr>
      </w:pPr>
      <w:r>
        <w:rPr>
          <w:rFonts w:ascii="Times New Roman" w:hAnsi="Times New Roman"/>
          <w:sz w:val="24"/>
          <w:szCs w:val="24"/>
        </w:rPr>
        <w:t xml:space="preserve">  </w:t>
      </w:r>
    </w:p>
    <w:p w:rsidR="00C679A3" w:rsidRPr="0013483B" w:rsidP="00626F67" w14:paraId="7493D2B5" w14:textId="56E3ED66">
      <w:pPr>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16. </w:t>
      </w:r>
      <w:r w:rsidRPr="0013483B" w:rsidR="00C82EB3">
        <w:rPr>
          <w:rFonts w:ascii="Times New Roman" w:hAnsi="Times New Roman"/>
          <w:b/>
          <w:bCs/>
          <w:sz w:val="24"/>
          <w:szCs w:val="24"/>
        </w:rPr>
        <w:tab/>
      </w:r>
      <w:r w:rsidR="00DB73EE">
        <w:rPr>
          <w:rFonts w:ascii="Times New Roman" w:hAnsi="Times New Roman"/>
          <w:b/>
          <w:bCs/>
          <w:sz w:val="24"/>
          <w:szCs w:val="24"/>
        </w:rPr>
        <w:t xml:space="preserve"> Plans for Tabulation, Publication, and Project Time Schedule  </w:t>
      </w:r>
    </w:p>
    <w:p w:rsidR="00626F67" w:rsidP="00626F67" w14:paraId="66076AC7" w14:textId="77777777">
      <w:pPr>
        <w:autoSpaceDE w:val="0"/>
        <w:autoSpaceDN w:val="0"/>
        <w:adjustRightInd w:val="0"/>
        <w:spacing w:after="0" w:line="240" w:lineRule="auto"/>
        <w:ind w:left="720"/>
        <w:rPr>
          <w:rFonts w:ascii="Times New Roman" w:hAnsi="Times New Roman"/>
          <w:sz w:val="24"/>
          <w:szCs w:val="24"/>
        </w:rPr>
      </w:pPr>
    </w:p>
    <w:p w:rsidR="00CB509A" w:rsidRPr="0013483B" w:rsidP="00626F67" w14:paraId="45984C67" w14:textId="011734A1">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During a regular submission year, t</w:t>
      </w:r>
      <w:r w:rsidRPr="0013483B">
        <w:rPr>
          <w:rFonts w:ascii="Times New Roman" w:hAnsi="Times New Roman"/>
          <w:sz w:val="24"/>
          <w:szCs w:val="24"/>
        </w:rPr>
        <w:t>he State</w:t>
      </w:r>
      <w:r w:rsidR="007F2D07">
        <w:rPr>
          <w:rFonts w:ascii="Times New Roman" w:hAnsi="Times New Roman"/>
          <w:sz w:val="24"/>
          <w:szCs w:val="24"/>
        </w:rPr>
        <w:t xml:space="preserve"> MC</w:t>
      </w:r>
      <w:r w:rsidRPr="0013483B">
        <w:rPr>
          <w:rFonts w:ascii="Times New Roman" w:hAnsi="Times New Roman"/>
          <w:sz w:val="24"/>
          <w:szCs w:val="24"/>
        </w:rPr>
        <w:t xml:space="preserve">H Block Grant </w:t>
      </w:r>
      <w:r w:rsidRPr="0013483B" w:rsidR="0013483B">
        <w:rPr>
          <w:rFonts w:ascii="Times New Roman" w:hAnsi="Times New Roman"/>
          <w:sz w:val="24"/>
          <w:szCs w:val="24"/>
        </w:rPr>
        <w:t xml:space="preserve">Application/Annual Report </w:t>
      </w:r>
      <w:r w:rsidRPr="0013483B">
        <w:rPr>
          <w:rFonts w:ascii="Times New Roman" w:hAnsi="Times New Roman"/>
          <w:sz w:val="24"/>
          <w:szCs w:val="24"/>
        </w:rPr>
        <w:t xml:space="preserve">document is </w:t>
      </w:r>
      <w:r w:rsidR="00F41BAC">
        <w:rPr>
          <w:rFonts w:ascii="Times New Roman" w:hAnsi="Times New Roman"/>
          <w:sz w:val="24"/>
          <w:szCs w:val="24"/>
        </w:rPr>
        <w:t xml:space="preserve">usually </w:t>
      </w:r>
      <w:r w:rsidRPr="0013483B" w:rsidR="0013483B">
        <w:rPr>
          <w:rFonts w:ascii="Times New Roman" w:hAnsi="Times New Roman"/>
          <w:sz w:val="24"/>
          <w:szCs w:val="24"/>
        </w:rPr>
        <w:t xml:space="preserve">submitted each year on </w:t>
      </w:r>
      <w:r w:rsidRPr="008F0C3E" w:rsidR="0013483B">
        <w:rPr>
          <w:rFonts w:ascii="Times New Roman" w:hAnsi="Times New Roman"/>
          <w:sz w:val="24"/>
          <w:szCs w:val="24"/>
        </w:rPr>
        <w:t>July 15</w:t>
      </w:r>
      <w:r w:rsidRPr="0013483B" w:rsidR="0013483B">
        <w:rPr>
          <w:rFonts w:ascii="Times New Roman" w:hAnsi="Times New Roman"/>
          <w:sz w:val="24"/>
          <w:szCs w:val="24"/>
        </w:rPr>
        <w:t>, with r</w:t>
      </w:r>
      <w:r w:rsidRPr="0013483B">
        <w:rPr>
          <w:rFonts w:ascii="Times New Roman" w:hAnsi="Times New Roman"/>
          <w:sz w:val="24"/>
          <w:szCs w:val="24"/>
        </w:rPr>
        <w:t xml:space="preserve">eview </w:t>
      </w:r>
      <w:r w:rsidRPr="0013483B" w:rsidR="0013483B">
        <w:rPr>
          <w:rFonts w:ascii="Times New Roman" w:hAnsi="Times New Roman"/>
          <w:sz w:val="24"/>
          <w:szCs w:val="24"/>
        </w:rPr>
        <w:t xml:space="preserve">of each submitted document </w:t>
      </w:r>
      <w:r w:rsidRPr="0013483B">
        <w:rPr>
          <w:rFonts w:ascii="Times New Roman" w:hAnsi="Times New Roman"/>
          <w:sz w:val="24"/>
          <w:szCs w:val="24"/>
        </w:rPr>
        <w:t xml:space="preserve">completed </w:t>
      </w:r>
      <w:r w:rsidR="00F41BAC">
        <w:rPr>
          <w:rFonts w:ascii="Times New Roman" w:hAnsi="Times New Roman"/>
          <w:sz w:val="24"/>
          <w:szCs w:val="24"/>
        </w:rPr>
        <w:t>between</w:t>
      </w:r>
      <w:r w:rsidRPr="0013483B" w:rsidR="00F41BAC">
        <w:rPr>
          <w:rFonts w:ascii="Times New Roman" w:hAnsi="Times New Roman"/>
          <w:sz w:val="24"/>
          <w:szCs w:val="24"/>
        </w:rPr>
        <w:t xml:space="preserve"> </w:t>
      </w:r>
      <w:r w:rsidRPr="0013483B">
        <w:rPr>
          <w:rFonts w:ascii="Times New Roman" w:hAnsi="Times New Roman"/>
          <w:sz w:val="24"/>
          <w:szCs w:val="24"/>
        </w:rPr>
        <w:t>September</w:t>
      </w:r>
      <w:r w:rsidR="00F41BAC">
        <w:rPr>
          <w:rFonts w:ascii="Times New Roman" w:hAnsi="Times New Roman"/>
          <w:sz w:val="24"/>
          <w:szCs w:val="24"/>
        </w:rPr>
        <w:t xml:space="preserve"> and December</w:t>
      </w:r>
      <w:r w:rsidRPr="0013483B">
        <w:rPr>
          <w:rFonts w:ascii="Times New Roman" w:hAnsi="Times New Roman"/>
          <w:sz w:val="24"/>
          <w:szCs w:val="24"/>
        </w:rPr>
        <w:t>.</w:t>
      </w:r>
      <w:r w:rsidR="008F0C3E">
        <w:rPr>
          <w:rFonts w:ascii="Times New Roman" w:hAnsi="Times New Roman"/>
          <w:sz w:val="24"/>
          <w:szCs w:val="24"/>
        </w:rPr>
        <w:t xml:space="preserve"> </w:t>
      </w:r>
      <w:r w:rsidRPr="0013483B">
        <w:rPr>
          <w:rFonts w:ascii="Times New Roman" w:hAnsi="Times New Roman"/>
          <w:sz w:val="24"/>
          <w:szCs w:val="24"/>
        </w:rPr>
        <w:t>Announcements of funding decisions are usually</w:t>
      </w:r>
      <w:r w:rsidRPr="0013483B" w:rsidR="006911FC">
        <w:rPr>
          <w:rFonts w:ascii="Times New Roman" w:hAnsi="Times New Roman"/>
          <w:sz w:val="24"/>
          <w:szCs w:val="24"/>
        </w:rPr>
        <w:t xml:space="preserve"> </w:t>
      </w:r>
      <w:r w:rsidRPr="0013483B">
        <w:rPr>
          <w:rFonts w:ascii="Times New Roman" w:hAnsi="Times New Roman"/>
          <w:sz w:val="24"/>
          <w:szCs w:val="24"/>
        </w:rPr>
        <w:t xml:space="preserve">made by October, or as soon as possible in the fiscal year after </w:t>
      </w:r>
      <w:r w:rsidR="003D231C">
        <w:rPr>
          <w:rFonts w:ascii="Times New Roman" w:hAnsi="Times New Roman"/>
          <w:sz w:val="24"/>
          <w:szCs w:val="24"/>
        </w:rPr>
        <w:t xml:space="preserve">HRSA’s </w:t>
      </w:r>
      <w:r w:rsidRPr="0013483B">
        <w:rPr>
          <w:rFonts w:ascii="Times New Roman" w:hAnsi="Times New Roman"/>
          <w:sz w:val="24"/>
          <w:szCs w:val="24"/>
        </w:rPr>
        <w:t>MCHB receives the</w:t>
      </w:r>
      <w:r w:rsidRPr="0013483B" w:rsidR="00C82EB3">
        <w:rPr>
          <w:rFonts w:ascii="Times New Roman" w:hAnsi="Times New Roman"/>
          <w:sz w:val="24"/>
          <w:szCs w:val="24"/>
        </w:rPr>
        <w:t xml:space="preserve"> </w:t>
      </w:r>
      <w:r w:rsidRPr="0013483B">
        <w:rPr>
          <w:rFonts w:ascii="Times New Roman" w:hAnsi="Times New Roman"/>
          <w:sz w:val="24"/>
          <w:szCs w:val="24"/>
        </w:rPr>
        <w:t>appropriation.</w:t>
      </w:r>
    </w:p>
    <w:p w:rsidR="00C679A3" w:rsidRPr="00E371A6" w:rsidP="00626F67" w14:paraId="7EB7EBC6" w14:textId="77777777">
      <w:pPr>
        <w:autoSpaceDE w:val="0"/>
        <w:autoSpaceDN w:val="0"/>
        <w:adjustRightInd w:val="0"/>
        <w:spacing w:after="0" w:line="240" w:lineRule="auto"/>
        <w:ind w:left="720"/>
        <w:rPr>
          <w:rFonts w:ascii="Times New Roman" w:hAnsi="Times New Roman"/>
          <w:color w:val="31849B"/>
          <w:sz w:val="24"/>
          <w:szCs w:val="24"/>
        </w:rPr>
      </w:pPr>
    </w:p>
    <w:p w:rsidR="00DF2B97" w:rsidP="00626F67" w14:paraId="597AD1DE" w14:textId="434E68F2">
      <w:pPr>
        <w:autoSpaceDE w:val="0"/>
        <w:autoSpaceDN w:val="0"/>
        <w:adjustRightInd w:val="0"/>
        <w:spacing w:after="0" w:line="240" w:lineRule="auto"/>
        <w:ind w:left="720"/>
        <w:rPr>
          <w:rFonts w:ascii="Times New Roman" w:hAnsi="Times New Roman"/>
          <w:sz w:val="24"/>
          <w:szCs w:val="24"/>
        </w:rPr>
      </w:pPr>
      <w:r w:rsidRPr="00760A6D">
        <w:rPr>
          <w:rFonts w:ascii="Times New Roman" w:hAnsi="Times New Roman"/>
          <w:sz w:val="24"/>
          <w:szCs w:val="24"/>
        </w:rPr>
        <w:t xml:space="preserve">Aggregation of data from </w:t>
      </w:r>
      <w:r w:rsidRPr="00760A6D" w:rsidR="0058746D">
        <w:rPr>
          <w:rFonts w:ascii="Times New Roman" w:hAnsi="Times New Roman"/>
          <w:sz w:val="24"/>
          <w:szCs w:val="24"/>
        </w:rPr>
        <w:t>the A</w:t>
      </w:r>
      <w:r w:rsidRPr="00760A6D">
        <w:rPr>
          <w:rFonts w:ascii="Times New Roman" w:hAnsi="Times New Roman"/>
          <w:sz w:val="24"/>
          <w:szCs w:val="24"/>
        </w:rPr>
        <w:t xml:space="preserve">nnual </w:t>
      </w:r>
      <w:r w:rsidRPr="00760A6D" w:rsidR="0058746D">
        <w:rPr>
          <w:rFonts w:ascii="Times New Roman" w:hAnsi="Times New Roman"/>
          <w:sz w:val="24"/>
          <w:szCs w:val="24"/>
        </w:rPr>
        <w:t>R</w:t>
      </w:r>
      <w:r w:rsidRPr="00760A6D">
        <w:rPr>
          <w:rFonts w:ascii="Times New Roman" w:hAnsi="Times New Roman"/>
          <w:sz w:val="24"/>
          <w:szCs w:val="24"/>
        </w:rPr>
        <w:t>eports</w:t>
      </w:r>
      <w:r w:rsidRPr="00760A6D" w:rsidR="00915CF8">
        <w:rPr>
          <w:rFonts w:ascii="Times New Roman" w:hAnsi="Times New Roman"/>
          <w:sz w:val="24"/>
          <w:szCs w:val="24"/>
        </w:rPr>
        <w:t xml:space="preserve"> will begin each year in </w:t>
      </w:r>
      <w:r w:rsidR="00F41BAC">
        <w:rPr>
          <w:rFonts w:ascii="Times New Roman" w:hAnsi="Times New Roman"/>
          <w:sz w:val="24"/>
          <w:szCs w:val="24"/>
        </w:rPr>
        <w:t>the</w:t>
      </w:r>
      <w:r w:rsidRPr="00760A6D" w:rsidR="00F41BAC">
        <w:rPr>
          <w:rFonts w:ascii="Times New Roman" w:hAnsi="Times New Roman"/>
          <w:sz w:val="24"/>
          <w:szCs w:val="24"/>
        </w:rPr>
        <w:t xml:space="preserve"> </w:t>
      </w:r>
      <w:r w:rsidRPr="00760A6D" w:rsidR="00915CF8">
        <w:rPr>
          <w:rFonts w:ascii="Times New Roman" w:hAnsi="Times New Roman"/>
          <w:sz w:val="24"/>
          <w:szCs w:val="24"/>
        </w:rPr>
        <w:t>F</w:t>
      </w:r>
      <w:r w:rsidRPr="00760A6D">
        <w:rPr>
          <w:rFonts w:ascii="Times New Roman" w:hAnsi="Times New Roman"/>
          <w:sz w:val="24"/>
          <w:szCs w:val="24"/>
        </w:rPr>
        <w:t>all after receipt of the</w:t>
      </w:r>
      <w:r w:rsidRPr="00760A6D" w:rsidR="00BE3AF3">
        <w:rPr>
          <w:rFonts w:ascii="Times New Roman" w:hAnsi="Times New Roman"/>
          <w:sz w:val="24"/>
          <w:szCs w:val="24"/>
        </w:rPr>
        <w:t xml:space="preserve"> </w:t>
      </w:r>
      <w:r w:rsidR="007F2D07">
        <w:rPr>
          <w:rFonts w:ascii="Times New Roman" w:hAnsi="Times New Roman"/>
          <w:sz w:val="24"/>
          <w:szCs w:val="24"/>
        </w:rPr>
        <w:t>reports from s</w:t>
      </w:r>
      <w:r w:rsidRPr="00760A6D">
        <w:rPr>
          <w:rFonts w:ascii="Times New Roman" w:hAnsi="Times New Roman"/>
          <w:sz w:val="24"/>
          <w:szCs w:val="24"/>
        </w:rPr>
        <w:t>tates.</w:t>
      </w:r>
      <w:r w:rsidR="00F41BAC">
        <w:rPr>
          <w:rFonts w:ascii="Times New Roman" w:hAnsi="Times New Roman"/>
          <w:sz w:val="24"/>
          <w:szCs w:val="24"/>
        </w:rPr>
        <w:t xml:space="preserve"> Public w</w:t>
      </w:r>
      <w:r w:rsidRPr="00760A6D" w:rsidR="00755624">
        <w:rPr>
          <w:rFonts w:ascii="Times New Roman" w:hAnsi="Times New Roman"/>
          <w:sz w:val="24"/>
          <w:szCs w:val="24"/>
        </w:rPr>
        <w:t xml:space="preserve">eb-based display of the </w:t>
      </w:r>
      <w:r w:rsidR="007F2D07">
        <w:rPr>
          <w:rFonts w:ascii="Times New Roman" w:hAnsi="Times New Roman"/>
          <w:sz w:val="24"/>
          <w:szCs w:val="24"/>
        </w:rPr>
        <w:t>s</w:t>
      </w:r>
      <w:r w:rsidRPr="00760A6D" w:rsidR="00755624">
        <w:rPr>
          <w:rFonts w:ascii="Times New Roman" w:hAnsi="Times New Roman"/>
          <w:sz w:val="24"/>
          <w:szCs w:val="24"/>
        </w:rPr>
        <w:t>tates’ annual submissi</w:t>
      </w:r>
      <w:r w:rsidR="00B46C31">
        <w:rPr>
          <w:rFonts w:ascii="Times New Roman" w:hAnsi="Times New Roman"/>
          <w:sz w:val="24"/>
          <w:szCs w:val="24"/>
        </w:rPr>
        <w:t>on of the</w:t>
      </w:r>
      <w:r w:rsidRPr="00760A6D" w:rsidR="00755624">
        <w:rPr>
          <w:rFonts w:ascii="Times New Roman" w:hAnsi="Times New Roman"/>
          <w:sz w:val="24"/>
          <w:szCs w:val="24"/>
        </w:rPr>
        <w:t xml:space="preserve"> </w:t>
      </w:r>
      <w:r w:rsidR="003125E8">
        <w:rPr>
          <w:rFonts w:ascii="Times New Roman" w:hAnsi="Times New Roman"/>
          <w:sz w:val="24"/>
          <w:szCs w:val="24"/>
        </w:rPr>
        <w:t xml:space="preserve">MCH </w:t>
      </w:r>
      <w:r w:rsidRPr="00760A6D" w:rsidR="00755624">
        <w:rPr>
          <w:rFonts w:ascii="Times New Roman" w:hAnsi="Times New Roman"/>
          <w:sz w:val="24"/>
          <w:szCs w:val="24"/>
        </w:rPr>
        <w:t>Block Grant Applications</w:t>
      </w:r>
      <w:r w:rsidR="003125E8">
        <w:rPr>
          <w:rFonts w:ascii="Times New Roman" w:hAnsi="Times New Roman"/>
          <w:sz w:val="24"/>
          <w:szCs w:val="24"/>
        </w:rPr>
        <w:t>/</w:t>
      </w:r>
      <w:r w:rsidRPr="00760A6D" w:rsidR="00755624">
        <w:rPr>
          <w:rFonts w:ascii="Times New Roman" w:hAnsi="Times New Roman"/>
          <w:sz w:val="24"/>
          <w:szCs w:val="24"/>
        </w:rPr>
        <w:t>Annual Reports generally occur</w:t>
      </w:r>
      <w:r w:rsidR="003D231C">
        <w:rPr>
          <w:rFonts w:ascii="Times New Roman" w:hAnsi="Times New Roman"/>
          <w:sz w:val="24"/>
          <w:szCs w:val="24"/>
        </w:rPr>
        <w:t>s</w:t>
      </w:r>
      <w:r w:rsidRPr="00760A6D" w:rsidR="00755624">
        <w:rPr>
          <w:rFonts w:ascii="Times New Roman" w:hAnsi="Times New Roman"/>
          <w:sz w:val="24"/>
          <w:szCs w:val="24"/>
        </w:rPr>
        <w:t xml:space="preserve"> </w:t>
      </w:r>
      <w:r w:rsidR="008F0C3E">
        <w:rPr>
          <w:rFonts w:ascii="Times New Roman" w:hAnsi="Times New Roman"/>
          <w:sz w:val="24"/>
          <w:szCs w:val="24"/>
        </w:rPr>
        <w:t xml:space="preserve">by </w:t>
      </w:r>
      <w:r w:rsidR="00B66D9C">
        <w:rPr>
          <w:rFonts w:ascii="Times New Roman" w:hAnsi="Times New Roman"/>
          <w:sz w:val="24"/>
          <w:szCs w:val="24"/>
        </w:rPr>
        <w:t>mid-</w:t>
      </w:r>
      <w:r w:rsidRPr="00760A6D" w:rsidR="00755624">
        <w:rPr>
          <w:rFonts w:ascii="Times New Roman" w:hAnsi="Times New Roman"/>
          <w:sz w:val="24"/>
          <w:szCs w:val="24"/>
        </w:rPr>
        <w:t>November.</w:t>
      </w:r>
    </w:p>
    <w:p w:rsidR="00F41BAC" w:rsidP="00626F67" w14:paraId="1B15CA4E" w14:textId="1DD558FD">
      <w:pPr>
        <w:autoSpaceDE w:val="0"/>
        <w:autoSpaceDN w:val="0"/>
        <w:adjustRightInd w:val="0"/>
        <w:spacing w:after="0" w:line="240" w:lineRule="auto"/>
        <w:ind w:left="720"/>
        <w:rPr>
          <w:rFonts w:ascii="Times New Roman" w:hAnsi="Times New Roman"/>
          <w:sz w:val="24"/>
          <w:szCs w:val="24"/>
        </w:rPr>
      </w:pPr>
    </w:p>
    <w:p w:rsidR="00F41BAC" w:rsidP="00626F67" w14:paraId="1CC3917E" w14:textId="68D05EFA">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Data collected from each state’s MCH Block Grant Application/Annual Report provide key financial, programmatic, and performance measure data to assess a state’s progress in addressing its priority needs in assuring access to quality care of its MCH populations.  Reporting on performance measures is used to assess national progress in key MCH priority areas and to facilitate the Bureau’s annual GPRA reporting. These data are made available for use by </w:t>
      </w:r>
      <w:r w:rsidR="00A15C2C">
        <w:rPr>
          <w:rFonts w:ascii="Times New Roman" w:hAnsi="Times New Roman"/>
          <w:sz w:val="24"/>
          <w:szCs w:val="24"/>
        </w:rPr>
        <w:t xml:space="preserve">the public, </w:t>
      </w:r>
      <w:r>
        <w:rPr>
          <w:rFonts w:ascii="Times New Roman" w:hAnsi="Times New Roman"/>
          <w:sz w:val="24"/>
          <w:szCs w:val="24"/>
        </w:rPr>
        <w:t>researchers, universities, and other stakeholders interested in MCH populations.</w:t>
      </w:r>
    </w:p>
    <w:p w:rsidR="00832851" w:rsidP="001E78DC" w14:paraId="68A54441" w14:textId="1AC661DB">
      <w:pPr>
        <w:autoSpaceDE w:val="0"/>
        <w:autoSpaceDN w:val="0"/>
        <w:adjustRightInd w:val="0"/>
        <w:spacing w:after="0" w:line="240" w:lineRule="auto"/>
        <w:ind w:left="720"/>
        <w:rPr>
          <w:rFonts w:ascii="Times New Roman" w:hAnsi="Times New Roman"/>
          <w:b/>
          <w:bCs/>
          <w:color w:val="31849B"/>
          <w:sz w:val="24"/>
          <w:szCs w:val="24"/>
        </w:rPr>
      </w:pPr>
      <w:r>
        <w:rPr>
          <w:rFonts w:ascii="Times New Roman" w:hAnsi="Times New Roman"/>
          <w:sz w:val="24"/>
          <w:szCs w:val="24"/>
        </w:rPr>
        <w:t xml:space="preserve"> </w:t>
      </w:r>
    </w:p>
    <w:p w:rsidR="00C679A3" w:rsidRPr="0013483B" w:rsidP="00626F67" w14:paraId="39E68272" w14:textId="71D0A929">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17. </w:t>
      </w:r>
      <w:r w:rsidRPr="0013483B" w:rsidR="00BE3AF3">
        <w:rPr>
          <w:rFonts w:ascii="Times New Roman" w:hAnsi="Times New Roman"/>
          <w:b/>
          <w:bCs/>
          <w:sz w:val="24"/>
          <w:szCs w:val="24"/>
        </w:rPr>
        <w:tab/>
      </w:r>
      <w:r w:rsidR="00926CE1">
        <w:rPr>
          <w:rFonts w:ascii="Times New Roman" w:hAnsi="Times New Roman"/>
          <w:b/>
          <w:bCs/>
          <w:sz w:val="24"/>
          <w:szCs w:val="24"/>
        </w:rPr>
        <w:t xml:space="preserve">Reasons(s) Display of OMB Exemption Date is Inappropriate </w:t>
      </w:r>
    </w:p>
    <w:p w:rsidR="00915CF8" w:rsidRPr="0013483B" w:rsidP="00626F67" w14:paraId="5B27220F" w14:textId="77777777">
      <w:pPr>
        <w:autoSpaceDE w:val="0"/>
        <w:autoSpaceDN w:val="0"/>
        <w:adjustRightInd w:val="0"/>
        <w:spacing w:after="0" w:line="240" w:lineRule="auto"/>
        <w:rPr>
          <w:rFonts w:ascii="Times New Roman" w:hAnsi="Times New Roman"/>
          <w:b/>
          <w:bCs/>
          <w:sz w:val="24"/>
          <w:szCs w:val="24"/>
        </w:rPr>
      </w:pPr>
    </w:p>
    <w:p w:rsidR="00CB509A" w:rsidRPr="0013483B" w:rsidP="00626F67" w14:paraId="075280B4"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The expiration date will be displayed.</w:t>
      </w:r>
    </w:p>
    <w:p w:rsidR="00C679A3" w:rsidRPr="0013483B" w:rsidP="00626F67" w14:paraId="03203869" w14:textId="77777777">
      <w:pPr>
        <w:autoSpaceDE w:val="0"/>
        <w:autoSpaceDN w:val="0"/>
        <w:adjustRightInd w:val="0"/>
        <w:spacing w:after="0" w:line="240" w:lineRule="auto"/>
        <w:rPr>
          <w:rFonts w:ascii="Times New Roman" w:hAnsi="Times New Roman"/>
          <w:sz w:val="24"/>
          <w:szCs w:val="24"/>
        </w:rPr>
      </w:pPr>
    </w:p>
    <w:p w:rsidR="00CB509A" w:rsidRPr="0013483B" w:rsidP="00626F67" w14:paraId="0620BE68" w14:textId="77777777">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18. </w:t>
      </w:r>
      <w:r w:rsidRPr="0013483B" w:rsidR="00BE3AF3">
        <w:rPr>
          <w:rFonts w:ascii="Times New Roman" w:hAnsi="Times New Roman"/>
          <w:b/>
          <w:bCs/>
          <w:sz w:val="24"/>
          <w:szCs w:val="24"/>
        </w:rPr>
        <w:tab/>
      </w:r>
      <w:r w:rsidRPr="0013483B" w:rsidR="004E00F2">
        <w:rPr>
          <w:rFonts w:ascii="Times New Roman" w:hAnsi="Times New Roman"/>
          <w:b/>
          <w:bCs/>
          <w:sz w:val="24"/>
          <w:szCs w:val="24"/>
        </w:rPr>
        <w:t xml:space="preserve">EXCEPTIONS TO </w:t>
      </w:r>
      <w:r w:rsidRPr="0013483B">
        <w:rPr>
          <w:rFonts w:ascii="Times New Roman" w:hAnsi="Times New Roman"/>
          <w:b/>
          <w:bCs/>
          <w:sz w:val="24"/>
          <w:szCs w:val="24"/>
        </w:rPr>
        <w:t>CERTIFICATION</w:t>
      </w:r>
      <w:r w:rsidRPr="0013483B" w:rsidR="004E00F2">
        <w:rPr>
          <w:rFonts w:ascii="Times New Roman" w:hAnsi="Times New Roman"/>
          <w:b/>
          <w:bCs/>
          <w:sz w:val="24"/>
          <w:szCs w:val="24"/>
        </w:rPr>
        <w:t xml:space="preserve"> FOR PAPERWORK REDUCTION ACT SUBMISSIONS</w:t>
      </w:r>
    </w:p>
    <w:p w:rsidR="006911FC" w:rsidRPr="0013483B" w:rsidP="00626F67" w14:paraId="31356058" w14:textId="77777777">
      <w:pPr>
        <w:autoSpaceDE w:val="0"/>
        <w:autoSpaceDN w:val="0"/>
        <w:adjustRightInd w:val="0"/>
        <w:spacing w:after="0" w:line="240" w:lineRule="auto"/>
        <w:rPr>
          <w:rFonts w:ascii="Times New Roman" w:hAnsi="Times New Roman"/>
          <w:sz w:val="24"/>
          <w:szCs w:val="24"/>
        </w:rPr>
      </w:pPr>
    </w:p>
    <w:p w:rsidR="00D373AE" w:rsidRPr="001F4F58" w:rsidP="00CC7D3E" w14:paraId="7E295156" w14:textId="660CF815">
      <w:pPr>
        <w:autoSpaceDE w:val="0"/>
        <w:autoSpaceDN w:val="0"/>
        <w:adjustRightInd w:val="0"/>
        <w:spacing w:after="0" w:line="240" w:lineRule="auto"/>
        <w:ind w:left="720"/>
        <w:rPr>
          <w:rFonts w:ascii="Times New Roman" w:hAnsi="Times New Roman"/>
          <w:i/>
          <w:sz w:val="24"/>
          <w:szCs w:val="24"/>
        </w:rPr>
      </w:pPr>
      <w:r w:rsidRPr="0013483B">
        <w:rPr>
          <w:rFonts w:ascii="Times New Roman" w:hAnsi="Times New Roman"/>
          <w:sz w:val="24"/>
          <w:szCs w:val="24"/>
        </w:rPr>
        <w:t>This project meets all of the requirements in 5 CFR 1320.9. The certifications are included in</w:t>
      </w:r>
      <w:r w:rsidRPr="0013483B" w:rsidR="00BE3AF3">
        <w:rPr>
          <w:rFonts w:ascii="Times New Roman" w:hAnsi="Times New Roman"/>
          <w:sz w:val="24"/>
          <w:szCs w:val="24"/>
        </w:rPr>
        <w:t xml:space="preserve"> </w:t>
      </w:r>
      <w:r w:rsidRPr="0013483B">
        <w:rPr>
          <w:rFonts w:ascii="Times New Roman" w:hAnsi="Times New Roman"/>
          <w:sz w:val="24"/>
          <w:szCs w:val="24"/>
        </w:rPr>
        <w:t>the package.</w:t>
      </w:r>
    </w:p>
    <w:sectPr w:rsidSect="004E336F">
      <w:footerReference w:type="default" r:id="rId16"/>
      <w:footnotePr>
        <w:pos w:val="beneathText"/>
      </w:footnote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648" w14:paraId="299A3795" w14:textId="5A7B6427">
    <w:pPr>
      <w:pStyle w:val="Footer"/>
      <w:jc w:val="center"/>
    </w:pPr>
    <w:r>
      <w:fldChar w:fldCharType="begin"/>
    </w:r>
    <w:r>
      <w:instrText xml:space="preserve"> PAGE   \* MERGEFORMAT </w:instrText>
    </w:r>
    <w:r>
      <w:fldChar w:fldCharType="separate"/>
    </w:r>
    <w:r w:rsidR="00A26DEF">
      <w:rPr>
        <w:noProof/>
      </w:rPr>
      <w:t>12</w:t>
    </w:r>
    <w:r>
      <w:fldChar w:fldCharType="end"/>
    </w:r>
  </w:p>
  <w:p w:rsidR="00221648" w14:paraId="1C5326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24E2" w:rsidP="000962DF" w14:paraId="3AC5290D" w14:textId="77777777">
      <w:pPr>
        <w:spacing w:after="0" w:line="240" w:lineRule="auto"/>
      </w:pPr>
      <w:r>
        <w:separator/>
      </w:r>
    </w:p>
  </w:footnote>
  <w:footnote w:type="continuationSeparator" w:id="1">
    <w:p w:rsidR="008C24E2" w:rsidP="000962DF" w14:paraId="6BAEE090" w14:textId="77777777">
      <w:pPr>
        <w:spacing w:after="0" w:line="240" w:lineRule="auto"/>
      </w:pPr>
      <w:r>
        <w:continuationSeparator/>
      </w:r>
    </w:p>
  </w:footnote>
  <w:footnote w:id="2">
    <w:p w:rsidR="009363E4" w14:paraId="4C9751F1" w14:textId="76649ED2">
      <w:pPr>
        <w:pStyle w:val="FootnoteText"/>
      </w:pPr>
      <w:r>
        <w:rPr>
          <w:rStyle w:val="FootnoteReference"/>
        </w:rPr>
        <w:footnoteRef/>
      </w:r>
      <w:r>
        <w:t xml:space="preserve"> </w:t>
      </w:r>
      <w:r w:rsidR="00F9236F">
        <w:t xml:space="preserve">Hourly wage rate is from </w:t>
      </w:r>
      <w:r w:rsidRPr="001E78DC" w:rsidR="00F9236F">
        <w:rPr>
          <w:rFonts w:asciiTheme="minorHAnsi" w:hAnsiTheme="minorHAnsi" w:cstheme="minorHAnsi"/>
          <w:bCs/>
        </w:rPr>
        <w:t xml:space="preserve">Bureau of Labor Statistics, Occupational Employment and Wages </w:t>
      </w:r>
      <w:hyperlink r:id="rId1" w:history="1">
        <w:r w:rsidRPr="001E78DC" w:rsidR="00F9236F">
          <w:rPr>
            <w:rStyle w:val="Hyperlink"/>
            <w:rFonts w:asciiTheme="minorHAnsi" w:hAnsiTheme="minorHAnsi" w:cstheme="minorHAnsi"/>
            <w:bCs/>
          </w:rPr>
          <w:t>https://www.bls.gov/oes/current/oes119111.htm</w:t>
        </w:r>
      </w:hyperlink>
      <w:r w:rsidRPr="00F9236F" w:rsidR="00F9236F">
        <w:rPr>
          <w:rFonts w:asciiTheme="minorHAnsi" w:hAnsiTheme="minorHAnsi" w:cstheme="minorHAnsi"/>
          <w:bCs/>
        </w:rPr>
        <w:t xml:space="preserve">. </w:t>
      </w:r>
      <w:r w:rsidRPr="00F9236F" w:rsidR="00F9236F">
        <w:rPr>
          <w:rFonts w:asciiTheme="minorHAnsi" w:hAnsiTheme="minorHAnsi" w:cstheme="minorHAnsi"/>
        </w:rPr>
        <w:t>Salaries</w:t>
      </w:r>
      <w:r w:rsidRPr="00F9236F">
        <w:rPr>
          <w:rFonts w:asciiTheme="minorHAnsi" w:hAnsiTheme="minorHAnsi" w:cstheme="minorHAnsi"/>
        </w:rPr>
        <w:t xml:space="preserve"> have</w:t>
      </w:r>
      <w:r w:rsidRPr="00F41571">
        <w:rPr>
          <w:rFonts w:asciiTheme="minorHAnsi" w:hAnsiTheme="minorHAnsi" w:cstheme="minorHAnsi"/>
        </w:rPr>
        <w:t xml:space="preserve"> been </w:t>
      </w:r>
      <w:r w:rsidR="00F9236F">
        <w:rPr>
          <w:rFonts w:asciiTheme="minorHAnsi" w:hAnsiTheme="minorHAnsi" w:cstheme="minorHAnsi"/>
        </w:rPr>
        <w:t>doubled</w:t>
      </w:r>
      <w:r w:rsidRPr="00F41571">
        <w:rPr>
          <w:rFonts w:asciiTheme="minorHAnsi" w:hAnsiTheme="minorHAnsi" w:cstheme="minorHAnsi"/>
        </w:rPr>
        <w:t xml:space="preserve"> to account for overhead</w:t>
      </w:r>
      <w:r w:rsidR="00226CE2">
        <w:rPr>
          <w:rFonts w:asciiTheme="minorHAnsi" w:hAnsiTheme="minorHAnsi" w:cstheme="minorHAnsi"/>
        </w:rPr>
        <w:t xml:space="preserve"> costs.</w:t>
      </w:r>
    </w:p>
  </w:footnote>
  <w:footnote w:id="3">
    <w:p w:rsidR="001853E0" w:rsidP="001853E0" w14:paraId="4D48388C" w14:textId="6E6B05E6">
      <w:pPr>
        <w:pStyle w:val="FootnoteText"/>
      </w:pPr>
      <w:r w:rsidRPr="001E78DC">
        <w:rPr>
          <w:rStyle w:val="FootnoteReference"/>
          <w:rFonts w:asciiTheme="minorHAnsi" w:hAnsiTheme="minorHAnsi" w:cstheme="minorHAnsi"/>
        </w:rPr>
        <w:footnoteRef/>
      </w:r>
      <w:r w:rsidRPr="001E78DC">
        <w:rPr>
          <w:rFonts w:asciiTheme="minorHAnsi" w:hAnsiTheme="minorHAnsi" w:cstheme="minorHAnsi"/>
        </w:rPr>
        <w:t xml:space="preserve"> The rate used is a base rate according to the OPM salary table for 2023-</w:t>
      </w:r>
      <w:r w:rsidRPr="001E78DC" w:rsidR="00371855">
        <w:rPr>
          <w:rFonts w:asciiTheme="minorHAnsi" w:hAnsiTheme="minorHAnsi" w:cstheme="minorHAnsi"/>
        </w:rPr>
        <w:t>DCB</w:t>
      </w:r>
      <w:r w:rsidRPr="001E78DC">
        <w:rPr>
          <w:rFonts w:asciiTheme="minorHAnsi" w:hAnsiTheme="minorHAnsi" w:cstheme="minorHAnsi"/>
        </w:rPr>
        <w:t xml:space="preserve"> (annual rates and step) </w:t>
      </w:r>
      <w:hyperlink r:id="rId2" w:history="1">
        <w:r w:rsidRPr="001E78DC" w:rsidR="00371855">
          <w:rPr>
            <w:rStyle w:val="Hyperlink"/>
            <w:rFonts w:asciiTheme="minorHAnsi" w:hAnsiTheme="minorHAnsi" w:cstheme="minorHAnsi"/>
          </w:rPr>
          <w:t>https://www.opm.gov/policy-data-oversight/pay-leave/salaries-wages/salary-tables/pdf/2023/DCB.pdf</w:t>
        </w:r>
      </w:hyperlink>
      <w:r w:rsidRPr="001E78DC" w:rsidR="00371855">
        <w:rPr>
          <w:rFonts w:asciiTheme="minorHAnsi" w:hAnsiTheme="minorHAnsi" w:cstheme="minorHAnsi"/>
        </w:rPr>
        <w:t xml:space="preserve">). </w:t>
      </w:r>
      <w:r w:rsidRPr="001E78DC">
        <w:rPr>
          <w:rFonts w:asciiTheme="minorHAnsi" w:hAnsiTheme="minorHAnsi" w:cstheme="minorHAnsi"/>
        </w:rPr>
        <w:t xml:space="preserve">Salaries have been </w:t>
      </w:r>
      <w:r w:rsidRPr="001E78DC" w:rsidR="00371855">
        <w:rPr>
          <w:rFonts w:asciiTheme="minorHAnsi" w:hAnsiTheme="minorHAnsi" w:cstheme="minorHAnsi"/>
        </w:rPr>
        <w:t>multiplied by 1.5</w:t>
      </w:r>
      <w:r w:rsidR="00226CE2">
        <w:rPr>
          <w:rFonts w:asciiTheme="minorHAnsi" w:hAnsiTheme="minorHAnsi" w:cstheme="minorHAnsi"/>
        </w:rPr>
        <w:t xml:space="preserve"> to account for overhead costs</w:t>
      </w:r>
      <w:r w:rsidRPr="001E78DC">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239"/>
    <w:multiLevelType w:val="hybridMultilevel"/>
    <w:tmpl w:val="477A9186"/>
    <w:lvl w:ilvl="0">
      <w:start w:val="1"/>
      <w:numFmt w:val="bullet"/>
      <w:lvlText w:val=""/>
      <w:lvlJc w:val="left"/>
      <w:pPr>
        <w:ind w:left="216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12E6917"/>
    <w:multiLevelType w:val="hybridMultilevel"/>
    <w:tmpl w:val="AFF254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B73F9C"/>
    <w:multiLevelType w:val="hybridMultilevel"/>
    <w:tmpl w:val="EE862C9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068F57F0"/>
    <w:multiLevelType w:val="hybridMultilevel"/>
    <w:tmpl w:val="27AC61F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3F5C85"/>
    <w:multiLevelType w:val="hybridMultilevel"/>
    <w:tmpl w:val="4B88186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16E92506"/>
    <w:multiLevelType w:val="hybridMultilevel"/>
    <w:tmpl w:val="042E9EB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2B93732D"/>
    <w:multiLevelType w:val="hybridMultilevel"/>
    <w:tmpl w:val="C1B23F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7F74623"/>
    <w:multiLevelType w:val="hybridMultilevel"/>
    <w:tmpl w:val="02F86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9E7170"/>
    <w:multiLevelType w:val="hybridMultilevel"/>
    <w:tmpl w:val="30A0C4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C45C77"/>
    <w:multiLevelType w:val="hybridMultilevel"/>
    <w:tmpl w:val="37144D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69E6694"/>
    <w:multiLevelType w:val="hybridMultilevel"/>
    <w:tmpl w:val="26DE83FE"/>
    <w:lvl w:ilvl="0">
      <w:start w:val="1"/>
      <w:numFmt w:val="bullet"/>
      <w:lvlText w:val=""/>
      <w:lvlJc w:val="left"/>
      <w:pPr>
        <w:ind w:left="144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7850F23"/>
    <w:multiLevelType w:val="hybridMultilevel"/>
    <w:tmpl w:val="EDFEBE5E"/>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12">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EC1978"/>
    <w:multiLevelType w:val="hybridMultilevel"/>
    <w:tmpl w:val="93EEA6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EA012D9"/>
    <w:multiLevelType w:val="hybridMultilevel"/>
    <w:tmpl w:val="99BEB3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4877CBB"/>
    <w:multiLevelType w:val="hybridMultilevel"/>
    <w:tmpl w:val="A9DCE4F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9D41F5"/>
    <w:multiLevelType w:val="hybridMultilevel"/>
    <w:tmpl w:val="3544C87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7">
    <w:nsid w:val="58266455"/>
    <w:multiLevelType w:val="hybridMultilevel"/>
    <w:tmpl w:val="BE30CC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9B34C3E"/>
    <w:multiLevelType w:val="hybridMultilevel"/>
    <w:tmpl w:val="10D89D2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8186193">
    <w:abstractNumId w:val="18"/>
  </w:num>
  <w:num w:numId="2" w16cid:durableId="122577093">
    <w:abstractNumId w:val="1"/>
  </w:num>
  <w:num w:numId="3" w16cid:durableId="792138119">
    <w:abstractNumId w:val="11"/>
  </w:num>
  <w:num w:numId="4" w16cid:durableId="2074307163">
    <w:abstractNumId w:val="3"/>
  </w:num>
  <w:num w:numId="5" w16cid:durableId="1874465623">
    <w:abstractNumId w:val="14"/>
  </w:num>
  <w:num w:numId="6" w16cid:durableId="1719433275">
    <w:abstractNumId w:val="7"/>
  </w:num>
  <w:num w:numId="7" w16cid:durableId="1613249448">
    <w:abstractNumId w:val="17"/>
  </w:num>
  <w:num w:numId="8" w16cid:durableId="1494641290">
    <w:abstractNumId w:val="10"/>
  </w:num>
  <w:num w:numId="9" w16cid:durableId="692389711">
    <w:abstractNumId w:val="16"/>
  </w:num>
  <w:num w:numId="10" w16cid:durableId="93481190">
    <w:abstractNumId w:val="13"/>
  </w:num>
  <w:num w:numId="11" w16cid:durableId="1766152450">
    <w:abstractNumId w:val="9"/>
  </w:num>
  <w:num w:numId="12" w16cid:durableId="659163260">
    <w:abstractNumId w:val="0"/>
  </w:num>
  <w:num w:numId="13" w16cid:durableId="918828143">
    <w:abstractNumId w:val="8"/>
  </w:num>
  <w:num w:numId="14" w16cid:durableId="850408657">
    <w:abstractNumId w:val="15"/>
  </w:num>
  <w:num w:numId="15" w16cid:durableId="507714415">
    <w:abstractNumId w:val="6"/>
  </w:num>
  <w:num w:numId="16" w16cid:durableId="78986684">
    <w:abstractNumId w:val="2"/>
  </w:num>
  <w:num w:numId="17" w16cid:durableId="1614358198">
    <w:abstractNumId w:val="4"/>
  </w:num>
  <w:num w:numId="18" w16cid:durableId="1262030125">
    <w:abstractNumId w:val="1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9" w16cid:durableId="94149537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9A"/>
    <w:rsid w:val="00000F6D"/>
    <w:rsid w:val="00001D6F"/>
    <w:rsid w:val="00002BDA"/>
    <w:rsid w:val="0000381E"/>
    <w:rsid w:val="00004454"/>
    <w:rsid w:val="000044FA"/>
    <w:rsid w:val="00004B68"/>
    <w:rsid w:val="00005D7A"/>
    <w:rsid w:val="00007CAB"/>
    <w:rsid w:val="000101AB"/>
    <w:rsid w:val="00011681"/>
    <w:rsid w:val="000122AB"/>
    <w:rsid w:val="00012AD3"/>
    <w:rsid w:val="00012CA7"/>
    <w:rsid w:val="00012F7C"/>
    <w:rsid w:val="00013ACF"/>
    <w:rsid w:val="00013C54"/>
    <w:rsid w:val="00013EF4"/>
    <w:rsid w:val="000146D9"/>
    <w:rsid w:val="000149BD"/>
    <w:rsid w:val="00014C01"/>
    <w:rsid w:val="00014CB2"/>
    <w:rsid w:val="0001618B"/>
    <w:rsid w:val="00016DED"/>
    <w:rsid w:val="000201E6"/>
    <w:rsid w:val="000231E9"/>
    <w:rsid w:val="00023DC7"/>
    <w:rsid w:val="00024622"/>
    <w:rsid w:val="00024DDF"/>
    <w:rsid w:val="00025278"/>
    <w:rsid w:val="000256C9"/>
    <w:rsid w:val="000266A5"/>
    <w:rsid w:val="000275DB"/>
    <w:rsid w:val="00030DA1"/>
    <w:rsid w:val="000311DA"/>
    <w:rsid w:val="00033A80"/>
    <w:rsid w:val="00033B93"/>
    <w:rsid w:val="00033F74"/>
    <w:rsid w:val="00034C0B"/>
    <w:rsid w:val="00036AFF"/>
    <w:rsid w:val="00037C41"/>
    <w:rsid w:val="0004269C"/>
    <w:rsid w:val="000441BB"/>
    <w:rsid w:val="0004473A"/>
    <w:rsid w:val="00044881"/>
    <w:rsid w:val="000464CD"/>
    <w:rsid w:val="0004690C"/>
    <w:rsid w:val="0004698E"/>
    <w:rsid w:val="00047E3C"/>
    <w:rsid w:val="0005117B"/>
    <w:rsid w:val="00051F86"/>
    <w:rsid w:val="0005238A"/>
    <w:rsid w:val="0005447F"/>
    <w:rsid w:val="0005651F"/>
    <w:rsid w:val="000569F3"/>
    <w:rsid w:val="00056E12"/>
    <w:rsid w:val="0005751E"/>
    <w:rsid w:val="00057892"/>
    <w:rsid w:val="0006001B"/>
    <w:rsid w:val="00061027"/>
    <w:rsid w:val="000612CB"/>
    <w:rsid w:val="00061E5B"/>
    <w:rsid w:val="00062EF6"/>
    <w:rsid w:val="000635C2"/>
    <w:rsid w:val="000636F3"/>
    <w:rsid w:val="00064867"/>
    <w:rsid w:val="00064B6F"/>
    <w:rsid w:val="00064C9A"/>
    <w:rsid w:val="000655D5"/>
    <w:rsid w:val="00065E26"/>
    <w:rsid w:val="0006634B"/>
    <w:rsid w:val="00066754"/>
    <w:rsid w:val="00066CF9"/>
    <w:rsid w:val="000670E2"/>
    <w:rsid w:val="00067329"/>
    <w:rsid w:val="00067D53"/>
    <w:rsid w:val="000702FC"/>
    <w:rsid w:val="00070E01"/>
    <w:rsid w:val="00071B82"/>
    <w:rsid w:val="00071E2A"/>
    <w:rsid w:val="00072C90"/>
    <w:rsid w:val="00072FF4"/>
    <w:rsid w:val="00073039"/>
    <w:rsid w:val="000741AC"/>
    <w:rsid w:val="00074F25"/>
    <w:rsid w:val="00075963"/>
    <w:rsid w:val="00075C66"/>
    <w:rsid w:val="00077D71"/>
    <w:rsid w:val="00080ABA"/>
    <w:rsid w:val="00080CFD"/>
    <w:rsid w:val="000813F4"/>
    <w:rsid w:val="000824BD"/>
    <w:rsid w:val="00082B71"/>
    <w:rsid w:val="00082CD6"/>
    <w:rsid w:val="000841C2"/>
    <w:rsid w:val="00085037"/>
    <w:rsid w:val="00085D38"/>
    <w:rsid w:val="00086D19"/>
    <w:rsid w:val="00087182"/>
    <w:rsid w:val="000871F5"/>
    <w:rsid w:val="000915B9"/>
    <w:rsid w:val="000923AA"/>
    <w:rsid w:val="0009276A"/>
    <w:rsid w:val="000934B7"/>
    <w:rsid w:val="00094D8B"/>
    <w:rsid w:val="00095344"/>
    <w:rsid w:val="00095B70"/>
    <w:rsid w:val="000962DF"/>
    <w:rsid w:val="000A0230"/>
    <w:rsid w:val="000A1DE6"/>
    <w:rsid w:val="000A227F"/>
    <w:rsid w:val="000A2A4C"/>
    <w:rsid w:val="000A37AF"/>
    <w:rsid w:val="000A427A"/>
    <w:rsid w:val="000A55F3"/>
    <w:rsid w:val="000A58C4"/>
    <w:rsid w:val="000A709B"/>
    <w:rsid w:val="000B2893"/>
    <w:rsid w:val="000B2A45"/>
    <w:rsid w:val="000B3A61"/>
    <w:rsid w:val="000B4CB7"/>
    <w:rsid w:val="000B5105"/>
    <w:rsid w:val="000B5677"/>
    <w:rsid w:val="000B5DBE"/>
    <w:rsid w:val="000B607B"/>
    <w:rsid w:val="000B66A9"/>
    <w:rsid w:val="000B7180"/>
    <w:rsid w:val="000C0A28"/>
    <w:rsid w:val="000C1F8E"/>
    <w:rsid w:val="000C4249"/>
    <w:rsid w:val="000C548D"/>
    <w:rsid w:val="000C54AD"/>
    <w:rsid w:val="000C6D54"/>
    <w:rsid w:val="000C6D8F"/>
    <w:rsid w:val="000C720D"/>
    <w:rsid w:val="000C7C68"/>
    <w:rsid w:val="000D10D3"/>
    <w:rsid w:val="000D25D9"/>
    <w:rsid w:val="000D278C"/>
    <w:rsid w:val="000D502E"/>
    <w:rsid w:val="000D6FD6"/>
    <w:rsid w:val="000E0918"/>
    <w:rsid w:val="000E0A50"/>
    <w:rsid w:val="000E21EF"/>
    <w:rsid w:val="000E2C3B"/>
    <w:rsid w:val="000E3F25"/>
    <w:rsid w:val="000E3FD1"/>
    <w:rsid w:val="000E44F0"/>
    <w:rsid w:val="000E47DD"/>
    <w:rsid w:val="000E51E2"/>
    <w:rsid w:val="000E556F"/>
    <w:rsid w:val="000F0D2C"/>
    <w:rsid w:val="000F36D7"/>
    <w:rsid w:val="000F3814"/>
    <w:rsid w:val="000F3FFA"/>
    <w:rsid w:val="000F5284"/>
    <w:rsid w:val="000F61BE"/>
    <w:rsid w:val="000F7647"/>
    <w:rsid w:val="00100CCB"/>
    <w:rsid w:val="001027BB"/>
    <w:rsid w:val="0010288A"/>
    <w:rsid w:val="00104266"/>
    <w:rsid w:val="00104A4C"/>
    <w:rsid w:val="0010651C"/>
    <w:rsid w:val="00106F00"/>
    <w:rsid w:val="00107215"/>
    <w:rsid w:val="00110486"/>
    <w:rsid w:val="001109B4"/>
    <w:rsid w:val="0011195F"/>
    <w:rsid w:val="00114094"/>
    <w:rsid w:val="00114BDA"/>
    <w:rsid w:val="00114C27"/>
    <w:rsid w:val="00115035"/>
    <w:rsid w:val="0011523A"/>
    <w:rsid w:val="00117892"/>
    <w:rsid w:val="00120564"/>
    <w:rsid w:val="0012283F"/>
    <w:rsid w:val="00122A21"/>
    <w:rsid w:val="00122B22"/>
    <w:rsid w:val="00124D1C"/>
    <w:rsid w:val="001252AB"/>
    <w:rsid w:val="00126E86"/>
    <w:rsid w:val="0013053B"/>
    <w:rsid w:val="0013075B"/>
    <w:rsid w:val="00130F65"/>
    <w:rsid w:val="001310C5"/>
    <w:rsid w:val="00131B4B"/>
    <w:rsid w:val="0013243B"/>
    <w:rsid w:val="0013483B"/>
    <w:rsid w:val="00134D3C"/>
    <w:rsid w:val="00136C2C"/>
    <w:rsid w:val="00137463"/>
    <w:rsid w:val="0013799B"/>
    <w:rsid w:val="00137C2C"/>
    <w:rsid w:val="001401D9"/>
    <w:rsid w:val="00140228"/>
    <w:rsid w:val="00141311"/>
    <w:rsid w:val="0014138F"/>
    <w:rsid w:val="00141D15"/>
    <w:rsid w:val="00142F16"/>
    <w:rsid w:val="00143DE6"/>
    <w:rsid w:val="001441C5"/>
    <w:rsid w:val="00145BAF"/>
    <w:rsid w:val="001464B9"/>
    <w:rsid w:val="0014689A"/>
    <w:rsid w:val="00146A81"/>
    <w:rsid w:val="0015213E"/>
    <w:rsid w:val="00152793"/>
    <w:rsid w:val="00153C2B"/>
    <w:rsid w:val="00153D67"/>
    <w:rsid w:val="0015447C"/>
    <w:rsid w:val="00157D5E"/>
    <w:rsid w:val="001604D8"/>
    <w:rsid w:val="00160DAD"/>
    <w:rsid w:val="0016133F"/>
    <w:rsid w:val="00162469"/>
    <w:rsid w:val="00162D62"/>
    <w:rsid w:val="00163148"/>
    <w:rsid w:val="0016432D"/>
    <w:rsid w:val="00164D8C"/>
    <w:rsid w:val="00165477"/>
    <w:rsid w:val="00167485"/>
    <w:rsid w:val="00171372"/>
    <w:rsid w:val="0017147B"/>
    <w:rsid w:val="0017170D"/>
    <w:rsid w:val="0017254F"/>
    <w:rsid w:val="00173F2B"/>
    <w:rsid w:val="001807BA"/>
    <w:rsid w:val="00180E2A"/>
    <w:rsid w:val="0018315C"/>
    <w:rsid w:val="0018332A"/>
    <w:rsid w:val="00183FAA"/>
    <w:rsid w:val="00184BFE"/>
    <w:rsid w:val="0018533B"/>
    <w:rsid w:val="001853E0"/>
    <w:rsid w:val="00185D11"/>
    <w:rsid w:val="00186255"/>
    <w:rsid w:val="00186472"/>
    <w:rsid w:val="0018747D"/>
    <w:rsid w:val="001913EB"/>
    <w:rsid w:val="00192347"/>
    <w:rsid w:val="00192349"/>
    <w:rsid w:val="001923F4"/>
    <w:rsid w:val="0019293D"/>
    <w:rsid w:val="0019361F"/>
    <w:rsid w:val="00194092"/>
    <w:rsid w:val="00194ABF"/>
    <w:rsid w:val="00194EC8"/>
    <w:rsid w:val="001A06A0"/>
    <w:rsid w:val="001A0EE2"/>
    <w:rsid w:val="001A213C"/>
    <w:rsid w:val="001A23DF"/>
    <w:rsid w:val="001A2AB5"/>
    <w:rsid w:val="001A3609"/>
    <w:rsid w:val="001A386A"/>
    <w:rsid w:val="001A49DC"/>
    <w:rsid w:val="001A4EC3"/>
    <w:rsid w:val="001A596A"/>
    <w:rsid w:val="001A722C"/>
    <w:rsid w:val="001A79CD"/>
    <w:rsid w:val="001A7C56"/>
    <w:rsid w:val="001B212C"/>
    <w:rsid w:val="001B262D"/>
    <w:rsid w:val="001B317F"/>
    <w:rsid w:val="001B4E10"/>
    <w:rsid w:val="001B4F05"/>
    <w:rsid w:val="001B51D7"/>
    <w:rsid w:val="001B60F1"/>
    <w:rsid w:val="001B634B"/>
    <w:rsid w:val="001B642F"/>
    <w:rsid w:val="001C0822"/>
    <w:rsid w:val="001C1612"/>
    <w:rsid w:val="001C2A53"/>
    <w:rsid w:val="001C2C87"/>
    <w:rsid w:val="001C3BD6"/>
    <w:rsid w:val="001C58FF"/>
    <w:rsid w:val="001C5C80"/>
    <w:rsid w:val="001D24A9"/>
    <w:rsid w:val="001D2F37"/>
    <w:rsid w:val="001D6DF6"/>
    <w:rsid w:val="001D7A2A"/>
    <w:rsid w:val="001E11F8"/>
    <w:rsid w:val="001E1464"/>
    <w:rsid w:val="001E15C9"/>
    <w:rsid w:val="001E17E5"/>
    <w:rsid w:val="001E1E12"/>
    <w:rsid w:val="001E2A42"/>
    <w:rsid w:val="001E4625"/>
    <w:rsid w:val="001E5214"/>
    <w:rsid w:val="001E5593"/>
    <w:rsid w:val="001E5A5F"/>
    <w:rsid w:val="001E6CC4"/>
    <w:rsid w:val="001E78DC"/>
    <w:rsid w:val="001E7A27"/>
    <w:rsid w:val="001F13F1"/>
    <w:rsid w:val="001F144F"/>
    <w:rsid w:val="001F1A29"/>
    <w:rsid w:val="001F2312"/>
    <w:rsid w:val="001F254A"/>
    <w:rsid w:val="001F2F2D"/>
    <w:rsid w:val="001F4F58"/>
    <w:rsid w:val="001F514D"/>
    <w:rsid w:val="001F6479"/>
    <w:rsid w:val="001F7A9C"/>
    <w:rsid w:val="001F7B50"/>
    <w:rsid w:val="001F7CFB"/>
    <w:rsid w:val="00200435"/>
    <w:rsid w:val="002005D6"/>
    <w:rsid w:val="00200DE6"/>
    <w:rsid w:val="00201245"/>
    <w:rsid w:val="0020135A"/>
    <w:rsid w:val="002017B7"/>
    <w:rsid w:val="00202C90"/>
    <w:rsid w:val="00206337"/>
    <w:rsid w:val="00206608"/>
    <w:rsid w:val="0020753A"/>
    <w:rsid w:val="00207927"/>
    <w:rsid w:val="0021012A"/>
    <w:rsid w:val="0021116A"/>
    <w:rsid w:val="00211374"/>
    <w:rsid w:val="002120CC"/>
    <w:rsid w:val="00213B1B"/>
    <w:rsid w:val="00215CB5"/>
    <w:rsid w:val="00216C06"/>
    <w:rsid w:val="0021717D"/>
    <w:rsid w:val="00221648"/>
    <w:rsid w:val="002245A8"/>
    <w:rsid w:val="0022594A"/>
    <w:rsid w:val="00225BFC"/>
    <w:rsid w:val="0022643F"/>
    <w:rsid w:val="00226CE2"/>
    <w:rsid w:val="00226EF8"/>
    <w:rsid w:val="002311FF"/>
    <w:rsid w:val="00231C48"/>
    <w:rsid w:val="00233BFE"/>
    <w:rsid w:val="002349BC"/>
    <w:rsid w:val="00234FF2"/>
    <w:rsid w:val="00236031"/>
    <w:rsid w:val="0023743C"/>
    <w:rsid w:val="0024055F"/>
    <w:rsid w:val="002411F1"/>
    <w:rsid w:val="0024382D"/>
    <w:rsid w:val="002458CB"/>
    <w:rsid w:val="00245A8D"/>
    <w:rsid w:val="00245BAF"/>
    <w:rsid w:val="00247653"/>
    <w:rsid w:val="00250544"/>
    <w:rsid w:val="00252CCB"/>
    <w:rsid w:val="00253227"/>
    <w:rsid w:val="00253667"/>
    <w:rsid w:val="0025574F"/>
    <w:rsid w:val="0025632A"/>
    <w:rsid w:val="00261053"/>
    <w:rsid w:val="00263C58"/>
    <w:rsid w:val="002642BB"/>
    <w:rsid w:val="00264D02"/>
    <w:rsid w:val="00265995"/>
    <w:rsid w:val="00267EE8"/>
    <w:rsid w:val="00272C2F"/>
    <w:rsid w:val="00273357"/>
    <w:rsid w:val="002741BC"/>
    <w:rsid w:val="00274B76"/>
    <w:rsid w:val="00275859"/>
    <w:rsid w:val="00275E15"/>
    <w:rsid w:val="0027700F"/>
    <w:rsid w:val="0027701B"/>
    <w:rsid w:val="002814C4"/>
    <w:rsid w:val="00283592"/>
    <w:rsid w:val="00283DE1"/>
    <w:rsid w:val="00284906"/>
    <w:rsid w:val="00285C15"/>
    <w:rsid w:val="0028615C"/>
    <w:rsid w:val="00287188"/>
    <w:rsid w:val="00290BA0"/>
    <w:rsid w:val="002926A4"/>
    <w:rsid w:val="002931D9"/>
    <w:rsid w:val="002932AA"/>
    <w:rsid w:val="002957DE"/>
    <w:rsid w:val="00295C3C"/>
    <w:rsid w:val="00296C41"/>
    <w:rsid w:val="002972DC"/>
    <w:rsid w:val="0029768E"/>
    <w:rsid w:val="00297C44"/>
    <w:rsid w:val="002A3C22"/>
    <w:rsid w:val="002A4570"/>
    <w:rsid w:val="002A56AD"/>
    <w:rsid w:val="002B0AD6"/>
    <w:rsid w:val="002B35F3"/>
    <w:rsid w:val="002B6FC1"/>
    <w:rsid w:val="002B7603"/>
    <w:rsid w:val="002B77BB"/>
    <w:rsid w:val="002C13FE"/>
    <w:rsid w:val="002C1606"/>
    <w:rsid w:val="002C18E0"/>
    <w:rsid w:val="002C1C52"/>
    <w:rsid w:val="002C374B"/>
    <w:rsid w:val="002C4FDB"/>
    <w:rsid w:val="002C50F2"/>
    <w:rsid w:val="002C5928"/>
    <w:rsid w:val="002C5A73"/>
    <w:rsid w:val="002C6C7E"/>
    <w:rsid w:val="002C72D5"/>
    <w:rsid w:val="002C78E3"/>
    <w:rsid w:val="002C79B1"/>
    <w:rsid w:val="002D1120"/>
    <w:rsid w:val="002D1788"/>
    <w:rsid w:val="002D1FAA"/>
    <w:rsid w:val="002D2F8D"/>
    <w:rsid w:val="002D2FFF"/>
    <w:rsid w:val="002D3B34"/>
    <w:rsid w:val="002D4C37"/>
    <w:rsid w:val="002D55E1"/>
    <w:rsid w:val="002D61AA"/>
    <w:rsid w:val="002D6234"/>
    <w:rsid w:val="002D725C"/>
    <w:rsid w:val="002D7E2E"/>
    <w:rsid w:val="002E008A"/>
    <w:rsid w:val="002E0298"/>
    <w:rsid w:val="002E0B75"/>
    <w:rsid w:val="002E1018"/>
    <w:rsid w:val="002E22FA"/>
    <w:rsid w:val="002E285C"/>
    <w:rsid w:val="002E4066"/>
    <w:rsid w:val="002E464F"/>
    <w:rsid w:val="002E4778"/>
    <w:rsid w:val="002E4BEB"/>
    <w:rsid w:val="002E4C4C"/>
    <w:rsid w:val="002E67CB"/>
    <w:rsid w:val="002E6CBB"/>
    <w:rsid w:val="002E7F84"/>
    <w:rsid w:val="002F04BF"/>
    <w:rsid w:val="002F124E"/>
    <w:rsid w:val="002F3145"/>
    <w:rsid w:val="002F343E"/>
    <w:rsid w:val="002F3839"/>
    <w:rsid w:val="002F3D33"/>
    <w:rsid w:val="002F3E5A"/>
    <w:rsid w:val="002F5D15"/>
    <w:rsid w:val="002F6C9B"/>
    <w:rsid w:val="002F7314"/>
    <w:rsid w:val="002F7454"/>
    <w:rsid w:val="002F7C15"/>
    <w:rsid w:val="00300773"/>
    <w:rsid w:val="00301BAE"/>
    <w:rsid w:val="00304ABA"/>
    <w:rsid w:val="003056BA"/>
    <w:rsid w:val="003076E3"/>
    <w:rsid w:val="003103AB"/>
    <w:rsid w:val="00311CD3"/>
    <w:rsid w:val="003122E1"/>
    <w:rsid w:val="0031237C"/>
    <w:rsid w:val="003125E8"/>
    <w:rsid w:val="00313000"/>
    <w:rsid w:val="00313778"/>
    <w:rsid w:val="0031563A"/>
    <w:rsid w:val="00315656"/>
    <w:rsid w:val="00315AFB"/>
    <w:rsid w:val="0031679E"/>
    <w:rsid w:val="00316945"/>
    <w:rsid w:val="00317015"/>
    <w:rsid w:val="0031713C"/>
    <w:rsid w:val="003171B1"/>
    <w:rsid w:val="003207F2"/>
    <w:rsid w:val="003210DB"/>
    <w:rsid w:val="0032181B"/>
    <w:rsid w:val="00322135"/>
    <w:rsid w:val="00323C87"/>
    <w:rsid w:val="0032502A"/>
    <w:rsid w:val="003276F8"/>
    <w:rsid w:val="003301A1"/>
    <w:rsid w:val="00334380"/>
    <w:rsid w:val="00335D24"/>
    <w:rsid w:val="0033688D"/>
    <w:rsid w:val="00336E76"/>
    <w:rsid w:val="0033776B"/>
    <w:rsid w:val="0034066C"/>
    <w:rsid w:val="003413BC"/>
    <w:rsid w:val="00341FFC"/>
    <w:rsid w:val="00342232"/>
    <w:rsid w:val="00343B2F"/>
    <w:rsid w:val="00343C2C"/>
    <w:rsid w:val="003447C1"/>
    <w:rsid w:val="003462F7"/>
    <w:rsid w:val="00346D03"/>
    <w:rsid w:val="003502B9"/>
    <w:rsid w:val="00350F6E"/>
    <w:rsid w:val="003520D9"/>
    <w:rsid w:val="00353027"/>
    <w:rsid w:val="00353B38"/>
    <w:rsid w:val="00354232"/>
    <w:rsid w:val="0035513B"/>
    <w:rsid w:val="003558EA"/>
    <w:rsid w:val="00355B9E"/>
    <w:rsid w:val="003577A3"/>
    <w:rsid w:val="00360890"/>
    <w:rsid w:val="00362D6B"/>
    <w:rsid w:val="00363A7F"/>
    <w:rsid w:val="00363D15"/>
    <w:rsid w:val="00364D49"/>
    <w:rsid w:val="00365829"/>
    <w:rsid w:val="00370221"/>
    <w:rsid w:val="00371855"/>
    <w:rsid w:val="003741BF"/>
    <w:rsid w:val="00380E8E"/>
    <w:rsid w:val="003819A4"/>
    <w:rsid w:val="00381B16"/>
    <w:rsid w:val="00383CE8"/>
    <w:rsid w:val="00384281"/>
    <w:rsid w:val="00384329"/>
    <w:rsid w:val="00385C41"/>
    <w:rsid w:val="003861F2"/>
    <w:rsid w:val="003869F3"/>
    <w:rsid w:val="0038763D"/>
    <w:rsid w:val="003922EB"/>
    <w:rsid w:val="00392ACE"/>
    <w:rsid w:val="00394575"/>
    <w:rsid w:val="00394819"/>
    <w:rsid w:val="00394CAE"/>
    <w:rsid w:val="003A020E"/>
    <w:rsid w:val="003A2E53"/>
    <w:rsid w:val="003A4AC1"/>
    <w:rsid w:val="003A68E9"/>
    <w:rsid w:val="003A7EDB"/>
    <w:rsid w:val="003B0E43"/>
    <w:rsid w:val="003B0FBA"/>
    <w:rsid w:val="003B218F"/>
    <w:rsid w:val="003B2618"/>
    <w:rsid w:val="003B2EA7"/>
    <w:rsid w:val="003B3A12"/>
    <w:rsid w:val="003B4AED"/>
    <w:rsid w:val="003B5D88"/>
    <w:rsid w:val="003C0ACE"/>
    <w:rsid w:val="003C16D0"/>
    <w:rsid w:val="003C2B35"/>
    <w:rsid w:val="003C3331"/>
    <w:rsid w:val="003C36D5"/>
    <w:rsid w:val="003C3AF9"/>
    <w:rsid w:val="003C3E14"/>
    <w:rsid w:val="003C48AD"/>
    <w:rsid w:val="003C4ECE"/>
    <w:rsid w:val="003C63B1"/>
    <w:rsid w:val="003C6A5F"/>
    <w:rsid w:val="003C6C29"/>
    <w:rsid w:val="003C7728"/>
    <w:rsid w:val="003C7C96"/>
    <w:rsid w:val="003D0855"/>
    <w:rsid w:val="003D1394"/>
    <w:rsid w:val="003D17EC"/>
    <w:rsid w:val="003D1E4E"/>
    <w:rsid w:val="003D231C"/>
    <w:rsid w:val="003D23B4"/>
    <w:rsid w:val="003D2709"/>
    <w:rsid w:val="003D5722"/>
    <w:rsid w:val="003E17E4"/>
    <w:rsid w:val="003E187F"/>
    <w:rsid w:val="003E1A49"/>
    <w:rsid w:val="003E2FA3"/>
    <w:rsid w:val="003E3A61"/>
    <w:rsid w:val="003E3C6C"/>
    <w:rsid w:val="003E4E7A"/>
    <w:rsid w:val="003E6770"/>
    <w:rsid w:val="003E6793"/>
    <w:rsid w:val="003E7B30"/>
    <w:rsid w:val="003E7EE4"/>
    <w:rsid w:val="003E7F39"/>
    <w:rsid w:val="003F0D6D"/>
    <w:rsid w:val="003F0ED2"/>
    <w:rsid w:val="003F265A"/>
    <w:rsid w:val="003F3317"/>
    <w:rsid w:val="003F3591"/>
    <w:rsid w:val="003F4049"/>
    <w:rsid w:val="003F4C3E"/>
    <w:rsid w:val="003F5421"/>
    <w:rsid w:val="003F6C5F"/>
    <w:rsid w:val="003F7931"/>
    <w:rsid w:val="00400824"/>
    <w:rsid w:val="00400F7B"/>
    <w:rsid w:val="0040174D"/>
    <w:rsid w:val="0040243C"/>
    <w:rsid w:val="004026C0"/>
    <w:rsid w:val="004027FF"/>
    <w:rsid w:val="00402A8A"/>
    <w:rsid w:val="00403432"/>
    <w:rsid w:val="0040415A"/>
    <w:rsid w:val="00404C77"/>
    <w:rsid w:val="004100C9"/>
    <w:rsid w:val="00410F64"/>
    <w:rsid w:val="00412EFE"/>
    <w:rsid w:val="00413542"/>
    <w:rsid w:val="0041355F"/>
    <w:rsid w:val="00413753"/>
    <w:rsid w:val="0041546D"/>
    <w:rsid w:val="00415623"/>
    <w:rsid w:val="004158B6"/>
    <w:rsid w:val="00415C34"/>
    <w:rsid w:val="0041675A"/>
    <w:rsid w:val="004175C0"/>
    <w:rsid w:val="00422789"/>
    <w:rsid w:val="004250AA"/>
    <w:rsid w:val="00425CA4"/>
    <w:rsid w:val="004261B9"/>
    <w:rsid w:val="00430446"/>
    <w:rsid w:val="00430D3E"/>
    <w:rsid w:val="0043314A"/>
    <w:rsid w:val="004337EF"/>
    <w:rsid w:val="00433C85"/>
    <w:rsid w:val="004352AE"/>
    <w:rsid w:val="004360F0"/>
    <w:rsid w:val="00437F9A"/>
    <w:rsid w:val="0044064D"/>
    <w:rsid w:val="00441AF1"/>
    <w:rsid w:val="00441E86"/>
    <w:rsid w:val="00442AA8"/>
    <w:rsid w:val="00442B75"/>
    <w:rsid w:val="00443E96"/>
    <w:rsid w:val="004473C4"/>
    <w:rsid w:val="00451275"/>
    <w:rsid w:val="0045218E"/>
    <w:rsid w:val="004529EC"/>
    <w:rsid w:val="00455995"/>
    <w:rsid w:val="00460201"/>
    <w:rsid w:val="00460ABC"/>
    <w:rsid w:val="00464195"/>
    <w:rsid w:val="0046455A"/>
    <w:rsid w:val="004645C4"/>
    <w:rsid w:val="004652C9"/>
    <w:rsid w:val="004700D8"/>
    <w:rsid w:val="00472C0B"/>
    <w:rsid w:val="00473042"/>
    <w:rsid w:val="004751C3"/>
    <w:rsid w:val="00475F9C"/>
    <w:rsid w:val="004768BE"/>
    <w:rsid w:val="0047701F"/>
    <w:rsid w:val="004770EE"/>
    <w:rsid w:val="0047746D"/>
    <w:rsid w:val="00477C03"/>
    <w:rsid w:val="00480FB3"/>
    <w:rsid w:val="00482374"/>
    <w:rsid w:val="00484105"/>
    <w:rsid w:val="004851E9"/>
    <w:rsid w:val="00487B01"/>
    <w:rsid w:val="00487B3B"/>
    <w:rsid w:val="004907A9"/>
    <w:rsid w:val="004913B2"/>
    <w:rsid w:val="00493651"/>
    <w:rsid w:val="00494F93"/>
    <w:rsid w:val="00495690"/>
    <w:rsid w:val="00496C57"/>
    <w:rsid w:val="004A05FC"/>
    <w:rsid w:val="004A0822"/>
    <w:rsid w:val="004A38FA"/>
    <w:rsid w:val="004A4C4C"/>
    <w:rsid w:val="004A7324"/>
    <w:rsid w:val="004A79D5"/>
    <w:rsid w:val="004B1D0A"/>
    <w:rsid w:val="004B1F0D"/>
    <w:rsid w:val="004B2C9B"/>
    <w:rsid w:val="004B2FD2"/>
    <w:rsid w:val="004B3172"/>
    <w:rsid w:val="004B340A"/>
    <w:rsid w:val="004B3E49"/>
    <w:rsid w:val="004B5B66"/>
    <w:rsid w:val="004B64B1"/>
    <w:rsid w:val="004B7237"/>
    <w:rsid w:val="004B743D"/>
    <w:rsid w:val="004B7500"/>
    <w:rsid w:val="004B784F"/>
    <w:rsid w:val="004B7AE9"/>
    <w:rsid w:val="004B7B1D"/>
    <w:rsid w:val="004C05AF"/>
    <w:rsid w:val="004C1D45"/>
    <w:rsid w:val="004C3BC0"/>
    <w:rsid w:val="004C5516"/>
    <w:rsid w:val="004C57D1"/>
    <w:rsid w:val="004C613C"/>
    <w:rsid w:val="004C6F49"/>
    <w:rsid w:val="004C7B84"/>
    <w:rsid w:val="004D01B6"/>
    <w:rsid w:val="004D227D"/>
    <w:rsid w:val="004D24BC"/>
    <w:rsid w:val="004D4372"/>
    <w:rsid w:val="004D484F"/>
    <w:rsid w:val="004D49A6"/>
    <w:rsid w:val="004D4B90"/>
    <w:rsid w:val="004D5750"/>
    <w:rsid w:val="004D66EB"/>
    <w:rsid w:val="004D7D72"/>
    <w:rsid w:val="004E00F2"/>
    <w:rsid w:val="004E26EC"/>
    <w:rsid w:val="004E336F"/>
    <w:rsid w:val="004E367E"/>
    <w:rsid w:val="004E4B93"/>
    <w:rsid w:val="004E618D"/>
    <w:rsid w:val="004E6A20"/>
    <w:rsid w:val="004E7278"/>
    <w:rsid w:val="004E7352"/>
    <w:rsid w:val="004E73E8"/>
    <w:rsid w:val="004F0149"/>
    <w:rsid w:val="004F1827"/>
    <w:rsid w:val="004F2122"/>
    <w:rsid w:val="004F6DB2"/>
    <w:rsid w:val="004F75D0"/>
    <w:rsid w:val="0050005E"/>
    <w:rsid w:val="0050095D"/>
    <w:rsid w:val="00500C81"/>
    <w:rsid w:val="005024F9"/>
    <w:rsid w:val="00502E7A"/>
    <w:rsid w:val="00503E57"/>
    <w:rsid w:val="005047A9"/>
    <w:rsid w:val="005049C6"/>
    <w:rsid w:val="00505003"/>
    <w:rsid w:val="00506386"/>
    <w:rsid w:val="00507B53"/>
    <w:rsid w:val="00507E25"/>
    <w:rsid w:val="00510A6F"/>
    <w:rsid w:val="0051106F"/>
    <w:rsid w:val="00511211"/>
    <w:rsid w:val="0051125F"/>
    <w:rsid w:val="00512238"/>
    <w:rsid w:val="00512AEB"/>
    <w:rsid w:val="00512E41"/>
    <w:rsid w:val="00513FCD"/>
    <w:rsid w:val="0051523A"/>
    <w:rsid w:val="00516832"/>
    <w:rsid w:val="00517548"/>
    <w:rsid w:val="00517BD1"/>
    <w:rsid w:val="00520A98"/>
    <w:rsid w:val="005218CE"/>
    <w:rsid w:val="005219E2"/>
    <w:rsid w:val="0052225D"/>
    <w:rsid w:val="005257AB"/>
    <w:rsid w:val="00525C01"/>
    <w:rsid w:val="00525F49"/>
    <w:rsid w:val="005279F4"/>
    <w:rsid w:val="00527BFC"/>
    <w:rsid w:val="00530681"/>
    <w:rsid w:val="00530F37"/>
    <w:rsid w:val="00532FF5"/>
    <w:rsid w:val="0053348E"/>
    <w:rsid w:val="005334FB"/>
    <w:rsid w:val="005337EE"/>
    <w:rsid w:val="0053408E"/>
    <w:rsid w:val="00534379"/>
    <w:rsid w:val="005348F9"/>
    <w:rsid w:val="0053548E"/>
    <w:rsid w:val="00535A04"/>
    <w:rsid w:val="00535A10"/>
    <w:rsid w:val="0053650D"/>
    <w:rsid w:val="00536FEF"/>
    <w:rsid w:val="00537A89"/>
    <w:rsid w:val="00537F35"/>
    <w:rsid w:val="0054193D"/>
    <w:rsid w:val="00542AF5"/>
    <w:rsid w:val="00543AEE"/>
    <w:rsid w:val="00543F04"/>
    <w:rsid w:val="0054407E"/>
    <w:rsid w:val="0054445F"/>
    <w:rsid w:val="005475BD"/>
    <w:rsid w:val="00547D9F"/>
    <w:rsid w:val="005508E0"/>
    <w:rsid w:val="00550F38"/>
    <w:rsid w:val="00551734"/>
    <w:rsid w:val="00551D31"/>
    <w:rsid w:val="00551FD9"/>
    <w:rsid w:val="00552207"/>
    <w:rsid w:val="00552691"/>
    <w:rsid w:val="00553E21"/>
    <w:rsid w:val="005544A1"/>
    <w:rsid w:val="00555A42"/>
    <w:rsid w:val="00555FE2"/>
    <w:rsid w:val="00556638"/>
    <w:rsid w:val="00557BD1"/>
    <w:rsid w:val="00557C2C"/>
    <w:rsid w:val="005606B6"/>
    <w:rsid w:val="00560A64"/>
    <w:rsid w:val="00560DA6"/>
    <w:rsid w:val="00561704"/>
    <w:rsid w:val="00561966"/>
    <w:rsid w:val="00561E43"/>
    <w:rsid w:val="00562E2D"/>
    <w:rsid w:val="00564557"/>
    <w:rsid w:val="0056496C"/>
    <w:rsid w:val="00564977"/>
    <w:rsid w:val="0056524D"/>
    <w:rsid w:val="00565C15"/>
    <w:rsid w:val="00567175"/>
    <w:rsid w:val="005674CD"/>
    <w:rsid w:val="005702DA"/>
    <w:rsid w:val="00570555"/>
    <w:rsid w:val="0057198D"/>
    <w:rsid w:val="005722BF"/>
    <w:rsid w:val="00573968"/>
    <w:rsid w:val="005740AF"/>
    <w:rsid w:val="00574207"/>
    <w:rsid w:val="005762DF"/>
    <w:rsid w:val="0057748B"/>
    <w:rsid w:val="005777D9"/>
    <w:rsid w:val="00577AFC"/>
    <w:rsid w:val="005807EC"/>
    <w:rsid w:val="00580CD9"/>
    <w:rsid w:val="00580CF5"/>
    <w:rsid w:val="00582A55"/>
    <w:rsid w:val="0058496A"/>
    <w:rsid w:val="00585AA6"/>
    <w:rsid w:val="00587239"/>
    <w:rsid w:val="0058746D"/>
    <w:rsid w:val="00587CD2"/>
    <w:rsid w:val="0059051D"/>
    <w:rsid w:val="00590A2A"/>
    <w:rsid w:val="00590D63"/>
    <w:rsid w:val="00590FA1"/>
    <w:rsid w:val="00592AF0"/>
    <w:rsid w:val="00593AED"/>
    <w:rsid w:val="00593C6F"/>
    <w:rsid w:val="00594269"/>
    <w:rsid w:val="005945E2"/>
    <w:rsid w:val="00596B25"/>
    <w:rsid w:val="005971CA"/>
    <w:rsid w:val="00597749"/>
    <w:rsid w:val="00597B71"/>
    <w:rsid w:val="00597BB6"/>
    <w:rsid w:val="005A004D"/>
    <w:rsid w:val="005A166D"/>
    <w:rsid w:val="005A1F80"/>
    <w:rsid w:val="005A28EE"/>
    <w:rsid w:val="005A4039"/>
    <w:rsid w:val="005A436A"/>
    <w:rsid w:val="005A4CA7"/>
    <w:rsid w:val="005A60BF"/>
    <w:rsid w:val="005B0B75"/>
    <w:rsid w:val="005B20BB"/>
    <w:rsid w:val="005B2FF5"/>
    <w:rsid w:val="005B351D"/>
    <w:rsid w:val="005B4C26"/>
    <w:rsid w:val="005B4DE0"/>
    <w:rsid w:val="005B4EEC"/>
    <w:rsid w:val="005B719E"/>
    <w:rsid w:val="005C0A44"/>
    <w:rsid w:val="005C20C7"/>
    <w:rsid w:val="005C232A"/>
    <w:rsid w:val="005C2E2F"/>
    <w:rsid w:val="005C3940"/>
    <w:rsid w:val="005C5331"/>
    <w:rsid w:val="005C5946"/>
    <w:rsid w:val="005C5EA6"/>
    <w:rsid w:val="005D013B"/>
    <w:rsid w:val="005D0C0A"/>
    <w:rsid w:val="005D155E"/>
    <w:rsid w:val="005D1707"/>
    <w:rsid w:val="005D1E4A"/>
    <w:rsid w:val="005D27FF"/>
    <w:rsid w:val="005D2842"/>
    <w:rsid w:val="005D2F4F"/>
    <w:rsid w:val="005D3EF3"/>
    <w:rsid w:val="005D443E"/>
    <w:rsid w:val="005D59CA"/>
    <w:rsid w:val="005D5C1A"/>
    <w:rsid w:val="005D6106"/>
    <w:rsid w:val="005D6B28"/>
    <w:rsid w:val="005D7547"/>
    <w:rsid w:val="005E0422"/>
    <w:rsid w:val="005E08FB"/>
    <w:rsid w:val="005E17E1"/>
    <w:rsid w:val="005E1BAE"/>
    <w:rsid w:val="005E3221"/>
    <w:rsid w:val="005E39D4"/>
    <w:rsid w:val="005E701A"/>
    <w:rsid w:val="005E7297"/>
    <w:rsid w:val="005E730C"/>
    <w:rsid w:val="005E7984"/>
    <w:rsid w:val="005F0A94"/>
    <w:rsid w:val="005F1988"/>
    <w:rsid w:val="005F2795"/>
    <w:rsid w:val="005F31D7"/>
    <w:rsid w:val="005F3453"/>
    <w:rsid w:val="005F5BFA"/>
    <w:rsid w:val="006001F2"/>
    <w:rsid w:val="006007D9"/>
    <w:rsid w:val="006014DE"/>
    <w:rsid w:val="006019BD"/>
    <w:rsid w:val="00601E7A"/>
    <w:rsid w:val="0060213E"/>
    <w:rsid w:val="00602831"/>
    <w:rsid w:val="00602957"/>
    <w:rsid w:val="00603446"/>
    <w:rsid w:val="0060414C"/>
    <w:rsid w:val="00604FD0"/>
    <w:rsid w:val="006050DE"/>
    <w:rsid w:val="00605266"/>
    <w:rsid w:val="00605766"/>
    <w:rsid w:val="006058B8"/>
    <w:rsid w:val="00605CDA"/>
    <w:rsid w:val="00606008"/>
    <w:rsid w:val="00611455"/>
    <w:rsid w:val="006128CC"/>
    <w:rsid w:val="006145DB"/>
    <w:rsid w:val="006151F8"/>
    <w:rsid w:val="00615C74"/>
    <w:rsid w:val="0061796E"/>
    <w:rsid w:val="0062077A"/>
    <w:rsid w:val="00621595"/>
    <w:rsid w:val="0062330E"/>
    <w:rsid w:val="00623665"/>
    <w:rsid w:val="00623EB1"/>
    <w:rsid w:val="00624B72"/>
    <w:rsid w:val="006264F3"/>
    <w:rsid w:val="00626F67"/>
    <w:rsid w:val="00627AC2"/>
    <w:rsid w:val="00630653"/>
    <w:rsid w:val="006328D7"/>
    <w:rsid w:val="00633554"/>
    <w:rsid w:val="006340BB"/>
    <w:rsid w:val="0063578D"/>
    <w:rsid w:val="006379CF"/>
    <w:rsid w:val="006409F7"/>
    <w:rsid w:val="00640EA7"/>
    <w:rsid w:val="006412DD"/>
    <w:rsid w:val="0064176E"/>
    <w:rsid w:val="00641CAA"/>
    <w:rsid w:val="00642AE9"/>
    <w:rsid w:val="00642B7A"/>
    <w:rsid w:val="00644C1D"/>
    <w:rsid w:val="00644C47"/>
    <w:rsid w:val="00645601"/>
    <w:rsid w:val="006456AD"/>
    <w:rsid w:val="00645AE6"/>
    <w:rsid w:val="00645EC0"/>
    <w:rsid w:val="00646438"/>
    <w:rsid w:val="0064680F"/>
    <w:rsid w:val="00646C1A"/>
    <w:rsid w:val="00650E8C"/>
    <w:rsid w:val="00653137"/>
    <w:rsid w:val="00653139"/>
    <w:rsid w:val="006541B3"/>
    <w:rsid w:val="006549F1"/>
    <w:rsid w:val="00654CED"/>
    <w:rsid w:val="00655592"/>
    <w:rsid w:val="00655714"/>
    <w:rsid w:val="00656301"/>
    <w:rsid w:val="00656DC4"/>
    <w:rsid w:val="0065769B"/>
    <w:rsid w:val="0066005B"/>
    <w:rsid w:val="00660B12"/>
    <w:rsid w:val="00662EF2"/>
    <w:rsid w:val="006657D1"/>
    <w:rsid w:val="00665A2A"/>
    <w:rsid w:val="0066738F"/>
    <w:rsid w:val="00667717"/>
    <w:rsid w:val="006703EB"/>
    <w:rsid w:val="00670B56"/>
    <w:rsid w:val="006727E8"/>
    <w:rsid w:val="0067365B"/>
    <w:rsid w:val="00675A14"/>
    <w:rsid w:val="00676652"/>
    <w:rsid w:val="0067726A"/>
    <w:rsid w:val="00677A2D"/>
    <w:rsid w:val="00682006"/>
    <w:rsid w:val="00682A1C"/>
    <w:rsid w:val="0068389D"/>
    <w:rsid w:val="006841EF"/>
    <w:rsid w:val="00684FC2"/>
    <w:rsid w:val="006861C8"/>
    <w:rsid w:val="00686C33"/>
    <w:rsid w:val="00686D0A"/>
    <w:rsid w:val="00686E6C"/>
    <w:rsid w:val="006876E4"/>
    <w:rsid w:val="006911FC"/>
    <w:rsid w:val="00692415"/>
    <w:rsid w:val="006927B4"/>
    <w:rsid w:val="00693241"/>
    <w:rsid w:val="006932D1"/>
    <w:rsid w:val="0069696B"/>
    <w:rsid w:val="006974E8"/>
    <w:rsid w:val="006A0444"/>
    <w:rsid w:val="006A0999"/>
    <w:rsid w:val="006A1B47"/>
    <w:rsid w:val="006A2375"/>
    <w:rsid w:val="006A23DD"/>
    <w:rsid w:val="006A2E14"/>
    <w:rsid w:val="006A31FE"/>
    <w:rsid w:val="006A331B"/>
    <w:rsid w:val="006A5C6E"/>
    <w:rsid w:val="006A6E5C"/>
    <w:rsid w:val="006A7BEA"/>
    <w:rsid w:val="006B060D"/>
    <w:rsid w:val="006B0640"/>
    <w:rsid w:val="006B0841"/>
    <w:rsid w:val="006B168E"/>
    <w:rsid w:val="006B170B"/>
    <w:rsid w:val="006B4707"/>
    <w:rsid w:val="006B4E09"/>
    <w:rsid w:val="006B65C7"/>
    <w:rsid w:val="006B6EB2"/>
    <w:rsid w:val="006B6FC4"/>
    <w:rsid w:val="006C0750"/>
    <w:rsid w:val="006C0B5F"/>
    <w:rsid w:val="006C1C89"/>
    <w:rsid w:val="006C2674"/>
    <w:rsid w:val="006C41C0"/>
    <w:rsid w:val="006C4B52"/>
    <w:rsid w:val="006C4E82"/>
    <w:rsid w:val="006C572C"/>
    <w:rsid w:val="006C7398"/>
    <w:rsid w:val="006D344E"/>
    <w:rsid w:val="006D3BED"/>
    <w:rsid w:val="006D4755"/>
    <w:rsid w:val="006D5F31"/>
    <w:rsid w:val="006D6812"/>
    <w:rsid w:val="006E1C64"/>
    <w:rsid w:val="006E2387"/>
    <w:rsid w:val="006E2F2D"/>
    <w:rsid w:val="006E44A1"/>
    <w:rsid w:val="006E58B5"/>
    <w:rsid w:val="006E650A"/>
    <w:rsid w:val="006E7125"/>
    <w:rsid w:val="006E7189"/>
    <w:rsid w:val="006E766A"/>
    <w:rsid w:val="006E77B8"/>
    <w:rsid w:val="006F01FB"/>
    <w:rsid w:val="006F165E"/>
    <w:rsid w:val="006F31B6"/>
    <w:rsid w:val="006F3C4F"/>
    <w:rsid w:val="006F561F"/>
    <w:rsid w:val="006F61BE"/>
    <w:rsid w:val="006F66D5"/>
    <w:rsid w:val="0070030D"/>
    <w:rsid w:val="007006B4"/>
    <w:rsid w:val="00701DE1"/>
    <w:rsid w:val="00701EBE"/>
    <w:rsid w:val="007028F6"/>
    <w:rsid w:val="007035D3"/>
    <w:rsid w:val="0070497A"/>
    <w:rsid w:val="00705897"/>
    <w:rsid w:val="00705960"/>
    <w:rsid w:val="007067F0"/>
    <w:rsid w:val="00707ADF"/>
    <w:rsid w:val="00710745"/>
    <w:rsid w:val="007122B2"/>
    <w:rsid w:val="007124DF"/>
    <w:rsid w:val="007134E4"/>
    <w:rsid w:val="00713F0B"/>
    <w:rsid w:val="00714102"/>
    <w:rsid w:val="00715606"/>
    <w:rsid w:val="0071646A"/>
    <w:rsid w:val="0071663A"/>
    <w:rsid w:val="00717371"/>
    <w:rsid w:val="00720AA6"/>
    <w:rsid w:val="00720E3D"/>
    <w:rsid w:val="00722975"/>
    <w:rsid w:val="00722B89"/>
    <w:rsid w:val="00723301"/>
    <w:rsid w:val="007248CC"/>
    <w:rsid w:val="0072492C"/>
    <w:rsid w:val="00724E7A"/>
    <w:rsid w:val="0072567A"/>
    <w:rsid w:val="00726AEF"/>
    <w:rsid w:val="00726B1F"/>
    <w:rsid w:val="00730EE1"/>
    <w:rsid w:val="00731A14"/>
    <w:rsid w:val="00731ECC"/>
    <w:rsid w:val="00732E76"/>
    <w:rsid w:val="00733828"/>
    <w:rsid w:val="007343C6"/>
    <w:rsid w:val="00734B5D"/>
    <w:rsid w:val="00736135"/>
    <w:rsid w:val="007368C1"/>
    <w:rsid w:val="00736A6D"/>
    <w:rsid w:val="00736DC0"/>
    <w:rsid w:val="00740188"/>
    <w:rsid w:val="007405A6"/>
    <w:rsid w:val="0074071A"/>
    <w:rsid w:val="007423C3"/>
    <w:rsid w:val="007430DC"/>
    <w:rsid w:val="00743A61"/>
    <w:rsid w:val="00743C42"/>
    <w:rsid w:val="00744BF5"/>
    <w:rsid w:val="0074677A"/>
    <w:rsid w:val="00746AD9"/>
    <w:rsid w:val="00750100"/>
    <w:rsid w:val="0075045E"/>
    <w:rsid w:val="00751401"/>
    <w:rsid w:val="00751674"/>
    <w:rsid w:val="00752356"/>
    <w:rsid w:val="007547B3"/>
    <w:rsid w:val="00755624"/>
    <w:rsid w:val="007556A2"/>
    <w:rsid w:val="00755ACF"/>
    <w:rsid w:val="00755D4A"/>
    <w:rsid w:val="00756D4E"/>
    <w:rsid w:val="00757EA6"/>
    <w:rsid w:val="00757F38"/>
    <w:rsid w:val="00760A6D"/>
    <w:rsid w:val="00760F55"/>
    <w:rsid w:val="00762308"/>
    <w:rsid w:val="00763549"/>
    <w:rsid w:val="00763BB2"/>
    <w:rsid w:val="00763F35"/>
    <w:rsid w:val="00764106"/>
    <w:rsid w:val="00764546"/>
    <w:rsid w:val="0077195E"/>
    <w:rsid w:val="00772251"/>
    <w:rsid w:val="007725CC"/>
    <w:rsid w:val="0077314B"/>
    <w:rsid w:val="0077341E"/>
    <w:rsid w:val="0077798D"/>
    <w:rsid w:val="00784953"/>
    <w:rsid w:val="00785997"/>
    <w:rsid w:val="00785C3A"/>
    <w:rsid w:val="00786E93"/>
    <w:rsid w:val="0078736B"/>
    <w:rsid w:val="00787B7A"/>
    <w:rsid w:val="007922DD"/>
    <w:rsid w:val="0079258B"/>
    <w:rsid w:val="007963ED"/>
    <w:rsid w:val="00796A55"/>
    <w:rsid w:val="00796B9F"/>
    <w:rsid w:val="00797554"/>
    <w:rsid w:val="00797C8D"/>
    <w:rsid w:val="007A20B6"/>
    <w:rsid w:val="007A2DBA"/>
    <w:rsid w:val="007A34B9"/>
    <w:rsid w:val="007A5108"/>
    <w:rsid w:val="007A5572"/>
    <w:rsid w:val="007A6D9B"/>
    <w:rsid w:val="007A7651"/>
    <w:rsid w:val="007A778B"/>
    <w:rsid w:val="007A77DC"/>
    <w:rsid w:val="007B03F4"/>
    <w:rsid w:val="007B0B01"/>
    <w:rsid w:val="007B3926"/>
    <w:rsid w:val="007B50E1"/>
    <w:rsid w:val="007B54D6"/>
    <w:rsid w:val="007B5835"/>
    <w:rsid w:val="007B6318"/>
    <w:rsid w:val="007B7213"/>
    <w:rsid w:val="007B75FF"/>
    <w:rsid w:val="007B7B7B"/>
    <w:rsid w:val="007C099E"/>
    <w:rsid w:val="007C187B"/>
    <w:rsid w:val="007C2B23"/>
    <w:rsid w:val="007C2E1A"/>
    <w:rsid w:val="007C33EC"/>
    <w:rsid w:val="007C4A28"/>
    <w:rsid w:val="007C516A"/>
    <w:rsid w:val="007C5BCD"/>
    <w:rsid w:val="007C6395"/>
    <w:rsid w:val="007C7B53"/>
    <w:rsid w:val="007D0E96"/>
    <w:rsid w:val="007D1E9A"/>
    <w:rsid w:val="007D4C51"/>
    <w:rsid w:val="007D610A"/>
    <w:rsid w:val="007D6342"/>
    <w:rsid w:val="007D63D2"/>
    <w:rsid w:val="007D6C2D"/>
    <w:rsid w:val="007D6F39"/>
    <w:rsid w:val="007E198D"/>
    <w:rsid w:val="007E3FBD"/>
    <w:rsid w:val="007E5470"/>
    <w:rsid w:val="007E5AAB"/>
    <w:rsid w:val="007E5E6E"/>
    <w:rsid w:val="007E5E8F"/>
    <w:rsid w:val="007F012D"/>
    <w:rsid w:val="007F12B7"/>
    <w:rsid w:val="007F1A5B"/>
    <w:rsid w:val="007F1AC0"/>
    <w:rsid w:val="007F1C3F"/>
    <w:rsid w:val="007F2424"/>
    <w:rsid w:val="007F2D07"/>
    <w:rsid w:val="007F3C8A"/>
    <w:rsid w:val="007F407F"/>
    <w:rsid w:val="007F5BD2"/>
    <w:rsid w:val="007F6551"/>
    <w:rsid w:val="007F6E2C"/>
    <w:rsid w:val="00800636"/>
    <w:rsid w:val="00801B65"/>
    <w:rsid w:val="00801D92"/>
    <w:rsid w:val="00801FE3"/>
    <w:rsid w:val="00802BFA"/>
    <w:rsid w:val="00802F2A"/>
    <w:rsid w:val="00804E6F"/>
    <w:rsid w:val="00806664"/>
    <w:rsid w:val="008105EC"/>
    <w:rsid w:val="00810DFC"/>
    <w:rsid w:val="00811F98"/>
    <w:rsid w:val="008137A6"/>
    <w:rsid w:val="0081557B"/>
    <w:rsid w:val="008155CB"/>
    <w:rsid w:val="00816B7B"/>
    <w:rsid w:val="00817483"/>
    <w:rsid w:val="00817C6D"/>
    <w:rsid w:val="008218BC"/>
    <w:rsid w:val="00821FBF"/>
    <w:rsid w:val="008236CA"/>
    <w:rsid w:val="00823CC6"/>
    <w:rsid w:val="008246A6"/>
    <w:rsid w:val="008250B5"/>
    <w:rsid w:val="00825A29"/>
    <w:rsid w:val="0082735D"/>
    <w:rsid w:val="0082763B"/>
    <w:rsid w:val="00830633"/>
    <w:rsid w:val="00831B74"/>
    <w:rsid w:val="00832851"/>
    <w:rsid w:val="00832B50"/>
    <w:rsid w:val="008332AF"/>
    <w:rsid w:val="00833F0F"/>
    <w:rsid w:val="00835B43"/>
    <w:rsid w:val="008370C1"/>
    <w:rsid w:val="00841253"/>
    <w:rsid w:val="00842813"/>
    <w:rsid w:val="0084323B"/>
    <w:rsid w:val="008447BC"/>
    <w:rsid w:val="0084512A"/>
    <w:rsid w:val="008467CB"/>
    <w:rsid w:val="008468C8"/>
    <w:rsid w:val="00846AA5"/>
    <w:rsid w:val="00850CE3"/>
    <w:rsid w:val="00852B46"/>
    <w:rsid w:val="0085331D"/>
    <w:rsid w:val="008533E6"/>
    <w:rsid w:val="0085383E"/>
    <w:rsid w:val="00855450"/>
    <w:rsid w:val="008554AA"/>
    <w:rsid w:val="008557E8"/>
    <w:rsid w:val="00857625"/>
    <w:rsid w:val="00861365"/>
    <w:rsid w:val="00861BBE"/>
    <w:rsid w:val="008641AF"/>
    <w:rsid w:val="0086454E"/>
    <w:rsid w:val="00864DC4"/>
    <w:rsid w:val="0086508A"/>
    <w:rsid w:val="008656F2"/>
    <w:rsid w:val="0086588D"/>
    <w:rsid w:val="00867244"/>
    <w:rsid w:val="00870572"/>
    <w:rsid w:val="0087059B"/>
    <w:rsid w:val="008712C9"/>
    <w:rsid w:val="00871656"/>
    <w:rsid w:val="008721C3"/>
    <w:rsid w:val="00873812"/>
    <w:rsid w:val="00874A63"/>
    <w:rsid w:val="0087640E"/>
    <w:rsid w:val="0088084B"/>
    <w:rsid w:val="008809E6"/>
    <w:rsid w:val="00881232"/>
    <w:rsid w:val="00883422"/>
    <w:rsid w:val="00884DA1"/>
    <w:rsid w:val="00884EDD"/>
    <w:rsid w:val="0088581D"/>
    <w:rsid w:val="00885A9C"/>
    <w:rsid w:val="00885EE5"/>
    <w:rsid w:val="008868DB"/>
    <w:rsid w:val="00887674"/>
    <w:rsid w:val="00890214"/>
    <w:rsid w:val="00892B79"/>
    <w:rsid w:val="00894097"/>
    <w:rsid w:val="00894357"/>
    <w:rsid w:val="00894AC7"/>
    <w:rsid w:val="00896135"/>
    <w:rsid w:val="008A0733"/>
    <w:rsid w:val="008A122E"/>
    <w:rsid w:val="008A1F65"/>
    <w:rsid w:val="008A33D4"/>
    <w:rsid w:val="008A779D"/>
    <w:rsid w:val="008B070A"/>
    <w:rsid w:val="008B2014"/>
    <w:rsid w:val="008B213A"/>
    <w:rsid w:val="008B2428"/>
    <w:rsid w:val="008B48BF"/>
    <w:rsid w:val="008B48E7"/>
    <w:rsid w:val="008B68AA"/>
    <w:rsid w:val="008B73DE"/>
    <w:rsid w:val="008B7815"/>
    <w:rsid w:val="008C011B"/>
    <w:rsid w:val="008C1EF3"/>
    <w:rsid w:val="008C24E2"/>
    <w:rsid w:val="008C2B15"/>
    <w:rsid w:val="008C30C3"/>
    <w:rsid w:val="008C3683"/>
    <w:rsid w:val="008C3AEA"/>
    <w:rsid w:val="008C3D1E"/>
    <w:rsid w:val="008C49BA"/>
    <w:rsid w:val="008C6ACD"/>
    <w:rsid w:val="008C70B7"/>
    <w:rsid w:val="008D1C4B"/>
    <w:rsid w:val="008D4887"/>
    <w:rsid w:val="008D4DD7"/>
    <w:rsid w:val="008D72A0"/>
    <w:rsid w:val="008E0A3E"/>
    <w:rsid w:val="008E1C86"/>
    <w:rsid w:val="008E1E90"/>
    <w:rsid w:val="008E3AEC"/>
    <w:rsid w:val="008E498F"/>
    <w:rsid w:val="008E6BED"/>
    <w:rsid w:val="008E6DF3"/>
    <w:rsid w:val="008F05E2"/>
    <w:rsid w:val="008F0C3E"/>
    <w:rsid w:val="008F30C7"/>
    <w:rsid w:val="008F3688"/>
    <w:rsid w:val="008F4179"/>
    <w:rsid w:val="008F4EF0"/>
    <w:rsid w:val="008F7A45"/>
    <w:rsid w:val="00900EE5"/>
    <w:rsid w:val="009056BF"/>
    <w:rsid w:val="00905A7B"/>
    <w:rsid w:val="009061DB"/>
    <w:rsid w:val="0090627F"/>
    <w:rsid w:val="0090736F"/>
    <w:rsid w:val="00911353"/>
    <w:rsid w:val="00912180"/>
    <w:rsid w:val="009122A9"/>
    <w:rsid w:val="00915CF8"/>
    <w:rsid w:val="0091662F"/>
    <w:rsid w:val="00916CA8"/>
    <w:rsid w:val="00916EDD"/>
    <w:rsid w:val="00917372"/>
    <w:rsid w:val="009202DE"/>
    <w:rsid w:val="00920D96"/>
    <w:rsid w:val="00921B9F"/>
    <w:rsid w:val="00922302"/>
    <w:rsid w:val="0092331A"/>
    <w:rsid w:val="009253E3"/>
    <w:rsid w:val="00926C87"/>
    <w:rsid w:val="00926CE1"/>
    <w:rsid w:val="00933C02"/>
    <w:rsid w:val="00934572"/>
    <w:rsid w:val="00935DBC"/>
    <w:rsid w:val="00936204"/>
    <w:rsid w:val="009363E4"/>
    <w:rsid w:val="0093686F"/>
    <w:rsid w:val="00936989"/>
    <w:rsid w:val="009374BC"/>
    <w:rsid w:val="0094333B"/>
    <w:rsid w:val="00943624"/>
    <w:rsid w:val="00943625"/>
    <w:rsid w:val="009463D6"/>
    <w:rsid w:val="00946BD9"/>
    <w:rsid w:val="009475A2"/>
    <w:rsid w:val="00947784"/>
    <w:rsid w:val="00950E27"/>
    <w:rsid w:val="00952B65"/>
    <w:rsid w:val="00954EE4"/>
    <w:rsid w:val="009564D2"/>
    <w:rsid w:val="0095678E"/>
    <w:rsid w:val="0095793B"/>
    <w:rsid w:val="00960CC3"/>
    <w:rsid w:val="009624DB"/>
    <w:rsid w:val="009656FD"/>
    <w:rsid w:val="00966EBA"/>
    <w:rsid w:val="00967803"/>
    <w:rsid w:val="00971068"/>
    <w:rsid w:val="00972AFD"/>
    <w:rsid w:val="00973842"/>
    <w:rsid w:val="00973E22"/>
    <w:rsid w:val="00974A80"/>
    <w:rsid w:val="00974E0B"/>
    <w:rsid w:val="009776FB"/>
    <w:rsid w:val="0098007D"/>
    <w:rsid w:val="00981104"/>
    <w:rsid w:val="009814AA"/>
    <w:rsid w:val="00981908"/>
    <w:rsid w:val="009820F4"/>
    <w:rsid w:val="009827EA"/>
    <w:rsid w:val="00982808"/>
    <w:rsid w:val="00982D91"/>
    <w:rsid w:val="0098446D"/>
    <w:rsid w:val="009871FC"/>
    <w:rsid w:val="0098753A"/>
    <w:rsid w:val="00987FE3"/>
    <w:rsid w:val="0099155C"/>
    <w:rsid w:val="00992965"/>
    <w:rsid w:val="0099303B"/>
    <w:rsid w:val="00994B27"/>
    <w:rsid w:val="00994D54"/>
    <w:rsid w:val="009971C7"/>
    <w:rsid w:val="009A1D88"/>
    <w:rsid w:val="009A29A6"/>
    <w:rsid w:val="009A39CA"/>
    <w:rsid w:val="009A3C7D"/>
    <w:rsid w:val="009A5143"/>
    <w:rsid w:val="009A58F2"/>
    <w:rsid w:val="009A6174"/>
    <w:rsid w:val="009A74DE"/>
    <w:rsid w:val="009A78EA"/>
    <w:rsid w:val="009A7CCB"/>
    <w:rsid w:val="009B2E35"/>
    <w:rsid w:val="009B359A"/>
    <w:rsid w:val="009B3CCE"/>
    <w:rsid w:val="009B3F4B"/>
    <w:rsid w:val="009B4B62"/>
    <w:rsid w:val="009B5E39"/>
    <w:rsid w:val="009B7060"/>
    <w:rsid w:val="009B7AA7"/>
    <w:rsid w:val="009C050C"/>
    <w:rsid w:val="009C0964"/>
    <w:rsid w:val="009C15EE"/>
    <w:rsid w:val="009C225D"/>
    <w:rsid w:val="009C22E6"/>
    <w:rsid w:val="009C2BA2"/>
    <w:rsid w:val="009C3928"/>
    <w:rsid w:val="009C5E4B"/>
    <w:rsid w:val="009C7048"/>
    <w:rsid w:val="009C73FE"/>
    <w:rsid w:val="009C7BD5"/>
    <w:rsid w:val="009D0742"/>
    <w:rsid w:val="009D1D45"/>
    <w:rsid w:val="009D29A1"/>
    <w:rsid w:val="009D3918"/>
    <w:rsid w:val="009D3C22"/>
    <w:rsid w:val="009D72AE"/>
    <w:rsid w:val="009D7CC3"/>
    <w:rsid w:val="009E0D08"/>
    <w:rsid w:val="009E0DED"/>
    <w:rsid w:val="009E0F3C"/>
    <w:rsid w:val="009E223F"/>
    <w:rsid w:val="009E51A0"/>
    <w:rsid w:val="009E51C1"/>
    <w:rsid w:val="009E51FC"/>
    <w:rsid w:val="009E64D7"/>
    <w:rsid w:val="009E698A"/>
    <w:rsid w:val="009E6A0B"/>
    <w:rsid w:val="009E78B4"/>
    <w:rsid w:val="009F1558"/>
    <w:rsid w:val="009F2EE7"/>
    <w:rsid w:val="009F3C70"/>
    <w:rsid w:val="009F4106"/>
    <w:rsid w:val="009F485F"/>
    <w:rsid w:val="009F69BE"/>
    <w:rsid w:val="00A0032F"/>
    <w:rsid w:val="00A014B4"/>
    <w:rsid w:val="00A02FBB"/>
    <w:rsid w:val="00A03E92"/>
    <w:rsid w:val="00A040AA"/>
    <w:rsid w:val="00A04452"/>
    <w:rsid w:val="00A047BD"/>
    <w:rsid w:val="00A05124"/>
    <w:rsid w:val="00A07293"/>
    <w:rsid w:val="00A11451"/>
    <w:rsid w:val="00A12A2E"/>
    <w:rsid w:val="00A12EE4"/>
    <w:rsid w:val="00A13D7F"/>
    <w:rsid w:val="00A14A24"/>
    <w:rsid w:val="00A15C2C"/>
    <w:rsid w:val="00A175B2"/>
    <w:rsid w:val="00A1773C"/>
    <w:rsid w:val="00A17E4B"/>
    <w:rsid w:val="00A208B9"/>
    <w:rsid w:val="00A20F87"/>
    <w:rsid w:val="00A235DC"/>
    <w:rsid w:val="00A25A7C"/>
    <w:rsid w:val="00A25EF8"/>
    <w:rsid w:val="00A26D38"/>
    <w:rsid w:val="00A26DEF"/>
    <w:rsid w:val="00A2774A"/>
    <w:rsid w:val="00A301C6"/>
    <w:rsid w:val="00A30A3D"/>
    <w:rsid w:val="00A31B53"/>
    <w:rsid w:val="00A33DFF"/>
    <w:rsid w:val="00A3448F"/>
    <w:rsid w:val="00A34551"/>
    <w:rsid w:val="00A34B4E"/>
    <w:rsid w:val="00A34E4E"/>
    <w:rsid w:val="00A351FE"/>
    <w:rsid w:val="00A35B1E"/>
    <w:rsid w:val="00A35FC2"/>
    <w:rsid w:val="00A36F86"/>
    <w:rsid w:val="00A37035"/>
    <w:rsid w:val="00A4002F"/>
    <w:rsid w:val="00A40476"/>
    <w:rsid w:val="00A40E6C"/>
    <w:rsid w:val="00A41ABC"/>
    <w:rsid w:val="00A43118"/>
    <w:rsid w:val="00A431C2"/>
    <w:rsid w:val="00A43749"/>
    <w:rsid w:val="00A46679"/>
    <w:rsid w:val="00A4668C"/>
    <w:rsid w:val="00A47217"/>
    <w:rsid w:val="00A50496"/>
    <w:rsid w:val="00A50514"/>
    <w:rsid w:val="00A51B50"/>
    <w:rsid w:val="00A52AE5"/>
    <w:rsid w:val="00A54826"/>
    <w:rsid w:val="00A54CA4"/>
    <w:rsid w:val="00A54D24"/>
    <w:rsid w:val="00A553EB"/>
    <w:rsid w:val="00A57810"/>
    <w:rsid w:val="00A61343"/>
    <w:rsid w:val="00A6137B"/>
    <w:rsid w:val="00A61E95"/>
    <w:rsid w:val="00A63B23"/>
    <w:rsid w:val="00A6415E"/>
    <w:rsid w:val="00A66D2A"/>
    <w:rsid w:val="00A66ECA"/>
    <w:rsid w:val="00A674EA"/>
    <w:rsid w:val="00A677B2"/>
    <w:rsid w:val="00A67CBF"/>
    <w:rsid w:val="00A67E1A"/>
    <w:rsid w:val="00A7184D"/>
    <w:rsid w:val="00A7202E"/>
    <w:rsid w:val="00A732BE"/>
    <w:rsid w:val="00A734AF"/>
    <w:rsid w:val="00A739CA"/>
    <w:rsid w:val="00A74E7E"/>
    <w:rsid w:val="00A75016"/>
    <w:rsid w:val="00A75B7C"/>
    <w:rsid w:val="00A75F60"/>
    <w:rsid w:val="00A75FC4"/>
    <w:rsid w:val="00A76FB8"/>
    <w:rsid w:val="00A774AC"/>
    <w:rsid w:val="00A806F9"/>
    <w:rsid w:val="00A83362"/>
    <w:rsid w:val="00A84407"/>
    <w:rsid w:val="00A857EC"/>
    <w:rsid w:val="00A86B39"/>
    <w:rsid w:val="00A87388"/>
    <w:rsid w:val="00A925AE"/>
    <w:rsid w:val="00A92B2C"/>
    <w:rsid w:val="00A92CA1"/>
    <w:rsid w:val="00A9337E"/>
    <w:rsid w:val="00A94AFC"/>
    <w:rsid w:val="00A95474"/>
    <w:rsid w:val="00A96313"/>
    <w:rsid w:val="00A97A85"/>
    <w:rsid w:val="00AA05E8"/>
    <w:rsid w:val="00AA32F5"/>
    <w:rsid w:val="00AA35B7"/>
    <w:rsid w:val="00AA6231"/>
    <w:rsid w:val="00AA7530"/>
    <w:rsid w:val="00AA7589"/>
    <w:rsid w:val="00AB11E4"/>
    <w:rsid w:val="00AB1352"/>
    <w:rsid w:val="00AB138A"/>
    <w:rsid w:val="00AB3FF9"/>
    <w:rsid w:val="00AB4C44"/>
    <w:rsid w:val="00AB5867"/>
    <w:rsid w:val="00AB5F5C"/>
    <w:rsid w:val="00AB6844"/>
    <w:rsid w:val="00AB78B3"/>
    <w:rsid w:val="00AC354A"/>
    <w:rsid w:val="00AC4B71"/>
    <w:rsid w:val="00AC5041"/>
    <w:rsid w:val="00AD041B"/>
    <w:rsid w:val="00AD2ACB"/>
    <w:rsid w:val="00AD47C4"/>
    <w:rsid w:val="00AD4EE5"/>
    <w:rsid w:val="00AD5E11"/>
    <w:rsid w:val="00AD6240"/>
    <w:rsid w:val="00AD7F09"/>
    <w:rsid w:val="00AE0AB5"/>
    <w:rsid w:val="00AE20E0"/>
    <w:rsid w:val="00AE22BD"/>
    <w:rsid w:val="00AE2721"/>
    <w:rsid w:val="00AE2EC3"/>
    <w:rsid w:val="00AE4620"/>
    <w:rsid w:val="00AE6A56"/>
    <w:rsid w:val="00AE6D04"/>
    <w:rsid w:val="00AE6FFD"/>
    <w:rsid w:val="00AF0414"/>
    <w:rsid w:val="00AF041C"/>
    <w:rsid w:val="00AF180F"/>
    <w:rsid w:val="00AF185C"/>
    <w:rsid w:val="00AF37C5"/>
    <w:rsid w:val="00AF4E77"/>
    <w:rsid w:val="00AF50B4"/>
    <w:rsid w:val="00AF5B5F"/>
    <w:rsid w:val="00AF5CCC"/>
    <w:rsid w:val="00AF7B63"/>
    <w:rsid w:val="00B004A7"/>
    <w:rsid w:val="00B00FD6"/>
    <w:rsid w:val="00B015E4"/>
    <w:rsid w:val="00B01945"/>
    <w:rsid w:val="00B0198E"/>
    <w:rsid w:val="00B01C08"/>
    <w:rsid w:val="00B02C4E"/>
    <w:rsid w:val="00B03A3A"/>
    <w:rsid w:val="00B067DE"/>
    <w:rsid w:val="00B10215"/>
    <w:rsid w:val="00B10572"/>
    <w:rsid w:val="00B12C3B"/>
    <w:rsid w:val="00B12F3D"/>
    <w:rsid w:val="00B131CC"/>
    <w:rsid w:val="00B14ECA"/>
    <w:rsid w:val="00B206B1"/>
    <w:rsid w:val="00B2208E"/>
    <w:rsid w:val="00B2252D"/>
    <w:rsid w:val="00B23F61"/>
    <w:rsid w:val="00B245BC"/>
    <w:rsid w:val="00B246B8"/>
    <w:rsid w:val="00B253EC"/>
    <w:rsid w:val="00B27324"/>
    <w:rsid w:val="00B279DF"/>
    <w:rsid w:val="00B308B6"/>
    <w:rsid w:val="00B30C6F"/>
    <w:rsid w:val="00B30DCA"/>
    <w:rsid w:val="00B31382"/>
    <w:rsid w:val="00B31FFB"/>
    <w:rsid w:val="00B35ED1"/>
    <w:rsid w:val="00B36AAC"/>
    <w:rsid w:val="00B3711C"/>
    <w:rsid w:val="00B40332"/>
    <w:rsid w:val="00B41193"/>
    <w:rsid w:val="00B436A2"/>
    <w:rsid w:val="00B45BDE"/>
    <w:rsid w:val="00B46393"/>
    <w:rsid w:val="00B469DA"/>
    <w:rsid w:val="00B46C31"/>
    <w:rsid w:val="00B46EE4"/>
    <w:rsid w:val="00B47493"/>
    <w:rsid w:val="00B47552"/>
    <w:rsid w:val="00B475A9"/>
    <w:rsid w:val="00B47EC5"/>
    <w:rsid w:val="00B50425"/>
    <w:rsid w:val="00B50CDE"/>
    <w:rsid w:val="00B522F4"/>
    <w:rsid w:val="00B533D6"/>
    <w:rsid w:val="00B537E6"/>
    <w:rsid w:val="00B5418F"/>
    <w:rsid w:val="00B54253"/>
    <w:rsid w:val="00B54F1B"/>
    <w:rsid w:val="00B55A6D"/>
    <w:rsid w:val="00B55A7E"/>
    <w:rsid w:val="00B57E9F"/>
    <w:rsid w:val="00B57EB8"/>
    <w:rsid w:val="00B60ACB"/>
    <w:rsid w:val="00B6143D"/>
    <w:rsid w:val="00B61450"/>
    <w:rsid w:val="00B63140"/>
    <w:rsid w:val="00B6342B"/>
    <w:rsid w:val="00B64EB2"/>
    <w:rsid w:val="00B657F9"/>
    <w:rsid w:val="00B6669F"/>
    <w:rsid w:val="00B66D9C"/>
    <w:rsid w:val="00B67FDF"/>
    <w:rsid w:val="00B716AB"/>
    <w:rsid w:val="00B718C8"/>
    <w:rsid w:val="00B726A3"/>
    <w:rsid w:val="00B72CB7"/>
    <w:rsid w:val="00B73F65"/>
    <w:rsid w:val="00B74663"/>
    <w:rsid w:val="00B76C57"/>
    <w:rsid w:val="00B778C2"/>
    <w:rsid w:val="00B77943"/>
    <w:rsid w:val="00B77E1F"/>
    <w:rsid w:val="00B80A09"/>
    <w:rsid w:val="00B80F02"/>
    <w:rsid w:val="00B815D0"/>
    <w:rsid w:val="00B8202A"/>
    <w:rsid w:val="00B83409"/>
    <w:rsid w:val="00B84310"/>
    <w:rsid w:val="00B84E27"/>
    <w:rsid w:val="00B8575A"/>
    <w:rsid w:val="00B87479"/>
    <w:rsid w:val="00B87D8F"/>
    <w:rsid w:val="00B90E01"/>
    <w:rsid w:val="00B910C5"/>
    <w:rsid w:val="00B92BDB"/>
    <w:rsid w:val="00B94184"/>
    <w:rsid w:val="00B945DE"/>
    <w:rsid w:val="00B94F3D"/>
    <w:rsid w:val="00B95BDF"/>
    <w:rsid w:val="00B97378"/>
    <w:rsid w:val="00BA09A2"/>
    <w:rsid w:val="00BA1265"/>
    <w:rsid w:val="00BA168E"/>
    <w:rsid w:val="00BA279F"/>
    <w:rsid w:val="00BA2A71"/>
    <w:rsid w:val="00BA3BD3"/>
    <w:rsid w:val="00BA3CC5"/>
    <w:rsid w:val="00BA3EAE"/>
    <w:rsid w:val="00BA5BA4"/>
    <w:rsid w:val="00BA7075"/>
    <w:rsid w:val="00BA7298"/>
    <w:rsid w:val="00BB1CD5"/>
    <w:rsid w:val="00BB1D70"/>
    <w:rsid w:val="00BB2D02"/>
    <w:rsid w:val="00BB2FC8"/>
    <w:rsid w:val="00BB3221"/>
    <w:rsid w:val="00BB43E8"/>
    <w:rsid w:val="00BB46E4"/>
    <w:rsid w:val="00BB5951"/>
    <w:rsid w:val="00BB5B18"/>
    <w:rsid w:val="00BB6352"/>
    <w:rsid w:val="00BC313B"/>
    <w:rsid w:val="00BC4210"/>
    <w:rsid w:val="00BC5B2B"/>
    <w:rsid w:val="00BC6CBD"/>
    <w:rsid w:val="00BC749F"/>
    <w:rsid w:val="00BD0E19"/>
    <w:rsid w:val="00BD12B1"/>
    <w:rsid w:val="00BD229A"/>
    <w:rsid w:val="00BD2CB6"/>
    <w:rsid w:val="00BD3485"/>
    <w:rsid w:val="00BD3F6E"/>
    <w:rsid w:val="00BD3FBF"/>
    <w:rsid w:val="00BD4818"/>
    <w:rsid w:val="00BD4C96"/>
    <w:rsid w:val="00BD57B8"/>
    <w:rsid w:val="00BD6F3F"/>
    <w:rsid w:val="00BD7500"/>
    <w:rsid w:val="00BE1DE6"/>
    <w:rsid w:val="00BE22C2"/>
    <w:rsid w:val="00BE2A10"/>
    <w:rsid w:val="00BE2DB8"/>
    <w:rsid w:val="00BE32A3"/>
    <w:rsid w:val="00BE355E"/>
    <w:rsid w:val="00BE3743"/>
    <w:rsid w:val="00BE3AF3"/>
    <w:rsid w:val="00BE5AF5"/>
    <w:rsid w:val="00BE6824"/>
    <w:rsid w:val="00BE767B"/>
    <w:rsid w:val="00BF0E83"/>
    <w:rsid w:val="00BF1278"/>
    <w:rsid w:val="00BF24C6"/>
    <w:rsid w:val="00BF2F60"/>
    <w:rsid w:val="00BF3E3F"/>
    <w:rsid w:val="00BF45E1"/>
    <w:rsid w:val="00BF5E2E"/>
    <w:rsid w:val="00BF678A"/>
    <w:rsid w:val="00BF7B1C"/>
    <w:rsid w:val="00BF7EEC"/>
    <w:rsid w:val="00C00A52"/>
    <w:rsid w:val="00C00B80"/>
    <w:rsid w:val="00C01B4F"/>
    <w:rsid w:val="00C02277"/>
    <w:rsid w:val="00C02632"/>
    <w:rsid w:val="00C02692"/>
    <w:rsid w:val="00C03046"/>
    <w:rsid w:val="00C04356"/>
    <w:rsid w:val="00C04621"/>
    <w:rsid w:val="00C07325"/>
    <w:rsid w:val="00C1188F"/>
    <w:rsid w:val="00C11E49"/>
    <w:rsid w:val="00C128DF"/>
    <w:rsid w:val="00C14601"/>
    <w:rsid w:val="00C149B0"/>
    <w:rsid w:val="00C17BFE"/>
    <w:rsid w:val="00C17E5F"/>
    <w:rsid w:val="00C20095"/>
    <w:rsid w:val="00C20A74"/>
    <w:rsid w:val="00C217D6"/>
    <w:rsid w:val="00C21A7E"/>
    <w:rsid w:val="00C21B52"/>
    <w:rsid w:val="00C21CD0"/>
    <w:rsid w:val="00C22980"/>
    <w:rsid w:val="00C2346C"/>
    <w:rsid w:val="00C23AB5"/>
    <w:rsid w:val="00C23D2E"/>
    <w:rsid w:val="00C23F97"/>
    <w:rsid w:val="00C24787"/>
    <w:rsid w:val="00C25E9D"/>
    <w:rsid w:val="00C269B3"/>
    <w:rsid w:val="00C26FDD"/>
    <w:rsid w:val="00C3028A"/>
    <w:rsid w:val="00C30AB4"/>
    <w:rsid w:val="00C31C1B"/>
    <w:rsid w:val="00C31F72"/>
    <w:rsid w:val="00C32141"/>
    <w:rsid w:val="00C3244B"/>
    <w:rsid w:val="00C33F4E"/>
    <w:rsid w:val="00C34686"/>
    <w:rsid w:val="00C34C53"/>
    <w:rsid w:val="00C35C51"/>
    <w:rsid w:val="00C35E95"/>
    <w:rsid w:val="00C36E3E"/>
    <w:rsid w:val="00C4002B"/>
    <w:rsid w:val="00C40DA2"/>
    <w:rsid w:val="00C40F9C"/>
    <w:rsid w:val="00C416E4"/>
    <w:rsid w:val="00C41CD0"/>
    <w:rsid w:val="00C420DB"/>
    <w:rsid w:val="00C424CF"/>
    <w:rsid w:val="00C42959"/>
    <w:rsid w:val="00C4437B"/>
    <w:rsid w:val="00C46706"/>
    <w:rsid w:val="00C46787"/>
    <w:rsid w:val="00C46BC7"/>
    <w:rsid w:val="00C47605"/>
    <w:rsid w:val="00C47FD6"/>
    <w:rsid w:val="00C500FD"/>
    <w:rsid w:val="00C50D5F"/>
    <w:rsid w:val="00C51839"/>
    <w:rsid w:val="00C548D2"/>
    <w:rsid w:val="00C56617"/>
    <w:rsid w:val="00C56F29"/>
    <w:rsid w:val="00C60C56"/>
    <w:rsid w:val="00C61734"/>
    <w:rsid w:val="00C61FB3"/>
    <w:rsid w:val="00C6216F"/>
    <w:rsid w:val="00C622A2"/>
    <w:rsid w:val="00C62640"/>
    <w:rsid w:val="00C62C31"/>
    <w:rsid w:val="00C65B09"/>
    <w:rsid w:val="00C6602C"/>
    <w:rsid w:val="00C66775"/>
    <w:rsid w:val="00C679A3"/>
    <w:rsid w:val="00C7008A"/>
    <w:rsid w:val="00C70AFC"/>
    <w:rsid w:val="00C71439"/>
    <w:rsid w:val="00C72379"/>
    <w:rsid w:val="00C72A54"/>
    <w:rsid w:val="00C73895"/>
    <w:rsid w:val="00C74EB5"/>
    <w:rsid w:val="00C752C8"/>
    <w:rsid w:val="00C80FF1"/>
    <w:rsid w:val="00C81245"/>
    <w:rsid w:val="00C81474"/>
    <w:rsid w:val="00C81C23"/>
    <w:rsid w:val="00C82430"/>
    <w:rsid w:val="00C82EB3"/>
    <w:rsid w:val="00C832E8"/>
    <w:rsid w:val="00C83982"/>
    <w:rsid w:val="00C846EA"/>
    <w:rsid w:val="00C85DCD"/>
    <w:rsid w:val="00C86A7F"/>
    <w:rsid w:val="00C86AD7"/>
    <w:rsid w:val="00C91FFE"/>
    <w:rsid w:val="00C92563"/>
    <w:rsid w:val="00C92F4B"/>
    <w:rsid w:val="00C9488E"/>
    <w:rsid w:val="00C9694B"/>
    <w:rsid w:val="00C96D63"/>
    <w:rsid w:val="00CA0B8A"/>
    <w:rsid w:val="00CA140D"/>
    <w:rsid w:val="00CA1D32"/>
    <w:rsid w:val="00CA2945"/>
    <w:rsid w:val="00CA32C5"/>
    <w:rsid w:val="00CA3473"/>
    <w:rsid w:val="00CA37C8"/>
    <w:rsid w:val="00CA4AAB"/>
    <w:rsid w:val="00CA50F8"/>
    <w:rsid w:val="00CA5949"/>
    <w:rsid w:val="00CA6551"/>
    <w:rsid w:val="00CA66DE"/>
    <w:rsid w:val="00CA69D5"/>
    <w:rsid w:val="00CB08FC"/>
    <w:rsid w:val="00CB138F"/>
    <w:rsid w:val="00CB1F37"/>
    <w:rsid w:val="00CB2A1B"/>
    <w:rsid w:val="00CB509A"/>
    <w:rsid w:val="00CB54C2"/>
    <w:rsid w:val="00CB5AEF"/>
    <w:rsid w:val="00CB5D69"/>
    <w:rsid w:val="00CB67F3"/>
    <w:rsid w:val="00CB69ED"/>
    <w:rsid w:val="00CB6C8A"/>
    <w:rsid w:val="00CC098A"/>
    <w:rsid w:val="00CC14F1"/>
    <w:rsid w:val="00CC16B8"/>
    <w:rsid w:val="00CC2DC9"/>
    <w:rsid w:val="00CC45D2"/>
    <w:rsid w:val="00CC65EA"/>
    <w:rsid w:val="00CC7D3E"/>
    <w:rsid w:val="00CD03A0"/>
    <w:rsid w:val="00CD3913"/>
    <w:rsid w:val="00CD4768"/>
    <w:rsid w:val="00CD4C18"/>
    <w:rsid w:val="00CE3759"/>
    <w:rsid w:val="00CE5F49"/>
    <w:rsid w:val="00CE6F01"/>
    <w:rsid w:val="00CF13D5"/>
    <w:rsid w:val="00CF1B99"/>
    <w:rsid w:val="00CF21AC"/>
    <w:rsid w:val="00CF28EF"/>
    <w:rsid w:val="00CF2B7E"/>
    <w:rsid w:val="00CF405D"/>
    <w:rsid w:val="00CF500F"/>
    <w:rsid w:val="00CF627B"/>
    <w:rsid w:val="00CF6E9E"/>
    <w:rsid w:val="00CF7646"/>
    <w:rsid w:val="00D000E3"/>
    <w:rsid w:val="00D0012A"/>
    <w:rsid w:val="00D0194E"/>
    <w:rsid w:val="00D01C6B"/>
    <w:rsid w:val="00D02CDE"/>
    <w:rsid w:val="00D03059"/>
    <w:rsid w:val="00D07D34"/>
    <w:rsid w:val="00D108E2"/>
    <w:rsid w:val="00D11394"/>
    <w:rsid w:val="00D16FFF"/>
    <w:rsid w:val="00D17637"/>
    <w:rsid w:val="00D17FB0"/>
    <w:rsid w:val="00D200E9"/>
    <w:rsid w:val="00D204D0"/>
    <w:rsid w:val="00D23055"/>
    <w:rsid w:val="00D23245"/>
    <w:rsid w:val="00D23834"/>
    <w:rsid w:val="00D25792"/>
    <w:rsid w:val="00D25E5F"/>
    <w:rsid w:val="00D26492"/>
    <w:rsid w:val="00D265F8"/>
    <w:rsid w:val="00D27497"/>
    <w:rsid w:val="00D307C0"/>
    <w:rsid w:val="00D31436"/>
    <w:rsid w:val="00D319A5"/>
    <w:rsid w:val="00D33641"/>
    <w:rsid w:val="00D33C4C"/>
    <w:rsid w:val="00D33CA2"/>
    <w:rsid w:val="00D34D06"/>
    <w:rsid w:val="00D36A89"/>
    <w:rsid w:val="00D373AE"/>
    <w:rsid w:val="00D37592"/>
    <w:rsid w:val="00D40B7A"/>
    <w:rsid w:val="00D431B7"/>
    <w:rsid w:val="00D44F0D"/>
    <w:rsid w:val="00D4541A"/>
    <w:rsid w:val="00D45BBB"/>
    <w:rsid w:val="00D45D47"/>
    <w:rsid w:val="00D46648"/>
    <w:rsid w:val="00D47335"/>
    <w:rsid w:val="00D50686"/>
    <w:rsid w:val="00D51159"/>
    <w:rsid w:val="00D51FBF"/>
    <w:rsid w:val="00D52514"/>
    <w:rsid w:val="00D52C77"/>
    <w:rsid w:val="00D56087"/>
    <w:rsid w:val="00D57D44"/>
    <w:rsid w:val="00D60DC0"/>
    <w:rsid w:val="00D61432"/>
    <w:rsid w:val="00D62128"/>
    <w:rsid w:val="00D62B06"/>
    <w:rsid w:val="00D658B9"/>
    <w:rsid w:val="00D65D74"/>
    <w:rsid w:val="00D67CF4"/>
    <w:rsid w:val="00D70E7E"/>
    <w:rsid w:val="00D72823"/>
    <w:rsid w:val="00D72961"/>
    <w:rsid w:val="00D72B08"/>
    <w:rsid w:val="00D73A10"/>
    <w:rsid w:val="00D73ECA"/>
    <w:rsid w:val="00D75AEE"/>
    <w:rsid w:val="00D76090"/>
    <w:rsid w:val="00D76847"/>
    <w:rsid w:val="00D77339"/>
    <w:rsid w:val="00D77D00"/>
    <w:rsid w:val="00D81A19"/>
    <w:rsid w:val="00D81FD1"/>
    <w:rsid w:val="00D832D7"/>
    <w:rsid w:val="00D83596"/>
    <w:rsid w:val="00D848F0"/>
    <w:rsid w:val="00D85403"/>
    <w:rsid w:val="00D85A90"/>
    <w:rsid w:val="00D90753"/>
    <w:rsid w:val="00D910C8"/>
    <w:rsid w:val="00D9165A"/>
    <w:rsid w:val="00D91A12"/>
    <w:rsid w:val="00D92DB2"/>
    <w:rsid w:val="00D94A7F"/>
    <w:rsid w:val="00D95D3D"/>
    <w:rsid w:val="00D95F22"/>
    <w:rsid w:val="00D97129"/>
    <w:rsid w:val="00DA07A2"/>
    <w:rsid w:val="00DA0FE9"/>
    <w:rsid w:val="00DA1F14"/>
    <w:rsid w:val="00DA3547"/>
    <w:rsid w:val="00DA3CA9"/>
    <w:rsid w:val="00DA4AA0"/>
    <w:rsid w:val="00DA5D73"/>
    <w:rsid w:val="00DB0374"/>
    <w:rsid w:val="00DB0774"/>
    <w:rsid w:val="00DB3794"/>
    <w:rsid w:val="00DB4899"/>
    <w:rsid w:val="00DB5FD6"/>
    <w:rsid w:val="00DB653E"/>
    <w:rsid w:val="00DB6F40"/>
    <w:rsid w:val="00DB73EE"/>
    <w:rsid w:val="00DC236E"/>
    <w:rsid w:val="00DC3CF2"/>
    <w:rsid w:val="00DC49B6"/>
    <w:rsid w:val="00DD0013"/>
    <w:rsid w:val="00DD011C"/>
    <w:rsid w:val="00DD2150"/>
    <w:rsid w:val="00DD3797"/>
    <w:rsid w:val="00DD5220"/>
    <w:rsid w:val="00DD5EF7"/>
    <w:rsid w:val="00DD6347"/>
    <w:rsid w:val="00DD7BF2"/>
    <w:rsid w:val="00DE1DA3"/>
    <w:rsid w:val="00DE5247"/>
    <w:rsid w:val="00DE5A12"/>
    <w:rsid w:val="00DE5BCB"/>
    <w:rsid w:val="00DE71CE"/>
    <w:rsid w:val="00DE7308"/>
    <w:rsid w:val="00DE7CE0"/>
    <w:rsid w:val="00DE7FB0"/>
    <w:rsid w:val="00DF0044"/>
    <w:rsid w:val="00DF1F6B"/>
    <w:rsid w:val="00DF2B3C"/>
    <w:rsid w:val="00DF2B97"/>
    <w:rsid w:val="00DF4DD9"/>
    <w:rsid w:val="00DF620E"/>
    <w:rsid w:val="00DF6CD4"/>
    <w:rsid w:val="00E00036"/>
    <w:rsid w:val="00E0075D"/>
    <w:rsid w:val="00E034C7"/>
    <w:rsid w:val="00E04016"/>
    <w:rsid w:val="00E040F2"/>
    <w:rsid w:val="00E051B1"/>
    <w:rsid w:val="00E052B5"/>
    <w:rsid w:val="00E07412"/>
    <w:rsid w:val="00E10A74"/>
    <w:rsid w:val="00E125B1"/>
    <w:rsid w:val="00E12948"/>
    <w:rsid w:val="00E13819"/>
    <w:rsid w:val="00E1465E"/>
    <w:rsid w:val="00E14FF4"/>
    <w:rsid w:val="00E157B4"/>
    <w:rsid w:val="00E172EA"/>
    <w:rsid w:val="00E21794"/>
    <w:rsid w:val="00E258C2"/>
    <w:rsid w:val="00E25931"/>
    <w:rsid w:val="00E26548"/>
    <w:rsid w:val="00E308DC"/>
    <w:rsid w:val="00E30FE1"/>
    <w:rsid w:val="00E313E4"/>
    <w:rsid w:val="00E31CF8"/>
    <w:rsid w:val="00E31E20"/>
    <w:rsid w:val="00E329E9"/>
    <w:rsid w:val="00E33374"/>
    <w:rsid w:val="00E34AEF"/>
    <w:rsid w:val="00E354AE"/>
    <w:rsid w:val="00E3632E"/>
    <w:rsid w:val="00E36EED"/>
    <w:rsid w:val="00E371A6"/>
    <w:rsid w:val="00E3782E"/>
    <w:rsid w:val="00E40A8E"/>
    <w:rsid w:val="00E410E9"/>
    <w:rsid w:val="00E42151"/>
    <w:rsid w:val="00E4457C"/>
    <w:rsid w:val="00E448EC"/>
    <w:rsid w:val="00E505E1"/>
    <w:rsid w:val="00E5150D"/>
    <w:rsid w:val="00E51CE0"/>
    <w:rsid w:val="00E51F32"/>
    <w:rsid w:val="00E52D10"/>
    <w:rsid w:val="00E52E4F"/>
    <w:rsid w:val="00E52F25"/>
    <w:rsid w:val="00E55634"/>
    <w:rsid w:val="00E5577E"/>
    <w:rsid w:val="00E55E1B"/>
    <w:rsid w:val="00E5623A"/>
    <w:rsid w:val="00E56F47"/>
    <w:rsid w:val="00E57EAC"/>
    <w:rsid w:val="00E601C1"/>
    <w:rsid w:val="00E624A1"/>
    <w:rsid w:val="00E636A1"/>
    <w:rsid w:val="00E63BBA"/>
    <w:rsid w:val="00E66312"/>
    <w:rsid w:val="00E6660A"/>
    <w:rsid w:val="00E6762B"/>
    <w:rsid w:val="00E67F75"/>
    <w:rsid w:val="00E70040"/>
    <w:rsid w:val="00E70267"/>
    <w:rsid w:val="00E70EBC"/>
    <w:rsid w:val="00E71473"/>
    <w:rsid w:val="00E7242C"/>
    <w:rsid w:val="00E730D3"/>
    <w:rsid w:val="00E73AD7"/>
    <w:rsid w:val="00E7418F"/>
    <w:rsid w:val="00E74D52"/>
    <w:rsid w:val="00E7536F"/>
    <w:rsid w:val="00E759B3"/>
    <w:rsid w:val="00E76C46"/>
    <w:rsid w:val="00E76D3C"/>
    <w:rsid w:val="00E77092"/>
    <w:rsid w:val="00E803C6"/>
    <w:rsid w:val="00E8090A"/>
    <w:rsid w:val="00E81E15"/>
    <w:rsid w:val="00E82116"/>
    <w:rsid w:val="00E8295E"/>
    <w:rsid w:val="00E832CC"/>
    <w:rsid w:val="00E8652B"/>
    <w:rsid w:val="00E91871"/>
    <w:rsid w:val="00E92CF4"/>
    <w:rsid w:val="00E93A04"/>
    <w:rsid w:val="00E944AA"/>
    <w:rsid w:val="00E94D60"/>
    <w:rsid w:val="00E9532A"/>
    <w:rsid w:val="00E95449"/>
    <w:rsid w:val="00E96501"/>
    <w:rsid w:val="00E96C4A"/>
    <w:rsid w:val="00E97948"/>
    <w:rsid w:val="00E97F1B"/>
    <w:rsid w:val="00EA08E5"/>
    <w:rsid w:val="00EA1272"/>
    <w:rsid w:val="00EA45E0"/>
    <w:rsid w:val="00EA4B87"/>
    <w:rsid w:val="00EA69F9"/>
    <w:rsid w:val="00EA74D4"/>
    <w:rsid w:val="00EB181B"/>
    <w:rsid w:val="00EB1FC0"/>
    <w:rsid w:val="00EB223E"/>
    <w:rsid w:val="00EB2C21"/>
    <w:rsid w:val="00EB31E0"/>
    <w:rsid w:val="00EB35B0"/>
    <w:rsid w:val="00EB3889"/>
    <w:rsid w:val="00EB3D7C"/>
    <w:rsid w:val="00EB4533"/>
    <w:rsid w:val="00EB45BA"/>
    <w:rsid w:val="00EB46D3"/>
    <w:rsid w:val="00EB5EEE"/>
    <w:rsid w:val="00EB6533"/>
    <w:rsid w:val="00EB695F"/>
    <w:rsid w:val="00EB723F"/>
    <w:rsid w:val="00EC185D"/>
    <w:rsid w:val="00EC31C3"/>
    <w:rsid w:val="00EC5D05"/>
    <w:rsid w:val="00ED0F5A"/>
    <w:rsid w:val="00ED2BCB"/>
    <w:rsid w:val="00ED3BDA"/>
    <w:rsid w:val="00ED417A"/>
    <w:rsid w:val="00ED5304"/>
    <w:rsid w:val="00ED593B"/>
    <w:rsid w:val="00ED6B70"/>
    <w:rsid w:val="00ED6BD9"/>
    <w:rsid w:val="00ED7485"/>
    <w:rsid w:val="00ED76C6"/>
    <w:rsid w:val="00ED7C08"/>
    <w:rsid w:val="00EE0A86"/>
    <w:rsid w:val="00EE133D"/>
    <w:rsid w:val="00EE3FAD"/>
    <w:rsid w:val="00EE5E8F"/>
    <w:rsid w:val="00EE6C89"/>
    <w:rsid w:val="00EF0366"/>
    <w:rsid w:val="00EF1376"/>
    <w:rsid w:val="00EF139D"/>
    <w:rsid w:val="00EF2A37"/>
    <w:rsid w:val="00EF342B"/>
    <w:rsid w:val="00EF48BF"/>
    <w:rsid w:val="00EF56FD"/>
    <w:rsid w:val="00EF575D"/>
    <w:rsid w:val="00EF57EE"/>
    <w:rsid w:val="00F000AE"/>
    <w:rsid w:val="00F022C1"/>
    <w:rsid w:val="00F025A7"/>
    <w:rsid w:val="00F038F5"/>
    <w:rsid w:val="00F05CCC"/>
    <w:rsid w:val="00F05F33"/>
    <w:rsid w:val="00F06449"/>
    <w:rsid w:val="00F074C9"/>
    <w:rsid w:val="00F10D6A"/>
    <w:rsid w:val="00F11FF4"/>
    <w:rsid w:val="00F14728"/>
    <w:rsid w:val="00F15556"/>
    <w:rsid w:val="00F155C7"/>
    <w:rsid w:val="00F17666"/>
    <w:rsid w:val="00F20258"/>
    <w:rsid w:val="00F20DDC"/>
    <w:rsid w:val="00F20FDF"/>
    <w:rsid w:val="00F2238C"/>
    <w:rsid w:val="00F2428A"/>
    <w:rsid w:val="00F245BC"/>
    <w:rsid w:val="00F2575D"/>
    <w:rsid w:val="00F26A1D"/>
    <w:rsid w:val="00F27385"/>
    <w:rsid w:val="00F30A62"/>
    <w:rsid w:val="00F31D0A"/>
    <w:rsid w:val="00F31FF0"/>
    <w:rsid w:val="00F32E5F"/>
    <w:rsid w:val="00F33A40"/>
    <w:rsid w:val="00F33A96"/>
    <w:rsid w:val="00F34AD2"/>
    <w:rsid w:val="00F35167"/>
    <w:rsid w:val="00F357F9"/>
    <w:rsid w:val="00F35DDE"/>
    <w:rsid w:val="00F36330"/>
    <w:rsid w:val="00F379C5"/>
    <w:rsid w:val="00F40E1D"/>
    <w:rsid w:val="00F412FD"/>
    <w:rsid w:val="00F41571"/>
    <w:rsid w:val="00F415A7"/>
    <w:rsid w:val="00F41BAC"/>
    <w:rsid w:val="00F44915"/>
    <w:rsid w:val="00F44C53"/>
    <w:rsid w:val="00F44ECB"/>
    <w:rsid w:val="00F44FEC"/>
    <w:rsid w:val="00F45348"/>
    <w:rsid w:val="00F45D18"/>
    <w:rsid w:val="00F4609C"/>
    <w:rsid w:val="00F46554"/>
    <w:rsid w:val="00F471CF"/>
    <w:rsid w:val="00F472EC"/>
    <w:rsid w:val="00F500B3"/>
    <w:rsid w:val="00F5139B"/>
    <w:rsid w:val="00F51E80"/>
    <w:rsid w:val="00F524FD"/>
    <w:rsid w:val="00F52966"/>
    <w:rsid w:val="00F53D35"/>
    <w:rsid w:val="00F552B4"/>
    <w:rsid w:val="00F56020"/>
    <w:rsid w:val="00F5692A"/>
    <w:rsid w:val="00F572CA"/>
    <w:rsid w:val="00F5756F"/>
    <w:rsid w:val="00F60269"/>
    <w:rsid w:val="00F6068E"/>
    <w:rsid w:val="00F6154E"/>
    <w:rsid w:val="00F6189B"/>
    <w:rsid w:val="00F6267B"/>
    <w:rsid w:val="00F62704"/>
    <w:rsid w:val="00F630AA"/>
    <w:rsid w:val="00F641C9"/>
    <w:rsid w:val="00F6578D"/>
    <w:rsid w:val="00F66645"/>
    <w:rsid w:val="00F67F61"/>
    <w:rsid w:val="00F70556"/>
    <w:rsid w:val="00F71C5A"/>
    <w:rsid w:val="00F72272"/>
    <w:rsid w:val="00F722FA"/>
    <w:rsid w:val="00F72BE4"/>
    <w:rsid w:val="00F72CD0"/>
    <w:rsid w:val="00F73CDF"/>
    <w:rsid w:val="00F73F91"/>
    <w:rsid w:val="00F747AE"/>
    <w:rsid w:val="00F75EC5"/>
    <w:rsid w:val="00F763A8"/>
    <w:rsid w:val="00F77716"/>
    <w:rsid w:val="00F77B1A"/>
    <w:rsid w:val="00F82687"/>
    <w:rsid w:val="00F826DF"/>
    <w:rsid w:val="00F827D3"/>
    <w:rsid w:val="00F831BB"/>
    <w:rsid w:val="00F86507"/>
    <w:rsid w:val="00F91112"/>
    <w:rsid w:val="00F91CA7"/>
    <w:rsid w:val="00F9236F"/>
    <w:rsid w:val="00F932B3"/>
    <w:rsid w:val="00F9510F"/>
    <w:rsid w:val="00FA216B"/>
    <w:rsid w:val="00FA37A7"/>
    <w:rsid w:val="00FA5B60"/>
    <w:rsid w:val="00FB00F7"/>
    <w:rsid w:val="00FB0230"/>
    <w:rsid w:val="00FB0446"/>
    <w:rsid w:val="00FB1B01"/>
    <w:rsid w:val="00FB1B5C"/>
    <w:rsid w:val="00FB3A19"/>
    <w:rsid w:val="00FB3EB1"/>
    <w:rsid w:val="00FB403D"/>
    <w:rsid w:val="00FB4774"/>
    <w:rsid w:val="00FB4C28"/>
    <w:rsid w:val="00FB51C2"/>
    <w:rsid w:val="00FB58E9"/>
    <w:rsid w:val="00FB5DB2"/>
    <w:rsid w:val="00FC30D8"/>
    <w:rsid w:val="00FC36AD"/>
    <w:rsid w:val="00FC40CD"/>
    <w:rsid w:val="00FC457A"/>
    <w:rsid w:val="00FC48F9"/>
    <w:rsid w:val="00FC5D39"/>
    <w:rsid w:val="00FC6843"/>
    <w:rsid w:val="00FC79B6"/>
    <w:rsid w:val="00FD0648"/>
    <w:rsid w:val="00FD0754"/>
    <w:rsid w:val="00FD114E"/>
    <w:rsid w:val="00FD124F"/>
    <w:rsid w:val="00FD193C"/>
    <w:rsid w:val="00FD2100"/>
    <w:rsid w:val="00FD25A1"/>
    <w:rsid w:val="00FD2C2B"/>
    <w:rsid w:val="00FD3FBE"/>
    <w:rsid w:val="00FD43EE"/>
    <w:rsid w:val="00FD4623"/>
    <w:rsid w:val="00FD4CB2"/>
    <w:rsid w:val="00FD5B37"/>
    <w:rsid w:val="00FD796D"/>
    <w:rsid w:val="00FD7BD4"/>
    <w:rsid w:val="00FD7BE1"/>
    <w:rsid w:val="00FE01EB"/>
    <w:rsid w:val="00FE1D36"/>
    <w:rsid w:val="00FE26E1"/>
    <w:rsid w:val="00FE39CD"/>
    <w:rsid w:val="00FE3BEF"/>
    <w:rsid w:val="00FE63DF"/>
    <w:rsid w:val="00FE6573"/>
    <w:rsid w:val="00FF1870"/>
    <w:rsid w:val="00FF4FC6"/>
    <w:rsid w:val="00FF6290"/>
    <w:rsid w:val="00FF6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9CE880"/>
  <w15:chartTrackingRefBased/>
  <w15:docId w15:val="{E0666DFC-1334-4763-8877-883179DB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3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18"/>
    <w:pPr>
      <w:ind w:left="720"/>
      <w:contextualSpacing/>
    </w:pPr>
  </w:style>
  <w:style w:type="paragraph" w:styleId="BalloonText">
    <w:name w:val="Balloon Text"/>
    <w:basedOn w:val="Normal"/>
    <w:link w:val="BalloonTextChar"/>
    <w:uiPriority w:val="99"/>
    <w:semiHidden/>
    <w:unhideWhenUsed/>
    <w:rsid w:val="00061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1027"/>
    <w:rPr>
      <w:rFonts w:ascii="Tahoma" w:hAnsi="Tahoma" w:cs="Tahoma"/>
      <w:sz w:val="16"/>
      <w:szCs w:val="16"/>
    </w:rPr>
  </w:style>
  <w:style w:type="character" w:styleId="CommentReference">
    <w:name w:val="annotation reference"/>
    <w:uiPriority w:val="99"/>
    <w:semiHidden/>
    <w:unhideWhenUsed/>
    <w:rsid w:val="00061027"/>
    <w:rPr>
      <w:sz w:val="16"/>
      <w:szCs w:val="16"/>
    </w:rPr>
  </w:style>
  <w:style w:type="paragraph" w:styleId="CommentText">
    <w:name w:val="annotation text"/>
    <w:basedOn w:val="Normal"/>
    <w:link w:val="CommentTextChar"/>
    <w:unhideWhenUsed/>
    <w:rsid w:val="00061027"/>
    <w:pPr>
      <w:spacing w:line="240" w:lineRule="auto"/>
    </w:pPr>
    <w:rPr>
      <w:sz w:val="20"/>
      <w:szCs w:val="20"/>
    </w:rPr>
  </w:style>
  <w:style w:type="character" w:customStyle="1" w:styleId="CommentTextChar">
    <w:name w:val="Comment Text Char"/>
    <w:link w:val="CommentText"/>
    <w:rsid w:val="00061027"/>
    <w:rPr>
      <w:sz w:val="20"/>
      <w:szCs w:val="20"/>
    </w:rPr>
  </w:style>
  <w:style w:type="paragraph" w:styleId="CommentSubject">
    <w:name w:val="annotation subject"/>
    <w:basedOn w:val="CommentText"/>
    <w:next w:val="CommentText"/>
    <w:link w:val="CommentSubjectChar"/>
    <w:uiPriority w:val="99"/>
    <w:semiHidden/>
    <w:unhideWhenUsed/>
    <w:rsid w:val="00061027"/>
    <w:rPr>
      <w:b/>
      <w:bCs/>
    </w:rPr>
  </w:style>
  <w:style w:type="character" w:customStyle="1" w:styleId="CommentSubjectChar">
    <w:name w:val="Comment Subject Char"/>
    <w:link w:val="CommentSubject"/>
    <w:uiPriority w:val="99"/>
    <w:semiHidden/>
    <w:rsid w:val="00061027"/>
    <w:rPr>
      <w:b/>
      <w:bCs/>
      <w:sz w:val="20"/>
      <w:szCs w:val="20"/>
    </w:rPr>
  </w:style>
  <w:style w:type="paragraph" w:styleId="EndnoteText">
    <w:name w:val="endnote text"/>
    <w:basedOn w:val="Normal"/>
    <w:link w:val="EndnoteTextChar"/>
    <w:uiPriority w:val="99"/>
    <w:semiHidden/>
    <w:unhideWhenUsed/>
    <w:rsid w:val="000962DF"/>
    <w:pPr>
      <w:spacing w:after="0" w:line="240" w:lineRule="auto"/>
    </w:pPr>
    <w:rPr>
      <w:sz w:val="20"/>
      <w:szCs w:val="20"/>
    </w:rPr>
  </w:style>
  <w:style w:type="character" w:customStyle="1" w:styleId="EndnoteTextChar">
    <w:name w:val="Endnote Text Char"/>
    <w:link w:val="EndnoteText"/>
    <w:uiPriority w:val="99"/>
    <w:semiHidden/>
    <w:rsid w:val="000962DF"/>
    <w:rPr>
      <w:sz w:val="20"/>
      <w:szCs w:val="20"/>
    </w:rPr>
  </w:style>
  <w:style w:type="character" w:styleId="EndnoteReference">
    <w:name w:val="endnote reference"/>
    <w:uiPriority w:val="99"/>
    <w:semiHidden/>
    <w:unhideWhenUsed/>
    <w:rsid w:val="000962DF"/>
    <w:rPr>
      <w:vertAlign w:val="superscript"/>
    </w:rPr>
  </w:style>
  <w:style w:type="character" w:styleId="Hyperlink">
    <w:name w:val="Hyperlink"/>
    <w:uiPriority w:val="99"/>
    <w:unhideWhenUsed/>
    <w:rsid w:val="00530F37"/>
    <w:rPr>
      <w:color w:val="0000FF"/>
      <w:u w:val="single"/>
    </w:rPr>
  </w:style>
  <w:style w:type="character" w:styleId="FollowedHyperlink">
    <w:name w:val="FollowedHyperlink"/>
    <w:uiPriority w:val="99"/>
    <w:semiHidden/>
    <w:unhideWhenUsed/>
    <w:rsid w:val="00530F37"/>
    <w:rPr>
      <w:color w:val="800080"/>
      <w:u w:val="single"/>
    </w:rPr>
  </w:style>
  <w:style w:type="paragraph" w:styleId="Header">
    <w:name w:val="header"/>
    <w:basedOn w:val="Normal"/>
    <w:link w:val="HeaderChar"/>
    <w:uiPriority w:val="99"/>
    <w:unhideWhenUsed/>
    <w:rsid w:val="003F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6D"/>
  </w:style>
  <w:style w:type="paragraph" w:styleId="Footer">
    <w:name w:val="footer"/>
    <w:basedOn w:val="Normal"/>
    <w:link w:val="FooterChar"/>
    <w:uiPriority w:val="99"/>
    <w:unhideWhenUsed/>
    <w:rsid w:val="003F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6D"/>
  </w:style>
  <w:style w:type="paragraph" w:styleId="FootnoteText">
    <w:name w:val="footnote text"/>
    <w:basedOn w:val="Normal"/>
    <w:link w:val="FootnoteTextChar"/>
    <w:semiHidden/>
    <w:unhideWhenUsed/>
    <w:rsid w:val="009061DB"/>
    <w:rPr>
      <w:sz w:val="20"/>
      <w:szCs w:val="20"/>
    </w:rPr>
  </w:style>
  <w:style w:type="character" w:customStyle="1" w:styleId="FootnoteTextChar">
    <w:name w:val="Footnote Text Char"/>
    <w:basedOn w:val="DefaultParagraphFont"/>
    <w:link w:val="FootnoteText"/>
    <w:semiHidden/>
    <w:rsid w:val="009061DB"/>
  </w:style>
  <w:style w:type="character" w:styleId="FootnoteReference">
    <w:name w:val="footnote reference"/>
    <w:semiHidden/>
    <w:unhideWhenUsed/>
    <w:rsid w:val="009061DB"/>
    <w:rPr>
      <w:vertAlign w:val="superscript"/>
    </w:rPr>
  </w:style>
  <w:style w:type="paragraph" w:styleId="BodyText">
    <w:name w:val="Body Text"/>
    <w:basedOn w:val="Normal"/>
    <w:link w:val="BodyTextChar"/>
    <w:uiPriority w:val="99"/>
    <w:semiHidden/>
    <w:unhideWhenUsed/>
    <w:rsid w:val="000C720D"/>
    <w:pPr>
      <w:spacing w:after="120"/>
    </w:pPr>
  </w:style>
  <w:style w:type="character" w:customStyle="1" w:styleId="BodyTextChar">
    <w:name w:val="Body Text Char"/>
    <w:link w:val="BodyText"/>
    <w:uiPriority w:val="99"/>
    <w:semiHidden/>
    <w:rsid w:val="000C720D"/>
    <w:rPr>
      <w:sz w:val="22"/>
      <w:szCs w:val="22"/>
    </w:rPr>
  </w:style>
  <w:style w:type="table" w:styleId="TableGrid">
    <w:name w:val="Table Grid"/>
    <w:basedOn w:val="TableNormal"/>
    <w:uiPriority w:val="59"/>
    <w:rsid w:val="0006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A34B9"/>
    <w:rPr>
      <w:b/>
      <w:bCs/>
    </w:rPr>
  </w:style>
  <w:style w:type="paragraph" w:styleId="NoSpacing">
    <w:name w:val="No Spacing"/>
    <w:uiPriority w:val="1"/>
    <w:qFormat/>
    <w:rsid w:val="00C6602C"/>
    <w:rPr>
      <w:sz w:val="22"/>
      <w:szCs w:val="22"/>
    </w:rPr>
  </w:style>
  <w:style w:type="paragraph" w:styleId="Revision">
    <w:name w:val="Revision"/>
    <w:hidden/>
    <w:uiPriority w:val="99"/>
    <w:semiHidden/>
    <w:rsid w:val="00065E26"/>
    <w:rPr>
      <w:sz w:val="22"/>
      <w:szCs w:val="22"/>
    </w:rPr>
  </w:style>
  <w:style w:type="character" w:styleId="UnresolvedMention">
    <w:name w:val="Unresolved Mention"/>
    <w:basedOn w:val="DefaultParagraphFont"/>
    <w:uiPriority w:val="99"/>
    <w:semiHidden/>
    <w:unhideWhenUsed/>
    <w:rsid w:val="00F75EC5"/>
    <w:rPr>
      <w:color w:val="605E5C"/>
      <w:shd w:val="clear" w:color="auto" w:fill="E1DFDD"/>
    </w:rPr>
  </w:style>
  <w:style w:type="character" w:customStyle="1" w:styleId="normaltextrun">
    <w:name w:val="normaltextrun"/>
    <w:basedOn w:val="DefaultParagraphFont"/>
    <w:rsid w:val="002F3D33"/>
  </w:style>
  <w:style w:type="paragraph" w:styleId="BodyTextIndent">
    <w:name w:val="Body Text Indent"/>
    <w:basedOn w:val="Normal"/>
    <w:link w:val="BodyTextIndentChar"/>
    <w:uiPriority w:val="99"/>
    <w:semiHidden/>
    <w:unhideWhenUsed/>
    <w:rsid w:val="001853E0"/>
    <w:pPr>
      <w:spacing w:after="120"/>
      <w:ind w:left="360"/>
    </w:pPr>
  </w:style>
  <w:style w:type="character" w:customStyle="1" w:styleId="BodyTextIndentChar">
    <w:name w:val="Body Text Indent Char"/>
    <w:basedOn w:val="DefaultParagraphFont"/>
    <w:link w:val="BodyTextIndent"/>
    <w:uiPriority w:val="99"/>
    <w:semiHidden/>
    <w:rsid w:val="001853E0"/>
    <w:rPr>
      <w:sz w:val="22"/>
      <w:szCs w:val="22"/>
    </w:rPr>
  </w:style>
  <w:style w:type="character" w:customStyle="1" w:styleId="cf01">
    <w:name w:val="cf01"/>
    <w:basedOn w:val="DefaultParagraphFont"/>
    <w:rsid w:val="009363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sa.gov/OP_Home/ssact/title05/0500.htm" TargetMode="External" /><Relationship Id="rId11" Type="http://schemas.openxmlformats.org/officeDocument/2006/relationships/image" Target="media/image1.jpeg" /><Relationship Id="rId12" Type="http://schemas.openxmlformats.org/officeDocument/2006/relationships/hyperlink" Target="https://mchb.tvisdata.hrsa.gov/Home/Resources" TargetMode="External" /><Relationship Id="rId13" Type="http://schemas.openxmlformats.org/officeDocument/2006/relationships/hyperlink" Target="https://mchb.tvisdata.hrsa.gov" TargetMode="External" /><Relationship Id="rId14" Type="http://schemas.openxmlformats.org/officeDocument/2006/relationships/hyperlink" Target="https://www.bls.gov/oes/current/oes119111.htm" TargetMode="External" /><Relationship Id="rId15" Type="http://schemas.openxmlformats.org/officeDocument/2006/relationships/hyperlink" Target="https://www.opm.gov/policy-data-oversight/pay-leave/salaries-wages/salary-tables/pdf/2023/DCB.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 Id="rId2"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73D127448C4547A62F46874F68CB34" ma:contentTypeVersion="12" ma:contentTypeDescription="Create a new document." ma:contentTypeScope="" ma:versionID="08a26f678e27054893f23ba4de72b910">
  <xsd:schema xmlns:xsd="http://www.w3.org/2001/XMLSchema" xmlns:xs="http://www.w3.org/2001/XMLSchema" xmlns:p="http://schemas.microsoft.com/office/2006/metadata/properties" xmlns:ns1="http://schemas.microsoft.com/sharepoint/v3" xmlns:ns2="f12dafca-ffd2-47b9-a7dc-ea73860b958a" xmlns:ns3="77421979-5961-4362-a6c5-e0c2983af572" targetNamespace="http://schemas.microsoft.com/office/2006/metadata/properties" ma:root="true" ma:fieldsID="d97374acf0f728807da37463c162755c" ns1:_="" ns2:_="" ns3:_="">
    <xsd:import namespace="http://schemas.microsoft.com/sharepoint/v3"/>
    <xsd:import namespace="f12dafca-ffd2-47b9-a7dc-ea73860b958a"/>
    <xsd:import namespace="77421979-5961-4362-a6c5-e0c2983af57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21979-5961-4362-a6c5-e0c2983af57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12dafca-ffd2-47b9-a7dc-ea73860b958a">CHY75YFUAV2K-1346638222-199</_dlc_DocId>
    <_dlc_DocIdUrl xmlns="f12dafca-ffd2-47b9-a7dc-ea73860b958a">
      <Url>https://nih.sharepoint.com/sites/HRSA-MCHB/MCHB-Team/tvag/_layouts/15/DocIdRedir.aspx?ID=CHY75YFUAV2K-1346638222-199</Url>
      <Description>CHY75YFUAV2K-1346638222-199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FA91-6125-4C01-BBBA-6FEA0CD5145D}">
  <ds:schemaRefs>
    <ds:schemaRef ds:uri="http://schemas.microsoft.com/sharepoint/v3/contenttype/forms"/>
  </ds:schemaRefs>
</ds:datastoreItem>
</file>

<file path=customXml/itemProps2.xml><?xml version="1.0" encoding="utf-8"?>
<ds:datastoreItem xmlns:ds="http://schemas.openxmlformats.org/officeDocument/2006/customXml" ds:itemID="{2F962761-7C58-467A-9094-074E2137A5C7}">
  <ds:schemaRefs>
    <ds:schemaRef ds:uri="http://schemas.microsoft.com/sharepoint/events"/>
  </ds:schemaRefs>
</ds:datastoreItem>
</file>

<file path=customXml/itemProps3.xml><?xml version="1.0" encoding="utf-8"?>
<ds:datastoreItem xmlns:ds="http://schemas.openxmlformats.org/officeDocument/2006/customXml" ds:itemID="{C0AC2C65-1672-463E-AFAF-5E62A7675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77421979-5961-4362-a6c5-e0c2983a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63CE0-34DE-415B-AF60-6693C2B415DB}">
  <ds:schemaRefs>
    <ds:schemaRef ds:uri="http://schemas.microsoft.com/office/2006/metadata/properties"/>
    <ds:schemaRef ds:uri="http://schemas.microsoft.com/office/infopath/2007/PartnerControls"/>
    <ds:schemaRef ds:uri="http://schemas.microsoft.com/sharepoint/v3"/>
    <ds:schemaRef ds:uri="f12dafca-ffd2-47b9-a7dc-ea73860b958a"/>
  </ds:schemaRefs>
</ds:datastoreItem>
</file>

<file path=customXml/itemProps5.xml><?xml version="1.0" encoding="utf-8"?>
<ds:datastoreItem xmlns:ds="http://schemas.openxmlformats.org/officeDocument/2006/customXml" ds:itemID="{9045E269-4FCC-4ED9-A49E-4DA3EDEB0C1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lwright-solomon</dc:creator>
  <cp:lastModifiedBy>Moore, Tierra (HRSA)</cp:lastModifiedBy>
  <cp:revision>3</cp:revision>
  <cp:lastPrinted>2017-11-16T14:19:00Z</cp:lastPrinted>
  <dcterms:created xsi:type="dcterms:W3CDTF">2023-09-26T18:59:00Z</dcterms:created>
  <dcterms:modified xsi:type="dcterms:W3CDTF">2023-09-28T13:35:00Z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0x0101001A73D127448C4547A62F46874F68CB34</vt:lpwstr>
  </property>
  <property fmtid="{D5CDD505-2E9C-101B-9397-08002B2CF9AE}" pid="3" name="_dlc_DocIdItemGuid">
    <vt:lpwstr>2ecd3117-d468-4d41-ae5d-ec34e60d883d</vt:lpwstr>
  </property>
</Properties>
</file>