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A465A" w:rsidP="00357C8A" w14:paraId="23E4D16C" w14:textId="77777777">
      <w:pPr>
        <w:jc w:val="center"/>
      </w:pPr>
    </w:p>
    <w:p w:rsidR="00357C8A" w:rsidP="00357C8A" w14:paraId="7E8B4128" w14:textId="41C43D00">
      <w:pPr>
        <w:jc w:val="center"/>
        <w:rPr>
          <w:rFonts w:eastAsia="Calibri"/>
        </w:rPr>
      </w:pPr>
      <w:r w:rsidRPr="00357C8A">
        <w:rPr>
          <w:rFonts w:eastAsia="Calibri"/>
        </w:rPr>
        <w:t>United States Food and Drug Administration</w:t>
      </w:r>
    </w:p>
    <w:p w:rsidR="00357C8A" w:rsidP="00357C8A" w14:paraId="3F4F960A" w14:textId="77777777">
      <w:pPr>
        <w:jc w:val="center"/>
        <w:rPr>
          <w:rFonts w:eastAsia="Calibri"/>
        </w:rPr>
      </w:pPr>
    </w:p>
    <w:p w:rsidR="00D43187" w:rsidP="00F80A94" w14:paraId="71AF0FA9" w14:textId="4C4366A9">
      <w:pPr>
        <w:jc w:val="center"/>
        <w:rPr>
          <w:rFonts w:eastAsia="Calibri"/>
        </w:rPr>
      </w:pPr>
      <w:r w:rsidRPr="00E764DD">
        <w:rPr>
          <w:rFonts w:eastAsia="Calibri"/>
        </w:rPr>
        <w:t>Center for Tobacco Products</w:t>
      </w:r>
    </w:p>
    <w:p w:rsidR="00D43187" w:rsidP="00357C8A" w14:paraId="63F8C0E7" w14:textId="77777777">
      <w:pPr>
        <w:jc w:val="center"/>
        <w:rPr>
          <w:rFonts w:eastAsia="Calibri"/>
        </w:rPr>
      </w:pPr>
    </w:p>
    <w:p w:rsidR="00E764DD" w:rsidP="00357C8A" w14:paraId="590D3728" w14:textId="5626312C">
      <w:pPr>
        <w:jc w:val="center"/>
        <w:rPr>
          <w:rFonts w:eastAsia="Calibri"/>
        </w:rPr>
      </w:pPr>
      <w:r w:rsidRPr="00D43187">
        <w:rPr>
          <w:rFonts w:eastAsia="Calibri"/>
        </w:rPr>
        <w:t xml:space="preserve">Warning Plans for </w:t>
      </w:r>
      <w:r w:rsidR="00E14B0F">
        <w:rPr>
          <w:rFonts w:eastAsia="Calibri"/>
        </w:rPr>
        <w:t>Certain</w:t>
      </w:r>
      <w:r w:rsidRPr="00D43187">
        <w:rPr>
          <w:rFonts w:eastAsia="Calibri"/>
        </w:rPr>
        <w:t xml:space="preserve"> Tobacco Products</w:t>
      </w:r>
    </w:p>
    <w:p w:rsidR="00357C8A" w:rsidP="00357C8A" w14:paraId="6B09E02E" w14:textId="77777777">
      <w:pPr>
        <w:jc w:val="center"/>
        <w:rPr>
          <w:rFonts w:eastAsia="Calibri"/>
        </w:rPr>
      </w:pPr>
    </w:p>
    <w:p w:rsidR="00357C8A" w:rsidP="00357C8A" w14:paraId="74EA3F11" w14:textId="00834057">
      <w:pPr>
        <w:jc w:val="center"/>
        <w:rPr>
          <w:rFonts w:eastAsia="Calibri"/>
        </w:rPr>
      </w:pPr>
      <w:r w:rsidRPr="00357C8A">
        <w:rPr>
          <w:rFonts w:eastAsia="Calibri"/>
        </w:rPr>
        <w:t xml:space="preserve">OMB Control No. </w:t>
      </w:r>
      <w:r w:rsidRPr="00E764DD" w:rsidR="00E764DD">
        <w:rPr>
          <w:rFonts w:eastAsia="Calibri"/>
        </w:rPr>
        <w:t>0910-0671</w:t>
      </w:r>
      <w:r w:rsidR="00BF12FF">
        <w:rPr>
          <w:rFonts w:eastAsia="Calibri"/>
        </w:rPr>
        <w:t>—EXTENSION</w:t>
      </w:r>
    </w:p>
    <w:p w:rsidR="00357C8A" w:rsidP="00357C8A" w14:paraId="598260D7" w14:textId="77777777">
      <w:pPr>
        <w:jc w:val="center"/>
        <w:rPr>
          <w:rFonts w:eastAsia="Calibri"/>
        </w:rPr>
      </w:pPr>
    </w:p>
    <w:p w:rsidR="00357C8A" w:rsidP="00357C8A" w14:paraId="79CA0712" w14:textId="77777777">
      <w:pPr>
        <w:jc w:val="center"/>
        <w:rPr>
          <w:rFonts w:eastAsia="Calibri"/>
        </w:rPr>
      </w:pPr>
      <w:r w:rsidRPr="00357C8A">
        <w:rPr>
          <w:rFonts w:eastAsia="Calibri"/>
        </w:rPr>
        <w:t>SUPPORTING STATEMENT</w:t>
      </w:r>
    </w:p>
    <w:p w:rsidR="009B4DF2" w:rsidP="00357C8A" w14:paraId="567E3E1D" w14:textId="77777777">
      <w:pPr>
        <w:jc w:val="center"/>
        <w:rPr>
          <w:rFonts w:eastAsia="Calibri"/>
        </w:rPr>
      </w:pPr>
    </w:p>
    <w:p w:rsidR="009B4DF2" w:rsidP="009B4DF2" w14:paraId="4421D30C" w14:textId="1988A110">
      <w:r w:rsidRPr="009122AE">
        <w:rPr>
          <w:rFonts w:eastAsia="Calibri"/>
          <w:u w:val="single"/>
        </w:rPr>
        <w:t>Terms of Clearance</w:t>
      </w:r>
      <w:r>
        <w:rPr>
          <w:rFonts w:eastAsia="Calibri"/>
        </w:rPr>
        <w:t xml:space="preserve">: </w:t>
      </w:r>
      <w:r w:rsidRPr="00D43187" w:rsidR="00D43187">
        <w:rPr>
          <w:rFonts w:eastAsia="Calibri"/>
        </w:rPr>
        <w:t>None</w:t>
      </w:r>
    </w:p>
    <w:p w:rsidR="00C71649" w:rsidP="009B4DF2" w14:paraId="60AA5E81" w14:textId="77777777"/>
    <w:p w:rsidR="00357C8A" w:rsidP="000D79CC" w14:paraId="02F87154" w14:textId="77777777">
      <w:pPr>
        <w:rPr>
          <w:rFonts w:eastAsia="Calibri"/>
        </w:rPr>
      </w:pPr>
      <w:r w:rsidRPr="00357C8A">
        <w:rPr>
          <w:rFonts w:eastAsia="Calibri"/>
          <w:b/>
        </w:rPr>
        <w:t>Part A:  Justification</w:t>
      </w:r>
      <w:r w:rsidRPr="00357C8A">
        <w:rPr>
          <w:rFonts w:eastAsia="Calibri"/>
        </w:rPr>
        <w:t>:</w:t>
      </w:r>
    </w:p>
    <w:p w:rsidR="000D79CC" w:rsidRPr="00357C8A" w:rsidP="000D79CC" w14:paraId="10205DAA" w14:textId="77777777">
      <w:pPr>
        <w:rPr>
          <w:rFonts w:eastAsia="Calibri"/>
        </w:rPr>
      </w:pPr>
    </w:p>
    <w:p w:rsidR="00357C8A" w:rsidRPr="00357C8A" w:rsidP="006705EA" w14:paraId="44B5F470"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D43187" w:rsidRPr="00D43187" w:rsidP="004A4CF9" w14:paraId="136F4794" w14:textId="399EF127">
      <w:pPr>
        <w:spacing w:after="200" w:line="276" w:lineRule="auto"/>
        <w:rPr>
          <w:rFonts w:eastAsia="Calibri"/>
        </w:rPr>
      </w:pPr>
      <w:r w:rsidRPr="00D43187">
        <w:rPr>
          <w:rFonts w:eastAsia="Calibri"/>
        </w:rPr>
        <w:t xml:space="preserve">This information collection supports Food and Drug Administration (FDA) </w:t>
      </w:r>
      <w:r w:rsidR="0001058E">
        <w:rPr>
          <w:rFonts w:eastAsia="Calibri"/>
        </w:rPr>
        <w:t xml:space="preserve">regulation and </w:t>
      </w:r>
      <w:r w:rsidRPr="00D43187">
        <w:rPr>
          <w:rFonts w:eastAsia="Calibri"/>
        </w:rPr>
        <w:t xml:space="preserve">guidance. Tobacco products are governed by chapter IX of the Federal Food, Drug, and Cosmetic Act </w:t>
      </w:r>
      <w:r w:rsidR="0036712B">
        <w:rPr>
          <w:rFonts w:eastAsia="Calibri"/>
        </w:rPr>
        <w:t>(FD</w:t>
      </w:r>
      <w:r w:rsidR="00A84277">
        <w:rPr>
          <w:rFonts w:eastAsia="Calibri"/>
        </w:rPr>
        <w:t xml:space="preserve">&amp;C Act) </w:t>
      </w:r>
      <w:r w:rsidRPr="00D43187">
        <w:rPr>
          <w:rFonts w:eastAsia="Calibri"/>
        </w:rPr>
        <w:t xml:space="preserve">(sections 900 through 920) (21 U.S.C. 387 through 21 U.S.C. </w:t>
      </w:r>
      <w:r w:rsidRPr="3143DDC3">
        <w:rPr>
          <w:rFonts w:eastAsia="Calibri"/>
        </w:rPr>
        <w:t>387</w:t>
      </w:r>
      <w:r w:rsidRPr="3143DDC3" w:rsidR="3669E843">
        <w:rPr>
          <w:rFonts w:eastAsia="Calibri"/>
        </w:rPr>
        <w:t>u</w:t>
      </w:r>
      <w:r w:rsidRPr="00D43187">
        <w:rPr>
          <w:rFonts w:eastAsia="Calibri"/>
        </w:rPr>
        <w:t>).</w:t>
      </w:r>
      <w:r w:rsidR="00A800CF">
        <w:rPr>
          <w:rFonts w:eastAsia="Calibri"/>
        </w:rPr>
        <w:t xml:space="preserve"> </w:t>
      </w:r>
      <w:r w:rsidR="005266BB">
        <w:rPr>
          <w:rFonts w:eastAsia="Calibri"/>
        </w:rPr>
        <w:t>I</w:t>
      </w:r>
      <w:r w:rsidRPr="00A800CF" w:rsidR="005266BB">
        <w:rPr>
          <w:rFonts w:eastAsia="Calibri"/>
        </w:rPr>
        <w:t>mplementing regulations are found in 21 CFR subchapter K (21 CFR parts 1100 through 1150))</w:t>
      </w:r>
      <w:r w:rsidR="005266BB">
        <w:rPr>
          <w:rFonts w:eastAsia="Calibri"/>
        </w:rPr>
        <w:t>.</w:t>
      </w:r>
    </w:p>
    <w:p w:rsidR="00D43187" w:rsidRPr="00D43187" w:rsidP="004A4CF9" w14:paraId="2F19B8E8" w14:textId="021E7680">
      <w:pPr>
        <w:spacing w:after="200" w:line="276" w:lineRule="auto"/>
        <w:rPr>
          <w:rFonts w:eastAsia="Calibri"/>
        </w:rPr>
      </w:pPr>
      <w:r w:rsidRPr="690A285B">
        <w:rPr>
          <w:rFonts w:eastAsia="Calibri"/>
        </w:rPr>
        <w:t xml:space="preserve">Section 3 of the Comprehensive Smokeless Tobacco Health Education Act of 1986 (the Smokeless Tobacco Act) (15 U.S.C. 4402) as amended by section 204 of the </w:t>
      </w:r>
      <w:r w:rsidR="00952FF9">
        <w:rPr>
          <w:rFonts w:eastAsia="Calibri"/>
        </w:rPr>
        <w:t xml:space="preserve">Family Smoking Prevention and </w:t>
      </w:r>
      <w:r w:rsidRPr="690A285B">
        <w:rPr>
          <w:rFonts w:eastAsia="Calibri"/>
        </w:rPr>
        <w:t>Tobacco Control Act</w:t>
      </w:r>
      <w:r w:rsidR="007242C4">
        <w:rPr>
          <w:rFonts w:eastAsia="Calibri"/>
        </w:rPr>
        <w:t xml:space="preserve"> (the Tobacco Control Act)</w:t>
      </w:r>
      <w:r w:rsidRPr="690A285B">
        <w:rPr>
          <w:rFonts w:eastAsia="Calibri"/>
        </w:rPr>
        <w:t xml:space="preserve">, requires, among other things, that all smokeless tobacco product packages and advertisements bear one of four required warning statements </w:t>
      </w:r>
      <w:r w:rsidR="008549B8">
        <w:t xml:space="preserve">(15 U.S.C. 4402(a)(1)). </w:t>
      </w:r>
      <w:r w:rsidRPr="690A285B" w:rsidR="00541DA5">
        <w:rPr>
          <w:rFonts w:eastAsia="Calibri"/>
        </w:rPr>
        <w:t xml:space="preserve">The </w:t>
      </w:r>
      <w:r w:rsidR="00C1180B">
        <w:rPr>
          <w:rFonts w:eastAsia="Calibri"/>
        </w:rPr>
        <w:t xml:space="preserve">warning </w:t>
      </w:r>
      <w:r w:rsidRPr="690A285B" w:rsidR="00541DA5">
        <w:rPr>
          <w:rFonts w:eastAsia="Calibri"/>
        </w:rPr>
        <w:t>statements specified in 4402(a)(1) must be randomly displayed on packaging and randomly distributed</w:t>
      </w:r>
      <w:r w:rsidR="00B84D6E">
        <w:rPr>
          <w:rFonts w:eastAsia="Calibri"/>
        </w:rPr>
        <w:t xml:space="preserve"> </w:t>
      </w:r>
      <w:r w:rsidRPr="690A285B" w:rsidR="00C11FA6">
        <w:rPr>
          <w:rFonts w:eastAsia="Calibri"/>
        </w:rPr>
        <w:t>“</w:t>
      </w:r>
      <w:r w:rsidRPr="690A285B" w:rsidR="00541DA5">
        <w:rPr>
          <w:rFonts w:eastAsia="Calibri"/>
        </w:rPr>
        <w:t>in accordance with a plan submitted by the tobacco product manufacturer, importer, distributor, or retailer</w:t>
      </w:r>
      <w:r w:rsidRPr="690A285B" w:rsidR="00C11FA6">
        <w:rPr>
          <w:rFonts w:eastAsia="Calibri"/>
        </w:rPr>
        <w:t>”</w:t>
      </w:r>
      <w:r w:rsidRPr="690A285B" w:rsidR="00541DA5">
        <w:rPr>
          <w:rFonts w:eastAsia="Calibri"/>
        </w:rPr>
        <w:t xml:space="preserve"> to, and approved by FDA (15 U.S.C. 4402(b)(3)(A)).</w:t>
      </w:r>
      <w:r w:rsidRPr="690A285B" w:rsidR="00CF385D">
        <w:rPr>
          <w:rFonts w:eastAsia="Calibri"/>
        </w:rPr>
        <w:t xml:space="preserve"> Those </w:t>
      </w:r>
      <w:r w:rsidR="000E5682">
        <w:rPr>
          <w:rFonts w:eastAsia="Calibri"/>
        </w:rPr>
        <w:t>statements</w:t>
      </w:r>
      <w:r w:rsidRPr="690A285B" w:rsidR="00CF385D">
        <w:rPr>
          <w:rFonts w:eastAsia="Calibri"/>
        </w:rPr>
        <w:t xml:space="preserve"> must be rotated quarterly in advertisements for each brand of smokeless tobacco product, also “in accordance with a plan” </w:t>
      </w:r>
      <w:r w:rsidR="00B76357">
        <w:rPr>
          <w:rFonts w:eastAsia="Calibri"/>
        </w:rPr>
        <w:t xml:space="preserve">submitted </w:t>
      </w:r>
      <w:r w:rsidRPr="690A285B" w:rsidR="00CF385D">
        <w:rPr>
          <w:rFonts w:eastAsia="Calibri"/>
        </w:rPr>
        <w:t>to</w:t>
      </w:r>
      <w:r w:rsidR="00B76357">
        <w:rPr>
          <w:rFonts w:eastAsia="Calibri"/>
        </w:rPr>
        <w:t xml:space="preserve"> and</w:t>
      </w:r>
      <w:r w:rsidRPr="690A285B" w:rsidR="00CF385D">
        <w:rPr>
          <w:rFonts w:eastAsia="Calibri"/>
        </w:rPr>
        <w:t xml:space="preserve"> approv</w:t>
      </w:r>
      <w:r w:rsidR="00B76357">
        <w:rPr>
          <w:rFonts w:eastAsia="Calibri"/>
        </w:rPr>
        <w:t>ed</w:t>
      </w:r>
      <w:r w:rsidRPr="690A285B" w:rsidR="00CF385D">
        <w:rPr>
          <w:rFonts w:eastAsia="Calibri"/>
        </w:rPr>
        <w:t xml:space="preserve"> by FDA (15 U.S.C. 4402(b)(3)(</w:t>
      </w:r>
      <w:r w:rsidR="00B76357">
        <w:rPr>
          <w:rFonts w:eastAsia="Calibri"/>
        </w:rPr>
        <w:t>B</w:t>
      </w:r>
      <w:r w:rsidRPr="690A285B" w:rsidR="00CF385D">
        <w:rPr>
          <w:rFonts w:eastAsia="Calibri"/>
        </w:rPr>
        <w:t xml:space="preserve">)). </w:t>
      </w:r>
    </w:p>
    <w:p w:rsidR="009D6247" w:rsidRPr="009D6247" w:rsidP="009D6247" w14:paraId="2C98375D" w14:textId="1550D91F">
      <w:pPr>
        <w:spacing w:after="200" w:line="276" w:lineRule="auto"/>
        <w:rPr>
          <w:rFonts w:eastAsia="Calibri"/>
        </w:rPr>
      </w:pPr>
      <w:r w:rsidRPr="00D43187">
        <w:rPr>
          <w:rFonts w:eastAsia="Calibri"/>
        </w:rPr>
        <w:t>To implement statutory requirements</w:t>
      </w:r>
      <w:r w:rsidR="00565B30">
        <w:rPr>
          <w:rFonts w:eastAsia="Calibri"/>
        </w:rPr>
        <w:t xml:space="preserve"> for smokeless tobacco products</w:t>
      </w:r>
      <w:r w:rsidRPr="00D43187">
        <w:rPr>
          <w:rFonts w:eastAsia="Calibri"/>
        </w:rPr>
        <w:t>, warning plans are reviewed by FDA, upon submission by respondents</w:t>
      </w:r>
      <w:r w:rsidRPr="00F86DC5" w:rsidR="00F86DC5">
        <w:t xml:space="preserve"> </w:t>
      </w:r>
      <w:r w:rsidR="00F86DC5">
        <w:t>(21 U.S.C. 4402(b)</w:t>
      </w:r>
      <w:r w:rsidR="00F26A6E">
        <w:t>(3)</w:t>
      </w:r>
      <w:r w:rsidR="00F86DC5">
        <w:t xml:space="preserve">(C)). </w:t>
      </w:r>
      <w:r w:rsidRPr="00D43187">
        <w:rPr>
          <w:rFonts w:eastAsia="Calibri"/>
        </w:rPr>
        <w:t>FDA published draft guidance entitled “Submission of Warning Plans for Cigarettes and Smokeless Tobacco Products” on September 9, 2011, which describes the information and format to be submitted for smokeless plans (</w:t>
      </w:r>
      <w:hyperlink r:id="rId10" w:history="1">
        <w:r w:rsidRPr="00EE6D52" w:rsidR="00EE6D52">
          <w:rPr>
            <w:rStyle w:val="Hyperlink"/>
            <w:rFonts w:eastAsia="Calibri"/>
          </w:rPr>
          <w:t>www.fda.gov/regulatory-information/search-fda-guidance-documents/submission-warning-plans-cigarettes-and-smokeless-tobacco-products</w:t>
        </w:r>
      </w:hyperlink>
      <w:r w:rsidRPr="00D43187">
        <w:rPr>
          <w:rFonts w:eastAsia="Calibri"/>
        </w:rPr>
        <w:t>). Submitters may also visit a webpage that describes the smokeless tobacco labeling and warning statement requirements (</w:t>
      </w:r>
      <w:hyperlink r:id="rId11" w:history="1">
        <w:r w:rsidR="00FC2DC9">
          <w:rPr>
            <w:rStyle w:val="Hyperlink"/>
            <w:rFonts w:eastAsia="Calibri"/>
          </w:rPr>
          <w:t>www.fda.gov/tobacco-products/labeling-and-warning-statements-tobacco-products/smokeless-tobacco-labeling-and-warning-statement-requirements</w:t>
        </w:r>
      </w:hyperlink>
      <w:r w:rsidRPr="00D43187">
        <w:rPr>
          <w:rFonts w:eastAsia="Calibri"/>
        </w:rPr>
        <w:t xml:space="preserve">). </w:t>
      </w:r>
      <w:r w:rsidRPr="009D6247">
        <w:rPr>
          <w:rFonts w:eastAsia="Calibri"/>
        </w:rPr>
        <w:t xml:space="preserve">Additionally, FDA considers a submission to be a supplement if the submitter is seeking approval of a change to an FDA-approved warning plan. Warning plans can be submitted either electronically or in paper format. </w:t>
      </w:r>
      <w:r w:rsidR="00F57F9C">
        <w:rPr>
          <w:rFonts w:eastAsia="Calibri"/>
        </w:rPr>
        <w:t xml:space="preserve"> </w:t>
      </w:r>
      <w:r w:rsidRPr="009D6247">
        <w:rPr>
          <w:rFonts w:eastAsia="Calibri"/>
        </w:rPr>
        <w:t>The Center for Tobacco Products (CTP) Portal</w:t>
      </w:r>
      <w:r w:rsidR="00FA72F7">
        <w:rPr>
          <w:rFonts w:eastAsia="Calibri"/>
        </w:rPr>
        <w:t xml:space="preserve"> Next Generation (NextGen)</w:t>
      </w:r>
      <w:r w:rsidRPr="009D6247">
        <w:rPr>
          <w:rFonts w:eastAsia="Calibri"/>
        </w:rPr>
        <w:t xml:space="preserve">, available at </w:t>
      </w:r>
      <w:hyperlink r:id="rId12" w:history="1">
        <w:r w:rsidR="00BA7749">
          <w:rPr>
            <w:rStyle w:val="Hyperlink"/>
            <w:rFonts w:eastAsia="Calibri"/>
          </w:rPr>
          <w:t>ctpportal-</w:t>
        </w:r>
        <w:r w:rsidR="00BA7749">
          <w:rPr>
            <w:rStyle w:val="Hyperlink"/>
            <w:rFonts w:eastAsia="Calibri"/>
          </w:rPr>
          <w:t>ng.fda.gov/portal/</w:t>
        </w:r>
      </w:hyperlink>
      <w:r w:rsidRPr="009D6247">
        <w:rPr>
          <w:rFonts w:eastAsia="Calibri"/>
        </w:rPr>
        <w:t xml:space="preserve">, provides a secure online system for electronically submitting documents and receiving messages from CTP. </w:t>
      </w:r>
    </w:p>
    <w:p w:rsidR="002F380D" w:rsidRPr="0070545D" w:rsidP="004A4CF9" w14:paraId="3D8B98A6" w14:textId="3E1155A7">
      <w:pPr>
        <w:spacing w:after="200" w:line="276" w:lineRule="auto"/>
        <w:rPr>
          <w:rFonts w:eastAsia="Calibri"/>
        </w:rPr>
      </w:pPr>
      <w:r w:rsidRPr="00D43187">
        <w:rPr>
          <w:rFonts w:eastAsia="Calibri"/>
        </w:rPr>
        <w:t>We therefore request extension of OMB approval of information collection provisions</w:t>
      </w:r>
      <w:r w:rsidR="001F77D6">
        <w:rPr>
          <w:rFonts w:eastAsia="Calibri"/>
        </w:rPr>
        <w:t xml:space="preserve"> </w:t>
      </w:r>
      <w:r w:rsidRPr="00D43187">
        <w:rPr>
          <w:rFonts w:eastAsia="Calibri"/>
        </w:rPr>
        <w:t>as discussed in this supporting statement.</w:t>
      </w:r>
    </w:p>
    <w:p w:rsidR="00357C8A" w:rsidRPr="00357C8A" w:rsidP="006705EA" w14:paraId="57BD0F13"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4D21C4" w:rsidP="004A4CF9" w14:paraId="6EA1798A" w14:textId="2F428922">
      <w:pPr>
        <w:spacing w:after="200" w:line="276" w:lineRule="auto"/>
        <w:rPr>
          <w:rFonts w:eastAsia="Calibri"/>
        </w:rPr>
      </w:pPr>
      <w:r w:rsidRPr="1A84B714">
        <w:rPr>
          <w:rFonts w:eastAsia="Calibri"/>
        </w:rPr>
        <w:t>Th</w:t>
      </w:r>
      <w:r w:rsidRPr="1A84B714">
        <w:rPr>
          <w:rFonts w:eastAsia="Calibri"/>
        </w:rPr>
        <w:t>e</w:t>
      </w:r>
      <w:r w:rsidRPr="1A84B714">
        <w:rPr>
          <w:rFonts w:eastAsia="Calibri"/>
        </w:rPr>
        <w:t xml:space="preserve"> information collection for the submission to FDA of warning plans for </w:t>
      </w:r>
      <w:r w:rsidRPr="1A84B714" w:rsidR="008627C5">
        <w:rPr>
          <w:rFonts w:eastAsia="Calibri"/>
        </w:rPr>
        <w:t xml:space="preserve">smokeless </w:t>
      </w:r>
      <w:r w:rsidRPr="1A84B714">
        <w:rPr>
          <w:rFonts w:eastAsia="Calibri"/>
        </w:rPr>
        <w:t>tobacco products</w:t>
      </w:r>
      <w:r w:rsidRPr="1A84B714" w:rsidR="00290549">
        <w:rPr>
          <w:rFonts w:eastAsia="Calibri"/>
        </w:rPr>
        <w:t xml:space="preserve"> </w:t>
      </w:r>
      <w:r w:rsidRPr="1A84B714">
        <w:rPr>
          <w:rFonts w:eastAsia="Calibri"/>
        </w:rPr>
        <w:t xml:space="preserve">is statutorily mandated. The warning plans will be reviewed by FDA, as required by the Smokeless Tobacco Act </w:t>
      </w:r>
      <w:r w:rsidRPr="1A84B714" w:rsidR="00B743CE">
        <w:rPr>
          <w:rFonts w:eastAsia="Calibri"/>
        </w:rPr>
        <w:t xml:space="preserve">as </w:t>
      </w:r>
      <w:r w:rsidRPr="1A84B714" w:rsidR="007242C4">
        <w:rPr>
          <w:rFonts w:eastAsia="Calibri"/>
        </w:rPr>
        <w:t>amended by the Tobacco Control Act</w:t>
      </w:r>
      <w:r w:rsidRPr="1A84B714" w:rsidR="00B743CE">
        <w:rPr>
          <w:rFonts w:eastAsia="Calibri"/>
        </w:rPr>
        <w:t xml:space="preserve">, </w:t>
      </w:r>
      <w:r w:rsidRPr="1A84B714">
        <w:rPr>
          <w:rFonts w:eastAsia="Calibri"/>
        </w:rPr>
        <w:t>to determine whether the companies’ plan</w:t>
      </w:r>
      <w:r w:rsidRPr="1A84B714" w:rsidR="00053631">
        <w:rPr>
          <w:rFonts w:eastAsia="Calibri"/>
        </w:rPr>
        <w:t>s</w:t>
      </w:r>
      <w:r w:rsidRPr="1A84B714">
        <w:rPr>
          <w:rFonts w:eastAsia="Calibri"/>
        </w:rPr>
        <w:t xml:space="preserve"> </w:t>
      </w:r>
      <w:r w:rsidRPr="1A84B714" w:rsidR="008030A7">
        <w:rPr>
          <w:rFonts w:eastAsia="Calibri"/>
        </w:rPr>
        <w:t xml:space="preserve">provide for </w:t>
      </w:r>
      <w:r w:rsidRPr="1A84B714">
        <w:rPr>
          <w:rFonts w:eastAsia="Calibri"/>
        </w:rPr>
        <w:t>the</w:t>
      </w:r>
      <w:r w:rsidRPr="1A84B714" w:rsidR="00DD2FEA">
        <w:rPr>
          <w:rFonts w:eastAsia="Calibri"/>
        </w:rPr>
        <w:t xml:space="preserve"> equal distribution and</w:t>
      </w:r>
      <w:r w:rsidRPr="1A84B714">
        <w:rPr>
          <w:rFonts w:eastAsia="Calibri"/>
        </w:rPr>
        <w:t xml:space="preserve"> </w:t>
      </w:r>
      <w:r w:rsidRPr="1A84B714" w:rsidR="001A6063">
        <w:rPr>
          <w:rFonts w:eastAsia="Calibri"/>
        </w:rPr>
        <w:t>random</w:t>
      </w:r>
      <w:r w:rsidRPr="1A84B714">
        <w:rPr>
          <w:rFonts w:eastAsia="Calibri"/>
        </w:rPr>
        <w:t xml:space="preserve"> display of warning statements on packaging and the quarterly rotation of warning statements in advertising.</w:t>
      </w:r>
      <w:r w:rsidRPr="1A84B714" w:rsidR="00CF3EC1">
        <w:rPr>
          <w:rFonts w:eastAsia="Calibri"/>
        </w:rPr>
        <w:t xml:space="preserve"> </w:t>
      </w:r>
      <w:r w:rsidRPr="1A84B714" w:rsidR="00FF1FAF">
        <w:rPr>
          <w:rFonts w:eastAsia="Calibri"/>
        </w:rPr>
        <w:t xml:space="preserve">Section 3 requires that </w:t>
      </w:r>
      <w:r w:rsidRPr="1A84B714" w:rsidR="00DE24D2">
        <w:rPr>
          <w:rFonts w:eastAsia="Calibri"/>
        </w:rPr>
        <w:t>warning</w:t>
      </w:r>
      <w:r w:rsidRPr="1A84B714" w:rsidR="00FF1FAF">
        <w:rPr>
          <w:rFonts w:eastAsia="Calibri"/>
        </w:rPr>
        <w:t xml:space="preserve"> statements be randomly displayed in each 12-month period</w:t>
      </w:r>
      <w:r w:rsidRPr="1A84B714" w:rsidR="004C623D">
        <w:rPr>
          <w:rFonts w:eastAsia="Calibri"/>
        </w:rPr>
        <w:t>,</w:t>
      </w:r>
      <w:r w:rsidRPr="1A84B714" w:rsidR="00FF1FAF">
        <w:rPr>
          <w:rFonts w:eastAsia="Calibri"/>
        </w:rPr>
        <w:t xml:space="preserve"> in as equal number of times as possible</w:t>
      </w:r>
      <w:r w:rsidRPr="1A84B714" w:rsidR="004C623D">
        <w:rPr>
          <w:rFonts w:eastAsia="Calibri"/>
        </w:rPr>
        <w:t>,</w:t>
      </w:r>
      <w:r w:rsidRPr="1A84B714" w:rsidR="00FF1FAF">
        <w:rPr>
          <w:rFonts w:eastAsia="Calibri"/>
        </w:rPr>
        <w:t xml:space="preserve"> on each brand </w:t>
      </w:r>
      <w:r w:rsidRPr="1A84B714" w:rsidR="004E2613">
        <w:rPr>
          <w:rFonts w:eastAsia="Calibri"/>
        </w:rPr>
        <w:t>of smokeless tobacco products</w:t>
      </w:r>
      <w:r w:rsidRPr="1A84B714" w:rsidR="004C623D">
        <w:rPr>
          <w:rFonts w:eastAsia="Calibri"/>
        </w:rPr>
        <w:t>,</w:t>
      </w:r>
      <w:r w:rsidRPr="1A84B714" w:rsidR="004E2613">
        <w:rPr>
          <w:rFonts w:eastAsia="Calibri"/>
        </w:rPr>
        <w:t xml:space="preserve"> </w:t>
      </w:r>
      <w:r w:rsidRPr="1A84B714" w:rsidR="00FF1FAF">
        <w:rPr>
          <w:rFonts w:eastAsia="Calibri"/>
        </w:rPr>
        <w:t>and be randomly distributed in all areas of the United States where the product is marketed</w:t>
      </w:r>
      <w:r w:rsidRPr="1A84B714" w:rsidR="004E2613">
        <w:rPr>
          <w:rFonts w:eastAsia="Calibri"/>
        </w:rPr>
        <w:t>, in accordance with an FDA approved plan</w:t>
      </w:r>
      <w:r w:rsidRPr="1A84B714" w:rsidR="00FF1FAF">
        <w:rPr>
          <w:rFonts w:eastAsia="Calibri"/>
        </w:rPr>
        <w:t>.</w:t>
      </w:r>
      <w:r w:rsidRPr="1A84B714" w:rsidR="004E2613">
        <w:rPr>
          <w:rFonts w:eastAsia="Calibri"/>
        </w:rPr>
        <w:t xml:space="preserve">  Section 3 also requires that warning statements be rotated quarterly in alternating sequence in advertisements for each brand of smokeless tobacco product in accordance with an FDA approved plan.</w:t>
      </w:r>
    </w:p>
    <w:p w:rsidR="003935F3" w14:paraId="14DDECE3" w14:textId="408B5285">
      <w:pPr>
        <w:spacing w:after="200" w:line="276" w:lineRule="auto"/>
        <w:rPr>
          <w:rFonts w:eastAsia="Calibri"/>
        </w:rPr>
      </w:pPr>
      <w:r w:rsidRPr="00D43187">
        <w:rPr>
          <w:rFonts w:eastAsia="Calibri"/>
        </w:rPr>
        <w:t>This information is collected from private sector for-profit businesses.</w:t>
      </w:r>
      <w:r w:rsidR="00F12D42">
        <w:rPr>
          <w:rFonts w:eastAsia="Calibri"/>
        </w:rPr>
        <w:t xml:space="preserve"> This collection of information will be requested of </w:t>
      </w:r>
      <w:r w:rsidRPr="009E119D" w:rsidR="009E119D">
        <w:rPr>
          <w:rFonts w:eastAsia="Calibri"/>
        </w:rPr>
        <w:t xml:space="preserve">manufacturers, distributors, importers, and retailers that manufacture, package, sell, offer to sell, </w:t>
      </w:r>
      <w:r w:rsidRPr="009E119D" w:rsidR="00C70075">
        <w:rPr>
          <w:rFonts w:eastAsia="Calibri"/>
        </w:rPr>
        <w:t>distribute,</w:t>
      </w:r>
      <w:r w:rsidRPr="009E119D" w:rsidR="009E119D">
        <w:rPr>
          <w:rFonts w:eastAsia="Calibri"/>
        </w:rPr>
        <w:t xml:space="preserve"> or import for sale or distribution smokeless tobacco products within the United States</w:t>
      </w:r>
      <w:r w:rsidR="006B1EC6">
        <w:rPr>
          <w:rFonts w:eastAsia="Calibri"/>
        </w:rPr>
        <w:t>.</w:t>
      </w:r>
    </w:p>
    <w:p w:rsidR="006B1EC6" w:rsidRPr="00842DB7" w:rsidP="0070545D" w14:paraId="451248FB" w14:textId="77777777">
      <w:pPr>
        <w:spacing w:after="200" w:line="276" w:lineRule="auto"/>
        <w:rPr>
          <w:rFonts w:eastAsia="Calibri"/>
        </w:rPr>
      </w:pPr>
    </w:p>
    <w:p w:rsidR="00357C8A" w:rsidRPr="00357C8A" w:rsidP="006705EA" w14:paraId="3B4E8DE0"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F76704" w:rsidRPr="00F76704" w:rsidP="00FF2045" w14:paraId="4FA58FFC" w14:textId="26939CBE">
      <w:pPr>
        <w:spacing w:after="200" w:line="276" w:lineRule="auto"/>
        <w:rPr>
          <w:rFonts w:eastAsia="Calibri"/>
        </w:rPr>
      </w:pPr>
      <w:r w:rsidRPr="1ECD60B1">
        <w:rPr>
          <w:rFonts w:eastAsia="Calibri"/>
        </w:rPr>
        <w:t xml:space="preserve">Warning plans can be submitted either electronically or in paper format. </w:t>
      </w:r>
      <w:r w:rsidRPr="009C2FD1" w:rsidR="009C2FD1">
        <w:rPr>
          <w:rFonts w:eastAsia="Calibri"/>
        </w:rPr>
        <w:t xml:space="preserve">Based on </w:t>
      </w:r>
      <w:r w:rsidR="00AA5E88">
        <w:rPr>
          <w:rFonts w:eastAsia="Calibri"/>
        </w:rPr>
        <w:t>recent submissions</w:t>
      </w:r>
      <w:r w:rsidRPr="009C2FD1" w:rsidR="009C2FD1">
        <w:rPr>
          <w:rFonts w:eastAsia="Calibri"/>
        </w:rPr>
        <w:t xml:space="preserve"> for smokeless products, FDA estimates approximately 20 percent of respondents will submit their warning plans electronically</w:t>
      </w:r>
      <w:r w:rsidR="004A401A">
        <w:rPr>
          <w:rFonts w:eastAsia="Calibri"/>
        </w:rPr>
        <w:t>.</w:t>
      </w:r>
    </w:p>
    <w:p w:rsidR="00F76704" w:rsidRPr="00357C8A" w:rsidP="006F5120" w14:paraId="72E46893" w14:textId="0412EBBB">
      <w:pPr>
        <w:spacing w:after="200" w:line="276" w:lineRule="auto"/>
        <w:rPr>
          <w:rFonts w:eastAsia="Calibri"/>
        </w:rPr>
      </w:pPr>
      <w:r w:rsidRPr="00F76704">
        <w:rPr>
          <w:rFonts w:eastAsia="Calibri"/>
        </w:rPr>
        <w:t xml:space="preserve">Electronic submission of information is completed via the Center for Tobacco Products (CTP) Portal </w:t>
      </w:r>
      <w:r w:rsidR="00BC1D48">
        <w:rPr>
          <w:rFonts w:eastAsia="Calibri"/>
        </w:rPr>
        <w:t xml:space="preserve">Next Generation (NextGen) </w:t>
      </w:r>
      <w:r w:rsidRPr="00F76704">
        <w:rPr>
          <w:rFonts w:eastAsia="Calibri"/>
        </w:rPr>
        <w:t>using FDA’s eSubmitter tool. The CTP Portal</w:t>
      </w:r>
      <w:r w:rsidR="00BC6AF7">
        <w:rPr>
          <w:rFonts w:eastAsia="Calibri"/>
        </w:rPr>
        <w:t xml:space="preserve"> NextGen</w:t>
      </w:r>
      <w:r w:rsidRPr="00F76704">
        <w:rPr>
          <w:rFonts w:eastAsia="Calibri"/>
        </w:rPr>
        <w:t xml:space="preserve">, available at </w:t>
      </w:r>
      <w:hyperlink r:id="rId12" w:history="1">
        <w:r w:rsidR="002D4FDC">
          <w:rPr>
            <w:rStyle w:val="Hyperlink"/>
            <w:rFonts w:eastAsia="Calibri"/>
          </w:rPr>
          <w:t>ctpportal-ng.fda.gov/portal/</w:t>
        </w:r>
      </w:hyperlink>
      <w:r w:rsidRPr="00F76704">
        <w:rPr>
          <w:rFonts w:eastAsia="Calibri"/>
        </w:rPr>
        <w:t xml:space="preserve">, provides a secure online system for electronically submitting documents and receiving messages from CTP. </w:t>
      </w:r>
      <w:r w:rsidRPr="00BC1D48" w:rsidR="00BC1D48">
        <w:rPr>
          <w:rFonts w:eastAsia="Calibri"/>
        </w:rPr>
        <w:t xml:space="preserve">The CTP Portal NextGen web application requires that an organization request an Industry Account Manager (IAM) role be set up for an individual of the organization to act as an administrator for all the organization’s CTP Portal NextGen accounts. Once the IAM account is created by CTP, the IAM can create, manage, and set roles for all the organization’s employees’ CTP Portal NextGen user accounts. Users may then prepare submissions on behalf of their organization using the FDA’s eSubmitter tool for supported submission types and can send these submissions to CTP directly from CTP Portal NextGen. Instructions on requesting a free IAM account for CTP Portal NextGen are available at </w:t>
      </w:r>
      <w:hyperlink r:id="rId13" w:history="1">
        <w:r w:rsidR="007A5737">
          <w:rPr>
            <w:rStyle w:val="Hyperlink"/>
            <w:rFonts w:eastAsia="Calibri"/>
          </w:rPr>
          <w:t>www.fda.gov/tobacco-products/manufacturing/request-industry-account-manager-iam-ctp-portal-next-generation</w:t>
        </w:r>
      </w:hyperlink>
      <w:r w:rsidRPr="00BC1D48" w:rsidR="00BC1D48">
        <w:rPr>
          <w:rFonts w:eastAsia="Calibri"/>
        </w:rPr>
        <w:t xml:space="preserve">. </w:t>
      </w:r>
      <w:r>
        <w:rPr>
          <w:rFonts w:eastAsia="Calibri"/>
        </w:rPr>
        <w:t xml:space="preserve"> </w:t>
      </w:r>
      <w:r w:rsidRPr="00F76704">
        <w:rPr>
          <w:rFonts w:eastAsia="Calibri"/>
        </w:rPr>
        <w:t xml:space="preserve">Once approved, the user can send all submissions to CTP using the eSubmitter </w:t>
      </w:r>
      <w:r w:rsidRPr="00F76704">
        <w:rPr>
          <w:rFonts w:eastAsia="Calibri"/>
        </w:rPr>
        <w:t>tool and CTP Portal. Alternatively, respondents can mail submissions to FDA, as instructed in the guidance document</w:t>
      </w:r>
      <w:r w:rsidR="003551D2">
        <w:rPr>
          <w:rFonts w:eastAsia="Calibri"/>
        </w:rPr>
        <w:t>s referenced in Section 1 above</w:t>
      </w:r>
      <w:r w:rsidRPr="00F76704">
        <w:rPr>
          <w:rFonts w:eastAsia="Calibri"/>
        </w:rPr>
        <w:t>.</w:t>
      </w:r>
      <w:r w:rsidRPr="00F76704">
        <w:rPr>
          <w:rFonts w:eastAsia="Calibri"/>
        </w:rPr>
        <w:t xml:space="preserve"> </w:t>
      </w:r>
    </w:p>
    <w:p w:rsidR="00357C8A" w:rsidRPr="00357C8A" w:rsidP="006705EA" w14:paraId="185E5B2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D43187" w:rsidRPr="000C1260" w:rsidP="006F5120" w14:paraId="39A9EBB2" w14:textId="3856AC8C">
      <w:pPr>
        <w:spacing w:after="200"/>
      </w:pPr>
      <w:r w:rsidRPr="00D43187">
        <w:t>We are unaware of duplicative information collection.</w:t>
      </w:r>
      <w:r w:rsidRPr="00D43187">
        <w:t xml:space="preserve"> </w:t>
      </w:r>
    </w:p>
    <w:p w:rsidR="00357C8A" w:rsidRPr="00357C8A" w:rsidP="006705EA" w14:paraId="632EA435"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4C0004" w:rsidP="00656416" w14:paraId="3AC6987A" w14:textId="3582D3A3">
      <w:pPr>
        <w:spacing w:after="200" w:line="276" w:lineRule="auto"/>
        <w:rPr>
          <w:rFonts w:eastAsia="Calibri"/>
        </w:rPr>
      </w:pPr>
      <w:r w:rsidRPr="004C0004">
        <w:rPr>
          <w:rFonts w:eastAsia="Calibri"/>
        </w:rPr>
        <w:t>All domestic manufacturers and importers of tobacco products subject to regulation under chapter IX of the FD&amp;C Act are affected by this rule, including small businesses. It is likely that about 85 percent of the affected entities would be considered small tobacco product manufacturers under the definition included in section 900 of the FD&amp;C Act.</w:t>
      </w:r>
      <w:r>
        <w:rPr>
          <w:rStyle w:val="FootnoteReference"/>
          <w:rFonts w:eastAsia="Calibri"/>
        </w:rPr>
        <w:footnoteReference w:id="3"/>
      </w:r>
    </w:p>
    <w:p w:rsidR="00D43187" w:rsidRPr="00D43187" w:rsidP="00656416" w14:paraId="0F5E72E1" w14:textId="14984E17">
      <w:pPr>
        <w:spacing w:after="200" w:line="276" w:lineRule="auto"/>
        <w:rPr>
          <w:rFonts w:eastAsia="Calibri"/>
        </w:rPr>
      </w:pPr>
      <w:r w:rsidRPr="001C2EA7">
        <w:rPr>
          <w:rFonts w:eastAsia="Calibri"/>
        </w:rPr>
        <w:t xml:space="preserve">The requirement for submission of warning plans </w:t>
      </w:r>
      <w:r w:rsidRPr="001C2EA7" w:rsidR="00BC375F">
        <w:rPr>
          <w:rFonts w:eastAsia="Calibri"/>
        </w:rPr>
        <w:t xml:space="preserve">for </w:t>
      </w:r>
      <w:r w:rsidRPr="001C2EA7" w:rsidR="00D12EB5">
        <w:rPr>
          <w:rFonts w:eastAsia="Calibri"/>
        </w:rPr>
        <w:t>certain</w:t>
      </w:r>
      <w:r w:rsidRPr="001C2EA7" w:rsidR="00BC375F">
        <w:rPr>
          <w:rFonts w:eastAsia="Calibri"/>
        </w:rPr>
        <w:t xml:space="preserve"> tobacco products </w:t>
      </w:r>
      <w:r w:rsidRPr="001C2EA7">
        <w:rPr>
          <w:rFonts w:eastAsia="Calibri"/>
        </w:rPr>
        <w:t>does not fall disproportionately upon small businesses.</w:t>
      </w:r>
      <w:r w:rsidRPr="001C2EA7" w:rsidR="002F380D">
        <w:rPr>
          <w:rFonts w:eastAsia="Calibri"/>
        </w:rPr>
        <w:t xml:space="preserve"> </w:t>
      </w:r>
      <w:r w:rsidRPr="001C2EA7">
        <w:rPr>
          <w:rFonts w:eastAsia="Calibri"/>
        </w:rPr>
        <w:t>The Smokeless Tobacco Act</w:t>
      </w:r>
      <w:r w:rsidRPr="001C2EA7" w:rsidR="007C1235">
        <w:rPr>
          <w:rFonts w:eastAsia="Calibri"/>
        </w:rPr>
        <w:t>, as amended</w:t>
      </w:r>
      <w:r w:rsidRPr="001C2EA7" w:rsidR="00A35904">
        <w:rPr>
          <w:rFonts w:eastAsia="Calibri"/>
        </w:rPr>
        <w:t>,</w:t>
      </w:r>
      <w:r w:rsidRPr="001C2EA7">
        <w:rPr>
          <w:rFonts w:eastAsia="Calibri"/>
        </w:rPr>
        <w:t xml:space="preserve"> requires</w:t>
      </w:r>
      <w:r w:rsidRPr="4B5CF5D0">
        <w:rPr>
          <w:rFonts w:eastAsia="Calibri"/>
        </w:rPr>
        <w:t xml:space="preserve"> the submission of this information from manufacturers, distributors, importers, and retailers that manufacture, package, sell, offer to sell, distribute or import for sale or distribution smokeless tobacco products within the United States. Retailers may be exempt from this requirement under certain circumstances.</w:t>
      </w:r>
      <w:r w:rsidRPr="4B5CF5D0" w:rsidR="00F12D6E">
        <w:rPr>
          <w:rFonts w:eastAsia="Calibri"/>
        </w:rPr>
        <w:t xml:space="preserve"> </w:t>
      </w:r>
      <w:r w:rsidRPr="4B5CF5D0" w:rsidR="0056525A">
        <w:rPr>
          <w:rFonts w:eastAsia="Calibri"/>
        </w:rPr>
        <w:t xml:space="preserve">If necessary, </w:t>
      </w:r>
      <w:r w:rsidRPr="4B5CF5D0" w:rsidR="00F12D6E">
        <w:rPr>
          <w:rFonts w:eastAsia="Calibri"/>
        </w:rPr>
        <w:t xml:space="preserve">FDA </w:t>
      </w:r>
      <w:r w:rsidRPr="4B5CF5D0" w:rsidR="0056525A">
        <w:rPr>
          <w:rFonts w:eastAsia="Calibri"/>
        </w:rPr>
        <w:t>provides</w:t>
      </w:r>
      <w:r w:rsidRPr="4B5CF5D0" w:rsidR="00F12D6E">
        <w:rPr>
          <w:rFonts w:eastAsia="Calibri"/>
        </w:rPr>
        <w:t xml:space="preserve"> an alternative paper </w:t>
      </w:r>
      <w:r w:rsidRPr="4B5CF5D0" w:rsidR="007618A4">
        <w:rPr>
          <w:rFonts w:eastAsia="Calibri"/>
        </w:rPr>
        <w:t>submission</w:t>
      </w:r>
      <w:r w:rsidRPr="4B5CF5D0" w:rsidR="00F12D6E">
        <w:rPr>
          <w:rFonts w:eastAsia="Calibri"/>
        </w:rPr>
        <w:t xml:space="preserve"> for those individuals who are unable, or choose not to, use the electronic portals. FDA continues to pursue means of reducing the reporting burden for both small and large respondents and will continue to employ the latest technology for receiving these submissions, consistent with the intent of the legislation.</w:t>
      </w:r>
    </w:p>
    <w:p w:rsidR="00D43187" w:rsidRPr="00357C8A" w:rsidP="009F316F" w14:paraId="36A721DB" w14:textId="2ED37701">
      <w:pPr>
        <w:spacing w:after="200" w:line="276" w:lineRule="auto"/>
        <w:rPr>
          <w:rFonts w:eastAsia="Calibri"/>
        </w:rPr>
      </w:pPr>
      <w:r w:rsidRPr="00D43187">
        <w:rPr>
          <w:rFonts w:eastAsia="Calibri"/>
        </w:rPr>
        <w:t>CTP has issued draft guidance to assist small businesses and other persons required to submit warning plans under the Smokeless Tobacco Act</w:t>
      </w:r>
      <w:r w:rsidR="009D1F1B">
        <w:rPr>
          <w:rFonts w:eastAsia="Calibri"/>
        </w:rPr>
        <w:t>, as amended</w:t>
      </w:r>
      <w:r w:rsidR="00E267C1">
        <w:rPr>
          <w:rFonts w:eastAsia="Calibri"/>
        </w:rPr>
        <w:t>, which is described and linked in Section 1 above</w:t>
      </w:r>
      <w:r w:rsidRPr="00D43187">
        <w:rPr>
          <w:rFonts w:eastAsia="Calibri"/>
        </w:rPr>
        <w:t>.</w:t>
      </w:r>
    </w:p>
    <w:p w:rsidR="00357C8A" w:rsidRPr="00357C8A" w:rsidP="006705EA" w14:paraId="2980B2B5"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867093" w:rsidP="004A4CF9" w14:paraId="61121158" w14:textId="33A62889">
      <w:pPr>
        <w:spacing w:after="200" w:line="276" w:lineRule="auto"/>
        <w:rPr>
          <w:rFonts w:eastAsia="Calibri"/>
        </w:rPr>
      </w:pPr>
      <w:r w:rsidRPr="29DE7996">
        <w:rPr>
          <w:rFonts w:eastAsia="Calibri"/>
        </w:rPr>
        <w:t>Section 3 of the Smokeless Tobacco Act</w:t>
      </w:r>
      <w:r w:rsidRPr="29DE7996" w:rsidR="00092387">
        <w:rPr>
          <w:rFonts w:eastAsia="Calibri"/>
        </w:rPr>
        <w:t>, as amended,</w:t>
      </w:r>
      <w:r w:rsidRPr="29DE7996">
        <w:rPr>
          <w:rFonts w:eastAsia="Calibri"/>
        </w:rPr>
        <w:t xml:space="preserve"> (15 U.S.C. 4402) requires, among other things, that all smokeless tobacco product packages and advertisements bear one of four required warning statements. </w:t>
      </w:r>
      <w:r w:rsidR="00164225">
        <w:t xml:space="preserve">(15 U.S.C. 4402(a)(1)). </w:t>
      </w:r>
      <w:r w:rsidRPr="29DE7996" w:rsidR="00EC3C91">
        <w:rPr>
          <w:rFonts w:eastAsia="Calibri"/>
        </w:rPr>
        <w:t xml:space="preserve">The </w:t>
      </w:r>
      <w:r w:rsidR="00A5198B">
        <w:rPr>
          <w:rFonts w:eastAsia="Calibri"/>
        </w:rPr>
        <w:t>warning</w:t>
      </w:r>
      <w:r w:rsidRPr="29DE7996" w:rsidR="00EC3C91">
        <w:rPr>
          <w:rFonts w:eastAsia="Calibri"/>
        </w:rPr>
        <w:t xml:space="preserve"> statements specified in 4402(a)(1) must be randomly displayed on packaging and randomly distributed </w:t>
      </w:r>
      <w:r w:rsidRPr="29DE7996" w:rsidR="00903322">
        <w:rPr>
          <w:rFonts w:eastAsia="Calibri"/>
        </w:rPr>
        <w:t>“</w:t>
      </w:r>
      <w:r w:rsidRPr="29DE7996" w:rsidR="00EC3C91">
        <w:rPr>
          <w:rFonts w:eastAsia="Calibri"/>
        </w:rPr>
        <w:t>in accordance with a plan submitted by the tobacco product manufacturer, importer, distributor, or retailer</w:t>
      </w:r>
      <w:r w:rsidRPr="29DE7996" w:rsidR="00903322">
        <w:rPr>
          <w:rFonts w:eastAsia="Calibri"/>
        </w:rPr>
        <w:t>”</w:t>
      </w:r>
      <w:r w:rsidRPr="29DE7996" w:rsidR="00EC3C91">
        <w:rPr>
          <w:rFonts w:eastAsia="Calibri"/>
        </w:rPr>
        <w:t xml:space="preserve"> to, and approved by, FDA. (15 U.S.C. 4402(b)(3)(A))</w:t>
      </w:r>
      <w:r w:rsidRPr="29DE7996" w:rsidR="005F04F3">
        <w:rPr>
          <w:rFonts w:eastAsia="Calibri"/>
        </w:rPr>
        <w:t>.</w:t>
      </w:r>
      <w:r w:rsidR="005E0519">
        <w:t xml:space="preserve"> </w:t>
      </w:r>
      <w:r w:rsidR="00CB707D">
        <w:t xml:space="preserve">For a particular brand, the </w:t>
      </w:r>
      <w:r w:rsidR="008522C5">
        <w:t>original</w:t>
      </w:r>
      <w:r w:rsidR="00CB707D">
        <w:t xml:space="preserve"> rotational warning plan may be submitted</w:t>
      </w:r>
      <w:r w:rsidR="007B673C">
        <w:t xml:space="preserve"> by the tobacco product manufacturer, importer, distributor, or retailer</w:t>
      </w:r>
      <w:r w:rsidR="00D817C8">
        <w:t>. But</w:t>
      </w:r>
      <w:r w:rsidR="00643903">
        <w:t xml:space="preserve"> the </w:t>
      </w:r>
      <w:r w:rsidR="008522C5">
        <w:t>original</w:t>
      </w:r>
      <w:r w:rsidR="00643903">
        <w:t xml:space="preserve"> rotational warning plan</w:t>
      </w:r>
      <w:r w:rsidR="002E40DF">
        <w:t xml:space="preserve"> must be approved by FDA</w:t>
      </w:r>
      <w:r w:rsidR="00DB7C84">
        <w:t xml:space="preserve"> before </w:t>
      </w:r>
      <w:r w:rsidR="002D4223">
        <w:t>any</w:t>
      </w:r>
      <w:r w:rsidR="003635A1">
        <w:t xml:space="preserve"> entity </w:t>
      </w:r>
      <w:r w:rsidR="00A82D4E">
        <w:t>manufacture</w:t>
      </w:r>
      <w:r w:rsidR="001E17A9">
        <w:t>s</w:t>
      </w:r>
      <w:r w:rsidR="00A82D4E">
        <w:t>, package</w:t>
      </w:r>
      <w:r w:rsidR="001E17A9">
        <w:t>s</w:t>
      </w:r>
      <w:r w:rsidR="00A82D4E">
        <w:t xml:space="preserve">, </w:t>
      </w:r>
      <w:r w:rsidR="00DB7C84">
        <w:t>s</w:t>
      </w:r>
      <w:r w:rsidR="001E17A9">
        <w:t>ells</w:t>
      </w:r>
      <w:r w:rsidR="00DB7C84">
        <w:t xml:space="preserve">, </w:t>
      </w:r>
      <w:r w:rsidR="00A82D4E">
        <w:t>offer</w:t>
      </w:r>
      <w:r w:rsidR="001E17A9">
        <w:t>s</w:t>
      </w:r>
      <w:r w:rsidR="00A82D4E">
        <w:t xml:space="preserve"> to sell, </w:t>
      </w:r>
      <w:r w:rsidR="00DB7C84">
        <w:t>distribut</w:t>
      </w:r>
      <w:r w:rsidR="001E17A9">
        <w:t>es</w:t>
      </w:r>
      <w:r w:rsidR="00DB7C84">
        <w:t>, or import</w:t>
      </w:r>
      <w:r w:rsidR="001E17A9">
        <w:t>s for sale</w:t>
      </w:r>
      <w:r w:rsidR="00DB7C84">
        <w:t xml:space="preserve"> of </w:t>
      </w:r>
      <w:r w:rsidR="003C2093">
        <w:t>a</w:t>
      </w:r>
      <w:r w:rsidR="001E17A9">
        <w:t>ny</w:t>
      </w:r>
      <w:r w:rsidR="003C2093">
        <w:t xml:space="preserve"> </w:t>
      </w:r>
      <w:r w:rsidR="00643903">
        <w:t xml:space="preserve">brand of </w:t>
      </w:r>
      <w:r w:rsidR="003C2093">
        <w:t>smokeless tobacco product</w:t>
      </w:r>
      <w:r w:rsidR="00E91D37">
        <w:t xml:space="preserve">. </w:t>
      </w:r>
      <w:r w:rsidR="006957E8">
        <w:t xml:space="preserve">Because warnings must be </w:t>
      </w:r>
      <w:r w:rsidR="001B17A8">
        <w:t>randomly</w:t>
      </w:r>
      <w:r w:rsidR="006957E8">
        <w:t xml:space="preserve"> displayed on packages, and rotated quarterly in advertisements</w:t>
      </w:r>
      <w:r w:rsidR="002E40DF">
        <w:t xml:space="preserve">, </w:t>
      </w:r>
      <w:r w:rsidR="00AE1418">
        <w:t xml:space="preserve">for smokeless tobacco products in accordance with an approved warning plan, a </w:t>
      </w:r>
      <w:r w:rsidR="00AE1418">
        <w:t>new warning plan or supplement to an approved warning plan must be submitted and approved</w:t>
      </w:r>
      <w:r w:rsidR="00965E1F">
        <w:t xml:space="preserve"> before distributing or displaying packages and advertisements for a new brand</w:t>
      </w:r>
      <w:r w:rsidR="006957E8">
        <w:t xml:space="preserve">. </w:t>
      </w:r>
    </w:p>
    <w:p w:rsidR="00F76704" w:rsidRPr="00357C8A" w:rsidP="004A4CF9" w14:paraId="4E2BFA5E" w14:textId="45BF05D9">
      <w:pPr>
        <w:spacing w:after="200" w:line="276" w:lineRule="auto"/>
        <w:rPr>
          <w:rFonts w:eastAsia="Calibri"/>
        </w:rPr>
      </w:pPr>
      <w:r w:rsidRPr="00F76704">
        <w:rPr>
          <w:rFonts w:eastAsia="Calibri"/>
        </w:rPr>
        <w:t>The consequence of collecting this information less frequently could result in a</w:t>
      </w:r>
      <w:r>
        <w:rPr>
          <w:rFonts w:eastAsia="Calibri"/>
        </w:rPr>
        <w:t xml:space="preserve"> </w:t>
      </w:r>
      <w:r w:rsidRPr="00F76704">
        <w:rPr>
          <w:rFonts w:eastAsia="Calibri"/>
        </w:rPr>
        <w:t>product being misbranded or adulterated.</w:t>
      </w:r>
      <w:r w:rsidRPr="00F76704">
        <w:rPr>
          <w:rFonts w:eastAsia="Calibri"/>
        </w:rPr>
        <w:t xml:space="preserve"> </w:t>
      </w:r>
    </w:p>
    <w:p w:rsidR="00357C8A" w:rsidRPr="00357C8A" w:rsidP="006705EA" w14:paraId="4FC5CD25"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F76704" w:rsidP="00693C3C" w14:paraId="725BE0E6" w14:textId="2ECB08B5">
      <w:pPr>
        <w:spacing w:after="200"/>
        <w:rPr>
          <w:rFonts w:eastAsia="Calibri"/>
          <w:color w:val="000000"/>
        </w:rPr>
      </w:pPr>
      <w:r w:rsidRPr="00F76704">
        <w:rPr>
          <w:rFonts w:eastAsia="Calibri"/>
        </w:rPr>
        <w:t>There are no special circumstances for this collection of information.</w:t>
      </w:r>
    </w:p>
    <w:p w:rsidR="00357C8A" w:rsidRPr="00357C8A" w:rsidP="006705EA" w14:paraId="4669B5A7"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F76704" w:rsidP="004A4CF9" w14:paraId="606AA9F9" w14:textId="268C4415">
      <w:pPr>
        <w:spacing w:after="200" w:line="276" w:lineRule="auto"/>
        <w:rPr>
          <w:rFonts w:eastAsia="Calibri"/>
        </w:rPr>
      </w:pPr>
      <w:r w:rsidRPr="29DE7996">
        <w:rPr>
          <w:rFonts w:eastAsia="Calibri"/>
        </w:rPr>
        <w:t>FDA published a 60-day notice for public comment in the Federal Register of</w:t>
      </w:r>
      <w:r w:rsidR="00C30EB1">
        <w:rPr>
          <w:rFonts w:eastAsia="Calibri"/>
        </w:rPr>
        <w:t xml:space="preserve"> July 3, </w:t>
      </w:r>
      <w:r w:rsidRPr="29DE7996">
        <w:rPr>
          <w:rFonts w:eastAsia="Calibri"/>
        </w:rPr>
        <w:t xml:space="preserve">2025 </w:t>
      </w:r>
      <w:r w:rsidR="007F4068">
        <w:rPr>
          <w:rFonts w:eastAsia="Calibri"/>
        </w:rPr>
        <w:t>(</w:t>
      </w:r>
      <w:r w:rsidRPr="00402D6C" w:rsidR="00402D6C">
        <w:rPr>
          <w:rFonts w:eastAsia="Calibri"/>
        </w:rPr>
        <w:t>FR</w:t>
      </w:r>
      <w:r w:rsidR="00E9535E">
        <w:rPr>
          <w:rFonts w:eastAsia="Calibri"/>
        </w:rPr>
        <w:t xml:space="preserve"> </w:t>
      </w:r>
      <w:r w:rsidR="007F4068">
        <w:rPr>
          <w:rFonts w:eastAsia="Calibri"/>
        </w:rPr>
        <w:t xml:space="preserve">90 </w:t>
      </w:r>
      <w:r w:rsidRPr="00402D6C" w:rsidR="00402D6C">
        <w:rPr>
          <w:rFonts w:eastAsia="Calibri"/>
        </w:rPr>
        <w:t>29559</w:t>
      </w:r>
      <w:r w:rsidRPr="29DE7996">
        <w:rPr>
          <w:rFonts w:eastAsia="Calibri"/>
        </w:rPr>
        <w:t>)</w:t>
      </w:r>
      <w:r w:rsidRPr="29DE7996" w:rsidR="009541AC">
        <w:rPr>
          <w:rFonts w:eastAsia="Calibri"/>
        </w:rPr>
        <w:t xml:space="preserve">. </w:t>
      </w:r>
      <w:r w:rsidR="00C6182F">
        <w:rPr>
          <w:rFonts w:eastAsia="Calibri"/>
        </w:rPr>
        <w:t>Two comments were received that were not PRA related</w:t>
      </w:r>
      <w:r w:rsidRPr="29DE7996" w:rsidR="009541AC">
        <w:rPr>
          <w:rFonts w:eastAsia="Calibri"/>
        </w:rPr>
        <w:t>.</w:t>
      </w:r>
    </w:p>
    <w:p w:rsidR="00357C8A" w:rsidRPr="00357C8A" w:rsidP="006705EA" w14:paraId="08BE2E71"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F76704" w:rsidRPr="00792947" w:rsidP="00693C3C" w14:paraId="6FFFDE52" w14:textId="6323C376">
      <w:pPr>
        <w:spacing w:after="200"/>
        <w:rPr>
          <w:rFonts w:eastAsia="Calibri"/>
          <w:i/>
        </w:rPr>
      </w:pPr>
      <w:r w:rsidRPr="00F76704">
        <w:rPr>
          <w:rFonts w:eastAsia="Calibri"/>
        </w:rPr>
        <w:t>There are no incentives, payments</w:t>
      </w:r>
      <w:r w:rsidR="00250246">
        <w:rPr>
          <w:rFonts w:eastAsia="Calibri"/>
        </w:rPr>
        <w:t>,</w:t>
      </w:r>
      <w:r w:rsidRPr="00F76704">
        <w:rPr>
          <w:rFonts w:eastAsia="Calibri"/>
        </w:rPr>
        <w:t xml:space="preserve"> or gifts associated with this information collection.</w:t>
      </w:r>
      <w:r w:rsidRPr="00F76704">
        <w:rPr>
          <w:rFonts w:eastAsia="Calibri"/>
        </w:rPr>
        <w:t xml:space="preserve"> </w:t>
      </w:r>
    </w:p>
    <w:p w:rsidR="00357C8A" w:rsidRPr="00357C8A" w:rsidP="006705EA" w14:paraId="28BF7D18"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F76704" w:rsidRPr="00F76704" w:rsidP="00706EF0" w14:paraId="552ECB26" w14:textId="23553399">
      <w:pPr>
        <w:spacing w:after="200" w:line="276" w:lineRule="auto"/>
        <w:rPr>
          <w:rFonts w:eastAsia="Calibri"/>
        </w:rPr>
      </w:pPr>
      <w:r w:rsidRPr="00F76704">
        <w:rPr>
          <w:rFonts w:eastAsia="Calibri"/>
        </w:rPr>
        <w:t xml:space="preserve">Among the laws governing the disclosure of reports submitted under sections 910 and 905 of the </w:t>
      </w:r>
      <w:r w:rsidR="00F53A77">
        <w:rPr>
          <w:rFonts w:eastAsia="Calibri"/>
        </w:rPr>
        <w:t>FD&amp;C</w:t>
      </w:r>
      <w:r w:rsidRPr="00F76704">
        <w:rPr>
          <w:rFonts w:eastAsia="Calibri"/>
        </w:rPr>
        <w:t xml:space="preserve"> Act are the Freedom of Information Act (FOIA) (5 U.S.C. 552) and FDA’s implementing regulations.</w:t>
      </w:r>
      <w:r w:rsidR="006A3DB2">
        <w:rPr>
          <w:rFonts w:eastAsia="Calibri"/>
        </w:rPr>
        <w:t xml:space="preserve"> </w:t>
      </w:r>
      <w:r w:rsidRPr="00F76704">
        <w:rPr>
          <w:rFonts w:eastAsia="Calibri"/>
        </w:rPr>
        <w:t xml:space="preserve">Under FOIA, the public has broad access to agency records, unless the records (or a part of the records) are protected from disclosure by any of the law’s nine exemptions.  </w:t>
      </w:r>
    </w:p>
    <w:p w:rsidR="001075D3" w:rsidRPr="00EC6C60" w:rsidP="00EC6C60" w14:paraId="1A3DD3D1" w14:textId="6AF748AF">
      <w:pPr>
        <w:spacing w:after="200" w:line="276" w:lineRule="auto"/>
        <w:rPr>
          <w:rFonts w:eastAsia="Calibri"/>
        </w:rPr>
      </w:pPr>
      <w:r w:rsidRPr="29DE7996">
        <w:rPr>
          <w:rFonts w:eastAsia="Calibri"/>
        </w:rPr>
        <w:t xml:space="preserve">CTP also identified privacy compliance requirements and coordinated with FDA’s Privacy Officer to ensure responsible offices in CTP satisfy all in accordance with law and policy. CTP received </w:t>
      </w:r>
      <w:r w:rsidRPr="29DE7996" w:rsidR="0010103B">
        <w:rPr>
          <w:rFonts w:eastAsia="Calibri"/>
        </w:rPr>
        <w:t>Department of Health and Human Services</w:t>
      </w:r>
      <w:r w:rsidRPr="29DE7996">
        <w:rPr>
          <w:rFonts w:eastAsia="Calibri"/>
        </w:rPr>
        <w:t xml:space="preserve"> approval on the privacy impact assessment (PIA) underneath PIA ID: </w:t>
      </w:r>
      <w:r w:rsidRPr="29DE7996" w:rsidR="2D3C7AC1">
        <w:rPr>
          <w:rFonts w:eastAsia="Calibri"/>
        </w:rPr>
        <w:t xml:space="preserve"> FDA2107988</w:t>
      </w:r>
      <w:r w:rsidRPr="29DE7996">
        <w:rPr>
          <w:rFonts w:eastAsia="Calibri"/>
        </w:rPr>
        <w:t xml:space="preserve">. </w:t>
      </w:r>
    </w:p>
    <w:p w:rsidR="00357C8A" w:rsidRPr="00357C8A" w:rsidP="006705EA" w14:paraId="50F3A79B" w14:textId="77777777">
      <w:pPr>
        <w:numPr>
          <w:ilvl w:val="0"/>
          <w:numId w:val="6"/>
        </w:numPr>
        <w:spacing w:after="200" w:line="276" w:lineRule="auto"/>
        <w:rPr>
          <w:rFonts w:eastAsia="Calibri"/>
        </w:rPr>
      </w:pPr>
      <w:r w:rsidRPr="00357C8A">
        <w:rPr>
          <w:rFonts w:eastAsia="Calibri"/>
          <w:u w:val="single"/>
        </w:rPr>
        <w:t>Justification for Sensitive Questions</w:t>
      </w:r>
    </w:p>
    <w:p w:rsidR="00F76704" w:rsidRPr="002074FE" w:rsidP="007A1D82" w14:paraId="5DAD7BBE" w14:textId="509E8814">
      <w:pPr>
        <w:spacing w:after="200"/>
        <w:rPr>
          <w:rFonts w:eastAsia="Calibri"/>
        </w:rPr>
      </w:pPr>
      <w:r w:rsidRPr="00F76704">
        <w:rPr>
          <w:rFonts w:eastAsia="Calibri"/>
        </w:rPr>
        <w:t>The collection of information does not involve sensitive questions.</w:t>
      </w:r>
      <w:r w:rsidRPr="00F76704">
        <w:rPr>
          <w:rFonts w:eastAsia="Calibri"/>
        </w:rPr>
        <w:t xml:space="preserve"> </w:t>
      </w:r>
    </w:p>
    <w:p w:rsidR="00357C8A" w:rsidRPr="00357C8A" w:rsidP="006705EA" w14:paraId="01CBA82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22425B" w14:paraId="7CFF7A58" w14:textId="77777777">
      <w:pPr>
        <w:spacing w:after="200"/>
        <w:ind w:left="360"/>
        <w:rPr>
          <w:rFonts w:eastAsia="Calibri"/>
        </w:rPr>
      </w:pPr>
      <w:r w:rsidRPr="005C71CA">
        <w:rPr>
          <w:rFonts w:eastAsia="Calibri"/>
        </w:rPr>
        <w:t>12a.  Annualized Hour Burden Estimate</w:t>
      </w:r>
    </w:p>
    <w:p w:rsidR="000E7D93" w:rsidRPr="000E7D93" w:rsidP="0070545D" w14:paraId="7005846B" w14:textId="77777777">
      <w:pPr>
        <w:spacing w:after="200"/>
        <w:rPr>
          <w:rFonts w:eastAsia="Calibri"/>
        </w:rPr>
      </w:pPr>
      <w:r w:rsidRPr="000E7D93">
        <w:rPr>
          <w:rFonts w:eastAsia="Calibri"/>
        </w:rPr>
        <w:t>We estimate the burden of this collection of information as follows:</w:t>
      </w:r>
    </w:p>
    <w:p w:rsidR="000E7D93" w:rsidP="0070545D" w14:paraId="1EB5F6C8" w14:textId="5A1022F3">
      <w:pPr>
        <w:spacing w:after="200"/>
        <w:rPr>
          <w:rFonts w:eastAsia="Calibri"/>
        </w:rPr>
      </w:pPr>
      <w:r w:rsidRPr="00963B34">
        <w:rPr>
          <w:rFonts w:eastAsia="Calibri"/>
        </w:rPr>
        <w:t xml:space="preserve">In the burden hour table below, we calculate a total of </w:t>
      </w:r>
      <w:r w:rsidR="00CC4C60">
        <w:t>3</w:t>
      </w:r>
      <w:r w:rsidRPr="00963B34">
        <w:rPr>
          <w:rFonts w:eastAsia="Calibri"/>
        </w:rPr>
        <w:t xml:space="preserve"> respondents</w:t>
      </w:r>
      <w:r w:rsidRPr="00963B34" w:rsidR="006D4FE0">
        <w:rPr>
          <w:rFonts w:eastAsia="Calibri"/>
        </w:rPr>
        <w:t xml:space="preserve"> annually</w:t>
      </w:r>
      <w:r w:rsidRPr="00963B34">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2"/>
        <w:gridCol w:w="1243"/>
        <w:gridCol w:w="1661"/>
        <w:gridCol w:w="1709"/>
        <w:gridCol w:w="1424"/>
        <w:gridCol w:w="1275"/>
      </w:tblGrid>
      <w:tr w14:paraId="4FA468D9" w14:textId="77777777" w:rsidTr="29DE79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5000" w:type="pct"/>
            <w:gridSpan w:val="6"/>
            <w:tcBorders>
              <w:top w:val="nil"/>
              <w:left w:val="nil"/>
              <w:bottom w:val="single" w:sz="4" w:space="0" w:color="auto"/>
              <w:right w:val="nil"/>
            </w:tcBorders>
            <w:shd w:val="clear" w:color="auto" w:fill="auto"/>
          </w:tcPr>
          <w:p w:rsidR="005D1EBC" w:rsidP="00FF4E70" w14:paraId="45C91E83" w14:textId="40623214">
            <w:pPr>
              <w:jc w:val="center"/>
            </w:pPr>
            <w:r w:rsidRPr="001F2B16">
              <w:t>Table 1</w:t>
            </w:r>
            <w:r>
              <w:t>.</w:t>
            </w:r>
            <w:r w:rsidR="00FE05BF">
              <w:t>—</w:t>
            </w:r>
            <w:r w:rsidRPr="001F2B16">
              <w:t>Estimated Annual Reporting Burden</w:t>
            </w:r>
          </w:p>
        </w:tc>
      </w:tr>
      <w:tr w14:paraId="788CFCD0" w14:textId="77777777" w:rsidTr="0070545D">
        <w:tblPrEx>
          <w:tblW w:w="5000" w:type="pct"/>
          <w:tblLook w:val="01E0"/>
        </w:tblPrEx>
        <w:trPr>
          <w:cantSplit/>
          <w:trHeight w:val="20"/>
        </w:trPr>
        <w:tc>
          <w:tcPr>
            <w:tcW w:w="1153" w:type="pct"/>
            <w:tcBorders>
              <w:top w:val="single" w:sz="4" w:space="0" w:color="auto"/>
            </w:tcBorders>
            <w:shd w:val="clear" w:color="auto" w:fill="auto"/>
          </w:tcPr>
          <w:p w:rsidR="005D1EBC" w:rsidRPr="001C3D31" w:rsidP="00FF4E70" w14:paraId="71571DD4" w14:textId="77777777">
            <w:pPr>
              <w:jc w:val="center"/>
              <w:rPr>
                <w:sz w:val="20"/>
                <w:szCs w:val="20"/>
              </w:rPr>
            </w:pPr>
            <w:r w:rsidRPr="001C3D31">
              <w:rPr>
                <w:sz w:val="20"/>
                <w:szCs w:val="20"/>
              </w:rPr>
              <w:t>Activity</w:t>
            </w:r>
          </w:p>
        </w:tc>
        <w:tc>
          <w:tcPr>
            <w:tcW w:w="654" w:type="pct"/>
            <w:tcBorders>
              <w:top w:val="single" w:sz="4" w:space="0" w:color="auto"/>
            </w:tcBorders>
            <w:shd w:val="clear" w:color="auto" w:fill="auto"/>
          </w:tcPr>
          <w:p w:rsidR="005D1EBC" w:rsidRPr="001C3D31" w:rsidP="00FF4E70" w14:paraId="3620356B" w14:textId="1227EE94">
            <w:pPr>
              <w:jc w:val="center"/>
              <w:rPr>
                <w:sz w:val="20"/>
                <w:szCs w:val="20"/>
              </w:rPr>
            </w:pPr>
            <w:r w:rsidRPr="001C3D31">
              <w:rPr>
                <w:sz w:val="20"/>
                <w:szCs w:val="20"/>
              </w:rPr>
              <w:t>No. of Respondents</w:t>
            </w:r>
          </w:p>
        </w:tc>
        <w:tc>
          <w:tcPr>
            <w:tcW w:w="874" w:type="pct"/>
            <w:tcBorders>
              <w:top w:val="single" w:sz="4" w:space="0" w:color="auto"/>
            </w:tcBorders>
            <w:shd w:val="clear" w:color="auto" w:fill="auto"/>
          </w:tcPr>
          <w:p w:rsidR="005D1EBC" w:rsidRPr="001C3D31" w:rsidP="00FF4E70" w14:paraId="0CAE16D3" w14:textId="20F857EB">
            <w:pPr>
              <w:jc w:val="center"/>
              <w:rPr>
                <w:sz w:val="20"/>
                <w:szCs w:val="20"/>
              </w:rPr>
            </w:pPr>
            <w:r w:rsidRPr="001C3D31">
              <w:rPr>
                <w:bCs/>
                <w:sz w:val="20"/>
                <w:szCs w:val="20"/>
              </w:rPr>
              <w:t>No. of Responses per Respondent</w:t>
            </w:r>
          </w:p>
        </w:tc>
        <w:tc>
          <w:tcPr>
            <w:tcW w:w="899" w:type="pct"/>
            <w:tcBorders>
              <w:top w:val="single" w:sz="4" w:space="0" w:color="auto"/>
            </w:tcBorders>
            <w:shd w:val="clear" w:color="auto" w:fill="auto"/>
          </w:tcPr>
          <w:p w:rsidR="005D1EBC" w:rsidRPr="001C3D31" w:rsidP="00FF4E70" w14:paraId="0DAE6509" w14:textId="77777777">
            <w:pPr>
              <w:jc w:val="center"/>
              <w:rPr>
                <w:sz w:val="20"/>
                <w:szCs w:val="20"/>
              </w:rPr>
            </w:pPr>
            <w:r w:rsidRPr="001C3D31">
              <w:rPr>
                <w:sz w:val="20"/>
                <w:szCs w:val="20"/>
              </w:rPr>
              <w:t>Total Annual Responses</w:t>
            </w:r>
          </w:p>
        </w:tc>
        <w:tc>
          <w:tcPr>
            <w:tcW w:w="749" w:type="pct"/>
            <w:tcBorders>
              <w:top w:val="single" w:sz="4" w:space="0" w:color="auto"/>
            </w:tcBorders>
            <w:shd w:val="clear" w:color="auto" w:fill="auto"/>
          </w:tcPr>
          <w:p w:rsidR="005D1EBC" w:rsidRPr="001C3D31" w:rsidP="00FF4E70" w14:paraId="7666CF93" w14:textId="18E28687">
            <w:pPr>
              <w:jc w:val="center"/>
              <w:rPr>
                <w:sz w:val="20"/>
                <w:szCs w:val="20"/>
              </w:rPr>
            </w:pPr>
            <w:r w:rsidRPr="001C3D31">
              <w:rPr>
                <w:bCs/>
                <w:sz w:val="20"/>
                <w:szCs w:val="20"/>
              </w:rPr>
              <w:t>Average Burden per Response</w:t>
            </w:r>
            <w:r w:rsidR="00960FA8">
              <w:rPr>
                <w:bCs/>
                <w:sz w:val="20"/>
                <w:szCs w:val="20"/>
              </w:rPr>
              <w:t xml:space="preserve"> (Hours)</w:t>
            </w:r>
          </w:p>
        </w:tc>
        <w:tc>
          <w:tcPr>
            <w:tcW w:w="671" w:type="pct"/>
            <w:tcBorders>
              <w:top w:val="single" w:sz="4" w:space="0" w:color="auto"/>
            </w:tcBorders>
            <w:shd w:val="clear" w:color="auto" w:fill="auto"/>
          </w:tcPr>
          <w:p w:rsidR="005D1EBC" w:rsidRPr="001C3D31" w:rsidP="00FF4E70" w14:paraId="61363B47" w14:textId="77777777">
            <w:pPr>
              <w:jc w:val="center"/>
              <w:rPr>
                <w:sz w:val="20"/>
                <w:szCs w:val="20"/>
              </w:rPr>
            </w:pPr>
            <w:r w:rsidRPr="001C3D31">
              <w:rPr>
                <w:sz w:val="20"/>
                <w:szCs w:val="20"/>
              </w:rPr>
              <w:t>Total Hours</w:t>
            </w:r>
          </w:p>
        </w:tc>
      </w:tr>
      <w:tr w14:paraId="638C01E5" w14:textId="77777777" w:rsidTr="0070545D">
        <w:tblPrEx>
          <w:tblW w:w="5000" w:type="pct"/>
          <w:tblLook w:val="01E0"/>
        </w:tblPrEx>
        <w:trPr>
          <w:cantSplit/>
          <w:trHeight w:val="20"/>
        </w:trPr>
        <w:tc>
          <w:tcPr>
            <w:tcW w:w="1153" w:type="pct"/>
            <w:shd w:val="clear" w:color="auto" w:fill="auto"/>
          </w:tcPr>
          <w:p w:rsidR="005D1EBC" w:rsidRPr="001C3D31" w:rsidP="00FF4E70" w14:paraId="53CBB897" w14:textId="72519607">
            <w:pPr>
              <w:rPr>
                <w:sz w:val="20"/>
                <w:szCs w:val="20"/>
              </w:rPr>
            </w:pPr>
            <w:r w:rsidRPr="005D1EBC">
              <w:rPr>
                <w:sz w:val="20"/>
                <w:szCs w:val="20"/>
              </w:rPr>
              <w:t xml:space="preserve">Submission of </w:t>
            </w:r>
            <w:r w:rsidR="00FD1E96">
              <w:rPr>
                <w:sz w:val="20"/>
                <w:szCs w:val="20"/>
              </w:rPr>
              <w:t>original</w:t>
            </w:r>
            <w:r w:rsidRPr="005D1EBC">
              <w:rPr>
                <w:sz w:val="20"/>
                <w:szCs w:val="20"/>
              </w:rPr>
              <w:t xml:space="preserve"> rotational plans for health warning statements</w:t>
            </w:r>
            <w:r w:rsidR="00951849">
              <w:rPr>
                <w:sz w:val="20"/>
                <w:szCs w:val="20"/>
              </w:rPr>
              <w:t xml:space="preserve"> for smokeless </w:t>
            </w:r>
            <w:r w:rsidR="008204F6">
              <w:rPr>
                <w:sz w:val="20"/>
                <w:szCs w:val="20"/>
              </w:rPr>
              <w:t>tobacco products</w:t>
            </w:r>
          </w:p>
        </w:tc>
        <w:tc>
          <w:tcPr>
            <w:tcW w:w="654" w:type="pct"/>
            <w:shd w:val="clear" w:color="auto" w:fill="auto"/>
          </w:tcPr>
          <w:p w:rsidR="005D1EBC" w:rsidRPr="001C3D31" w:rsidP="00FF4E70" w14:paraId="49754A9A" w14:textId="77777777">
            <w:pPr>
              <w:jc w:val="right"/>
              <w:rPr>
                <w:sz w:val="20"/>
                <w:szCs w:val="20"/>
              </w:rPr>
            </w:pPr>
            <w:r w:rsidRPr="001C3D31">
              <w:rPr>
                <w:sz w:val="20"/>
                <w:szCs w:val="20"/>
              </w:rPr>
              <w:t>1</w:t>
            </w:r>
          </w:p>
        </w:tc>
        <w:tc>
          <w:tcPr>
            <w:tcW w:w="874" w:type="pct"/>
            <w:shd w:val="clear" w:color="auto" w:fill="auto"/>
          </w:tcPr>
          <w:p w:rsidR="005D1EBC" w:rsidRPr="001C3D31" w:rsidP="00FF4E70" w14:paraId="33BBD64E" w14:textId="77777777">
            <w:pPr>
              <w:jc w:val="right"/>
              <w:rPr>
                <w:sz w:val="20"/>
                <w:szCs w:val="20"/>
              </w:rPr>
            </w:pPr>
            <w:r w:rsidRPr="001C3D31">
              <w:rPr>
                <w:sz w:val="20"/>
                <w:szCs w:val="20"/>
              </w:rPr>
              <w:t>1</w:t>
            </w:r>
          </w:p>
        </w:tc>
        <w:tc>
          <w:tcPr>
            <w:tcW w:w="899" w:type="pct"/>
            <w:shd w:val="clear" w:color="auto" w:fill="auto"/>
          </w:tcPr>
          <w:p w:rsidR="005D1EBC" w:rsidRPr="001C3D31" w:rsidP="00FF4E70" w14:paraId="48193871" w14:textId="77777777">
            <w:pPr>
              <w:jc w:val="right"/>
              <w:rPr>
                <w:sz w:val="20"/>
                <w:szCs w:val="20"/>
              </w:rPr>
            </w:pPr>
            <w:r w:rsidRPr="001C3D31">
              <w:rPr>
                <w:sz w:val="20"/>
                <w:szCs w:val="20"/>
              </w:rPr>
              <w:t>1</w:t>
            </w:r>
          </w:p>
        </w:tc>
        <w:tc>
          <w:tcPr>
            <w:tcW w:w="749" w:type="pct"/>
            <w:shd w:val="clear" w:color="auto" w:fill="auto"/>
          </w:tcPr>
          <w:p w:rsidR="005D1EBC" w:rsidRPr="001C3D31" w:rsidP="00FF4E70" w14:paraId="0A97132E" w14:textId="77777777">
            <w:pPr>
              <w:jc w:val="right"/>
              <w:rPr>
                <w:sz w:val="20"/>
                <w:szCs w:val="20"/>
              </w:rPr>
            </w:pPr>
            <w:r w:rsidRPr="001C3D31">
              <w:rPr>
                <w:sz w:val="20"/>
                <w:szCs w:val="20"/>
              </w:rPr>
              <w:t>60</w:t>
            </w:r>
          </w:p>
        </w:tc>
        <w:tc>
          <w:tcPr>
            <w:tcW w:w="671" w:type="pct"/>
            <w:shd w:val="clear" w:color="auto" w:fill="auto"/>
          </w:tcPr>
          <w:p w:rsidR="005D1EBC" w:rsidRPr="001C3D31" w:rsidP="00FF4E70" w14:paraId="60C7942A" w14:textId="77777777">
            <w:pPr>
              <w:jc w:val="right"/>
              <w:rPr>
                <w:sz w:val="20"/>
                <w:szCs w:val="20"/>
              </w:rPr>
            </w:pPr>
            <w:r w:rsidRPr="001C3D31">
              <w:rPr>
                <w:sz w:val="20"/>
                <w:szCs w:val="20"/>
              </w:rPr>
              <w:t>60</w:t>
            </w:r>
          </w:p>
        </w:tc>
      </w:tr>
      <w:tr w14:paraId="4C1D9901" w14:textId="77777777" w:rsidTr="0070545D">
        <w:tblPrEx>
          <w:tblW w:w="5000" w:type="pct"/>
          <w:tblLook w:val="01E0"/>
        </w:tblPrEx>
        <w:trPr>
          <w:cantSplit/>
          <w:trHeight w:val="20"/>
        </w:trPr>
        <w:tc>
          <w:tcPr>
            <w:tcW w:w="1153" w:type="pct"/>
            <w:shd w:val="clear" w:color="auto" w:fill="auto"/>
          </w:tcPr>
          <w:p w:rsidR="005D1EBC" w:rsidRPr="001C3D31" w:rsidP="00FF4E70" w14:paraId="0D31AAF3" w14:textId="13CC15A4">
            <w:pPr>
              <w:rPr>
                <w:sz w:val="20"/>
                <w:szCs w:val="20"/>
              </w:rPr>
            </w:pPr>
            <w:r w:rsidRPr="005D1EBC">
              <w:rPr>
                <w:sz w:val="20"/>
                <w:szCs w:val="20"/>
              </w:rPr>
              <w:t>Supplement to approved plan</w:t>
            </w:r>
            <w:r w:rsidR="008204F6">
              <w:rPr>
                <w:sz w:val="20"/>
                <w:szCs w:val="20"/>
              </w:rPr>
              <w:t xml:space="preserve"> for smokeless tobacco products</w:t>
            </w:r>
          </w:p>
        </w:tc>
        <w:tc>
          <w:tcPr>
            <w:tcW w:w="654" w:type="pct"/>
            <w:shd w:val="clear" w:color="auto" w:fill="auto"/>
          </w:tcPr>
          <w:p w:rsidR="005D1EBC" w:rsidRPr="001C3D31" w:rsidP="00FF4E70" w14:paraId="4577F050" w14:textId="3EF58B92">
            <w:pPr>
              <w:jc w:val="right"/>
              <w:rPr>
                <w:sz w:val="20"/>
                <w:szCs w:val="20"/>
              </w:rPr>
            </w:pPr>
            <w:r>
              <w:rPr>
                <w:sz w:val="20"/>
                <w:szCs w:val="20"/>
              </w:rPr>
              <w:t>2</w:t>
            </w:r>
          </w:p>
        </w:tc>
        <w:tc>
          <w:tcPr>
            <w:tcW w:w="874" w:type="pct"/>
            <w:shd w:val="clear" w:color="auto" w:fill="auto"/>
          </w:tcPr>
          <w:p w:rsidR="005D1EBC" w:rsidRPr="001C3D31" w:rsidP="00FF4E70" w14:paraId="254B0435" w14:textId="77777777">
            <w:pPr>
              <w:jc w:val="right"/>
              <w:rPr>
                <w:sz w:val="20"/>
                <w:szCs w:val="20"/>
              </w:rPr>
            </w:pPr>
            <w:r w:rsidRPr="001C3D31">
              <w:rPr>
                <w:sz w:val="20"/>
                <w:szCs w:val="20"/>
              </w:rPr>
              <w:t>1</w:t>
            </w:r>
          </w:p>
        </w:tc>
        <w:tc>
          <w:tcPr>
            <w:tcW w:w="899" w:type="pct"/>
            <w:shd w:val="clear" w:color="auto" w:fill="auto"/>
          </w:tcPr>
          <w:p w:rsidR="005D1EBC" w:rsidRPr="001C3D31" w:rsidP="00FF4E70" w14:paraId="49ED223F" w14:textId="6CF831C9">
            <w:pPr>
              <w:jc w:val="right"/>
              <w:rPr>
                <w:sz w:val="20"/>
                <w:szCs w:val="20"/>
              </w:rPr>
            </w:pPr>
            <w:r>
              <w:rPr>
                <w:sz w:val="20"/>
                <w:szCs w:val="20"/>
              </w:rPr>
              <w:t>2</w:t>
            </w:r>
          </w:p>
        </w:tc>
        <w:tc>
          <w:tcPr>
            <w:tcW w:w="749" w:type="pct"/>
            <w:shd w:val="clear" w:color="auto" w:fill="auto"/>
          </w:tcPr>
          <w:p w:rsidR="005D1EBC" w:rsidRPr="001C3D31" w:rsidP="00FF4E70" w14:paraId="29479F2F" w14:textId="77777777">
            <w:pPr>
              <w:jc w:val="right"/>
              <w:rPr>
                <w:sz w:val="20"/>
                <w:szCs w:val="20"/>
              </w:rPr>
            </w:pPr>
            <w:r w:rsidRPr="001C3D31">
              <w:rPr>
                <w:sz w:val="20"/>
                <w:szCs w:val="20"/>
              </w:rPr>
              <w:t>30</w:t>
            </w:r>
          </w:p>
        </w:tc>
        <w:tc>
          <w:tcPr>
            <w:tcW w:w="671" w:type="pct"/>
            <w:shd w:val="clear" w:color="auto" w:fill="auto"/>
          </w:tcPr>
          <w:p w:rsidR="005D1EBC" w:rsidRPr="001C3D31" w:rsidP="00FF4E70" w14:paraId="3BB28ED0" w14:textId="089ACC62">
            <w:pPr>
              <w:jc w:val="right"/>
              <w:rPr>
                <w:sz w:val="20"/>
                <w:szCs w:val="20"/>
              </w:rPr>
            </w:pPr>
            <w:r>
              <w:rPr>
                <w:sz w:val="20"/>
                <w:szCs w:val="20"/>
              </w:rPr>
              <w:t>60</w:t>
            </w:r>
          </w:p>
        </w:tc>
      </w:tr>
      <w:tr w14:paraId="7484B61F" w14:textId="77777777" w:rsidTr="0070545D">
        <w:tblPrEx>
          <w:tblW w:w="5000" w:type="pct"/>
          <w:tblLook w:val="01E0"/>
        </w:tblPrEx>
        <w:trPr>
          <w:cantSplit/>
          <w:trHeight w:val="20"/>
        </w:trPr>
        <w:tc>
          <w:tcPr>
            <w:tcW w:w="4329" w:type="pct"/>
            <w:gridSpan w:val="5"/>
            <w:tcBorders>
              <w:bottom w:val="single" w:sz="4" w:space="0" w:color="auto"/>
            </w:tcBorders>
            <w:shd w:val="clear" w:color="auto" w:fill="auto"/>
          </w:tcPr>
          <w:p w:rsidR="005D1EBC" w:rsidRPr="001C3D31" w:rsidP="00FF4E70" w14:paraId="2683943B" w14:textId="77777777">
            <w:pPr>
              <w:rPr>
                <w:sz w:val="20"/>
                <w:szCs w:val="20"/>
              </w:rPr>
            </w:pPr>
            <w:r w:rsidRPr="001C3D31">
              <w:rPr>
                <w:sz w:val="20"/>
                <w:szCs w:val="20"/>
              </w:rPr>
              <w:t>Total</w:t>
            </w:r>
          </w:p>
        </w:tc>
        <w:tc>
          <w:tcPr>
            <w:tcW w:w="671" w:type="pct"/>
            <w:tcBorders>
              <w:bottom w:val="single" w:sz="4" w:space="0" w:color="auto"/>
            </w:tcBorders>
            <w:shd w:val="clear" w:color="auto" w:fill="auto"/>
          </w:tcPr>
          <w:p w:rsidR="005D1EBC" w:rsidRPr="001C3D31" w:rsidP="00FF4E70" w14:paraId="20DA5F3F" w14:textId="01206B68">
            <w:pPr>
              <w:jc w:val="right"/>
              <w:rPr>
                <w:sz w:val="20"/>
                <w:szCs w:val="20"/>
              </w:rPr>
            </w:pPr>
            <w:r w:rsidRPr="001C3D31">
              <w:rPr>
                <w:sz w:val="20"/>
                <w:szCs w:val="20"/>
              </w:rPr>
              <w:t>1</w:t>
            </w:r>
            <w:r w:rsidR="00FD1E96">
              <w:rPr>
                <w:sz w:val="20"/>
                <w:szCs w:val="20"/>
              </w:rPr>
              <w:t>2</w:t>
            </w:r>
            <w:r w:rsidR="001861F9">
              <w:rPr>
                <w:sz w:val="20"/>
                <w:szCs w:val="20"/>
              </w:rPr>
              <w:t>0</w:t>
            </w:r>
          </w:p>
        </w:tc>
      </w:tr>
      <w:tr w14:paraId="0855A5F5" w14:textId="77777777" w:rsidTr="29DE7996">
        <w:tblPrEx>
          <w:tblW w:w="5000" w:type="pct"/>
          <w:tblLook w:val="01E0"/>
        </w:tblPrEx>
        <w:trPr>
          <w:cantSplit/>
          <w:trHeight w:val="300"/>
        </w:trPr>
        <w:tc>
          <w:tcPr>
            <w:tcW w:w="5000" w:type="pct"/>
            <w:gridSpan w:val="6"/>
            <w:tcBorders>
              <w:top w:val="single" w:sz="4" w:space="0" w:color="auto"/>
              <w:left w:val="nil"/>
              <w:bottom w:val="nil"/>
              <w:right w:val="nil"/>
            </w:tcBorders>
            <w:shd w:val="clear" w:color="auto" w:fill="auto"/>
          </w:tcPr>
          <w:p w:rsidR="00FD2ADB" w:rsidRPr="00144AAD" w:rsidP="00144AAD" w14:paraId="5D2C5214" w14:textId="488A48F0">
            <w:pPr>
              <w:rPr>
                <w:sz w:val="20"/>
                <w:szCs w:val="20"/>
              </w:rPr>
            </w:pPr>
          </w:p>
        </w:tc>
      </w:tr>
    </w:tbl>
    <w:p w:rsidR="009106CE" w:rsidP="29DE7996" w14:paraId="159122A0" w14:textId="1B6A99C7">
      <w:pPr>
        <w:spacing w:before="200" w:after="200" w:line="276" w:lineRule="auto"/>
        <w:rPr>
          <w:rFonts w:eastAsia="Calibri"/>
        </w:rPr>
      </w:pPr>
      <w:r w:rsidRPr="29DE7996">
        <w:rPr>
          <w:rFonts w:eastAsia="Calibri"/>
        </w:rPr>
        <w:t>Based on FDA’s experience over the years, FDA retains the estimate of 60 hours to complete an original</w:t>
      </w:r>
      <w:r w:rsidRPr="29DE7996" w:rsidR="008522C5">
        <w:rPr>
          <w:rFonts w:eastAsia="Calibri"/>
        </w:rPr>
        <w:t xml:space="preserve"> rotational warning plan. </w:t>
      </w:r>
      <w:r w:rsidRPr="29DE7996" w:rsidR="00A86B68">
        <w:rPr>
          <w:rFonts w:eastAsia="Calibri"/>
        </w:rPr>
        <w:t>FDA estimates that preparing and submitting a supplement to an approved plan will take half this time (30 hours).</w:t>
      </w:r>
    </w:p>
    <w:p w:rsidR="00043945" w:rsidRPr="00D05812" w:rsidP="00043945" w14:paraId="66A280F7" w14:textId="1C1FF741">
      <w:pPr>
        <w:spacing w:before="200" w:after="200" w:line="276" w:lineRule="auto"/>
        <w:rPr>
          <w:rFonts w:eastAsia="Calibri"/>
          <w:iCs/>
        </w:rPr>
      </w:pPr>
      <w:r w:rsidRPr="00D05812">
        <w:rPr>
          <w:rFonts w:eastAsia="Calibri"/>
          <w:iCs/>
        </w:rPr>
        <w:t>FDA estimates a total of 1 respondent will submit a new original smokeless tobacco warning plan per year, which will take approximately 60 hours to complete, for a total of 60 burden hours. Additionally, FDA estimates a total of 2 respondents will submit a supplement to an approved smokeless tobacco warning plan</w:t>
      </w:r>
      <w:r w:rsidR="00F93E22">
        <w:rPr>
          <w:rFonts w:eastAsia="Calibri"/>
          <w:iCs/>
        </w:rPr>
        <w:t xml:space="preserve"> per year</w:t>
      </w:r>
      <w:r w:rsidRPr="00D05812">
        <w:rPr>
          <w:rFonts w:eastAsia="Calibri"/>
          <w:iCs/>
        </w:rPr>
        <w:t xml:space="preserve">, taking approximately 30 hours to complete per response, for a total of 60 burden hours. Thus, the total </w:t>
      </w:r>
      <w:r w:rsidR="0006310A">
        <w:rPr>
          <w:rFonts w:eastAsia="Calibri"/>
          <w:iCs/>
        </w:rPr>
        <w:t xml:space="preserve">annual </w:t>
      </w:r>
      <w:r w:rsidRPr="00D05812">
        <w:rPr>
          <w:rFonts w:eastAsia="Calibri"/>
          <w:iCs/>
        </w:rPr>
        <w:t>burden for the collection for smokeless tobacco warning plans is estimated to be 1</w:t>
      </w:r>
      <w:r>
        <w:rPr>
          <w:rFonts w:eastAsia="Calibri"/>
          <w:iCs/>
        </w:rPr>
        <w:t>20</w:t>
      </w:r>
      <w:r w:rsidRPr="00D05812">
        <w:rPr>
          <w:rFonts w:eastAsia="Calibri"/>
          <w:iCs/>
        </w:rPr>
        <w:t xml:space="preserve"> hours. </w:t>
      </w:r>
    </w:p>
    <w:p w:rsidR="00043945" w:rsidP="00043945" w14:paraId="033A81C4" w14:textId="0F26CA6A">
      <w:pPr>
        <w:spacing w:before="200" w:after="200" w:line="276" w:lineRule="auto"/>
        <w:rPr>
          <w:rFonts w:eastAsia="Calibri"/>
          <w:iCs/>
        </w:rPr>
      </w:pPr>
      <w:r w:rsidRPr="00D05812">
        <w:rPr>
          <w:rFonts w:eastAsia="Calibri"/>
          <w:iCs/>
        </w:rPr>
        <w:t xml:space="preserve">FDA has adjusted its burden estimate, which has resulted in a decrease of 60 hours and 2 respondents to the currently approved burden. This adjusted burden estimate is based on historical trends for smokeless tobacco warning plans. </w:t>
      </w:r>
      <w:r w:rsidRPr="0070545D" w:rsidR="009F79A9">
        <w:rPr>
          <w:rFonts w:eastAsia="Calibri"/>
          <w:iCs/>
        </w:rPr>
        <w:t>As of this OMB submission</w:t>
      </w:r>
      <w:r w:rsidRPr="00F609C0">
        <w:rPr>
          <w:rFonts w:eastAsia="Calibri"/>
          <w:iCs/>
        </w:rPr>
        <w:t xml:space="preserve">, FDA has received a total of 47 original smokeless warning plans, and a total of 33 </w:t>
      </w:r>
      <w:r w:rsidRPr="00DF6F04">
        <w:rPr>
          <w:rFonts w:eastAsia="Calibri"/>
          <w:iCs/>
        </w:rPr>
        <w:t>supplements. Generally</w:t>
      </w:r>
      <w:r w:rsidRPr="00D05812">
        <w:rPr>
          <w:rFonts w:eastAsia="Calibri"/>
          <w:iCs/>
        </w:rPr>
        <w:t>, after receiving the initial influx of original smokeless warnings plans, the number of annual warning plan submissions has decreased, and FDA does not expect submissions to increase at this time.</w:t>
      </w:r>
    </w:p>
    <w:p w:rsidR="00C02F36" w:rsidP="000121AF" w14:paraId="63B88550" w14:textId="6CD8C9D6">
      <w:pPr>
        <w:spacing w:before="200" w:after="200" w:line="276" w:lineRule="auto"/>
        <w:rPr>
          <w:rFonts w:eastAsia="Calibri"/>
          <w:iCs/>
        </w:rPr>
      </w:pPr>
      <w:r>
        <w:rPr>
          <w:rFonts w:eastAsia="Calibri"/>
        </w:rPr>
        <w:t>The</w:t>
      </w:r>
      <w:r w:rsidR="00064F5D">
        <w:rPr>
          <w:rFonts w:eastAsia="Calibri"/>
        </w:rPr>
        <w:t xml:space="preserve"> total annual burden for this collection is estimated to be 12</w:t>
      </w:r>
      <w:r>
        <w:rPr>
          <w:rFonts w:eastAsia="Calibri"/>
        </w:rPr>
        <w:t>0</w:t>
      </w:r>
      <w:r w:rsidR="00064F5D">
        <w:rPr>
          <w:rFonts w:eastAsia="Calibri"/>
        </w:rPr>
        <w:t xml:space="preserve"> hours.</w:t>
      </w:r>
    </w:p>
    <w:p w:rsidR="00FB1428" w:rsidRPr="000565F5" w:rsidP="005D1EBC" w14:paraId="6569AC9C" w14:textId="05091C5D">
      <w:pPr>
        <w:spacing w:after="200"/>
        <w:ind w:left="360"/>
        <w:rPr>
          <w:rFonts w:eastAsia="Calibri"/>
        </w:rPr>
      </w:pPr>
      <w:r>
        <w:rPr>
          <w:rFonts w:eastAsia="Calibri"/>
        </w:rPr>
        <w:t xml:space="preserve">12b. </w:t>
      </w:r>
      <w:r w:rsidRPr="000565F5">
        <w:rPr>
          <w:rFonts w:eastAsia="Calibri"/>
        </w:rPr>
        <w:t>Annualized Cost Burden Estimate</w:t>
      </w:r>
    </w:p>
    <w:p w:rsidR="00976BFA" w:rsidRPr="00976BFA" w:rsidP="00976BFA" w14:paraId="3F06AB5A" w14:textId="71C1FECE">
      <w:pPr>
        <w:spacing w:after="200" w:line="276" w:lineRule="auto"/>
        <w:rPr>
          <w:rFonts w:eastAsia="Calibri"/>
        </w:rPr>
      </w:pPr>
      <w:r w:rsidRPr="00976BFA">
        <w:rPr>
          <w:rFonts w:eastAsia="Calibri"/>
        </w:rPr>
        <w:t>The estimated annual reporting cost to respondents for submitting rotational warning plans is $</w:t>
      </w:r>
      <w:r w:rsidR="00783A4D">
        <w:rPr>
          <w:rFonts w:eastAsia="Calibri"/>
        </w:rPr>
        <w:t>16,</w:t>
      </w:r>
      <w:r w:rsidR="00ED128E">
        <w:rPr>
          <w:rFonts w:eastAsia="Calibri"/>
        </w:rPr>
        <w:t>070.40</w:t>
      </w:r>
      <w:r w:rsidRPr="00976BFA">
        <w:rPr>
          <w:rFonts w:eastAsia="Calibri"/>
        </w:rPr>
        <w:t>. To reflect this estimate accurately, a composite wage was calculated from the 2024 BLS national industry-specific occupational employment and mean wage estimates for the tobacco manufacturing industry</w:t>
      </w:r>
      <w:r w:rsidR="00476739">
        <w:rPr>
          <w:rFonts w:eastAsia="Calibri"/>
        </w:rPr>
        <w:t xml:space="preserve"> (</w:t>
      </w:r>
      <w:hyperlink r:id="rId14" w:anchor="/industry/312200" w:history="1">
        <w:r w:rsidR="00FF5942">
          <w:rPr>
            <w:rStyle w:val="Hyperlink"/>
            <w:rFonts w:eastAsia="Calibri"/>
          </w:rPr>
          <w:t>data.bls.gov/oes/#/industry/312200</w:t>
        </w:r>
      </w:hyperlink>
      <w:r w:rsidR="000269F7">
        <w:rPr>
          <w:rFonts w:eastAsia="Calibri"/>
        </w:rPr>
        <w:t xml:space="preserve"> </w:t>
      </w:r>
      <w:r w:rsidR="00B73865">
        <w:rPr>
          <w:rFonts w:eastAsia="Calibri"/>
        </w:rPr>
        <w:t>)</w:t>
      </w:r>
      <w:r w:rsidRPr="00976BFA">
        <w:rPr>
          <w:rFonts w:eastAsia="Calibri"/>
        </w:rPr>
        <w:t>. We use</w:t>
      </w:r>
      <w:r w:rsidR="00762789">
        <w:rPr>
          <w:rFonts w:eastAsia="Calibri"/>
        </w:rPr>
        <w:t>d</w:t>
      </w:r>
      <w:r w:rsidRPr="00976BFA">
        <w:rPr>
          <w:rFonts w:eastAsia="Calibri"/>
        </w:rPr>
        <w:t xml:space="preserve"> a mix of 80 percent management occupations (average hourly wage $76.92) and 20 percent office/administrative time (average hourly wage $27.10). </w:t>
      </w:r>
    </w:p>
    <w:p w:rsidR="00976BFA" w:rsidP="00976BFA" w14:paraId="2E304209" w14:textId="4991CA04">
      <w:pPr>
        <w:spacing w:after="200" w:line="276" w:lineRule="auto"/>
        <w:rPr>
          <w:rFonts w:eastAsia="Calibri"/>
        </w:rPr>
      </w:pPr>
      <w:r w:rsidRPr="00976BFA">
        <w:rPr>
          <w:rFonts w:eastAsia="Calibri"/>
        </w:rPr>
        <w:t>This mix yield</w:t>
      </w:r>
      <w:r w:rsidR="00762789">
        <w:rPr>
          <w:rFonts w:eastAsia="Calibri"/>
        </w:rPr>
        <w:t>ed</w:t>
      </w:r>
      <w:r w:rsidRPr="00976BFA">
        <w:rPr>
          <w:rFonts w:eastAsia="Calibri"/>
        </w:rPr>
        <w:t xml:space="preserve"> a composite </w:t>
      </w:r>
      <w:r w:rsidR="004F6F49">
        <w:rPr>
          <w:rFonts w:eastAsia="Calibri"/>
        </w:rPr>
        <w:t xml:space="preserve">hourly </w:t>
      </w:r>
      <w:r w:rsidRPr="00976BFA">
        <w:rPr>
          <w:rFonts w:eastAsia="Calibri"/>
        </w:rPr>
        <w:t>wage of $66.96 (=($76.92</w:t>
      </w:r>
      <w:r w:rsidR="00246080">
        <w:rPr>
          <w:rFonts w:eastAsia="Calibri"/>
        </w:rPr>
        <w:t xml:space="preserve"> x </w:t>
      </w:r>
      <w:r w:rsidRPr="00976BFA">
        <w:rPr>
          <w:rFonts w:eastAsia="Calibri"/>
        </w:rPr>
        <w:t>80%</w:t>
      </w:r>
      <w:r w:rsidR="00246080">
        <w:rPr>
          <w:rFonts w:eastAsia="Calibri"/>
        </w:rPr>
        <w:t xml:space="preserve"> </w:t>
      </w:r>
      <w:r w:rsidRPr="00976BFA">
        <w:rPr>
          <w:rFonts w:eastAsia="Calibri"/>
        </w:rPr>
        <w:t>)+(</w:t>
      </w:r>
      <w:r w:rsidR="00246080">
        <w:rPr>
          <w:rFonts w:eastAsia="Calibri"/>
        </w:rPr>
        <w:t xml:space="preserve"> </w:t>
      </w:r>
      <w:r w:rsidRPr="00976BFA">
        <w:rPr>
          <w:rFonts w:eastAsia="Calibri"/>
        </w:rPr>
        <w:t>$27.10</w:t>
      </w:r>
      <w:r w:rsidR="00246080">
        <w:rPr>
          <w:rFonts w:eastAsia="Calibri"/>
        </w:rPr>
        <w:t xml:space="preserve"> x </w:t>
      </w:r>
      <w:r w:rsidRPr="00976BFA">
        <w:rPr>
          <w:rFonts w:eastAsia="Calibri"/>
        </w:rPr>
        <w:t>20%</w:t>
      </w:r>
      <w:r w:rsidR="00246080">
        <w:rPr>
          <w:rFonts w:eastAsia="Calibri"/>
        </w:rPr>
        <w:t xml:space="preserve"> </w:t>
      </w:r>
      <w:r w:rsidRPr="00976BFA">
        <w:rPr>
          <w:rFonts w:eastAsia="Calibri"/>
        </w:rPr>
        <w:t>)</w:t>
      </w:r>
      <w:r w:rsidR="00136019">
        <w:rPr>
          <w:rFonts w:eastAsia="Calibri"/>
        </w:rPr>
        <w:t>)</w:t>
      </w:r>
      <w:r w:rsidRPr="00976BFA">
        <w:rPr>
          <w:rFonts w:eastAsia="Calibri"/>
        </w:rPr>
        <w:t>. We double</w:t>
      </w:r>
      <w:r w:rsidR="00F23E4C">
        <w:rPr>
          <w:rFonts w:eastAsia="Calibri"/>
        </w:rPr>
        <w:t>d</w:t>
      </w:r>
      <w:r w:rsidRPr="00976BFA">
        <w:rPr>
          <w:rFonts w:eastAsia="Calibri"/>
        </w:rPr>
        <w:t xml:space="preserve"> this to account for benefits and overhead, yielding an hourly wage of $133.92.</w:t>
      </w:r>
    </w:p>
    <w:p w:rsidR="00A707CC" w:rsidP="0055701D" w14:paraId="5B91F3BC" w14:textId="003FFF75">
      <w:pPr>
        <w:jc w:val="center"/>
        <w:rPr>
          <w:rFonts w:eastAsia="Calibri"/>
        </w:rPr>
      </w:pPr>
      <w:r>
        <w:rPr>
          <w:rFonts w:eastAsia="Calibri"/>
        </w:rPr>
        <w:t>Table 2.—Estimated Annual</w:t>
      </w:r>
      <w:r w:rsidR="00FE05BF">
        <w:rPr>
          <w:rFonts w:eastAsia="Calibri"/>
        </w:rPr>
        <w:t>ized Cost Burden</w:t>
      </w:r>
    </w:p>
    <w:p w:rsidR="00BE692F" w:rsidP="0055701D" w14:paraId="412ABE91" w14:textId="77777777">
      <w:pPr>
        <w:jc w:val="cente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0"/>
        <w:gridCol w:w="2167"/>
        <w:gridCol w:w="2229"/>
        <w:gridCol w:w="2208"/>
      </w:tblGrid>
      <w:tr w14:paraId="1B139BD3" w14:textId="77777777" w:rsidTr="0070545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22" w:type="pct"/>
            <w:tcBorders>
              <w:top w:val="single" w:sz="4" w:space="0" w:color="auto"/>
            </w:tcBorders>
            <w:shd w:val="clear" w:color="auto" w:fill="auto"/>
          </w:tcPr>
          <w:p w:rsidR="00A707CC" w:rsidRPr="009E5ABA" w:rsidP="00312622" w14:paraId="09406BB6" w14:textId="0D77E362">
            <w:pPr>
              <w:jc w:val="center"/>
              <w:rPr>
                <w:sz w:val="20"/>
                <w:szCs w:val="20"/>
              </w:rPr>
            </w:pPr>
            <w:r w:rsidRPr="009E5ABA">
              <w:rPr>
                <w:sz w:val="20"/>
                <w:szCs w:val="20"/>
              </w:rPr>
              <w:t>Type of Respondent</w:t>
            </w:r>
          </w:p>
        </w:tc>
        <w:tc>
          <w:tcPr>
            <w:tcW w:w="1141" w:type="pct"/>
            <w:tcBorders>
              <w:top w:val="single" w:sz="4" w:space="0" w:color="auto"/>
            </w:tcBorders>
            <w:shd w:val="clear" w:color="auto" w:fill="auto"/>
          </w:tcPr>
          <w:p w:rsidR="00A707CC" w:rsidRPr="009E5ABA" w:rsidP="00312622" w14:paraId="0770D4A0" w14:textId="5CEA2AB4">
            <w:pPr>
              <w:jc w:val="center"/>
              <w:rPr>
                <w:sz w:val="20"/>
                <w:szCs w:val="20"/>
              </w:rPr>
            </w:pPr>
            <w:r w:rsidRPr="009E5ABA">
              <w:rPr>
                <w:sz w:val="20"/>
                <w:szCs w:val="20"/>
              </w:rPr>
              <w:t>Total Burden Hours</w:t>
            </w:r>
          </w:p>
        </w:tc>
        <w:tc>
          <w:tcPr>
            <w:tcW w:w="1174" w:type="pct"/>
            <w:tcBorders>
              <w:top w:val="single" w:sz="4" w:space="0" w:color="auto"/>
            </w:tcBorders>
            <w:shd w:val="clear" w:color="auto" w:fill="auto"/>
          </w:tcPr>
          <w:p w:rsidR="00A707CC" w:rsidRPr="009E5ABA" w:rsidP="00312622" w14:paraId="0E99B7C0" w14:textId="0C0CF1FF">
            <w:pPr>
              <w:jc w:val="center"/>
              <w:rPr>
                <w:sz w:val="20"/>
                <w:szCs w:val="20"/>
              </w:rPr>
            </w:pPr>
            <w:r w:rsidRPr="009E5ABA">
              <w:rPr>
                <w:sz w:val="20"/>
                <w:szCs w:val="20"/>
              </w:rPr>
              <w:t>Hourly Wage Rate</w:t>
            </w:r>
          </w:p>
        </w:tc>
        <w:tc>
          <w:tcPr>
            <w:tcW w:w="1163" w:type="pct"/>
            <w:tcBorders>
              <w:top w:val="single" w:sz="4" w:space="0" w:color="auto"/>
            </w:tcBorders>
            <w:shd w:val="clear" w:color="auto" w:fill="auto"/>
          </w:tcPr>
          <w:p w:rsidR="00A707CC" w:rsidRPr="009E5ABA" w:rsidP="00312622" w14:paraId="3A2AE803" w14:textId="67AC8BDE">
            <w:pPr>
              <w:jc w:val="center"/>
              <w:rPr>
                <w:sz w:val="20"/>
                <w:szCs w:val="20"/>
              </w:rPr>
            </w:pPr>
            <w:r w:rsidRPr="009E5ABA">
              <w:rPr>
                <w:sz w:val="20"/>
                <w:szCs w:val="20"/>
              </w:rPr>
              <w:t>Total Respondent Costs</w:t>
            </w:r>
          </w:p>
        </w:tc>
      </w:tr>
      <w:tr w14:paraId="7C5FA8BB" w14:textId="77777777" w:rsidTr="009E5ABA">
        <w:tblPrEx>
          <w:tblW w:w="5000" w:type="pct"/>
          <w:tblLook w:val="01E0"/>
        </w:tblPrEx>
        <w:tc>
          <w:tcPr>
            <w:tcW w:w="1522" w:type="pct"/>
            <w:shd w:val="clear" w:color="auto" w:fill="auto"/>
          </w:tcPr>
          <w:p w:rsidR="00A707CC" w:rsidRPr="009E5ABA" w:rsidP="00312622" w14:paraId="5A4DB43C" w14:textId="1CE91896">
            <w:pPr>
              <w:rPr>
                <w:sz w:val="20"/>
                <w:szCs w:val="20"/>
              </w:rPr>
            </w:pPr>
            <w:r w:rsidRPr="009E5ABA">
              <w:rPr>
                <w:sz w:val="20"/>
                <w:szCs w:val="20"/>
              </w:rPr>
              <w:t>Tobacco industry: management</w:t>
            </w:r>
            <w:r w:rsidR="004D07FC">
              <w:rPr>
                <w:sz w:val="20"/>
                <w:szCs w:val="20"/>
              </w:rPr>
              <w:t xml:space="preserve"> and office/administrative (composite wage)</w:t>
            </w:r>
          </w:p>
        </w:tc>
        <w:tc>
          <w:tcPr>
            <w:tcW w:w="1141" w:type="pct"/>
            <w:shd w:val="clear" w:color="auto" w:fill="auto"/>
            <w:vAlign w:val="center"/>
          </w:tcPr>
          <w:p w:rsidR="00A707CC" w:rsidRPr="009E5ABA" w:rsidP="009E5ABA" w14:paraId="72083FAE" w14:textId="52020F5B">
            <w:pPr>
              <w:jc w:val="center"/>
              <w:rPr>
                <w:sz w:val="20"/>
                <w:szCs w:val="20"/>
              </w:rPr>
            </w:pPr>
            <w:r>
              <w:rPr>
                <w:sz w:val="20"/>
                <w:szCs w:val="20"/>
              </w:rPr>
              <w:t>12</w:t>
            </w:r>
            <w:r w:rsidR="001861F9">
              <w:rPr>
                <w:sz w:val="20"/>
                <w:szCs w:val="20"/>
              </w:rPr>
              <w:t>0</w:t>
            </w:r>
          </w:p>
        </w:tc>
        <w:tc>
          <w:tcPr>
            <w:tcW w:w="1174" w:type="pct"/>
            <w:shd w:val="clear" w:color="auto" w:fill="auto"/>
            <w:vAlign w:val="center"/>
          </w:tcPr>
          <w:p w:rsidR="00A707CC" w:rsidRPr="009E5ABA" w:rsidP="009E5ABA" w14:paraId="417FE6E7" w14:textId="7F50E15A">
            <w:pPr>
              <w:jc w:val="center"/>
              <w:rPr>
                <w:sz w:val="20"/>
                <w:szCs w:val="20"/>
              </w:rPr>
            </w:pPr>
            <w:r w:rsidRPr="009E5ABA">
              <w:rPr>
                <w:sz w:val="20"/>
                <w:szCs w:val="20"/>
              </w:rPr>
              <w:t>$</w:t>
            </w:r>
            <w:r w:rsidR="00783A4D">
              <w:rPr>
                <w:sz w:val="20"/>
                <w:szCs w:val="20"/>
              </w:rPr>
              <w:t>133.92</w:t>
            </w:r>
          </w:p>
        </w:tc>
        <w:tc>
          <w:tcPr>
            <w:tcW w:w="1163" w:type="pct"/>
            <w:shd w:val="clear" w:color="auto" w:fill="auto"/>
            <w:vAlign w:val="center"/>
          </w:tcPr>
          <w:p w:rsidR="00A707CC" w:rsidRPr="009E5ABA" w:rsidP="009E5ABA" w14:paraId="62CA0CF3" w14:textId="3CECA259">
            <w:pPr>
              <w:jc w:val="center"/>
              <w:rPr>
                <w:sz w:val="20"/>
                <w:szCs w:val="20"/>
              </w:rPr>
            </w:pPr>
            <w:r w:rsidRPr="009E5ABA">
              <w:rPr>
                <w:sz w:val="20"/>
                <w:szCs w:val="20"/>
              </w:rPr>
              <w:t>$</w:t>
            </w:r>
            <w:r w:rsidR="00273038">
              <w:rPr>
                <w:sz w:val="20"/>
                <w:szCs w:val="20"/>
              </w:rPr>
              <w:t>16,</w:t>
            </w:r>
            <w:r w:rsidR="00ED128E">
              <w:rPr>
                <w:sz w:val="20"/>
                <w:szCs w:val="20"/>
              </w:rPr>
              <w:t>070.40</w:t>
            </w:r>
          </w:p>
        </w:tc>
      </w:tr>
      <w:tr w14:paraId="3ADEAB18" w14:textId="77777777" w:rsidTr="009E5ABA">
        <w:tblPrEx>
          <w:tblW w:w="5000" w:type="pct"/>
          <w:tblLook w:val="01E0"/>
        </w:tblPrEx>
        <w:tc>
          <w:tcPr>
            <w:tcW w:w="3837" w:type="pct"/>
            <w:gridSpan w:val="3"/>
            <w:shd w:val="clear" w:color="auto" w:fill="auto"/>
          </w:tcPr>
          <w:p w:rsidR="00A707CC" w:rsidRPr="009E5ABA" w:rsidP="00312622" w14:paraId="74463A2B" w14:textId="77777777">
            <w:pPr>
              <w:rPr>
                <w:sz w:val="20"/>
                <w:szCs w:val="20"/>
              </w:rPr>
            </w:pPr>
            <w:r w:rsidRPr="009E5ABA">
              <w:rPr>
                <w:sz w:val="20"/>
                <w:szCs w:val="20"/>
              </w:rPr>
              <w:t>Total</w:t>
            </w:r>
          </w:p>
        </w:tc>
        <w:tc>
          <w:tcPr>
            <w:tcW w:w="1163" w:type="pct"/>
            <w:shd w:val="clear" w:color="auto" w:fill="auto"/>
            <w:vAlign w:val="center"/>
          </w:tcPr>
          <w:p w:rsidR="00A707CC" w:rsidRPr="009E5ABA" w:rsidP="009E5ABA" w14:paraId="45326F25" w14:textId="2D1BC98B">
            <w:pPr>
              <w:jc w:val="center"/>
              <w:rPr>
                <w:sz w:val="20"/>
                <w:szCs w:val="20"/>
              </w:rPr>
            </w:pPr>
            <w:r w:rsidRPr="009E5ABA">
              <w:rPr>
                <w:sz w:val="20"/>
                <w:szCs w:val="20"/>
              </w:rPr>
              <w:t>$</w:t>
            </w:r>
            <w:r w:rsidR="00273038">
              <w:rPr>
                <w:sz w:val="20"/>
                <w:szCs w:val="20"/>
              </w:rPr>
              <w:t>16,</w:t>
            </w:r>
            <w:r w:rsidR="00ED128E">
              <w:rPr>
                <w:sz w:val="20"/>
                <w:szCs w:val="20"/>
              </w:rPr>
              <w:t>070.40</w:t>
            </w:r>
          </w:p>
        </w:tc>
      </w:tr>
    </w:tbl>
    <w:p w:rsidR="00357C8A" w:rsidRPr="00357C8A" w:rsidP="00357C8A" w14:paraId="0B568A98" w14:textId="77777777">
      <w:pPr>
        <w:rPr>
          <w:rFonts w:eastAsia="Calibri"/>
        </w:rPr>
      </w:pPr>
    </w:p>
    <w:p w:rsidR="00357C8A" w:rsidRPr="00357C8A" w:rsidP="006705EA" w14:paraId="120F98A7"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5D1EBC" w:rsidP="000565F5" w14:paraId="2AB9A88A" w14:textId="1E0F9631">
      <w:pPr>
        <w:spacing w:after="200" w:line="276" w:lineRule="auto"/>
        <w:rPr>
          <w:rFonts w:eastAsia="Calibri"/>
        </w:rPr>
      </w:pPr>
      <w:r w:rsidRPr="005D1EBC">
        <w:rPr>
          <w:rFonts w:eastAsia="Calibri"/>
        </w:rPr>
        <w:t>There are no other annual cost burdens to respondents or recordkeepers resulting from the collection of information.</w:t>
      </w:r>
    </w:p>
    <w:p w:rsidR="00357C8A" w:rsidRPr="00357C8A" w:rsidP="006705EA" w14:paraId="60744BF6" w14:textId="77777777">
      <w:pPr>
        <w:numPr>
          <w:ilvl w:val="0"/>
          <w:numId w:val="6"/>
        </w:numPr>
        <w:spacing w:after="200" w:line="276" w:lineRule="auto"/>
        <w:rPr>
          <w:rFonts w:eastAsia="Calibri"/>
          <w:u w:val="single"/>
        </w:rPr>
      </w:pPr>
      <w:r w:rsidRPr="4E63AEA9">
        <w:rPr>
          <w:rFonts w:eastAsia="Calibri"/>
          <w:u w:val="single"/>
        </w:rPr>
        <w:t>Annualized Cost to the Federal Government</w:t>
      </w:r>
    </w:p>
    <w:p w:rsidR="003935F3" w:rsidRPr="00357C8A" w:rsidP="000565F5" w14:paraId="6C0FBD7D" w14:textId="4E246773">
      <w:pPr>
        <w:spacing w:after="200" w:line="276" w:lineRule="auto"/>
        <w:rPr>
          <w:rFonts w:eastAsia="Calibri"/>
        </w:rPr>
      </w:pPr>
      <w:r>
        <w:rPr>
          <w:rFonts w:eastAsia="Calibri"/>
        </w:rPr>
        <w:t xml:space="preserve">The estimated total cost to the Federal Government for this collection is $132,638. </w:t>
      </w:r>
      <w:r w:rsidRPr="29DE7996">
        <w:rPr>
          <w:rFonts w:eastAsia="Calibri"/>
        </w:rPr>
        <w:t xml:space="preserve">Our estimated cost to the </w:t>
      </w:r>
      <w:r w:rsidR="00292819">
        <w:rPr>
          <w:rFonts w:eastAsia="Calibri"/>
        </w:rPr>
        <w:t>f</w:t>
      </w:r>
      <w:r w:rsidRPr="29DE7996" w:rsidR="00292819">
        <w:rPr>
          <w:rFonts w:eastAsia="Calibri"/>
        </w:rPr>
        <w:t xml:space="preserve">ederal </w:t>
      </w:r>
      <w:r w:rsidRPr="29DE7996">
        <w:rPr>
          <w:rFonts w:eastAsia="Calibri"/>
        </w:rPr>
        <w:t>government reflects the allocation of 50 percent of a full-time equivalent (FTE) employee to administer the requirements. Using</w:t>
      </w:r>
      <w:r w:rsidR="007D3A1A">
        <w:rPr>
          <w:rFonts w:eastAsia="Calibri"/>
        </w:rPr>
        <w:t xml:space="preserve"> 2025 Grade 13 Step 4 salary and wage data</w:t>
      </w:r>
      <w:r w:rsidRPr="29DE7996">
        <w:rPr>
          <w:rFonts w:eastAsia="Calibri"/>
        </w:rPr>
        <w:t xml:space="preserve"> for the Washington DC-Metropolitan area found at </w:t>
      </w:r>
      <w:hyperlink r:id="rId15" w:history="1">
        <w:r w:rsidRPr="00DF7616" w:rsidR="00DF7616">
          <w:rPr>
            <w:rStyle w:val="Hyperlink"/>
            <w:rFonts w:eastAsia="Calibri"/>
          </w:rPr>
          <w:t>www.opm.gov/policy-data-oversight/pay-leave/salaries-wages/salary-tables/25Tables/pdf/DCB.pdf</w:t>
        </w:r>
      </w:hyperlink>
      <w:r w:rsidRPr="29DE7996" w:rsidR="003E7F24">
        <w:rPr>
          <w:rFonts w:eastAsia="Calibri"/>
        </w:rPr>
        <w:t xml:space="preserve"> </w:t>
      </w:r>
      <w:r w:rsidR="00340F97">
        <w:rPr>
          <w:rFonts w:eastAsia="Calibri"/>
        </w:rPr>
        <w:t>and doubling to account for benefits and overhead, we calculate a total cost of</w:t>
      </w:r>
      <w:r w:rsidRPr="29DE7996">
        <w:rPr>
          <w:rFonts w:eastAsia="Calibri"/>
        </w:rPr>
        <w:t xml:space="preserve"> $</w:t>
      </w:r>
      <w:r w:rsidR="00A46B76">
        <w:rPr>
          <w:rFonts w:eastAsia="Calibri"/>
        </w:rPr>
        <w:t>132,638</w:t>
      </w:r>
      <w:r w:rsidRPr="29DE7996">
        <w:rPr>
          <w:rFonts w:eastAsia="Calibri"/>
        </w:rPr>
        <w:t xml:space="preserve"> ($</w:t>
      </w:r>
      <w:r w:rsidRPr="29DE7996" w:rsidR="00C21FEA">
        <w:rPr>
          <w:rFonts w:eastAsia="Calibri"/>
        </w:rPr>
        <w:t>132,638</w:t>
      </w:r>
      <w:r w:rsidRPr="29DE7996">
        <w:rPr>
          <w:rFonts w:eastAsia="Calibri"/>
        </w:rPr>
        <w:t xml:space="preserve"> x </w:t>
      </w:r>
      <w:r w:rsidRPr="29DE7996" w:rsidR="00C21FEA">
        <w:rPr>
          <w:rFonts w:eastAsia="Calibri"/>
        </w:rPr>
        <w:t>0</w:t>
      </w:r>
      <w:r w:rsidRPr="29DE7996">
        <w:rPr>
          <w:rFonts w:eastAsia="Calibri"/>
        </w:rPr>
        <w:t>.50</w:t>
      </w:r>
      <w:r w:rsidR="00A46B76">
        <w:rPr>
          <w:rFonts w:eastAsia="Calibri"/>
        </w:rPr>
        <w:t xml:space="preserve"> x 2</w:t>
      </w:r>
      <w:r w:rsidRPr="29DE7996">
        <w:rPr>
          <w:rFonts w:eastAsia="Calibri"/>
        </w:rPr>
        <w:t xml:space="preserve">). </w:t>
      </w:r>
    </w:p>
    <w:p w:rsidR="00357C8A" w:rsidP="006705EA" w14:paraId="22C24A45" w14:textId="73E2EAE0">
      <w:pPr>
        <w:numPr>
          <w:ilvl w:val="0"/>
          <w:numId w:val="6"/>
        </w:numPr>
        <w:spacing w:after="200" w:line="276" w:lineRule="auto"/>
        <w:rPr>
          <w:rFonts w:eastAsia="Calibri"/>
          <w:u w:val="single"/>
        </w:rPr>
      </w:pPr>
      <w:r w:rsidRPr="00357C8A">
        <w:rPr>
          <w:rFonts w:eastAsia="Calibri"/>
          <w:u w:val="single"/>
        </w:rPr>
        <w:t>Explanation for Program Changes or Adjustments</w:t>
      </w:r>
    </w:p>
    <w:p w:rsidR="00B837FA" w:rsidRPr="0070545D" w:rsidP="00A506DE" w14:paraId="2F30D620" w14:textId="37E3239D">
      <w:pPr>
        <w:spacing w:after="200" w:line="276" w:lineRule="auto"/>
        <w:rPr>
          <w:rFonts w:eastAsia="Calibri"/>
          <w:i/>
          <w:iCs/>
        </w:rPr>
      </w:pPr>
      <w:r w:rsidRPr="0070545D">
        <w:rPr>
          <w:rFonts w:eastAsia="Calibri"/>
          <w:i/>
          <w:iCs/>
        </w:rPr>
        <w:t xml:space="preserve">Program Change Burden </w:t>
      </w:r>
    </w:p>
    <w:p w:rsidR="007E70CA" w:rsidP="00A506DE" w14:paraId="06A0453A" w14:textId="0AE8E575">
      <w:pPr>
        <w:spacing w:after="200" w:line="276" w:lineRule="auto"/>
        <w:rPr>
          <w:rFonts w:eastAsia="Calibri"/>
          <w:iCs/>
        </w:rPr>
      </w:pPr>
      <w:r>
        <w:rPr>
          <w:rFonts w:eastAsia="Calibri"/>
        </w:rPr>
        <w:t>N/A</w:t>
      </w:r>
    </w:p>
    <w:p w:rsidR="00BC6D9B" w:rsidRPr="0070545D" w:rsidP="00A506DE" w14:paraId="75528997" w14:textId="776DB307">
      <w:pPr>
        <w:spacing w:after="200" w:line="276" w:lineRule="auto"/>
        <w:rPr>
          <w:i/>
        </w:rPr>
      </w:pPr>
      <w:r w:rsidRPr="0070545D">
        <w:rPr>
          <w:rFonts w:eastAsia="Calibri"/>
          <w:i/>
        </w:rPr>
        <w:t xml:space="preserve">Adjustment Burden </w:t>
      </w:r>
    </w:p>
    <w:p w:rsidR="00C81EA3" w:rsidP="00A506DE" w14:paraId="206B4EAB" w14:textId="23B760FE">
      <w:pPr>
        <w:spacing w:after="200" w:line="276" w:lineRule="auto"/>
        <w:rPr>
          <w:rFonts w:eastAsia="Calibri"/>
          <w:iCs/>
        </w:rPr>
      </w:pPr>
      <w:r w:rsidRPr="008F66E0">
        <w:rPr>
          <w:rFonts w:eastAsia="Calibri"/>
          <w:iCs/>
        </w:rPr>
        <w:t>FDA estimates a total of 2 respondents will submit a supplement to an approved smokeless tobacco warning plan,</w:t>
      </w:r>
      <w:r w:rsidR="001C02D0">
        <w:rPr>
          <w:rFonts w:eastAsia="Calibri"/>
          <w:iCs/>
        </w:rPr>
        <w:t xml:space="preserve"> a decrease from the previously approved 4 respondents</w:t>
      </w:r>
      <w:r w:rsidR="00D11561">
        <w:rPr>
          <w:rFonts w:eastAsia="Calibri"/>
          <w:iCs/>
        </w:rPr>
        <w:t>,</w:t>
      </w:r>
      <w:r w:rsidR="00C171E3">
        <w:rPr>
          <w:rFonts w:eastAsia="Calibri"/>
          <w:iCs/>
        </w:rPr>
        <w:t xml:space="preserve"> </w:t>
      </w:r>
      <w:r w:rsidRPr="00D05812" w:rsidR="00C171E3">
        <w:rPr>
          <w:rFonts w:eastAsia="Calibri"/>
          <w:iCs/>
        </w:rPr>
        <w:t xml:space="preserve">based on </w:t>
      </w:r>
      <w:r w:rsidR="00C171E3">
        <w:rPr>
          <w:rFonts w:eastAsia="Calibri"/>
          <w:iCs/>
        </w:rPr>
        <w:t>2022–2024</w:t>
      </w:r>
      <w:r w:rsidRPr="00D05812" w:rsidR="00C171E3">
        <w:rPr>
          <w:rFonts w:eastAsia="Calibri"/>
          <w:iCs/>
        </w:rPr>
        <w:t xml:space="preserve"> trends for smokeless tobacco warning plans</w:t>
      </w:r>
      <w:r w:rsidR="00D11561">
        <w:rPr>
          <w:rFonts w:eastAsia="Calibri"/>
          <w:iCs/>
        </w:rPr>
        <w:t>. FDA is not adjusting the assumption that it will</w:t>
      </w:r>
      <w:r w:rsidR="001C02D0">
        <w:rPr>
          <w:rFonts w:eastAsia="Calibri"/>
          <w:iCs/>
        </w:rPr>
        <w:t xml:space="preserve"> </w:t>
      </w:r>
      <w:r w:rsidRPr="008F66E0">
        <w:rPr>
          <w:rFonts w:eastAsia="Calibri"/>
          <w:iCs/>
        </w:rPr>
        <w:t>tak</w:t>
      </w:r>
      <w:r w:rsidR="00D11561">
        <w:rPr>
          <w:rFonts w:eastAsia="Calibri"/>
          <w:iCs/>
        </w:rPr>
        <w:t>e</w:t>
      </w:r>
      <w:r w:rsidRPr="008F66E0">
        <w:rPr>
          <w:rFonts w:eastAsia="Calibri"/>
          <w:iCs/>
        </w:rPr>
        <w:t xml:space="preserve"> approximately 30 hours to complete </w:t>
      </w:r>
      <w:r w:rsidR="00DB42D2">
        <w:rPr>
          <w:rFonts w:eastAsia="Calibri"/>
          <w:iCs/>
        </w:rPr>
        <w:t xml:space="preserve">and submit a supplement to an approved smokeless tobacco warning plan. </w:t>
      </w:r>
    </w:p>
    <w:p w:rsidR="00C81EA3" w:rsidRPr="0070545D" w:rsidP="00A506DE" w14:paraId="69959EEE" w14:textId="225B57F9">
      <w:pPr>
        <w:spacing w:after="200" w:line="276" w:lineRule="auto"/>
        <w:rPr>
          <w:rFonts w:eastAsia="Calibri"/>
          <w:i/>
        </w:rPr>
      </w:pPr>
      <w:r w:rsidRPr="0070545D">
        <w:rPr>
          <w:rFonts w:eastAsia="Calibri"/>
          <w:i/>
        </w:rPr>
        <w:t>Total Burden</w:t>
      </w:r>
    </w:p>
    <w:p w:rsidR="005269A8" w:rsidP="00A506DE" w14:paraId="0CB7C2AD" w14:textId="16913E72">
      <w:pPr>
        <w:spacing w:after="200" w:line="276" w:lineRule="auto"/>
        <w:rPr>
          <w:rFonts w:eastAsia="Calibri"/>
        </w:rPr>
      </w:pPr>
      <w:r>
        <w:rPr>
          <w:rFonts w:eastAsia="Calibri"/>
          <w:iCs/>
        </w:rPr>
        <w:t xml:space="preserve">FDA </w:t>
      </w:r>
      <w:r w:rsidR="00DE6E22">
        <w:rPr>
          <w:rFonts w:eastAsia="Calibri"/>
          <w:iCs/>
        </w:rPr>
        <w:t xml:space="preserve">adjustments result in </w:t>
      </w:r>
      <w:r w:rsidR="001C02D0">
        <w:rPr>
          <w:rFonts w:eastAsia="Calibri"/>
          <w:iCs/>
        </w:rPr>
        <w:t xml:space="preserve">reducing the total </w:t>
      </w:r>
      <w:r w:rsidR="00DE6E22">
        <w:rPr>
          <w:rFonts w:eastAsia="Calibri"/>
          <w:iCs/>
        </w:rPr>
        <w:t xml:space="preserve">annual </w:t>
      </w:r>
      <w:r w:rsidRPr="008F66E0" w:rsidR="008F66E0">
        <w:rPr>
          <w:rFonts w:eastAsia="Calibri"/>
          <w:iCs/>
        </w:rPr>
        <w:t>burden hours</w:t>
      </w:r>
      <w:r w:rsidR="001C02D0">
        <w:rPr>
          <w:rFonts w:eastAsia="Calibri"/>
          <w:iCs/>
        </w:rPr>
        <w:t xml:space="preserve"> </w:t>
      </w:r>
      <w:r w:rsidR="00DE6E22">
        <w:rPr>
          <w:rFonts w:eastAsia="Calibri"/>
          <w:iCs/>
        </w:rPr>
        <w:t xml:space="preserve">associated with </w:t>
      </w:r>
      <w:r w:rsidR="00450C20">
        <w:rPr>
          <w:rFonts w:eastAsia="Calibri"/>
          <w:iCs/>
        </w:rPr>
        <w:t xml:space="preserve">the </w:t>
      </w:r>
      <w:r w:rsidRPr="008F66E0" w:rsidR="00DE6E22">
        <w:rPr>
          <w:rFonts w:eastAsia="Calibri"/>
          <w:iCs/>
        </w:rPr>
        <w:t>supplement to an approved smokeless tobacco warning plan</w:t>
      </w:r>
      <w:r w:rsidR="00DE6E22">
        <w:rPr>
          <w:rFonts w:eastAsia="Calibri"/>
          <w:iCs/>
        </w:rPr>
        <w:t xml:space="preserve"> </w:t>
      </w:r>
      <w:r w:rsidR="001C02D0">
        <w:rPr>
          <w:rFonts w:eastAsia="Calibri"/>
          <w:iCs/>
        </w:rPr>
        <w:t xml:space="preserve">from 120 </w:t>
      </w:r>
      <w:r w:rsidR="0099556B">
        <w:rPr>
          <w:rFonts w:eastAsia="Calibri"/>
          <w:iCs/>
        </w:rPr>
        <w:t xml:space="preserve">hours </w:t>
      </w:r>
      <w:r w:rsidR="001C02D0">
        <w:rPr>
          <w:rFonts w:eastAsia="Calibri"/>
          <w:iCs/>
        </w:rPr>
        <w:t>to 60 hours</w:t>
      </w:r>
      <w:r w:rsidRPr="008F66E0" w:rsidR="008F66E0">
        <w:rPr>
          <w:rFonts w:eastAsia="Calibri"/>
          <w:iCs/>
        </w:rPr>
        <w:t>.</w:t>
      </w:r>
      <w:r w:rsidR="00814FC5">
        <w:rPr>
          <w:rFonts w:eastAsia="Calibri"/>
          <w:iCs/>
        </w:rPr>
        <w:t xml:space="preserve"> </w:t>
      </w:r>
      <w:r>
        <w:rPr>
          <w:rFonts w:eastAsia="Calibri"/>
          <w:iCs/>
        </w:rPr>
        <w:t>The</w:t>
      </w:r>
      <w:r w:rsidRPr="00D05812">
        <w:rPr>
          <w:rFonts w:eastAsia="Calibri"/>
          <w:iCs/>
        </w:rPr>
        <w:t xml:space="preserve"> </w:t>
      </w:r>
      <w:r>
        <w:rPr>
          <w:rFonts w:eastAsia="Calibri"/>
          <w:iCs/>
        </w:rPr>
        <w:t xml:space="preserve">FDA has </w:t>
      </w:r>
      <w:r w:rsidRPr="00D05812">
        <w:rPr>
          <w:rFonts w:eastAsia="Calibri"/>
          <w:iCs/>
        </w:rPr>
        <w:t xml:space="preserve">adjusted its burden estimate, which has resulted in a decrease of 60 hours and 2 respondents </w:t>
      </w:r>
      <w:r w:rsidR="00450C20">
        <w:rPr>
          <w:rFonts w:eastAsia="Calibri"/>
          <w:iCs/>
        </w:rPr>
        <w:t xml:space="preserve">compared </w:t>
      </w:r>
      <w:r w:rsidRPr="00D05812">
        <w:rPr>
          <w:rFonts w:eastAsia="Calibri"/>
          <w:iCs/>
        </w:rPr>
        <w:t>to the currently approved burden.</w:t>
      </w:r>
    </w:p>
    <w:p w:rsidR="00D8237F" w:rsidP="00A506DE" w14:paraId="6B3ED424" w14:textId="752A03A2">
      <w:pPr>
        <w:spacing w:after="200" w:line="276" w:lineRule="auto"/>
        <w:rPr>
          <w:rFonts w:eastAsia="Calibri"/>
        </w:rPr>
      </w:pPr>
      <w:r>
        <w:rPr>
          <w:rFonts w:eastAsia="Calibri"/>
          <w:iCs/>
        </w:rPr>
        <w:t xml:space="preserve">The total burden hours for the collection </w:t>
      </w:r>
      <w:r w:rsidR="00422FC5">
        <w:rPr>
          <w:rFonts w:eastAsia="Calibri"/>
          <w:iCs/>
        </w:rPr>
        <w:t>have</w:t>
      </w:r>
      <w:r w:rsidR="00CD74C2">
        <w:rPr>
          <w:rFonts w:eastAsia="Calibri"/>
          <w:iCs/>
        </w:rPr>
        <w:t xml:space="preserve"> been reduced </w:t>
      </w:r>
      <w:r w:rsidR="005A6B8A">
        <w:rPr>
          <w:rFonts w:eastAsia="Calibri"/>
          <w:iCs/>
        </w:rPr>
        <w:t>from 180 hours to</w:t>
      </w:r>
      <w:r w:rsidR="00CD74C2">
        <w:rPr>
          <w:rFonts w:eastAsia="Calibri"/>
          <w:iCs/>
        </w:rPr>
        <w:t xml:space="preserve"> 12</w:t>
      </w:r>
      <w:r w:rsidR="00754F40">
        <w:rPr>
          <w:rFonts w:eastAsia="Calibri"/>
          <w:iCs/>
        </w:rPr>
        <w:t>0</w:t>
      </w:r>
      <w:r w:rsidR="005A6B8A">
        <w:rPr>
          <w:rFonts w:eastAsia="Calibri"/>
          <w:iCs/>
        </w:rPr>
        <w:t xml:space="preserve"> total hours</w:t>
      </w:r>
      <w:r w:rsidR="00F25AA0">
        <w:rPr>
          <w:rFonts w:eastAsia="Calibri"/>
          <w:iCs/>
        </w:rPr>
        <w:t xml:space="preserve">. </w:t>
      </w:r>
    </w:p>
    <w:p w:rsidR="00357C8A" w:rsidRPr="00357C8A" w:rsidP="006705EA" w14:paraId="131B862F"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935F3" w:rsidP="00F76DE0" w14:paraId="7FD821B5" w14:textId="2727B08B">
      <w:pPr>
        <w:pStyle w:val="Default"/>
        <w:spacing w:after="200"/>
        <w:rPr>
          <w:sz w:val="23"/>
          <w:szCs w:val="23"/>
        </w:rPr>
      </w:pPr>
      <w:r w:rsidRPr="003935F3">
        <w:t>This information collected will not be published or tabulated.</w:t>
      </w:r>
    </w:p>
    <w:p w:rsidR="00357C8A" w:rsidRPr="00357C8A" w:rsidP="006705EA" w14:paraId="0E4C8AD2"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935F3" w:rsidP="000565F5" w14:paraId="39953542" w14:textId="5A78BC24">
      <w:pPr>
        <w:spacing w:after="200" w:line="276" w:lineRule="auto"/>
        <w:rPr>
          <w:rFonts w:eastAsia="Calibri"/>
        </w:rPr>
      </w:pPr>
      <w:r w:rsidRPr="003935F3">
        <w:rPr>
          <w:rFonts w:eastAsia="Calibri"/>
        </w:rPr>
        <w:t xml:space="preserve">FDA is not requesting an exemption for display of the OMB expiration date and is also not seeking OMB approval to exclude the expiration date for this information collection. </w:t>
      </w:r>
    </w:p>
    <w:p w:rsidR="00357C8A" w:rsidRPr="00357C8A" w:rsidP="006705EA" w14:paraId="46699F3E"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2209980A" w14:textId="02710FFE">
      <w:pPr>
        <w:spacing w:after="200"/>
        <w:rPr>
          <w:rFonts w:eastAsia="Calibri"/>
        </w:rPr>
      </w:pPr>
      <w:r w:rsidRPr="003935F3">
        <w:rPr>
          <w:rFonts w:eastAsia="Calibri"/>
        </w:rPr>
        <w:t>There are no exceptions to the certification.</w:t>
      </w:r>
    </w:p>
    <w:sectPr w:rsidSect="005C71CA">
      <w:headerReference w:type="default" r:id="rId16"/>
      <w:footerReference w:type="even" r:id="rId17"/>
      <w:footerReference w:type="default" r:id="rId18"/>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16240D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015EE9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C8C19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5A8CA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2E07" w14:paraId="6F24A895" w14:textId="77777777"/>
  </w:footnote>
  <w:footnote w:type="continuationSeparator" w:id="1">
    <w:p w:rsidR="00AB2E07" w14:paraId="5F17B324" w14:textId="77777777">
      <w:r>
        <w:continuationSeparator/>
      </w:r>
    </w:p>
  </w:footnote>
  <w:footnote w:type="continuationNotice" w:id="2">
    <w:p w:rsidR="00AB2E07" w14:paraId="5F8CEE96" w14:textId="77777777"/>
  </w:footnote>
  <w:footnote w:id="3">
    <w:p w:rsidR="004C0004" w14:paraId="76FDEE93" w14:textId="251CADFB">
      <w:pPr>
        <w:pStyle w:val="FootnoteText"/>
      </w:pPr>
      <w:r>
        <w:rPr>
          <w:rStyle w:val="FootnoteReference"/>
        </w:rPr>
        <w:footnoteRef/>
      </w:r>
      <w:r>
        <w:t xml:space="preserve"> </w:t>
      </w:r>
      <w:r w:rsidRPr="00AF4F15" w:rsidR="00AF4F15">
        <w:t>This estimate is based on counts of tobacco product manufacturer and importer EINs from 2023 TTB data and Census Bureau 2021 Statistics of U.S. Business data (www.census.gov/data/tables/2021/econ/susb/2021-susb-annual.html) on establishments with 500 or fewer employees (the closest reported threshold to the small tobacco product manufacturer 350 employee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FE2" w:rsidRPr="003C0FE2" w14:paraId="45C6A34B" w14:textId="67DA58E2">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82301501">
    <w:abstractNumId w:val="5"/>
  </w:num>
  <w:num w:numId="2" w16cid:durableId="207841599">
    <w:abstractNumId w:val="1"/>
  </w:num>
  <w:num w:numId="3" w16cid:durableId="1921866673">
    <w:abstractNumId w:val="6"/>
  </w:num>
  <w:num w:numId="4" w16cid:durableId="1320310709">
    <w:abstractNumId w:val="3"/>
  </w:num>
  <w:num w:numId="5" w16cid:durableId="78528287">
    <w:abstractNumId w:val="7"/>
  </w:num>
  <w:num w:numId="6" w16cid:durableId="1152714017">
    <w:abstractNumId w:val="0"/>
  </w:num>
  <w:num w:numId="7" w16cid:durableId="1786532675">
    <w:abstractNumId w:val="2"/>
  </w:num>
  <w:num w:numId="8" w16cid:durableId="198924355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058E"/>
    <w:rsid w:val="000121AF"/>
    <w:rsid w:val="000161E3"/>
    <w:rsid w:val="00017E43"/>
    <w:rsid w:val="00017F02"/>
    <w:rsid w:val="000254EB"/>
    <w:rsid w:val="000269F7"/>
    <w:rsid w:val="000309F3"/>
    <w:rsid w:val="00031A2C"/>
    <w:rsid w:val="00031F65"/>
    <w:rsid w:val="00032DB4"/>
    <w:rsid w:val="00034EDD"/>
    <w:rsid w:val="000371B1"/>
    <w:rsid w:val="00042B93"/>
    <w:rsid w:val="00043945"/>
    <w:rsid w:val="00043C7F"/>
    <w:rsid w:val="0004613B"/>
    <w:rsid w:val="000467A8"/>
    <w:rsid w:val="00053631"/>
    <w:rsid w:val="000565F5"/>
    <w:rsid w:val="00060618"/>
    <w:rsid w:val="0006310A"/>
    <w:rsid w:val="00064F5D"/>
    <w:rsid w:val="0006528C"/>
    <w:rsid w:val="0006570F"/>
    <w:rsid w:val="000660F4"/>
    <w:rsid w:val="000709A5"/>
    <w:rsid w:val="00072814"/>
    <w:rsid w:val="00075DE8"/>
    <w:rsid w:val="0008367F"/>
    <w:rsid w:val="00087439"/>
    <w:rsid w:val="00087FEF"/>
    <w:rsid w:val="00091196"/>
    <w:rsid w:val="0009162B"/>
    <w:rsid w:val="00092387"/>
    <w:rsid w:val="00092E1A"/>
    <w:rsid w:val="000A3CF8"/>
    <w:rsid w:val="000A4900"/>
    <w:rsid w:val="000A5108"/>
    <w:rsid w:val="000A6E09"/>
    <w:rsid w:val="000A7BF7"/>
    <w:rsid w:val="000B02D5"/>
    <w:rsid w:val="000B2C1C"/>
    <w:rsid w:val="000B3821"/>
    <w:rsid w:val="000B5BF4"/>
    <w:rsid w:val="000C1260"/>
    <w:rsid w:val="000C560C"/>
    <w:rsid w:val="000C7480"/>
    <w:rsid w:val="000C751C"/>
    <w:rsid w:val="000D080B"/>
    <w:rsid w:val="000D4357"/>
    <w:rsid w:val="000D44C4"/>
    <w:rsid w:val="000D48FD"/>
    <w:rsid w:val="000D78BE"/>
    <w:rsid w:val="000D79CC"/>
    <w:rsid w:val="000E1A3C"/>
    <w:rsid w:val="000E1C64"/>
    <w:rsid w:val="000E3239"/>
    <w:rsid w:val="000E536F"/>
    <w:rsid w:val="000E5682"/>
    <w:rsid w:val="000E5B46"/>
    <w:rsid w:val="000E7D93"/>
    <w:rsid w:val="000F2FD2"/>
    <w:rsid w:val="000F365D"/>
    <w:rsid w:val="000F3F34"/>
    <w:rsid w:val="000F7119"/>
    <w:rsid w:val="00100739"/>
    <w:rsid w:val="0010103B"/>
    <w:rsid w:val="00102F69"/>
    <w:rsid w:val="0010493E"/>
    <w:rsid w:val="001075D3"/>
    <w:rsid w:val="00107885"/>
    <w:rsid w:val="0011060A"/>
    <w:rsid w:val="0011102E"/>
    <w:rsid w:val="00114FC4"/>
    <w:rsid w:val="00115510"/>
    <w:rsid w:val="0012329C"/>
    <w:rsid w:val="001333B8"/>
    <w:rsid w:val="00134FA7"/>
    <w:rsid w:val="00136019"/>
    <w:rsid w:val="00137950"/>
    <w:rsid w:val="00140762"/>
    <w:rsid w:val="00144749"/>
    <w:rsid w:val="00144AAD"/>
    <w:rsid w:val="001462C0"/>
    <w:rsid w:val="001463EC"/>
    <w:rsid w:val="00152F29"/>
    <w:rsid w:val="0015376B"/>
    <w:rsid w:val="00164225"/>
    <w:rsid w:val="00164E59"/>
    <w:rsid w:val="00174D54"/>
    <w:rsid w:val="0017702C"/>
    <w:rsid w:val="00180739"/>
    <w:rsid w:val="00185270"/>
    <w:rsid w:val="001861F9"/>
    <w:rsid w:val="0019202A"/>
    <w:rsid w:val="001A0FF0"/>
    <w:rsid w:val="001A3B5A"/>
    <w:rsid w:val="001A458C"/>
    <w:rsid w:val="001A4A5E"/>
    <w:rsid w:val="001A4B7B"/>
    <w:rsid w:val="001A6063"/>
    <w:rsid w:val="001B040B"/>
    <w:rsid w:val="001B17A8"/>
    <w:rsid w:val="001B7CE9"/>
    <w:rsid w:val="001C02D0"/>
    <w:rsid w:val="001C2EA7"/>
    <w:rsid w:val="001C3D31"/>
    <w:rsid w:val="001D18EF"/>
    <w:rsid w:val="001D36FF"/>
    <w:rsid w:val="001D495A"/>
    <w:rsid w:val="001E17A9"/>
    <w:rsid w:val="001E244C"/>
    <w:rsid w:val="001F1437"/>
    <w:rsid w:val="001F2B16"/>
    <w:rsid w:val="001F4390"/>
    <w:rsid w:val="001F4433"/>
    <w:rsid w:val="001F5869"/>
    <w:rsid w:val="001F5A2B"/>
    <w:rsid w:val="001F77D6"/>
    <w:rsid w:val="002063BB"/>
    <w:rsid w:val="00206799"/>
    <w:rsid w:val="0020715F"/>
    <w:rsid w:val="002074FE"/>
    <w:rsid w:val="00212ECA"/>
    <w:rsid w:val="002155A6"/>
    <w:rsid w:val="00221EBF"/>
    <w:rsid w:val="0022425B"/>
    <w:rsid w:val="0022526D"/>
    <w:rsid w:val="002259EF"/>
    <w:rsid w:val="00227177"/>
    <w:rsid w:val="00231565"/>
    <w:rsid w:val="00231FF0"/>
    <w:rsid w:val="00241DCF"/>
    <w:rsid w:val="00242ED1"/>
    <w:rsid w:val="002444BB"/>
    <w:rsid w:val="00244B01"/>
    <w:rsid w:val="00244FC1"/>
    <w:rsid w:val="00246080"/>
    <w:rsid w:val="00247D08"/>
    <w:rsid w:val="00250246"/>
    <w:rsid w:val="0025117A"/>
    <w:rsid w:val="00251AE4"/>
    <w:rsid w:val="00253835"/>
    <w:rsid w:val="00254069"/>
    <w:rsid w:val="00255BC9"/>
    <w:rsid w:val="00262384"/>
    <w:rsid w:val="00263423"/>
    <w:rsid w:val="002651E1"/>
    <w:rsid w:val="00270748"/>
    <w:rsid w:val="00273038"/>
    <w:rsid w:val="002734E5"/>
    <w:rsid w:val="002746DB"/>
    <w:rsid w:val="00280489"/>
    <w:rsid w:val="00280CAF"/>
    <w:rsid w:val="00282079"/>
    <w:rsid w:val="00282504"/>
    <w:rsid w:val="00282984"/>
    <w:rsid w:val="00282F09"/>
    <w:rsid w:val="00285F9E"/>
    <w:rsid w:val="00290549"/>
    <w:rsid w:val="00291810"/>
    <w:rsid w:val="00292260"/>
    <w:rsid w:val="00292819"/>
    <w:rsid w:val="002929D3"/>
    <w:rsid w:val="00293462"/>
    <w:rsid w:val="00294D62"/>
    <w:rsid w:val="002967C7"/>
    <w:rsid w:val="00297532"/>
    <w:rsid w:val="00297FFD"/>
    <w:rsid w:val="002A1210"/>
    <w:rsid w:val="002A47D2"/>
    <w:rsid w:val="002A7FB5"/>
    <w:rsid w:val="002B023E"/>
    <w:rsid w:val="002B2074"/>
    <w:rsid w:val="002B6B53"/>
    <w:rsid w:val="002C09CA"/>
    <w:rsid w:val="002C2C39"/>
    <w:rsid w:val="002C52DE"/>
    <w:rsid w:val="002C7FA6"/>
    <w:rsid w:val="002D14D8"/>
    <w:rsid w:val="002D4223"/>
    <w:rsid w:val="002D4799"/>
    <w:rsid w:val="002D4FDC"/>
    <w:rsid w:val="002D53A1"/>
    <w:rsid w:val="002D5A9F"/>
    <w:rsid w:val="002E3FA4"/>
    <w:rsid w:val="002E40DF"/>
    <w:rsid w:val="002E53A5"/>
    <w:rsid w:val="002E64B8"/>
    <w:rsid w:val="002E6834"/>
    <w:rsid w:val="002F1538"/>
    <w:rsid w:val="002F380D"/>
    <w:rsid w:val="002F3956"/>
    <w:rsid w:val="00300F9F"/>
    <w:rsid w:val="00303E78"/>
    <w:rsid w:val="00310F19"/>
    <w:rsid w:val="003113FF"/>
    <w:rsid w:val="00312622"/>
    <w:rsid w:val="0032277F"/>
    <w:rsid w:val="00322825"/>
    <w:rsid w:val="00331B9F"/>
    <w:rsid w:val="00336B69"/>
    <w:rsid w:val="00340F97"/>
    <w:rsid w:val="00342564"/>
    <w:rsid w:val="0034302B"/>
    <w:rsid w:val="00350143"/>
    <w:rsid w:val="00350523"/>
    <w:rsid w:val="0035189D"/>
    <w:rsid w:val="00352F4D"/>
    <w:rsid w:val="003534F6"/>
    <w:rsid w:val="00353DD7"/>
    <w:rsid w:val="003551D2"/>
    <w:rsid w:val="00355358"/>
    <w:rsid w:val="00355B62"/>
    <w:rsid w:val="00357C8A"/>
    <w:rsid w:val="003635A1"/>
    <w:rsid w:val="003658FF"/>
    <w:rsid w:val="0036712B"/>
    <w:rsid w:val="0037163B"/>
    <w:rsid w:val="003740BC"/>
    <w:rsid w:val="0037456B"/>
    <w:rsid w:val="003801A3"/>
    <w:rsid w:val="00380212"/>
    <w:rsid w:val="00383D90"/>
    <w:rsid w:val="003851D3"/>
    <w:rsid w:val="003870AE"/>
    <w:rsid w:val="003935F3"/>
    <w:rsid w:val="0039490A"/>
    <w:rsid w:val="00396ABE"/>
    <w:rsid w:val="00397DBB"/>
    <w:rsid w:val="003A0B98"/>
    <w:rsid w:val="003A1A27"/>
    <w:rsid w:val="003A50CC"/>
    <w:rsid w:val="003A6BBD"/>
    <w:rsid w:val="003B42B3"/>
    <w:rsid w:val="003B6384"/>
    <w:rsid w:val="003C0FE2"/>
    <w:rsid w:val="003C2093"/>
    <w:rsid w:val="003C4EBB"/>
    <w:rsid w:val="003C64B6"/>
    <w:rsid w:val="003C6878"/>
    <w:rsid w:val="003C78CA"/>
    <w:rsid w:val="003D05F1"/>
    <w:rsid w:val="003D1531"/>
    <w:rsid w:val="003D5774"/>
    <w:rsid w:val="003D7F22"/>
    <w:rsid w:val="003E497F"/>
    <w:rsid w:val="003E4EC6"/>
    <w:rsid w:val="003E527E"/>
    <w:rsid w:val="003E553E"/>
    <w:rsid w:val="003E7078"/>
    <w:rsid w:val="003E7F24"/>
    <w:rsid w:val="003F01BE"/>
    <w:rsid w:val="003F3490"/>
    <w:rsid w:val="003F3DF5"/>
    <w:rsid w:val="003F5325"/>
    <w:rsid w:val="003F73B8"/>
    <w:rsid w:val="00401DEA"/>
    <w:rsid w:val="0040297E"/>
    <w:rsid w:val="00402D6C"/>
    <w:rsid w:val="00411D11"/>
    <w:rsid w:val="00412244"/>
    <w:rsid w:val="00414494"/>
    <w:rsid w:val="00415E23"/>
    <w:rsid w:val="0041670D"/>
    <w:rsid w:val="004210B3"/>
    <w:rsid w:val="00422FC5"/>
    <w:rsid w:val="00423272"/>
    <w:rsid w:val="00424061"/>
    <w:rsid w:val="00427931"/>
    <w:rsid w:val="00430DB3"/>
    <w:rsid w:val="00432FB0"/>
    <w:rsid w:val="00433FDA"/>
    <w:rsid w:val="004351CF"/>
    <w:rsid w:val="00442A3C"/>
    <w:rsid w:val="00443969"/>
    <w:rsid w:val="00444FC4"/>
    <w:rsid w:val="00445CB2"/>
    <w:rsid w:val="004464BE"/>
    <w:rsid w:val="00446B9F"/>
    <w:rsid w:val="00447D74"/>
    <w:rsid w:val="00450A74"/>
    <w:rsid w:val="00450C20"/>
    <w:rsid w:val="004546BF"/>
    <w:rsid w:val="00462162"/>
    <w:rsid w:val="0046446A"/>
    <w:rsid w:val="00465350"/>
    <w:rsid w:val="00465BEF"/>
    <w:rsid w:val="00471D8C"/>
    <w:rsid w:val="00471E34"/>
    <w:rsid w:val="00476739"/>
    <w:rsid w:val="00476B91"/>
    <w:rsid w:val="004846BF"/>
    <w:rsid w:val="00494912"/>
    <w:rsid w:val="004A246B"/>
    <w:rsid w:val="004A38AA"/>
    <w:rsid w:val="004A401A"/>
    <w:rsid w:val="004A4CF9"/>
    <w:rsid w:val="004A5323"/>
    <w:rsid w:val="004A5A99"/>
    <w:rsid w:val="004B23C2"/>
    <w:rsid w:val="004C0004"/>
    <w:rsid w:val="004C3DC3"/>
    <w:rsid w:val="004C5378"/>
    <w:rsid w:val="004C623D"/>
    <w:rsid w:val="004C6979"/>
    <w:rsid w:val="004C75CD"/>
    <w:rsid w:val="004D07FC"/>
    <w:rsid w:val="004D0EA3"/>
    <w:rsid w:val="004D13A2"/>
    <w:rsid w:val="004D21C4"/>
    <w:rsid w:val="004D24C7"/>
    <w:rsid w:val="004D3E7A"/>
    <w:rsid w:val="004E105D"/>
    <w:rsid w:val="004E2613"/>
    <w:rsid w:val="004F594B"/>
    <w:rsid w:val="004F61E1"/>
    <w:rsid w:val="004F6F49"/>
    <w:rsid w:val="00501C50"/>
    <w:rsid w:val="005026F8"/>
    <w:rsid w:val="00504ADC"/>
    <w:rsid w:val="00513F7A"/>
    <w:rsid w:val="00516700"/>
    <w:rsid w:val="005177CC"/>
    <w:rsid w:val="0052426D"/>
    <w:rsid w:val="0052556F"/>
    <w:rsid w:val="005266BB"/>
    <w:rsid w:val="005269A8"/>
    <w:rsid w:val="0053380B"/>
    <w:rsid w:val="005344E8"/>
    <w:rsid w:val="005359AE"/>
    <w:rsid w:val="00535F75"/>
    <w:rsid w:val="00541820"/>
    <w:rsid w:val="005419D8"/>
    <w:rsid w:val="00541B88"/>
    <w:rsid w:val="00541DA5"/>
    <w:rsid w:val="00542495"/>
    <w:rsid w:val="00542F98"/>
    <w:rsid w:val="00543194"/>
    <w:rsid w:val="00544138"/>
    <w:rsid w:val="0054716B"/>
    <w:rsid w:val="00551BF0"/>
    <w:rsid w:val="00553A57"/>
    <w:rsid w:val="005548D1"/>
    <w:rsid w:val="00554E34"/>
    <w:rsid w:val="0055701D"/>
    <w:rsid w:val="005578F8"/>
    <w:rsid w:val="0056525A"/>
    <w:rsid w:val="00565551"/>
    <w:rsid w:val="00565B30"/>
    <w:rsid w:val="005707CA"/>
    <w:rsid w:val="00584583"/>
    <w:rsid w:val="005879C0"/>
    <w:rsid w:val="00590E90"/>
    <w:rsid w:val="00590EEB"/>
    <w:rsid w:val="00591EA8"/>
    <w:rsid w:val="005A4099"/>
    <w:rsid w:val="005A4946"/>
    <w:rsid w:val="005A6B8A"/>
    <w:rsid w:val="005A6E7B"/>
    <w:rsid w:val="005A7062"/>
    <w:rsid w:val="005A744A"/>
    <w:rsid w:val="005B00DA"/>
    <w:rsid w:val="005B1155"/>
    <w:rsid w:val="005B2C7B"/>
    <w:rsid w:val="005B4E50"/>
    <w:rsid w:val="005B4EE1"/>
    <w:rsid w:val="005B6030"/>
    <w:rsid w:val="005B7EE0"/>
    <w:rsid w:val="005C1DBA"/>
    <w:rsid w:val="005C38B2"/>
    <w:rsid w:val="005C3B7B"/>
    <w:rsid w:val="005C5029"/>
    <w:rsid w:val="005C55C2"/>
    <w:rsid w:val="005C5FED"/>
    <w:rsid w:val="005C71CA"/>
    <w:rsid w:val="005C745C"/>
    <w:rsid w:val="005C7DAE"/>
    <w:rsid w:val="005C7EEE"/>
    <w:rsid w:val="005D1EBC"/>
    <w:rsid w:val="005D4DF5"/>
    <w:rsid w:val="005E0519"/>
    <w:rsid w:val="005E0DA8"/>
    <w:rsid w:val="005E0EDD"/>
    <w:rsid w:val="005E42BA"/>
    <w:rsid w:val="005F04F3"/>
    <w:rsid w:val="005F5F9E"/>
    <w:rsid w:val="005F7B67"/>
    <w:rsid w:val="005F7F33"/>
    <w:rsid w:val="00600FED"/>
    <w:rsid w:val="006033EB"/>
    <w:rsid w:val="006072F4"/>
    <w:rsid w:val="00611D6B"/>
    <w:rsid w:val="00612C9C"/>
    <w:rsid w:val="00613419"/>
    <w:rsid w:val="00620F07"/>
    <w:rsid w:val="00625CFD"/>
    <w:rsid w:val="00625E00"/>
    <w:rsid w:val="0063101E"/>
    <w:rsid w:val="006326EC"/>
    <w:rsid w:val="006400F2"/>
    <w:rsid w:val="00640496"/>
    <w:rsid w:val="00640B75"/>
    <w:rsid w:val="006423F6"/>
    <w:rsid w:val="006424E8"/>
    <w:rsid w:val="006435ED"/>
    <w:rsid w:val="00643903"/>
    <w:rsid w:val="00653522"/>
    <w:rsid w:val="00653B0E"/>
    <w:rsid w:val="00653C11"/>
    <w:rsid w:val="00656416"/>
    <w:rsid w:val="00660585"/>
    <w:rsid w:val="00663A42"/>
    <w:rsid w:val="006641C7"/>
    <w:rsid w:val="006651A7"/>
    <w:rsid w:val="006666F2"/>
    <w:rsid w:val="006669FF"/>
    <w:rsid w:val="006705EA"/>
    <w:rsid w:val="00670BE2"/>
    <w:rsid w:val="0067597B"/>
    <w:rsid w:val="00690AA6"/>
    <w:rsid w:val="006914C8"/>
    <w:rsid w:val="006916D9"/>
    <w:rsid w:val="00693C3C"/>
    <w:rsid w:val="006957E8"/>
    <w:rsid w:val="0069654D"/>
    <w:rsid w:val="006A0E05"/>
    <w:rsid w:val="006A1D50"/>
    <w:rsid w:val="006A26C6"/>
    <w:rsid w:val="006A3538"/>
    <w:rsid w:val="006A3DB2"/>
    <w:rsid w:val="006A465A"/>
    <w:rsid w:val="006A7D5D"/>
    <w:rsid w:val="006B0E92"/>
    <w:rsid w:val="006B1EC6"/>
    <w:rsid w:val="006C18B9"/>
    <w:rsid w:val="006C357E"/>
    <w:rsid w:val="006D0C12"/>
    <w:rsid w:val="006D3067"/>
    <w:rsid w:val="006D3BAC"/>
    <w:rsid w:val="006D4FE0"/>
    <w:rsid w:val="006D5D57"/>
    <w:rsid w:val="006E2538"/>
    <w:rsid w:val="006E2BE1"/>
    <w:rsid w:val="006E302F"/>
    <w:rsid w:val="006F085B"/>
    <w:rsid w:val="006F4D6D"/>
    <w:rsid w:val="006F5120"/>
    <w:rsid w:val="00705086"/>
    <w:rsid w:val="0070518B"/>
    <w:rsid w:val="0070545D"/>
    <w:rsid w:val="00706EF0"/>
    <w:rsid w:val="00722001"/>
    <w:rsid w:val="007242C4"/>
    <w:rsid w:val="00727CDF"/>
    <w:rsid w:val="007337B0"/>
    <w:rsid w:val="00744525"/>
    <w:rsid w:val="007451C2"/>
    <w:rsid w:val="00751E66"/>
    <w:rsid w:val="007530CF"/>
    <w:rsid w:val="00754497"/>
    <w:rsid w:val="00754CDE"/>
    <w:rsid w:val="00754F40"/>
    <w:rsid w:val="007565FC"/>
    <w:rsid w:val="007618A4"/>
    <w:rsid w:val="00762789"/>
    <w:rsid w:val="00771240"/>
    <w:rsid w:val="00773201"/>
    <w:rsid w:val="00773E37"/>
    <w:rsid w:val="00782389"/>
    <w:rsid w:val="00783379"/>
    <w:rsid w:val="00783499"/>
    <w:rsid w:val="00783A4D"/>
    <w:rsid w:val="00787C39"/>
    <w:rsid w:val="007926B1"/>
    <w:rsid w:val="00792947"/>
    <w:rsid w:val="00793FDB"/>
    <w:rsid w:val="00795DF3"/>
    <w:rsid w:val="007A1D82"/>
    <w:rsid w:val="007A373C"/>
    <w:rsid w:val="007A5737"/>
    <w:rsid w:val="007B0C0F"/>
    <w:rsid w:val="007B225C"/>
    <w:rsid w:val="007B3FDA"/>
    <w:rsid w:val="007B5D98"/>
    <w:rsid w:val="007B673C"/>
    <w:rsid w:val="007C1235"/>
    <w:rsid w:val="007C3EB4"/>
    <w:rsid w:val="007C6F0F"/>
    <w:rsid w:val="007C72EA"/>
    <w:rsid w:val="007C75B1"/>
    <w:rsid w:val="007D0859"/>
    <w:rsid w:val="007D3A1A"/>
    <w:rsid w:val="007D3DFC"/>
    <w:rsid w:val="007E200E"/>
    <w:rsid w:val="007E273F"/>
    <w:rsid w:val="007E2F07"/>
    <w:rsid w:val="007E59A8"/>
    <w:rsid w:val="007E70CA"/>
    <w:rsid w:val="007F0A08"/>
    <w:rsid w:val="007F4068"/>
    <w:rsid w:val="008030A7"/>
    <w:rsid w:val="00806F8B"/>
    <w:rsid w:val="0080776D"/>
    <w:rsid w:val="00810145"/>
    <w:rsid w:val="008108FA"/>
    <w:rsid w:val="00810FF1"/>
    <w:rsid w:val="00814FC5"/>
    <w:rsid w:val="00815697"/>
    <w:rsid w:val="008204F6"/>
    <w:rsid w:val="00822336"/>
    <w:rsid w:val="00823B80"/>
    <w:rsid w:val="00823DFA"/>
    <w:rsid w:val="00824DE0"/>
    <w:rsid w:val="00842DB7"/>
    <w:rsid w:val="00843752"/>
    <w:rsid w:val="0084379B"/>
    <w:rsid w:val="0084479F"/>
    <w:rsid w:val="0084735D"/>
    <w:rsid w:val="008522C5"/>
    <w:rsid w:val="00853384"/>
    <w:rsid w:val="008549B8"/>
    <w:rsid w:val="0085725E"/>
    <w:rsid w:val="008627C5"/>
    <w:rsid w:val="00863FD2"/>
    <w:rsid w:val="00866392"/>
    <w:rsid w:val="00867093"/>
    <w:rsid w:val="00871C41"/>
    <w:rsid w:val="0087367F"/>
    <w:rsid w:val="00873C77"/>
    <w:rsid w:val="00873D4F"/>
    <w:rsid w:val="0087509F"/>
    <w:rsid w:val="00880936"/>
    <w:rsid w:val="00881F91"/>
    <w:rsid w:val="00884EDF"/>
    <w:rsid w:val="00885B09"/>
    <w:rsid w:val="00885E1F"/>
    <w:rsid w:val="00887592"/>
    <w:rsid w:val="00892400"/>
    <w:rsid w:val="00894341"/>
    <w:rsid w:val="008A209D"/>
    <w:rsid w:val="008A225B"/>
    <w:rsid w:val="008A22BB"/>
    <w:rsid w:val="008A4050"/>
    <w:rsid w:val="008A45FF"/>
    <w:rsid w:val="008B035D"/>
    <w:rsid w:val="008B0E29"/>
    <w:rsid w:val="008B0EFA"/>
    <w:rsid w:val="008B25D3"/>
    <w:rsid w:val="008B30AB"/>
    <w:rsid w:val="008B6B98"/>
    <w:rsid w:val="008C139E"/>
    <w:rsid w:val="008C1E4A"/>
    <w:rsid w:val="008C3BB8"/>
    <w:rsid w:val="008C4B65"/>
    <w:rsid w:val="008C55A4"/>
    <w:rsid w:val="008D05F1"/>
    <w:rsid w:val="008D7037"/>
    <w:rsid w:val="008E215A"/>
    <w:rsid w:val="008E4D78"/>
    <w:rsid w:val="008E5F55"/>
    <w:rsid w:val="008E7D58"/>
    <w:rsid w:val="008F1989"/>
    <w:rsid w:val="008F2ED1"/>
    <w:rsid w:val="008F4B80"/>
    <w:rsid w:val="008F52D5"/>
    <w:rsid w:val="008F5E0C"/>
    <w:rsid w:val="008F5E7C"/>
    <w:rsid w:val="008F66E0"/>
    <w:rsid w:val="008F7D5C"/>
    <w:rsid w:val="00900696"/>
    <w:rsid w:val="009009E7"/>
    <w:rsid w:val="00903322"/>
    <w:rsid w:val="00903BCC"/>
    <w:rsid w:val="00905DEF"/>
    <w:rsid w:val="00906056"/>
    <w:rsid w:val="009106CE"/>
    <w:rsid w:val="00912188"/>
    <w:rsid w:val="009122AE"/>
    <w:rsid w:val="009129AA"/>
    <w:rsid w:val="00913770"/>
    <w:rsid w:val="00913B43"/>
    <w:rsid w:val="00917E12"/>
    <w:rsid w:val="00921E15"/>
    <w:rsid w:val="00925908"/>
    <w:rsid w:val="00925EA2"/>
    <w:rsid w:val="00930203"/>
    <w:rsid w:val="009311D2"/>
    <w:rsid w:val="009311E6"/>
    <w:rsid w:val="00931275"/>
    <w:rsid w:val="00934396"/>
    <w:rsid w:val="00936AC7"/>
    <w:rsid w:val="00944443"/>
    <w:rsid w:val="00947761"/>
    <w:rsid w:val="00950117"/>
    <w:rsid w:val="009516FF"/>
    <w:rsid w:val="00951849"/>
    <w:rsid w:val="009519B1"/>
    <w:rsid w:val="00952FF9"/>
    <w:rsid w:val="00953B64"/>
    <w:rsid w:val="009541AC"/>
    <w:rsid w:val="00956963"/>
    <w:rsid w:val="00957FB1"/>
    <w:rsid w:val="0096029E"/>
    <w:rsid w:val="00960FA8"/>
    <w:rsid w:val="00963B34"/>
    <w:rsid w:val="009646A7"/>
    <w:rsid w:val="00965E1F"/>
    <w:rsid w:val="00970A88"/>
    <w:rsid w:val="00971536"/>
    <w:rsid w:val="009715B6"/>
    <w:rsid w:val="00971C92"/>
    <w:rsid w:val="00975261"/>
    <w:rsid w:val="009765AB"/>
    <w:rsid w:val="00976BFA"/>
    <w:rsid w:val="009818A1"/>
    <w:rsid w:val="00982EA9"/>
    <w:rsid w:val="00984DAE"/>
    <w:rsid w:val="0099556B"/>
    <w:rsid w:val="00997F2A"/>
    <w:rsid w:val="009A1674"/>
    <w:rsid w:val="009B38BE"/>
    <w:rsid w:val="009B4DF2"/>
    <w:rsid w:val="009C1FF7"/>
    <w:rsid w:val="009C2FD1"/>
    <w:rsid w:val="009C684F"/>
    <w:rsid w:val="009D074C"/>
    <w:rsid w:val="009D1F1B"/>
    <w:rsid w:val="009D399C"/>
    <w:rsid w:val="009D5AE8"/>
    <w:rsid w:val="009D6247"/>
    <w:rsid w:val="009D67DF"/>
    <w:rsid w:val="009D6E73"/>
    <w:rsid w:val="009E119D"/>
    <w:rsid w:val="009E5ABA"/>
    <w:rsid w:val="009F1BE8"/>
    <w:rsid w:val="009F1F1D"/>
    <w:rsid w:val="009F2B4F"/>
    <w:rsid w:val="009F316F"/>
    <w:rsid w:val="009F3335"/>
    <w:rsid w:val="009F3C63"/>
    <w:rsid w:val="009F66B5"/>
    <w:rsid w:val="009F79A9"/>
    <w:rsid w:val="009F7F6B"/>
    <w:rsid w:val="00A02F10"/>
    <w:rsid w:val="00A0349A"/>
    <w:rsid w:val="00A05639"/>
    <w:rsid w:val="00A10521"/>
    <w:rsid w:val="00A1060C"/>
    <w:rsid w:val="00A10B59"/>
    <w:rsid w:val="00A13BFD"/>
    <w:rsid w:val="00A15842"/>
    <w:rsid w:val="00A16221"/>
    <w:rsid w:val="00A20A7D"/>
    <w:rsid w:val="00A22122"/>
    <w:rsid w:val="00A26487"/>
    <w:rsid w:val="00A27AE1"/>
    <w:rsid w:val="00A33598"/>
    <w:rsid w:val="00A35904"/>
    <w:rsid w:val="00A35D42"/>
    <w:rsid w:val="00A403FD"/>
    <w:rsid w:val="00A40B56"/>
    <w:rsid w:val="00A41DFD"/>
    <w:rsid w:val="00A44A4F"/>
    <w:rsid w:val="00A46004"/>
    <w:rsid w:val="00A46B76"/>
    <w:rsid w:val="00A46CCF"/>
    <w:rsid w:val="00A506DE"/>
    <w:rsid w:val="00A5198B"/>
    <w:rsid w:val="00A53451"/>
    <w:rsid w:val="00A607EC"/>
    <w:rsid w:val="00A638BC"/>
    <w:rsid w:val="00A63D6B"/>
    <w:rsid w:val="00A646D4"/>
    <w:rsid w:val="00A67FC7"/>
    <w:rsid w:val="00A70426"/>
    <w:rsid w:val="00A707CC"/>
    <w:rsid w:val="00A71410"/>
    <w:rsid w:val="00A800CF"/>
    <w:rsid w:val="00A82988"/>
    <w:rsid w:val="00A82D4E"/>
    <w:rsid w:val="00A82E09"/>
    <w:rsid w:val="00A832FC"/>
    <w:rsid w:val="00A84277"/>
    <w:rsid w:val="00A8653C"/>
    <w:rsid w:val="00A86B68"/>
    <w:rsid w:val="00A91C1D"/>
    <w:rsid w:val="00A91E9A"/>
    <w:rsid w:val="00A93ED9"/>
    <w:rsid w:val="00A9519A"/>
    <w:rsid w:val="00A96221"/>
    <w:rsid w:val="00A96A56"/>
    <w:rsid w:val="00AA0297"/>
    <w:rsid w:val="00AA12AB"/>
    <w:rsid w:val="00AA5E88"/>
    <w:rsid w:val="00AA66C0"/>
    <w:rsid w:val="00AB2E07"/>
    <w:rsid w:val="00AB2E62"/>
    <w:rsid w:val="00AB32F5"/>
    <w:rsid w:val="00AB4376"/>
    <w:rsid w:val="00AB5D6D"/>
    <w:rsid w:val="00AB6441"/>
    <w:rsid w:val="00AB64D4"/>
    <w:rsid w:val="00AB6D05"/>
    <w:rsid w:val="00AB74C3"/>
    <w:rsid w:val="00AC2DBB"/>
    <w:rsid w:val="00AC2E9C"/>
    <w:rsid w:val="00AC346E"/>
    <w:rsid w:val="00AC6A99"/>
    <w:rsid w:val="00AD5F24"/>
    <w:rsid w:val="00AD6048"/>
    <w:rsid w:val="00AD75C7"/>
    <w:rsid w:val="00AE1418"/>
    <w:rsid w:val="00AE2624"/>
    <w:rsid w:val="00AE6649"/>
    <w:rsid w:val="00AE7203"/>
    <w:rsid w:val="00AF0A45"/>
    <w:rsid w:val="00AF4F15"/>
    <w:rsid w:val="00B039D1"/>
    <w:rsid w:val="00B055EF"/>
    <w:rsid w:val="00B06B5B"/>
    <w:rsid w:val="00B06E01"/>
    <w:rsid w:val="00B15F95"/>
    <w:rsid w:val="00B23769"/>
    <w:rsid w:val="00B33AE3"/>
    <w:rsid w:val="00B36035"/>
    <w:rsid w:val="00B3648D"/>
    <w:rsid w:val="00B40660"/>
    <w:rsid w:val="00B41789"/>
    <w:rsid w:val="00B4284F"/>
    <w:rsid w:val="00B72F85"/>
    <w:rsid w:val="00B73865"/>
    <w:rsid w:val="00B743CE"/>
    <w:rsid w:val="00B76357"/>
    <w:rsid w:val="00B76DC3"/>
    <w:rsid w:val="00B81808"/>
    <w:rsid w:val="00B837FA"/>
    <w:rsid w:val="00B84D6E"/>
    <w:rsid w:val="00B86DFA"/>
    <w:rsid w:val="00B936D0"/>
    <w:rsid w:val="00BA00A0"/>
    <w:rsid w:val="00BA7749"/>
    <w:rsid w:val="00BB0ECD"/>
    <w:rsid w:val="00BB15FB"/>
    <w:rsid w:val="00BB1AED"/>
    <w:rsid w:val="00BC1D48"/>
    <w:rsid w:val="00BC2048"/>
    <w:rsid w:val="00BC2F34"/>
    <w:rsid w:val="00BC375F"/>
    <w:rsid w:val="00BC6AF7"/>
    <w:rsid w:val="00BC6D9B"/>
    <w:rsid w:val="00BC702E"/>
    <w:rsid w:val="00BD3D5B"/>
    <w:rsid w:val="00BD71A3"/>
    <w:rsid w:val="00BE35A5"/>
    <w:rsid w:val="00BE3600"/>
    <w:rsid w:val="00BE489B"/>
    <w:rsid w:val="00BE4BB4"/>
    <w:rsid w:val="00BE692F"/>
    <w:rsid w:val="00BE71B4"/>
    <w:rsid w:val="00BE7B8E"/>
    <w:rsid w:val="00BF12FF"/>
    <w:rsid w:val="00BF14C8"/>
    <w:rsid w:val="00BF178D"/>
    <w:rsid w:val="00BF4EAA"/>
    <w:rsid w:val="00BF5A44"/>
    <w:rsid w:val="00BF7831"/>
    <w:rsid w:val="00C01F6F"/>
    <w:rsid w:val="00C02AF5"/>
    <w:rsid w:val="00C02F36"/>
    <w:rsid w:val="00C040EA"/>
    <w:rsid w:val="00C041EA"/>
    <w:rsid w:val="00C05FD3"/>
    <w:rsid w:val="00C066BE"/>
    <w:rsid w:val="00C108D6"/>
    <w:rsid w:val="00C1180B"/>
    <w:rsid w:val="00C11FA6"/>
    <w:rsid w:val="00C12F5D"/>
    <w:rsid w:val="00C13BBD"/>
    <w:rsid w:val="00C149AB"/>
    <w:rsid w:val="00C16929"/>
    <w:rsid w:val="00C171E3"/>
    <w:rsid w:val="00C20690"/>
    <w:rsid w:val="00C217D7"/>
    <w:rsid w:val="00C21FEA"/>
    <w:rsid w:val="00C25F9D"/>
    <w:rsid w:val="00C260F9"/>
    <w:rsid w:val="00C30EB1"/>
    <w:rsid w:val="00C33BF0"/>
    <w:rsid w:val="00C36020"/>
    <w:rsid w:val="00C37AFC"/>
    <w:rsid w:val="00C4019E"/>
    <w:rsid w:val="00C40694"/>
    <w:rsid w:val="00C40A0D"/>
    <w:rsid w:val="00C4413E"/>
    <w:rsid w:val="00C479BF"/>
    <w:rsid w:val="00C5124B"/>
    <w:rsid w:val="00C6182F"/>
    <w:rsid w:val="00C637C8"/>
    <w:rsid w:val="00C63A1A"/>
    <w:rsid w:val="00C67DAC"/>
    <w:rsid w:val="00C70075"/>
    <w:rsid w:val="00C70542"/>
    <w:rsid w:val="00C70F3E"/>
    <w:rsid w:val="00C71055"/>
    <w:rsid w:val="00C71649"/>
    <w:rsid w:val="00C75CBF"/>
    <w:rsid w:val="00C75E5B"/>
    <w:rsid w:val="00C76FBB"/>
    <w:rsid w:val="00C81A1C"/>
    <w:rsid w:val="00C81EA3"/>
    <w:rsid w:val="00C83FB1"/>
    <w:rsid w:val="00C86643"/>
    <w:rsid w:val="00C86873"/>
    <w:rsid w:val="00C91D89"/>
    <w:rsid w:val="00C95F9F"/>
    <w:rsid w:val="00CB0F45"/>
    <w:rsid w:val="00CB707D"/>
    <w:rsid w:val="00CC0CE1"/>
    <w:rsid w:val="00CC2894"/>
    <w:rsid w:val="00CC4C60"/>
    <w:rsid w:val="00CC5EAA"/>
    <w:rsid w:val="00CC6A11"/>
    <w:rsid w:val="00CD1BFF"/>
    <w:rsid w:val="00CD3064"/>
    <w:rsid w:val="00CD4708"/>
    <w:rsid w:val="00CD74C2"/>
    <w:rsid w:val="00CD77C3"/>
    <w:rsid w:val="00CD7C42"/>
    <w:rsid w:val="00CD7C45"/>
    <w:rsid w:val="00CE112C"/>
    <w:rsid w:val="00CE31CF"/>
    <w:rsid w:val="00CE71F6"/>
    <w:rsid w:val="00CE7677"/>
    <w:rsid w:val="00CF0D86"/>
    <w:rsid w:val="00CF385D"/>
    <w:rsid w:val="00CF3A70"/>
    <w:rsid w:val="00CF3EC1"/>
    <w:rsid w:val="00CF45E6"/>
    <w:rsid w:val="00CF55D4"/>
    <w:rsid w:val="00D02E4A"/>
    <w:rsid w:val="00D0402C"/>
    <w:rsid w:val="00D0541A"/>
    <w:rsid w:val="00D05812"/>
    <w:rsid w:val="00D079E6"/>
    <w:rsid w:val="00D100FD"/>
    <w:rsid w:val="00D11561"/>
    <w:rsid w:val="00D117DA"/>
    <w:rsid w:val="00D12EB5"/>
    <w:rsid w:val="00D14F7E"/>
    <w:rsid w:val="00D23798"/>
    <w:rsid w:val="00D245C9"/>
    <w:rsid w:val="00D2647B"/>
    <w:rsid w:val="00D26971"/>
    <w:rsid w:val="00D32A49"/>
    <w:rsid w:val="00D379D7"/>
    <w:rsid w:val="00D40A2C"/>
    <w:rsid w:val="00D43187"/>
    <w:rsid w:val="00D608DA"/>
    <w:rsid w:val="00D64590"/>
    <w:rsid w:val="00D70FA8"/>
    <w:rsid w:val="00D730BF"/>
    <w:rsid w:val="00D817C8"/>
    <w:rsid w:val="00D8237F"/>
    <w:rsid w:val="00D83262"/>
    <w:rsid w:val="00D852F4"/>
    <w:rsid w:val="00D9571A"/>
    <w:rsid w:val="00D964C5"/>
    <w:rsid w:val="00D96E69"/>
    <w:rsid w:val="00D978BA"/>
    <w:rsid w:val="00DA4E05"/>
    <w:rsid w:val="00DA72B1"/>
    <w:rsid w:val="00DB1110"/>
    <w:rsid w:val="00DB3730"/>
    <w:rsid w:val="00DB42D2"/>
    <w:rsid w:val="00DB7C84"/>
    <w:rsid w:val="00DB7D8A"/>
    <w:rsid w:val="00DC371B"/>
    <w:rsid w:val="00DC3788"/>
    <w:rsid w:val="00DC45DB"/>
    <w:rsid w:val="00DC4960"/>
    <w:rsid w:val="00DC76C7"/>
    <w:rsid w:val="00DD09F5"/>
    <w:rsid w:val="00DD0E02"/>
    <w:rsid w:val="00DD2B6C"/>
    <w:rsid w:val="00DD2FEA"/>
    <w:rsid w:val="00DD36C0"/>
    <w:rsid w:val="00DD4201"/>
    <w:rsid w:val="00DD5C28"/>
    <w:rsid w:val="00DD5E9F"/>
    <w:rsid w:val="00DE004B"/>
    <w:rsid w:val="00DE24D2"/>
    <w:rsid w:val="00DE5711"/>
    <w:rsid w:val="00DE57E8"/>
    <w:rsid w:val="00DE68DC"/>
    <w:rsid w:val="00DE6E22"/>
    <w:rsid w:val="00DF3973"/>
    <w:rsid w:val="00DF6F04"/>
    <w:rsid w:val="00DF7616"/>
    <w:rsid w:val="00E00EA0"/>
    <w:rsid w:val="00E021CB"/>
    <w:rsid w:val="00E036B6"/>
    <w:rsid w:val="00E03948"/>
    <w:rsid w:val="00E051B7"/>
    <w:rsid w:val="00E06B20"/>
    <w:rsid w:val="00E10B8D"/>
    <w:rsid w:val="00E138F1"/>
    <w:rsid w:val="00E14B0F"/>
    <w:rsid w:val="00E2309D"/>
    <w:rsid w:val="00E266BC"/>
    <w:rsid w:val="00E26758"/>
    <w:rsid w:val="00E267C1"/>
    <w:rsid w:val="00E27DB0"/>
    <w:rsid w:val="00E37C36"/>
    <w:rsid w:val="00E4357B"/>
    <w:rsid w:val="00E443A7"/>
    <w:rsid w:val="00E45904"/>
    <w:rsid w:val="00E53851"/>
    <w:rsid w:val="00E538CE"/>
    <w:rsid w:val="00E61DBB"/>
    <w:rsid w:val="00E6228F"/>
    <w:rsid w:val="00E63DE5"/>
    <w:rsid w:val="00E647AF"/>
    <w:rsid w:val="00E647C7"/>
    <w:rsid w:val="00E65744"/>
    <w:rsid w:val="00E65A37"/>
    <w:rsid w:val="00E65EF7"/>
    <w:rsid w:val="00E7031B"/>
    <w:rsid w:val="00E72FAB"/>
    <w:rsid w:val="00E762CE"/>
    <w:rsid w:val="00E764DD"/>
    <w:rsid w:val="00E77B48"/>
    <w:rsid w:val="00E77C75"/>
    <w:rsid w:val="00E814A0"/>
    <w:rsid w:val="00E857FB"/>
    <w:rsid w:val="00E86A26"/>
    <w:rsid w:val="00E91799"/>
    <w:rsid w:val="00E91D37"/>
    <w:rsid w:val="00E9387B"/>
    <w:rsid w:val="00E950BC"/>
    <w:rsid w:val="00E9535E"/>
    <w:rsid w:val="00E97DF8"/>
    <w:rsid w:val="00EA21FE"/>
    <w:rsid w:val="00EA28C6"/>
    <w:rsid w:val="00EA34E3"/>
    <w:rsid w:val="00EA65CD"/>
    <w:rsid w:val="00EA76B0"/>
    <w:rsid w:val="00EB7538"/>
    <w:rsid w:val="00EC1868"/>
    <w:rsid w:val="00EC2BDD"/>
    <w:rsid w:val="00EC2DD1"/>
    <w:rsid w:val="00EC3C91"/>
    <w:rsid w:val="00EC6222"/>
    <w:rsid w:val="00EC6C60"/>
    <w:rsid w:val="00ED128E"/>
    <w:rsid w:val="00ED3C7D"/>
    <w:rsid w:val="00EE6468"/>
    <w:rsid w:val="00EE6D52"/>
    <w:rsid w:val="00EF4CBD"/>
    <w:rsid w:val="00EF4E77"/>
    <w:rsid w:val="00EF625D"/>
    <w:rsid w:val="00F03BC8"/>
    <w:rsid w:val="00F05C72"/>
    <w:rsid w:val="00F05D9A"/>
    <w:rsid w:val="00F1299B"/>
    <w:rsid w:val="00F12D42"/>
    <w:rsid w:val="00F12D6E"/>
    <w:rsid w:val="00F15200"/>
    <w:rsid w:val="00F166FA"/>
    <w:rsid w:val="00F2055A"/>
    <w:rsid w:val="00F207A4"/>
    <w:rsid w:val="00F22589"/>
    <w:rsid w:val="00F23E4C"/>
    <w:rsid w:val="00F25173"/>
    <w:rsid w:val="00F257EB"/>
    <w:rsid w:val="00F25AA0"/>
    <w:rsid w:val="00F25CDC"/>
    <w:rsid w:val="00F26A6E"/>
    <w:rsid w:val="00F35557"/>
    <w:rsid w:val="00F355AC"/>
    <w:rsid w:val="00F400AE"/>
    <w:rsid w:val="00F40CF7"/>
    <w:rsid w:val="00F412DA"/>
    <w:rsid w:val="00F44194"/>
    <w:rsid w:val="00F53A77"/>
    <w:rsid w:val="00F56697"/>
    <w:rsid w:val="00F56BBA"/>
    <w:rsid w:val="00F57F9C"/>
    <w:rsid w:val="00F6076B"/>
    <w:rsid w:val="00F609C0"/>
    <w:rsid w:val="00F60B23"/>
    <w:rsid w:val="00F625AA"/>
    <w:rsid w:val="00F65C44"/>
    <w:rsid w:val="00F66C9A"/>
    <w:rsid w:val="00F67B03"/>
    <w:rsid w:val="00F67B30"/>
    <w:rsid w:val="00F71A5A"/>
    <w:rsid w:val="00F73A1A"/>
    <w:rsid w:val="00F75085"/>
    <w:rsid w:val="00F76704"/>
    <w:rsid w:val="00F769E0"/>
    <w:rsid w:val="00F76DE0"/>
    <w:rsid w:val="00F80A94"/>
    <w:rsid w:val="00F822DE"/>
    <w:rsid w:val="00F83163"/>
    <w:rsid w:val="00F86DC5"/>
    <w:rsid w:val="00F87B8A"/>
    <w:rsid w:val="00F932A1"/>
    <w:rsid w:val="00F93356"/>
    <w:rsid w:val="00F93E22"/>
    <w:rsid w:val="00FA0AA2"/>
    <w:rsid w:val="00FA2231"/>
    <w:rsid w:val="00FA3718"/>
    <w:rsid w:val="00FA4A46"/>
    <w:rsid w:val="00FA7081"/>
    <w:rsid w:val="00FA72F7"/>
    <w:rsid w:val="00FA75FE"/>
    <w:rsid w:val="00FB1032"/>
    <w:rsid w:val="00FB1428"/>
    <w:rsid w:val="00FB147B"/>
    <w:rsid w:val="00FB39BC"/>
    <w:rsid w:val="00FB40C7"/>
    <w:rsid w:val="00FB6A53"/>
    <w:rsid w:val="00FB7705"/>
    <w:rsid w:val="00FC0069"/>
    <w:rsid w:val="00FC11CA"/>
    <w:rsid w:val="00FC2DC9"/>
    <w:rsid w:val="00FC2F7D"/>
    <w:rsid w:val="00FC6BDE"/>
    <w:rsid w:val="00FD1E96"/>
    <w:rsid w:val="00FD2ADB"/>
    <w:rsid w:val="00FE05BF"/>
    <w:rsid w:val="00FE0C2C"/>
    <w:rsid w:val="00FE4E2E"/>
    <w:rsid w:val="00FE4EAA"/>
    <w:rsid w:val="00FE62D4"/>
    <w:rsid w:val="00FF1FAF"/>
    <w:rsid w:val="00FF2045"/>
    <w:rsid w:val="00FF4701"/>
    <w:rsid w:val="00FF4E70"/>
    <w:rsid w:val="00FF5942"/>
    <w:rsid w:val="00FF6138"/>
    <w:rsid w:val="00FF7BAA"/>
    <w:rsid w:val="08B39749"/>
    <w:rsid w:val="08C1155B"/>
    <w:rsid w:val="09148EF5"/>
    <w:rsid w:val="1A5466DE"/>
    <w:rsid w:val="1A84B714"/>
    <w:rsid w:val="1B3247AD"/>
    <w:rsid w:val="1ECD60B1"/>
    <w:rsid w:val="24BD946A"/>
    <w:rsid w:val="29DE7996"/>
    <w:rsid w:val="2D3C7AC1"/>
    <w:rsid w:val="2D50FDF4"/>
    <w:rsid w:val="3089953F"/>
    <w:rsid w:val="3143DDC3"/>
    <w:rsid w:val="3669E843"/>
    <w:rsid w:val="369ABFAF"/>
    <w:rsid w:val="3C41F61B"/>
    <w:rsid w:val="4644E2C3"/>
    <w:rsid w:val="473ED7CF"/>
    <w:rsid w:val="475079F8"/>
    <w:rsid w:val="4B5CF5D0"/>
    <w:rsid w:val="4E63AEA9"/>
    <w:rsid w:val="51212472"/>
    <w:rsid w:val="516F992A"/>
    <w:rsid w:val="5351271C"/>
    <w:rsid w:val="582D0B4E"/>
    <w:rsid w:val="61441D18"/>
    <w:rsid w:val="6250D088"/>
    <w:rsid w:val="63511B40"/>
    <w:rsid w:val="653580F7"/>
    <w:rsid w:val="66D4C6D4"/>
    <w:rsid w:val="675D8109"/>
    <w:rsid w:val="690A285B"/>
    <w:rsid w:val="6E2974B4"/>
    <w:rsid w:val="6EFE67A1"/>
    <w:rsid w:val="7317A5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829D1B1"/>
  <w15:chartTrackingRefBased/>
  <w15:docId w15:val="{5F3EC986-8587-49E1-BEC2-DF0AF64D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E764DD"/>
    <w:rPr>
      <w:sz w:val="24"/>
      <w:szCs w:val="24"/>
    </w:rPr>
  </w:style>
  <w:style w:type="character" w:styleId="CommentReference">
    <w:name w:val="annotation reference"/>
    <w:rsid w:val="00F76704"/>
    <w:rPr>
      <w:sz w:val="16"/>
      <w:szCs w:val="16"/>
    </w:rPr>
  </w:style>
  <w:style w:type="paragraph" w:styleId="CommentText">
    <w:name w:val="annotation text"/>
    <w:basedOn w:val="Normal"/>
    <w:link w:val="CommentTextChar"/>
    <w:rsid w:val="00F76704"/>
    <w:rPr>
      <w:sz w:val="20"/>
      <w:szCs w:val="20"/>
    </w:rPr>
  </w:style>
  <w:style w:type="character" w:customStyle="1" w:styleId="CommentTextChar">
    <w:name w:val="Comment Text Char"/>
    <w:basedOn w:val="DefaultParagraphFont"/>
    <w:link w:val="CommentText"/>
    <w:rsid w:val="00F76704"/>
  </w:style>
  <w:style w:type="paragraph" w:styleId="CommentSubject">
    <w:name w:val="annotation subject"/>
    <w:basedOn w:val="CommentText"/>
    <w:next w:val="CommentText"/>
    <w:link w:val="CommentSubjectChar"/>
    <w:rsid w:val="00F76704"/>
    <w:rPr>
      <w:b/>
      <w:bCs/>
    </w:rPr>
  </w:style>
  <w:style w:type="character" w:customStyle="1" w:styleId="CommentSubjectChar">
    <w:name w:val="Comment Subject Char"/>
    <w:link w:val="CommentSubject"/>
    <w:rsid w:val="00F76704"/>
    <w:rPr>
      <w:b/>
      <w:bCs/>
    </w:rPr>
  </w:style>
  <w:style w:type="paragraph" w:styleId="FootnoteText">
    <w:name w:val="footnote text"/>
    <w:basedOn w:val="Normal"/>
    <w:link w:val="FootnoteTextChar"/>
    <w:rsid w:val="005D1EBC"/>
    <w:rPr>
      <w:sz w:val="20"/>
      <w:szCs w:val="20"/>
    </w:rPr>
  </w:style>
  <w:style w:type="character" w:customStyle="1" w:styleId="FootnoteTextChar">
    <w:name w:val="Footnote Text Char"/>
    <w:basedOn w:val="DefaultParagraphFont"/>
    <w:link w:val="FootnoteText"/>
    <w:rsid w:val="005D1EBC"/>
  </w:style>
  <w:style w:type="character" w:styleId="FootnoteReference">
    <w:name w:val="footnote reference"/>
    <w:rsid w:val="005D1EBC"/>
    <w:rPr>
      <w:vertAlign w:val="superscript"/>
    </w:rPr>
  </w:style>
  <w:style w:type="character" w:styleId="Mention">
    <w:name w:val="Mention"/>
    <w:basedOn w:val="DefaultParagraphFont"/>
    <w:uiPriority w:val="99"/>
    <w:unhideWhenUsed/>
    <w:rsid w:val="00F932A1"/>
    <w:rPr>
      <w:color w:val="2B579A"/>
      <w:shd w:val="clear" w:color="auto" w:fill="E1DFDD"/>
    </w:rPr>
  </w:style>
  <w:style w:type="character" w:customStyle="1" w:styleId="BodyText2Char">
    <w:name w:val="Body Text 2 Char"/>
    <w:basedOn w:val="DefaultParagraphFont"/>
    <w:link w:val="BodyText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da.gov/regulatory-information/search-fda-guidance-documents/submission-warning-plans-cigarettes-and-smokeless-tobacco-products" TargetMode="External" /><Relationship Id="rId11" Type="http://schemas.openxmlformats.org/officeDocument/2006/relationships/hyperlink" Target="https://www.fda.gov/tobacco-products/labeling-and-warning-statements-tobacco-products/smokeless-tobacco-labeling-and-warning-statement-requirements" TargetMode="External" /><Relationship Id="rId12" Type="http://schemas.openxmlformats.org/officeDocument/2006/relationships/hyperlink" Target="https://ctpportal-ng.fda.gov/portal/" TargetMode="External" /><Relationship Id="rId13" Type="http://schemas.openxmlformats.org/officeDocument/2006/relationships/hyperlink" Target="https://www.fda.gov/tobacco-products/manufacturing/request-industry-account-manager-iam-ctp-portal-next-generation" TargetMode="External" /><Relationship Id="rId14" Type="http://schemas.openxmlformats.org/officeDocument/2006/relationships/hyperlink" Target="https://data.bls.gov/oes/" TargetMode="External" /><Relationship Id="rId15" Type="http://schemas.openxmlformats.org/officeDocument/2006/relationships/hyperlink" Target="http://www.opm.gov/policy-data-oversight/pay-leave/salaries-wages/salary-tables/25Tables/pdf/DCB.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8704e3-3a97-4106-8c82-f616b7ab36f6" xsi:nil="true"/>
    <lcf76f155ced4ddcb4097134ff3c332f xmlns="3c66cd9f-b2c2-4f0e-a893-47fba9e311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79619-0FC4-40E9-AB0D-65C47D5DD189}">
  <ds:schemaRefs>
    <ds:schemaRef ds:uri="http://schemas.microsoft.com/sharepoint/v3/contenttype/forms"/>
  </ds:schemaRefs>
</ds:datastoreItem>
</file>

<file path=customXml/itemProps2.xml><?xml version="1.0" encoding="utf-8"?>
<ds:datastoreItem xmlns:ds="http://schemas.openxmlformats.org/officeDocument/2006/customXml" ds:itemID="{6A02A2DE-E479-4C06-A228-2F453860FE9B}">
  <ds:schemaRefs>
    <ds:schemaRef ds:uri="http://schemas.microsoft.com/office/2006/metadata/properties"/>
    <ds:schemaRef ds:uri="http://schemas.microsoft.com/office/infopath/2007/PartnerControls"/>
    <ds:schemaRef ds:uri="ef8704e3-3a97-4106-8c82-f616b7ab36f6"/>
    <ds:schemaRef ds:uri="3c66cd9f-b2c2-4f0e-a893-47fba9e311c1"/>
  </ds:schemaRefs>
</ds:datastoreItem>
</file>

<file path=customXml/itemProps3.xml><?xml version="1.0" encoding="utf-8"?>
<ds:datastoreItem xmlns:ds="http://schemas.openxmlformats.org/officeDocument/2006/customXml" ds:itemID="{7EBA99CC-3ABD-4718-AC6D-30554BC28F85}">
  <ds:schemaRefs>
    <ds:schemaRef ds:uri="http://schemas.openxmlformats.org/officeDocument/2006/bibliography"/>
  </ds:schemaRefs>
</ds:datastoreItem>
</file>

<file path=customXml/itemProps4.xml><?xml version="1.0" encoding="utf-8"?>
<ds:datastoreItem xmlns:ds="http://schemas.openxmlformats.org/officeDocument/2006/customXml" ds:itemID="{621BF085-8E14-4C4F-A4B6-2395B4ABB71A}">
  <ds:schemaRefs>
    <ds:schemaRef ds:uri="http://schemas.microsoft.com/sharepoint/v3/contenttype/forms"/>
  </ds:schemaRefs>
</ds:datastoreItem>
</file>

<file path=customXml/itemProps5.xml><?xml version="1.0" encoding="utf-8"?>
<ds:datastoreItem xmlns:ds="http://schemas.openxmlformats.org/officeDocument/2006/customXml" ds:itemID="{FC397840-2797-4D23-97C6-E1F3EEF70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ef8704e3-3a97-4106-8c82-f616b7ab3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2236</Words>
  <Characters>13800</Characters>
  <Application>Microsoft Office Word</Application>
  <DocSecurity>0</DocSecurity>
  <Lines>115</Lines>
  <Paragraphs>32</Paragraphs>
  <ScaleCrop>false</ScaleCrop>
  <Company>US FDA</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2019-07-03T16:25:00Z</cp:lastPrinted>
  <dcterms:created xsi:type="dcterms:W3CDTF">2026-01-15T12:36:00Z</dcterms:created>
  <dcterms:modified xsi:type="dcterms:W3CDTF">2026-01-15T12:36:00Z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y fmtid="{D5CDD505-2E9C-101B-9397-08002B2CF9AE}" pid="3" name="ContentTypeId">
    <vt:lpwstr>0x0101004AC173583A9D71478B617EFA29837DE2</vt:lpwstr>
  </property>
  <property fmtid="{D5CDD505-2E9C-101B-9397-08002B2CF9AE}" pid="4" name="MediaServiceImageTags">
    <vt:lpwstr/>
  </property>
</Properties>
</file>