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A25F13" w:rsidP="00357C8A" w14:paraId="2DDF0444" w14:textId="77777777">
      <w:pPr>
        <w:jc w:val="center"/>
        <w:rPr>
          <w:rFonts w:eastAsia="Calibri"/>
        </w:rPr>
      </w:pPr>
      <w:r w:rsidRPr="00A25F13">
        <w:rPr>
          <w:rFonts w:eastAsia="Calibri"/>
        </w:rPr>
        <w:t>United States Food and Drug Administration</w:t>
      </w:r>
    </w:p>
    <w:p w:rsidR="0036759C" w:rsidP="008D1530" w14:paraId="5FB364FD" w14:textId="77777777">
      <w:pPr>
        <w:ind w:left="2880"/>
        <w:rPr>
          <w:rFonts w:eastAsia="Calibri"/>
        </w:rPr>
      </w:pPr>
    </w:p>
    <w:p w:rsidR="008D1530" w:rsidP="00A25F13" w14:paraId="00363846" w14:textId="77777777">
      <w:pPr>
        <w:jc w:val="center"/>
        <w:rPr>
          <w:rFonts w:eastAsia="Calibri"/>
        </w:rPr>
      </w:pPr>
      <w:r w:rsidRPr="0036759C">
        <w:rPr>
          <w:rFonts w:eastAsia="Calibri"/>
        </w:rPr>
        <w:t>EXPORT OF MEDICAL DEVICES;</w:t>
      </w:r>
      <w:r w:rsidR="00A25F13">
        <w:rPr>
          <w:rFonts w:eastAsia="Calibri"/>
        </w:rPr>
        <w:t xml:space="preserve"> </w:t>
      </w:r>
      <w:r w:rsidRPr="0036759C">
        <w:rPr>
          <w:rFonts w:eastAsia="Calibri"/>
        </w:rPr>
        <w:t>FOREIGN LETTERS OF</w:t>
      </w:r>
      <w:r w:rsidR="00A25F13">
        <w:rPr>
          <w:rFonts w:eastAsia="Calibri"/>
        </w:rPr>
        <w:t xml:space="preserve"> </w:t>
      </w:r>
      <w:r w:rsidRPr="0036759C">
        <w:rPr>
          <w:rFonts w:eastAsia="Calibri"/>
        </w:rPr>
        <w:t>APPROVAL</w:t>
      </w:r>
    </w:p>
    <w:p w:rsidR="00A25F13" w:rsidRPr="0036759C" w:rsidP="00A25F13" w14:paraId="3B197A4C" w14:textId="77777777">
      <w:pPr>
        <w:jc w:val="center"/>
        <w:rPr>
          <w:rFonts w:eastAsia="Calibri"/>
        </w:rPr>
      </w:pPr>
    </w:p>
    <w:p w:rsidR="00357C8A" w:rsidP="008D1530" w14:paraId="5B75772C" w14:textId="77777777">
      <w:pPr>
        <w:jc w:val="center"/>
        <w:rPr>
          <w:rFonts w:eastAsia="Calibri"/>
        </w:rPr>
      </w:pPr>
      <w:r w:rsidRPr="00357C8A">
        <w:rPr>
          <w:rFonts w:eastAsia="Calibri"/>
        </w:rPr>
        <w:t>OMB Control No. 0910-</w:t>
      </w:r>
      <w:r w:rsidR="008D1530">
        <w:rPr>
          <w:rFonts w:eastAsia="Calibri"/>
        </w:rPr>
        <w:t>0264</w:t>
      </w:r>
      <w:r w:rsidR="00727CDF">
        <w:rPr>
          <w:rFonts w:eastAsia="Calibri"/>
        </w:rPr>
        <w:t xml:space="preserve"> </w:t>
      </w:r>
      <w:r w:rsidR="00A25F13">
        <w:rPr>
          <w:rFonts w:eastAsia="Calibri"/>
        </w:rPr>
        <w:t xml:space="preserve">-- </w:t>
      </w:r>
      <w:r w:rsidR="00727CDF">
        <w:rPr>
          <w:rFonts w:eastAsia="Calibri"/>
        </w:rPr>
        <w:t>EXTENSION</w:t>
      </w:r>
    </w:p>
    <w:p w:rsidR="00357C8A" w:rsidP="00357C8A" w14:paraId="4469B8BD" w14:textId="77777777">
      <w:pPr>
        <w:jc w:val="center"/>
        <w:rPr>
          <w:rFonts w:eastAsia="Calibri"/>
        </w:rPr>
      </w:pPr>
    </w:p>
    <w:p w:rsidR="00357C8A" w:rsidP="00357C8A" w14:paraId="26E0F7C3" w14:textId="77777777">
      <w:pPr>
        <w:jc w:val="center"/>
        <w:rPr>
          <w:rFonts w:eastAsia="Calibri"/>
        </w:rPr>
      </w:pPr>
      <w:r w:rsidRPr="00357C8A">
        <w:rPr>
          <w:rFonts w:eastAsia="Calibri"/>
        </w:rPr>
        <w:t>SUPPORTING STATEMENT</w:t>
      </w:r>
    </w:p>
    <w:p w:rsidR="00C71649" w:rsidP="009B4DF2" w14:paraId="1F8DCA29" w14:textId="77777777"/>
    <w:p w:rsidR="00357C8A" w:rsidP="000D79CC" w14:paraId="1D9143F7" w14:textId="77777777">
      <w:pPr>
        <w:rPr>
          <w:rFonts w:eastAsia="Calibri"/>
        </w:rPr>
      </w:pPr>
      <w:r w:rsidRPr="00357C8A">
        <w:rPr>
          <w:rFonts w:eastAsia="Calibri"/>
          <w:b/>
        </w:rPr>
        <w:t>Part A:  Justification</w:t>
      </w:r>
      <w:r w:rsidRPr="00357C8A">
        <w:rPr>
          <w:rFonts w:eastAsia="Calibri"/>
        </w:rPr>
        <w:t>:</w:t>
      </w:r>
    </w:p>
    <w:p w:rsidR="000D79CC" w:rsidRPr="00357C8A" w:rsidP="000D79CC" w14:paraId="68E90FA1" w14:textId="77777777">
      <w:pPr>
        <w:rPr>
          <w:rFonts w:eastAsia="Calibri"/>
        </w:rPr>
      </w:pPr>
    </w:p>
    <w:p w:rsidR="00357C8A" w:rsidRPr="008D1530" w:rsidP="006705EA" w14:paraId="50097678"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8D1530" w:rsidP="008D1530" w14:paraId="1612B16A" w14:textId="77777777">
      <w:r>
        <w:t>This information collection helps support Food and Drug Administration (</w:t>
      </w:r>
      <w:r w:rsidRPr="00010DFC">
        <w:t>FDA</w:t>
      </w:r>
      <w:r>
        <w:t>)</w:t>
      </w:r>
      <w:r w:rsidRPr="00010DFC">
        <w:t xml:space="preserve"> </w:t>
      </w:r>
      <w:r>
        <w:t xml:space="preserve">implementation of sections 801 and 802 of the Federal Food, Drug, and Cosmetic Act (21 U.S.C. 381 and 382), which govern the import and export of FDA-regulated products and the issuance of export certificates for certain unapproved products, respectively.  </w:t>
      </w:r>
      <w:r w:rsidRPr="00010DFC">
        <w:t xml:space="preserve">A medical device which is subject to, but does not comply with an applicable requirement under </w:t>
      </w:r>
      <w:r>
        <w:t>s</w:t>
      </w:r>
      <w:r w:rsidRPr="00010DFC">
        <w:t xml:space="preserve">ection 514 or </w:t>
      </w:r>
      <w:r>
        <w:t>s</w:t>
      </w:r>
      <w:r w:rsidRPr="00010DFC">
        <w:t>ection 515</w:t>
      </w:r>
      <w:r>
        <w:t xml:space="preserve"> of the FD&amp;C Act</w:t>
      </w:r>
      <w:r w:rsidRPr="00010DFC">
        <w:t xml:space="preserve">, or a device which is a banned device under </w:t>
      </w:r>
      <w:r>
        <w:t>s</w:t>
      </w:r>
      <w:r w:rsidRPr="00010DFC">
        <w:t>ection 516</w:t>
      </w:r>
      <w:r>
        <w:t xml:space="preserve"> of the FD&amp;C Act</w:t>
      </w:r>
      <w:r w:rsidRPr="00010DFC">
        <w:t>, or a device which is the subject of an Investigationa</w:t>
      </w:r>
      <w:r>
        <w:t>l Device Exemption (IDE) under s</w:t>
      </w:r>
      <w:r w:rsidRPr="00010DFC">
        <w:t xml:space="preserve">ection 520(g) of the </w:t>
      </w:r>
      <w:r>
        <w:t>FD&amp;C A</w:t>
      </w:r>
      <w:r w:rsidRPr="00010DFC">
        <w:t>ct</w:t>
      </w:r>
      <w:r>
        <w:t>,</w:t>
      </w:r>
      <w:r w:rsidRPr="00010DFC">
        <w:t xml:space="preserve"> may be exported directly to any of 25 countries listed in section 802(b)(1)(a) of the</w:t>
      </w:r>
      <w:r>
        <w:t xml:space="preserve"> </w:t>
      </w:r>
      <w:r w:rsidRPr="00010DFC">
        <w:t>without obtaining FDA authorization.</w:t>
      </w:r>
      <w:r>
        <w:t xml:space="preserve">  </w:t>
      </w:r>
      <w:r w:rsidRPr="00010DFC">
        <w:t>In addition, section 802 permits manufacturers to export such devices to any other country that accepts the marketing authorization of one of the listed countries.</w:t>
      </w:r>
      <w:r>
        <w:t xml:space="preserve">  </w:t>
      </w:r>
      <w:r w:rsidRPr="00010DFC">
        <w:t>Manufacturers are required to obtain FDA authorization to export to only those countries that will not accept the marketing authorization of one of the listed countries.  However, if the manufacturer wishes to conduct clinical studies with an unapproved device in one of the unlisted countries, it must obtain FDA authorization for export of the device.</w:t>
      </w:r>
    </w:p>
    <w:p w:rsidR="008D1530" w:rsidP="008D1530" w14:paraId="662CDE7C" w14:textId="77777777">
      <w:pPr>
        <w:widowControl w:val="0"/>
      </w:pPr>
    </w:p>
    <w:p w:rsidR="008D1530" w:rsidRPr="00010DFC" w:rsidP="008D1530" w14:paraId="626036FA" w14:textId="77777777">
      <w:r>
        <w:t xml:space="preserve">FDA’s </w:t>
      </w:r>
      <w:r w:rsidRPr="00010DFC">
        <w:t>Center for Devices and Radiological Health (CDRH) determine</w:t>
      </w:r>
      <w:r>
        <w:t xml:space="preserve">s </w:t>
      </w:r>
      <w:r w:rsidRPr="00010DFC">
        <w:t xml:space="preserve">whether exportation of </w:t>
      </w:r>
      <w:r>
        <w:t xml:space="preserve">a </w:t>
      </w:r>
      <w:r w:rsidRPr="00010DFC">
        <w:t xml:space="preserve">device would be contrary to the public health and safety and whether </w:t>
      </w:r>
      <w:r>
        <w:t xml:space="preserve">a </w:t>
      </w:r>
      <w:r w:rsidRPr="00010DFC">
        <w:t>device has the approval of the country to which it is intended for export (or, in countries that do not approve devices, whether the country has no objection to its importation)</w:t>
      </w:r>
      <w:r>
        <w:t xml:space="preserve"> using the </w:t>
      </w:r>
      <w:r w:rsidRPr="004F44E4">
        <w:t>Export Certification Application and Tracking System (CECATS)</w:t>
      </w:r>
      <w:r>
        <w:t xml:space="preserve">, available at:  </w:t>
      </w:r>
      <w:hyperlink r:id="rId6" w:history="1">
        <w:r w:rsidRPr="00DC7CF8">
          <w:rPr>
            <w:rStyle w:val="Hyperlink"/>
          </w:rPr>
          <w:t>Requesting Export Certificates from CDRH</w:t>
        </w:r>
      </w:hyperlink>
      <w:r>
        <w:t xml:space="preserve">.  </w:t>
      </w:r>
      <w:r w:rsidRPr="00E21B11">
        <w:t>CECATS is a web-based application system for requesting export documents.</w:t>
      </w:r>
      <w:r>
        <w:t xml:space="preserve">  </w:t>
      </w:r>
      <w:r w:rsidRPr="00E21B11">
        <w:t xml:space="preserve">This system </w:t>
      </w:r>
      <w:r>
        <w:t xml:space="preserve">helps facilitate </w:t>
      </w:r>
      <w:r w:rsidRPr="00E21B11">
        <w:t>certificate processing time, real-time validation of firm specific data, and status updates of request</w:t>
      </w:r>
      <w:r>
        <w:t>s</w:t>
      </w:r>
      <w:r w:rsidRPr="00E21B11">
        <w:t>.</w:t>
      </w:r>
      <w:r>
        <w:t xml:space="preserve">  </w:t>
      </w:r>
      <w:r w:rsidRPr="00E21B11">
        <w:t xml:space="preserve">Using CECATS, users can make changes to an export application prior to review, upload additional documents such as </w:t>
      </w:r>
      <w:r>
        <w:t xml:space="preserve">device </w:t>
      </w:r>
      <w:r w:rsidRPr="00E21B11">
        <w:t>labels, and clone (auto populate) previously submitted application information for future export requests using the “</w:t>
      </w:r>
      <w:r w:rsidRPr="00E257E4">
        <w:rPr>
          <w:i/>
          <w:iCs/>
        </w:rPr>
        <w:t>clone</w:t>
      </w:r>
      <w:r w:rsidRPr="00E21B11">
        <w:t>” icon.</w:t>
      </w:r>
      <w:r>
        <w:t xml:space="preserve">  </w:t>
      </w:r>
      <w:r w:rsidRPr="00010DFC">
        <w:t xml:space="preserve">A device that meets the criteria, and for which CDRH makes the requisite determination, will be authorized for export.  Authorization for export has been delegated to the Director, Office of </w:t>
      </w:r>
      <w:r>
        <w:t>Regulatory Programs (ORP)</w:t>
      </w:r>
      <w:r w:rsidRPr="00010DFC">
        <w:t>, CDRH, who issues approval and/or denial letters to requesters.</w:t>
      </w:r>
    </w:p>
    <w:p w:rsidR="008D1530" w:rsidRPr="00010DFC" w:rsidP="008D1530" w14:paraId="2029FF4C" w14:textId="77777777"/>
    <w:p w:rsidR="008D1530" w:rsidRPr="00357C8A" w:rsidP="008D1530" w14:paraId="0633BE5C" w14:textId="77777777">
      <w:pPr>
        <w:spacing w:after="200" w:line="276" w:lineRule="auto"/>
        <w:rPr>
          <w:rFonts w:eastAsia="Calibri"/>
        </w:rPr>
      </w:pPr>
      <w:r>
        <w:t xml:space="preserve">We are therefore </w:t>
      </w:r>
      <w:r w:rsidRPr="00010DFC">
        <w:t xml:space="preserve">requesting </w:t>
      </w:r>
      <w:r>
        <w:t xml:space="preserve">extension of OMB </w:t>
      </w:r>
      <w:r w:rsidRPr="00010DFC">
        <w:t xml:space="preserve">approval </w:t>
      </w:r>
      <w:r>
        <w:t>for the information collection provisions set forth in s</w:t>
      </w:r>
      <w:r w:rsidRPr="00010DFC">
        <w:t xml:space="preserve">ection 801(e) of the </w:t>
      </w:r>
      <w:r>
        <w:t>FD&amp;C A</w:t>
      </w:r>
      <w:r w:rsidRPr="00010DFC">
        <w:t>ct</w:t>
      </w:r>
      <w:r>
        <w:t xml:space="preserve"> regarding foreign letters of approval for medical devices, as discussed in this supporting statement</w:t>
      </w:r>
      <w:r w:rsidRPr="00010DFC">
        <w:t>.</w:t>
      </w:r>
    </w:p>
    <w:p w:rsidR="008D1530" w:rsidP="006705EA" w14:paraId="0A1A884C" w14:textId="77777777">
      <w:pPr>
        <w:numPr>
          <w:ilvl w:val="0"/>
          <w:numId w:val="6"/>
        </w:numPr>
        <w:spacing w:after="200" w:line="276" w:lineRule="auto"/>
        <w:rPr>
          <w:rFonts w:eastAsia="Calibri"/>
          <w:u w:val="single"/>
        </w:rPr>
      </w:pPr>
      <w:r w:rsidRPr="00357C8A">
        <w:rPr>
          <w:rFonts w:eastAsia="Calibri"/>
          <w:u w:val="single"/>
        </w:rPr>
        <w:t>Purpose and Use of the Information Collection</w:t>
      </w:r>
    </w:p>
    <w:p w:rsidR="00357C8A" w:rsidRPr="008D1530" w:rsidP="008D1530" w14:paraId="36EB79EA" w14:textId="77777777">
      <w:pPr>
        <w:spacing w:after="200" w:line="276" w:lineRule="auto"/>
        <w:rPr>
          <w:rFonts w:eastAsia="Calibri"/>
        </w:rPr>
      </w:pPr>
      <w:r w:rsidRPr="008D1530">
        <w:rPr>
          <w:rFonts w:eastAsia="Calibri"/>
        </w:rPr>
        <w:t xml:space="preserve"> </w:t>
      </w:r>
      <w:r w:rsidRPr="008D1530" w:rsidR="008D1530">
        <w:rPr>
          <w:rFonts w:eastAsia="Calibri"/>
        </w:rPr>
        <w:t xml:space="preserve">The respondents to this collection of information are private sector </w:t>
      </w:r>
      <w:r w:rsidRPr="008D1530" w:rsidR="006E7ED1">
        <w:rPr>
          <w:rFonts w:eastAsia="Calibri"/>
        </w:rPr>
        <w:t>for</w:t>
      </w:r>
      <w:r w:rsidR="006E7ED1">
        <w:rPr>
          <w:rFonts w:eastAsia="Calibri"/>
        </w:rPr>
        <w:t>-</w:t>
      </w:r>
      <w:r w:rsidRPr="008D1530" w:rsidR="008D1530">
        <w:rPr>
          <w:rFonts w:eastAsia="Calibri"/>
        </w:rPr>
        <w:t xml:space="preserve">profit companies that seek to export medical devices. Requesters communicate (either directly or through a business associate </w:t>
      </w:r>
      <w:r w:rsidRPr="008D1530" w:rsidR="008D1530">
        <w:rPr>
          <w:rFonts w:eastAsia="Calibri"/>
        </w:rPr>
        <w:t>in the foreign country) with a representative of the foreign government.  The form of the communication to the foreign government is unimportant (telephone, letter, etc.), but the end result should be a letter from the appropriate office within the foreign government approving the importation of the medical device.  Most foreign countries require such authorization regardless of FDA requirements.  The authorization from the foreign country is used by the Office of Regulatory Programs (ORP), CDRH</w:t>
      </w:r>
      <w:r w:rsidR="006E7ED1">
        <w:rPr>
          <w:rFonts w:eastAsia="Calibri"/>
        </w:rPr>
        <w:t>,</w:t>
      </w:r>
      <w:r w:rsidRPr="008D1530" w:rsidR="008D1530">
        <w:rPr>
          <w:rFonts w:eastAsia="Calibri"/>
        </w:rPr>
        <w:t xml:space="preserve"> in determining if the foreign country has any objection to the importation of the device into their country.</w:t>
      </w:r>
    </w:p>
    <w:p w:rsidR="008D1530" w:rsidP="008D1530" w14:paraId="02B0E997"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8D1530" w:rsidP="008D1530" w14:paraId="57FE08B1" w14:textId="77777777">
      <w:pPr>
        <w:rPr>
          <w:rFonts w:eastAsia="Calibri"/>
        </w:rPr>
      </w:pPr>
      <w:r>
        <w:rPr>
          <w:rFonts w:eastAsia="Calibri"/>
        </w:rPr>
        <w:t xml:space="preserve">As discussed above, the agency utilizes a web-based application to facilitate information collection.  We continue to make technological enhancements as our limited resources permit. </w:t>
      </w:r>
    </w:p>
    <w:p w:rsidR="008D1530" w:rsidRPr="008D1530" w:rsidP="008D1530" w14:paraId="47A0490B" w14:textId="77777777">
      <w:pPr>
        <w:rPr>
          <w:rFonts w:eastAsia="Calibri"/>
        </w:rPr>
      </w:pPr>
    </w:p>
    <w:p w:rsidR="008D1530" w:rsidP="008D1530" w14:paraId="6B1EF433"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8D1530" w:rsidP="008D1530" w14:paraId="1D8B3420" w14:textId="77777777">
      <w:r>
        <w:t>We are unaware of duplicative information collection.</w:t>
      </w:r>
    </w:p>
    <w:p w:rsidR="008D1530" w:rsidRPr="008D1530" w:rsidP="008D1530" w14:paraId="005B832D" w14:textId="77777777"/>
    <w:p w:rsidR="00357C8A" w:rsidRPr="008D1530" w:rsidP="003F1597" w14:paraId="51C3F6C4" w14:textId="77777777">
      <w:pPr>
        <w:numPr>
          <w:ilvl w:val="0"/>
          <w:numId w:val="6"/>
        </w:numPr>
        <w:spacing w:after="200"/>
        <w:rPr>
          <w:rFonts w:eastAsia="Calibri"/>
        </w:rPr>
      </w:pPr>
      <w:r w:rsidRPr="00357C8A">
        <w:rPr>
          <w:rFonts w:eastAsia="Calibri"/>
          <w:u w:val="single"/>
        </w:rPr>
        <w:t>Impact on Small Businesses or Other Small Entities</w:t>
      </w:r>
    </w:p>
    <w:p w:rsidR="008D1530" w:rsidP="003F1597" w14:paraId="65DE977E" w14:textId="77777777">
      <w:pPr>
        <w:rPr>
          <w:rFonts w:eastAsia="Calibri"/>
        </w:rPr>
      </w:pPr>
      <w:r>
        <w:rPr>
          <w:rFonts w:eastAsia="Calibri"/>
        </w:rPr>
        <w:t>We do not believe t</w:t>
      </w:r>
      <w:r w:rsidRPr="00F5554A">
        <w:rPr>
          <w:rFonts w:eastAsia="Calibri"/>
        </w:rPr>
        <w:t>he</w:t>
      </w:r>
      <w:r>
        <w:rPr>
          <w:rFonts w:eastAsia="Calibri"/>
        </w:rPr>
        <w:t xml:space="preserve"> information collection imposes undue burden on small entities.  We estimate </w:t>
      </w:r>
      <w:r w:rsidRPr="00F5554A">
        <w:rPr>
          <w:rFonts w:eastAsia="Calibri"/>
        </w:rPr>
        <w:t>11 percent of respondents are small businesses</w:t>
      </w:r>
      <w:r w:rsidR="006E7ED1">
        <w:rPr>
          <w:rFonts w:eastAsia="Calibri"/>
        </w:rPr>
        <w:t>.</w:t>
      </w:r>
      <w:r>
        <w:rPr>
          <w:rFonts w:eastAsia="Calibri"/>
        </w:rPr>
        <w:t xml:space="preserve"> </w:t>
      </w:r>
      <w:r w:rsidR="006E7ED1">
        <w:rPr>
          <w:rFonts w:eastAsia="Calibri"/>
        </w:rPr>
        <w:t>However,</w:t>
      </w:r>
      <w:r w:rsidRPr="00F5554A">
        <w:rPr>
          <w:rFonts w:eastAsia="Calibri"/>
        </w:rPr>
        <w:t xml:space="preserve"> </w:t>
      </w:r>
      <w:r>
        <w:rPr>
          <w:rFonts w:eastAsia="Calibri"/>
        </w:rPr>
        <w:t xml:space="preserve">the </w:t>
      </w:r>
      <w:r w:rsidRPr="00F5554A">
        <w:rPr>
          <w:rFonts w:eastAsia="Calibri"/>
        </w:rPr>
        <w:t>CDRH Division of Industry and Consumer Education (DICE) provid</w:t>
      </w:r>
      <w:r w:rsidR="006E7ED1">
        <w:rPr>
          <w:rFonts w:eastAsia="Calibri"/>
        </w:rPr>
        <w:t>es</w:t>
      </w:r>
      <w:r w:rsidRPr="00F5554A">
        <w:rPr>
          <w:rFonts w:eastAsia="Calibri"/>
        </w:rPr>
        <w:t xml:space="preserve"> workshops and technical and nonfinancial assistance to small manufacturers.  DICE also maintains a toll-free "800" telephone number which firms may use to obtain information on complying with the regulations.  </w:t>
      </w:r>
      <w:r w:rsidRPr="00B65BB9">
        <w:rPr>
          <w:rFonts w:eastAsia="Calibri"/>
        </w:rPr>
        <w:t xml:space="preserve">The Office of Regulatory Programs Exports Team </w:t>
      </w:r>
      <w:r>
        <w:rPr>
          <w:rFonts w:eastAsia="Calibri"/>
        </w:rPr>
        <w:t xml:space="preserve">Division of </w:t>
      </w:r>
      <w:r w:rsidRPr="00B65BB9">
        <w:rPr>
          <w:rFonts w:eastAsia="Calibri"/>
        </w:rPr>
        <w:t>Regulatory P</w:t>
      </w:r>
      <w:r>
        <w:rPr>
          <w:rFonts w:eastAsia="Calibri"/>
        </w:rPr>
        <w:t xml:space="preserve">rograms ll </w:t>
      </w:r>
      <w:r w:rsidRPr="00B65BB9">
        <w:rPr>
          <w:rFonts w:eastAsia="Calibri"/>
        </w:rPr>
        <w:t>maintains a list of foreign liaisons from various countries to assist firms in obtaining approval letters from those countries.</w:t>
      </w:r>
    </w:p>
    <w:p w:rsidR="003F1597" w:rsidRPr="00357C8A" w:rsidP="003F1597" w14:paraId="2766A048" w14:textId="77777777">
      <w:pPr>
        <w:rPr>
          <w:rFonts w:eastAsia="Calibri"/>
        </w:rPr>
      </w:pPr>
    </w:p>
    <w:p w:rsidR="00357C8A" w:rsidP="003F1597" w14:paraId="271FA607" w14:textId="77777777">
      <w:pPr>
        <w:numPr>
          <w:ilvl w:val="0"/>
          <w:numId w:val="6"/>
        </w:numPr>
        <w:spacing w:after="200"/>
        <w:rPr>
          <w:rFonts w:eastAsia="Calibri"/>
          <w:u w:val="single"/>
        </w:rPr>
      </w:pPr>
      <w:r w:rsidRPr="00357C8A">
        <w:rPr>
          <w:rFonts w:eastAsia="Calibri"/>
          <w:u w:val="single"/>
        </w:rPr>
        <w:t>Consequences of Collecting the Information Less Frequently</w:t>
      </w:r>
    </w:p>
    <w:p w:rsidR="008D1530" w:rsidP="008D1530" w14:paraId="0431130B" w14:textId="77777777">
      <w:pPr>
        <w:rPr>
          <w:rFonts w:eastAsia="Calibri"/>
        </w:rPr>
      </w:pPr>
      <w:r>
        <w:rPr>
          <w:rFonts w:eastAsia="Calibri"/>
        </w:rPr>
        <w:t xml:space="preserve">The information collection schedule is consistent with statutory and regulatory requirements. </w:t>
      </w:r>
    </w:p>
    <w:p w:rsidR="008D1530" w:rsidRPr="008D1530" w:rsidP="008D1530" w14:paraId="69B43ED2" w14:textId="77777777">
      <w:pPr>
        <w:rPr>
          <w:rFonts w:eastAsia="Calibri"/>
        </w:rPr>
      </w:pPr>
    </w:p>
    <w:p w:rsidR="00357C8A" w:rsidRPr="008D1530" w:rsidP="006705EA" w14:paraId="42DAF679"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8D1530" w:rsidP="008D1530" w14:paraId="652E6748" w14:textId="77777777">
      <w:pPr>
        <w:rPr>
          <w:rFonts w:eastAsia="Calibri"/>
        </w:rPr>
      </w:pPr>
      <w:r w:rsidRPr="00F5554A">
        <w:rPr>
          <w:rFonts w:eastAsia="Calibri"/>
        </w:rPr>
        <w:t>There are no special circumstances for this collection of information.</w:t>
      </w:r>
    </w:p>
    <w:p w:rsidR="008D1530" w:rsidRPr="00357C8A" w:rsidP="008D1530" w14:paraId="403D2181" w14:textId="77777777">
      <w:pPr>
        <w:rPr>
          <w:rFonts w:eastAsia="Calibri"/>
        </w:rPr>
      </w:pPr>
    </w:p>
    <w:p w:rsidR="00357C8A" w:rsidRPr="002C6292" w:rsidP="006705EA" w14:paraId="043B1E5E" w14:textId="77777777">
      <w:pPr>
        <w:numPr>
          <w:ilvl w:val="0"/>
          <w:numId w:val="6"/>
        </w:numPr>
        <w:spacing w:after="200" w:line="276" w:lineRule="auto"/>
        <w:rPr>
          <w:rFonts w:eastAsia="Calibri"/>
        </w:rPr>
      </w:pPr>
      <w:r w:rsidRPr="00357C8A">
        <w:rPr>
          <w:rFonts w:eastAsia="Calibri"/>
          <w:u w:val="single"/>
        </w:rPr>
        <w:t xml:space="preserve">Comments in Response to the Federal Register Notice and Efforts to Consult Outside the </w:t>
      </w:r>
      <w:r w:rsidRPr="002C6292">
        <w:rPr>
          <w:rFonts w:eastAsia="Calibri"/>
          <w:u w:val="single"/>
        </w:rPr>
        <w:t>Agency</w:t>
      </w:r>
    </w:p>
    <w:p w:rsidR="008D1530" w:rsidP="008D1530" w14:paraId="6B08C115" w14:textId="77777777">
      <w:pPr>
        <w:rPr>
          <w:rFonts w:eastAsia="Calibri"/>
        </w:rPr>
      </w:pPr>
      <w:r w:rsidRPr="002C6292">
        <w:rPr>
          <w:rFonts w:eastAsia="Calibri"/>
        </w:rPr>
        <w:t>FDA published a 60-day notice for public comment in the Federal Register of</w:t>
      </w:r>
      <w:r w:rsidRPr="002C6292" w:rsidR="003F1597">
        <w:rPr>
          <w:rFonts w:eastAsia="Calibri"/>
        </w:rPr>
        <w:t xml:space="preserve"> June 16, 2025 (90 FR 25339).</w:t>
      </w:r>
      <w:r w:rsidRPr="002C6292" w:rsidR="006561D6">
        <w:rPr>
          <w:rFonts w:eastAsia="Calibri"/>
        </w:rPr>
        <w:t xml:space="preserve"> No comments were received.</w:t>
      </w:r>
      <w:r w:rsidR="006561D6">
        <w:rPr>
          <w:rFonts w:eastAsia="Calibri"/>
        </w:rPr>
        <w:t xml:space="preserve"> </w:t>
      </w:r>
    </w:p>
    <w:p w:rsidR="00DB25E5" w:rsidP="008D1530" w14:paraId="49E420AA" w14:textId="77777777">
      <w:pPr>
        <w:rPr>
          <w:rFonts w:eastAsia="Calibri"/>
        </w:rPr>
      </w:pPr>
    </w:p>
    <w:p w:rsidR="00357C8A" w:rsidRPr="008D1530" w:rsidP="006705EA" w14:paraId="4FC5F21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B3B1F" w:rsidP="00DB25E5" w14:paraId="77E588D6" w14:textId="77777777">
      <w:pPr>
        <w:rPr>
          <w:rFonts w:eastAsia="Calibri"/>
        </w:rPr>
      </w:pPr>
      <w:r w:rsidRPr="002074FE">
        <w:rPr>
          <w:rFonts w:eastAsia="Calibri"/>
        </w:rPr>
        <w:t>There are no incentives, payments or gifts associated with this information collection.</w:t>
      </w:r>
    </w:p>
    <w:p w:rsidR="003F1597" w:rsidP="00DB25E5" w14:paraId="3BBF7F31" w14:textId="77777777">
      <w:pPr>
        <w:rPr>
          <w:rFonts w:eastAsia="Calibri"/>
        </w:rPr>
      </w:pPr>
    </w:p>
    <w:p w:rsidR="003F1597" w:rsidP="00DB25E5" w14:paraId="3C7F419C" w14:textId="77777777">
      <w:pPr>
        <w:rPr>
          <w:rFonts w:eastAsia="Calibri"/>
        </w:rPr>
      </w:pPr>
    </w:p>
    <w:p w:rsidR="003F1597" w:rsidP="00DB25E5" w14:paraId="7904CA18" w14:textId="77777777">
      <w:pPr>
        <w:rPr>
          <w:rFonts w:eastAsia="Calibri"/>
        </w:rPr>
      </w:pPr>
    </w:p>
    <w:p w:rsidR="003F1597" w:rsidP="00DB25E5" w14:paraId="47CA0569" w14:textId="77777777">
      <w:pPr>
        <w:rPr>
          <w:rFonts w:eastAsia="Calibri"/>
        </w:rPr>
      </w:pPr>
    </w:p>
    <w:p w:rsidR="003F1597" w:rsidP="00DB25E5" w14:paraId="2C3E6F61" w14:textId="77777777">
      <w:pPr>
        <w:rPr>
          <w:rFonts w:eastAsia="Calibri"/>
        </w:rPr>
      </w:pPr>
    </w:p>
    <w:p w:rsidR="00DB25E5" w:rsidRPr="00357C8A" w:rsidP="00DB25E5" w14:paraId="724394BB" w14:textId="77777777">
      <w:pPr>
        <w:rPr>
          <w:rFonts w:eastAsia="Calibri"/>
        </w:rPr>
      </w:pPr>
    </w:p>
    <w:p w:rsidR="00357C8A" w:rsidRPr="00357C8A" w:rsidP="006705EA" w14:paraId="25ADC87D"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63630C" w:rsidRPr="0063630C" w:rsidP="0063630C" w14:paraId="16F1354F" w14:textId="77777777">
      <w:pPr>
        <w:spacing w:before="100" w:beforeAutospacing="1" w:after="100" w:afterAutospacing="1"/>
        <w:rPr>
          <w:i/>
          <w:iCs/>
        </w:rPr>
      </w:pPr>
      <w:r w:rsidRPr="0063630C">
        <w:rPr>
          <w:i/>
          <w:iCs/>
        </w:rPr>
        <w:t>The Privacy Act of 1974 (5 U.S.C. 552a)</w:t>
      </w:r>
    </w:p>
    <w:p w:rsidR="0063630C" w:rsidRPr="0063630C" w:rsidP="0063630C" w14:paraId="3E96DFA1" w14:textId="77777777">
      <w:r w:rsidRPr="0063630C">
        <w:t>In preparing this Supporting Statement, we consulted our Privacy Office to ensure appropriate identification and handling of information collected. Although this ICR collects personally identifiable information (PII), it is collected in the context of the subject individuals’ professional capacity and the FDA-related work performed for their employer (e.g., point of contact at a regulated entity).  The PII submitted via FDA Unified Registration Listing System (FURLS) and CDRH Export Certification Application and Tracking System (CECATS) is account ID, password, name, mailing address, mailing address, telephone number, fax number, and email address. The PII submitted with the cover letter is name. FDA determined that although PII is collected it is not subject to the Privacy Act of 1974 and the particular notice and other requirements of the Act do not apply. Specifically, FDA does not use name or any other personal identifier to retrieve records from the information collected. FDA limited the PII collected to protect the privacy of individuals.</w:t>
      </w:r>
    </w:p>
    <w:p w:rsidR="0063630C" w:rsidRPr="0063630C" w:rsidP="0063630C" w14:paraId="3D0E0BB7" w14:textId="77777777">
      <w:pPr>
        <w:ind w:left="720"/>
      </w:pPr>
    </w:p>
    <w:p w:rsidR="0063630C" w:rsidRPr="0063630C" w:rsidP="0063630C" w14:paraId="5EE4385B" w14:textId="77777777">
      <w:r w:rsidRPr="0063630C">
        <w:rPr>
          <w:i/>
          <w:iCs/>
        </w:rPr>
        <w:t>The Freedom of Information Act (FOIA)</w:t>
      </w:r>
    </w:p>
    <w:p w:rsidR="001075D3" w:rsidRPr="001075D3" w:rsidP="00992FC4" w14:paraId="7452E2D5" w14:textId="77777777">
      <w:pPr>
        <w:spacing w:before="100" w:beforeAutospacing="1" w:after="100" w:afterAutospacing="1"/>
      </w:pPr>
      <w:r w:rsidRPr="0063630C">
        <w:t>Under FOIA (5 U.S.C. 552), the public has broad access to government documents. However, FOIA provides certain exemptions from mandatory public disclosure of government records (5 U.S.C. 552(b)(1-9)).  FDA will make the fullest possible disclosure of records to the public (see 21 CFR 20), consistent with the rights of individuals to privacy, the property rights of persons in trade and confidential commercial or financial information.</w:t>
      </w:r>
    </w:p>
    <w:p w:rsidR="00357C8A" w:rsidRPr="00357C8A" w:rsidP="006705EA" w14:paraId="2AD4F52C" w14:textId="77777777">
      <w:pPr>
        <w:numPr>
          <w:ilvl w:val="0"/>
          <w:numId w:val="6"/>
        </w:numPr>
        <w:spacing w:after="200" w:line="276" w:lineRule="auto"/>
        <w:rPr>
          <w:rFonts w:eastAsia="Calibri"/>
        </w:rPr>
      </w:pPr>
      <w:r w:rsidRPr="00357C8A">
        <w:rPr>
          <w:rFonts w:eastAsia="Calibri"/>
          <w:u w:val="single"/>
        </w:rPr>
        <w:t>Justification for Sensitive Questions</w:t>
      </w:r>
    </w:p>
    <w:p w:rsidR="00DB25E5" w:rsidP="00DB25E5" w14:paraId="46CE731F" w14:textId="77777777">
      <w:pPr>
        <w:rPr>
          <w:rFonts w:eastAsia="Calibri"/>
          <w:iCs/>
        </w:rPr>
      </w:pPr>
      <w:r w:rsidRPr="00127878">
        <w:rPr>
          <w:rFonts w:eastAsia="Calibri"/>
          <w:iCs/>
        </w:rPr>
        <w:t>The collection of information does not involve sensitive questions.</w:t>
      </w:r>
    </w:p>
    <w:p w:rsidR="00DB25E5" w:rsidP="00DB25E5" w14:paraId="792359CE" w14:textId="77777777">
      <w:pPr>
        <w:rPr>
          <w:rFonts w:eastAsia="Calibri"/>
          <w:iCs/>
        </w:rPr>
      </w:pPr>
    </w:p>
    <w:p w:rsidR="00DB25E5" w:rsidRPr="00DB25E5" w:rsidP="00DB25E5" w14:paraId="5C39231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DB25E5" w:rsidRPr="00DB25E5" w:rsidP="00DB25E5" w14:paraId="1704929C" w14:textId="77777777">
      <w:pPr>
        <w:spacing w:after="200"/>
        <w:ind w:left="360"/>
        <w:rPr>
          <w:rFonts w:eastAsia="Calibri"/>
          <w:i/>
          <w:iCs/>
        </w:rPr>
      </w:pPr>
      <w:r w:rsidRPr="00DB25E5">
        <w:rPr>
          <w:rFonts w:eastAsia="Calibri"/>
        </w:rPr>
        <w:tab/>
      </w:r>
      <w:r w:rsidRPr="00DB25E5">
        <w:rPr>
          <w:rFonts w:eastAsia="Calibri"/>
          <w:i/>
          <w:iCs/>
        </w:rPr>
        <w:t>12a.  Annualized Hour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4"/>
        <w:gridCol w:w="1599"/>
        <w:gridCol w:w="1891"/>
        <w:gridCol w:w="1434"/>
        <w:gridCol w:w="1618"/>
        <w:gridCol w:w="904"/>
      </w:tblGrid>
      <w:tr w14:paraId="3518ABDD" w14:textId="77777777" w:rsidTr="003647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DB25E5" w:rsidRPr="00536D52" w:rsidP="00DB25E5" w14:paraId="25792F4F" w14:textId="77777777">
            <w:pPr>
              <w:spacing w:after="200"/>
              <w:ind w:left="360"/>
              <w:rPr>
                <w:rFonts w:eastAsia="Calibri"/>
                <w:sz w:val="20"/>
                <w:szCs w:val="20"/>
              </w:rPr>
            </w:pPr>
            <w:bookmarkStart w:id="0" w:name="_Hlk532552200"/>
            <w:r w:rsidRPr="00536D52">
              <w:rPr>
                <w:rFonts w:eastAsia="Calibri"/>
                <w:sz w:val="20"/>
                <w:szCs w:val="20"/>
              </w:rPr>
              <w:t xml:space="preserve">                                Table 1.--Estimated Annual Reporting Burden</w:t>
            </w:r>
          </w:p>
        </w:tc>
      </w:tr>
      <w:tr w14:paraId="10F65A07" w14:textId="77777777">
        <w:tblPrEx>
          <w:tblW w:w="5000" w:type="pct"/>
          <w:tblLook w:val="01E0"/>
        </w:tblPrEx>
        <w:trPr>
          <w:cantSplit/>
          <w:trHeight w:val="20"/>
          <w:tblHeader/>
        </w:trPr>
        <w:tc>
          <w:tcPr>
            <w:tcW w:w="1184" w:type="pct"/>
            <w:shd w:val="clear" w:color="auto" w:fill="auto"/>
          </w:tcPr>
          <w:p w:rsidR="00DB25E5" w:rsidRPr="0001409C" w:rsidP="00DB25E5" w14:paraId="0E85FFAD" w14:textId="77777777">
            <w:pPr>
              <w:spacing w:after="200"/>
              <w:ind w:left="360"/>
              <w:rPr>
                <w:rFonts w:eastAsia="Calibri"/>
                <w:sz w:val="20"/>
                <w:szCs w:val="20"/>
              </w:rPr>
            </w:pPr>
            <w:r w:rsidRPr="0001409C">
              <w:rPr>
                <w:rFonts w:eastAsia="Calibri"/>
                <w:sz w:val="20"/>
                <w:szCs w:val="20"/>
              </w:rPr>
              <w:t>Activity/ FD&amp;C Act Section</w:t>
            </w:r>
          </w:p>
        </w:tc>
        <w:tc>
          <w:tcPr>
            <w:tcW w:w="752" w:type="pct"/>
            <w:shd w:val="clear" w:color="auto" w:fill="auto"/>
          </w:tcPr>
          <w:p w:rsidR="00DB25E5" w:rsidRPr="0001409C" w:rsidP="003F1597" w14:paraId="45AE40C7" w14:textId="77777777">
            <w:pPr>
              <w:spacing w:after="200"/>
              <w:ind w:left="360"/>
              <w:rPr>
                <w:rFonts w:eastAsia="Calibri"/>
                <w:sz w:val="20"/>
                <w:szCs w:val="20"/>
              </w:rPr>
            </w:pPr>
            <w:r w:rsidRPr="0001409C">
              <w:rPr>
                <w:rFonts w:eastAsia="Calibri"/>
                <w:sz w:val="20"/>
                <w:szCs w:val="20"/>
              </w:rPr>
              <w:t>No. of Respondents</w:t>
            </w:r>
          </w:p>
        </w:tc>
        <w:tc>
          <w:tcPr>
            <w:tcW w:w="987" w:type="pct"/>
            <w:shd w:val="clear" w:color="auto" w:fill="auto"/>
          </w:tcPr>
          <w:p w:rsidR="00DB25E5" w:rsidRPr="0001409C" w:rsidP="003F1597" w14:paraId="48F7DD39" w14:textId="77777777">
            <w:pPr>
              <w:spacing w:after="200"/>
              <w:ind w:left="360"/>
              <w:rPr>
                <w:rFonts w:eastAsia="Calibri"/>
                <w:sz w:val="20"/>
                <w:szCs w:val="20"/>
              </w:rPr>
            </w:pPr>
            <w:r w:rsidRPr="0001409C">
              <w:rPr>
                <w:rFonts w:eastAsia="Calibri"/>
                <w:bCs/>
                <w:sz w:val="20"/>
                <w:szCs w:val="20"/>
              </w:rPr>
              <w:t>No. of Responses per Respondent</w:t>
            </w:r>
          </w:p>
        </w:tc>
        <w:tc>
          <w:tcPr>
            <w:tcW w:w="752" w:type="pct"/>
            <w:shd w:val="clear" w:color="auto" w:fill="auto"/>
          </w:tcPr>
          <w:p w:rsidR="00DB25E5" w:rsidRPr="0001409C" w:rsidP="003F1597" w14:paraId="67EE9FC2" w14:textId="77777777">
            <w:pPr>
              <w:spacing w:after="200"/>
              <w:ind w:left="360"/>
              <w:rPr>
                <w:rFonts w:eastAsia="Calibri"/>
                <w:sz w:val="20"/>
                <w:szCs w:val="20"/>
              </w:rPr>
            </w:pPr>
            <w:r w:rsidRPr="0001409C">
              <w:rPr>
                <w:rFonts w:eastAsia="Calibri"/>
                <w:sz w:val="20"/>
                <w:szCs w:val="20"/>
              </w:rPr>
              <w:t>Total Annual Responses</w:t>
            </w:r>
          </w:p>
        </w:tc>
        <w:tc>
          <w:tcPr>
            <w:tcW w:w="846" w:type="pct"/>
            <w:shd w:val="clear" w:color="auto" w:fill="auto"/>
          </w:tcPr>
          <w:p w:rsidR="00DB25E5" w:rsidRPr="0001409C" w:rsidP="003F1597" w14:paraId="4873BD54" w14:textId="77777777">
            <w:pPr>
              <w:spacing w:after="200"/>
              <w:ind w:left="360"/>
              <w:rPr>
                <w:rFonts w:eastAsia="Calibri"/>
                <w:sz w:val="20"/>
                <w:szCs w:val="20"/>
              </w:rPr>
            </w:pPr>
            <w:r w:rsidRPr="0001409C">
              <w:rPr>
                <w:rFonts w:eastAsia="Calibri"/>
                <w:bCs/>
                <w:sz w:val="20"/>
                <w:szCs w:val="20"/>
              </w:rPr>
              <w:t>Average Burden per Response</w:t>
            </w:r>
          </w:p>
        </w:tc>
        <w:tc>
          <w:tcPr>
            <w:tcW w:w="479" w:type="pct"/>
            <w:shd w:val="clear" w:color="auto" w:fill="auto"/>
          </w:tcPr>
          <w:p w:rsidR="00DB25E5" w:rsidRPr="0001409C" w:rsidP="003F1597" w14:paraId="1B330FEB" w14:textId="77777777">
            <w:pPr>
              <w:spacing w:after="200"/>
              <w:jc w:val="center"/>
              <w:rPr>
                <w:rFonts w:eastAsia="Calibri"/>
                <w:sz w:val="20"/>
                <w:szCs w:val="20"/>
              </w:rPr>
            </w:pPr>
            <w:r w:rsidRPr="0001409C">
              <w:rPr>
                <w:rFonts w:eastAsia="Calibri"/>
                <w:sz w:val="20"/>
                <w:szCs w:val="20"/>
              </w:rPr>
              <w:t>Total Hours</w:t>
            </w:r>
          </w:p>
        </w:tc>
      </w:tr>
      <w:tr w14:paraId="01EEDC81" w14:textId="77777777">
        <w:tblPrEx>
          <w:tblW w:w="5000" w:type="pct"/>
          <w:tblLook w:val="01E0"/>
        </w:tblPrEx>
        <w:trPr>
          <w:cantSplit/>
          <w:trHeight w:val="20"/>
        </w:trPr>
        <w:tc>
          <w:tcPr>
            <w:tcW w:w="1184" w:type="pct"/>
            <w:shd w:val="clear" w:color="auto" w:fill="auto"/>
          </w:tcPr>
          <w:p w:rsidR="00DB25E5" w:rsidRPr="0001409C" w:rsidP="00DB25E5" w14:paraId="55E88619" w14:textId="77777777">
            <w:pPr>
              <w:spacing w:after="200"/>
              <w:ind w:left="360"/>
              <w:rPr>
                <w:rFonts w:eastAsia="Calibri"/>
                <w:sz w:val="20"/>
                <w:szCs w:val="20"/>
              </w:rPr>
            </w:pPr>
            <w:r w:rsidRPr="0001409C">
              <w:rPr>
                <w:rFonts w:eastAsia="Calibri"/>
                <w:sz w:val="20"/>
                <w:szCs w:val="20"/>
              </w:rPr>
              <w:t>Foreign letter of approval-- 801(e)(2)</w:t>
            </w:r>
          </w:p>
        </w:tc>
        <w:tc>
          <w:tcPr>
            <w:tcW w:w="752" w:type="pct"/>
            <w:shd w:val="clear" w:color="auto" w:fill="auto"/>
          </w:tcPr>
          <w:p w:rsidR="00DB25E5" w:rsidRPr="0001409C" w:rsidP="00DB25E5" w14:paraId="546D58D4" w14:textId="77777777">
            <w:pPr>
              <w:spacing w:after="200"/>
              <w:ind w:left="360"/>
              <w:rPr>
                <w:rFonts w:eastAsia="Calibri"/>
                <w:sz w:val="20"/>
                <w:szCs w:val="20"/>
              </w:rPr>
            </w:pPr>
            <w:r w:rsidRPr="0001409C">
              <w:rPr>
                <w:rFonts w:eastAsia="Calibri"/>
                <w:sz w:val="20"/>
                <w:szCs w:val="20"/>
              </w:rPr>
              <w:t>36</w:t>
            </w:r>
          </w:p>
        </w:tc>
        <w:tc>
          <w:tcPr>
            <w:tcW w:w="987" w:type="pct"/>
            <w:shd w:val="clear" w:color="auto" w:fill="auto"/>
          </w:tcPr>
          <w:p w:rsidR="00DB25E5" w:rsidRPr="0001409C" w:rsidP="00DB25E5" w14:paraId="01F59E80" w14:textId="77777777">
            <w:pPr>
              <w:spacing w:after="200"/>
              <w:ind w:left="360"/>
              <w:rPr>
                <w:rFonts w:eastAsia="Calibri"/>
                <w:sz w:val="20"/>
                <w:szCs w:val="20"/>
              </w:rPr>
            </w:pPr>
            <w:r w:rsidRPr="0001409C">
              <w:rPr>
                <w:rFonts w:eastAsia="Calibri"/>
                <w:sz w:val="20"/>
                <w:szCs w:val="20"/>
              </w:rPr>
              <w:t>1</w:t>
            </w:r>
          </w:p>
        </w:tc>
        <w:tc>
          <w:tcPr>
            <w:tcW w:w="752" w:type="pct"/>
            <w:shd w:val="clear" w:color="auto" w:fill="auto"/>
          </w:tcPr>
          <w:p w:rsidR="00DB25E5" w:rsidRPr="0001409C" w:rsidP="00DB25E5" w14:paraId="46CE540A" w14:textId="77777777">
            <w:pPr>
              <w:spacing w:after="200"/>
              <w:ind w:left="360"/>
              <w:rPr>
                <w:rFonts w:eastAsia="Calibri"/>
                <w:sz w:val="20"/>
                <w:szCs w:val="20"/>
              </w:rPr>
            </w:pPr>
            <w:r w:rsidRPr="0001409C">
              <w:rPr>
                <w:rFonts w:eastAsia="Calibri"/>
                <w:sz w:val="20"/>
                <w:szCs w:val="20"/>
              </w:rPr>
              <w:t>36</w:t>
            </w:r>
          </w:p>
        </w:tc>
        <w:tc>
          <w:tcPr>
            <w:tcW w:w="846" w:type="pct"/>
            <w:shd w:val="clear" w:color="auto" w:fill="auto"/>
          </w:tcPr>
          <w:p w:rsidR="00DB25E5" w:rsidRPr="0001409C" w:rsidP="00DB25E5" w14:paraId="747ADEAC" w14:textId="77777777">
            <w:pPr>
              <w:spacing w:after="200"/>
              <w:ind w:left="360"/>
              <w:rPr>
                <w:rFonts w:eastAsia="Calibri"/>
                <w:sz w:val="20"/>
                <w:szCs w:val="20"/>
              </w:rPr>
            </w:pPr>
            <w:r w:rsidRPr="0001409C">
              <w:rPr>
                <w:rFonts w:eastAsia="Calibri"/>
                <w:sz w:val="20"/>
                <w:szCs w:val="20"/>
              </w:rPr>
              <w:t>2</w:t>
            </w:r>
          </w:p>
        </w:tc>
        <w:tc>
          <w:tcPr>
            <w:tcW w:w="479" w:type="pct"/>
            <w:shd w:val="clear" w:color="auto" w:fill="auto"/>
          </w:tcPr>
          <w:p w:rsidR="00DB25E5" w:rsidRPr="0001409C" w:rsidP="00DB25E5" w14:paraId="28BD5190" w14:textId="77777777">
            <w:pPr>
              <w:spacing w:after="200"/>
              <w:ind w:left="360"/>
              <w:rPr>
                <w:rFonts w:eastAsia="Calibri"/>
                <w:sz w:val="20"/>
                <w:szCs w:val="20"/>
              </w:rPr>
            </w:pPr>
            <w:r w:rsidRPr="0001409C">
              <w:rPr>
                <w:rFonts w:eastAsia="Calibri"/>
                <w:sz w:val="20"/>
                <w:szCs w:val="20"/>
              </w:rPr>
              <w:t>72</w:t>
            </w:r>
          </w:p>
        </w:tc>
      </w:tr>
      <w:bookmarkEnd w:id="0"/>
    </w:tbl>
    <w:p w:rsidR="00DB25E5" w:rsidRPr="00536D52" w:rsidP="00DB25E5" w14:paraId="438DF683" w14:textId="77777777">
      <w:pPr>
        <w:spacing w:after="200"/>
        <w:ind w:left="360"/>
        <w:rPr>
          <w:rFonts w:eastAsia="Calibri"/>
          <w:sz w:val="20"/>
          <w:szCs w:val="20"/>
        </w:rPr>
      </w:pPr>
    </w:p>
    <w:p w:rsidR="00DB25E5" w:rsidRPr="00DB25E5" w:rsidP="00DB25E5" w14:paraId="3836DB88" w14:textId="77777777">
      <w:pPr>
        <w:spacing w:after="200"/>
        <w:ind w:left="360"/>
        <w:rPr>
          <w:rFonts w:eastAsia="Calibri"/>
          <w:i/>
          <w:iCs/>
        </w:rPr>
      </w:pPr>
      <w:r w:rsidRPr="00DB25E5">
        <w:rPr>
          <w:rFonts w:eastAsia="Calibri"/>
        </w:rPr>
        <w:tab/>
      </w:r>
      <w:r w:rsidRPr="00DB25E5">
        <w:rPr>
          <w:rFonts w:eastAsia="Calibri"/>
          <w:i/>
          <w:iCs/>
        </w:rPr>
        <w:t>12b.  Annualized Cost Burden Estimat</w:t>
      </w:r>
      <w:r>
        <w:rPr>
          <w:rFonts w:eastAsia="Calibri"/>
          <w:i/>
          <w:iCs/>
        </w:rPr>
        <w:t>e</w:t>
      </w:r>
    </w:p>
    <w:p w:rsidR="00DB25E5" w:rsidRPr="00DB25E5" w:rsidP="00DB25E5" w14:paraId="2B90B604" w14:textId="77777777">
      <w:pPr>
        <w:spacing w:after="200"/>
        <w:ind w:left="360"/>
        <w:rPr>
          <w:rFonts w:eastAsia="Calibri"/>
        </w:rPr>
      </w:pPr>
      <w:r w:rsidRPr="00DB25E5">
        <w:rPr>
          <w:rFonts w:eastAsia="Calibri"/>
        </w:rPr>
        <w:tab/>
        <w:t>We assume requests for foreign letters of approval will be satisfied by an attorney representative as follows:</w:t>
      </w:r>
    </w:p>
    <w:tbl>
      <w:tblPr>
        <w:tblW w:w="9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1"/>
        <w:gridCol w:w="2050"/>
        <w:gridCol w:w="2727"/>
        <w:gridCol w:w="2194"/>
      </w:tblGrid>
      <w:tr w14:paraId="20E4E4AB" w14:textId="77777777">
        <w:tblPrEx>
          <w:tblW w:w="94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92"/>
        </w:trPr>
        <w:tc>
          <w:tcPr>
            <w:tcW w:w="2461" w:type="dxa"/>
            <w:shd w:val="clear" w:color="auto" w:fill="auto"/>
          </w:tcPr>
          <w:p w:rsidR="00DB25E5" w:rsidRPr="003F1597" w:rsidP="00DB25E5" w14:paraId="69A38779" w14:textId="77777777">
            <w:pPr>
              <w:spacing w:after="200"/>
              <w:ind w:left="360"/>
              <w:rPr>
                <w:rFonts w:eastAsia="Calibri"/>
                <w:sz w:val="20"/>
                <w:szCs w:val="20"/>
              </w:rPr>
            </w:pPr>
            <w:r w:rsidRPr="003F1597">
              <w:rPr>
                <w:rFonts w:eastAsia="Calibri"/>
                <w:sz w:val="20"/>
                <w:szCs w:val="20"/>
              </w:rPr>
              <w:t>Type of Respondent</w:t>
            </w:r>
          </w:p>
        </w:tc>
        <w:tc>
          <w:tcPr>
            <w:tcW w:w="2050" w:type="dxa"/>
            <w:shd w:val="clear" w:color="auto" w:fill="auto"/>
          </w:tcPr>
          <w:p w:rsidR="00DB25E5" w:rsidRPr="003F1597" w:rsidP="00DB25E5" w14:paraId="41912CDC" w14:textId="77777777">
            <w:pPr>
              <w:spacing w:after="200"/>
              <w:ind w:left="360"/>
              <w:rPr>
                <w:rFonts w:eastAsia="Calibri"/>
                <w:sz w:val="20"/>
                <w:szCs w:val="20"/>
              </w:rPr>
            </w:pPr>
            <w:r w:rsidRPr="003F1597">
              <w:rPr>
                <w:rFonts w:eastAsia="Calibri"/>
                <w:sz w:val="20"/>
                <w:szCs w:val="20"/>
              </w:rPr>
              <w:t>Total Burden Hours</w:t>
            </w:r>
          </w:p>
        </w:tc>
        <w:tc>
          <w:tcPr>
            <w:tcW w:w="2727" w:type="dxa"/>
            <w:shd w:val="clear" w:color="auto" w:fill="auto"/>
          </w:tcPr>
          <w:p w:rsidR="00DB25E5" w:rsidRPr="003F1597" w:rsidP="00DB25E5" w14:paraId="7972D015" w14:textId="77777777">
            <w:pPr>
              <w:spacing w:after="200"/>
              <w:ind w:left="360"/>
              <w:rPr>
                <w:rFonts w:eastAsia="Calibri"/>
                <w:sz w:val="20"/>
                <w:szCs w:val="20"/>
              </w:rPr>
            </w:pPr>
            <w:r w:rsidRPr="003F1597">
              <w:rPr>
                <w:rFonts w:eastAsia="Calibri"/>
                <w:sz w:val="20"/>
                <w:szCs w:val="20"/>
              </w:rPr>
              <w:t>Hourly Wage Rate</w:t>
            </w:r>
          </w:p>
        </w:tc>
        <w:tc>
          <w:tcPr>
            <w:tcW w:w="2194" w:type="dxa"/>
            <w:shd w:val="clear" w:color="auto" w:fill="auto"/>
          </w:tcPr>
          <w:p w:rsidR="00DB25E5" w:rsidRPr="003F1597" w:rsidP="00DB25E5" w14:paraId="44A59F81" w14:textId="77777777">
            <w:pPr>
              <w:spacing w:after="200"/>
              <w:ind w:left="360"/>
              <w:rPr>
                <w:rFonts w:eastAsia="Calibri"/>
                <w:sz w:val="20"/>
                <w:szCs w:val="20"/>
              </w:rPr>
            </w:pPr>
            <w:r w:rsidRPr="003F1597">
              <w:rPr>
                <w:rFonts w:eastAsia="Calibri"/>
                <w:sz w:val="20"/>
                <w:szCs w:val="20"/>
              </w:rPr>
              <w:t>Total Respondent Costs</w:t>
            </w:r>
          </w:p>
        </w:tc>
      </w:tr>
      <w:tr w14:paraId="39A66EED" w14:textId="77777777">
        <w:tblPrEx>
          <w:tblW w:w="9432" w:type="dxa"/>
          <w:tblInd w:w="-5" w:type="dxa"/>
          <w:tblLook w:val="01E0"/>
        </w:tblPrEx>
        <w:trPr>
          <w:trHeight w:val="317"/>
        </w:trPr>
        <w:tc>
          <w:tcPr>
            <w:tcW w:w="2461" w:type="dxa"/>
            <w:shd w:val="clear" w:color="auto" w:fill="auto"/>
          </w:tcPr>
          <w:p w:rsidR="00DB25E5" w:rsidRPr="003F1597" w:rsidP="00DB25E5" w14:paraId="08252E92" w14:textId="77777777">
            <w:pPr>
              <w:spacing w:after="200"/>
              <w:ind w:left="360"/>
              <w:rPr>
                <w:rFonts w:eastAsia="Calibri"/>
                <w:sz w:val="20"/>
                <w:szCs w:val="20"/>
              </w:rPr>
            </w:pPr>
            <w:r w:rsidRPr="003F1597">
              <w:rPr>
                <w:rFonts w:eastAsia="Calibri"/>
                <w:sz w:val="20"/>
                <w:szCs w:val="20"/>
              </w:rPr>
              <w:t>Lawyer*</w:t>
            </w:r>
          </w:p>
        </w:tc>
        <w:tc>
          <w:tcPr>
            <w:tcW w:w="2050" w:type="dxa"/>
            <w:shd w:val="clear" w:color="auto" w:fill="auto"/>
          </w:tcPr>
          <w:p w:rsidR="00DB25E5" w:rsidRPr="003F1597" w:rsidP="00DB25E5" w14:paraId="15783E3B" w14:textId="77777777">
            <w:pPr>
              <w:spacing w:after="200"/>
              <w:ind w:left="360"/>
              <w:rPr>
                <w:rFonts w:eastAsia="Calibri"/>
                <w:sz w:val="20"/>
                <w:szCs w:val="20"/>
              </w:rPr>
            </w:pPr>
            <w:r w:rsidRPr="003F1597">
              <w:rPr>
                <w:rFonts w:eastAsia="Calibri"/>
                <w:sz w:val="20"/>
                <w:szCs w:val="20"/>
              </w:rPr>
              <w:t>72</w:t>
            </w:r>
          </w:p>
        </w:tc>
        <w:tc>
          <w:tcPr>
            <w:tcW w:w="2727" w:type="dxa"/>
            <w:shd w:val="clear" w:color="auto" w:fill="auto"/>
          </w:tcPr>
          <w:p w:rsidR="00DB25E5" w:rsidRPr="003F1597" w:rsidP="00DB25E5" w14:paraId="40F810D6" w14:textId="77777777">
            <w:pPr>
              <w:spacing w:after="200"/>
              <w:ind w:left="360"/>
              <w:rPr>
                <w:rFonts w:eastAsia="Calibri"/>
                <w:sz w:val="20"/>
                <w:szCs w:val="20"/>
              </w:rPr>
            </w:pPr>
            <w:r w:rsidRPr="00536D52">
              <w:rPr>
                <w:rFonts w:eastAsia="Calibri"/>
                <w:sz w:val="20"/>
                <w:szCs w:val="20"/>
              </w:rPr>
              <w:t>$140</w:t>
            </w:r>
          </w:p>
        </w:tc>
        <w:tc>
          <w:tcPr>
            <w:tcW w:w="2194" w:type="dxa"/>
            <w:shd w:val="clear" w:color="auto" w:fill="auto"/>
          </w:tcPr>
          <w:p w:rsidR="00DB25E5" w:rsidRPr="003F1597" w:rsidP="00DB25E5" w14:paraId="07AAAC73" w14:textId="77777777">
            <w:pPr>
              <w:spacing w:after="200"/>
              <w:ind w:left="360"/>
              <w:rPr>
                <w:rFonts w:eastAsia="Calibri"/>
                <w:sz w:val="20"/>
                <w:szCs w:val="20"/>
              </w:rPr>
            </w:pPr>
            <w:r w:rsidRPr="003F1597">
              <w:rPr>
                <w:rFonts w:eastAsia="Calibri"/>
                <w:sz w:val="20"/>
                <w:szCs w:val="20"/>
              </w:rPr>
              <w:t>$10,080</w:t>
            </w:r>
          </w:p>
        </w:tc>
      </w:tr>
    </w:tbl>
    <w:p w:rsidR="00357C8A" w:rsidRPr="00DB25E5" w:rsidP="00DB25E5" w14:paraId="40FA47F3" w14:textId="77777777">
      <w:pPr>
        <w:spacing w:after="200"/>
        <w:rPr>
          <w:rFonts w:eastAsia="Calibri"/>
          <w:sz w:val="18"/>
          <w:szCs w:val="18"/>
        </w:rPr>
      </w:pPr>
      <w:r w:rsidRPr="00DB25E5">
        <w:rPr>
          <w:rFonts w:eastAsia="Calibri"/>
          <w:sz w:val="18"/>
          <w:szCs w:val="18"/>
        </w:rPr>
        <w:t>* The estimated wage rate for a Lawyer is based on The Bureau of Labor Statistics (BLS) hourly wage rate of $70 for a lawyer (https://www.bls.gov/ooh/legal/lawyers.htm, accessed December 3, 2024). The hourly wage rate of $140 rounded to the nearest dollar and has been doubled to account for benefits and overhead.</w:t>
      </w:r>
    </w:p>
    <w:p w:rsidR="00357C8A" w:rsidRPr="00DB25E5" w:rsidP="006705EA" w14:paraId="5CA7048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B25E5" w:rsidP="00DB25E5" w14:paraId="0E6675CF" w14:textId="77777777">
      <w:pPr>
        <w:rPr>
          <w:rFonts w:eastAsia="Calibri"/>
        </w:rPr>
      </w:pPr>
      <w:r w:rsidRPr="003F7704">
        <w:rPr>
          <w:rFonts w:eastAsia="Calibri"/>
        </w:rPr>
        <w:t>The respondent’s costs of submission of a request to the foreign country for approval to import into that country, and subsequent submission of such approval to the FDA, vary and are considered operating and maintenance costs.</w:t>
      </w:r>
      <w:r>
        <w:rPr>
          <w:rFonts w:eastAsia="Calibri"/>
        </w:rPr>
        <w:t xml:space="preserve">  </w:t>
      </w:r>
      <w:r w:rsidRPr="003F7704">
        <w:rPr>
          <w:rFonts w:eastAsia="Calibri"/>
        </w:rPr>
        <w:t xml:space="preserve">On average, </w:t>
      </w:r>
      <w:r w:rsidR="00487FD2">
        <w:rPr>
          <w:rFonts w:eastAsia="Calibri"/>
        </w:rPr>
        <w:t>we assume</w:t>
      </w:r>
      <w:r w:rsidRPr="003F7704">
        <w:rPr>
          <w:rFonts w:eastAsia="Calibri"/>
        </w:rPr>
        <w:t xml:space="preserve"> that it can cost a requester </w:t>
      </w:r>
      <w:r w:rsidRPr="00536D52">
        <w:rPr>
          <w:rFonts w:eastAsia="Calibri"/>
        </w:rPr>
        <w:t>approximately $1</w:t>
      </w:r>
      <w:r w:rsidRPr="00536D52" w:rsidR="0001409C">
        <w:rPr>
          <w:rFonts w:eastAsia="Calibri"/>
        </w:rPr>
        <w:t>40</w:t>
      </w:r>
      <w:r w:rsidRPr="00536D52">
        <w:rPr>
          <w:rFonts w:eastAsia="Calibri"/>
        </w:rPr>
        <w:t xml:space="preserve"> per page of translation.  From review of our records, it appears that foreign approval letters average</w:t>
      </w:r>
      <w:r w:rsidRPr="003F7704">
        <w:rPr>
          <w:rFonts w:eastAsia="Calibri"/>
        </w:rPr>
        <w:t xml:space="preserve"> two pages.</w:t>
      </w:r>
      <w:r>
        <w:rPr>
          <w:rFonts w:eastAsia="Calibri"/>
        </w:rPr>
        <w:t xml:space="preserve">  </w:t>
      </w:r>
      <w:r w:rsidRPr="003F7704">
        <w:rPr>
          <w:rFonts w:eastAsia="Calibri"/>
        </w:rPr>
        <w:t>Therefore, the estimated cost to requestors for processing a foreign approval letter is approximately $</w:t>
      </w:r>
      <w:r w:rsidR="0001409C">
        <w:rPr>
          <w:rFonts w:eastAsia="Calibri"/>
        </w:rPr>
        <w:t>10</w:t>
      </w:r>
      <w:r>
        <w:rPr>
          <w:rFonts w:eastAsia="Calibri"/>
        </w:rPr>
        <w:t>,0</w:t>
      </w:r>
      <w:r w:rsidR="0001409C">
        <w:rPr>
          <w:rFonts w:eastAsia="Calibri"/>
        </w:rPr>
        <w:t>8</w:t>
      </w:r>
      <w:r>
        <w:rPr>
          <w:rFonts w:eastAsia="Calibri"/>
        </w:rPr>
        <w:t>0</w:t>
      </w:r>
      <w:r w:rsidRPr="003F7704">
        <w:rPr>
          <w:rFonts w:eastAsia="Calibri"/>
        </w:rPr>
        <w:t xml:space="preserve"> (3</w:t>
      </w:r>
      <w:r>
        <w:rPr>
          <w:rFonts w:eastAsia="Calibri"/>
        </w:rPr>
        <w:t>6</w:t>
      </w:r>
      <w:r w:rsidRPr="003F7704">
        <w:rPr>
          <w:rFonts w:eastAsia="Calibri"/>
        </w:rPr>
        <w:t xml:space="preserve"> submissions per year x 2 pages = </w:t>
      </w:r>
      <w:r>
        <w:rPr>
          <w:rFonts w:eastAsia="Calibri"/>
        </w:rPr>
        <w:t>72</w:t>
      </w:r>
      <w:r w:rsidRPr="003F7704">
        <w:rPr>
          <w:rFonts w:eastAsia="Calibri"/>
        </w:rPr>
        <w:t xml:space="preserve"> pages x $1</w:t>
      </w:r>
      <w:r w:rsidR="0001409C">
        <w:rPr>
          <w:rFonts w:eastAsia="Calibri"/>
        </w:rPr>
        <w:t>40</w:t>
      </w:r>
      <w:r w:rsidRPr="003F7704">
        <w:rPr>
          <w:rFonts w:eastAsia="Calibri"/>
        </w:rPr>
        <w:t xml:space="preserve"> per page = $</w:t>
      </w:r>
      <w:r w:rsidR="0001409C">
        <w:rPr>
          <w:rFonts w:eastAsia="Calibri"/>
        </w:rPr>
        <w:t>10</w:t>
      </w:r>
      <w:r>
        <w:rPr>
          <w:rFonts w:eastAsia="Calibri"/>
        </w:rPr>
        <w:t>,0</w:t>
      </w:r>
      <w:r w:rsidR="0001409C">
        <w:rPr>
          <w:rFonts w:eastAsia="Calibri"/>
        </w:rPr>
        <w:t>8</w:t>
      </w:r>
      <w:r>
        <w:rPr>
          <w:rFonts w:eastAsia="Calibri"/>
        </w:rPr>
        <w:t>0</w:t>
      </w:r>
      <w:r w:rsidRPr="003F7704">
        <w:rPr>
          <w:rFonts w:eastAsia="Calibri"/>
        </w:rPr>
        <w:t>).</w:t>
      </w:r>
    </w:p>
    <w:p w:rsidR="00DB25E5" w:rsidRPr="00357C8A" w:rsidP="00DB25E5" w14:paraId="0BC23ED9" w14:textId="77777777">
      <w:pPr>
        <w:rPr>
          <w:rFonts w:eastAsia="Calibri"/>
        </w:rPr>
      </w:pPr>
    </w:p>
    <w:p w:rsidR="00357C8A" w:rsidRPr="00357C8A" w:rsidP="006705EA" w14:paraId="35F1CA9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DB25E5" w:rsidP="00DB25E5" w14:paraId="17F6192A" w14:textId="77777777">
      <w:pPr>
        <w:rPr>
          <w:rFonts w:eastAsia="Calibri"/>
        </w:rPr>
      </w:pPr>
      <w:r w:rsidRPr="00F4514D">
        <w:rPr>
          <w:rFonts w:eastAsia="Calibri"/>
        </w:rPr>
        <w:t xml:space="preserve">The annualized cost to the federal government </w:t>
      </w:r>
      <w:r>
        <w:rPr>
          <w:rFonts w:eastAsia="Calibri"/>
        </w:rPr>
        <w:t xml:space="preserve">is calculated based on the allocation of </w:t>
      </w:r>
      <w:r w:rsidRPr="00F4514D">
        <w:rPr>
          <w:rFonts w:eastAsia="Calibri"/>
        </w:rPr>
        <w:t>one full</w:t>
      </w:r>
      <w:r>
        <w:rPr>
          <w:rFonts w:eastAsia="Calibri"/>
        </w:rPr>
        <w:t>-</w:t>
      </w:r>
      <w:r w:rsidRPr="00F4514D">
        <w:rPr>
          <w:rFonts w:eastAsia="Calibri"/>
        </w:rPr>
        <w:t xml:space="preserve">time FDA employee (FTEs).  </w:t>
      </w:r>
      <w:r w:rsidRPr="005821BC" w:rsidR="00487FD2">
        <w:t>Based on an internal cost model, we assume a fully-loaded cost of $</w:t>
      </w:r>
      <w:r w:rsidR="00487FD2">
        <w:t>348,721.70</w:t>
      </w:r>
      <w:r w:rsidRPr="005821BC" w:rsidR="00487FD2">
        <w:t xml:space="preserve"> per position.</w:t>
      </w:r>
      <w:r w:rsidRPr="00677BAB" w:rsidR="00487FD2">
        <w:t xml:space="preserve">  </w:t>
      </w:r>
      <w:r w:rsidR="00487FD2">
        <w:t>We t</w:t>
      </w:r>
      <w:r w:rsidRPr="00677BAB" w:rsidR="00487FD2">
        <w:t>herefore</w:t>
      </w:r>
      <w:r w:rsidR="00487FD2">
        <w:t xml:space="preserve"> calculate an </w:t>
      </w:r>
      <w:r w:rsidRPr="00677BAB" w:rsidR="00487FD2">
        <w:t>annualized cost</w:t>
      </w:r>
      <w:r w:rsidR="00487FD2">
        <w:t xml:space="preserve"> to FDA</w:t>
      </w:r>
      <w:r w:rsidRPr="00677BAB" w:rsidR="00487FD2">
        <w:t xml:space="preserve"> </w:t>
      </w:r>
      <w:r w:rsidR="00487FD2">
        <w:t>of</w:t>
      </w:r>
      <w:r w:rsidRPr="00677BAB" w:rsidR="00487FD2">
        <w:t xml:space="preserve"> $</w:t>
      </w:r>
      <w:r w:rsidR="00487FD2">
        <w:t>348,721.70</w:t>
      </w:r>
      <w:r w:rsidRPr="00677BAB" w:rsidR="00487FD2">
        <w:t>.</w:t>
      </w:r>
    </w:p>
    <w:p w:rsidR="00DB25E5" w:rsidP="00DB25E5" w14:paraId="573021F8" w14:textId="77777777">
      <w:pPr>
        <w:rPr>
          <w:rFonts w:eastAsia="Calibri"/>
        </w:rPr>
      </w:pPr>
    </w:p>
    <w:p w:rsidR="00357C8A" w:rsidP="006705EA" w14:paraId="6C940C65"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0F5777" w:rsidP="000F5777" w14:paraId="06AC6EB7" w14:textId="77777777">
      <w:pPr>
        <w:pStyle w:val="BodyTextIndent"/>
        <w:spacing w:after="0"/>
        <w:ind w:left="0"/>
      </w:pPr>
      <w:r w:rsidRPr="003647D0">
        <w:t>Based on a review of the information collection since our last request for OMB approval, we have made no adjustments to our burden estimate.</w:t>
      </w:r>
    </w:p>
    <w:p w:rsidR="003647D0" w:rsidP="000F5777" w14:paraId="202004E0" w14:textId="77777777">
      <w:pPr>
        <w:pStyle w:val="BodyTextIndent"/>
        <w:spacing w:after="0"/>
        <w:ind w:left="0"/>
      </w:pPr>
    </w:p>
    <w:p w:rsidR="00357C8A" w:rsidRPr="00357C8A" w:rsidP="006705EA" w14:paraId="0767C72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0F5777" w:rsidP="000F5777" w14:paraId="33505C2B" w14:textId="77777777">
      <w:pPr>
        <w:pStyle w:val="Default"/>
        <w:rPr>
          <w:rFonts w:eastAsia="Calibri"/>
        </w:rPr>
      </w:pPr>
      <w:r w:rsidRPr="005C71CA">
        <w:rPr>
          <w:rFonts w:eastAsia="Calibri"/>
        </w:rPr>
        <w:t>This information collected will not be published or tabulated.</w:t>
      </w:r>
    </w:p>
    <w:p w:rsidR="000F5777" w:rsidP="000F5777" w14:paraId="2CECA328" w14:textId="77777777">
      <w:pPr>
        <w:pStyle w:val="Default"/>
        <w:rPr>
          <w:rFonts w:eastAsia="Calibri"/>
        </w:rPr>
      </w:pPr>
    </w:p>
    <w:p w:rsidR="00357C8A" w:rsidRPr="00357C8A" w:rsidP="006705EA" w14:paraId="0D3BFE9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0F5777" w:rsidP="000F5777" w14:paraId="51A29E27" w14:textId="77777777">
      <w:pPr>
        <w:rPr>
          <w:rFonts w:eastAsia="Calibri"/>
        </w:rPr>
      </w:pPr>
      <w:r>
        <w:rPr>
          <w:rFonts w:eastAsia="Calibri"/>
        </w:rPr>
        <w:t xml:space="preserve">The </w:t>
      </w:r>
      <w:r w:rsidRPr="00680BD8">
        <w:rPr>
          <w:rFonts w:eastAsia="Calibri"/>
        </w:rPr>
        <w:t xml:space="preserve">OMB expiration date </w:t>
      </w:r>
      <w:r>
        <w:rPr>
          <w:rFonts w:eastAsia="Calibri"/>
        </w:rPr>
        <w:t xml:space="preserve">will be displayed </w:t>
      </w:r>
      <w:r w:rsidRPr="00680BD8">
        <w:rPr>
          <w:rFonts w:eastAsia="Calibri"/>
        </w:rPr>
        <w:t>as required by 5 CFR 1320.5.</w:t>
      </w:r>
    </w:p>
    <w:p w:rsidR="000F5777" w:rsidP="000F5777" w14:paraId="669A19F4" w14:textId="77777777">
      <w:pPr>
        <w:rPr>
          <w:rFonts w:eastAsia="Calibri"/>
        </w:rPr>
      </w:pPr>
    </w:p>
    <w:p w:rsidR="000F5777" w:rsidP="000F5777" w14:paraId="40E29309"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0F5777" w:rsidRPr="000F5777" w:rsidP="000F5777" w14:paraId="4F2FA19A" w14:textId="77777777">
      <w:pPr>
        <w:spacing w:after="200" w:line="276" w:lineRule="auto"/>
        <w:rPr>
          <w:rFonts w:eastAsia="Calibri"/>
          <w:u w:val="single"/>
        </w:rPr>
      </w:pPr>
      <w:r w:rsidRPr="000F5777">
        <w:rPr>
          <w:rFonts w:eastAsia="Calibri"/>
        </w:rPr>
        <w:t>There are no exceptions to the certification.</w:t>
      </w:r>
    </w:p>
    <w:p w:rsidR="00544138" w:rsidRPr="00C20690" w:rsidP="00C20690" w14:paraId="715768E9" w14:textId="77777777">
      <w:pPr>
        <w:spacing w:after="200"/>
        <w:rPr>
          <w:rFonts w:eastAsia="Calibri"/>
        </w:rPr>
      </w:pP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DB949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83DF8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C44C5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454F123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401216366">
    <w:abstractNumId w:val="5"/>
  </w:num>
  <w:num w:numId="2" w16cid:durableId="261496669">
    <w:abstractNumId w:val="1"/>
  </w:num>
  <w:num w:numId="3" w16cid:durableId="1922447093">
    <w:abstractNumId w:val="6"/>
  </w:num>
  <w:num w:numId="4" w16cid:durableId="588853664">
    <w:abstractNumId w:val="3"/>
  </w:num>
  <w:num w:numId="5" w16cid:durableId="2013990836">
    <w:abstractNumId w:val="7"/>
  </w:num>
  <w:num w:numId="6" w16cid:durableId="628123742">
    <w:abstractNumId w:val="0"/>
  </w:num>
  <w:num w:numId="7" w16cid:durableId="730032378">
    <w:abstractNumId w:val="2"/>
    <w:lvlOverride w:ilvl="0"/>
    <w:lvlOverride w:ilvl="1"/>
    <w:lvlOverride w:ilvl="2"/>
    <w:lvlOverride w:ilvl="3"/>
    <w:lvlOverride w:ilvl="4"/>
    <w:lvlOverride w:ilvl="5"/>
    <w:lvlOverride w:ilvl="6"/>
    <w:lvlOverride w:ilvl="7"/>
    <w:lvlOverride w:ilvl="8"/>
  </w:num>
  <w:num w:numId="8" w16cid:durableId="2890164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104AB"/>
    <w:rsid w:val="00010DFC"/>
    <w:rsid w:val="0001409C"/>
    <w:rsid w:val="000161E3"/>
    <w:rsid w:val="00026BC1"/>
    <w:rsid w:val="00031A2C"/>
    <w:rsid w:val="00042B93"/>
    <w:rsid w:val="00043C7F"/>
    <w:rsid w:val="000467A8"/>
    <w:rsid w:val="0006570F"/>
    <w:rsid w:val="00075DE8"/>
    <w:rsid w:val="00087439"/>
    <w:rsid w:val="000C1260"/>
    <w:rsid w:val="000C560C"/>
    <w:rsid w:val="000C6CCA"/>
    <w:rsid w:val="000D080B"/>
    <w:rsid w:val="000D48FD"/>
    <w:rsid w:val="000D79CC"/>
    <w:rsid w:val="000E1C64"/>
    <w:rsid w:val="000E791B"/>
    <w:rsid w:val="000F5777"/>
    <w:rsid w:val="000F7119"/>
    <w:rsid w:val="000F7C17"/>
    <w:rsid w:val="00100739"/>
    <w:rsid w:val="0010493E"/>
    <w:rsid w:val="001075D3"/>
    <w:rsid w:val="00107885"/>
    <w:rsid w:val="00114FC4"/>
    <w:rsid w:val="001207D3"/>
    <w:rsid w:val="0012329C"/>
    <w:rsid w:val="00127878"/>
    <w:rsid w:val="00132A7E"/>
    <w:rsid w:val="00134FA7"/>
    <w:rsid w:val="00137950"/>
    <w:rsid w:val="00140762"/>
    <w:rsid w:val="00144749"/>
    <w:rsid w:val="00152F29"/>
    <w:rsid w:val="00174D54"/>
    <w:rsid w:val="0017702C"/>
    <w:rsid w:val="00183A7C"/>
    <w:rsid w:val="00185270"/>
    <w:rsid w:val="00193630"/>
    <w:rsid w:val="001A3B5A"/>
    <w:rsid w:val="001A458C"/>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C6292"/>
    <w:rsid w:val="002D14D8"/>
    <w:rsid w:val="002D4799"/>
    <w:rsid w:val="002E3FA4"/>
    <w:rsid w:val="002E53A5"/>
    <w:rsid w:val="002E64B8"/>
    <w:rsid w:val="002E6834"/>
    <w:rsid w:val="003113FF"/>
    <w:rsid w:val="00312622"/>
    <w:rsid w:val="00320AB9"/>
    <w:rsid w:val="0032277F"/>
    <w:rsid w:val="003268C8"/>
    <w:rsid w:val="00336B69"/>
    <w:rsid w:val="0034302B"/>
    <w:rsid w:val="00350523"/>
    <w:rsid w:val="0035189D"/>
    <w:rsid w:val="00355B62"/>
    <w:rsid w:val="003577AC"/>
    <w:rsid w:val="00357C8A"/>
    <w:rsid w:val="003647D0"/>
    <w:rsid w:val="0036759C"/>
    <w:rsid w:val="003740BC"/>
    <w:rsid w:val="0037456B"/>
    <w:rsid w:val="003801A3"/>
    <w:rsid w:val="00383D90"/>
    <w:rsid w:val="003870AE"/>
    <w:rsid w:val="003A1A27"/>
    <w:rsid w:val="003A50CC"/>
    <w:rsid w:val="003B42B3"/>
    <w:rsid w:val="003B6384"/>
    <w:rsid w:val="003C0FE2"/>
    <w:rsid w:val="003C4EBB"/>
    <w:rsid w:val="003D1531"/>
    <w:rsid w:val="003E4A1D"/>
    <w:rsid w:val="003E4EC6"/>
    <w:rsid w:val="003E527E"/>
    <w:rsid w:val="003E553E"/>
    <w:rsid w:val="003E7078"/>
    <w:rsid w:val="003F1597"/>
    <w:rsid w:val="003F3DF5"/>
    <w:rsid w:val="003F73B8"/>
    <w:rsid w:val="003F7704"/>
    <w:rsid w:val="0040297E"/>
    <w:rsid w:val="00411D11"/>
    <w:rsid w:val="00414494"/>
    <w:rsid w:val="00415E23"/>
    <w:rsid w:val="0041670D"/>
    <w:rsid w:val="00423272"/>
    <w:rsid w:val="00424061"/>
    <w:rsid w:val="0042653C"/>
    <w:rsid w:val="00442A3C"/>
    <w:rsid w:val="00443969"/>
    <w:rsid w:val="00445C05"/>
    <w:rsid w:val="00447D74"/>
    <w:rsid w:val="00450A74"/>
    <w:rsid w:val="004546BF"/>
    <w:rsid w:val="00465350"/>
    <w:rsid w:val="004656A5"/>
    <w:rsid w:val="00470C28"/>
    <w:rsid w:val="00476B91"/>
    <w:rsid w:val="004846BF"/>
    <w:rsid w:val="00487FD2"/>
    <w:rsid w:val="00494912"/>
    <w:rsid w:val="004A5323"/>
    <w:rsid w:val="004A5A99"/>
    <w:rsid w:val="004C6979"/>
    <w:rsid w:val="004D13A2"/>
    <w:rsid w:val="004D3E7A"/>
    <w:rsid w:val="004F44E4"/>
    <w:rsid w:val="004F594B"/>
    <w:rsid w:val="004F61E1"/>
    <w:rsid w:val="0053380B"/>
    <w:rsid w:val="00536D52"/>
    <w:rsid w:val="00543194"/>
    <w:rsid w:val="00544138"/>
    <w:rsid w:val="005531C2"/>
    <w:rsid w:val="00554E34"/>
    <w:rsid w:val="005565FC"/>
    <w:rsid w:val="005821BC"/>
    <w:rsid w:val="00584583"/>
    <w:rsid w:val="00590E90"/>
    <w:rsid w:val="00590EEB"/>
    <w:rsid w:val="00592ADA"/>
    <w:rsid w:val="005A4099"/>
    <w:rsid w:val="005C38B2"/>
    <w:rsid w:val="005C5029"/>
    <w:rsid w:val="005C55C2"/>
    <w:rsid w:val="005C71CA"/>
    <w:rsid w:val="005C745C"/>
    <w:rsid w:val="005D4DF5"/>
    <w:rsid w:val="005E42BA"/>
    <w:rsid w:val="00611D6B"/>
    <w:rsid w:val="00625CFD"/>
    <w:rsid w:val="006326EC"/>
    <w:rsid w:val="0063630C"/>
    <w:rsid w:val="006561D6"/>
    <w:rsid w:val="00663A42"/>
    <w:rsid w:val="006641C7"/>
    <w:rsid w:val="006705EA"/>
    <w:rsid w:val="00670BE2"/>
    <w:rsid w:val="00677BAB"/>
    <w:rsid w:val="00680BD8"/>
    <w:rsid w:val="006916D9"/>
    <w:rsid w:val="006A0E05"/>
    <w:rsid w:val="006A26C6"/>
    <w:rsid w:val="006A465A"/>
    <w:rsid w:val="006A704E"/>
    <w:rsid w:val="006A7D5D"/>
    <w:rsid w:val="006C3C63"/>
    <w:rsid w:val="006C7730"/>
    <w:rsid w:val="006D0C12"/>
    <w:rsid w:val="006D5D57"/>
    <w:rsid w:val="006E2538"/>
    <w:rsid w:val="006E302F"/>
    <w:rsid w:val="006E7ED1"/>
    <w:rsid w:val="006F4D6D"/>
    <w:rsid w:val="00705086"/>
    <w:rsid w:val="00722001"/>
    <w:rsid w:val="00727CDF"/>
    <w:rsid w:val="007308C8"/>
    <w:rsid w:val="00744525"/>
    <w:rsid w:val="00751E66"/>
    <w:rsid w:val="00754497"/>
    <w:rsid w:val="00756455"/>
    <w:rsid w:val="00773201"/>
    <w:rsid w:val="00787C39"/>
    <w:rsid w:val="00792947"/>
    <w:rsid w:val="00795DF3"/>
    <w:rsid w:val="007A373C"/>
    <w:rsid w:val="007A6D01"/>
    <w:rsid w:val="007B225C"/>
    <w:rsid w:val="007B3B1F"/>
    <w:rsid w:val="007C75B1"/>
    <w:rsid w:val="007D3DFC"/>
    <w:rsid w:val="007E2F07"/>
    <w:rsid w:val="007E59A8"/>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D1530"/>
    <w:rsid w:val="008E5F55"/>
    <w:rsid w:val="009009E7"/>
    <w:rsid w:val="00905DEF"/>
    <w:rsid w:val="00906056"/>
    <w:rsid w:val="00906203"/>
    <w:rsid w:val="009122AE"/>
    <w:rsid w:val="00913B43"/>
    <w:rsid w:val="00916504"/>
    <w:rsid w:val="009254D6"/>
    <w:rsid w:val="00930203"/>
    <w:rsid w:val="009311D2"/>
    <w:rsid w:val="009311E6"/>
    <w:rsid w:val="00931275"/>
    <w:rsid w:val="00936AC7"/>
    <w:rsid w:val="00947761"/>
    <w:rsid w:val="00953B64"/>
    <w:rsid w:val="009646A7"/>
    <w:rsid w:val="00970A88"/>
    <w:rsid w:val="009818A1"/>
    <w:rsid w:val="00992FC4"/>
    <w:rsid w:val="009A1674"/>
    <w:rsid w:val="009B38BE"/>
    <w:rsid w:val="009B4DF2"/>
    <w:rsid w:val="009C684F"/>
    <w:rsid w:val="009C7074"/>
    <w:rsid w:val="009D074C"/>
    <w:rsid w:val="009D6E73"/>
    <w:rsid w:val="009F1F1D"/>
    <w:rsid w:val="009F2B4F"/>
    <w:rsid w:val="009F3C63"/>
    <w:rsid w:val="009F66B5"/>
    <w:rsid w:val="00A02F10"/>
    <w:rsid w:val="00A1060C"/>
    <w:rsid w:val="00A16221"/>
    <w:rsid w:val="00A20A7D"/>
    <w:rsid w:val="00A233CF"/>
    <w:rsid w:val="00A25F13"/>
    <w:rsid w:val="00A35D42"/>
    <w:rsid w:val="00A46CCF"/>
    <w:rsid w:val="00A506DE"/>
    <w:rsid w:val="00A53451"/>
    <w:rsid w:val="00A70426"/>
    <w:rsid w:val="00A707CC"/>
    <w:rsid w:val="00A71410"/>
    <w:rsid w:val="00A91E9A"/>
    <w:rsid w:val="00A93ED9"/>
    <w:rsid w:val="00A96221"/>
    <w:rsid w:val="00AC2DBB"/>
    <w:rsid w:val="00AC6A99"/>
    <w:rsid w:val="00AD6048"/>
    <w:rsid w:val="00AF0A45"/>
    <w:rsid w:val="00B055EF"/>
    <w:rsid w:val="00B06B5B"/>
    <w:rsid w:val="00B23769"/>
    <w:rsid w:val="00B41789"/>
    <w:rsid w:val="00B65BB9"/>
    <w:rsid w:val="00B81808"/>
    <w:rsid w:val="00B86DFA"/>
    <w:rsid w:val="00B936D0"/>
    <w:rsid w:val="00B94D9E"/>
    <w:rsid w:val="00BB15FB"/>
    <w:rsid w:val="00BD3D5B"/>
    <w:rsid w:val="00BE3600"/>
    <w:rsid w:val="00C01F6F"/>
    <w:rsid w:val="00C041EA"/>
    <w:rsid w:val="00C13BBD"/>
    <w:rsid w:val="00C149AB"/>
    <w:rsid w:val="00C16929"/>
    <w:rsid w:val="00C20690"/>
    <w:rsid w:val="00C36020"/>
    <w:rsid w:val="00C37C1C"/>
    <w:rsid w:val="00C40694"/>
    <w:rsid w:val="00C40A0D"/>
    <w:rsid w:val="00C479BF"/>
    <w:rsid w:val="00C5124B"/>
    <w:rsid w:val="00C70542"/>
    <w:rsid w:val="00C71649"/>
    <w:rsid w:val="00C75CBF"/>
    <w:rsid w:val="00CA7D7A"/>
    <w:rsid w:val="00CC2894"/>
    <w:rsid w:val="00CD77C3"/>
    <w:rsid w:val="00CD7A91"/>
    <w:rsid w:val="00CE112C"/>
    <w:rsid w:val="00CF55D4"/>
    <w:rsid w:val="00D0402C"/>
    <w:rsid w:val="00D608DA"/>
    <w:rsid w:val="00D730BF"/>
    <w:rsid w:val="00D852F4"/>
    <w:rsid w:val="00DB1110"/>
    <w:rsid w:val="00DB25E5"/>
    <w:rsid w:val="00DB3730"/>
    <w:rsid w:val="00DB41E5"/>
    <w:rsid w:val="00DC371B"/>
    <w:rsid w:val="00DC3788"/>
    <w:rsid w:val="00DC76C7"/>
    <w:rsid w:val="00DC7CF8"/>
    <w:rsid w:val="00DD09F5"/>
    <w:rsid w:val="00DD0E02"/>
    <w:rsid w:val="00DD4201"/>
    <w:rsid w:val="00DD5E9F"/>
    <w:rsid w:val="00DE4BB1"/>
    <w:rsid w:val="00DE5711"/>
    <w:rsid w:val="00E00EA0"/>
    <w:rsid w:val="00E021CB"/>
    <w:rsid w:val="00E04F6B"/>
    <w:rsid w:val="00E11C82"/>
    <w:rsid w:val="00E138F1"/>
    <w:rsid w:val="00E161A0"/>
    <w:rsid w:val="00E21B11"/>
    <w:rsid w:val="00E2309D"/>
    <w:rsid w:val="00E257E4"/>
    <w:rsid w:val="00E26758"/>
    <w:rsid w:val="00E4357B"/>
    <w:rsid w:val="00E443A7"/>
    <w:rsid w:val="00E45904"/>
    <w:rsid w:val="00E56FE6"/>
    <w:rsid w:val="00E63DE5"/>
    <w:rsid w:val="00E647AF"/>
    <w:rsid w:val="00E647C7"/>
    <w:rsid w:val="00E65A37"/>
    <w:rsid w:val="00E65EF7"/>
    <w:rsid w:val="00E77B48"/>
    <w:rsid w:val="00E857FB"/>
    <w:rsid w:val="00E91799"/>
    <w:rsid w:val="00E97DF8"/>
    <w:rsid w:val="00EA21FE"/>
    <w:rsid w:val="00EA34E3"/>
    <w:rsid w:val="00EB7538"/>
    <w:rsid w:val="00EC1868"/>
    <w:rsid w:val="00EE6468"/>
    <w:rsid w:val="00EF4EDD"/>
    <w:rsid w:val="00F1299B"/>
    <w:rsid w:val="00F207A4"/>
    <w:rsid w:val="00F25173"/>
    <w:rsid w:val="00F355AC"/>
    <w:rsid w:val="00F40CF7"/>
    <w:rsid w:val="00F44194"/>
    <w:rsid w:val="00F4514D"/>
    <w:rsid w:val="00F5554A"/>
    <w:rsid w:val="00F6001C"/>
    <w:rsid w:val="00F71A5A"/>
    <w:rsid w:val="00F73A1A"/>
    <w:rsid w:val="00F769E0"/>
    <w:rsid w:val="00F90B17"/>
    <w:rsid w:val="00FA4A46"/>
    <w:rsid w:val="00FA75FE"/>
    <w:rsid w:val="00FB1032"/>
    <w:rsid w:val="00FB39BC"/>
    <w:rsid w:val="00FB6A53"/>
    <w:rsid w:val="00FC11CA"/>
    <w:rsid w:val="00FC6B91"/>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B85064"/>
  <w15:docId w15:val="{7A7F4607-34BE-480B-B50F-C9677E6D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4656A5"/>
    <w:rPr>
      <w:sz w:val="16"/>
      <w:szCs w:val="16"/>
    </w:rPr>
  </w:style>
  <w:style w:type="paragraph" w:styleId="CommentText">
    <w:name w:val="annotation text"/>
    <w:basedOn w:val="Normal"/>
    <w:link w:val="CommentTextChar"/>
    <w:rsid w:val="004656A5"/>
    <w:rPr>
      <w:sz w:val="20"/>
      <w:szCs w:val="20"/>
    </w:rPr>
  </w:style>
  <w:style w:type="character" w:customStyle="1" w:styleId="CommentTextChar">
    <w:name w:val="Comment Text Char"/>
    <w:basedOn w:val="DefaultParagraphFont"/>
    <w:link w:val="CommentText"/>
    <w:rsid w:val="004656A5"/>
  </w:style>
  <w:style w:type="paragraph" w:styleId="CommentSubject">
    <w:name w:val="annotation subject"/>
    <w:basedOn w:val="CommentText"/>
    <w:next w:val="CommentText"/>
    <w:link w:val="CommentSubjectChar"/>
    <w:rsid w:val="004656A5"/>
    <w:rPr>
      <w:b/>
      <w:bCs/>
    </w:rPr>
  </w:style>
  <w:style w:type="character" w:customStyle="1" w:styleId="CommentSubjectChar">
    <w:name w:val="Comment Subject Char"/>
    <w:link w:val="CommentSubject"/>
    <w:rsid w:val="004656A5"/>
    <w:rPr>
      <w:b/>
      <w:bCs/>
    </w:rPr>
  </w:style>
  <w:style w:type="paragraph" w:styleId="Revision">
    <w:name w:val="Revision"/>
    <w:hidden/>
    <w:uiPriority w:val="99"/>
    <w:semiHidden/>
    <w:rsid w:val="006E7E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fda.gov/medical-devices/exporting-medical-devices/how-request-export-certificates-or-permits-and-how-submit-simple-notifications"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0A94B-EEA4-4476-ADCB-9BADF470EB91}">
  <ds:schemaRefs>
    <ds:schemaRef ds:uri="http://schemas.microsoft.com/sharepoint/v3/contenttype/forms"/>
  </ds:schemaRefs>
</ds:datastoreItem>
</file>

<file path=customXml/itemProps2.xml><?xml version="1.0" encoding="utf-8"?>
<ds:datastoreItem xmlns:ds="http://schemas.openxmlformats.org/officeDocument/2006/customXml" ds:itemID="{6590E69B-DC4B-4E1F-94BE-AAE9DFD7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2025-09-10T17:21:00Z</dcterms:created>
  <dcterms:modified xsi:type="dcterms:W3CDTF">2025-09-10T17:21:00Z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lcf76f155ced4ddcb4097134ff3c332f">
    <vt:lpwstr/>
  </property>
  <property fmtid="{D5CDD505-2E9C-101B-9397-08002B2CF9AE}" pid="4" name="TaxCatchAll">
    <vt:lpwstr/>
  </property>
</Properties>
</file>