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66A7" w14:paraId="766D5301" w14:textId="77777777">
      <w:pPr>
        <w:pStyle w:val="Heading1"/>
        <w:ind w:left="0"/>
        <w:jc w:val="center"/>
      </w:pPr>
      <w:r>
        <w:t>SUPPORTING STATEMENT</w:t>
      </w:r>
    </w:p>
    <w:p w:rsidR="002766A7" w14:paraId="5B163404" w14:textId="77777777">
      <w:pPr>
        <w:spacing w:before="22" w:line="259" w:lineRule="auto"/>
        <w:ind w:firstLine="14"/>
        <w:jc w:val="center"/>
        <w:rPr>
          <w:b/>
        </w:rPr>
      </w:pPr>
      <w:r>
        <w:rPr>
          <w:b/>
        </w:rPr>
        <w:t>U.S. Department of Commerce</w:t>
      </w:r>
    </w:p>
    <w:p w:rsidR="002766A7" w14:paraId="7DD65198" w14:textId="77777777">
      <w:pPr>
        <w:spacing w:before="22" w:line="259" w:lineRule="auto"/>
        <w:ind w:firstLine="14"/>
        <w:jc w:val="center"/>
        <w:rPr>
          <w:b/>
        </w:rPr>
      </w:pPr>
      <w:r>
        <w:rPr>
          <w:b/>
        </w:rPr>
        <w:t>National Oceanic &amp; Atmospheric Administration</w:t>
      </w:r>
    </w:p>
    <w:p w:rsidR="00BF1F42" w14:paraId="3926EAA2" w14:textId="77777777">
      <w:pPr>
        <w:spacing w:line="259" w:lineRule="auto"/>
        <w:ind w:hanging="6"/>
        <w:jc w:val="center"/>
        <w:rPr>
          <w:b/>
        </w:rPr>
      </w:pPr>
      <w:r w:rsidRPr="00BC22BB">
        <w:rPr>
          <w:b/>
          <w:bCs/>
        </w:rPr>
        <w:t>Coastal and Estuarine Land Conservation Planning, Protection or Restoration</w:t>
      </w:r>
      <w:r w:rsidRPr="00BF1F42">
        <w:rPr>
          <w:b/>
          <w:highlight w:val="yellow"/>
        </w:rPr>
        <w:t xml:space="preserve"> </w:t>
      </w:r>
    </w:p>
    <w:p w:rsidR="002766A7" w14:paraId="3C9F0638" w14:textId="4C5A2414">
      <w:pPr>
        <w:spacing w:line="259" w:lineRule="auto"/>
        <w:ind w:hanging="6"/>
        <w:jc w:val="center"/>
        <w:rPr>
          <w:b/>
        </w:rPr>
      </w:pPr>
      <w:r>
        <w:rPr>
          <w:b/>
        </w:rPr>
        <w:t>OMB Control No. 0648-</w:t>
      </w:r>
      <w:r w:rsidR="00492630">
        <w:rPr>
          <w:b/>
        </w:rPr>
        <w:t>0459</w:t>
      </w:r>
    </w:p>
    <w:p w:rsidR="002766A7" w14:paraId="3BBE7866" w14:textId="77777777">
      <w:pPr>
        <w:pBdr>
          <w:top w:val="nil"/>
          <w:left w:val="nil"/>
          <w:bottom w:val="nil"/>
          <w:right w:val="nil"/>
          <w:between w:val="nil"/>
        </w:pBdr>
        <w:spacing w:before="1"/>
        <w:jc w:val="center"/>
        <w:rPr>
          <w:b/>
          <w:color w:val="000000"/>
        </w:rPr>
      </w:pPr>
    </w:p>
    <w:p w:rsidR="002766A7" w:rsidP="00A1160B" w14:paraId="2D1C9CF5" w14:textId="0CDE4BC2">
      <w:pPr>
        <w:spacing w:before="1" w:line="398" w:lineRule="auto"/>
        <w:rPr>
          <w:b/>
        </w:rPr>
      </w:pPr>
      <w:r>
        <w:rPr>
          <w:b/>
          <w:color w:val="000000"/>
        </w:rPr>
        <w:t>SUPPORTING STATEMENT PART A</w:t>
      </w:r>
      <w:r>
        <w:rPr>
          <w:b/>
          <w:color w:val="1F497D"/>
        </w:rPr>
        <w:t xml:space="preserve"> - </w:t>
      </w:r>
    </w:p>
    <w:p w:rsidR="002766A7" w14:paraId="3DBE2192" w14:textId="77777777">
      <w:pPr>
        <w:pStyle w:val="Heading1"/>
        <w:spacing w:before="199"/>
        <w:ind w:left="0"/>
      </w:pPr>
      <w:r>
        <w:t>Abstract</w:t>
      </w:r>
    </w:p>
    <w:p w:rsidR="00492630" w14:paraId="3FF32203" w14:textId="28A4E38D">
      <w:pPr>
        <w:spacing w:before="144" w:line="259" w:lineRule="auto"/>
      </w:pPr>
      <w:bookmarkStart w:id="0" w:name="_Hlk94714743"/>
      <w:r>
        <w:t xml:space="preserve">This request is for extension of an existing information collection. </w:t>
      </w:r>
      <w:r>
        <w:rPr>
          <w:color w:val="000000"/>
        </w:rPr>
        <w:t xml:space="preserve">The existing form has a current expiration </w:t>
      </w:r>
      <w:r w:rsidRPr="000E6844">
        <w:rPr>
          <w:color w:val="000000"/>
        </w:rPr>
        <w:t xml:space="preserve">date of </w:t>
      </w:r>
      <w:r w:rsidRPr="0064216C">
        <w:rPr>
          <w:color w:val="000000"/>
        </w:rPr>
        <w:t>Ma</w:t>
      </w:r>
      <w:r w:rsidRPr="008A42EF" w:rsidR="000E6844">
        <w:rPr>
          <w:color w:val="000000"/>
        </w:rPr>
        <w:t>y</w:t>
      </w:r>
      <w:r w:rsidRPr="000E6844">
        <w:rPr>
          <w:color w:val="000000"/>
        </w:rPr>
        <w:t xml:space="preserve"> 31</w:t>
      </w:r>
      <w:r w:rsidRPr="0064216C">
        <w:rPr>
          <w:color w:val="000000"/>
        </w:rPr>
        <w:t>, 20</w:t>
      </w:r>
      <w:r>
        <w:rPr>
          <w:color w:val="000000"/>
        </w:rPr>
        <w:t>25.</w:t>
      </w:r>
      <w:r>
        <w:t xml:space="preserve"> </w:t>
      </w:r>
      <w:r w:rsidR="000E6844">
        <w:t xml:space="preserve">Only minor updates are included, such as to website URLs in the information collection. It does not include substantive changes to the information requested. </w:t>
      </w:r>
      <w:bookmarkEnd w:id="0"/>
    </w:p>
    <w:p w:rsidR="002766A7" w14:paraId="6D6CA8BA" w14:textId="77777777">
      <w:pPr>
        <w:pStyle w:val="Heading1"/>
        <w:spacing w:before="124"/>
        <w:ind w:left="0"/>
      </w:pPr>
      <w:r>
        <w:t>Justification</w:t>
      </w:r>
    </w:p>
    <w:p w:rsidR="002766A7" w14:paraId="7C91C707"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3049E" w:rsidP="00C3049E" w14:paraId="3180A488" w14:textId="77777777">
      <w:pPr>
        <w:pStyle w:val="BodyText"/>
        <w:spacing w:before="0"/>
        <w:ind w:left="0"/>
      </w:pPr>
    </w:p>
    <w:p w:rsidR="00AB2F6A" w:rsidP="00C3049E" w14:paraId="66171673" w14:textId="1BE2F35E">
      <w:pPr>
        <w:pStyle w:val="BodyText"/>
        <w:spacing w:before="0"/>
        <w:ind w:left="0"/>
        <w:rPr>
          <w:color w:val="333333"/>
          <w:shd w:val="clear" w:color="auto" w:fill="FFFFFF"/>
        </w:rPr>
      </w:pPr>
      <w:r>
        <w:t xml:space="preserve">NOAA </w:t>
      </w:r>
      <w:r w:rsidRPr="00236BBF">
        <w:t xml:space="preserve">has, or is given, authority under the </w:t>
      </w:r>
      <w:r w:rsidRPr="00492630">
        <w:rPr>
          <w:rFonts w:ascii="ZWAdobeF" w:hAnsi="ZWAdobeF" w:cs="ZWAdobeF"/>
          <w:sz w:val="2"/>
          <w:szCs w:val="2"/>
        </w:rPr>
        <w:t>H</w:t>
      </w:r>
      <w:hyperlink r:id="rId7" w:history="1">
        <w:r w:rsidRPr="00492630">
          <w:rPr>
            <w:rFonts w:ascii="ZWAdobeF" w:hAnsi="ZWAdobeF" w:cs="ZWAdobeF"/>
            <w:sz w:val="2"/>
            <w:szCs w:val="2"/>
          </w:rPr>
          <w:t>U</w:t>
        </w:r>
        <w:r w:rsidRPr="00403AD2">
          <w:rPr>
            <w:rStyle w:val="Hyperlink"/>
          </w:rPr>
          <w:t>Coastal Zone Management Act</w:t>
        </w:r>
      </w:hyperlink>
      <w:r>
        <w:rPr>
          <w:rStyle w:val="FootnoteReference"/>
          <w:color w:val="0000FF" w:themeColor="hyperlink"/>
          <w:u w:val="single"/>
        </w:rPr>
        <w:footnoteReference w:id="2"/>
      </w:r>
      <w:r>
        <w:t xml:space="preserve"> (CZMA) a</w:t>
      </w:r>
      <w:r w:rsidRPr="00236BBF">
        <w:t>nnual appropriations or other authorities to issue funds to coastal states</w:t>
      </w:r>
      <w:r w:rsidR="000E6844">
        <w:t>,</w:t>
      </w:r>
      <w:r w:rsidRPr="00236BBF">
        <w:t xml:space="preserve"> localities </w:t>
      </w:r>
      <w:r w:rsidR="000E6844">
        <w:t xml:space="preserve">or other eligible entities </w:t>
      </w:r>
      <w:r w:rsidRPr="00236BBF">
        <w:t>for planning, conservation, acquisition, protection, restoration, or construction projects</w:t>
      </w:r>
      <w:r>
        <w:t xml:space="preserve">, including projects funded through the: </w:t>
      </w:r>
      <w:r w:rsidRPr="00236BBF">
        <w:t>Coastal and Estuarine Land Conservation Program (C</w:t>
      </w:r>
      <w:r>
        <w:t>ZMA Section 307A</w:t>
      </w:r>
      <w:r w:rsidRPr="00236BBF">
        <w:t>)</w:t>
      </w:r>
      <w:r w:rsidR="00CB33C8">
        <w:t>;</w:t>
      </w:r>
      <w:r>
        <w:t xml:space="preserve"> </w:t>
      </w:r>
      <w:r w:rsidRPr="009004FD">
        <w:t>National Estuarine Research Reserve System (CZMA Section 315) Land Acquisition and Construction program</w:t>
      </w:r>
      <w:r w:rsidR="00CB33C8">
        <w:t>,</w:t>
      </w:r>
      <w:r>
        <w:t xml:space="preserve"> </w:t>
      </w:r>
      <w:r w:rsidRPr="009004FD">
        <w:t>Coastal Zone Management Program’s low-cost acquisition and construction program (CZMA Section 306A)</w:t>
      </w:r>
      <w:r>
        <w:t>;</w:t>
      </w:r>
      <w:r w:rsidRPr="009004FD">
        <w:t xml:space="preserve"> </w:t>
      </w:r>
      <w:r>
        <w:t xml:space="preserve">or similar projects funded under the CZMA </w:t>
      </w:r>
      <w:r w:rsidRPr="009004FD">
        <w:t>or the Fish and Wildlife Coordination Act</w:t>
      </w:r>
      <w:r>
        <w:rPr>
          <w:rStyle w:val="FootnoteReference"/>
        </w:rPr>
        <w:footnoteReference w:id="3"/>
      </w:r>
      <w:r w:rsidRPr="009004FD">
        <w:t>.</w:t>
      </w:r>
      <w:r>
        <w:t xml:space="preserve"> </w:t>
      </w:r>
      <w:r w:rsidR="00EA51E0">
        <w:rPr>
          <w:color w:val="000000"/>
        </w:rPr>
        <w:t xml:space="preserve">Funding has also been appropriated to support land acquisition under the Infrastructure Investment and Jobs Act (IIJA) and/or Inflation Reduction Act (IRA), which cite the authority of the CELCP. This funding supports land acquisition and restoration projects through state coastal management programs and National Estuarine Research Reserves. These projects will continue over the next several years. </w:t>
      </w:r>
      <w:r w:rsidR="00E375B0">
        <w:rPr>
          <w:color w:val="000000"/>
        </w:rPr>
        <w:t xml:space="preserve"> </w:t>
      </w:r>
      <w:r w:rsidRPr="00837B31">
        <w:t xml:space="preserve">In addition, the CZMA Section 307A requires that </w:t>
      </w:r>
      <w:r w:rsidRPr="00837B31">
        <w:rPr>
          <w:color w:val="333333"/>
          <w:shd w:val="clear" w:color="auto" w:fill="FFFFFF"/>
        </w:rPr>
        <w:t xml:space="preserve">each participating coastal state identify priority conservation needs within the state, the values to be protected by inclusion of lands in the program, and the threats to those values that should be avoided. This is done through the development </w:t>
      </w:r>
      <w:r>
        <w:rPr>
          <w:color w:val="333333"/>
          <w:shd w:val="clear" w:color="auto" w:fill="FFFFFF"/>
        </w:rPr>
        <w:t xml:space="preserve">and submittal to NOAA </w:t>
      </w:r>
      <w:r w:rsidRPr="00837B31">
        <w:rPr>
          <w:color w:val="333333"/>
          <w:shd w:val="clear" w:color="auto" w:fill="FFFFFF"/>
        </w:rPr>
        <w:t>of state CELCP plans</w:t>
      </w:r>
      <w:r>
        <w:rPr>
          <w:color w:val="333333"/>
          <w:shd w:val="clear" w:color="auto" w:fill="FFFFFF"/>
        </w:rPr>
        <w:t xml:space="preserve"> in order to participate in the program</w:t>
      </w:r>
      <w:r w:rsidRPr="00837B31">
        <w:rPr>
          <w:color w:val="333333"/>
          <w:shd w:val="clear" w:color="auto" w:fill="FFFFFF"/>
        </w:rPr>
        <w:t>.</w:t>
      </w:r>
      <w:r w:rsidR="00EA51E0">
        <w:rPr>
          <w:color w:val="333333"/>
          <w:shd w:val="clear" w:color="auto" w:fill="FFFFFF"/>
        </w:rPr>
        <w:t xml:space="preserve">  </w:t>
      </w:r>
    </w:p>
    <w:p w:rsidR="00C3049E" w:rsidP="005E6DBE" w14:paraId="452826D7" w14:textId="77777777">
      <w:pPr>
        <w:pStyle w:val="BodyText"/>
        <w:spacing w:before="0"/>
        <w:ind w:left="0"/>
      </w:pPr>
    </w:p>
    <w:p w:rsidR="00492630" w:rsidP="005E6DBE" w14:paraId="690DB2EE" w14:textId="4FAD66B0">
      <w:pPr>
        <w:pStyle w:val="BodyText"/>
        <w:spacing w:before="0"/>
        <w:ind w:left="0"/>
      </w:pPr>
      <w:r w:rsidRPr="00236BBF">
        <w:t xml:space="preserve">It is necessary to collect information beyond that </w:t>
      </w:r>
      <w:r>
        <w:t>requested in standard federal forms for federal financial assistance or</w:t>
      </w:r>
      <w:r w:rsidRPr="00236BBF">
        <w:t xml:space="preserve"> outlined in</w:t>
      </w:r>
      <w:r>
        <w:t xml:space="preserve"> 2 C.F.R part 200 (OMB Uniform Administrative Requirements, Cost Principles, and Audit Requirements for Federal Awards)</w:t>
      </w:r>
      <w:r w:rsidRPr="00236BBF">
        <w:t xml:space="preserve"> </w:t>
      </w:r>
      <w:r>
        <w:t>i</w:t>
      </w:r>
      <w:r w:rsidRPr="00236BBF">
        <w:t xml:space="preserve">n order to plan for and implement </w:t>
      </w:r>
      <w:r>
        <w:t>these projects</w:t>
      </w:r>
      <w:r w:rsidR="00F414B0">
        <w:t>.</w:t>
      </w:r>
      <w:r>
        <w:t xml:space="preserve"> This information includes:</w:t>
      </w:r>
      <w:r w:rsidR="00344115">
        <w:t xml:space="preserve"> </w:t>
      </w:r>
      <w:r w:rsidR="00E913F8">
        <w:t>due diligence materials needed to determine the fair market value, environmental condition and legal rights, ownership and boundaries associated with property acquisitions, site plans for potential improvements or restoration, and information needed to determine compliance with other federal laws and authorities.</w:t>
      </w:r>
      <w:r w:rsidR="00837B31">
        <w:t xml:space="preserve"> </w:t>
      </w:r>
      <w:r w:rsidR="00E913F8">
        <w:t xml:space="preserve">This collection addresses the information needed to make such determinations, as well as conservation planning requirements under the CZMA. </w:t>
      </w:r>
    </w:p>
    <w:p w:rsidR="00492630" w:rsidP="005E6DBE" w14:paraId="148F3479" w14:textId="15D6105A">
      <w:pPr>
        <w:pStyle w:val="BodyText"/>
        <w:spacing w:before="0"/>
        <w:ind w:left="0"/>
      </w:pPr>
      <w:r>
        <w:t>The</w:t>
      </w:r>
      <w:r w:rsidRPr="00236BBF">
        <w:t xml:space="preserve"> Coastal and Estuarine Land Conservation Program (</w:t>
      </w:r>
      <w:r w:rsidR="000E6844">
        <w:t>CELCP</w:t>
      </w:r>
      <w:r w:rsidRPr="00236BBF">
        <w:t>)</w:t>
      </w:r>
      <w:r w:rsidR="0065219F">
        <w:t xml:space="preserve"> was established</w:t>
      </w:r>
      <w:r w:rsidRPr="00236BBF">
        <w:t xml:space="preserve"> </w:t>
      </w:r>
      <w:r>
        <w:t xml:space="preserve">to </w:t>
      </w:r>
      <w:r w:rsidR="005E6DBE">
        <w:t>“</w:t>
      </w:r>
      <w:r w:rsidRPr="00236BBF">
        <w:t>protect important coastal and estuarine areas that have significant conservation, recreation, ecological, historical, or aesthetic values, or that are threatened by conversion from their natural or recreational state to other uses</w:t>
      </w:r>
      <w:r>
        <w:t>.</w:t>
      </w:r>
      <w:r w:rsidRPr="00236BBF">
        <w:t>”</w:t>
      </w:r>
      <w:r>
        <w:t xml:space="preserve"> </w:t>
      </w:r>
      <w:r w:rsidR="0065219F">
        <w:t xml:space="preserve">The program was </w:t>
      </w:r>
      <w:r w:rsidR="00837B31">
        <w:t>originally authorized in 2002, and re-</w:t>
      </w:r>
      <w:r w:rsidR="0065219F">
        <w:t xml:space="preserve">authorized </w:t>
      </w:r>
      <w:r w:rsidRPr="004921E0" w:rsidR="0065219F">
        <w:t xml:space="preserve">through </w:t>
      </w:r>
      <w:r w:rsidR="0065219F">
        <w:t xml:space="preserve">Title XII, </w:t>
      </w:r>
      <w:r w:rsidRPr="004921E0" w:rsidR="0065219F">
        <w:t>Subtitle E</w:t>
      </w:r>
      <w:r w:rsidR="0065219F">
        <w:t xml:space="preserve"> </w:t>
      </w:r>
      <w:r w:rsidRPr="004921E0" w:rsidR="0065219F">
        <w:t xml:space="preserve">of </w:t>
      </w:r>
      <w:hyperlink r:id="rId8" w:history="1">
        <w:r w:rsidRPr="00C3049E" w:rsidR="0065219F">
          <w:rPr>
            <w:rStyle w:val="Hyperlink"/>
          </w:rPr>
          <w:t xml:space="preserve">P.L. </w:t>
        </w:r>
        <w:r w:rsidRPr="005E6DBE" w:rsidR="0065219F">
          <w:rPr>
            <w:rStyle w:val="Hyperlink"/>
          </w:rPr>
          <w:t>11</w:t>
        </w:r>
        <w:r w:rsidRPr="005E6DBE" w:rsidR="0065219F">
          <w:rPr>
            <w:rStyle w:val="Hyperlink"/>
          </w:rPr>
          <w:t>1</w:t>
        </w:r>
        <w:r w:rsidRPr="005E6DBE" w:rsidR="0065219F">
          <w:rPr>
            <w:rStyle w:val="Hyperlink"/>
          </w:rPr>
          <w:t>-11</w:t>
        </w:r>
      </w:hyperlink>
      <w:r>
        <w:rPr>
          <w:rStyle w:val="FootnoteReference"/>
          <w:color w:val="0000FF" w:themeColor="hyperlink"/>
          <w:u w:val="single"/>
        </w:rPr>
        <w:footnoteReference w:id="4"/>
      </w:r>
      <w:r w:rsidRPr="005E6DBE" w:rsidR="0065219F">
        <w:rPr>
          <w:color w:val="333333"/>
        </w:rPr>
        <w:t xml:space="preserve"> </w:t>
      </w:r>
      <w:r w:rsidR="0065219F">
        <w:t xml:space="preserve">(Section 12502 of </w:t>
      </w:r>
      <w:r w:rsidR="0065219F">
        <w:rPr>
          <w:rFonts w:ascii="ZWAdobeF" w:hAnsi="ZWAdobeF" w:cs="ZWAdobeF"/>
          <w:sz w:val="2"/>
          <w:szCs w:val="2"/>
        </w:rPr>
        <w:t>HU</w:t>
      </w:r>
      <w:r w:rsidRPr="00E84C47" w:rsidR="0065219F">
        <w:t>H.R. 146</w:t>
      </w:r>
      <w:r w:rsidRPr="00E84C47" w:rsidR="0065219F">
        <w:rPr>
          <w:rFonts w:ascii="ZWAdobeF" w:hAnsi="ZWAdobeF" w:cs="ZWAdobeF"/>
          <w:sz w:val="2"/>
          <w:szCs w:val="2"/>
        </w:rPr>
        <w:t>U</w:t>
      </w:r>
      <w:r w:rsidR="0065219F">
        <w:rPr>
          <w:rFonts w:ascii="ZWAdobeF" w:hAnsi="ZWAdobeF" w:cs="ZWAdobeF"/>
          <w:sz w:val="2"/>
          <w:szCs w:val="2"/>
        </w:rPr>
        <w:t>H</w:t>
      </w:r>
      <w:r w:rsidR="0065219F">
        <w:t>)</w:t>
      </w:r>
      <w:r w:rsidR="00837B31">
        <w:t>, codified at 16 U.S.</w:t>
      </w:r>
      <w:r w:rsidRPr="00837B31" w:rsidR="00837B31">
        <w:t xml:space="preserve">C </w:t>
      </w:r>
      <w:hyperlink r:id="rId9" w:anchor="307a" w:history="1">
        <w:r w:rsidRPr="008E0BB0" w:rsidR="00837B31">
          <w:rPr>
            <w:rStyle w:val="Hyperlink"/>
          </w:rPr>
          <w:t>§</w:t>
        </w:r>
        <w:r w:rsidRPr="002C75CA" w:rsidR="00837B31">
          <w:rPr>
            <w:rStyle w:val="Hyperlink"/>
            <w:shd w:val="clear" w:color="auto" w:fill="FFFFFF"/>
          </w:rPr>
          <w:t>14</w:t>
        </w:r>
        <w:r w:rsidRPr="002C75CA" w:rsidR="00837B31">
          <w:rPr>
            <w:rStyle w:val="Hyperlink"/>
            <w:shd w:val="clear" w:color="auto" w:fill="FFFFFF"/>
          </w:rPr>
          <w:t>5</w:t>
        </w:r>
        <w:r w:rsidRPr="002C75CA" w:rsidR="00837B31">
          <w:rPr>
            <w:rStyle w:val="Hyperlink"/>
            <w:shd w:val="clear" w:color="auto" w:fill="FFFFFF"/>
          </w:rPr>
          <w:t>6-1</w:t>
        </w:r>
      </w:hyperlink>
      <w:r w:rsidRPr="002C75CA" w:rsidR="00837B31">
        <w:rPr>
          <w:rStyle w:val="Strong"/>
          <w:b w:val="0"/>
          <w:color w:val="000000"/>
          <w:shd w:val="clear" w:color="auto" w:fill="FFFFFF"/>
        </w:rPr>
        <w:t>.</w:t>
      </w:r>
      <w:r w:rsidR="00837B31">
        <w:rPr>
          <w:rStyle w:val="Strong"/>
          <w:color w:val="000000"/>
          <w:sz w:val="21"/>
          <w:szCs w:val="21"/>
          <w:shd w:val="clear" w:color="auto" w:fill="FFFFFF"/>
        </w:rPr>
        <w:t xml:space="preserve"> </w:t>
      </w:r>
      <w:r w:rsidRPr="004921E0" w:rsidR="0065219F">
        <w:t xml:space="preserve"> </w:t>
      </w:r>
      <w:r w:rsidR="00837B31">
        <w:t xml:space="preserve">In 2002, </w:t>
      </w:r>
      <w:r w:rsidRPr="00236BBF">
        <w:t xml:space="preserve">Congress directed the Secretary to issue guidelines for this program delineating the criteria for grant awards and to distribute </w:t>
      </w:r>
      <w:r w:rsidRPr="00236BBF">
        <w:t xml:space="preserve">funds in consultation with the </w:t>
      </w:r>
      <w:r w:rsidR="00C3049E">
        <w:t>s</w:t>
      </w:r>
      <w:r w:rsidRPr="00236BBF">
        <w:t>tates' Coastal Zone Managers' or Governors' designated representatives based on demonstrated need and ability to successfully leverage funds. The guidelines</w:t>
      </w:r>
      <w:r w:rsidR="0065219F">
        <w:t xml:space="preserve">, </w:t>
      </w:r>
      <w:r w:rsidRPr="00FA23B0" w:rsidR="0065219F">
        <w:t xml:space="preserve">issued </w:t>
      </w:r>
      <w:r w:rsidRPr="00FA23B0" w:rsidR="00FA23B0">
        <w:t>June 17, 2003</w:t>
      </w:r>
      <w:r w:rsidRPr="00FA23B0" w:rsidR="0065219F">
        <w:t xml:space="preserve"> </w:t>
      </w:r>
      <w:r w:rsidRPr="00FA23B0" w:rsidR="00363DE7">
        <w:t xml:space="preserve">in the </w:t>
      </w:r>
      <w:r w:rsidRPr="00FA23B0" w:rsidR="00363DE7">
        <w:rPr>
          <w:i/>
        </w:rPr>
        <w:t>Federal Register</w:t>
      </w:r>
      <w:r w:rsidRPr="00FA23B0" w:rsidR="00363DE7">
        <w:t xml:space="preserve"> </w:t>
      </w:r>
      <w:r w:rsidRPr="00FA23B0" w:rsidR="0065219F">
        <w:t>(</w:t>
      </w:r>
      <w:hyperlink r:id="rId10" w:history="1">
        <w:r w:rsidRPr="00FA23B0" w:rsidR="00FA23B0">
          <w:rPr>
            <w:rStyle w:val="Hyperlink"/>
          </w:rPr>
          <w:t xml:space="preserve">68 </w:t>
        </w:r>
        <w:r w:rsidRPr="00FA23B0" w:rsidR="00363DE7">
          <w:rPr>
            <w:rStyle w:val="Hyperlink"/>
          </w:rPr>
          <w:t>F</w:t>
        </w:r>
        <w:r w:rsidRPr="00FA23B0" w:rsidR="0065219F">
          <w:rPr>
            <w:rStyle w:val="Hyperlink"/>
          </w:rPr>
          <w:t>R</w:t>
        </w:r>
        <w:r w:rsidRPr="00FA23B0" w:rsidR="0065219F">
          <w:rPr>
            <w:rStyle w:val="Hyperlink"/>
          </w:rPr>
          <w:t xml:space="preserve"> </w:t>
        </w:r>
        <w:r w:rsidRPr="00FA23B0" w:rsidR="00FA23B0">
          <w:rPr>
            <w:rStyle w:val="Hyperlink"/>
          </w:rPr>
          <w:t>35860</w:t>
        </w:r>
      </w:hyperlink>
      <w:r w:rsidRPr="00FA23B0" w:rsidR="0065219F">
        <w:t>)</w:t>
      </w:r>
      <w:r>
        <w:rPr>
          <w:rStyle w:val="FootnoteReference"/>
        </w:rPr>
        <w:footnoteReference w:id="5"/>
      </w:r>
      <w:r w:rsidRPr="00FA23B0">
        <w:t xml:space="preserve"> establish</w:t>
      </w:r>
      <w:r w:rsidRPr="00236BBF">
        <w:t xml:space="preserve"> procedures for eligible applicants who participate in this voluntary program to use </w:t>
      </w:r>
      <w:r>
        <w:t xml:space="preserve">during the three phases of the program: 1) </w:t>
      </w:r>
      <w:r w:rsidRPr="00236BBF">
        <w:t>developing state conservation plans under this program</w:t>
      </w:r>
      <w:r>
        <w:t xml:space="preserve"> (and updating them every </w:t>
      </w:r>
      <w:r w:rsidR="00F414B0">
        <w:t>five</w:t>
      </w:r>
      <w:r>
        <w:t xml:space="preserve"> years)</w:t>
      </w:r>
      <w:r w:rsidRPr="00236BBF">
        <w:t xml:space="preserve">; </w:t>
      </w:r>
      <w:r>
        <w:t xml:space="preserve">2) </w:t>
      </w:r>
      <w:r w:rsidRPr="00236BBF">
        <w:t>soliciting project</w:t>
      </w:r>
      <w:r>
        <w:t xml:space="preserve"> proposals for eligible states and territories to nominate to a national funding competition </w:t>
      </w:r>
      <w:r w:rsidRPr="00236BBF">
        <w:t xml:space="preserve">under this program; </w:t>
      </w:r>
      <w:r>
        <w:t xml:space="preserve">and 3) </w:t>
      </w:r>
      <w:r w:rsidRPr="004921E0">
        <w:t xml:space="preserve">submitting final grant applications for projects selected for funding and carrying out </w:t>
      </w:r>
      <w:r>
        <w:t xml:space="preserve">the </w:t>
      </w:r>
      <w:r w:rsidRPr="004921E0">
        <w:t>projects.</w:t>
      </w:r>
      <w:r>
        <w:t xml:space="preserve">  </w:t>
      </w:r>
      <w:r w:rsidR="0065219F">
        <w:t>Also, t</w:t>
      </w:r>
      <w:r w:rsidRPr="00236BBF">
        <w:t>h</w:t>
      </w:r>
      <w:r>
        <w:t>e</w:t>
      </w:r>
      <w:r w:rsidRPr="00236BBF">
        <w:t xml:space="preserve"> information </w:t>
      </w:r>
      <w:r>
        <w:t xml:space="preserve">covered by this collection </w:t>
      </w:r>
      <w:r w:rsidRPr="00236BBF">
        <w:t xml:space="preserve">is needed </w:t>
      </w:r>
      <w:r w:rsidRPr="00236BBF" w:rsidR="0065219F">
        <w:t xml:space="preserve">to comply with requirements contained in </w:t>
      </w:r>
      <w:r w:rsidR="00837B31">
        <w:t>16 U.S.</w:t>
      </w:r>
      <w:r w:rsidRPr="00837B31" w:rsidR="00837B31">
        <w:t xml:space="preserve">C </w:t>
      </w:r>
      <w:r w:rsidRPr="00927C1F" w:rsidR="00837B31">
        <w:rPr>
          <w:rStyle w:val="Strong"/>
          <w:b w:val="0"/>
          <w:color w:val="000000"/>
          <w:shd w:val="clear" w:color="auto" w:fill="FFFFFF"/>
        </w:rPr>
        <w:t>§1456-1</w:t>
      </w:r>
      <w:r w:rsidR="00837B31">
        <w:rPr>
          <w:rStyle w:val="Strong"/>
          <w:b w:val="0"/>
          <w:color w:val="000000"/>
          <w:shd w:val="clear" w:color="auto" w:fill="FFFFFF"/>
        </w:rPr>
        <w:t xml:space="preserve"> and </w:t>
      </w:r>
      <w:r w:rsidRPr="00236BBF" w:rsidR="0065219F">
        <w:t xml:space="preserve">OMB standards or other applicable laws, regulations or policies governing federal financial assistance related to construction, acquisition, restoration, enhancement, protection, and if necessary, disposition of property, </w:t>
      </w:r>
      <w:r w:rsidR="00C55A17">
        <w:t xml:space="preserve">particularly </w:t>
      </w:r>
      <w:r w:rsidRPr="00236BBF" w:rsidR="0065219F">
        <w:t>those relating to financial assistance awards to state or local government agencies or entities, non-governmental or private organizations, or others.</w:t>
      </w:r>
      <w:r w:rsidR="00C55A17">
        <w:t xml:space="preserve"> It is also needed </w:t>
      </w:r>
      <w:r w:rsidRPr="00236BBF">
        <w:t xml:space="preserve">to comply with applicable federal statutes, regulations and policies, including the </w:t>
      </w:r>
      <w:r>
        <w:rPr>
          <w:rFonts w:ascii="ZWAdobeF" w:hAnsi="ZWAdobeF" w:cs="ZWAdobeF"/>
          <w:sz w:val="2"/>
          <w:szCs w:val="2"/>
        </w:rPr>
        <w:t>H</w:t>
      </w:r>
      <w:hyperlink r:id="rId11" w:history="1">
        <w:r>
          <w:rPr>
            <w:rFonts w:ascii="ZWAdobeF" w:hAnsi="ZWAdobeF" w:cs="ZWAdobeF"/>
            <w:sz w:val="2"/>
            <w:szCs w:val="2"/>
          </w:rPr>
          <w:t>U</w:t>
        </w:r>
        <w:r w:rsidRPr="00403AD2">
          <w:rPr>
            <w:rStyle w:val="Hyperlink"/>
          </w:rPr>
          <w:t>National Environmental Policy Act</w:t>
        </w:r>
        <w:r>
          <w:rPr>
            <w:rStyle w:val="Hyperlink"/>
            <w:rFonts w:ascii="ZWAdobeF" w:hAnsi="ZWAdobeF" w:cs="ZWAdobeF"/>
            <w:sz w:val="2"/>
            <w:szCs w:val="2"/>
          </w:rPr>
          <w:t>U</w:t>
        </w:r>
      </w:hyperlink>
      <w:r>
        <w:rPr>
          <w:rFonts w:ascii="ZWAdobeF" w:hAnsi="ZWAdobeF" w:cs="ZWAdobeF"/>
          <w:sz w:val="2"/>
          <w:szCs w:val="2"/>
        </w:rPr>
        <w:t>H</w:t>
      </w:r>
      <w:r w:rsidRPr="00236BBF">
        <w:t>,</w:t>
      </w:r>
      <w:r>
        <w:t xml:space="preserve"> </w:t>
      </w:r>
      <w:r w:rsidRPr="00236BBF">
        <w:t xml:space="preserve"> </w:t>
      </w:r>
      <w:r>
        <w:rPr>
          <w:rFonts w:ascii="ZWAdobeF" w:hAnsi="ZWAdobeF" w:cs="ZWAdobeF"/>
          <w:sz w:val="2"/>
          <w:szCs w:val="2"/>
        </w:rPr>
        <w:t>H</w:t>
      </w:r>
      <w:hyperlink r:id="rId12" w:history="1">
        <w:r>
          <w:rPr>
            <w:rFonts w:ascii="ZWAdobeF" w:hAnsi="ZWAdobeF" w:cs="ZWAdobeF"/>
            <w:sz w:val="2"/>
            <w:szCs w:val="2"/>
          </w:rPr>
          <w:t>U</w:t>
        </w:r>
        <w:r w:rsidRPr="00403AD2">
          <w:rPr>
            <w:rStyle w:val="Hyperlink"/>
          </w:rPr>
          <w:t>Endangered Species Act</w:t>
        </w:r>
        <w:r>
          <w:rPr>
            <w:rStyle w:val="Hyperlink"/>
            <w:rFonts w:ascii="ZWAdobeF" w:hAnsi="ZWAdobeF" w:cs="ZWAdobeF"/>
            <w:sz w:val="2"/>
            <w:szCs w:val="2"/>
          </w:rPr>
          <w:t>U</w:t>
        </w:r>
      </w:hyperlink>
      <w:r>
        <w:rPr>
          <w:rFonts w:ascii="ZWAdobeF" w:hAnsi="ZWAdobeF" w:cs="ZWAdobeF"/>
          <w:sz w:val="2"/>
          <w:szCs w:val="2"/>
        </w:rPr>
        <w:t>H</w:t>
      </w:r>
      <w:r w:rsidRPr="00236BBF">
        <w:t>,</w:t>
      </w:r>
      <w:r>
        <w:rPr>
          <w:rFonts w:ascii="ZWAdobeF" w:hAnsi="ZWAdobeF" w:cs="ZWAdobeF"/>
          <w:sz w:val="2"/>
          <w:szCs w:val="2"/>
        </w:rPr>
        <w:t>H</w:t>
      </w:r>
      <w:hyperlink r:id="rId13" w:history="1">
        <w:r>
          <w:rPr>
            <w:rFonts w:ascii="ZWAdobeF" w:hAnsi="ZWAdobeF" w:cs="ZWAdobeF"/>
            <w:sz w:val="2"/>
            <w:szCs w:val="2"/>
          </w:rPr>
          <w:t>U</w:t>
        </w:r>
        <w:r w:rsidRPr="00403AD2">
          <w:rPr>
            <w:rStyle w:val="Hyperlink"/>
          </w:rPr>
          <w:t xml:space="preserve"> Magnuson-Stevens Fisheries Conservation</w:t>
        </w:r>
        <w:r>
          <w:rPr>
            <w:rStyle w:val="Hyperlink"/>
          </w:rPr>
          <w:t xml:space="preserve"> and Management</w:t>
        </w:r>
        <w:r w:rsidRPr="00403AD2">
          <w:rPr>
            <w:rStyle w:val="Hyperlink"/>
          </w:rPr>
          <w:t xml:space="preserve"> Act</w:t>
        </w:r>
        <w:r>
          <w:rPr>
            <w:rStyle w:val="Hyperlink"/>
            <w:rFonts w:ascii="ZWAdobeF" w:hAnsi="ZWAdobeF" w:cs="ZWAdobeF"/>
            <w:sz w:val="2"/>
            <w:szCs w:val="2"/>
          </w:rPr>
          <w:t>U</w:t>
        </w:r>
      </w:hyperlink>
      <w:r>
        <w:rPr>
          <w:rFonts w:ascii="ZWAdobeF" w:hAnsi="ZWAdobeF" w:cs="ZWAdobeF"/>
          <w:sz w:val="2"/>
          <w:szCs w:val="2"/>
        </w:rPr>
        <w:t>H</w:t>
      </w:r>
      <w:r w:rsidRPr="00236BBF">
        <w:t xml:space="preserve">, </w:t>
      </w:r>
      <w:r>
        <w:rPr>
          <w:rFonts w:ascii="ZWAdobeF" w:hAnsi="ZWAdobeF" w:cs="ZWAdobeF"/>
          <w:sz w:val="2"/>
          <w:szCs w:val="2"/>
        </w:rPr>
        <w:t>H</w:t>
      </w:r>
      <w:hyperlink r:id="rId14" w:history="1">
        <w:r>
          <w:rPr>
            <w:rFonts w:ascii="ZWAdobeF" w:hAnsi="ZWAdobeF" w:cs="ZWAdobeF"/>
            <w:sz w:val="2"/>
            <w:szCs w:val="2"/>
          </w:rPr>
          <w:t>U</w:t>
        </w:r>
        <w:r w:rsidRPr="00403AD2">
          <w:rPr>
            <w:rStyle w:val="Hyperlink"/>
          </w:rPr>
          <w:t>Coastal Barriers Resources Act</w:t>
        </w:r>
        <w:r>
          <w:rPr>
            <w:rStyle w:val="Hyperlink"/>
            <w:rFonts w:ascii="ZWAdobeF" w:hAnsi="ZWAdobeF" w:cs="ZWAdobeF"/>
            <w:sz w:val="2"/>
            <w:szCs w:val="2"/>
          </w:rPr>
          <w:t>U</w:t>
        </w:r>
      </w:hyperlink>
      <w:r>
        <w:rPr>
          <w:rFonts w:ascii="ZWAdobeF" w:hAnsi="ZWAdobeF" w:cs="ZWAdobeF"/>
          <w:sz w:val="2"/>
          <w:szCs w:val="2"/>
        </w:rPr>
        <w:t>H</w:t>
      </w:r>
      <w:r w:rsidRPr="00236BBF">
        <w:t xml:space="preserve">, </w:t>
      </w:r>
      <w:r>
        <w:rPr>
          <w:rFonts w:ascii="ZWAdobeF" w:hAnsi="ZWAdobeF" w:cs="ZWAdobeF"/>
          <w:sz w:val="2"/>
          <w:szCs w:val="2"/>
        </w:rPr>
        <w:t>H</w:t>
      </w:r>
      <w:hyperlink r:id="rId15" w:history="1">
        <w:r>
          <w:rPr>
            <w:rFonts w:ascii="ZWAdobeF" w:hAnsi="ZWAdobeF" w:cs="ZWAdobeF"/>
            <w:sz w:val="2"/>
            <w:szCs w:val="2"/>
          </w:rPr>
          <w:t>U</w:t>
        </w:r>
        <w:r w:rsidRPr="00CD3E3E">
          <w:rPr>
            <w:rStyle w:val="Hyperlink"/>
          </w:rPr>
          <w:t>National Flood Insurance Program</w:t>
        </w:r>
        <w:r>
          <w:rPr>
            <w:rStyle w:val="Hyperlink"/>
            <w:rFonts w:ascii="ZWAdobeF" w:hAnsi="ZWAdobeF" w:cs="ZWAdobeF"/>
            <w:sz w:val="2"/>
            <w:szCs w:val="2"/>
          </w:rPr>
          <w:t>U</w:t>
        </w:r>
      </w:hyperlink>
      <w:r>
        <w:rPr>
          <w:rFonts w:ascii="ZWAdobeF" w:hAnsi="ZWAdobeF" w:cs="ZWAdobeF"/>
          <w:sz w:val="2"/>
          <w:szCs w:val="2"/>
        </w:rPr>
        <w:t>H</w:t>
      </w:r>
      <w:r w:rsidRPr="00236BBF">
        <w:t xml:space="preserve">, </w:t>
      </w:r>
      <w:r>
        <w:rPr>
          <w:rFonts w:ascii="ZWAdobeF" w:hAnsi="ZWAdobeF" w:cs="ZWAdobeF"/>
          <w:sz w:val="2"/>
          <w:szCs w:val="2"/>
        </w:rPr>
        <w:t>H</w:t>
      </w:r>
      <w:hyperlink r:id="rId16" w:history="1">
        <w:r>
          <w:rPr>
            <w:rFonts w:ascii="ZWAdobeF" w:hAnsi="ZWAdobeF" w:cs="ZWAdobeF"/>
            <w:sz w:val="2"/>
            <w:szCs w:val="2"/>
          </w:rPr>
          <w:t>U</w:t>
        </w:r>
        <w:r w:rsidRPr="004622E2">
          <w:rPr>
            <w:rStyle w:val="Hyperlink"/>
          </w:rPr>
          <w:t>National Historic Preservation Act</w:t>
        </w:r>
        <w:r>
          <w:rPr>
            <w:rStyle w:val="Hyperlink"/>
            <w:rFonts w:ascii="ZWAdobeF" w:hAnsi="ZWAdobeF" w:cs="ZWAdobeF"/>
            <w:sz w:val="2"/>
            <w:szCs w:val="2"/>
          </w:rPr>
          <w:t>U</w:t>
        </w:r>
      </w:hyperlink>
      <w:r>
        <w:rPr>
          <w:rFonts w:ascii="ZWAdobeF" w:hAnsi="ZWAdobeF" w:cs="ZWAdobeF"/>
          <w:sz w:val="2"/>
          <w:szCs w:val="2"/>
        </w:rPr>
        <w:t>H</w:t>
      </w:r>
      <w:r w:rsidRPr="00236BBF">
        <w:t>, and</w:t>
      </w:r>
      <w:r>
        <w:t xml:space="preserve"> </w:t>
      </w:r>
      <w:hyperlink r:id="rId17" w:history="1">
        <w:r w:rsidRPr="004622E2">
          <w:rPr>
            <w:rStyle w:val="Hyperlink"/>
          </w:rPr>
          <w:t>Americans with Disabilities Act</w:t>
        </w:r>
        <w:r>
          <w:rPr>
            <w:rStyle w:val="Hyperlink"/>
            <w:rFonts w:ascii="ZWAdobeF" w:hAnsi="ZWAdobeF" w:cs="ZWAdobeF"/>
            <w:sz w:val="2"/>
            <w:szCs w:val="2"/>
          </w:rPr>
          <w:t>U</w:t>
        </w:r>
      </w:hyperlink>
      <w:r>
        <w:rPr>
          <w:rFonts w:ascii="ZWAdobeF" w:hAnsi="ZWAdobeF" w:cs="ZWAdobeF"/>
          <w:sz w:val="2"/>
          <w:szCs w:val="2"/>
        </w:rPr>
        <w:t>H</w:t>
      </w:r>
      <w:r w:rsidRPr="00236BBF">
        <w:t xml:space="preserve">, among others.  </w:t>
      </w:r>
    </w:p>
    <w:p w:rsidR="00C3049E" w:rsidP="00C3049E" w14:paraId="158FB1A0" w14:textId="77777777">
      <w:pPr>
        <w:pBdr>
          <w:top w:val="nil"/>
          <w:left w:val="nil"/>
          <w:bottom w:val="nil"/>
          <w:right w:val="nil"/>
          <w:between w:val="nil"/>
        </w:pBdr>
      </w:pPr>
    </w:p>
    <w:p w:rsidR="008E0BB0" w:rsidP="005E6DBE" w14:paraId="0583F849" w14:textId="78CEFE2B">
      <w:pPr>
        <w:pBdr>
          <w:top w:val="nil"/>
          <w:left w:val="nil"/>
          <w:bottom w:val="nil"/>
          <w:right w:val="nil"/>
          <w:between w:val="nil"/>
        </w:pBdr>
        <w:rPr>
          <w:b/>
          <w:color w:val="000000"/>
        </w:rPr>
      </w:pPr>
      <w:r>
        <w:t xml:space="preserve">The required content of state conservation plans (CELCP plans) is described in Section 3 of the </w:t>
      </w:r>
      <w:r>
        <w:rPr>
          <w:rFonts w:ascii="ZWAdobeF" w:hAnsi="ZWAdobeF" w:cs="ZWAdobeF"/>
          <w:sz w:val="2"/>
          <w:szCs w:val="2"/>
        </w:rPr>
        <w:t>H</w:t>
      </w:r>
      <w:hyperlink r:id="rId18" w:history="1">
        <w:r>
          <w:rPr>
            <w:rFonts w:ascii="ZWAdobeF" w:hAnsi="ZWAdobeF" w:cs="ZWAdobeF"/>
            <w:sz w:val="2"/>
            <w:szCs w:val="2"/>
          </w:rPr>
          <w:t>U</w:t>
        </w:r>
        <w:r w:rsidRPr="006069DA">
          <w:rPr>
            <w:rStyle w:val="Hyperlink"/>
          </w:rPr>
          <w:t xml:space="preserve">CELCP </w:t>
        </w:r>
        <w:r>
          <w:rPr>
            <w:rStyle w:val="Hyperlink"/>
          </w:rPr>
          <w:t>Progra</w:t>
        </w:r>
        <w:r>
          <w:rPr>
            <w:rStyle w:val="Hyperlink"/>
          </w:rPr>
          <w:t>m</w:t>
        </w:r>
        <w:r>
          <w:rPr>
            <w:rStyle w:val="Hyperlink"/>
          </w:rPr>
          <w:t xml:space="preserve"> G</w:t>
        </w:r>
        <w:r w:rsidRPr="006069DA">
          <w:rPr>
            <w:rStyle w:val="Hyperlink"/>
          </w:rPr>
          <w:t>uidelines</w:t>
        </w:r>
        <w:r>
          <w:rPr>
            <w:rStyle w:val="FootnoteReference"/>
            <w:color w:val="0000FF" w:themeColor="hyperlink"/>
            <w:u w:val="single"/>
          </w:rPr>
          <w:footnoteReference w:id="6"/>
        </w:r>
        <w:r>
          <w:rPr>
            <w:rStyle w:val="Hyperlink"/>
            <w:rFonts w:ascii="ZWAdobeF" w:hAnsi="ZWAdobeF" w:cs="ZWAdobeF"/>
            <w:sz w:val="2"/>
            <w:szCs w:val="2"/>
          </w:rPr>
          <w:t>U</w:t>
        </w:r>
      </w:hyperlink>
      <w:r>
        <w:rPr>
          <w:rFonts w:ascii="ZWAdobeF" w:hAnsi="ZWAdobeF" w:cs="ZWAdobeF"/>
          <w:sz w:val="2"/>
          <w:szCs w:val="2"/>
        </w:rPr>
        <w:t>H</w:t>
      </w:r>
      <w:r>
        <w:t xml:space="preserve">. The process and information needed for soliciting project proposals, as well as final grant applications for selected projects, are described in Section 4, and the Applicability of Other Federal Requirements are described in Section 6 of the CELCP Program Guidelines. The required content for National Estuarine Research Reserve </w:t>
      </w:r>
      <w:r w:rsidR="000E6844">
        <w:t xml:space="preserve">(NERR) </w:t>
      </w:r>
      <w:r>
        <w:t>Land Acquisition plans, within their Management Plan, is described in 15 CFR</w:t>
      </w:r>
      <w:hyperlink r:id="rId19" w:history="1">
        <w:r w:rsidRPr="00706721">
          <w:rPr>
            <w:rStyle w:val="Hyperlink"/>
          </w:rPr>
          <w:t>§ 921.13</w:t>
        </w:r>
      </w:hyperlink>
      <w:r>
        <w:t xml:space="preserve"> (7)(i)</w:t>
      </w:r>
      <w:r>
        <w:rPr>
          <w:rStyle w:val="FootnoteReference"/>
        </w:rPr>
        <w:footnoteReference w:id="7"/>
      </w:r>
      <w:r>
        <w:t>.</w:t>
      </w:r>
    </w:p>
    <w:p w:rsidR="00E67E81" w:rsidP="00E67E81" w14:paraId="2F841121"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E67E81" w:rsidP="00E67E81" w14:paraId="7891E1F9" w14:textId="77777777">
      <w:pPr>
        <w:pStyle w:val="Outline0051"/>
        <w:tabs>
          <w:tab w:val="left" w:pos="-1440"/>
          <w:tab w:val="left" w:pos="-720"/>
          <w:tab w:val="left" w:pos="0"/>
          <w:tab w:val="clear" w:pos="720"/>
          <w:tab w:val="left" w:pos="1080"/>
          <w:tab w:val="clear" w:pos="14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pPr>
    </w:p>
    <w:p w:rsidR="0018419A" w:rsidRPr="003F455A" w:rsidP="00E67E81" w14:paraId="3C9BD22F" w14:textId="1137AB49">
      <w:pPr>
        <w:pStyle w:val="NormalWeb"/>
        <w:spacing w:before="0" w:beforeAutospacing="0" w:after="150" w:afterAutospacing="0" w:line="305" w:lineRule="atLeast"/>
        <w:rPr>
          <w:u w:val="single"/>
        </w:rPr>
      </w:pPr>
      <w:r w:rsidRPr="003F455A">
        <w:rPr>
          <w:b/>
          <w:i/>
          <w:u w:val="single"/>
        </w:rPr>
        <w:t>State conservation plans</w:t>
      </w:r>
      <w:r w:rsidRPr="003F455A">
        <w:rPr>
          <w:b/>
          <w:u w:val="single"/>
        </w:rPr>
        <w:t xml:space="preserve"> </w:t>
      </w:r>
      <w:r w:rsidRPr="003F455A">
        <w:rPr>
          <w:b/>
          <w:u w:val="single"/>
        </w:rPr>
        <w:t>–</w:t>
      </w:r>
      <w:r w:rsidRPr="003F455A">
        <w:rPr>
          <w:u w:val="single"/>
        </w:rPr>
        <w:t xml:space="preserve"> </w:t>
      </w:r>
      <w:bookmarkStart w:id="1" w:name="307a"/>
    </w:p>
    <w:p w:rsidR="00E67E81" w:rsidRPr="00E67E81" w:rsidP="005E6DBE" w14:paraId="0F96F623" w14:textId="6BD97337">
      <w:pPr>
        <w:pStyle w:val="NormalWeb"/>
        <w:spacing w:before="0" w:beforeAutospacing="0" w:after="0" w:afterAutospacing="0"/>
      </w:pPr>
      <w:r w:rsidRPr="00E67E81">
        <w:t>1</w:t>
      </w:r>
      <w:r w:rsidRPr="00685A7F">
        <w:rPr>
          <w:rStyle w:val="Strong"/>
          <w:b w:val="0"/>
          <w:color w:val="000000"/>
          <w:shd w:val="clear" w:color="auto" w:fill="FFFFFF"/>
        </w:rPr>
        <w:t xml:space="preserve">6 U.S.C. § 1456-1 </w:t>
      </w:r>
      <w:bookmarkEnd w:id="1"/>
      <w:r w:rsidRPr="00685A7F">
        <w:rPr>
          <w:rStyle w:val="Strong"/>
          <w:b w:val="0"/>
          <w:color w:val="000000"/>
          <w:shd w:val="clear" w:color="auto" w:fill="FFFFFF"/>
        </w:rPr>
        <w:t>(</w:t>
      </w:r>
      <w:r w:rsidRPr="00685A7F">
        <w:rPr>
          <w:color w:val="333333"/>
          <w:shd w:val="clear" w:color="auto" w:fill="FFFFFF"/>
        </w:rPr>
        <w:t xml:space="preserve">c)(2) specifies that each participating coastal state shall identify priority conservation needs within the </w:t>
      </w:r>
      <w:r w:rsidR="00C3049E">
        <w:rPr>
          <w:color w:val="333333"/>
          <w:shd w:val="clear" w:color="auto" w:fill="FFFFFF"/>
        </w:rPr>
        <w:t>s</w:t>
      </w:r>
      <w:r w:rsidRPr="00685A7F">
        <w:rPr>
          <w:color w:val="333333"/>
          <w:shd w:val="clear" w:color="auto" w:fill="FFFFFF"/>
        </w:rPr>
        <w:t xml:space="preserve">tate, the values to be protected by inclusion of lands in the program, and the threats to those values that should be avoided. State </w:t>
      </w:r>
      <w:r w:rsidRPr="00E67E81">
        <w:t>CELCP plans are used to establish eligibility for the state or territory’s participation in the program and serve as a guide to potential applicants and merit reviewers to determine whether a proposed project advances the state or territory’s coastal land conservation priorities. The</w:t>
      </w:r>
      <w:r w:rsidR="008E0BB0">
        <w:t xml:space="preserve"> initial plan development is considered a </w:t>
      </w:r>
      <w:r w:rsidRPr="00E67E81">
        <w:t>one-time collection of information</w:t>
      </w:r>
      <w:r w:rsidR="008E0BB0">
        <w:t>,</w:t>
      </w:r>
      <w:r w:rsidRPr="00E67E81">
        <w:t xml:space="preserve"> but may be updated periodically; for example, once every five years</w:t>
      </w:r>
      <w:r w:rsidR="0018419A">
        <w:t xml:space="preserve"> or so</w:t>
      </w:r>
      <w:r w:rsidRPr="00E67E81">
        <w:t xml:space="preserve">. </w:t>
      </w:r>
      <w:r w:rsidRPr="00685A7F">
        <w:t xml:space="preserve">The information to be included in state plans is described in Section 3 of the </w:t>
      </w:r>
      <w:r w:rsidRPr="00685A7F">
        <w:rPr>
          <w:sz w:val="2"/>
          <w:szCs w:val="2"/>
        </w:rPr>
        <w:t>H</w:t>
      </w:r>
      <w:hyperlink r:id="rId18" w:history="1">
        <w:r w:rsidRPr="00685A7F">
          <w:rPr>
            <w:sz w:val="2"/>
            <w:szCs w:val="2"/>
          </w:rPr>
          <w:t>U</w:t>
        </w:r>
        <w:r w:rsidRPr="00E67E81">
          <w:rPr>
            <w:rStyle w:val="Hyperlink"/>
          </w:rPr>
          <w:t>CELCP Program Guidelines</w:t>
        </w:r>
        <w:r w:rsidR="00ED2903">
          <w:rPr>
            <w:rStyle w:val="Hyperlink"/>
          </w:rPr>
          <w:t>.</w:t>
        </w:r>
        <w:r w:rsidRPr="00685A7F">
          <w:rPr>
            <w:rStyle w:val="Hyperlink"/>
            <w:sz w:val="2"/>
            <w:szCs w:val="2"/>
          </w:rPr>
          <w:t>U</w:t>
        </w:r>
      </w:hyperlink>
    </w:p>
    <w:p w:rsidR="00C3049E" w:rsidP="00C3049E" w14:paraId="62B1D6EB" w14:textId="77777777"/>
    <w:p w:rsidR="00492630" w:rsidP="00C3049E" w14:paraId="35E696AE" w14:textId="46B32C28">
      <w:r>
        <w:t xml:space="preserve">Land acquisition projects funded through the </w:t>
      </w:r>
      <w:r w:rsidR="000E6844">
        <w:t>National Estuarine Research Reserve System (</w:t>
      </w:r>
      <w:r>
        <w:t>NERRS</w:t>
      </w:r>
      <w:r w:rsidR="000E6844">
        <w:t>)</w:t>
      </w:r>
      <w:r>
        <w:t xml:space="preserve"> Acquisition and Construction program must be part of an approved Management Plan for the Reserve. Low-cost acquisition projects funded through the CZMA’s Low-cost acquisition and construction program must be consistent with a state’s NOAA-approved Coastal Management Plan. Development of state CZM and NERR management plans are covered under a separate </w:t>
      </w:r>
      <w:r w:rsidR="000E6844">
        <w:t xml:space="preserve">OMB-approved </w:t>
      </w:r>
      <w:r>
        <w:t xml:space="preserve">information collection. </w:t>
      </w:r>
    </w:p>
    <w:p w:rsidR="00A1160B" w:rsidP="00A1160B" w14:paraId="19DBBD61" w14:textId="77777777"/>
    <w:p w:rsidR="00A1160B" w:rsidRPr="001A3C59" w:rsidP="00EF64AB" w14:paraId="1DFCE604" w14:textId="36E7E68E">
      <w:pPr>
        <w:keepNext/>
        <w:widowControl/>
        <w:spacing w:after="100" w:afterAutospacing="1"/>
        <w:rPr>
          <w:i/>
        </w:rPr>
      </w:pPr>
      <w:r w:rsidRPr="001A3C59">
        <w:rPr>
          <w:b/>
          <w:i/>
          <w:u w:val="single"/>
        </w:rPr>
        <w:t>Applications for Federal Funding</w:t>
      </w:r>
      <w:r w:rsidRPr="001A3C59">
        <w:rPr>
          <w:i/>
        </w:rPr>
        <w:t xml:space="preserve"> - </w:t>
      </w:r>
    </w:p>
    <w:p w:rsidR="00A1160B" w:rsidP="00EF64AB" w14:paraId="556AA3B0" w14:textId="314059EB">
      <w:pPr>
        <w:keepNext/>
        <w:widowControl/>
      </w:pPr>
      <w:r>
        <w:rPr>
          <w:lang w:val="en-CA"/>
        </w:rPr>
        <w:fldChar w:fldCharType="begin"/>
      </w:r>
      <w:r>
        <w:rPr>
          <w:lang w:val="en-CA"/>
        </w:rPr>
        <w:instrText xml:space="preserve"> SEQ CHAPTER \h \r 1</w:instrText>
      </w:r>
      <w:r>
        <w:rPr>
          <w:lang w:val="en-CA"/>
        </w:rPr>
        <w:fldChar w:fldCharType="separate"/>
      </w:r>
      <w:r>
        <w:rPr>
          <w:lang w:val="en-CA"/>
        </w:rPr>
        <w:fldChar w:fldCharType="end"/>
      </w:r>
      <w:r>
        <w:t xml:space="preserve">Applications for financial assistance are collected once per year, subject to availability of funding in the President’s Budget Request and/or through the appropriations process. If NOAA solicits projects for </w:t>
      </w:r>
      <w:r>
        <w:t>funding through a competitive process, NOAA may solicit project proposals that contain a subset of the information that will be required with a final grant application. The information is used to evaluate the merit of project applications. Merit reviewers evaluate and score each proposal. Program staff use the information to conduct technical reviews of the proposed projects for compliance with program requirements and guidelines.</w:t>
      </w:r>
    </w:p>
    <w:p w:rsidR="00C3049E" w:rsidP="00C3049E" w14:paraId="7EEB9A88" w14:textId="77777777"/>
    <w:p w:rsidR="00A1160B" w:rsidP="005E6DBE" w14:paraId="0EB54B2F" w14:textId="6ED1BA79">
      <w:r w:rsidRPr="00D12D84">
        <w:t xml:space="preserve">Project proposals submitted to the annual funding competition contain the following elements: a project description/scope of work; project budget and justification of proposed costs, project checklist, and project location/site maps. </w:t>
      </w:r>
    </w:p>
    <w:p w:rsidR="00A1160B" w:rsidP="005E6DBE" w14:paraId="5C11F588" w14:textId="77777777">
      <w:pPr>
        <w:pStyle w:val="ListParagraph"/>
        <w:numPr>
          <w:ilvl w:val="0"/>
          <w:numId w:val="20"/>
        </w:numPr>
        <w:spacing w:before="0"/>
      </w:pPr>
      <w:r>
        <w:t>The Project Description</w:t>
      </w:r>
      <w:r w:rsidRPr="00D12D84">
        <w:t xml:space="preserve"> </w:t>
      </w:r>
      <w:r>
        <w:t xml:space="preserve">should </w:t>
      </w:r>
      <w:r w:rsidRPr="00D12D84">
        <w:t>describe:</w:t>
      </w:r>
    </w:p>
    <w:p w:rsidR="00A1160B" w:rsidRPr="00D12D84" w:rsidP="00E37D35" w14:paraId="380549BC" w14:textId="77777777">
      <w:pPr>
        <w:pStyle w:val="ListParagraph"/>
        <w:numPr>
          <w:ilvl w:val="1"/>
          <w:numId w:val="20"/>
        </w:numPr>
        <w:spacing w:before="0" w:after="120"/>
      </w:pPr>
      <w:r w:rsidRPr="00D12D84">
        <w:t>The nature of the project, including acreage and types of habitats or land values to be protected, as well as how the funds (federal and non-federal) will be used;</w:t>
      </w:r>
    </w:p>
    <w:p w:rsidR="00A1160B" w:rsidRPr="00D12D84" w:rsidP="00E37D35" w14:paraId="3DEA7748" w14:textId="77777777">
      <w:pPr>
        <w:pStyle w:val="ListParagraph"/>
        <w:numPr>
          <w:ilvl w:val="1"/>
          <w:numId w:val="20"/>
        </w:numPr>
        <w:spacing w:before="0" w:after="120"/>
      </w:pPr>
      <w:r>
        <w:t>T</w:t>
      </w:r>
      <w:r w:rsidRPr="00D12D84">
        <w:t xml:space="preserve">he </w:t>
      </w:r>
      <w:r>
        <w:t xml:space="preserve">project’s expected benefits </w:t>
      </w:r>
      <w:r w:rsidRPr="00D12D84">
        <w:t>in terms of coastal and estuarine land conservation</w:t>
      </w:r>
      <w:r>
        <w:t>, or in the case of NERRS, CZM or FWCA funding, its expected benefits in terms of the desired resource values to be protected</w:t>
      </w:r>
      <w:r w:rsidRPr="00D12D84">
        <w:t>;</w:t>
      </w:r>
    </w:p>
    <w:p w:rsidR="00A1160B" w:rsidRPr="00D12D84" w:rsidP="00E37D35" w14:paraId="66EED1A8" w14:textId="04141655">
      <w:pPr>
        <w:pStyle w:val="ListParagraph"/>
        <w:numPr>
          <w:ilvl w:val="1"/>
          <w:numId w:val="20"/>
        </w:numPr>
        <w:spacing w:before="0" w:after="120"/>
      </w:pPr>
      <w:r w:rsidRPr="00D12D84">
        <w:t>Discrete benchmarks for completing the project within a specified time period</w:t>
      </w:r>
      <w:r>
        <w:t>; an</w:t>
      </w:r>
      <w:r w:rsidR="00C3049E">
        <w:t>d</w:t>
      </w:r>
    </w:p>
    <w:p w:rsidR="00A1160B" w:rsidRPr="00D12D84" w:rsidP="00E37D35" w14:paraId="72EE0553" w14:textId="77777777">
      <w:pPr>
        <w:pStyle w:val="ListParagraph"/>
        <w:numPr>
          <w:ilvl w:val="1"/>
          <w:numId w:val="20"/>
        </w:numPr>
        <w:spacing w:before="0" w:after="120"/>
      </w:pPr>
      <w:r w:rsidRPr="00D12D84">
        <w:t xml:space="preserve">The types of activities that would be allowed to take place on the land and a strategy for long-term stewardship, such as maintenance or enforcement against illegal uses. </w:t>
      </w:r>
    </w:p>
    <w:p w:rsidR="00A1160B" w:rsidRPr="00D12D84" w:rsidP="001A3C59" w14:paraId="6C2C0A90" w14:textId="72092BE2">
      <w:pPr>
        <w:pStyle w:val="ListParagraph"/>
        <w:numPr>
          <w:ilvl w:val="0"/>
          <w:numId w:val="20"/>
        </w:numPr>
      </w:pPr>
      <w:r w:rsidRPr="00D12D84">
        <w:t xml:space="preserve">The </w:t>
      </w:r>
      <w:r>
        <w:t>P</w:t>
      </w:r>
      <w:r w:rsidRPr="00D12D84">
        <w:t xml:space="preserve">roject </w:t>
      </w:r>
      <w:r>
        <w:t>B</w:t>
      </w:r>
      <w:r w:rsidRPr="00D12D84">
        <w:t>udget describe</w:t>
      </w:r>
      <w:r>
        <w:t>s</w:t>
      </w:r>
      <w:r w:rsidRPr="00D12D84">
        <w:t xml:space="preserve">: </w:t>
      </w:r>
    </w:p>
    <w:p w:rsidR="00A1160B" w:rsidRPr="00D12D84" w:rsidP="00E37D35" w14:paraId="709E1611" w14:textId="77777777">
      <w:pPr>
        <w:pStyle w:val="ListParagraph"/>
        <w:numPr>
          <w:ilvl w:val="1"/>
          <w:numId w:val="20"/>
        </w:numPr>
        <w:spacing w:before="0" w:after="120"/>
      </w:pPr>
      <w:r>
        <w:t>T</w:t>
      </w:r>
      <w:r w:rsidRPr="00D12D84">
        <w:t xml:space="preserve">he breakdown of project costs, by category – such as salary, fringe benefits, travel, equipment, supplies, contractual, construction, other (primarily using </w:t>
      </w:r>
      <w:r>
        <w:t>the SF</w:t>
      </w:r>
      <w:r w:rsidRPr="00D12D84">
        <w:t xml:space="preserve"> 424A)</w:t>
      </w:r>
      <w:r>
        <w:t>;</w:t>
      </w:r>
      <w:r w:rsidRPr="00D12D84">
        <w:t xml:space="preserve"> </w:t>
      </w:r>
    </w:p>
    <w:p w:rsidR="00A1160B" w:rsidRPr="00D12D84" w:rsidP="00E37D35" w14:paraId="7BC18FC5" w14:textId="1C91E512">
      <w:pPr>
        <w:pStyle w:val="ListParagraph"/>
        <w:numPr>
          <w:ilvl w:val="1"/>
          <w:numId w:val="20"/>
        </w:numPr>
        <w:spacing w:before="0" w:after="120"/>
      </w:pPr>
      <w:r>
        <w:t>T</w:t>
      </w:r>
      <w:r w:rsidRPr="00D12D84">
        <w:t>he basis for the estimate of land acquisition costs and the source of matching funds;</w:t>
      </w:r>
      <w:r>
        <w:t xml:space="preserve"> </w:t>
      </w:r>
      <w:r w:rsidR="00C3049E">
        <w:t xml:space="preserve">and </w:t>
      </w:r>
    </w:p>
    <w:p w:rsidR="00A1160B" w:rsidP="00E37D35" w14:paraId="4BB573AC" w14:textId="77777777">
      <w:pPr>
        <w:pStyle w:val="ListParagraph"/>
        <w:numPr>
          <w:ilvl w:val="1"/>
          <w:numId w:val="20"/>
        </w:numPr>
        <w:spacing w:before="0" w:after="120"/>
      </w:pPr>
      <w:r>
        <w:t>W</w:t>
      </w:r>
      <w:r w:rsidRPr="00D12D84">
        <w:t>hether th</w:t>
      </w:r>
      <w:r>
        <w:t>e</w:t>
      </w:r>
      <w:r w:rsidRPr="00D12D84">
        <w:t xml:space="preserve"> project has been submitted in application</w:t>
      </w:r>
      <w:r>
        <w:t>(s)</w:t>
      </w:r>
      <w:r w:rsidRPr="00D12D84">
        <w:t xml:space="preserve"> for other sources of federal funding, and if so, which federal program(s) and year(s).</w:t>
      </w:r>
    </w:p>
    <w:p w:rsidR="001A3C59" w:rsidP="00435FC0" w14:paraId="4307F7E6" w14:textId="77777777">
      <w:pPr>
        <w:pStyle w:val="ListParagraph"/>
        <w:numPr>
          <w:ilvl w:val="0"/>
          <w:numId w:val="20"/>
        </w:numPr>
      </w:pPr>
      <w:r w:rsidRPr="00C01183">
        <w:t>Project Location and Site Maps</w:t>
      </w:r>
      <w:r w:rsidRPr="00D12D84">
        <w:t xml:space="preserve"> show</w:t>
      </w:r>
      <w:r>
        <w:t xml:space="preserve">: </w:t>
      </w:r>
    </w:p>
    <w:p w:rsidR="001A3C59" w:rsidP="00E37D35" w14:paraId="2D7C35EC" w14:textId="77777777">
      <w:pPr>
        <w:pStyle w:val="ListParagraph"/>
        <w:numPr>
          <w:ilvl w:val="1"/>
          <w:numId w:val="20"/>
        </w:numPr>
        <w:spacing w:before="0" w:after="120"/>
      </w:pPr>
      <w:r w:rsidRPr="00D12D84">
        <w:t>the general location of the project</w:t>
      </w:r>
      <w:r>
        <w:t xml:space="preserve"> within the state or coastal county, and </w:t>
      </w:r>
    </w:p>
    <w:p w:rsidR="001A3C59" w:rsidP="00E37D35" w14:paraId="1DEBA300" w14:textId="0E78059E">
      <w:pPr>
        <w:pStyle w:val="ListParagraph"/>
        <w:numPr>
          <w:ilvl w:val="1"/>
          <w:numId w:val="20"/>
        </w:numPr>
        <w:spacing w:before="0" w:after="120"/>
      </w:pPr>
      <w:r w:rsidRPr="00D12D84">
        <w:t>the location and extent of the proposed acquisition</w:t>
      </w:r>
      <w:r>
        <w:t xml:space="preserve"> in </w:t>
      </w:r>
      <w:r w:rsidRPr="00D12D84">
        <w:t xml:space="preserve">relationship to significant natural features (slope, wetlands, dunes, floodplains, access points, etc.). </w:t>
      </w:r>
    </w:p>
    <w:p w:rsidR="001A3C59" w:rsidP="001A3C59" w14:paraId="63BC3B16" w14:textId="39C8BE54">
      <w:pPr>
        <w:pStyle w:val="ListParagraph"/>
        <w:numPr>
          <w:ilvl w:val="0"/>
          <w:numId w:val="20"/>
        </w:numPr>
      </w:pPr>
      <w:r w:rsidRPr="00C01183">
        <w:t>The completed Project Application and NEPA checklist,</w:t>
      </w:r>
      <w:r>
        <w:t xml:space="preserve"> </w:t>
      </w:r>
      <w:r w:rsidRPr="00D12D84">
        <w:t>along with supporting information</w:t>
      </w:r>
      <w:r>
        <w:t>:</w:t>
      </w:r>
    </w:p>
    <w:p w:rsidR="001A3C59" w:rsidP="00E37D35" w14:paraId="47339DF9" w14:textId="791FD2F1">
      <w:pPr>
        <w:pStyle w:val="ListParagraph"/>
        <w:numPr>
          <w:ilvl w:val="1"/>
          <w:numId w:val="20"/>
        </w:numPr>
        <w:spacing w:before="0" w:after="120"/>
      </w:pPr>
      <w:r>
        <w:t>demonstrates</w:t>
      </w:r>
      <w:r w:rsidRPr="00D12D84">
        <w:t xml:space="preserve"> the project’s eligibility or merit, </w:t>
      </w:r>
      <w:r>
        <w:t>and</w:t>
      </w:r>
      <w:r w:rsidRPr="00D12D84">
        <w:t xml:space="preserve"> </w:t>
      </w:r>
    </w:p>
    <w:p w:rsidR="001A3C59" w:rsidP="00E37D35" w14:paraId="22403146" w14:textId="2CB49402">
      <w:pPr>
        <w:pStyle w:val="ListParagraph"/>
        <w:numPr>
          <w:ilvl w:val="1"/>
          <w:numId w:val="20"/>
        </w:numPr>
        <w:spacing w:before="0" w:after="120"/>
      </w:pPr>
      <w:r>
        <w:t xml:space="preserve">helps NOAA to </w:t>
      </w:r>
      <w:r w:rsidRPr="00D12D84">
        <w:t>document compliance with Federal laws, regulations and policies.</w:t>
      </w:r>
      <w:r>
        <w:t xml:space="preserve">  </w:t>
      </w:r>
    </w:p>
    <w:p w:rsidR="001A3C59" w:rsidP="00E37D35" w14:paraId="7AA71F2B" w14:textId="77777777">
      <w:pPr>
        <w:spacing w:after="120"/>
      </w:pPr>
    </w:p>
    <w:p w:rsidR="00305AD7" w:rsidP="001A3C59" w14:paraId="2EFEC206" w14:textId="3182C058">
      <w:r>
        <w:t xml:space="preserve">If selected for funding, a final grant application is required, including any due diligence documents not submitted as part of the initial proposal, semi-annual progress reports, and, at the end of the award period, the information needed to document completion of all required tasks under the grant. </w:t>
      </w:r>
      <w:r w:rsidRPr="00D12D84">
        <w:t>Some of the information to be collected is already covered under</w:t>
      </w:r>
      <w:r>
        <w:t xml:space="preserve"> OMB’s Uniform Guidance at 2 C.F.R §200.</w:t>
      </w:r>
      <w:r w:rsidR="00C3049E">
        <w:t xml:space="preserve"> </w:t>
      </w:r>
      <w:r>
        <w:t xml:space="preserve">The information is used to: </w:t>
      </w:r>
      <w:r w:rsidR="00C3049E">
        <w:t xml:space="preserve"> </w:t>
      </w:r>
      <w:r>
        <w:t>monitor progress of grantees on a semi-annual and annual basis and ensure compliance with applicable OMB Standards or other federal statutes, regulations</w:t>
      </w:r>
      <w:r w:rsidR="00C3049E">
        <w:t>,</w:t>
      </w:r>
      <w:r>
        <w:t xml:space="preserve"> or policies governing issues related to construction, acquisition, restoration, protection, and if necessary, disposition of property, as well as those relating to financial assistance awards to state or local government agencies or entities, non-governmental</w:t>
      </w:r>
      <w:r w:rsidR="00C3049E">
        <w:t>,</w:t>
      </w:r>
      <w:r>
        <w:t xml:space="preserve"> or other grantees</w:t>
      </w:r>
      <w:r w:rsidR="001A3C59">
        <w:t xml:space="preserve">. </w:t>
      </w:r>
    </w:p>
    <w:p w:rsidR="00305AD7" w:rsidP="00C01183" w14:paraId="518FDC1F" w14:textId="77777777">
      <w:pPr>
        <w:tabs>
          <w:tab w:val="left" w:pos="0"/>
        </w:tabs>
      </w:pPr>
    </w:p>
    <w:p w:rsidR="00492630" w:rsidRPr="00B96245" w:rsidP="00C01183" w14:paraId="2415408A" w14:textId="7E5435CF">
      <w:pPr>
        <w:tabs>
          <w:tab w:val="left" w:pos="0"/>
        </w:tabs>
        <w:rPr>
          <w:b/>
        </w:rPr>
      </w:pPr>
      <w:r>
        <w:t xml:space="preserve">Specifically, for each property being acquired or </w:t>
      </w:r>
      <w:r w:rsidR="00FA23B0">
        <w:t xml:space="preserve">used </w:t>
      </w:r>
      <w:r>
        <w:t xml:space="preserve">as match, </w:t>
      </w:r>
      <w:r w:rsidRPr="00C01183">
        <w:t>f</w:t>
      </w:r>
      <w:r w:rsidRPr="00C01183">
        <w:t>inal grant applications require:</w:t>
      </w:r>
      <w:r w:rsidRPr="00B96245">
        <w:rPr>
          <w:b/>
        </w:rPr>
        <w:t xml:space="preserve"> </w:t>
      </w:r>
    </w:p>
    <w:p w:rsidR="00492630" w:rsidP="00E37D35" w14:paraId="5E59B7DC" w14:textId="09637D6C">
      <w:pPr>
        <w:pStyle w:val="BodyTextIn"/>
        <w:tabs>
          <w:tab w:val="clear" w:pos="0"/>
        </w:tabs>
        <w:spacing w:after="240"/>
        <w:ind w:left="630" w:hanging="270"/>
      </w:pPr>
      <w:r>
        <w:t xml:space="preserve">1. </w:t>
      </w:r>
      <w:r w:rsidRPr="00D12D84">
        <w:t>Documentation of a landowner’s intent or willingness to sell</w:t>
      </w:r>
      <w:r>
        <w:t>, which may be in the form of letter or purchase and sale agreement that specifies that the owner is a willing participant in negotiations for possible sale of property for conservation.</w:t>
      </w:r>
      <w:r w:rsidR="003B3464">
        <w:t xml:space="preserve"> </w:t>
      </w:r>
      <w:r w:rsidRPr="00685A7F" w:rsidR="003B3464">
        <w:rPr>
          <w:rStyle w:val="Strong"/>
          <w:b w:val="0"/>
          <w:color w:val="000000"/>
          <w:shd w:val="clear" w:color="auto" w:fill="FFFFFF"/>
        </w:rPr>
        <w:t>16 U.S.C. § 1456-1(d)(1) specifies that land (or easements) must be purchased only from a willing seller, and not as a result of a forced taking</w:t>
      </w:r>
      <w:r w:rsidR="003B3464">
        <w:rPr>
          <w:rStyle w:val="Strong"/>
          <w:b w:val="0"/>
          <w:color w:val="000000"/>
          <w:shd w:val="clear" w:color="auto" w:fill="FFFFFF"/>
        </w:rPr>
        <w:t>.</w:t>
      </w:r>
    </w:p>
    <w:p w:rsidR="00305AD7" w:rsidP="00E37D35" w14:paraId="7E0D5CDB" w14:textId="7AB429C3">
      <w:pPr>
        <w:pStyle w:val="BodyTextIn"/>
        <w:tabs>
          <w:tab w:val="clear" w:pos="0"/>
        </w:tabs>
        <w:spacing w:after="240"/>
        <w:ind w:left="630" w:hanging="270"/>
      </w:pPr>
      <w:r>
        <w:t xml:space="preserve">2. Draft deed, notice of record, or easement, which </w:t>
      </w:r>
      <w:r w:rsidRPr="00305AD7">
        <w:t>shows the NOAA deed restriction, ownership, allowable uses, or other terms of the sale</w:t>
      </w:r>
      <w:r w:rsidRPr="00A1160B">
        <w:t xml:space="preserve">. </w:t>
      </w:r>
      <w:r w:rsidRPr="00A1160B">
        <w:rPr>
          <w:rStyle w:val="Strong"/>
          <w:b w:val="0"/>
          <w:color w:val="000000"/>
          <w:shd w:val="clear" w:color="auto" w:fill="FFFFFF"/>
        </w:rPr>
        <w:t>16</w:t>
      </w:r>
      <w:r w:rsidRPr="00685A7F">
        <w:rPr>
          <w:rStyle w:val="Strong"/>
          <w:b w:val="0"/>
          <w:color w:val="000000"/>
          <w:shd w:val="clear" w:color="auto" w:fill="FFFFFF"/>
        </w:rPr>
        <w:t xml:space="preserve"> U.S.C. § 1456-1(d)(1) specifies that </w:t>
      </w:r>
      <w:r>
        <w:rPr>
          <w:rStyle w:val="Strong"/>
          <w:b w:val="0"/>
          <w:color w:val="000000"/>
          <w:shd w:val="clear" w:color="auto" w:fill="FFFFFF"/>
        </w:rPr>
        <w:t xml:space="preserve">the grant recipient (or another appropriate public entity) must hold title to the property in perpetuity, manage it consistently with the purposes for which it was protected and will not be sold or converted to other uses, and provide such assurances as the Secretary of Commerce may require regarding the property’s disposition. This is the legal mechanism to ensure the property’s protections are clear and enforceable. </w:t>
      </w:r>
    </w:p>
    <w:p w:rsidR="00492630" w:rsidRPr="00D12D84" w:rsidP="00E37D35" w14:paraId="259975E3" w14:textId="0019B6EE">
      <w:pPr>
        <w:pStyle w:val="BodyTextIn"/>
        <w:tabs>
          <w:tab w:val="clear" w:pos="0"/>
        </w:tabs>
        <w:spacing w:after="240"/>
        <w:ind w:left="630" w:hanging="270"/>
      </w:pPr>
      <w:r>
        <w:t>3</w:t>
      </w:r>
      <w:r w:rsidRPr="00D12D84">
        <w:t xml:space="preserve">. Complete and self-contained appraisal developed in accordance with the Uniform Standards of Professional Appraisal Practice </w:t>
      </w:r>
      <w:r>
        <w:t>or</w:t>
      </w:r>
      <w:r w:rsidRPr="00D12D84">
        <w:t xml:space="preserve"> the Uniform Standards for Federal Land Acquisition (“Yellow Book”)</w:t>
      </w:r>
      <w:r>
        <w:t>, as applicable.</w:t>
      </w:r>
      <w:r w:rsidR="00363DE7">
        <w:t xml:space="preserve"> </w:t>
      </w:r>
      <w:r w:rsidR="003D7676">
        <w:t xml:space="preserve">An independent, self-contained appraisal is used to establish fair market value of a property for acquisition purposes. “Yellow Book” appraisals are the standard for Federal land acquisitions, but in some cases, appraisals using the Uniform Standards for Professional Appraisal Practice (“USPAP”) may be used, such as for properties whose value is being used as non-Federal match. </w:t>
      </w:r>
      <w:r w:rsidR="00801B63">
        <w:t>Appraisals are a standard part of land transactions and are commissioned by prospective buyers regardless of Federal funding. The only potential additional burden is securing an appraisal that meets “Yellow Book” standards.</w:t>
      </w:r>
      <w:r w:rsidR="00053B6F">
        <w:t xml:space="preserve"> </w:t>
      </w:r>
    </w:p>
    <w:p w:rsidR="00492630" w:rsidRPr="00D12D84" w:rsidP="00E37D35" w14:paraId="0B4C4FDF" w14:textId="758B7C75">
      <w:pPr>
        <w:pStyle w:val="BodyTextIn"/>
        <w:tabs>
          <w:tab w:val="clear" w:pos="0"/>
        </w:tabs>
        <w:spacing w:after="240"/>
        <w:ind w:left="630" w:hanging="270"/>
      </w:pPr>
      <w:r>
        <w:t>4</w:t>
      </w:r>
      <w:r w:rsidRPr="00D12D84">
        <w:t>. Environmental Assessment or Environmental Impact Statement, if applicable</w:t>
      </w:r>
      <w:r>
        <w:t>.</w:t>
      </w:r>
      <w:r w:rsidR="00363DE7">
        <w:t xml:space="preserve"> </w:t>
      </w:r>
      <w:r w:rsidR="004746CE">
        <w:t xml:space="preserve">A phase 1 environmental assessment is often conducted by prospective buyers to determine the presence </w:t>
      </w:r>
      <w:r w:rsidR="00053B6F">
        <w:t xml:space="preserve">or absence </w:t>
      </w:r>
      <w:r w:rsidR="004746CE">
        <w:t xml:space="preserve">of environmental hazards on </w:t>
      </w:r>
      <w:r w:rsidR="00053B6F">
        <w:t xml:space="preserve">a </w:t>
      </w:r>
      <w:r w:rsidR="004746CE">
        <w:t>property</w:t>
      </w:r>
      <w:r w:rsidR="00053B6F">
        <w:t xml:space="preserve"> if there is reason to suspect their potential presence based on past/historical use of the property</w:t>
      </w:r>
      <w:r w:rsidR="003568B4">
        <w:t>. It i</w:t>
      </w:r>
      <w:r w:rsidR="004746CE">
        <w:t xml:space="preserve">s used to determine whether any remediation/restoration </w:t>
      </w:r>
      <w:r w:rsidR="003568B4">
        <w:t xml:space="preserve">of the property </w:t>
      </w:r>
      <w:r w:rsidR="00053B6F">
        <w:t xml:space="preserve">may be </w:t>
      </w:r>
      <w:r w:rsidR="003568B4">
        <w:t>needed and if condition</w:t>
      </w:r>
      <w:r w:rsidR="00053B6F">
        <w:t>s</w:t>
      </w:r>
      <w:r w:rsidR="003568B4">
        <w:t xml:space="preserve"> </w:t>
      </w:r>
      <w:r w:rsidR="00053B6F">
        <w:t>c</w:t>
      </w:r>
      <w:r w:rsidR="003568B4">
        <w:t>ould result in any new liability to the purchaser</w:t>
      </w:r>
      <w:r w:rsidR="004746CE">
        <w:t xml:space="preserve">. </w:t>
      </w:r>
      <w:r w:rsidR="003568B4">
        <w:t>Phase 1 assessments</w:t>
      </w:r>
      <w:r w:rsidR="00801B63">
        <w:t xml:space="preserve"> are not required, but if one has been done, applicants are asked to submit a copy. </w:t>
      </w:r>
      <w:r w:rsidR="004746CE">
        <w:t xml:space="preserve">From NOAA’s perspective as a funder, this helps </w:t>
      </w:r>
      <w:r w:rsidR="00801B63">
        <w:t>determine</w:t>
      </w:r>
      <w:r w:rsidR="004746CE">
        <w:t xml:space="preserve"> </w:t>
      </w:r>
      <w:r w:rsidR="005B0875">
        <w:t>potential barriers to</w:t>
      </w:r>
      <w:r w:rsidR="004746CE">
        <w:t xml:space="preserve"> an acquisition being successfully completed and/or </w:t>
      </w:r>
      <w:r w:rsidR="00801B63">
        <w:t xml:space="preserve">the need for </w:t>
      </w:r>
      <w:r w:rsidR="004746CE">
        <w:t xml:space="preserve">any additional work (and costs) to </w:t>
      </w:r>
      <w:r w:rsidR="00801B63">
        <w:t xml:space="preserve">bring </w:t>
      </w:r>
      <w:r w:rsidR="004746CE">
        <w:t>the property to its desired condition for conservation purposes and</w:t>
      </w:r>
      <w:r w:rsidR="00801B63">
        <w:t xml:space="preserve"> </w:t>
      </w:r>
      <w:r w:rsidR="004746CE">
        <w:t xml:space="preserve">public use. </w:t>
      </w:r>
      <w:r w:rsidR="003568B4">
        <w:t>An Environmental Assessment or Impact Statement may have been prepared</w:t>
      </w:r>
      <w:r w:rsidR="00CC7355">
        <w:t xml:space="preserve"> (pursuant to the National Environmental Policy Act)</w:t>
      </w:r>
      <w:r w:rsidR="003568B4">
        <w:t xml:space="preserve"> if the proposed use of a property, such </w:t>
      </w:r>
      <w:r w:rsidR="00127A61">
        <w:t xml:space="preserve">as </w:t>
      </w:r>
      <w:r w:rsidR="004B2213">
        <w:t xml:space="preserve">for </w:t>
      </w:r>
      <w:r w:rsidR="00DA73F2">
        <w:t xml:space="preserve">a major restoration project, would warrant such </w:t>
      </w:r>
      <w:r w:rsidR="00CC7355">
        <w:t xml:space="preserve">a </w:t>
      </w:r>
      <w:r w:rsidR="00DA73F2">
        <w:t xml:space="preserve">review. If so, this documentation may be </w:t>
      </w:r>
      <w:r w:rsidR="00CC7355">
        <w:t>considered as part of</w:t>
      </w:r>
      <w:r w:rsidR="00DA73F2">
        <w:t xml:space="preserve"> NOAA’s environmental compliance review.</w:t>
      </w:r>
    </w:p>
    <w:p w:rsidR="00492630" w:rsidRPr="00D12D84" w:rsidP="00E37D35" w14:paraId="09A0DFA7" w14:textId="3A61447E">
      <w:pPr>
        <w:pStyle w:val="BodyTextIn"/>
        <w:tabs>
          <w:tab w:val="clear" w:pos="0"/>
        </w:tabs>
        <w:spacing w:after="240"/>
        <w:ind w:left="630" w:hanging="270"/>
      </w:pPr>
      <w:r>
        <w:t>5</w:t>
      </w:r>
      <w:r w:rsidRPr="00D12D84">
        <w:t>. Site Survey/Plat Map.</w:t>
      </w:r>
      <w:r w:rsidR="00363DE7">
        <w:t xml:space="preserve"> </w:t>
      </w:r>
      <w:r w:rsidR="007A4327">
        <w:t xml:space="preserve">Survey plats establish the legal boundaries of a property. </w:t>
      </w:r>
      <w:r w:rsidR="001659A1">
        <w:t xml:space="preserve">They generally form the basis of the legal description of the property in </w:t>
      </w:r>
      <w:r w:rsidR="004B2213">
        <w:t xml:space="preserve">the </w:t>
      </w:r>
      <w:r w:rsidR="001659A1">
        <w:t>deed</w:t>
      </w:r>
      <w:r w:rsidR="004B2213">
        <w:t xml:space="preserve"> </w:t>
      </w:r>
      <w:r w:rsidR="001659A1">
        <w:t xml:space="preserve">and are often included </w:t>
      </w:r>
      <w:r w:rsidR="004B2213">
        <w:t xml:space="preserve">as an attachment to </w:t>
      </w:r>
      <w:r w:rsidR="001659A1">
        <w:t>the deed. As such, they are a standard part of land transactions</w:t>
      </w:r>
      <w:r w:rsidR="004B2213">
        <w:t xml:space="preserve"> </w:t>
      </w:r>
      <w:r w:rsidR="001659A1">
        <w:t>and already exist</w:t>
      </w:r>
      <w:r w:rsidR="004B2213">
        <w:t xml:space="preserve">. An updated survey may be commissioned as part of the pre-acquisition due diligence process </w:t>
      </w:r>
      <w:r w:rsidR="001659A1">
        <w:t>if there will be any change to the property’s boundary or rights-of-way resulting from the transaction</w:t>
      </w:r>
      <w:r w:rsidR="004B2213">
        <w:t>, or if a potential boundary encroachment is suspected</w:t>
      </w:r>
      <w:r w:rsidR="001659A1">
        <w:t>.</w:t>
      </w:r>
      <w:r w:rsidR="004B2213">
        <w:t xml:space="preserve"> </w:t>
      </w:r>
      <w:r w:rsidR="001659A1">
        <w:t>N</w:t>
      </w:r>
      <w:r w:rsidR="007A4327">
        <w:t>OAA uses</w:t>
      </w:r>
      <w:r w:rsidR="001659A1">
        <w:t xml:space="preserve"> the site survey map </w:t>
      </w:r>
      <w:r w:rsidR="007A4327">
        <w:t>to determine the acreage, size and configuration of the property</w:t>
      </w:r>
      <w:r w:rsidR="008635DE">
        <w:t xml:space="preserve"> that will be conserved through the program</w:t>
      </w:r>
      <w:r w:rsidRPr="003C313F" w:rsidR="003C313F">
        <w:t xml:space="preserve"> </w:t>
      </w:r>
      <w:r w:rsidR="003C313F">
        <w:t>and to identify the location of existing utility rights of way, easements, or other ‘encumbrances’ on the property</w:t>
      </w:r>
      <w:r w:rsidR="008635DE">
        <w:t xml:space="preserve">. NOAA </w:t>
      </w:r>
      <w:r w:rsidR="00940CAC">
        <w:t xml:space="preserve">also </w:t>
      </w:r>
      <w:r w:rsidR="008635DE">
        <w:t>uses</w:t>
      </w:r>
      <w:r w:rsidR="001659A1">
        <w:t xml:space="preserve"> it </w:t>
      </w:r>
      <w:r w:rsidR="008635DE">
        <w:t xml:space="preserve">to </w:t>
      </w:r>
      <w:r w:rsidR="007A4327">
        <w:t>ensure consistency</w:t>
      </w:r>
      <w:r w:rsidR="008635DE">
        <w:t xml:space="preserve"> with acreage and property </w:t>
      </w:r>
      <w:r w:rsidR="007A4327">
        <w:t xml:space="preserve">description </w:t>
      </w:r>
      <w:r w:rsidR="001659A1">
        <w:t xml:space="preserve">used in the property’s </w:t>
      </w:r>
      <w:r w:rsidR="008635DE">
        <w:t>appraisal</w:t>
      </w:r>
      <w:r w:rsidR="007A4327">
        <w:t xml:space="preserve">.  </w:t>
      </w:r>
    </w:p>
    <w:p w:rsidR="00492630" w:rsidP="00E37D35" w14:paraId="7BB0C1A3" w14:textId="46D5FF42">
      <w:pPr>
        <w:pStyle w:val="BodyTextIn"/>
        <w:tabs>
          <w:tab w:val="clear" w:pos="0"/>
        </w:tabs>
        <w:spacing w:after="240"/>
        <w:ind w:left="630" w:hanging="270"/>
      </w:pPr>
      <w:r>
        <w:t>6</w:t>
      </w:r>
      <w:r w:rsidRPr="00D12D84">
        <w:t>. Evidence of Title</w:t>
      </w:r>
      <w:r>
        <w:t>, including any exceptions to title</w:t>
      </w:r>
      <w:r w:rsidRPr="00D12D84">
        <w:t>.</w:t>
      </w:r>
      <w:r w:rsidR="00363DE7">
        <w:t xml:space="preserve"> </w:t>
      </w:r>
      <w:r w:rsidR="001A3C59">
        <w:t xml:space="preserve">Title commitments or title reviews any encumbrances, such as easements or reserved ownership rights, which might interfere with the intended conservation purposes for the property. It can also help identify complex ownership or other unresolved issues that may interfere with a timely transfer of clear title and ownership. </w:t>
      </w:r>
    </w:p>
    <w:p w:rsidR="00492630" w:rsidP="00E37D35" w14:paraId="47017E5B" w14:textId="34AC24AF">
      <w:pPr>
        <w:pStyle w:val="BodyTextIn"/>
        <w:tabs>
          <w:tab w:val="clear" w:pos="0"/>
        </w:tabs>
        <w:spacing w:after="240"/>
        <w:ind w:left="630" w:hanging="270"/>
      </w:pPr>
      <w:r>
        <w:t>7. Standard forms for Federal financial assistance (non-construction).</w:t>
      </w:r>
      <w:r w:rsidR="00363DE7">
        <w:t xml:space="preserve"> </w:t>
      </w:r>
      <w:r w:rsidR="00A42FE0">
        <w:t>These standard forms are c</w:t>
      </w:r>
      <w:r w:rsidR="00363DE7">
        <w:t>overed by OMB’s PRA information collection.</w:t>
      </w:r>
    </w:p>
    <w:p w:rsidR="00492630" w:rsidP="00492630" w14:paraId="1F5931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2630" w:rsidRPr="00236BBF" w:rsidP="00FA23B0" w14:paraId="001B48DE" w14:textId="4B082192">
      <w:r w:rsidRPr="004D154F">
        <w:t xml:space="preserve">This </w:t>
      </w:r>
      <w:r>
        <w:t xml:space="preserve">extension </w:t>
      </w:r>
      <w:r w:rsidRPr="004D154F">
        <w:t>request</w:t>
      </w:r>
      <w:r>
        <w:t xml:space="preserve"> (</w:t>
      </w:r>
      <w:r w:rsidRPr="004D154F">
        <w:t xml:space="preserve">OMB Control </w:t>
      </w:r>
      <w:r>
        <w:t xml:space="preserve">No. 0648-0459) covers the complete checklist </w:t>
      </w:r>
      <w:r w:rsidRPr="004D154F">
        <w:t>and any documents or supporting materials described in the checklist. This information collection enable</w:t>
      </w:r>
      <w:r w:rsidR="00A1160B">
        <w:t>s</w:t>
      </w:r>
      <w:r w:rsidRPr="004D154F">
        <w:t xml:space="preserve"> NOAA to implement the CELCP, under its current</w:t>
      </w:r>
      <w:r w:rsidRPr="00236BBF">
        <w:t xml:space="preserve"> or future authorization, and facilitate the review of similar projects under other authorities.</w:t>
      </w:r>
    </w:p>
    <w:p w:rsidR="00492630" w:rsidRPr="00394735" w:rsidP="00492630" w14:paraId="31C729A4" w14:textId="77777777">
      <w:pPr>
        <w:pStyle w:val="CommentText"/>
      </w:pPr>
    </w:p>
    <w:p w:rsidR="00492630" w:rsidRPr="000451CC" w:rsidP="001A3C59" w14:paraId="3AB2FC80" w14:textId="17E56B37">
      <w:pPr>
        <w:autoSpaceDE w:val="0"/>
        <w:autoSpaceDN w:val="0"/>
        <w:adjustRightInd w:val="0"/>
        <w:rPr>
          <w:i/>
          <w:u w:val="single"/>
        </w:rPr>
      </w:pPr>
      <w:r w:rsidRPr="000451CC">
        <w:rPr>
          <w:b/>
          <w:i/>
          <w:u w:val="single"/>
        </w:rPr>
        <w:t>Performance Reporting</w:t>
      </w:r>
      <w:r w:rsidRPr="000451CC" w:rsidR="001A3C59">
        <w:rPr>
          <w:b/>
          <w:i/>
          <w:u w:val="single"/>
        </w:rPr>
        <w:t xml:space="preserve"> -</w:t>
      </w:r>
    </w:p>
    <w:p w:rsidR="00492630" w:rsidRPr="000451CC" w:rsidP="001A3C59" w14:paraId="7F8D8D24" w14:textId="1735AA26">
      <w:pPr>
        <w:ind w:left="360" w:hanging="1260"/>
      </w:pPr>
    </w:p>
    <w:p w:rsidR="00E37D35" w:rsidP="00A42FE0" w14:paraId="5DF32EB7" w14:textId="77777777">
      <w:pPr>
        <w:pBdr>
          <w:top w:val="nil"/>
          <w:left w:val="nil"/>
          <w:bottom w:val="nil"/>
          <w:right w:val="nil"/>
          <w:between w:val="nil"/>
        </w:pBdr>
        <w:tabs>
          <w:tab w:val="left" w:pos="360"/>
        </w:tabs>
      </w:pPr>
      <w:r w:rsidRPr="000451CC">
        <w:t xml:space="preserve">Each grant recipient is required to: 1) report semi-annually on their progress in carrying out the approved project and 2) submit a final progress report. These documents are submitted to NOAA electronically via NOAA’s Grants Online system. As a standard condition of the grant, recipients are required to provide documentation of completion for all required tasks, such as a copy of the recorded deed or easement, installed sign acknowledging NOAA’s financial support for the project, and GIS shape-file, if available, for long-term tracking/monitoring of the property. </w:t>
      </w:r>
    </w:p>
    <w:p w:rsidR="00E37D35" w:rsidP="00A42FE0" w14:paraId="11E6E8C2" w14:textId="77777777">
      <w:pPr>
        <w:pBdr>
          <w:top w:val="nil"/>
          <w:left w:val="nil"/>
          <w:bottom w:val="nil"/>
          <w:right w:val="nil"/>
          <w:between w:val="nil"/>
        </w:pBdr>
        <w:tabs>
          <w:tab w:val="left" w:pos="360"/>
        </w:tabs>
      </w:pPr>
    </w:p>
    <w:p w:rsidR="00A42FE0" w:rsidP="00A42FE0" w14:paraId="79DDC0C7" w14:textId="77777777">
      <w:pPr>
        <w:pBdr>
          <w:top w:val="nil"/>
          <w:left w:val="nil"/>
          <w:bottom w:val="nil"/>
          <w:right w:val="nil"/>
          <w:between w:val="nil"/>
        </w:pBdr>
        <w:tabs>
          <w:tab w:val="left" w:pos="360"/>
        </w:tabs>
      </w:pPr>
    </w:p>
    <w:p w:rsidR="002766A7" w:rsidRPr="005E6DBE" w:rsidP="005E6DBE" w14:paraId="6956DBF3" w14:textId="1A563FE4">
      <w:pPr>
        <w:pStyle w:val="ListParagraph"/>
        <w:numPr>
          <w:ilvl w:val="0"/>
          <w:numId w:val="21"/>
        </w:numPr>
        <w:pBdr>
          <w:top w:val="nil"/>
          <w:left w:val="nil"/>
          <w:bottom w:val="nil"/>
          <w:right w:val="nil"/>
          <w:between w:val="nil"/>
        </w:pBdr>
        <w:tabs>
          <w:tab w:val="left" w:pos="360"/>
        </w:tabs>
        <w:spacing w:before="0"/>
        <w:ind w:left="0" w:firstLine="0"/>
        <w:rPr>
          <w:b/>
          <w:color w:val="000000"/>
        </w:rPr>
      </w:pPr>
      <w:r w:rsidRPr="005E6DBE">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2FE0" w:rsidRPr="000451CC" w:rsidP="005E6DBE" w14:paraId="343ECA42" w14:textId="77777777">
      <w:pPr>
        <w:rPr>
          <w:b/>
          <w:color w:val="2F5496"/>
        </w:rPr>
      </w:pPr>
    </w:p>
    <w:p w:rsidR="00706721" w:rsidP="00EF64AB" w14:paraId="03EB6558" w14:textId="64DCF158">
      <w:r w:rsidRPr="000451CC">
        <w:rPr>
          <w:lang w:val="en-CA"/>
        </w:rPr>
        <w:fldChar w:fldCharType="begin"/>
      </w:r>
      <w:r w:rsidRPr="000451CC">
        <w:rPr>
          <w:lang w:val="en-CA"/>
        </w:rPr>
        <w:instrText xml:space="preserve"> SEQ CHAPTER \h \r 1</w:instrText>
      </w:r>
      <w:r w:rsidRPr="000451CC">
        <w:rPr>
          <w:lang w:val="en-CA"/>
        </w:rPr>
        <w:fldChar w:fldCharType="separate"/>
      </w:r>
      <w:r w:rsidRPr="000451CC">
        <w:rPr>
          <w:lang w:val="en-CA"/>
        </w:rPr>
        <w:fldChar w:fldCharType="end"/>
      </w:r>
      <w:r w:rsidRPr="000451CC">
        <w:t>NOAA encourages states to submit information in electronic format whenever possible, via internet-based submittal (</w:t>
      </w:r>
      <w:hyperlink r:id="rId20" w:history="1">
        <w:r w:rsidRPr="000451CC">
          <w:rPr>
            <w:sz w:val="2"/>
            <w:szCs w:val="2"/>
          </w:rPr>
          <w:t>U</w:t>
        </w:r>
        <w:r w:rsidRPr="000451CC">
          <w:rPr>
            <w:rStyle w:val="Hyperlink"/>
          </w:rPr>
          <w:t>Grants.gov</w:t>
        </w:r>
        <w:r w:rsidRPr="000451CC" w:rsidR="007B4F2F">
          <w:rPr>
            <w:rStyle w:val="Hyperlink"/>
          </w:rPr>
          <w:t xml:space="preserve">, </w:t>
        </w:r>
        <w:r w:rsidRPr="000451CC">
          <w:rPr>
            <w:rStyle w:val="Hyperlink"/>
            <w:sz w:val="2"/>
            <w:szCs w:val="2"/>
          </w:rPr>
          <w:t>U</w:t>
        </w:r>
      </w:hyperlink>
      <w:r w:rsidRPr="000451CC" w:rsidR="007B4F2F">
        <w:rPr>
          <w:sz w:val="2"/>
          <w:szCs w:val="2"/>
        </w:rPr>
        <w:t xml:space="preserve">; </w:t>
      </w:r>
      <w:r w:rsidRPr="000451CC">
        <w:t>NOAA’s internet-based grant</w:t>
      </w:r>
      <w:r w:rsidR="00DA0A71">
        <w:t>’s</w:t>
      </w:r>
      <w:r w:rsidRPr="000451CC">
        <w:t xml:space="preserve"> </w:t>
      </w:r>
      <w:r w:rsidR="00DA0A71">
        <w:t>management</w:t>
      </w:r>
      <w:r w:rsidRPr="000451CC" w:rsidR="00DA0A71">
        <w:t xml:space="preserve"> </w:t>
      </w:r>
      <w:r w:rsidRPr="000451CC">
        <w:t>system</w:t>
      </w:r>
      <w:r w:rsidRPr="000451CC" w:rsidR="007B4F2F">
        <w:t xml:space="preserve"> “</w:t>
      </w:r>
      <w:r w:rsidRPr="000451CC">
        <w:rPr>
          <w:sz w:val="2"/>
          <w:szCs w:val="2"/>
        </w:rPr>
        <w:t>H</w:t>
      </w:r>
      <w:r w:rsidR="00DA0A71">
        <w:t>eRA Commons</w:t>
      </w:r>
      <w:r w:rsidRPr="000451CC" w:rsidR="000451CC">
        <w:t>” or email)</w:t>
      </w:r>
      <w:r w:rsidRPr="000451CC">
        <w:t xml:space="preserve"> or </w:t>
      </w:r>
      <w:r w:rsidR="00DA0A71">
        <w:t xml:space="preserve">if needed, </w:t>
      </w:r>
      <w:r w:rsidRPr="000451CC">
        <w:t>by disk</w:t>
      </w:r>
      <w:r w:rsidR="00DA0A71">
        <w:t xml:space="preserve"> or secure file transfer</w:t>
      </w:r>
      <w:r w:rsidRPr="000451CC">
        <w:t xml:space="preserve">, and supported by paper originals or copies </w:t>
      </w:r>
      <w:r w:rsidRPr="000451CC" w:rsidR="007B4F2F">
        <w:t xml:space="preserve">if </w:t>
      </w:r>
      <w:r w:rsidRPr="000451CC">
        <w:t xml:space="preserve">needed for proof of signature or approval. NOAA will make the project application/checklist and other required documents available on the </w:t>
      </w:r>
      <w:r w:rsidR="00DA0A71">
        <w:t>program</w:t>
      </w:r>
      <w:r w:rsidR="00344115">
        <w:t>’s</w:t>
      </w:r>
      <w:r w:rsidR="00DA0A71">
        <w:t xml:space="preserve"> website (e.g. </w:t>
      </w:r>
      <w:hyperlink r:id="rId21" w:history="1">
        <w:r w:rsidRPr="000451CC">
          <w:rPr>
            <w:rStyle w:val="Hyperlink"/>
          </w:rPr>
          <w:t>CEL</w:t>
        </w:r>
        <w:r w:rsidRPr="000451CC">
          <w:rPr>
            <w:rStyle w:val="Hyperlink"/>
          </w:rPr>
          <w:t>C</w:t>
        </w:r>
        <w:r w:rsidRPr="000451CC">
          <w:rPr>
            <w:rStyle w:val="Hyperlink"/>
          </w:rPr>
          <w:t>P website</w:t>
        </w:r>
      </w:hyperlink>
      <w:r>
        <w:rPr>
          <w:rStyle w:val="FootnoteReference"/>
          <w:color w:val="0000FF" w:themeColor="hyperlink"/>
          <w:u w:val="single"/>
        </w:rPr>
        <w:footnoteReference w:id="8"/>
      </w:r>
      <w:r w:rsidR="00DA0A71">
        <w:rPr>
          <w:rStyle w:val="Hyperlink"/>
        </w:rPr>
        <w:t>)</w:t>
      </w:r>
      <w:r w:rsidRPr="000451CC">
        <w:t xml:space="preserve"> and through Grants.gov</w:t>
      </w:r>
      <w:r w:rsidRPr="000451CC" w:rsidR="007B4F2F">
        <w:t xml:space="preserve"> so they are readily accessible to prospective applicants</w:t>
      </w:r>
      <w:r w:rsidRPr="000451CC">
        <w:t xml:space="preserve">.  </w:t>
      </w:r>
      <w:r w:rsidRPr="000451CC" w:rsidR="007B4F2F">
        <w:t>NOAA encourages applicants to submit p</w:t>
      </w:r>
      <w:r w:rsidRPr="000451CC">
        <w:t xml:space="preserve">roject proposals and final grant applications electronically through Grants.gov to </w:t>
      </w:r>
      <w:r w:rsidRPr="000451CC" w:rsidR="007B4F2F">
        <w:t xml:space="preserve">NOAA’s </w:t>
      </w:r>
      <w:r w:rsidR="00963DC1">
        <w:t>grants management</w:t>
      </w:r>
      <w:r w:rsidRPr="000451CC" w:rsidR="007B4F2F">
        <w:t xml:space="preserve"> system</w:t>
      </w:r>
      <w:r w:rsidRPr="000451CC">
        <w:t xml:space="preserve">.  NOAA requires coastal states and other applicants to use the </w:t>
      </w:r>
      <w:hyperlink r:id="rId22" w:history="1">
        <w:r w:rsidRPr="00344115" w:rsidR="00963DC1">
          <w:rPr>
            <w:rStyle w:val="Hyperlink"/>
          </w:rPr>
          <w:t>eRA Co</w:t>
        </w:r>
        <w:r w:rsidRPr="00344115" w:rsidR="00963DC1">
          <w:rPr>
            <w:rStyle w:val="Hyperlink"/>
          </w:rPr>
          <w:t>m</w:t>
        </w:r>
        <w:r w:rsidRPr="00344115" w:rsidR="00963DC1">
          <w:rPr>
            <w:rStyle w:val="Hyperlink"/>
          </w:rPr>
          <w:t>mons</w:t>
        </w:r>
      </w:hyperlink>
      <w:r>
        <w:rPr>
          <w:rStyle w:val="FootnoteReference"/>
          <w:color w:val="0000FF" w:themeColor="hyperlink"/>
          <w:u w:val="single"/>
        </w:rPr>
        <w:footnoteReference w:id="9"/>
      </w:r>
      <w:r w:rsidR="00344115">
        <w:t xml:space="preserve"> grants management</w:t>
      </w:r>
      <w:r w:rsidRPr="000451CC">
        <w:t xml:space="preserve"> system, which manages grant-related tasks, including performance reporting, for all financial assistance awards.  </w:t>
      </w:r>
    </w:p>
    <w:p w:rsidR="00A42FE0" w:rsidRPr="000451CC" w:rsidP="00EF64AB" w14:paraId="49912E8B" w14:textId="77777777">
      <w:pPr>
        <w:rPr>
          <w:b/>
        </w:rPr>
      </w:pPr>
    </w:p>
    <w:p w:rsidR="002766A7" w:rsidRPr="000451CC" w:rsidP="005E6DBE" w14:paraId="2E9EF970" w14:textId="77777777">
      <w:pPr>
        <w:numPr>
          <w:ilvl w:val="0"/>
          <w:numId w:val="22"/>
        </w:numPr>
        <w:pBdr>
          <w:top w:val="nil"/>
          <w:left w:val="nil"/>
          <w:bottom w:val="nil"/>
          <w:right w:val="nil"/>
          <w:between w:val="nil"/>
        </w:pBdr>
        <w:tabs>
          <w:tab w:val="left" w:pos="360"/>
        </w:tabs>
        <w:spacing w:before="80"/>
        <w:ind w:left="0" w:firstLine="0"/>
        <w:rPr>
          <w:b/>
          <w:color w:val="000000"/>
        </w:rPr>
      </w:pPr>
      <w:r w:rsidRPr="000451CC">
        <w:rPr>
          <w:b/>
          <w:color w:val="000000"/>
        </w:rPr>
        <w:t>Describe efforts to identify duplication. Show specifically why any similar information already available cannot be used or modified for use for the purposes described in Question 2</w:t>
      </w:r>
    </w:p>
    <w:p w:rsidR="000451CC" w:rsidRPr="000451CC" w:rsidP="00D940A4" w14:paraId="70597AAE" w14:textId="77777777">
      <w:pPr>
        <w:rPr>
          <w:lang w:val="en-CA"/>
        </w:rPr>
      </w:pPr>
    </w:p>
    <w:p w:rsidR="00D940A4" w:rsidP="00EF64AB" w14:paraId="264B5E8D" w14:textId="55FE6F2C">
      <w:r w:rsidRPr="000451CC">
        <w:rPr>
          <w:lang w:val="en-CA"/>
        </w:rPr>
        <w:fldChar w:fldCharType="begin"/>
      </w:r>
      <w:r w:rsidRPr="000451CC">
        <w:rPr>
          <w:lang w:val="en-CA"/>
        </w:rPr>
        <w:instrText xml:space="preserve"> SEQ CHAPTER \h \r 1</w:instrText>
      </w:r>
      <w:r w:rsidRPr="000451CC">
        <w:rPr>
          <w:lang w:val="en-CA"/>
        </w:rPr>
        <w:fldChar w:fldCharType="separate"/>
      </w:r>
      <w:r w:rsidRPr="000451CC">
        <w:rPr>
          <w:lang w:val="en-CA"/>
        </w:rPr>
        <w:fldChar w:fldCharType="end"/>
      </w:r>
      <w:r w:rsidRPr="000451CC">
        <w:t>NOAA is the only agency charged with administering and issuing funds under the Coastal Zone Management Act, including the CELCP, NERRS land acquisition, and CZM program (306A). The type of information collected under this request is very similar in nature to information already collected under the Coastal Zone Management Act, particularly the planning elements of section 305, and the land acquisition and construction projects under section 306A, and approved by OMB Control No. 0648-0119. Through this collection, NOAA avoids duplication by using the project checklist, or portions thereof, to meet the information collection needs specific to land acquisition projects under the Coastal and Estuarine Land Conservation Program, NERRS Acquisition and Construction Program, CZM Low-cost construction program, as well as similar projects assigned to the agency under other authorities given by Congress. NOAA maintains separate information collections for state CZM administrative and</w:t>
      </w:r>
      <w:r>
        <w:t xml:space="preserve"> NERRS operations awards.</w:t>
      </w:r>
    </w:p>
    <w:p w:rsidR="000E36F2" w:rsidP="00EF64AB" w14:paraId="75A4FFC9" w14:textId="77777777"/>
    <w:p w:rsidR="000E36F2" w:rsidP="00EF64AB" w14:paraId="4F0F2321" w14:textId="77777777">
      <w:pPr>
        <w:rPr>
          <w:color w:val="1F497D"/>
        </w:rPr>
      </w:pPr>
    </w:p>
    <w:p w:rsidR="002766A7" w:rsidP="005E6DBE" w14:paraId="176FAC0F" w14:textId="77777777">
      <w:pPr>
        <w:keepNext/>
        <w:widowControl/>
        <w:numPr>
          <w:ilvl w:val="0"/>
          <w:numId w:val="22"/>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0451CC" w:rsidP="00344115" w14:paraId="1986656E" w14:textId="77777777">
      <w:pPr>
        <w:keepNext/>
        <w:widowControl/>
        <w:rPr>
          <w:color w:val="2F5496"/>
        </w:rPr>
      </w:pPr>
    </w:p>
    <w:p w:rsidR="0081240F" w:rsidP="00EF64AB" w14:paraId="02F25DCE" w14:textId="04DCA03F">
      <w:pPr>
        <w:keepNext/>
        <w:widowControl/>
      </w:pPr>
      <w:r>
        <w:rPr>
          <w:lang w:val="en-CA"/>
        </w:rPr>
        <w:fldChar w:fldCharType="begin"/>
      </w:r>
      <w:r>
        <w:rPr>
          <w:lang w:val="en-CA"/>
        </w:rPr>
        <w:instrText xml:space="preserve"> SEQ CHAPTER \h \r 1</w:instrText>
      </w:r>
      <w:r>
        <w:rPr>
          <w:lang w:val="en-CA"/>
        </w:rPr>
        <w:fldChar w:fldCharType="separate"/>
      </w:r>
      <w:r>
        <w:rPr>
          <w:lang w:val="en-CA"/>
        </w:rPr>
        <w:fldChar w:fldCharType="end"/>
      </w:r>
      <w:r>
        <w:t>This collection does not involve small businesses and is not likely to involve other small entities.  Eligible entities may include state, local, regional</w:t>
      </w:r>
      <w:r w:rsidR="00963DC1">
        <w:t xml:space="preserve">, </w:t>
      </w:r>
      <w:r>
        <w:t>inter-state</w:t>
      </w:r>
      <w:r w:rsidR="00963DC1">
        <w:t>, or tribal</w:t>
      </w:r>
      <w:r>
        <w:t xml:space="preserve"> government agencies or entities, or in some cases, non-governmental organizations, which in most cases would not qualify as small entities.  Through the Coastal and Estuarine Land Conservation Program, a coastal state may solicit projects from qualified local governments, each of whom would participate on a voluntary basis. The program includes a “pre-application” process that would minimize the information collection burden by requiring only a sub-set of information that would be needed from the applicant for a final grant application. For projects that are selected for funding, for which additional information is needed, applicants would be asked to submit standard grant application forms, along with the materials already provided for the “pre-application” stage. </w:t>
      </w:r>
    </w:p>
    <w:p w:rsidR="00D940A4" w:rsidP="00EF64AB" w14:paraId="5CC73637" w14:textId="354A6ADD">
      <w:pPr>
        <w:keepNext/>
        <w:widowControl/>
        <w:rPr>
          <w:color w:val="000000"/>
        </w:rPr>
      </w:pPr>
      <w:r>
        <w:t xml:space="preserve"> </w:t>
      </w:r>
    </w:p>
    <w:p w:rsidR="002766A7" w:rsidP="005E6DBE" w14:paraId="55342042"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81240F" w:rsidP="005E6DBE" w14:paraId="1E044896" w14:textId="77777777">
      <w:pPr>
        <w:pBdr>
          <w:top w:val="nil"/>
          <w:left w:val="nil"/>
          <w:bottom w:val="nil"/>
          <w:right w:val="nil"/>
          <w:between w:val="nil"/>
        </w:pBdr>
        <w:rPr>
          <w:color w:val="000000"/>
        </w:rPr>
      </w:pPr>
    </w:p>
    <w:p w:rsidR="00D940A4" w:rsidP="00EF64AB" w14:paraId="3E9085BB" w14:textId="4EF1544B">
      <w:r>
        <w:rPr>
          <w:lang w:val="en-CA"/>
        </w:rPr>
        <w:fldChar w:fldCharType="begin"/>
      </w:r>
      <w:r>
        <w:rPr>
          <w:lang w:val="en-CA"/>
        </w:rPr>
        <w:instrText xml:space="preserve"> SEQ CHAPTER \h \r 1</w:instrText>
      </w:r>
      <w:r>
        <w:rPr>
          <w:lang w:val="en-CA"/>
        </w:rPr>
        <w:fldChar w:fldCharType="separate"/>
      </w:r>
      <w:r>
        <w:rPr>
          <w:lang w:val="en-CA"/>
        </w:rPr>
        <w:fldChar w:fldCharType="end"/>
      </w:r>
      <w:r>
        <w:t xml:space="preserve">The agency would not be able to implement the program or projects effectively or at all if the collection were conducted less frequently. The information collection </w:t>
      </w:r>
      <w:r w:rsidR="000451CC">
        <w:t>corres</w:t>
      </w:r>
      <w:r>
        <w:t>pond</w:t>
      </w:r>
      <w:r w:rsidR="000451CC">
        <w:t>s</w:t>
      </w:r>
      <w:r>
        <w:t xml:space="preserve"> with Congressional or other requirements for:</w:t>
      </w:r>
      <w:r w:rsidR="0081240F">
        <w:t xml:space="preserve"> </w:t>
      </w:r>
      <w:r>
        <w:t xml:space="preserve"> establishment of a program (normally one-time), issuance of financial assistance awards (normally issued once for each appropriations cycle), and performance reporting (semi-annual or annual reporting is standard). </w:t>
      </w:r>
      <w:r w:rsidR="00FA23B0">
        <w:t>Also, the</w:t>
      </w:r>
      <w:r w:rsidR="000451CC">
        <w:t xml:space="preserve"> inability to collect </w:t>
      </w:r>
      <w:r w:rsidR="00FA23B0">
        <w:t xml:space="preserve">due diligence </w:t>
      </w:r>
      <w:r w:rsidR="000451CC">
        <w:t xml:space="preserve">information </w:t>
      </w:r>
      <w:r w:rsidR="00963DC1">
        <w:t>f</w:t>
      </w:r>
      <w:r w:rsidR="00FA23B0">
        <w:t xml:space="preserve">or </w:t>
      </w:r>
      <w:r w:rsidR="000451CC">
        <w:t xml:space="preserve">land acquisition and restoration </w:t>
      </w:r>
      <w:r w:rsidR="00FA23B0">
        <w:t>projects c</w:t>
      </w:r>
      <w:r w:rsidR="000451CC">
        <w:t xml:space="preserve">ould increase </w:t>
      </w:r>
      <w:r w:rsidR="00FA23B0">
        <w:t xml:space="preserve">financial and audit </w:t>
      </w:r>
      <w:r w:rsidR="000451CC">
        <w:t>risk</w:t>
      </w:r>
      <w:r w:rsidR="00FA23B0">
        <w:t xml:space="preserve"> for </w:t>
      </w:r>
      <w:r w:rsidR="000451CC">
        <w:t>NOAA.</w:t>
      </w:r>
    </w:p>
    <w:p w:rsidR="0081240F" w:rsidP="00EF64AB" w14:paraId="39410361" w14:textId="77777777">
      <w:pPr>
        <w:rPr>
          <w:color w:val="000000"/>
        </w:rPr>
      </w:pPr>
    </w:p>
    <w:p w:rsidR="002766A7" w:rsidP="005E6DBE" w14:paraId="167F7047"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3F455A" w:rsidP="005E6DBE" w14:paraId="31330571" w14:textId="77777777">
      <w:pPr>
        <w:pBdr>
          <w:top w:val="nil"/>
          <w:left w:val="nil"/>
          <w:bottom w:val="nil"/>
          <w:right w:val="nil"/>
          <w:between w:val="nil"/>
        </w:pBdr>
        <w:tabs>
          <w:tab w:val="left" w:pos="360"/>
        </w:tabs>
        <w:rPr>
          <w:b/>
          <w:color w:val="1F497D"/>
        </w:rPr>
      </w:pPr>
    </w:p>
    <w:p w:rsidR="002766A7" w:rsidRPr="003F455A" w:rsidP="005E6DBE" w14:paraId="32031907" w14:textId="15161291">
      <w:pPr>
        <w:pBdr>
          <w:top w:val="nil"/>
          <w:left w:val="nil"/>
          <w:bottom w:val="nil"/>
          <w:right w:val="nil"/>
          <w:between w:val="nil"/>
        </w:pBdr>
        <w:tabs>
          <w:tab w:val="left" w:pos="360"/>
        </w:tabs>
      </w:pPr>
      <w:r w:rsidRPr="003F455A">
        <w:t xml:space="preserve">The following addresses how this collection is conducted relative to the following </w:t>
      </w:r>
      <w:r w:rsidRPr="003F455A" w:rsidR="00E91D54">
        <w:t>OMB guidelines</w:t>
      </w:r>
      <w:r w:rsidRPr="003F455A">
        <w:t>:</w:t>
      </w:r>
    </w:p>
    <w:p w:rsidR="00D940A4" w:rsidP="00D940A4" w14:paraId="1BE0B5EA" w14:textId="20F5E5A7">
      <w:pPr>
        <w:numPr>
          <w:ilvl w:val="0"/>
          <w:numId w:val="7"/>
        </w:numPr>
        <w:pBdr>
          <w:top w:val="nil"/>
          <w:left w:val="nil"/>
          <w:bottom w:val="nil"/>
          <w:right w:val="nil"/>
          <w:between w:val="nil"/>
        </w:pBdr>
        <w:spacing w:before="120"/>
        <w:ind w:left="720"/>
        <w:rPr>
          <w:color w:val="1F497D"/>
        </w:rPr>
      </w:pPr>
      <w:r>
        <w:rPr>
          <w:color w:val="1F497D"/>
        </w:rPr>
        <w:t>requiring respondents to report information to the agency more often than quarterly;</w:t>
      </w:r>
    </w:p>
    <w:p w:rsidR="00D940A4" w:rsidRPr="003F455A" w:rsidP="005E6DBE" w14:paraId="1477FB7B" w14:textId="19911BF2">
      <w:pPr>
        <w:pBdr>
          <w:top w:val="nil"/>
          <w:left w:val="nil"/>
          <w:bottom w:val="nil"/>
          <w:right w:val="nil"/>
          <w:between w:val="nil"/>
        </w:pBdr>
        <w:spacing w:before="120"/>
        <w:ind w:left="720"/>
      </w:pPr>
      <w:bookmarkStart w:id="2" w:name="_Hlk95318988"/>
      <w:r w:rsidRPr="003F455A">
        <w:t xml:space="preserve">Information is </w:t>
      </w:r>
      <w:r w:rsidR="00963DC1">
        <w:t xml:space="preserve">only </w:t>
      </w:r>
      <w:r w:rsidRPr="003F455A">
        <w:t xml:space="preserve">collected once every </w:t>
      </w:r>
      <w:r w:rsidR="0081240F">
        <w:t>five</w:t>
      </w:r>
      <w:r w:rsidRPr="003F455A">
        <w:t xml:space="preserve"> years for CELCP plans</w:t>
      </w:r>
      <w:r w:rsidR="0081240F">
        <w:t>;</w:t>
      </w:r>
      <w:r w:rsidRPr="003F455A">
        <w:t xml:space="preserve"> </w:t>
      </w:r>
      <w:r w:rsidR="00FA23B0">
        <w:t xml:space="preserve">one time each year </w:t>
      </w:r>
      <w:r w:rsidRPr="003F455A">
        <w:t>for project proposals</w:t>
      </w:r>
      <w:r w:rsidR="00FA23B0">
        <w:t xml:space="preserve">, </w:t>
      </w:r>
      <w:r w:rsidRPr="003F455A">
        <w:t>final grant applications</w:t>
      </w:r>
      <w:r w:rsidR="0081240F">
        <w:t>,</w:t>
      </w:r>
      <w:r w:rsidRPr="003F455A">
        <w:t xml:space="preserve"> </w:t>
      </w:r>
      <w:r w:rsidR="00FA23B0">
        <w:t xml:space="preserve">and </w:t>
      </w:r>
      <w:r w:rsidRPr="003F455A" w:rsidR="00FA23B0">
        <w:t xml:space="preserve">due diligence materials </w:t>
      </w:r>
      <w:r w:rsidRPr="003F455A">
        <w:t>for selected projects</w:t>
      </w:r>
      <w:r w:rsidR="0081240F">
        <w:t>; and</w:t>
      </w:r>
      <w:r w:rsidR="00FA23B0">
        <w:t xml:space="preserve"> two times per year for progress reports</w:t>
      </w:r>
      <w:r w:rsidRPr="003F455A">
        <w:t xml:space="preserve">. </w:t>
      </w:r>
    </w:p>
    <w:bookmarkEnd w:id="2"/>
    <w:p w:rsidR="002766A7" w14:paraId="333E3B23" w14:textId="21280023">
      <w:pPr>
        <w:numPr>
          <w:ilvl w:val="0"/>
          <w:numId w:val="7"/>
        </w:numPr>
        <w:pBdr>
          <w:top w:val="nil"/>
          <w:left w:val="nil"/>
          <w:bottom w:val="nil"/>
          <w:right w:val="nil"/>
          <w:between w:val="nil"/>
        </w:pBdr>
        <w:spacing w:before="120"/>
        <w:ind w:left="720"/>
        <w:rPr>
          <w:color w:val="1F497D"/>
        </w:rPr>
      </w:pPr>
      <w:r>
        <w:rPr>
          <w:color w:val="1F497D"/>
        </w:rPr>
        <w:t>requiring respondents to prepare a written response to a collection of information in fewer than 30 days after receipt of it;</w:t>
      </w:r>
    </w:p>
    <w:p w:rsidR="00AF49F6" w:rsidRPr="003F455A" w:rsidP="005E6DBE" w14:paraId="1699FF4E" w14:textId="6322D4E1">
      <w:pPr>
        <w:pBdr>
          <w:top w:val="nil"/>
          <w:left w:val="nil"/>
          <w:bottom w:val="nil"/>
          <w:right w:val="nil"/>
          <w:between w:val="nil"/>
        </w:pBdr>
        <w:spacing w:before="120"/>
        <w:ind w:firstLine="720"/>
      </w:pPr>
      <w:r w:rsidRPr="003F455A">
        <w:t xml:space="preserve">Funding competitions are announced more than 30 days before due dates.  </w:t>
      </w:r>
    </w:p>
    <w:p w:rsidR="002766A7" w14:paraId="756F8800" w14:textId="72677B5C">
      <w:pPr>
        <w:numPr>
          <w:ilvl w:val="0"/>
          <w:numId w:val="7"/>
        </w:numPr>
        <w:pBdr>
          <w:top w:val="nil"/>
          <w:left w:val="nil"/>
          <w:bottom w:val="nil"/>
          <w:right w:val="nil"/>
          <w:between w:val="nil"/>
        </w:pBdr>
        <w:spacing w:before="120"/>
        <w:ind w:left="720"/>
        <w:rPr>
          <w:color w:val="1F497D"/>
        </w:rPr>
      </w:pPr>
      <w:r>
        <w:rPr>
          <w:color w:val="1F497D"/>
        </w:rPr>
        <w:t>requiring respondents to submit more than an original and two copies of any document;</w:t>
      </w:r>
    </w:p>
    <w:p w:rsidR="0046631C" w:rsidRPr="003F455A" w:rsidP="005E6DBE" w14:paraId="06F47089" w14:textId="7C537061">
      <w:pPr>
        <w:pBdr>
          <w:top w:val="nil"/>
          <w:left w:val="nil"/>
          <w:bottom w:val="nil"/>
          <w:right w:val="nil"/>
          <w:between w:val="nil"/>
        </w:pBdr>
        <w:spacing w:before="120"/>
        <w:ind w:left="720"/>
      </w:pPr>
      <w:r w:rsidRPr="003F455A">
        <w:t>Documents are submitted electronically. If paper versions of documents are submitted (e.g.</w:t>
      </w:r>
      <w:r w:rsidR="0081240F">
        <w:t>,</w:t>
      </w:r>
      <w:r w:rsidRPr="003F455A">
        <w:t xml:space="preserve"> oversized property survey plats), respondents are not required to submit more than one copy.</w:t>
      </w:r>
    </w:p>
    <w:p w:rsidR="002766A7" w:rsidRPr="003F455A" w14:paraId="52C1637B" w14:textId="684BEC41">
      <w:pPr>
        <w:numPr>
          <w:ilvl w:val="0"/>
          <w:numId w:val="7"/>
        </w:numPr>
        <w:pBdr>
          <w:top w:val="nil"/>
          <w:left w:val="nil"/>
          <w:bottom w:val="nil"/>
          <w:right w:val="nil"/>
          <w:between w:val="nil"/>
        </w:pBdr>
        <w:spacing w:before="120"/>
        <w:ind w:left="720"/>
        <w:rPr>
          <w:color w:val="1F497D"/>
        </w:rPr>
      </w:pPr>
      <w:r w:rsidRPr="00B348D0">
        <w:rPr>
          <w:color w:val="1F497D"/>
        </w:rPr>
        <w:t>requiring respondents to retain records, other than health, medical, government contract, grant-in- aid, or tax records for more than three years;</w:t>
      </w:r>
    </w:p>
    <w:p w:rsidR="0046631C" w:rsidRPr="003F455A" w:rsidP="005E6DBE" w14:paraId="43B36F8D" w14:textId="6EE9E542">
      <w:pPr>
        <w:pBdr>
          <w:top w:val="nil"/>
          <w:left w:val="nil"/>
          <w:bottom w:val="nil"/>
          <w:right w:val="nil"/>
          <w:between w:val="nil"/>
        </w:pBdr>
        <w:spacing w:before="120"/>
        <w:ind w:left="720"/>
      </w:pPr>
      <w:r w:rsidRPr="003F455A">
        <w:t xml:space="preserve">Respondents </w:t>
      </w:r>
      <w:r w:rsidRPr="003F455A" w:rsidR="00A93FC5">
        <w:t>retain land acquisition records for which there is a long-term financial and management interest (e.g.</w:t>
      </w:r>
      <w:r w:rsidR="0081240F">
        <w:t>,</w:t>
      </w:r>
      <w:r w:rsidRPr="003F455A" w:rsidR="00A93FC5">
        <w:t xml:space="preserve"> </w:t>
      </w:r>
      <w:r w:rsidRPr="003F455A">
        <w:t>deeds</w:t>
      </w:r>
      <w:r w:rsidRPr="003F455A" w:rsidR="00A93FC5">
        <w:t xml:space="preserve">, surveys, cost basis and funding sources, etc.) but </w:t>
      </w:r>
      <w:r w:rsidRPr="003F455A" w:rsidR="001E50C2">
        <w:t xml:space="preserve">are </w:t>
      </w:r>
      <w:r w:rsidRPr="003F455A" w:rsidR="00A93FC5">
        <w:t xml:space="preserve">not </w:t>
      </w:r>
      <w:r w:rsidRPr="003F455A" w:rsidR="001E50C2">
        <w:t xml:space="preserve">required </w:t>
      </w:r>
      <w:r w:rsidRPr="003F455A" w:rsidR="00A93FC5">
        <w:t>to retain other routine grant records (e.g.</w:t>
      </w:r>
      <w:r w:rsidR="0081240F">
        <w:t>,</w:t>
      </w:r>
      <w:r w:rsidRPr="003F455A" w:rsidR="00A93FC5">
        <w:t xml:space="preserve"> interim progress reports and financial reports, etc.) beyond three years. </w:t>
      </w:r>
    </w:p>
    <w:p w:rsidR="002766A7" w14:paraId="60124CB5" w14:textId="13B763D8">
      <w:pPr>
        <w:numPr>
          <w:ilvl w:val="0"/>
          <w:numId w:val="7"/>
        </w:numPr>
        <w:pBdr>
          <w:top w:val="nil"/>
          <w:left w:val="nil"/>
          <w:bottom w:val="nil"/>
          <w:right w:val="nil"/>
          <w:between w:val="nil"/>
        </w:pBdr>
        <w:spacing w:before="120"/>
        <w:ind w:left="720"/>
        <w:rPr>
          <w:color w:val="1F497D"/>
        </w:rPr>
      </w:pPr>
      <w:r>
        <w:rPr>
          <w:color w:val="1F497D"/>
        </w:rPr>
        <w:t>in connection with a statistical survey, that is not designed to produce valid and reliable results that can be generalized to the universe of study;</w:t>
      </w:r>
    </w:p>
    <w:p w:rsidR="00A93FC5" w:rsidRPr="003F455A" w:rsidP="005E6DBE" w14:paraId="7D7E0A71" w14:textId="4340BD4A">
      <w:pPr>
        <w:pBdr>
          <w:top w:val="nil"/>
          <w:left w:val="nil"/>
          <w:bottom w:val="nil"/>
          <w:right w:val="nil"/>
          <w:between w:val="nil"/>
        </w:pBdr>
        <w:spacing w:before="120"/>
        <w:ind w:firstLine="720"/>
      </w:pPr>
      <w:r w:rsidRPr="003F455A">
        <w:t>This collection does not involve a statistical survey.</w:t>
      </w:r>
    </w:p>
    <w:p w:rsidR="002766A7" w14:paraId="3915B297" w14:textId="7BA454BA">
      <w:pPr>
        <w:numPr>
          <w:ilvl w:val="0"/>
          <w:numId w:val="7"/>
        </w:numPr>
        <w:pBdr>
          <w:top w:val="nil"/>
          <w:left w:val="nil"/>
          <w:bottom w:val="nil"/>
          <w:right w:val="nil"/>
          <w:between w:val="nil"/>
        </w:pBdr>
        <w:spacing w:before="120"/>
        <w:ind w:left="720"/>
        <w:rPr>
          <w:color w:val="1F497D"/>
        </w:rPr>
      </w:pPr>
      <w:r>
        <w:rPr>
          <w:color w:val="1F497D"/>
        </w:rPr>
        <w:t>requiring the use of a statistical data classification not reviewed and approved by OMB;</w:t>
      </w:r>
    </w:p>
    <w:p w:rsidR="00A93FC5" w:rsidRPr="003F455A" w:rsidP="005E6DBE" w14:paraId="1CE0BF7E" w14:textId="29A44EE7">
      <w:pPr>
        <w:pBdr>
          <w:top w:val="nil"/>
          <w:left w:val="nil"/>
          <w:bottom w:val="nil"/>
          <w:right w:val="nil"/>
          <w:between w:val="nil"/>
        </w:pBdr>
        <w:spacing w:before="120"/>
        <w:ind w:firstLine="720"/>
      </w:pPr>
      <w:r>
        <w:t>T</w:t>
      </w:r>
      <w:r w:rsidRPr="003F455A">
        <w:t>his collection does not involve a statistical survey.</w:t>
      </w:r>
    </w:p>
    <w:p w:rsidR="002766A7" w14:paraId="107127D8" w14:textId="50D0624D">
      <w:pPr>
        <w:numPr>
          <w:ilvl w:val="0"/>
          <w:numId w:val="7"/>
        </w:numPr>
        <w:pBdr>
          <w:top w:val="nil"/>
          <w:left w:val="nil"/>
          <w:bottom w:val="nil"/>
          <w:right w:val="nil"/>
          <w:between w:val="nil"/>
        </w:pBdr>
        <w:spacing w:before="120"/>
        <w:ind w:left="720"/>
        <w:rPr>
          <w:color w:val="1F497D"/>
        </w:rPr>
      </w:pPr>
      <w:r>
        <w:rPr>
          <w:color w:val="1F497D"/>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93FC5" w:rsidRPr="003F455A" w:rsidP="005E6DBE" w14:paraId="655815A3" w14:textId="70C232F0">
      <w:pPr>
        <w:pBdr>
          <w:top w:val="nil"/>
          <w:left w:val="nil"/>
          <w:bottom w:val="nil"/>
          <w:right w:val="nil"/>
          <w:between w:val="nil"/>
        </w:pBdr>
        <w:spacing w:before="120"/>
        <w:ind w:left="720"/>
      </w:pPr>
      <w:r w:rsidRPr="003F455A">
        <w:t>Merit reviewers are asked to maintain confidentiality of</w:t>
      </w:r>
      <w:r w:rsidRPr="003F455A" w:rsidR="00B348D0">
        <w:t xml:space="preserve"> </w:t>
      </w:r>
      <w:r w:rsidRPr="003F455A">
        <w:t>materials</w:t>
      </w:r>
      <w:r w:rsidRPr="003F455A" w:rsidR="00B348D0">
        <w:t xml:space="preserve"> submitted as part of grant applications</w:t>
      </w:r>
      <w:r w:rsidRPr="003F455A">
        <w:t>, which are pre-decisional</w:t>
      </w:r>
      <w:r w:rsidRPr="003F455A" w:rsidR="00212453">
        <w:t>, and</w:t>
      </w:r>
      <w:r w:rsidRPr="003F455A">
        <w:t xml:space="preserve"> </w:t>
      </w:r>
      <w:r w:rsidRPr="003F455A" w:rsidR="00B348D0">
        <w:t>to destroy any copies of materials upon completing the merit review.</w:t>
      </w:r>
    </w:p>
    <w:p w:rsidR="002766A7" w14:paraId="60124CE7" w14:textId="036507C4">
      <w:pPr>
        <w:numPr>
          <w:ilvl w:val="0"/>
          <w:numId w:val="7"/>
        </w:numPr>
        <w:pBdr>
          <w:top w:val="nil"/>
          <w:left w:val="nil"/>
          <w:bottom w:val="nil"/>
          <w:right w:val="nil"/>
          <w:between w:val="nil"/>
        </w:pBdr>
        <w:spacing w:before="120"/>
        <w:ind w:left="720"/>
        <w:rPr>
          <w:color w:val="1F497D"/>
        </w:rPr>
      </w:pPr>
      <w:r w:rsidRPr="003F455A">
        <w:rPr>
          <w:color w:val="1F497D"/>
        </w:rPr>
        <w:t>requiring respondents to submit proprietary trade secret, or other confidential information unless the agency can demonstrate that it has instituted procedures to protect the information's confidentiality to the extent permitted by law.</w:t>
      </w:r>
    </w:p>
    <w:p w:rsidR="00212453" w:rsidRPr="0081240F" w:rsidP="005E6DBE" w14:paraId="10362F74" w14:textId="122E7904">
      <w:pPr>
        <w:pBdr>
          <w:top w:val="nil"/>
          <w:left w:val="nil"/>
          <w:bottom w:val="nil"/>
          <w:right w:val="nil"/>
          <w:between w:val="nil"/>
        </w:pBdr>
        <w:spacing w:before="80"/>
        <w:ind w:left="720"/>
        <w:rPr>
          <w:color w:val="1F497D"/>
        </w:rPr>
      </w:pPr>
      <w:r w:rsidRPr="00E76DFF">
        <w:t xml:space="preserve">This information </w:t>
      </w:r>
      <w:r w:rsidRPr="00685A7F">
        <w:t xml:space="preserve">collection does not require respondents to submit proprietary trade secrets. It may include documents that contain sensitive information related to pre-acquisition negotiations, such as purchase or option agreements. Application materials are received through Grants.gov, reside in NOAA’s </w:t>
      </w:r>
      <w:r w:rsidR="00963DC1">
        <w:t>grants management</w:t>
      </w:r>
      <w:r w:rsidRPr="00685A7F">
        <w:t xml:space="preserve"> system </w:t>
      </w:r>
      <w:r w:rsidR="00344115">
        <w:t xml:space="preserve">(eRA Commons) </w:t>
      </w:r>
      <w:r w:rsidRPr="00685A7F">
        <w:t xml:space="preserve">and </w:t>
      </w:r>
      <w:r w:rsidR="0009696E">
        <w:t xml:space="preserve">are </w:t>
      </w:r>
      <w:r w:rsidRPr="00685A7F">
        <w:t>reviewed confidentially</w:t>
      </w:r>
      <w:r>
        <w:t xml:space="preserve">. </w:t>
      </w:r>
    </w:p>
    <w:p w:rsidR="003F455A" w:rsidRPr="003F455A" w:rsidP="003F455A" w14:paraId="0376F381" w14:textId="77777777">
      <w:pPr>
        <w:pBdr>
          <w:top w:val="nil"/>
          <w:left w:val="nil"/>
          <w:bottom w:val="nil"/>
          <w:right w:val="nil"/>
          <w:between w:val="nil"/>
        </w:pBdr>
        <w:spacing w:before="80"/>
        <w:rPr>
          <w:color w:val="1F497D"/>
        </w:rPr>
      </w:pPr>
    </w:p>
    <w:p w:rsidR="002766A7" w:rsidP="005E6DBE" w14:paraId="2E492B98"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04980" w14:paraId="0423645E" w14:textId="34ACE646">
      <w:pPr>
        <w:pBdr>
          <w:top w:val="nil"/>
          <w:left w:val="nil"/>
          <w:bottom w:val="nil"/>
          <w:right w:val="nil"/>
          <w:between w:val="nil"/>
        </w:pBdr>
        <w:spacing w:before="159"/>
        <w:rPr>
          <w:color w:val="000000"/>
        </w:rPr>
      </w:pPr>
      <w:r>
        <w:rPr>
          <w:color w:val="000000"/>
        </w:rPr>
        <w:t xml:space="preserve">A 60-day notice of the submission to OMB for this collection and request for comments was published in the </w:t>
      </w:r>
      <w:r w:rsidRPr="005405E0">
        <w:rPr>
          <w:color w:val="000000"/>
        </w:rPr>
        <w:t>Federal Register</w:t>
      </w:r>
      <w:r w:rsidRPr="00623421">
        <w:rPr>
          <w:color w:val="000000"/>
        </w:rPr>
        <w:t xml:space="preserve">, </w:t>
      </w:r>
      <w:r w:rsidR="000E36F2">
        <w:rPr>
          <w:color w:val="000000"/>
        </w:rPr>
        <w:t>(89 FR 102114)</w:t>
      </w:r>
      <w:r w:rsidRPr="00344115">
        <w:rPr>
          <w:color w:val="000000"/>
        </w:rPr>
        <w:t xml:space="preserve">, on </w:t>
      </w:r>
      <w:r w:rsidRPr="00623421" w:rsidR="00963DC1">
        <w:rPr>
          <w:color w:val="000000"/>
        </w:rPr>
        <w:t>Tuesday</w:t>
      </w:r>
      <w:r w:rsidRPr="00623421">
        <w:rPr>
          <w:color w:val="000000"/>
        </w:rPr>
        <w:t xml:space="preserve">, </w:t>
      </w:r>
      <w:r w:rsidRPr="00623421" w:rsidR="00963DC1">
        <w:rPr>
          <w:color w:val="000000"/>
        </w:rPr>
        <w:t>Dec</w:t>
      </w:r>
      <w:r w:rsidRPr="00344115">
        <w:rPr>
          <w:color w:val="000000"/>
        </w:rPr>
        <w:t>ember 1</w:t>
      </w:r>
      <w:r w:rsidRPr="00623421" w:rsidR="00963DC1">
        <w:rPr>
          <w:color w:val="000000"/>
        </w:rPr>
        <w:t>7</w:t>
      </w:r>
      <w:r w:rsidRPr="00623421">
        <w:rPr>
          <w:color w:val="000000"/>
        </w:rPr>
        <w:t>, 202</w:t>
      </w:r>
      <w:r w:rsidRPr="00623421" w:rsidR="00963DC1">
        <w:rPr>
          <w:color w:val="000000"/>
        </w:rPr>
        <w:t>5</w:t>
      </w:r>
      <w:r w:rsidRPr="00623421" w:rsidR="00DB384C">
        <w:rPr>
          <w:color w:val="000000"/>
        </w:rPr>
        <w:t xml:space="preserve"> (available </w:t>
      </w:r>
      <w:hyperlink r:id="rId23" w:history="1">
        <w:r w:rsidRPr="00623421" w:rsidR="00DB384C">
          <w:rPr>
            <w:rStyle w:val="Hyperlink"/>
          </w:rPr>
          <w:t>he</w:t>
        </w:r>
        <w:r w:rsidRPr="00623421" w:rsidR="00DB384C">
          <w:rPr>
            <w:rStyle w:val="Hyperlink"/>
          </w:rPr>
          <w:t>r</w:t>
        </w:r>
        <w:r w:rsidRPr="00623421" w:rsidR="00DB384C">
          <w:rPr>
            <w:rStyle w:val="Hyperlink"/>
          </w:rPr>
          <w:t>e</w:t>
        </w:r>
      </w:hyperlink>
      <w:r>
        <w:rPr>
          <w:rStyle w:val="FootnoteReference"/>
          <w:color w:val="0000FF" w:themeColor="hyperlink"/>
          <w:u w:val="single"/>
        </w:rPr>
        <w:footnoteReference w:id="10"/>
      </w:r>
      <w:r w:rsidRPr="00623421" w:rsidR="00DB384C">
        <w:rPr>
          <w:color w:val="000000"/>
        </w:rPr>
        <w:t>)</w:t>
      </w:r>
      <w:r w:rsidRPr="00623421">
        <w:rPr>
          <w:color w:val="000000"/>
        </w:rPr>
        <w:t>. No comments</w:t>
      </w:r>
      <w:r>
        <w:rPr>
          <w:color w:val="000000"/>
        </w:rPr>
        <w:t xml:space="preserve"> were received in respons</w:t>
      </w:r>
      <w:r w:rsidRPr="00344115">
        <w:rPr>
          <w:color w:val="000000"/>
        </w:rPr>
        <w:t xml:space="preserve">e. </w:t>
      </w:r>
      <w:r w:rsidRPr="00344115" w:rsidR="00DB384C">
        <w:rPr>
          <w:color w:val="000000"/>
        </w:rPr>
        <w:t xml:space="preserve"> </w:t>
      </w:r>
    </w:p>
    <w:p w:rsidR="000E36F2" w14:paraId="618FE4BE" w14:textId="77777777">
      <w:pPr>
        <w:pBdr>
          <w:top w:val="nil"/>
          <w:left w:val="nil"/>
          <w:bottom w:val="nil"/>
          <w:right w:val="nil"/>
          <w:between w:val="nil"/>
        </w:pBdr>
        <w:spacing w:before="159"/>
        <w:rPr>
          <w:color w:val="000000"/>
        </w:rPr>
      </w:pPr>
    </w:p>
    <w:p w:rsidR="000E36F2" w14:paraId="0DDE501F" w14:textId="77777777">
      <w:pPr>
        <w:pBdr>
          <w:top w:val="nil"/>
          <w:left w:val="nil"/>
          <w:bottom w:val="nil"/>
          <w:right w:val="nil"/>
          <w:between w:val="nil"/>
        </w:pBdr>
        <w:spacing w:before="159"/>
        <w:rPr>
          <w:color w:val="000000"/>
          <w:highlight w:val="yellow"/>
        </w:rPr>
      </w:pPr>
    </w:p>
    <w:p w:rsidR="00604980" w:rsidRPr="00344115" w14:paraId="677EF563" w14:textId="31DC8400">
      <w:pPr>
        <w:pBdr>
          <w:top w:val="nil"/>
          <w:left w:val="nil"/>
          <w:bottom w:val="nil"/>
          <w:right w:val="nil"/>
          <w:between w:val="nil"/>
        </w:pBdr>
        <w:spacing w:before="159"/>
        <w:rPr>
          <w:b/>
          <w:bCs/>
          <w:color w:val="000000"/>
          <w:highlight w:val="yellow"/>
        </w:rPr>
      </w:pPr>
      <w:r w:rsidRPr="00344115">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405E0" w:rsidP="005405E0" w14:paraId="37EF8525" w14:textId="33FF4802">
      <w:pPr>
        <w:pBdr>
          <w:top w:val="nil"/>
          <w:left w:val="nil"/>
          <w:bottom w:val="nil"/>
          <w:right w:val="nil"/>
          <w:between w:val="nil"/>
        </w:pBdr>
        <w:spacing w:before="159"/>
        <w:rPr>
          <w:color w:val="000000"/>
        </w:rPr>
      </w:pPr>
      <w:r>
        <w:t xml:space="preserve">NOAA solicited feedback on this information collection by forwarding a copy of the published Federal Register notice to </w:t>
      </w:r>
      <w:r w:rsidR="00790322">
        <w:t xml:space="preserve">the FY2022 and 2023 </w:t>
      </w:r>
      <w:r>
        <w:t xml:space="preserve">recipients of land acquisition funding under the </w:t>
      </w:r>
      <w:r>
        <w:rPr>
          <w:color w:val="000000"/>
        </w:rPr>
        <w:t xml:space="preserve">Infrastructure Investment and Jobs Act (IIJA), </w:t>
      </w:r>
      <w:r>
        <w:t xml:space="preserve">with a specific request for their comment.  These land acquisition projects are </w:t>
      </w:r>
      <w:r>
        <w:rPr>
          <w:color w:val="000000"/>
        </w:rPr>
        <w:t>issued under the authority of the CELCP.</w:t>
      </w:r>
      <w:r>
        <w:t xml:space="preserve"> </w:t>
      </w:r>
      <w:r w:rsidR="00A16D33">
        <w:rPr>
          <w:color w:val="000000"/>
        </w:rPr>
        <w:t>Please note: n</w:t>
      </w:r>
      <w:r w:rsidR="00392452">
        <w:rPr>
          <w:color w:val="000000"/>
        </w:rPr>
        <w:t>o comments or concerns were raised in response to outreach for</w:t>
      </w:r>
      <w:r w:rsidR="00A16D33">
        <w:rPr>
          <w:color w:val="000000"/>
        </w:rPr>
        <w:t xml:space="preserve"> the PRA renewal</w:t>
      </w:r>
      <w:r w:rsidR="00392452">
        <w:rPr>
          <w:color w:val="000000"/>
        </w:rPr>
        <w:t xml:space="preserve">. </w:t>
      </w:r>
    </w:p>
    <w:p w:rsidR="0081240F" w:rsidRPr="0009696E" w:rsidP="005405E0" w14:paraId="637A4772" w14:textId="77777777">
      <w:pPr>
        <w:pBdr>
          <w:top w:val="nil"/>
          <w:left w:val="nil"/>
          <w:bottom w:val="nil"/>
          <w:right w:val="nil"/>
          <w:between w:val="nil"/>
        </w:pBdr>
        <w:spacing w:before="159"/>
        <w:rPr>
          <w:color w:val="000000"/>
          <w:sz w:val="16"/>
          <w:szCs w:val="16"/>
        </w:rPr>
      </w:pPr>
    </w:p>
    <w:p w:rsidR="002766A7" w:rsidP="005E6DBE" w14:paraId="0B48BBE2"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A715D6" w:rsidP="00110BEC" w14:paraId="04B5BD46" w14:textId="77777777">
      <w:pPr>
        <w:rPr>
          <w:color w:val="2F5496"/>
        </w:rPr>
      </w:pPr>
    </w:p>
    <w:p w:rsidR="005405E0" w:rsidP="00110BEC" w14:paraId="7056AEC7" w14:textId="0214A605">
      <w:pPr>
        <w:rPr>
          <w:color w:val="000000"/>
        </w:rPr>
      </w:pPr>
      <w:r>
        <w:rPr>
          <w:lang w:val="en-CA"/>
        </w:rPr>
        <w:fldChar w:fldCharType="begin"/>
      </w:r>
      <w:r>
        <w:rPr>
          <w:lang w:val="en-CA"/>
        </w:rPr>
        <w:instrText xml:space="preserve"> SEQ CHAPTER \h \r 1</w:instrText>
      </w:r>
      <w:r>
        <w:rPr>
          <w:lang w:val="en-CA"/>
        </w:rPr>
        <w:fldChar w:fldCharType="separate"/>
      </w:r>
      <w:r>
        <w:rPr>
          <w:lang w:val="en-CA"/>
        </w:rPr>
        <w:fldChar w:fldCharType="end"/>
      </w:r>
      <w:r>
        <w:t>No</w:t>
      </w:r>
      <w:r>
        <w:rPr>
          <w:b/>
          <w:color w:val="000000"/>
        </w:rPr>
        <w:t xml:space="preserve"> </w:t>
      </w:r>
      <w:r w:rsidRPr="00110BEC">
        <w:rPr>
          <w:color w:val="000000"/>
        </w:rPr>
        <w:t>payment or gift to respondents, other than remuneration of contractors or grantees, is provided.</w:t>
      </w:r>
      <w:r w:rsidR="003A0F75">
        <w:rPr>
          <w:color w:val="000000"/>
        </w:rPr>
        <w:t xml:space="preserve"> </w:t>
      </w:r>
    </w:p>
    <w:p w:rsidR="005405E0" w14:paraId="57E912B2" w14:textId="7A8D46E7">
      <w:pPr>
        <w:pBdr>
          <w:top w:val="nil"/>
          <w:left w:val="nil"/>
          <w:bottom w:val="nil"/>
          <w:right w:val="nil"/>
          <w:between w:val="nil"/>
        </w:pBdr>
        <w:spacing w:before="161"/>
        <w:rPr>
          <w:color w:val="000000"/>
        </w:rPr>
      </w:pPr>
    </w:p>
    <w:p w:rsidR="002766A7" w:rsidP="005E6DBE" w14:paraId="0898F5B8"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9696E" w:rsidP="005E6DBE" w14:paraId="1399673A" w14:textId="77777777">
      <w:pPr>
        <w:pStyle w:val="BodyTextIndent"/>
        <w:spacing w:after="0"/>
        <w:ind w:left="0"/>
        <w:rPr>
          <w:color w:val="000000"/>
        </w:rPr>
      </w:pPr>
    </w:p>
    <w:p w:rsidR="0036343F" w:rsidRPr="00110BEC" w:rsidP="005E6DBE" w14:paraId="475FEBD8" w14:textId="21E8F24C">
      <w:pPr>
        <w:pStyle w:val="BodyTextIndent"/>
        <w:spacing w:after="0"/>
        <w:ind w:left="0"/>
      </w:pPr>
      <w:r w:rsidRPr="00B74E2C">
        <w:rPr>
          <w:color w:val="000000"/>
        </w:rPr>
        <w:t xml:space="preserve">Draft financial assistance awards and associated documents are </w:t>
      </w:r>
      <w:r w:rsidR="00B05C0A">
        <w:rPr>
          <w:color w:val="000000"/>
        </w:rPr>
        <w:t xml:space="preserve">received </w:t>
      </w:r>
      <w:r w:rsidR="00115278">
        <w:rPr>
          <w:color w:val="000000"/>
        </w:rPr>
        <w:t xml:space="preserve">in Grants.gov </w:t>
      </w:r>
      <w:r w:rsidR="00B05C0A">
        <w:rPr>
          <w:color w:val="000000"/>
        </w:rPr>
        <w:t xml:space="preserve">and </w:t>
      </w:r>
      <w:r w:rsidR="00115278">
        <w:rPr>
          <w:color w:val="000000"/>
        </w:rPr>
        <w:t xml:space="preserve">transferred to </w:t>
      </w:r>
      <w:r w:rsidR="00B05C0A">
        <w:rPr>
          <w:color w:val="000000"/>
        </w:rPr>
        <w:t xml:space="preserve">NOAA’s </w:t>
      </w:r>
      <w:r w:rsidR="00115278">
        <w:rPr>
          <w:color w:val="000000"/>
        </w:rPr>
        <w:t>grants management system (eRA Commons)</w:t>
      </w:r>
      <w:r w:rsidR="00B05C0A">
        <w:rPr>
          <w:color w:val="000000"/>
        </w:rPr>
        <w:t xml:space="preserve">. Financial assistance </w:t>
      </w:r>
      <w:r w:rsidR="00F863E2">
        <w:rPr>
          <w:color w:val="000000"/>
        </w:rPr>
        <w:t xml:space="preserve">award </w:t>
      </w:r>
      <w:r w:rsidR="00B05C0A">
        <w:rPr>
          <w:color w:val="000000"/>
        </w:rPr>
        <w:t xml:space="preserve">applications are considered pre-decisional and not </w:t>
      </w:r>
      <w:r w:rsidRPr="00B74E2C">
        <w:rPr>
          <w:color w:val="000000"/>
        </w:rPr>
        <w:t xml:space="preserve">releasable under the </w:t>
      </w:r>
      <w:hyperlink r:id="rId24" w:history="1">
        <w:r w:rsidRPr="00BE4B62">
          <w:rPr>
            <w:rStyle w:val="Hyperlink"/>
          </w:rPr>
          <w:t>Freedom of Information Act</w:t>
        </w:r>
      </w:hyperlink>
      <w:r w:rsidRPr="00B74E2C">
        <w:rPr>
          <w:color w:val="000000"/>
        </w:rPr>
        <w:t>.</w:t>
      </w:r>
      <w:r w:rsidR="002F7836">
        <w:rPr>
          <w:color w:val="000000"/>
        </w:rPr>
        <w:t xml:space="preserve"> </w:t>
      </w:r>
      <w:r w:rsidR="00B05C0A">
        <w:rPr>
          <w:color w:val="000000"/>
        </w:rPr>
        <w:t xml:space="preserve">PII is not requested, however, due diligence documents may include name, addresses and other contact information of landowners, </w:t>
      </w:r>
      <w:r w:rsidR="007B6523">
        <w:rPr>
          <w:color w:val="000000"/>
        </w:rPr>
        <w:t xml:space="preserve">or </w:t>
      </w:r>
      <w:r w:rsidR="00B05C0A">
        <w:rPr>
          <w:color w:val="000000"/>
        </w:rPr>
        <w:t xml:space="preserve">property tax information that is generally available via public databases, but </w:t>
      </w:r>
      <w:r w:rsidR="007B6523">
        <w:rPr>
          <w:color w:val="000000"/>
        </w:rPr>
        <w:t xml:space="preserve">which </w:t>
      </w:r>
      <w:r w:rsidR="00B05C0A">
        <w:rPr>
          <w:color w:val="000000"/>
        </w:rPr>
        <w:t>is treated nonetheless as sensitive information</w:t>
      </w:r>
      <w:r w:rsidR="007B6523">
        <w:rPr>
          <w:color w:val="000000"/>
        </w:rPr>
        <w:t xml:space="preserve">. Applications </w:t>
      </w:r>
      <w:r w:rsidR="00F863E2">
        <w:rPr>
          <w:color w:val="000000"/>
        </w:rPr>
        <w:t xml:space="preserve">or award files </w:t>
      </w:r>
      <w:r w:rsidR="007B6523">
        <w:rPr>
          <w:color w:val="000000"/>
        </w:rPr>
        <w:t>may also include p</w:t>
      </w:r>
      <w:r w:rsidR="00672016">
        <w:rPr>
          <w:color w:val="000000"/>
        </w:rPr>
        <w:t>re-acquisition materials</w:t>
      </w:r>
      <w:r w:rsidR="007B6523">
        <w:rPr>
          <w:color w:val="000000"/>
        </w:rPr>
        <w:t xml:space="preserve">, </w:t>
      </w:r>
      <w:r w:rsidR="00672016">
        <w:rPr>
          <w:color w:val="000000"/>
        </w:rPr>
        <w:t>such as option agreement</w:t>
      </w:r>
      <w:r w:rsidR="00F863E2">
        <w:rPr>
          <w:color w:val="000000"/>
        </w:rPr>
        <w:t>s and appraisals</w:t>
      </w:r>
      <w:r w:rsidR="00672016">
        <w:rPr>
          <w:color w:val="000000"/>
        </w:rPr>
        <w:t xml:space="preserve">, which are considered pre-decisional and not </w:t>
      </w:r>
      <w:r w:rsidRPr="00B74E2C" w:rsidR="00672016">
        <w:rPr>
          <w:color w:val="000000"/>
        </w:rPr>
        <w:t xml:space="preserve">releasable under the </w:t>
      </w:r>
      <w:hyperlink r:id="rId24" w:history="1">
        <w:r w:rsidRPr="00BE4B62" w:rsidR="00672016">
          <w:rPr>
            <w:rStyle w:val="Hyperlink"/>
          </w:rPr>
          <w:t>Freedom of Information Act</w:t>
        </w:r>
      </w:hyperlink>
      <w:r w:rsidR="00672016">
        <w:rPr>
          <w:color w:val="000000"/>
        </w:rPr>
        <w:t xml:space="preserve">. Merit reviews </w:t>
      </w:r>
      <w:r w:rsidR="00F863E2">
        <w:rPr>
          <w:color w:val="000000"/>
        </w:rPr>
        <w:t xml:space="preserve">for financial assistance applications </w:t>
      </w:r>
      <w:r w:rsidR="00672016">
        <w:rPr>
          <w:color w:val="000000"/>
        </w:rPr>
        <w:t xml:space="preserve">are conducted through </w:t>
      </w:r>
      <w:r w:rsidR="00115278">
        <w:rPr>
          <w:color w:val="000000"/>
        </w:rPr>
        <w:t xml:space="preserve">the </w:t>
      </w:r>
      <w:r w:rsidR="00672016">
        <w:rPr>
          <w:color w:val="000000"/>
        </w:rPr>
        <w:t>merit review module</w:t>
      </w:r>
      <w:r w:rsidR="00115278">
        <w:rPr>
          <w:color w:val="000000"/>
        </w:rPr>
        <w:t xml:space="preserve"> in the eRA Commons grants system</w:t>
      </w:r>
      <w:r w:rsidR="00672016">
        <w:rPr>
          <w:color w:val="000000"/>
        </w:rPr>
        <w:t>, which avoids the need to download and distribute application materials outside the system. Merit reviewer instructions specify that proposals are received in confidence and that merit reviewers are not to copy, quote or otherwise use or disclose material from any proposal. Further, reviewers are asked to destroy any copies of documents they may have printed once their review is complete.</w:t>
      </w:r>
    </w:p>
    <w:p w:rsidR="0036343F" w:rsidP="005E6DBE" w14:paraId="159BC39C" w14:textId="0E9FA93C">
      <w:pPr>
        <w:pBdr>
          <w:top w:val="nil"/>
          <w:left w:val="nil"/>
          <w:bottom w:val="nil"/>
          <w:right w:val="nil"/>
          <w:between w:val="nil"/>
        </w:pBdr>
        <w:rPr>
          <w:color w:val="000000"/>
        </w:rPr>
      </w:pPr>
    </w:p>
    <w:p w:rsidR="00071184" w:rsidP="005E6DBE" w14:paraId="356BB8DC" w14:textId="77777777">
      <w:pPr>
        <w:pBdr>
          <w:top w:val="nil"/>
          <w:left w:val="nil"/>
          <w:bottom w:val="nil"/>
          <w:right w:val="nil"/>
          <w:between w:val="nil"/>
        </w:pBdr>
        <w:rPr>
          <w:color w:val="000000"/>
        </w:rPr>
      </w:pPr>
    </w:p>
    <w:p w:rsidR="00110BEC" w:rsidP="005E6DBE" w14:paraId="185F5D10" w14:textId="0ACB3A22">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 xml:space="preserv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66A7" w:rsidP="00110BEC" w14:paraId="3B2B2ADC" w14:textId="77777777">
      <w:pPr>
        <w:pBdr>
          <w:top w:val="nil"/>
          <w:left w:val="nil"/>
          <w:bottom w:val="nil"/>
          <w:right w:val="nil"/>
          <w:between w:val="nil"/>
        </w:pBdr>
        <w:tabs>
          <w:tab w:val="left" w:pos="360"/>
        </w:tabs>
        <w:spacing w:before="80"/>
        <w:rPr>
          <w:b/>
          <w:color w:val="000000"/>
        </w:rPr>
      </w:pPr>
    </w:p>
    <w:p w:rsidR="00110BEC" w:rsidP="00110BEC" w14:paraId="5756AAC1"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t>No sensitive questions are asked.</w:t>
      </w:r>
    </w:p>
    <w:p w:rsidR="00A715D6" w:rsidP="00110BEC" w14:paraId="14A76518" w14:textId="77777777">
      <w:pPr>
        <w:rPr>
          <w:b/>
          <w:color w:val="000000"/>
        </w:rPr>
      </w:pPr>
    </w:p>
    <w:p w:rsidR="00071184" w:rsidP="00110BEC" w14:paraId="056C101B" w14:textId="77777777">
      <w:pPr>
        <w:rPr>
          <w:b/>
          <w:color w:val="000000"/>
        </w:rPr>
      </w:pPr>
    </w:p>
    <w:p w:rsidR="00A715D6" w:rsidP="005E6DBE" w14:paraId="4E0D1CBC"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A715D6" w:rsidP="00A715D6" w14:paraId="681429AB" w14:textId="77777777">
      <w:pPr>
        <w:spacing w:line="259" w:lineRule="auto"/>
        <w:ind w:hanging="43"/>
        <w:jc w:val="center"/>
        <w:rPr>
          <w:b/>
          <w:color w:val="FF0000"/>
        </w:rPr>
      </w:pPr>
    </w:p>
    <w:tbl>
      <w:tblPr>
        <w:tblStyle w:val="a0"/>
        <w:tblW w:w="9995" w:type="dxa"/>
        <w:tblInd w:w="80" w:type="dxa"/>
        <w:tblLayout w:type="fixed"/>
        <w:tblLook w:val="0400"/>
      </w:tblPr>
      <w:tblGrid>
        <w:gridCol w:w="2070"/>
        <w:gridCol w:w="2070"/>
        <w:gridCol w:w="1170"/>
        <w:gridCol w:w="1175"/>
        <w:gridCol w:w="1155"/>
        <w:gridCol w:w="1050"/>
        <w:gridCol w:w="1305"/>
      </w:tblGrid>
      <w:tr w14:paraId="57356548" w14:textId="77777777" w:rsidTr="00A5545B">
        <w:tblPrEx>
          <w:tblW w:w="9995" w:type="dxa"/>
          <w:tblInd w:w="80" w:type="dxa"/>
          <w:tblLayout w:type="fixed"/>
          <w:tblLook w:val="0400"/>
        </w:tblPrEx>
        <w:trPr>
          <w:trHeight w:val="861"/>
        </w:trPr>
        <w:tc>
          <w:tcPr>
            <w:tcW w:w="207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15D6" w:rsidP="00685A7F" w14:paraId="688F690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070"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60BC03B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27E7275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 year</w:t>
            </w:r>
            <w:r>
              <w:rPr>
                <w:rFonts w:ascii="Calibri" w:eastAsia="Calibri" w:hAnsi="Calibri" w:cs="Calibri"/>
                <w:b/>
                <w:color w:val="000000"/>
                <w:sz w:val="16"/>
                <w:szCs w:val="16"/>
              </w:rPr>
              <w:br/>
              <w:t>(a)</w:t>
            </w:r>
          </w:p>
        </w:tc>
        <w:tc>
          <w:tcPr>
            <w:tcW w:w="1175"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69DE419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55"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0E868AF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50"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5A8E8C3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305"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29A5C2F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r>
      <w:tr w14:paraId="40EAB623" w14:textId="77777777" w:rsidTr="00685A7F">
        <w:tblPrEx>
          <w:tblW w:w="9995" w:type="dxa"/>
          <w:tblInd w:w="80" w:type="dxa"/>
          <w:tblLayout w:type="fixed"/>
          <w:tblLook w:val="0400"/>
        </w:tblPrEx>
        <w:trPr>
          <w:trHeight w:val="300"/>
        </w:trPr>
        <w:tc>
          <w:tcPr>
            <w:tcW w:w="2070" w:type="dxa"/>
            <w:tcBorders>
              <w:top w:val="nil"/>
              <w:left w:val="single" w:sz="8" w:space="0" w:color="000000"/>
              <w:bottom w:val="single" w:sz="4" w:space="0" w:color="000000"/>
              <w:right w:val="single" w:sz="4" w:space="0" w:color="000000"/>
            </w:tcBorders>
            <w:shd w:val="clear" w:color="auto" w:fill="auto"/>
            <w:vAlign w:val="bottom"/>
          </w:tcPr>
          <w:p w:rsidR="00A715D6" w:rsidP="00685A7F" w14:paraId="367B560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Developing a state CELCP Plan (1-time)</w:t>
            </w:r>
          </w:p>
        </w:tc>
        <w:tc>
          <w:tcPr>
            <w:tcW w:w="2070" w:type="dxa"/>
            <w:tcBorders>
              <w:top w:val="nil"/>
              <w:left w:val="nil"/>
              <w:bottom w:val="single" w:sz="4" w:space="0" w:color="000000"/>
              <w:right w:val="single" w:sz="4" w:space="0" w:color="000000"/>
            </w:tcBorders>
            <w:shd w:val="clear" w:color="auto" w:fill="auto"/>
            <w:vAlign w:val="bottom"/>
          </w:tcPr>
          <w:p w:rsidR="00A715D6" w:rsidP="00685A7F" w14:paraId="34A0CA80"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Varies (coastal planner)</w:t>
            </w:r>
          </w:p>
        </w:tc>
        <w:tc>
          <w:tcPr>
            <w:tcW w:w="1170" w:type="dxa"/>
            <w:tcBorders>
              <w:top w:val="nil"/>
              <w:left w:val="nil"/>
              <w:bottom w:val="single" w:sz="4" w:space="0" w:color="000000"/>
              <w:right w:val="single" w:sz="4" w:space="0" w:color="000000"/>
            </w:tcBorders>
            <w:shd w:val="clear" w:color="auto" w:fill="auto"/>
            <w:vAlign w:val="bottom"/>
          </w:tcPr>
          <w:p w:rsidR="00A715D6" w:rsidP="00685A7F" w14:paraId="17855690"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175" w:type="dxa"/>
            <w:tcBorders>
              <w:top w:val="nil"/>
              <w:left w:val="nil"/>
              <w:bottom w:val="single" w:sz="4" w:space="0" w:color="000000"/>
              <w:right w:val="single" w:sz="4" w:space="0" w:color="000000"/>
            </w:tcBorders>
            <w:shd w:val="clear" w:color="auto" w:fill="auto"/>
            <w:vAlign w:val="bottom"/>
          </w:tcPr>
          <w:p w:rsidR="00A715D6" w:rsidP="00685A7F" w14:paraId="71567F6B"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155" w:type="dxa"/>
            <w:tcBorders>
              <w:top w:val="nil"/>
              <w:left w:val="nil"/>
              <w:bottom w:val="single" w:sz="4" w:space="0" w:color="000000"/>
              <w:right w:val="single" w:sz="4" w:space="0" w:color="000000"/>
            </w:tcBorders>
            <w:shd w:val="clear" w:color="auto" w:fill="auto"/>
            <w:vAlign w:val="bottom"/>
          </w:tcPr>
          <w:p w:rsidR="00A715D6" w:rsidP="00685A7F" w14:paraId="1E63130D"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050" w:type="dxa"/>
            <w:tcBorders>
              <w:top w:val="nil"/>
              <w:left w:val="nil"/>
              <w:bottom w:val="single" w:sz="4" w:space="0" w:color="000000"/>
              <w:right w:val="single" w:sz="4" w:space="0" w:color="000000"/>
            </w:tcBorders>
            <w:shd w:val="clear" w:color="auto" w:fill="auto"/>
            <w:vAlign w:val="bottom"/>
          </w:tcPr>
          <w:p w:rsidR="00A715D6" w:rsidP="00685A7F" w14:paraId="59DE91D8"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120</w:t>
            </w:r>
          </w:p>
        </w:tc>
        <w:tc>
          <w:tcPr>
            <w:tcW w:w="1305" w:type="dxa"/>
            <w:tcBorders>
              <w:top w:val="nil"/>
              <w:left w:val="nil"/>
              <w:bottom w:val="single" w:sz="4" w:space="0" w:color="000000"/>
              <w:right w:val="single" w:sz="4" w:space="0" w:color="000000"/>
            </w:tcBorders>
            <w:shd w:val="clear" w:color="auto" w:fill="auto"/>
            <w:vAlign w:val="bottom"/>
          </w:tcPr>
          <w:p w:rsidR="00A715D6" w:rsidP="00685A7F" w14:paraId="4A8DE72E"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120 </w:t>
            </w:r>
          </w:p>
        </w:tc>
      </w:tr>
      <w:tr w14:paraId="45F67C57" w14:textId="77777777" w:rsidTr="00685A7F">
        <w:tblPrEx>
          <w:tblW w:w="9995" w:type="dxa"/>
          <w:tblInd w:w="80" w:type="dxa"/>
          <w:tblLayout w:type="fixed"/>
          <w:tblLook w:val="0400"/>
        </w:tblPrEx>
        <w:trPr>
          <w:trHeight w:val="300"/>
        </w:trPr>
        <w:tc>
          <w:tcPr>
            <w:tcW w:w="2070" w:type="dxa"/>
            <w:tcBorders>
              <w:top w:val="nil"/>
              <w:left w:val="single" w:sz="8" w:space="0" w:color="000000"/>
              <w:bottom w:val="single" w:sz="4" w:space="0" w:color="000000"/>
              <w:right w:val="single" w:sz="4" w:space="0" w:color="000000"/>
            </w:tcBorders>
            <w:shd w:val="clear" w:color="auto" w:fill="auto"/>
            <w:vAlign w:val="bottom"/>
          </w:tcPr>
          <w:p w:rsidR="00A715D6" w:rsidP="00685A7F" w14:paraId="075A422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Update of state CELCP Plans (~every 5-7 years)</w:t>
            </w:r>
          </w:p>
        </w:tc>
        <w:tc>
          <w:tcPr>
            <w:tcW w:w="2070" w:type="dxa"/>
            <w:tcBorders>
              <w:top w:val="nil"/>
              <w:left w:val="nil"/>
              <w:bottom w:val="single" w:sz="4" w:space="0" w:color="000000"/>
              <w:right w:val="single" w:sz="4" w:space="0" w:color="000000"/>
            </w:tcBorders>
            <w:shd w:val="clear" w:color="auto" w:fill="auto"/>
            <w:vAlign w:val="bottom"/>
          </w:tcPr>
          <w:p w:rsidR="00A715D6" w:rsidP="00685A7F" w14:paraId="2CA94337"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Varies (coastal planner)</w:t>
            </w:r>
          </w:p>
        </w:tc>
        <w:tc>
          <w:tcPr>
            <w:tcW w:w="1170" w:type="dxa"/>
            <w:tcBorders>
              <w:top w:val="nil"/>
              <w:left w:val="nil"/>
              <w:bottom w:val="single" w:sz="4" w:space="0" w:color="000000"/>
              <w:right w:val="single" w:sz="4" w:space="0" w:color="000000"/>
            </w:tcBorders>
            <w:shd w:val="clear" w:color="auto" w:fill="auto"/>
            <w:vAlign w:val="bottom"/>
          </w:tcPr>
          <w:p w:rsidR="00A715D6" w:rsidP="00685A7F" w14:paraId="7484556A"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1175" w:type="dxa"/>
            <w:tcBorders>
              <w:top w:val="nil"/>
              <w:left w:val="nil"/>
              <w:bottom w:val="single" w:sz="4" w:space="0" w:color="000000"/>
              <w:right w:val="single" w:sz="4" w:space="0" w:color="000000"/>
            </w:tcBorders>
            <w:shd w:val="clear" w:color="auto" w:fill="auto"/>
            <w:vAlign w:val="bottom"/>
          </w:tcPr>
          <w:p w:rsidR="00A715D6" w:rsidP="00685A7F" w14:paraId="13CDCBCE"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155" w:type="dxa"/>
            <w:tcBorders>
              <w:top w:val="nil"/>
              <w:left w:val="nil"/>
              <w:bottom w:val="single" w:sz="4" w:space="0" w:color="000000"/>
              <w:right w:val="single" w:sz="4" w:space="0" w:color="000000"/>
            </w:tcBorders>
            <w:shd w:val="clear" w:color="auto" w:fill="auto"/>
            <w:vAlign w:val="bottom"/>
          </w:tcPr>
          <w:p w:rsidR="00A715D6" w:rsidP="00685A7F" w14:paraId="591060E5"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4 </w:t>
            </w:r>
          </w:p>
        </w:tc>
        <w:tc>
          <w:tcPr>
            <w:tcW w:w="1050" w:type="dxa"/>
            <w:tcBorders>
              <w:top w:val="nil"/>
              <w:left w:val="nil"/>
              <w:bottom w:val="single" w:sz="4" w:space="0" w:color="000000"/>
              <w:right w:val="single" w:sz="4" w:space="0" w:color="000000"/>
            </w:tcBorders>
            <w:shd w:val="clear" w:color="auto" w:fill="auto"/>
            <w:vAlign w:val="bottom"/>
          </w:tcPr>
          <w:p w:rsidR="00A715D6" w:rsidP="00685A7F" w14:paraId="646220D5"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35 </w:t>
            </w:r>
          </w:p>
        </w:tc>
        <w:tc>
          <w:tcPr>
            <w:tcW w:w="1305" w:type="dxa"/>
            <w:tcBorders>
              <w:top w:val="nil"/>
              <w:left w:val="nil"/>
              <w:bottom w:val="single" w:sz="4" w:space="0" w:color="000000"/>
              <w:right w:val="single" w:sz="4" w:space="0" w:color="000000"/>
            </w:tcBorders>
            <w:shd w:val="clear" w:color="auto" w:fill="auto"/>
            <w:vAlign w:val="bottom"/>
          </w:tcPr>
          <w:p w:rsidR="00A715D6" w:rsidP="00685A7F" w14:paraId="23927DF2"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140 </w:t>
            </w:r>
          </w:p>
        </w:tc>
      </w:tr>
      <w:tr w14:paraId="6D7655A5" w14:textId="77777777" w:rsidTr="00685A7F">
        <w:tblPrEx>
          <w:tblW w:w="9995" w:type="dxa"/>
          <w:tblInd w:w="80" w:type="dxa"/>
          <w:tblLayout w:type="fixed"/>
          <w:tblLook w:val="0400"/>
        </w:tblPrEx>
        <w:trPr>
          <w:trHeight w:val="300"/>
        </w:trPr>
        <w:tc>
          <w:tcPr>
            <w:tcW w:w="2070" w:type="dxa"/>
            <w:tcBorders>
              <w:top w:val="nil"/>
              <w:left w:val="single" w:sz="8" w:space="0" w:color="000000"/>
              <w:bottom w:val="single" w:sz="4" w:space="0" w:color="000000"/>
              <w:right w:val="single" w:sz="4" w:space="0" w:color="000000"/>
            </w:tcBorders>
            <w:shd w:val="clear" w:color="auto" w:fill="auto"/>
            <w:vAlign w:val="bottom"/>
          </w:tcPr>
          <w:p w:rsidR="00A715D6" w:rsidP="00685A7F" w14:paraId="1C0CDDC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Project Application and Checklist</w:t>
            </w:r>
          </w:p>
        </w:tc>
        <w:tc>
          <w:tcPr>
            <w:tcW w:w="2070" w:type="dxa"/>
            <w:tcBorders>
              <w:top w:val="nil"/>
              <w:left w:val="nil"/>
              <w:bottom w:val="single" w:sz="4" w:space="0" w:color="000000"/>
              <w:right w:val="single" w:sz="4" w:space="0" w:color="000000"/>
            </w:tcBorders>
            <w:shd w:val="clear" w:color="auto" w:fill="auto"/>
            <w:vAlign w:val="bottom"/>
          </w:tcPr>
          <w:p w:rsidR="00A715D6" w:rsidP="00685A7F" w14:paraId="34A4589C" w14:textId="4CC762B6">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Varies </w:t>
            </w:r>
            <w:r w:rsidR="002D076D">
              <w:rPr>
                <w:rFonts w:ascii="Calibri" w:eastAsia="Calibri" w:hAnsi="Calibri" w:cs="Calibri"/>
                <w:color w:val="000000"/>
                <w:sz w:val="16"/>
                <w:szCs w:val="16"/>
              </w:rPr>
              <w:t>(</w:t>
            </w:r>
            <w:r>
              <w:rPr>
                <w:rFonts w:ascii="Calibri" w:eastAsia="Calibri" w:hAnsi="Calibri" w:cs="Calibri"/>
                <w:color w:val="000000"/>
                <w:sz w:val="16"/>
                <w:szCs w:val="16"/>
              </w:rPr>
              <w:t>coastal planner) </w:t>
            </w:r>
          </w:p>
        </w:tc>
        <w:tc>
          <w:tcPr>
            <w:tcW w:w="1170" w:type="dxa"/>
            <w:tcBorders>
              <w:top w:val="nil"/>
              <w:left w:val="nil"/>
              <w:bottom w:val="single" w:sz="4" w:space="0" w:color="000000"/>
              <w:right w:val="single" w:sz="4" w:space="0" w:color="000000"/>
            </w:tcBorders>
            <w:shd w:val="clear" w:color="auto" w:fill="auto"/>
            <w:vAlign w:val="bottom"/>
          </w:tcPr>
          <w:p w:rsidR="00A715D6" w:rsidP="00685A7F" w14:paraId="1FE81930"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50 </w:t>
            </w:r>
          </w:p>
        </w:tc>
        <w:tc>
          <w:tcPr>
            <w:tcW w:w="1175" w:type="dxa"/>
            <w:tcBorders>
              <w:top w:val="nil"/>
              <w:left w:val="nil"/>
              <w:bottom w:val="single" w:sz="4" w:space="0" w:color="000000"/>
              <w:right w:val="single" w:sz="4" w:space="0" w:color="000000"/>
            </w:tcBorders>
            <w:shd w:val="clear" w:color="auto" w:fill="auto"/>
            <w:vAlign w:val="bottom"/>
          </w:tcPr>
          <w:p w:rsidR="00A715D6" w:rsidP="00685A7F" w14:paraId="261B08FA"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155" w:type="dxa"/>
            <w:tcBorders>
              <w:top w:val="nil"/>
              <w:left w:val="nil"/>
              <w:bottom w:val="single" w:sz="4" w:space="0" w:color="000000"/>
              <w:right w:val="single" w:sz="4" w:space="0" w:color="000000"/>
            </w:tcBorders>
            <w:shd w:val="clear" w:color="auto" w:fill="auto"/>
            <w:vAlign w:val="bottom"/>
          </w:tcPr>
          <w:p w:rsidR="00A715D6" w:rsidP="00685A7F" w14:paraId="76341DAF"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50 </w:t>
            </w:r>
          </w:p>
        </w:tc>
        <w:tc>
          <w:tcPr>
            <w:tcW w:w="1050" w:type="dxa"/>
            <w:tcBorders>
              <w:top w:val="nil"/>
              <w:left w:val="nil"/>
              <w:bottom w:val="single" w:sz="4" w:space="0" w:color="000000"/>
              <w:right w:val="single" w:sz="4" w:space="0" w:color="000000"/>
            </w:tcBorders>
            <w:shd w:val="clear" w:color="auto" w:fill="auto"/>
            <w:vAlign w:val="bottom"/>
          </w:tcPr>
          <w:p w:rsidR="00A715D6" w:rsidP="00685A7F" w14:paraId="4863ABA0"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20 </w:t>
            </w:r>
          </w:p>
        </w:tc>
        <w:tc>
          <w:tcPr>
            <w:tcW w:w="1305" w:type="dxa"/>
            <w:tcBorders>
              <w:top w:val="nil"/>
              <w:left w:val="nil"/>
              <w:bottom w:val="single" w:sz="4" w:space="0" w:color="000000"/>
              <w:right w:val="single" w:sz="4" w:space="0" w:color="000000"/>
            </w:tcBorders>
            <w:shd w:val="clear" w:color="auto" w:fill="auto"/>
            <w:vAlign w:val="bottom"/>
          </w:tcPr>
          <w:p w:rsidR="00A715D6" w:rsidP="00685A7F" w14:paraId="32BBE614"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1,000 </w:t>
            </w:r>
          </w:p>
        </w:tc>
      </w:tr>
      <w:tr w14:paraId="62F927BD" w14:textId="77777777" w:rsidTr="00685A7F">
        <w:tblPrEx>
          <w:tblW w:w="9995" w:type="dxa"/>
          <w:tblInd w:w="80" w:type="dxa"/>
          <w:tblLayout w:type="fixed"/>
          <w:tblLook w:val="0400"/>
        </w:tblPrEx>
        <w:trPr>
          <w:trHeight w:val="300"/>
        </w:trPr>
        <w:tc>
          <w:tcPr>
            <w:tcW w:w="2070" w:type="dxa"/>
            <w:tcBorders>
              <w:top w:val="nil"/>
              <w:left w:val="single" w:sz="8" w:space="0" w:color="000000"/>
              <w:bottom w:val="single" w:sz="4" w:space="0" w:color="000000"/>
              <w:right w:val="single" w:sz="4" w:space="0" w:color="000000"/>
            </w:tcBorders>
            <w:shd w:val="clear" w:color="auto" w:fill="auto"/>
            <w:vAlign w:val="bottom"/>
          </w:tcPr>
          <w:p w:rsidR="00A715D6" w:rsidP="00685A7F" w14:paraId="6FC0869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Final grant application with due diligence materials for selected/funded projects</w:t>
            </w:r>
          </w:p>
        </w:tc>
        <w:tc>
          <w:tcPr>
            <w:tcW w:w="2070" w:type="dxa"/>
            <w:tcBorders>
              <w:top w:val="nil"/>
              <w:left w:val="nil"/>
              <w:bottom w:val="single" w:sz="4" w:space="0" w:color="000000"/>
              <w:right w:val="single" w:sz="4" w:space="0" w:color="000000"/>
            </w:tcBorders>
            <w:shd w:val="clear" w:color="auto" w:fill="auto"/>
            <w:vAlign w:val="bottom"/>
          </w:tcPr>
          <w:p w:rsidR="00A715D6" w:rsidP="00685A7F" w14:paraId="47F90FA0" w14:textId="1822CF04">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Varies </w:t>
            </w:r>
            <w:r w:rsidR="002D076D">
              <w:rPr>
                <w:rFonts w:ascii="Calibri" w:eastAsia="Calibri" w:hAnsi="Calibri" w:cs="Calibri"/>
                <w:color w:val="000000"/>
                <w:sz w:val="16"/>
                <w:szCs w:val="16"/>
              </w:rPr>
              <w:t>(</w:t>
            </w:r>
            <w:r>
              <w:rPr>
                <w:rFonts w:ascii="Calibri" w:eastAsia="Calibri" w:hAnsi="Calibri" w:cs="Calibri"/>
                <w:color w:val="000000"/>
                <w:sz w:val="16"/>
                <w:szCs w:val="16"/>
              </w:rPr>
              <w:t>coastal planner)  </w:t>
            </w:r>
          </w:p>
        </w:tc>
        <w:tc>
          <w:tcPr>
            <w:tcW w:w="1170" w:type="dxa"/>
            <w:tcBorders>
              <w:top w:val="nil"/>
              <w:left w:val="nil"/>
              <w:bottom w:val="single" w:sz="4" w:space="0" w:color="000000"/>
              <w:right w:val="single" w:sz="4" w:space="0" w:color="000000"/>
            </w:tcBorders>
            <w:shd w:val="clear" w:color="auto" w:fill="auto"/>
            <w:vAlign w:val="bottom"/>
          </w:tcPr>
          <w:p w:rsidR="00A715D6" w:rsidP="00685A7F" w14:paraId="38D937D4" w14:textId="7BAFDCBF">
            <w:pPr>
              <w:widowControl/>
              <w:jc w:val="right"/>
              <w:rPr>
                <w:rFonts w:ascii="Calibri" w:eastAsia="Calibri" w:hAnsi="Calibri" w:cs="Calibri"/>
                <w:color w:val="000000"/>
                <w:sz w:val="16"/>
                <w:szCs w:val="16"/>
              </w:rPr>
            </w:pPr>
            <w:r>
              <w:rPr>
                <w:rFonts w:ascii="Calibri" w:eastAsia="Calibri" w:hAnsi="Calibri" w:cs="Calibri"/>
                <w:color w:val="000000"/>
                <w:sz w:val="16"/>
                <w:szCs w:val="16"/>
              </w:rPr>
              <w:t>30</w:t>
            </w:r>
            <w:r w:rsidR="002D076D">
              <w:rPr>
                <w:rFonts w:ascii="Calibri" w:eastAsia="Calibri" w:hAnsi="Calibri" w:cs="Calibri"/>
                <w:color w:val="000000"/>
                <w:sz w:val="16"/>
                <w:szCs w:val="16"/>
              </w:rPr>
              <w:t>^</w:t>
            </w:r>
          </w:p>
        </w:tc>
        <w:tc>
          <w:tcPr>
            <w:tcW w:w="1175" w:type="dxa"/>
            <w:tcBorders>
              <w:top w:val="nil"/>
              <w:left w:val="nil"/>
              <w:bottom w:val="single" w:sz="4" w:space="0" w:color="000000"/>
              <w:right w:val="single" w:sz="4" w:space="0" w:color="000000"/>
            </w:tcBorders>
            <w:shd w:val="clear" w:color="auto" w:fill="auto"/>
            <w:vAlign w:val="bottom"/>
          </w:tcPr>
          <w:p w:rsidR="00A715D6" w:rsidP="00685A7F" w14:paraId="003F9D88"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155" w:type="dxa"/>
            <w:tcBorders>
              <w:top w:val="nil"/>
              <w:left w:val="nil"/>
              <w:bottom w:val="single" w:sz="4" w:space="0" w:color="000000"/>
              <w:right w:val="single" w:sz="4" w:space="0" w:color="000000"/>
            </w:tcBorders>
            <w:shd w:val="clear" w:color="auto" w:fill="auto"/>
            <w:vAlign w:val="bottom"/>
          </w:tcPr>
          <w:p w:rsidR="00A715D6" w:rsidP="00685A7F" w14:paraId="238B11E5"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30 </w:t>
            </w:r>
          </w:p>
        </w:tc>
        <w:tc>
          <w:tcPr>
            <w:tcW w:w="1050" w:type="dxa"/>
            <w:tcBorders>
              <w:top w:val="nil"/>
              <w:left w:val="nil"/>
              <w:bottom w:val="single" w:sz="4" w:space="0" w:color="000000"/>
              <w:right w:val="single" w:sz="4" w:space="0" w:color="000000"/>
            </w:tcBorders>
            <w:shd w:val="clear" w:color="auto" w:fill="auto"/>
            <w:vAlign w:val="bottom"/>
          </w:tcPr>
          <w:p w:rsidR="00A715D6" w:rsidP="00685A7F" w14:paraId="293A4D78"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3.5 </w:t>
            </w:r>
          </w:p>
        </w:tc>
        <w:tc>
          <w:tcPr>
            <w:tcW w:w="1305" w:type="dxa"/>
            <w:tcBorders>
              <w:top w:val="nil"/>
              <w:left w:val="nil"/>
              <w:bottom w:val="single" w:sz="4" w:space="0" w:color="000000"/>
              <w:right w:val="single" w:sz="4" w:space="0" w:color="000000"/>
            </w:tcBorders>
            <w:shd w:val="clear" w:color="auto" w:fill="auto"/>
            <w:vAlign w:val="bottom"/>
          </w:tcPr>
          <w:p w:rsidR="00A715D6" w:rsidP="00685A7F" w14:paraId="3CBABD33"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105 </w:t>
            </w:r>
          </w:p>
        </w:tc>
      </w:tr>
      <w:tr w14:paraId="71725F08" w14:textId="77777777" w:rsidTr="00685A7F">
        <w:tblPrEx>
          <w:tblW w:w="9995" w:type="dxa"/>
          <w:tblInd w:w="80" w:type="dxa"/>
          <w:tblLayout w:type="fixed"/>
          <w:tblLook w:val="0400"/>
        </w:tblPrEx>
        <w:trPr>
          <w:trHeight w:val="300"/>
        </w:trPr>
        <w:tc>
          <w:tcPr>
            <w:tcW w:w="2070" w:type="dxa"/>
            <w:tcBorders>
              <w:top w:val="nil"/>
              <w:left w:val="single" w:sz="8" w:space="0" w:color="000000"/>
              <w:bottom w:val="single" w:sz="4" w:space="0" w:color="000000"/>
              <w:right w:val="single" w:sz="4" w:space="0" w:color="000000"/>
            </w:tcBorders>
            <w:shd w:val="clear" w:color="auto" w:fill="auto"/>
            <w:vAlign w:val="bottom"/>
          </w:tcPr>
          <w:p w:rsidR="00A715D6" w:rsidP="00685A7F" w14:paraId="0B76722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Semi-annual reporting for selected/funded projects.</w:t>
            </w:r>
          </w:p>
        </w:tc>
        <w:tc>
          <w:tcPr>
            <w:tcW w:w="2070" w:type="dxa"/>
            <w:tcBorders>
              <w:top w:val="nil"/>
              <w:left w:val="nil"/>
              <w:bottom w:val="single" w:sz="4" w:space="0" w:color="000000"/>
              <w:right w:val="single" w:sz="4" w:space="0" w:color="000000"/>
            </w:tcBorders>
            <w:shd w:val="clear" w:color="auto" w:fill="auto"/>
            <w:vAlign w:val="bottom"/>
          </w:tcPr>
          <w:p w:rsidR="00A715D6" w:rsidP="00685A7F" w14:paraId="5A06ED21" w14:textId="49FF2387">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Varies </w:t>
            </w:r>
            <w:r w:rsidR="002D076D">
              <w:rPr>
                <w:rFonts w:ascii="Calibri" w:eastAsia="Calibri" w:hAnsi="Calibri" w:cs="Calibri"/>
                <w:color w:val="000000"/>
                <w:sz w:val="16"/>
                <w:szCs w:val="16"/>
              </w:rPr>
              <w:t>(</w:t>
            </w:r>
            <w:r>
              <w:rPr>
                <w:rFonts w:ascii="Calibri" w:eastAsia="Calibri" w:hAnsi="Calibri" w:cs="Calibri"/>
                <w:color w:val="000000"/>
                <w:sz w:val="16"/>
                <w:szCs w:val="16"/>
              </w:rPr>
              <w:t>coastal planner) </w:t>
            </w:r>
          </w:p>
        </w:tc>
        <w:tc>
          <w:tcPr>
            <w:tcW w:w="1170" w:type="dxa"/>
            <w:tcBorders>
              <w:top w:val="nil"/>
              <w:left w:val="nil"/>
              <w:bottom w:val="single" w:sz="4" w:space="0" w:color="000000"/>
              <w:right w:val="single" w:sz="4" w:space="0" w:color="000000"/>
            </w:tcBorders>
            <w:shd w:val="clear" w:color="auto" w:fill="auto"/>
            <w:vAlign w:val="bottom"/>
          </w:tcPr>
          <w:p w:rsidR="00A715D6" w:rsidP="00685A7F" w14:paraId="56C40173" w14:textId="7DDE47E0">
            <w:pPr>
              <w:widowControl/>
              <w:jc w:val="right"/>
              <w:rPr>
                <w:rFonts w:ascii="Calibri" w:eastAsia="Calibri" w:hAnsi="Calibri" w:cs="Calibri"/>
                <w:color w:val="000000"/>
                <w:sz w:val="16"/>
                <w:szCs w:val="16"/>
              </w:rPr>
            </w:pPr>
            <w:r>
              <w:rPr>
                <w:rFonts w:ascii="Calibri" w:eastAsia="Calibri" w:hAnsi="Calibri" w:cs="Calibri"/>
                <w:color w:val="000000"/>
                <w:sz w:val="16"/>
                <w:szCs w:val="16"/>
              </w:rPr>
              <w:t>30</w:t>
            </w:r>
            <w:r w:rsidR="002D076D">
              <w:rPr>
                <w:rFonts w:ascii="Calibri" w:eastAsia="Calibri" w:hAnsi="Calibri" w:cs="Calibri"/>
                <w:color w:val="000000"/>
                <w:sz w:val="16"/>
                <w:szCs w:val="16"/>
              </w:rPr>
              <w:t>^</w:t>
            </w:r>
          </w:p>
        </w:tc>
        <w:tc>
          <w:tcPr>
            <w:tcW w:w="1175" w:type="dxa"/>
            <w:tcBorders>
              <w:top w:val="nil"/>
              <w:left w:val="nil"/>
              <w:bottom w:val="single" w:sz="4" w:space="0" w:color="000000"/>
              <w:right w:val="single" w:sz="4" w:space="0" w:color="000000"/>
            </w:tcBorders>
            <w:shd w:val="clear" w:color="auto" w:fill="auto"/>
            <w:vAlign w:val="bottom"/>
          </w:tcPr>
          <w:p w:rsidR="00A715D6" w:rsidP="00685A7F" w14:paraId="3878794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2 </w:t>
            </w:r>
          </w:p>
        </w:tc>
        <w:tc>
          <w:tcPr>
            <w:tcW w:w="1155" w:type="dxa"/>
            <w:tcBorders>
              <w:top w:val="nil"/>
              <w:left w:val="nil"/>
              <w:bottom w:val="single" w:sz="4" w:space="0" w:color="000000"/>
              <w:right w:val="single" w:sz="4" w:space="0" w:color="000000"/>
            </w:tcBorders>
            <w:shd w:val="clear" w:color="auto" w:fill="auto"/>
            <w:vAlign w:val="bottom"/>
          </w:tcPr>
          <w:p w:rsidR="00A715D6" w:rsidP="00685A7F" w14:paraId="00D1BD91"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60 </w:t>
            </w:r>
          </w:p>
        </w:tc>
        <w:tc>
          <w:tcPr>
            <w:tcW w:w="1050" w:type="dxa"/>
            <w:tcBorders>
              <w:top w:val="nil"/>
              <w:left w:val="nil"/>
              <w:bottom w:val="single" w:sz="4" w:space="0" w:color="000000"/>
              <w:right w:val="single" w:sz="4" w:space="0" w:color="000000"/>
            </w:tcBorders>
            <w:shd w:val="clear" w:color="auto" w:fill="auto"/>
            <w:vAlign w:val="bottom"/>
          </w:tcPr>
          <w:p w:rsidR="00A715D6" w:rsidP="00685A7F" w14:paraId="09620134"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1.5 </w:t>
            </w:r>
          </w:p>
        </w:tc>
        <w:tc>
          <w:tcPr>
            <w:tcW w:w="1305" w:type="dxa"/>
            <w:tcBorders>
              <w:top w:val="nil"/>
              <w:left w:val="nil"/>
              <w:bottom w:val="single" w:sz="4" w:space="0" w:color="000000"/>
              <w:right w:val="single" w:sz="4" w:space="0" w:color="000000"/>
            </w:tcBorders>
            <w:shd w:val="clear" w:color="auto" w:fill="auto"/>
            <w:vAlign w:val="bottom"/>
          </w:tcPr>
          <w:p w:rsidR="00A715D6" w:rsidP="00685A7F" w14:paraId="0FD4CABD"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90 </w:t>
            </w:r>
          </w:p>
        </w:tc>
      </w:tr>
      <w:tr w14:paraId="6891BA1A" w14:textId="77777777" w:rsidTr="00FA15D2">
        <w:tblPrEx>
          <w:tblW w:w="9995" w:type="dxa"/>
          <w:tblInd w:w="80" w:type="dxa"/>
          <w:tblLayout w:type="fixed"/>
          <w:tblLook w:val="0400"/>
        </w:tblPrEx>
        <w:trPr>
          <w:trHeight w:val="322"/>
        </w:trPr>
        <w:tc>
          <w:tcPr>
            <w:tcW w:w="2070" w:type="dxa"/>
            <w:tcBorders>
              <w:top w:val="nil"/>
              <w:left w:val="single" w:sz="8" w:space="0" w:color="000000"/>
              <w:bottom w:val="single" w:sz="8" w:space="0" w:color="000000"/>
              <w:right w:val="single" w:sz="8" w:space="0" w:color="000000"/>
            </w:tcBorders>
            <w:shd w:val="clear" w:color="auto" w:fill="DDEBF7"/>
            <w:vAlign w:val="bottom"/>
          </w:tcPr>
          <w:p w:rsidR="00A715D6" w:rsidP="00685A7F" w14:paraId="4BB49819" w14:textId="77777777">
            <w:pPr>
              <w:widowControl/>
              <w:rPr>
                <w:rFonts w:ascii="Calibri" w:eastAsia="Calibri" w:hAnsi="Calibri" w:cs="Calibri"/>
                <w:b/>
                <w:color w:val="000000"/>
              </w:rPr>
            </w:pPr>
            <w:r>
              <w:rPr>
                <w:rFonts w:ascii="Calibri" w:eastAsia="Calibri" w:hAnsi="Calibri" w:cs="Calibri"/>
                <w:b/>
                <w:color w:val="000000"/>
              </w:rPr>
              <w:t>Totals</w:t>
            </w:r>
          </w:p>
        </w:tc>
        <w:tc>
          <w:tcPr>
            <w:tcW w:w="2070" w:type="dxa"/>
            <w:tcBorders>
              <w:top w:val="nil"/>
              <w:left w:val="nil"/>
              <w:bottom w:val="single" w:sz="8" w:space="0" w:color="000000"/>
              <w:right w:val="single" w:sz="8" w:space="0" w:color="000000"/>
            </w:tcBorders>
            <w:shd w:val="clear" w:color="auto" w:fill="000000"/>
            <w:vAlign w:val="bottom"/>
          </w:tcPr>
          <w:p w:rsidR="00A715D6" w:rsidP="00685A7F" w14:paraId="6A3BE5C0" w14:textId="77777777">
            <w:pPr>
              <w:widowControl/>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000000"/>
            <w:vAlign w:val="bottom"/>
          </w:tcPr>
          <w:p w:rsidR="00A715D6" w:rsidP="00685A7F" w14:paraId="16E9DB75" w14:textId="77777777">
            <w:pPr>
              <w:widowControl/>
              <w:rPr>
                <w:rFonts w:ascii="Calibri" w:eastAsia="Calibri" w:hAnsi="Calibri" w:cs="Calibri"/>
                <w:b/>
                <w:color w:val="000000"/>
              </w:rPr>
            </w:pPr>
            <w:r>
              <w:rPr>
                <w:rFonts w:ascii="Calibri" w:eastAsia="Calibri" w:hAnsi="Calibri" w:cs="Calibri"/>
                <w:b/>
                <w:color w:val="000000"/>
              </w:rPr>
              <w:t> </w:t>
            </w:r>
          </w:p>
        </w:tc>
        <w:tc>
          <w:tcPr>
            <w:tcW w:w="1175" w:type="dxa"/>
            <w:tcBorders>
              <w:top w:val="nil"/>
              <w:left w:val="nil"/>
              <w:bottom w:val="single" w:sz="8" w:space="0" w:color="000000"/>
              <w:right w:val="single" w:sz="8" w:space="0" w:color="000000"/>
            </w:tcBorders>
            <w:shd w:val="clear" w:color="auto" w:fill="000000"/>
            <w:vAlign w:val="bottom"/>
          </w:tcPr>
          <w:p w:rsidR="00A715D6" w:rsidP="00685A7F" w14:paraId="2494CFC7" w14:textId="77777777">
            <w:pPr>
              <w:widowControl/>
              <w:rPr>
                <w:rFonts w:ascii="Calibri" w:eastAsia="Calibri" w:hAnsi="Calibri" w:cs="Calibri"/>
                <w:b/>
                <w:color w:val="000000"/>
              </w:rPr>
            </w:pPr>
            <w:r>
              <w:rPr>
                <w:rFonts w:ascii="Calibri" w:eastAsia="Calibri" w:hAnsi="Calibri" w:cs="Calibri"/>
                <w:b/>
                <w:color w:val="000000"/>
              </w:rPr>
              <w:t> </w:t>
            </w:r>
          </w:p>
        </w:tc>
        <w:tc>
          <w:tcPr>
            <w:tcW w:w="1155" w:type="dxa"/>
            <w:tcBorders>
              <w:top w:val="nil"/>
              <w:left w:val="nil"/>
              <w:bottom w:val="single" w:sz="8" w:space="0" w:color="000000"/>
              <w:right w:val="single" w:sz="8" w:space="0" w:color="000000"/>
            </w:tcBorders>
            <w:shd w:val="clear" w:color="auto" w:fill="DDEBF7"/>
            <w:vAlign w:val="bottom"/>
          </w:tcPr>
          <w:p w:rsidR="00A715D6" w:rsidP="00685A7F" w14:paraId="7BF3C893" w14:textId="77777777">
            <w:pPr>
              <w:widowControl/>
              <w:rPr>
                <w:rFonts w:ascii="Calibri" w:eastAsia="Calibri" w:hAnsi="Calibri" w:cs="Calibri"/>
                <w:b/>
                <w:color w:val="000000"/>
              </w:rPr>
            </w:pPr>
            <w:r>
              <w:rPr>
                <w:rFonts w:ascii="Calibri" w:eastAsia="Calibri" w:hAnsi="Calibri" w:cs="Calibri"/>
                <w:b/>
                <w:color w:val="000000"/>
              </w:rPr>
              <w:t> 145</w:t>
            </w:r>
          </w:p>
        </w:tc>
        <w:tc>
          <w:tcPr>
            <w:tcW w:w="1050" w:type="dxa"/>
            <w:tcBorders>
              <w:top w:val="nil"/>
              <w:left w:val="nil"/>
              <w:bottom w:val="single" w:sz="8" w:space="0" w:color="000000"/>
              <w:right w:val="single" w:sz="8" w:space="0" w:color="000000"/>
            </w:tcBorders>
            <w:shd w:val="clear" w:color="auto" w:fill="000000"/>
            <w:vAlign w:val="bottom"/>
          </w:tcPr>
          <w:p w:rsidR="00A715D6" w:rsidP="00685A7F" w14:paraId="5262B3F3" w14:textId="77777777">
            <w:pPr>
              <w:widowControl/>
              <w:rPr>
                <w:rFonts w:ascii="Calibri" w:eastAsia="Calibri" w:hAnsi="Calibri" w:cs="Calibri"/>
                <w:b/>
                <w:color w:val="000000"/>
              </w:rPr>
            </w:pPr>
            <w:r>
              <w:rPr>
                <w:rFonts w:ascii="Calibri" w:eastAsia="Calibri" w:hAnsi="Calibri" w:cs="Calibri"/>
                <w:b/>
                <w:color w:val="000000"/>
              </w:rPr>
              <w:t> </w:t>
            </w:r>
          </w:p>
        </w:tc>
        <w:tc>
          <w:tcPr>
            <w:tcW w:w="1305" w:type="dxa"/>
            <w:tcBorders>
              <w:top w:val="nil"/>
              <w:left w:val="nil"/>
              <w:bottom w:val="single" w:sz="8" w:space="0" w:color="000000"/>
              <w:right w:val="single" w:sz="8" w:space="0" w:color="000000"/>
            </w:tcBorders>
            <w:shd w:val="clear" w:color="auto" w:fill="DDEBF7"/>
            <w:vAlign w:val="bottom"/>
          </w:tcPr>
          <w:p w:rsidR="00A715D6" w:rsidP="00685A7F" w14:paraId="2F9E578E" w14:textId="77777777">
            <w:pPr>
              <w:widowControl/>
              <w:rPr>
                <w:rFonts w:ascii="Calibri" w:eastAsia="Calibri" w:hAnsi="Calibri" w:cs="Calibri"/>
                <w:b/>
                <w:color w:val="000000"/>
              </w:rPr>
            </w:pPr>
            <w:r>
              <w:rPr>
                <w:rFonts w:ascii="Calibri" w:eastAsia="Calibri" w:hAnsi="Calibri" w:cs="Calibri"/>
                <w:b/>
                <w:color w:val="000000"/>
              </w:rPr>
              <w:t> 1,455</w:t>
            </w:r>
          </w:p>
        </w:tc>
      </w:tr>
    </w:tbl>
    <w:p w:rsidR="00A715D6" w:rsidRPr="002D076D" w:rsidP="002D076D" w14:paraId="399D5748" w14:textId="4A918C7D">
      <w:pPr>
        <w:spacing w:line="259" w:lineRule="auto"/>
        <w:ind w:firstLine="400"/>
        <w:rPr>
          <w:i/>
          <w:sz w:val="20"/>
          <w:szCs w:val="20"/>
        </w:rPr>
      </w:pPr>
      <w:r w:rsidRPr="002D076D">
        <w:rPr>
          <w:i/>
          <w:sz w:val="20"/>
          <w:szCs w:val="20"/>
        </w:rPr>
        <w:t xml:space="preserve">Note: ^ These 30 </w:t>
      </w:r>
      <w:r>
        <w:rPr>
          <w:i/>
          <w:sz w:val="20"/>
          <w:szCs w:val="20"/>
        </w:rPr>
        <w:t xml:space="preserve">non-duplicated </w:t>
      </w:r>
      <w:r w:rsidRPr="002D076D">
        <w:rPr>
          <w:i/>
          <w:sz w:val="20"/>
          <w:szCs w:val="20"/>
        </w:rPr>
        <w:t>respondents are a subset of the 50 that submitted initial project application/checklists.</w:t>
      </w:r>
    </w:p>
    <w:p w:rsidR="00A715D6" w:rsidP="00A715D6" w14:paraId="4A73B1CE" w14:textId="1490BEA2">
      <w:pPr>
        <w:spacing w:line="259" w:lineRule="auto"/>
        <w:jc w:val="center"/>
      </w:pPr>
    </w:p>
    <w:p w:rsidR="00A715D6" w:rsidP="005E6DBE" w14:paraId="0402689A" w14:textId="1DB29189">
      <w:pPr>
        <w:pStyle w:val="Heading1"/>
        <w:spacing w:before="0" w:line="293" w:lineRule="atLeast"/>
        <w:ind w:left="0"/>
      </w:pPr>
      <w:r w:rsidRPr="00F60D30">
        <w:rPr>
          <w:b w:val="0"/>
        </w:rPr>
        <w:t>Salary of staff involved in preparation of CELCP plans, grant applications/budgets and progress reports vary significantly nationwide, and depending on the type and level of positions involved. Typically, a mid</w:t>
      </w:r>
      <w:r w:rsidR="004772A1">
        <w:rPr>
          <w:b w:val="0"/>
        </w:rPr>
        <w:t xml:space="preserve">- to senior- </w:t>
      </w:r>
      <w:r w:rsidRPr="00F60D30">
        <w:rPr>
          <w:b w:val="0"/>
        </w:rPr>
        <w:t xml:space="preserve">level coastal/natural resource planner </w:t>
      </w:r>
      <w:r w:rsidR="004772A1">
        <w:rPr>
          <w:b w:val="0"/>
        </w:rPr>
        <w:t xml:space="preserve">or scientist </w:t>
      </w:r>
      <w:r w:rsidRPr="00F60D30">
        <w:rPr>
          <w:b w:val="0"/>
        </w:rPr>
        <w:t>would develop and update state CELCP plans, draft grant applications and gather due diligence documentation</w:t>
      </w:r>
      <w:r w:rsidR="004772A1">
        <w:rPr>
          <w:b w:val="0"/>
        </w:rPr>
        <w:t xml:space="preserve">. </w:t>
      </w:r>
      <w:r w:rsidR="00F60D30">
        <w:rPr>
          <w:b w:val="0"/>
        </w:rPr>
        <w:t>S</w:t>
      </w:r>
      <w:r w:rsidRPr="00F60D30">
        <w:rPr>
          <w:b w:val="0"/>
        </w:rPr>
        <w:t>alaries for</w:t>
      </w:r>
      <w:r w:rsidRPr="00F60D30" w:rsidR="00F60D30">
        <w:rPr>
          <w:b w:val="0"/>
        </w:rPr>
        <w:t xml:space="preserve"> planners or related positions </w:t>
      </w:r>
      <w:r w:rsidR="00F60D30">
        <w:rPr>
          <w:b w:val="0"/>
        </w:rPr>
        <w:t>in</w:t>
      </w:r>
      <w:r w:rsidRPr="00F60D30" w:rsidR="00F60D30">
        <w:rPr>
          <w:b w:val="0"/>
        </w:rPr>
        <w:t xml:space="preserve"> the category of</w:t>
      </w:r>
      <w:r w:rsidR="00F60D30">
        <w:rPr>
          <w:b w:val="0"/>
        </w:rPr>
        <w:t xml:space="preserve"> Life, Physical, and Social Science Occupations a</w:t>
      </w:r>
      <w:r w:rsidRPr="00F60D30" w:rsidR="00F60D30">
        <w:rPr>
          <w:b w:val="0"/>
        </w:rPr>
        <w:t xml:space="preserve">verage approximately </w:t>
      </w:r>
      <w:r w:rsidRPr="00F60D30" w:rsidR="00F60D30">
        <w:rPr>
          <w:b w:val="0"/>
          <w:color w:val="000000"/>
          <w:shd w:val="clear" w:color="auto" w:fill="FFFFFF"/>
        </w:rPr>
        <w:t>$</w:t>
      </w:r>
      <w:r w:rsidR="008A42EF">
        <w:rPr>
          <w:b w:val="0"/>
          <w:color w:val="000000"/>
          <w:shd w:val="clear" w:color="auto" w:fill="FFFFFF"/>
        </w:rPr>
        <w:t>42</w:t>
      </w:r>
      <w:r w:rsidRPr="00F60D30" w:rsidR="00F60D30">
        <w:rPr>
          <w:b w:val="0"/>
          <w:color w:val="000000"/>
          <w:shd w:val="clear" w:color="auto" w:fill="FFFFFF"/>
        </w:rPr>
        <w:t>.2</w:t>
      </w:r>
      <w:r w:rsidR="008A42EF">
        <w:rPr>
          <w:b w:val="0"/>
          <w:color w:val="000000"/>
          <w:shd w:val="clear" w:color="auto" w:fill="FFFFFF"/>
        </w:rPr>
        <w:t>4</w:t>
      </w:r>
      <w:r w:rsidRPr="00F60D30" w:rsidR="00F60D30">
        <w:rPr>
          <w:b w:val="0"/>
          <w:color w:val="000000"/>
          <w:shd w:val="clear" w:color="auto" w:fill="FFFFFF"/>
        </w:rPr>
        <w:t xml:space="preserve"> per hour</w:t>
      </w:r>
      <w:r w:rsidRPr="00F60D30" w:rsidR="00F60D30">
        <w:rPr>
          <w:b w:val="0"/>
        </w:rPr>
        <w:t xml:space="preserve">, with a median hourly rate of </w:t>
      </w:r>
      <w:r w:rsidRPr="00F60D30" w:rsidR="00F60D30">
        <w:rPr>
          <w:b w:val="0"/>
          <w:color w:val="000000"/>
          <w:shd w:val="clear" w:color="auto" w:fill="FFFFFF"/>
        </w:rPr>
        <w:t>$3</w:t>
      </w:r>
      <w:r w:rsidR="008A42EF">
        <w:rPr>
          <w:b w:val="0"/>
          <w:color w:val="000000"/>
          <w:shd w:val="clear" w:color="auto" w:fill="FFFFFF"/>
        </w:rPr>
        <w:t>7</w:t>
      </w:r>
      <w:r w:rsidRPr="00F60D30" w:rsidR="00F60D30">
        <w:rPr>
          <w:b w:val="0"/>
          <w:color w:val="000000"/>
          <w:shd w:val="clear" w:color="auto" w:fill="FFFFFF"/>
        </w:rPr>
        <w:t>.</w:t>
      </w:r>
      <w:r w:rsidR="008A42EF">
        <w:rPr>
          <w:b w:val="0"/>
          <w:color w:val="000000"/>
          <w:shd w:val="clear" w:color="auto" w:fill="FFFFFF"/>
        </w:rPr>
        <w:t>63</w:t>
      </w:r>
      <w:r w:rsidRPr="00F60D30" w:rsidR="00F60D30">
        <w:rPr>
          <w:b w:val="0"/>
        </w:rPr>
        <w:t xml:space="preserve"> </w:t>
      </w:r>
      <w:r w:rsidRPr="00F60D30">
        <w:rPr>
          <w:b w:val="0"/>
        </w:rPr>
        <w:t>per hour</w:t>
      </w:r>
      <w:r w:rsidRPr="00F60D30" w:rsidR="00F60D30">
        <w:rPr>
          <w:b w:val="0"/>
        </w:rPr>
        <w:t>, according to the Bureau of Labor Statistics</w:t>
      </w:r>
      <w:r w:rsidR="004772A1">
        <w:rPr>
          <w:b w:val="0"/>
        </w:rPr>
        <w:t xml:space="preserve"> (BLS)</w:t>
      </w:r>
      <w:r w:rsidRPr="00F60D30" w:rsidR="00F60D30">
        <w:rPr>
          <w:b w:val="0"/>
        </w:rPr>
        <w:t xml:space="preserve"> </w:t>
      </w:r>
      <w:hyperlink r:id="rId25" w:history="1">
        <w:r w:rsidR="008A42EF">
          <w:rPr>
            <w:rStyle w:val="Hyperlink"/>
            <w:b w:val="0"/>
            <w:i/>
          </w:rPr>
          <w:t>2023</w:t>
        </w:r>
        <w:r w:rsidRPr="00F60D30" w:rsidR="008A42EF">
          <w:rPr>
            <w:rStyle w:val="Hyperlink"/>
            <w:b w:val="0"/>
            <w:i/>
          </w:rPr>
          <w:t xml:space="preserve"> </w:t>
        </w:r>
        <w:r w:rsidRPr="00F60D30" w:rsidR="008A42EF">
          <w:rPr>
            <w:rStyle w:val="Hyperlink"/>
            <w:b w:val="0"/>
            <w:bCs w:val="0"/>
            <w:i/>
          </w:rPr>
          <w:t>N</w:t>
        </w:r>
        <w:r w:rsidRPr="00F60D30" w:rsidR="008A42EF">
          <w:rPr>
            <w:rStyle w:val="Hyperlink"/>
            <w:b w:val="0"/>
            <w:bCs w:val="0"/>
            <w:i/>
          </w:rPr>
          <w:t>a</w:t>
        </w:r>
        <w:r w:rsidRPr="00F60D30" w:rsidR="008A42EF">
          <w:rPr>
            <w:rStyle w:val="Hyperlink"/>
            <w:b w:val="0"/>
            <w:bCs w:val="0"/>
            <w:i/>
          </w:rPr>
          <w:t>tional Occupational Employment and Wage Estimates</w:t>
        </w:r>
      </w:hyperlink>
      <w:r>
        <w:rPr>
          <w:rStyle w:val="FootnoteReference"/>
          <w:b w:val="0"/>
          <w:bCs w:val="0"/>
          <w:i/>
          <w:color w:val="0000FF" w:themeColor="hyperlink"/>
          <w:u w:val="single"/>
        </w:rPr>
        <w:footnoteReference w:id="11"/>
      </w:r>
      <w:r w:rsidRPr="00F60D30" w:rsidR="00F60D30">
        <w:rPr>
          <w:b w:val="0"/>
          <w:bCs w:val="0"/>
          <w:i/>
          <w:color w:val="183061"/>
        </w:rPr>
        <w:t xml:space="preserve"> </w:t>
      </w:r>
      <w:r w:rsidRPr="005E6DBE" w:rsidR="00F60D30">
        <w:rPr>
          <w:b w:val="0"/>
          <w:bCs w:val="0"/>
        </w:rPr>
        <w:t>for the United States</w:t>
      </w:r>
      <w:r w:rsidRPr="00F60D30" w:rsidR="00F60D30">
        <w:rPr>
          <w:b w:val="0"/>
          <w:bCs w:val="0"/>
          <w:color w:val="183061"/>
        </w:rPr>
        <w:t xml:space="preserve">. </w:t>
      </w:r>
      <w:r w:rsidRPr="00F60D30" w:rsidR="004772A1">
        <w:rPr>
          <w:b w:val="0"/>
        </w:rPr>
        <w:t xml:space="preserve">In addition, budget and administrative staff may also be involved in the preparation, review and submittal of grant applications, but this can vary significantly between applicants. </w:t>
      </w:r>
      <w:r w:rsidR="004772A1">
        <w:rPr>
          <w:b w:val="0"/>
        </w:rPr>
        <w:t>Nationally, s</w:t>
      </w:r>
      <w:r w:rsidRPr="00F60D30" w:rsidR="004772A1">
        <w:rPr>
          <w:b w:val="0"/>
        </w:rPr>
        <w:t xml:space="preserve">alaries for </w:t>
      </w:r>
      <w:r w:rsidR="004772A1">
        <w:rPr>
          <w:b w:val="0"/>
        </w:rPr>
        <w:t>Office and Administrative Support Occupations a</w:t>
      </w:r>
      <w:r w:rsidRPr="00F60D30" w:rsidR="004772A1">
        <w:rPr>
          <w:b w:val="0"/>
        </w:rPr>
        <w:t xml:space="preserve">verage approximately </w:t>
      </w:r>
      <w:r w:rsidRPr="00F60D30" w:rsidR="004772A1">
        <w:rPr>
          <w:b w:val="0"/>
          <w:color w:val="000000"/>
          <w:shd w:val="clear" w:color="auto" w:fill="FFFFFF"/>
        </w:rPr>
        <w:t>$</w:t>
      </w:r>
      <w:r w:rsidR="008A42EF">
        <w:rPr>
          <w:b w:val="0"/>
          <w:color w:val="000000"/>
          <w:shd w:val="clear" w:color="auto" w:fill="FFFFFF"/>
        </w:rPr>
        <w:t>23</w:t>
      </w:r>
      <w:r w:rsidRPr="00F60D30" w:rsidR="004772A1">
        <w:rPr>
          <w:b w:val="0"/>
          <w:color w:val="000000"/>
          <w:shd w:val="clear" w:color="auto" w:fill="FFFFFF"/>
        </w:rPr>
        <w:t>.</w:t>
      </w:r>
      <w:r w:rsidR="008A42EF">
        <w:rPr>
          <w:b w:val="0"/>
          <w:color w:val="000000"/>
          <w:shd w:val="clear" w:color="auto" w:fill="FFFFFF"/>
        </w:rPr>
        <w:t>05</w:t>
      </w:r>
      <w:r w:rsidRPr="00F60D30" w:rsidR="004772A1">
        <w:rPr>
          <w:b w:val="0"/>
          <w:color w:val="000000"/>
          <w:shd w:val="clear" w:color="auto" w:fill="FFFFFF"/>
        </w:rPr>
        <w:t xml:space="preserve"> per hour</w:t>
      </w:r>
      <w:r w:rsidRPr="00F60D30" w:rsidR="004772A1">
        <w:rPr>
          <w:b w:val="0"/>
        </w:rPr>
        <w:t xml:space="preserve">, with a median hourly rate of </w:t>
      </w:r>
      <w:r w:rsidRPr="00F60D30" w:rsidR="004772A1">
        <w:rPr>
          <w:b w:val="0"/>
          <w:color w:val="000000"/>
          <w:shd w:val="clear" w:color="auto" w:fill="FFFFFF"/>
        </w:rPr>
        <w:t>$</w:t>
      </w:r>
      <w:r w:rsidR="008A42EF">
        <w:rPr>
          <w:b w:val="0"/>
          <w:color w:val="000000"/>
          <w:shd w:val="clear" w:color="auto" w:fill="FFFFFF"/>
        </w:rPr>
        <w:t>21</w:t>
      </w:r>
      <w:r w:rsidRPr="00F60D30" w:rsidR="004772A1">
        <w:rPr>
          <w:b w:val="0"/>
          <w:color w:val="000000"/>
          <w:shd w:val="clear" w:color="auto" w:fill="FFFFFF"/>
        </w:rPr>
        <w:t>.</w:t>
      </w:r>
      <w:r w:rsidR="008A42EF">
        <w:rPr>
          <w:b w:val="0"/>
          <w:color w:val="000000"/>
          <w:shd w:val="clear" w:color="auto" w:fill="FFFFFF"/>
        </w:rPr>
        <w:t>39</w:t>
      </w:r>
      <w:r w:rsidRPr="00F60D30" w:rsidR="008A42EF">
        <w:rPr>
          <w:b w:val="0"/>
        </w:rPr>
        <w:t xml:space="preserve"> </w:t>
      </w:r>
      <w:r w:rsidRPr="00F60D30" w:rsidR="004772A1">
        <w:rPr>
          <w:b w:val="0"/>
        </w:rPr>
        <w:t>per hour</w:t>
      </w:r>
      <w:r w:rsidR="004772A1">
        <w:rPr>
          <w:b w:val="0"/>
        </w:rPr>
        <w:t>, per BLS estimates</w:t>
      </w:r>
      <w:r w:rsidR="0081240F">
        <w:rPr>
          <w:b w:val="0"/>
        </w:rPr>
        <w:t>.</w:t>
      </w:r>
    </w:p>
    <w:p w:rsidR="00A715D6" w:rsidP="00A715D6" w14:paraId="48669588" w14:textId="77777777">
      <w:pPr>
        <w:spacing w:line="259" w:lineRule="auto"/>
      </w:pPr>
    </w:p>
    <w:p w:rsidR="00A715D6" w:rsidP="005E6DBE" w14:paraId="22835940"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A715D6" w:rsidP="00A715D6" w14:paraId="3D12F1B6" w14:textId="77777777">
      <w:pPr>
        <w:pBdr>
          <w:top w:val="nil"/>
          <w:left w:val="nil"/>
          <w:bottom w:val="nil"/>
          <w:right w:val="nil"/>
          <w:between w:val="nil"/>
        </w:pBdr>
        <w:spacing w:before="1"/>
        <w:rPr>
          <w:b/>
          <w:color w:val="000000"/>
        </w:rPr>
      </w:pPr>
    </w:p>
    <w:tbl>
      <w:tblPr>
        <w:tblStyle w:val="a1"/>
        <w:tblW w:w="10275" w:type="dxa"/>
        <w:tblInd w:w="-25" w:type="dxa"/>
        <w:tblLayout w:type="fixed"/>
        <w:tblLook w:val="0400"/>
      </w:tblPr>
      <w:tblGrid>
        <w:gridCol w:w="2791"/>
        <w:gridCol w:w="1441"/>
        <w:gridCol w:w="1453"/>
        <w:gridCol w:w="1440"/>
        <w:gridCol w:w="1620"/>
        <w:gridCol w:w="1530"/>
      </w:tblGrid>
      <w:tr w14:paraId="19A4D46C" w14:textId="77777777" w:rsidTr="00685A7F">
        <w:tblPrEx>
          <w:tblW w:w="10275" w:type="dxa"/>
          <w:tblInd w:w="-25" w:type="dxa"/>
          <w:tblLayout w:type="fixed"/>
          <w:tblLook w:val="0400"/>
        </w:tblPrEx>
        <w:trPr>
          <w:trHeight w:val="915"/>
        </w:trPr>
        <w:tc>
          <w:tcPr>
            <w:tcW w:w="279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A715D6" w:rsidP="00685A7F" w14:paraId="1ACFB8B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441"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2DEE505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 / year</w:t>
            </w:r>
            <w:r>
              <w:rPr>
                <w:rFonts w:ascii="Calibri" w:eastAsia="Calibri" w:hAnsi="Calibri" w:cs="Calibri"/>
                <w:b/>
                <w:color w:val="000000"/>
                <w:sz w:val="16"/>
                <w:szCs w:val="16"/>
              </w:rPr>
              <w:br/>
              <w:t>(a)</w:t>
            </w:r>
          </w:p>
        </w:tc>
        <w:tc>
          <w:tcPr>
            <w:tcW w:w="1453"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2A8E2B1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2B17343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343B2AA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A715D6" w:rsidP="00685A7F" w14:paraId="5CE0082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t>(i) = (c) x (h)</w:t>
            </w:r>
          </w:p>
        </w:tc>
      </w:tr>
      <w:tr w14:paraId="31942F59" w14:textId="77777777" w:rsidTr="00685A7F">
        <w:tblPrEx>
          <w:tblW w:w="10275" w:type="dxa"/>
          <w:tblInd w:w="-25"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center"/>
          </w:tcPr>
          <w:p w:rsidR="00A715D6" w:rsidRPr="00110BEC" w:rsidP="00685A7F" w14:paraId="6376056E" w14:textId="77777777">
            <w:pPr>
              <w:widowControl/>
              <w:rPr>
                <w:rFonts w:ascii="Calibri" w:eastAsia="Calibri" w:hAnsi="Calibri" w:cs="Calibri"/>
                <w:color w:val="000000"/>
                <w:sz w:val="20"/>
                <w:szCs w:val="20"/>
              </w:rPr>
            </w:pPr>
            <w:r w:rsidRPr="00110BEC">
              <w:rPr>
                <w:rFonts w:ascii="Calibri" w:eastAsia="Calibri" w:hAnsi="Calibri" w:cs="Calibri"/>
                <w:color w:val="000000"/>
                <w:sz w:val="20"/>
                <w:szCs w:val="20"/>
              </w:rPr>
              <w:t> CELCP plans (if submitted in hard copy)</w:t>
            </w:r>
          </w:p>
        </w:tc>
        <w:tc>
          <w:tcPr>
            <w:tcW w:w="1441" w:type="dxa"/>
            <w:tcBorders>
              <w:top w:val="nil"/>
              <w:left w:val="nil"/>
              <w:bottom w:val="single" w:sz="4" w:space="0" w:color="000000"/>
              <w:right w:val="single" w:sz="4" w:space="0" w:color="000000"/>
            </w:tcBorders>
            <w:shd w:val="clear" w:color="auto" w:fill="FFFFFF"/>
            <w:vAlign w:val="center"/>
          </w:tcPr>
          <w:p w:rsidR="00A715D6" w:rsidRPr="00110BEC" w:rsidP="00685A7F" w14:paraId="41BB30C4" w14:textId="77777777">
            <w:pPr>
              <w:widowControl/>
              <w:jc w:val="right"/>
              <w:rPr>
                <w:rFonts w:ascii="Calibri" w:eastAsia="Calibri" w:hAnsi="Calibri" w:cs="Calibri"/>
                <w:color w:val="000000"/>
                <w:sz w:val="20"/>
                <w:szCs w:val="20"/>
              </w:rPr>
            </w:pPr>
            <w:r w:rsidRPr="00110BEC">
              <w:rPr>
                <w:rFonts w:ascii="Calibri" w:eastAsia="Calibri" w:hAnsi="Calibri" w:cs="Calibri"/>
                <w:color w:val="000000"/>
                <w:sz w:val="20"/>
                <w:szCs w:val="20"/>
              </w:rPr>
              <w:t>5 </w:t>
            </w:r>
          </w:p>
        </w:tc>
        <w:tc>
          <w:tcPr>
            <w:tcW w:w="1453" w:type="dxa"/>
            <w:tcBorders>
              <w:top w:val="nil"/>
              <w:left w:val="nil"/>
              <w:bottom w:val="single" w:sz="4" w:space="0" w:color="000000"/>
              <w:right w:val="single" w:sz="4" w:space="0" w:color="000000"/>
            </w:tcBorders>
            <w:shd w:val="clear" w:color="auto" w:fill="FFFFFF"/>
            <w:vAlign w:val="center"/>
          </w:tcPr>
          <w:p w:rsidR="00A715D6" w:rsidRPr="00110BEC" w:rsidP="00685A7F" w14:paraId="454AA6F2" w14:textId="77777777">
            <w:pPr>
              <w:widowControl/>
              <w:jc w:val="right"/>
              <w:rPr>
                <w:rFonts w:ascii="Calibri" w:eastAsia="Calibri" w:hAnsi="Calibri" w:cs="Calibri"/>
                <w:color w:val="000000"/>
                <w:sz w:val="20"/>
                <w:szCs w:val="20"/>
              </w:rPr>
            </w:pPr>
            <w:r w:rsidRPr="00110BEC">
              <w:rPr>
                <w:rFonts w:ascii="Calibri" w:eastAsia="Calibri" w:hAnsi="Calibri" w:cs="Calibri"/>
                <w:color w:val="000000"/>
                <w:sz w:val="20"/>
                <w:szCs w:val="20"/>
              </w:rPr>
              <w:t>1 </w:t>
            </w:r>
          </w:p>
        </w:tc>
        <w:tc>
          <w:tcPr>
            <w:tcW w:w="1440" w:type="dxa"/>
            <w:tcBorders>
              <w:top w:val="nil"/>
              <w:left w:val="nil"/>
              <w:bottom w:val="single" w:sz="4" w:space="0" w:color="000000"/>
              <w:right w:val="single" w:sz="4" w:space="0" w:color="000000"/>
            </w:tcBorders>
            <w:shd w:val="clear" w:color="auto" w:fill="FFFFFF"/>
            <w:vAlign w:val="center"/>
          </w:tcPr>
          <w:p w:rsidR="00A715D6" w:rsidRPr="00110BEC" w:rsidP="00685A7F" w14:paraId="5BF3604A" w14:textId="77777777">
            <w:pPr>
              <w:widowControl/>
              <w:jc w:val="right"/>
              <w:rPr>
                <w:rFonts w:ascii="Calibri" w:eastAsia="Calibri" w:hAnsi="Calibri" w:cs="Calibri"/>
                <w:color w:val="000000"/>
                <w:sz w:val="20"/>
                <w:szCs w:val="20"/>
              </w:rPr>
            </w:pPr>
            <w:r w:rsidRPr="00110BEC">
              <w:rPr>
                <w:rFonts w:ascii="Calibri" w:eastAsia="Calibri" w:hAnsi="Calibri" w:cs="Calibri"/>
                <w:color w:val="000000"/>
                <w:sz w:val="20"/>
                <w:szCs w:val="20"/>
              </w:rPr>
              <w:t>5 </w:t>
            </w:r>
          </w:p>
        </w:tc>
        <w:tc>
          <w:tcPr>
            <w:tcW w:w="1620" w:type="dxa"/>
            <w:tcBorders>
              <w:top w:val="nil"/>
              <w:left w:val="nil"/>
              <w:bottom w:val="single" w:sz="4" w:space="0" w:color="000000"/>
              <w:right w:val="single" w:sz="4" w:space="0" w:color="000000"/>
            </w:tcBorders>
            <w:shd w:val="clear" w:color="auto" w:fill="FFFFFF"/>
            <w:vAlign w:val="center"/>
          </w:tcPr>
          <w:p w:rsidR="00A715D6" w:rsidRPr="00110BEC" w:rsidP="00685A7F" w14:paraId="22C1D093" w14:textId="77777777">
            <w:pPr>
              <w:widowControl/>
              <w:jc w:val="center"/>
              <w:rPr>
                <w:rFonts w:ascii="Calibri" w:eastAsia="Calibri" w:hAnsi="Calibri" w:cs="Calibri"/>
                <w:color w:val="000000"/>
                <w:sz w:val="20"/>
                <w:szCs w:val="20"/>
              </w:rPr>
            </w:pPr>
            <w:r w:rsidRPr="00110BEC">
              <w:rPr>
                <w:rFonts w:ascii="Calibri" w:eastAsia="Calibri" w:hAnsi="Calibri" w:cs="Calibri"/>
                <w:color w:val="000000"/>
                <w:sz w:val="20"/>
                <w:szCs w:val="20"/>
              </w:rPr>
              <w:t>$7.50 to copy + $3.50 to mail = $11 each </w:t>
            </w:r>
          </w:p>
        </w:tc>
        <w:tc>
          <w:tcPr>
            <w:tcW w:w="1530" w:type="dxa"/>
            <w:tcBorders>
              <w:top w:val="nil"/>
              <w:left w:val="nil"/>
              <w:bottom w:val="single" w:sz="4" w:space="0" w:color="000000"/>
              <w:right w:val="single" w:sz="8" w:space="0" w:color="000000"/>
            </w:tcBorders>
            <w:shd w:val="clear" w:color="auto" w:fill="FFFFFF"/>
            <w:vAlign w:val="center"/>
          </w:tcPr>
          <w:p w:rsidR="00A715D6" w:rsidRPr="00110BEC" w:rsidP="00685A7F" w14:paraId="006B5B24" w14:textId="77777777">
            <w:pPr>
              <w:widowControl/>
              <w:jc w:val="right"/>
              <w:rPr>
                <w:rFonts w:ascii="Calibri" w:eastAsia="Calibri" w:hAnsi="Calibri" w:cs="Calibri"/>
                <w:color w:val="000000"/>
                <w:sz w:val="20"/>
                <w:szCs w:val="20"/>
              </w:rPr>
            </w:pPr>
            <w:r w:rsidRPr="00110BEC">
              <w:rPr>
                <w:rFonts w:ascii="Calibri" w:eastAsia="Calibri" w:hAnsi="Calibri" w:cs="Calibri"/>
                <w:color w:val="000000"/>
                <w:sz w:val="20"/>
                <w:szCs w:val="20"/>
              </w:rPr>
              <w:t>$55.00</w:t>
            </w:r>
          </w:p>
        </w:tc>
      </w:tr>
      <w:tr w14:paraId="4E557418" w14:textId="77777777" w:rsidTr="00685A7F">
        <w:tblPrEx>
          <w:tblW w:w="10275" w:type="dxa"/>
          <w:tblInd w:w="-25"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center"/>
          </w:tcPr>
          <w:p w:rsidR="00A715D6" w:rsidRPr="00110BEC" w:rsidP="00685A7F" w14:paraId="1CE936D0" w14:textId="77777777">
            <w:pPr>
              <w:widowControl/>
              <w:rPr>
                <w:rFonts w:ascii="Calibri" w:eastAsia="Calibri" w:hAnsi="Calibri" w:cs="Calibri"/>
                <w:color w:val="000000"/>
                <w:sz w:val="20"/>
                <w:szCs w:val="20"/>
              </w:rPr>
            </w:pPr>
            <w:r w:rsidRPr="00110BEC">
              <w:rPr>
                <w:rFonts w:ascii="Calibri" w:eastAsia="Calibri" w:hAnsi="Calibri" w:cs="Calibri"/>
                <w:color w:val="000000"/>
                <w:sz w:val="20"/>
                <w:szCs w:val="20"/>
              </w:rPr>
              <w:t> Submittal of grant applications</w:t>
            </w:r>
          </w:p>
        </w:tc>
        <w:tc>
          <w:tcPr>
            <w:tcW w:w="1441" w:type="dxa"/>
            <w:tcBorders>
              <w:top w:val="nil"/>
              <w:left w:val="nil"/>
              <w:bottom w:val="single" w:sz="4" w:space="0" w:color="000000"/>
              <w:right w:val="single" w:sz="4" w:space="0" w:color="000000"/>
            </w:tcBorders>
            <w:shd w:val="clear" w:color="auto" w:fill="FFFFFF"/>
            <w:vAlign w:val="center"/>
          </w:tcPr>
          <w:p w:rsidR="00A715D6" w:rsidRPr="00110BEC" w:rsidP="00685A7F" w14:paraId="39E8817F" w14:textId="77777777">
            <w:pPr>
              <w:widowControl/>
              <w:jc w:val="right"/>
              <w:rPr>
                <w:rFonts w:ascii="Calibri" w:eastAsia="Calibri" w:hAnsi="Calibri" w:cs="Calibri"/>
                <w:color w:val="000000"/>
                <w:sz w:val="20"/>
                <w:szCs w:val="20"/>
              </w:rPr>
            </w:pPr>
            <w:r w:rsidRPr="00110BEC">
              <w:rPr>
                <w:rFonts w:ascii="Calibri" w:eastAsia="Calibri" w:hAnsi="Calibri" w:cs="Calibri"/>
                <w:color w:val="000000"/>
                <w:sz w:val="20"/>
                <w:szCs w:val="20"/>
              </w:rPr>
              <w:t>50</w:t>
            </w:r>
          </w:p>
        </w:tc>
        <w:tc>
          <w:tcPr>
            <w:tcW w:w="1453" w:type="dxa"/>
            <w:tcBorders>
              <w:top w:val="nil"/>
              <w:left w:val="nil"/>
              <w:bottom w:val="single" w:sz="4" w:space="0" w:color="000000"/>
              <w:right w:val="single" w:sz="4" w:space="0" w:color="000000"/>
            </w:tcBorders>
            <w:shd w:val="clear" w:color="auto" w:fill="FFFFFF"/>
            <w:vAlign w:val="center"/>
          </w:tcPr>
          <w:p w:rsidR="00A715D6" w:rsidRPr="00110BEC" w:rsidP="00685A7F" w14:paraId="27BCC29D" w14:textId="77777777">
            <w:pPr>
              <w:widowControl/>
              <w:jc w:val="right"/>
              <w:rPr>
                <w:rFonts w:ascii="Calibri" w:eastAsia="Calibri" w:hAnsi="Calibri" w:cs="Calibri"/>
                <w:color w:val="000000"/>
                <w:sz w:val="20"/>
                <w:szCs w:val="20"/>
              </w:rPr>
            </w:pPr>
            <w:r w:rsidRPr="00110BEC">
              <w:rPr>
                <w:rFonts w:ascii="Calibri" w:eastAsia="Calibri" w:hAnsi="Calibri" w:cs="Calibri"/>
                <w:color w:val="000000"/>
                <w:sz w:val="20"/>
                <w:szCs w:val="20"/>
              </w:rPr>
              <w:t>1</w:t>
            </w:r>
          </w:p>
        </w:tc>
        <w:tc>
          <w:tcPr>
            <w:tcW w:w="1440" w:type="dxa"/>
            <w:tcBorders>
              <w:top w:val="nil"/>
              <w:left w:val="nil"/>
              <w:bottom w:val="single" w:sz="4" w:space="0" w:color="000000"/>
              <w:right w:val="single" w:sz="4" w:space="0" w:color="000000"/>
            </w:tcBorders>
            <w:shd w:val="clear" w:color="auto" w:fill="FFFFFF"/>
            <w:vAlign w:val="center"/>
          </w:tcPr>
          <w:p w:rsidR="00A715D6" w:rsidRPr="00110BEC" w:rsidP="00685A7F" w14:paraId="0F82B830" w14:textId="77777777">
            <w:pPr>
              <w:widowControl/>
              <w:jc w:val="right"/>
              <w:rPr>
                <w:rFonts w:ascii="Calibri" w:eastAsia="Calibri" w:hAnsi="Calibri" w:cs="Calibri"/>
                <w:color w:val="000000"/>
                <w:sz w:val="20"/>
                <w:szCs w:val="20"/>
              </w:rPr>
            </w:pPr>
            <w:r w:rsidRPr="00110BEC">
              <w:rPr>
                <w:rFonts w:ascii="Calibri" w:eastAsia="Calibri" w:hAnsi="Calibri" w:cs="Calibri"/>
                <w:color w:val="000000"/>
                <w:sz w:val="20"/>
                <w:szCs w:val="20"/>
              </w:rPr>
              <w:t>50</w:t>
            </w:r>
          </w:p>
        </w:tc>
        <w:tc>
          <w:tcPr>
            <w:tcW w:w="1620" w:type="dxa"/>
            <w:tcBorders>
              <w:top w:val="nil"/>
              <w:left w:val="nil"/>
              <w:bottom w:val="single" w:sz="4" w:space="0" w:color="000000"/>
              <w:right w:val="single" w:sz="4" w:space="0" w:color="000000"/>
            </w:tcBorders>
            <w:shd w:val="clear" w:color="auto" w:fill="FFFFFF"/>
            <w:vAlign w:val="center"/>
          </w:tcPr>
          <w:p w:rsidR="00A715D6" w:rsidRPr="00110BEC" w:rsidP="00685A7F" w14:paraId="24E0B0ED" w14:textId="77777777">
            <w:pPr>
              <w:widowControl/>
              <w:jc w:val="right"/>
              <w:rPr>
                <w:rFonts w:ascii="Calibri" w:eastAsia="Calibri" w:hAnsi="Calibri" w:cs="Calibri"/>
                <w:color w:val="000000"/>
                <w:sz w:val="20"/>
                <w:szCs w:val="20"/>
              </w:rPr>
            </w:pPr>
            <w:r w:rsidRPr="00110BEC">
              <w:rPr>
                <w:rFonts w:ascii="Calibri" w:eastAsia="Calibri" w:hAnsi="Calibri" w:cs="Calibri"/>
                <w:color w:val="000000"/>
                <w:sz w:val="20"/>
                <w:szCs w:val="20"/>
              </w:rPr>
              <w:t>$0 (electronic submittal)</w:t>
            </w:r>
          </w:p>
        </w:tc>
        <w:tc>
          <w:tcPr>
            <w:tcW w:w="1530" w:type="dxa"/>
            <w:tcBorders>
              <w:top w:val="nil"/>
              <w:left w:val="nil"/>
              <w:bottom w:val="single" w:sz="4" w:space="0" w:color="000000"/>
              <w:right w:val="single" w:sz="8" w:space="0" w:color="000000"/>
            </w:tcBorders>
            <w:shd w:val="clear" w:color="auto" w:fill="FFFFFF"/>
            <w:vAlign w:val="center"/>
          </w:tcPr>
          <w:p w:rsidR="00A715D6" w:rsidRPr="00110BEC" w:rsidP="00685A7F" w14:paraId="5AF0435F" w14:textId="77777777">
            <w:pPr>
              <w:widowControl/>
              <w:jc w:val="right"/>
              <w:rPr>
                <w:rFonts w:ascii="Calibri" w:eastAsia="Calibri" w:hAnsi="Calibri" w:cs="Calibri"/>
                <w:color w:val="000000"/>
                <w:sz w:val="20"/>
                <w:szCs w:val="20"/>
              </w:rPr>
            </w:pPr>
            <w:r w:rsidRPr="00110BEC">
              <w:rPr>
                <w:rFonts w:ascii="Calibri" w:eastAsia="Calibri" w:hAnsi="Calibri" w:cs="Calibri"/>
                <w:color w:val="000000"/>
                <w:sz w:val="20"/>
                <w:szCs w:val="20"/>
              </w:rPr>
              <w:t>$0 </w:t>
            </w:r>
          </w:p>
        </w:tc>
      </w:tr>
      <w:tr w14:paraId="0AD50C07" w14:textId="77777777" w:rsidTr="00685A7F">
        <w:tblPrEx>
          <w:tblW w:w="10275" w:type="dxa"/>
          <w:tblInd w:w="-25" w:type="dxa"/>
          <w:tblLayout w:type="fixed"/>
          <w:tblLook w:val="0400"/>
        </w:tblPrEx>
        <w:trPr>
          <w:trHeight w:val="315"/>
        </w:trPr>
        <w:tc>
          <w:tcPr>
            <w:tcW w:w="2791"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A715D6" w:rsidP="00685A7F" w14:paraId="40FB43D5"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441" w:type="dxa"/>
            <w:tcBorders>
              <w:top w:val="single" w:sz="8" w:space="0" w:color="000000"/>
              <w:left w:val="nil"/>
              <w:bottom w:val="single" w:sz="8" w:space="0" w:color="000000"/>
              <w:right w:val="single" w:sz="4" w:space="0" w:color="000000"/>
            </w:tcBorders>
            <w:shd w:val="clear" w:color="auto" w:fill="DDEBF7"/>
            <w:vAlign w:val="center"/>
          </w:tcPr>
          <w:p w:rsidR="00A715D6" w:rsidP="00685A7F" w14:paraId="02660C6A"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453" w:type="dxa"/>
            <w:tcBorders>
              <w:top w:val="single" w:sz="8" w:space="0" w:color="000000"/>
              <w:left w:val="nil"/>
              <w:bottom w:val="single" w:sz="8" w:space="0" w:color="000000"/>
              <w:right w:val="single" w:sz="4" w:space="0" w:color="000000"/>
            </w:tcBorders>
            <w:shd w:val="clear" w:color="auto" w:fill="DDEBF7"/>
            <w:vAlign w:val="center"/>
          </w:tcPr>
          <w:p w:rsidR="00A715D6" w:rsidP="00685A7F" w14:paraId="1FF6DD4E"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440" w:type="dxa"/>
            <w:tcBorders>
              <w:top w:val="single" w:sz="8" w:space="0" w:color="000000"/>
              <w:left w:val="nil"/>
              <w:bottom w:val="single" w:sz="8" w:space="0" w:color="000000"/>
              <w:right w:val="single" w:sz="4" w:space="0" w:color="000000"/>
            </w:tcBorders>
            <w:shd w:val="clear" w:color="auto" w:fill="DDEBF7"/>
            <w:vAlign w:val="center"/>
          </w:tcPr>
          <w:p w:rsidR="00A715D6" w:rsidP="00685A7F" w14:paraId="5C94C5EA"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xml:space="preserve">   </w:t>
            </w: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A715D6" w:rsidP="00685A7F" w14:paraId="527984EA"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30" w:type="dxa"/>
            <w:tcBorders>
              <w:top w:val="single" w:sz="8" w:space="0" w:color="000000"/>
              <w:left w:val="nil"/>
              <w:bottom w:val="single" w:sz="8" w:space="0" w:color="000000"/>
              <w:right w:val="single" w:sz="8" w:space="0" w:color="000000"/>
            </w:tcBorders>
            <w:shd w:val="clear" w:color="auto" w:fill="DDEBF7"/>
            <w:vAlign w:val="center"/>
          </w:tcPr>
          <w:p w:rsidR="00A715D6" w:rsidP="00685A7F" w14:paraId="1AECD5DC" w14:textId="724F5719">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w:t>
            </w:r>
            <w:r w:rsidR="00B5474B">
              <w:rPr>
                <w:rFonts w:ascii="Calibri" w:eastAsia="Calibri" w:hAnsi="Calibri" w:cs="Calibri"/>
                <w:b/>
                <w:color w:val="000000"/>
                <w:sz w:val="16"/>
                <w:szCs w:val="16"/>
              </w:rPr>
              <w:t>55</w:t>
            </w:r>
            <w:r>
              <w:rPr>
                <w:rFonts w:ascii="Calibri" w:eastAsia="Calibri" w:hAnsi="Calibri" w:cs="Calibri"/>
                <w:b/>
                <w:color w:val="000000"/>
                <w:sz w:val="16"/>
                <w:szCs w:val="16"/>
              </w:rPr>
              <w:t xml:space="preserve">  </w:t>
            </w:r>
          </w:p>
        </w:tc>
      </w:tr>
    </w:tbl>
    <w:p w:rsidR="00A715D6" w:rsidP="00A715D6" w14:paraId="0FEE0487" w14:textId="77777777">
      <w:pPr>
        <w:spacing w:line="259" w:lineRule="auto"/>
        <w:jc w:val="center"/>
      </w:pPr>
    </w:p>
    <w:p w:rsidR="00A715D6" w:rsidP="00110BEC" w14:paraId="3E6CA438" w14:textId="77777777">
      <w:pPr>
        <w:rPr>
          <w:b/>
          <w:color w:val="000000"/>
        </w:rPr>
      </w:pPr>
    </w:p>
    <w:p w:rsidR="00F74B70" w:rsidP="005E6DBE" w14:paraId="68E4DBFF"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74B70" w:rsidP="00F74B70" w14:paraId="2ED8B5CE" w14:textId="77777777">
      <w:pPr>
        <w:rPr>
          <w:color w:val="2F5496"/>
        </w:rPr>
      </w:pPr>
    </w:p>
    <w:p w:rsidR="00F74B70" w:rsidRPr="00EE0563" w:rsidP="00F74B70" w14:paraId="4AC37674" w14:textId="6241C507">
      <w:pPr>
        <w:rPr>
          <w:iCs/>
        </w:rPr>
      </w:pPr>
      <w:r>
        <w:rPr>
          <w:lang w:val="en-CA"/>
        </w:rPr>
        <w:fldChar w:fldCharType="begin"/>
      </w:r>
      <w:r>
        <w:rPr>
          <w:lang w:val="en-CA"/>
        </w:rPr>
        <w:instrText xml:space="preserve"> SEQ CHAPTER \h \r 1</w:instrText>
      </w:r>
      <w:r>
        <w:rPr>
          <w:lang w:val="en-CA"/>
        </w:rPr>
        <w:fldChar w:fldCharType="separate"/>
      </w:r>
      <w:r>
        <w:rPr>
          <w:lang w:val="en-CA"/>
        </w:rPr>
        <w:fldChar w:fldCharType="end"/>
      </w:r>
      <w:r>
        <w:t>The cost in staff time for NOAA to review CELCP plans is estimated as 10 hours each at $</w:t>
      </w:r>
      <w:r w:rsidR="00911B9C">
        <w:t>98</w:t>
      </w:r>
      <w:r>
        <w:t>/hour, for a total annual cost of approximately $</w:t>
      </w:r>
      <w:r w:rsidR="00911B9C">
        <w:t>4,900</w:t>
      </w:r>
      <w:r>
        <w:t xml:space="preserve"> for 4-6 plans per year. The cost in staff time for NOAA to review project checklists and performance reports for each project is estimated as 2 hours each at $</w:t>
      </w:r>
      <w:r w:rsidR="00911B9C">
        <w:t>83</w:t>
      </w:r>
      <w:r>
        <w:t>/hour, for a total annual cost of approximately $</w:t>
      </w:r>
      <w:r w:rsidR="00911B9C">
        <w:t>18,260</w:t>
      </w:r>
      <w:r>
        <w:t>, based on 220 hours. The maximum total is $</w:t>
      </w:r>
      <w:r w:rsidR="00911B9C">
        <w:t>23,160</w:t>
      </w:r>
      <w:r>
        <w:t>. The staff cost for NOAA oversight is approximately $</w:t>
      </w:r>
      <w:r w:rsidR="00911B9C">
        <w:t>2,320</w:t>
      </w:r>
      <w:r>
        <w:t xml:space="preserve"> for updating and posting guidance related to these information collection requirements for each funding competition, as relevant, and renewing this information collection every </w:t>
      </w:r>
      <w:r w:rsidR="0081240F">
        <w:t>three</w:t>
      </w:r>
      <w:r>
        <w:t xml:space="preserve"> years.</w:t>
      </w:r>
      <w:r w:rsidR="00B24DCB">
        <w:t xml:space="preserve"> </w:t>
      </w:r>
      <w:r w:rsidRPr="00B24DCB" w:rsidR="00B24DCB">
        <w:rPr>
          <w:i/>
        </w:rPr>
        <w:t xml:space="preserve">Source: </w:t>
      </w:r>
      <w:hyperlink r:id="rId26" w:history="1">
        <w:r w:rsidRPr="00B24DCB" w:rsidR="00B24DCB">
          <w:rPr>
            <w:rStyle w:val="Hyperlink"/>
            <w:i/>
          </w:rPr>
          <w:t>202</w:t>
        </w:r>
        <w:r w:rsidR="00EE0563">
          <w:rPr>
            <w:rStyle w:val="Hyperlink"/>
            <w:i/>
          </w:rPr>
          <w:t>5</w:t>
        </w:r>
        <w:r w:rsidRPr="00B24DCB" w:rsidR="00B24DCB">
          <w:rPr>
            <w:rStyle w:val="Hyperlink"/>
            <w:i/>
          </w:rPr>
          <w:t xml:space="preserve"> OPM salary tables</w:t>
        </w:r>
      </w:hyperlink>
      <w:r w:rsidR="00EE0563">
        <w:rPr>
          <w:rStyle w:val="Hyperlink"/>
          <w:i/>
        </w:rPr>
        <w:t xml:space="preserve"> (</w:t>
      </w:r>
      <w:r w:rsidRPr="00911B9C" w:rsidR="00911B9C">
        <w:rPr>
          <w:rStyle w:val="Hyperlink"/>
          <w:i/>
        </w:rPr>
        <w:t>https://www.opm.gov/policy-data-oversight/pay-leave/salaries-wages/salary-tables/pdf/2025/DCB_h.pdf</w:t>
      </w:r>
      <w:r w:rsidR="00EE0563">
        <w:rPr>
          <w:rStyle w:val="Hyperlink"/>
          <w:i/>
        </w:rPr>
        <w:t xml:space="preserve">)  </w:t>
      </w:r>
      <w:r w:rsidR="00EE0563">
        <w:rPr>
          <w:rStyle w:val="Hyperlink"/>
          <w:iCs/>
          <w:color w:val="auto"/>
          <w:u w:val="none"/>
        </w:rPr>
        <w:t>The loaded salary rate was calculated by applying a multiplier of 1.5 to the hourly rate for a Step 5 at the applicable grade level.</w:t>
      </w:r>
    </w:p>
    <w:p w:rsidR="00F74B70" w:rsidP="00F74B70" w14:paraId="09D4F989" w14:textId="77777777"/>
    <w:p w:rsidR="00F74B70" w:rsidP="00A5545B" w14:paraId="47A41915" w14:textId="77777777">
      <w:pPr>
        <w:keepNext/>
        <w:keepLines/>
        <w:widowControl/>
        <w:pBdr>
          <w:top w:val="nil"/>
          <w:left w:val="nil"/>
          <w:bottom w:val="nil"/>
          <w:right w:val="nil"/>
          <w:between w:val="nil"/>
        </w:pBdr>
        <w:spacing w:before="9" w:after="1"/>
        <w:rPr>
          <w:b/>
          <w:color w:val="000000"/>
        </w:rPr>
      </w:pPr>
    </w:p>
    <w:tbl>
      <w:tblPr>
        <w:tblStyle w:val="a2"/>
        <w:tblW w:w="9735" w:type="dxa"/>
        <w:tblInd w:w="-25" w:type="dxa"/>
        <w:tblLayout w:type="fixed"/>
        <w:tblLook w:val="0400"/>
      </w:tblPr>
      <w:tblGrid>
        <w:gridCol w:w="2175"/>
        <w:gridCol w:w="1350"/>
        <w:gridCol w:w="1260"/>
        <w:gridCol w:w="1710"/>
        <w:gridCol w:w="1170"/>
        <w:gridCol w:w="2070"/>
      </w:tblGrid>
      <w:tr w14:paraId="10CF804A" w14:textId="77777777" w:rsidTr="00685A7F">
        <w:tblPrEx>
          <w:tblW w:w="9735" w:type="dxa"/>
          <w:tblInd w:w="-25" w:type="dxa"/>
          <w:tblLayout w:type="fixed"/>
          <w:tblLook w:val="0400"/>
        </w:tblPrEx>
        <w:trPr>
          <w:trHeight w:val="450"/>
        </w:trPr>
        <w:tc>
          <w:tcPr>
            <w:tcW w:w="2175" w:type="dxa"/>
            <w:tcBorders>
              <w:top w:val="single" w:sz="8" w:space="0" w:color="000000"/>
              <w:left w:val="single" w:sz="8" w:space="0" w:color="000000"/>
              <w:bottom w:val="nil"/>
              <w:right w:val="single" w:sz="8" w:space="0" w:color="000000"/>
            </w:tcBorders>
            <w:shd w:val="clear" w:color="auto" w:fill="BDD7EE"/>
            <w:vAlign w:val="center"/>
          </w:tcPr>
          <w:p w:rsidR="00F74B70" w:rsidP="00A5545B" w14:paraId="7D630567"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350" w:type="dxa"/>
            <w:tcBorders>
              <w:top w:val="single" w:sz="8" w:space="0" w:color="000000"/>
              <w:left w:val="nil"/>
              <w:bottom w:val="nil"/>
              <w:right w:val="single" w:sz="8" w:space="0" w:color="000000"/>
            </w:tcBorders>
            <w:shd w:val="clear" w:color="auto" w:fill="BDD7EE"/>
            <w:vAlign w:val="center"/>
          </w:tcPr>
          <w:p w:rsidR="00F74B70" w:rsidP="00A5545B" w14:paraId="5AD34B42"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260" w:type="dxa"/>
            <w:tcBorders>
              <w:top w:val="single" w:sz="8" w:space="0" w:color="000000"/>
              <w:left w:val="nil"/>
              <w:bottom w:val="nil"/>
              <w:right w:val="single" w:sz="8" w:space="0" w:color="000000"/>
            </w:tcBorders>
            <w:shd w:val="clear" w:color="auto" w:fill="BDD7EE"/>
            <w:vAlign w:val="center"/>
          </w:tcPr>
          <w:p w:rsidR="00F74B70" w:rsidP="00A5545B" w14:paraId="76FB1324"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710" w:type="dxa"/>
            <w:tcBorders>
              <w:top w:val="single" w:sz="8" w:space="0" w:color="000000"/>
              <w:left w:val="nil"/>
              <w:bottom w:val="nil"/>
              <w:right w:val="single" w:sz="8" w:space="0" w:color="000000"/>
            </w:tcBorders>
            <w:shd w:val="clear" w:color="auto" w:fill="BDD7EE"/>
            <w:vAlign w:val="center"/>
          </w:tcPr>
          <w:p w:rsidR="00F74B70" w:rsidP="00A5545B" w14:paraId="191A4910"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170" w:type="dxa"/>
            <w:tcBorders>
              <w:top w:val="single" w:sz="8" w:space="0" w:color="000000"/>
              <w:left w:val="nil"/>
              <w:bottom w:val="nil"/>
              <w:right w:val="single" w:sz="8" w:space="0" w:color="000000"/>
            </w:tcBorders>
            <w:shd w:val="clear" w:color="auto" w:fill="BDD7EE"/>
            <w:vAlign w:val="center"/>
          </w:tcPr>
          <w:p w:rsidR="00F74B70" w:rsidP="00A5545B" w14:paraId="20719D64"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2070" w:type="dxa"/>
            <w:tcBorders>
              <w:top w:val="single" w:sz="8" w:space="0" w:color="000000"/>
              <w:left w:val="nil"/>
              <w:bottom w:val="nil"/>
              <w:right w:val="single" w:sz="8" w:space="0" w:color="000000"/>
            </w:tcBorders>
            <w:shd w:val="clear" w:color="auto" w:fill="BDD7EE"/>
            <w:vAlign w:val="center"/>
          </w:tcPr>
          <w:p w:rsidR="00F74B70" w:rsidP="00A5545B" w14:paraId="41AFD01B" w14:textId="77777777">
            <w:pPr>
              <w:keepNext/>
              <w:keepLines/>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4BF4F91A" w14:textId="77777777" w:rsidTr="00685A7F">
        <w:tblPrEx>
          <w:tblW w:w="9735" w:type="dxa"/>
          <w:tblInd w:w="-25" w:type="dxa"/>
          <w:tblLayout w:type="fixed"/>
          <w:tblLook w:val="0400"/>
        </w:tblPrEx>
        <w:trPr>
          <w:trHeight w:val="286"/>
        </w:trPr>
        <w:tc>
          <w:tcPr>
            <w:tcW w:w="2175" w:type="dxa"/>
            <w:tcBorders>
              <w:top w:val="single" w:sz="4" w:space="0" w:color="000000"/>
              <w:left w:val="single" w:sz="8" w:space="0" w:color="000000"/>
              <w:bottom w:val="single" w:sz="4" w:space="0" w:color="000000"/>
              <w:right w:val="single" w:sz="8" w:space="0" w:color="000000"/>
            </w:tcBorders>
            <w:shd w:val="clear" w:color="auto" w:fill="auto"/>
            <w:vAlign w:val="bottom"/>
          </w:tcPr>
          <w:p w:rsidR="00F74B70" w:rsidRPr="000E16BE" w:rsidP="00A5545B" w14:paraId="0379609E" w14:textId="77777777">
            <w:pPr>
              <w:keepNext/>
              <w:keepLines/>
              <w:widowControl/>
              <w:rPr>
                <w:rFonts w:ascii="Calibri" w:eastAsia="Calibri" w:hAnsi="Calibri" w:cs="Calibri"/>
                <w:b/>
                <w:color w:val="000000"/>
                <w:sz w:val="18"/>
                <w:szCs w:val="18"/>
              </w:rPr>
            </w:pPr>
            <w:r w:rsidRPr="000E16BE">
              <w:rPr>
                <w:rFonts w:ascii="Calibri" w:eastAsia="Calibri" w:hAnsi="Calibri" w:cs="Calibri"/>
                <w:b/>
                <w:color w:val="000000"/>
                <w:sz w:val="18"/>
                <w:szCs w:val="18"/>
              </w:rPr>
              <w:t>Federal Oversight</w:t>
            </w:r>
          </w:p>
        </w:tc>
        <w:tc>
          <w:tcPr>
            <w:tcW w:w="1350" w:type="dxa"/>
            <w:tcBorders>
              <w:top w:val="single" w:sz="4" w:space="0" w:color="000000"/>
              <w:left w:val="nil"/>
              <w:bottom w:val="single" w:sz="4" w:space="0" w:color="000000"/>
              <w:right w:val="single" w:sz="4" w:space="0" w:color="000000"/>
            </w:tcBorders>
            <w:shd w:val="clear" w:color="auto" w:fill="auto"/>
            <w:vAlign w:val="bottom"/>
          </w:tcPr>
          <w:p w:rsidR="00F74B70" w:rsidRPr="000E16BE" w:rsidP="00A5545B" w14:paraId="627C36AF"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GS-14</w:t>
            </w:r>
          </w:p>
        </w:tc>
        <w:tc>
          <w:tcPr>
            <w:tcW w:w="1260" w:type="dxa"/>
            <w:tcBorders>
              <w:top w:val="single" w:sz="4" w:space="0" w:color="000000"/>
              <w:left w:val="nil"/>
              <w:bottom w:val="single" w:sz="4" w:space="0" w:color="000000"/>
              <w:right w:val="single" w:sz="4" w:space="0" w:color="000000"/>
            </w:tcBorders>
            <w:shd w:val="clear" w:color="auto" w:fill="auto"/>
            <w:vAlign w:val="bottom"/>
          </w:tcPr>
          <w:p w:rsidR="00F74B70" w:rsidRPr="000E16BE" w:rsidP="00A5545B" w14:paraId="524AB4A2" w14:textId="08B9A20B">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r w:rsidR="00911B9C">
              <w:rPr>
                <w:rFonts w:ascii="Calibri" w:eastAsia="Calibri" w:hAnsi="Calibri" w:cs="Calibri"/>
                <w:color w:val="000000"/>
                <w:sz w:val="18"/>
                <w:szCs w:val="18"/>
              </w:rPr>
              <w:t>116</w:t>
            </w:r>
            <w:r w:rsidRPr="000E16BE">
              <w:rPr>
                <w:rFonts w:ascii="Calibri" w:eastAsia="Calibri" w:hAnsi="Calibri" w:cs="Calibri"/>
                <w:color w:val="000000"/>
                <w:sz w:val="18"/>
                <w:szCs w:val="18"/>
              </w:rPr>
              <w:t>/hour</w:t>
            </w:r>
          </w:p>
        </w:tc>
        <w:tc>
          <w:tcPr>
            <w:tcW w:w="1710" w:type="dxa"/>
            <w:tcBorders>
              <w:top w:val="single" w:sz="4" w:space="0" w:color="000000"/>
              <w:left w:val="nil"/>
              <w:bottom w:val="single" w:sz="4" w:space="0" w:color="000000"/>
              <w:right w:val="single" w:sz="4" w:space="0" w:color="000000"/>
            </w:tcBorders>
            <w:shd w:val="clear" w:color="auto" w:fill="auto"/>
            <w:vAlign w:val="bottom"/>
          </w:tcPr>
          <w:p w:rsidR="00F74B70" w:rsidRPr="000E16BE" w:rsidP="00A5545B" w14:paraId="17009B9F"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~20 hours</w:t>
            </w:r>
          </w:p>
        </w:tc>
        <w:tc>
          <w:tcPr>
            <w:tcW w:w="1170" w:type="dxa"/>
            <w:tcBorders>
              <w:top w:val="single" w:sz="4" w:space="0" w:color="000000"/>
              <w:left w:val="nil"/>
              <w:bottom w:val="single" w:sz="4" w:space="0" w:color="000000"/>
              <w:right w:val="single" w:sz="4" w:space="0" w:color="000000"/>
            </w:tcBorders>
            <w:shd w:val="clear" w:color="auto" w:fill="808080"/>
            <w:vAlign w:val="bottom"/>
          </w:tcPr>
          <w:p w:rsidR="00F74B70" w:rsidRPr="000E16BE" w:rsidP="00A5545B" w14:paraId="0D5EE467"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2070" w:type="dxa"/>
            <w:tcBorders>
              <w:top w:val="single" w:sz="4" w:space="0" w:color="000000"/>
              <w:left w:val="nil"/>
              <w:bottom w:val="single" w:sz="4" w:space="0" w:color="000000"/>
              <w:right w:val="single" w:sz="8" w:space="0" w:color="000000"/>
            </w:tcBorders>
            <w:shd w:val="clear" w:color="auto" w:fill="auto"/>
            <w:vAlign w:val="bottom"/>
          </w:tcPr>
          <w:p w:rsidR="00F74B70" w:rsidRPr="000E16BE" w:rsidP="00A5545B" w14:paraId="0C6CFB65" w14:textId="4A644120">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r w:rsidR="00911B9C">
              <w:rPr>
                <w:rFonts w:ascii="Calibri" w:eastAsia="Calibri" w:hAnsi="Calibri" w:cs="Calibri"/>
                <w:color w:val="000000"/>
                <w:sz w:val="18"/>
                <w:szCs w:val="18"/>
              </w:rPr>
              <w:t>2,320</w:t>
            </w:r>
          </w:p>
        </w:tc>
      </w:tr>
      <w:tr w14:paraId="51D2F218" w14:textId="77777777" w:rsidTr="00685A7F">
        <w:tblPrEx>
          <w:tblW w:w="9735" w:type="dxa"/>
          <w:tblInd w:w="-25" w:type="dxa"/>
          <w:tblLayout w:type="fixed"/>
          <w:tblLook w:val="0400"/>
        </w:tblPrEx>
        <w:trPr>
          <w:trHeight w:val="300"/>
        </w:trPr>
        <w:tc>
          <w:tcPr>
            <w:tcW w:w="2175" w:type="dxa"/>
            <w:tcBorders>
              <w:top w:val="nil"/>
              <w:left w:val="single" w:sz="8" w:space="0" w:color="000000"/>
              <w:bottom w:val="single" w:sz="4" w:space="0" w:color="000000"/>
              <w:right w:val="single" w:sz="8" w:space="0" w:color="000000"/>
            </w:tcBorders>
            <w:shd w:val="clear" w:color="auto" w:fill="auto"/>
            <w:vAlign w:val="bottom"/>
          </w:tcPr>
          <w:p w:rsidR="00F74B70" w:rsidRPr="000E16BE" w:rsidP="00A5545B" w14:paraId="1005491E"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Review of CELCP plans</w:t>
            </w:r>
          </w:p>
        </w:tc>
        <w:tc>
          <w:tcPr>
            <w:tcW w:w="1350" w:type="dxa"/>
            <w:tcBorders>
              <w:top w:val="nil"/>
              <w:left w:val="nil"/>
              <w:bottom w:val="single" w:sz="4" w:space="0" w:color="000000"/>
              <w:right w:val="single" w:sz="4" w:space="0" w:color="000000"/>
            </w:tcBorders>
            <w:shd w:val="clear" w:color="auto" w:fill="auto"/>
            <w:vAlign w:val="bottom"/>
          </w:tcPr>
          <w:p w:rsidR="00F74B70" w:rsidRPr="000E16BE" w:rsidP="00A5545B" w14:paraId="35D2C23D" w14:textId="6C707CA0">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Various staff –~GS 13</w:t>
            </w:r>
          </w:p>
        </w:tc>
        <w:tc>
          <w:tcPr>
            <w:tcW w:w="1260" w:type="dxa"/>
            <w:tcBorders>
              <w:top w:val="nil"/>
              <w:left w:val="nil"/>
              <w:bottom w:val="single" w:sz="4" w:space="0" w:color="000000"/>
              <w:right w:val="single" w:sz="4" w:space="0" w:color="000000"/>
            </w:tcBorders>
            <w:shd w:val="clear" w:color="auto" w:fill="auto"/>
            <w:vAlign w:val="bottom"/>
          </w:tcPr>
          <w:p w:rsidR="00F74B70" w:rsidRPr="000E16BE" w:rsidP="00A5545B" w14:paraId="71727CCB" w14:textId="3DFB2082">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r w:rsidR="00911B9C">
              <w:rPr>
                <w:rFonts w:ascii="Calibri" w:eastAsia="Calibri" w:hAnsi="Calibri" w:cs="Calibri"/>
                <w:color w:val="000000"/>
                <w:sz w:val="18"/>
                <w:szCs w:val="18"/>
              </w:rPr>
              <w:t>98</w:t>
            </w:r>
            <w:r w:rsidRPr="000E16BE">
              <w:rPr>
                <w:rFonts w:ascii="Calibri" w:eastAsia="Calibri" w:hAnsi="Calibri" w:cs="Calibri"/>
                <w:color w:val="000000"/>
                <w:sz w:val="18"/>
                <w:szCs w:val="18"/>
              </w:rPr>
              <w:t xml:space="preserve">/hour </w:t>
            </w:r>
          </w:p>
        </w:tc>
        <w:tc>
          <w:tcPr>
            <w:tcW w:w="1710" w:type="dxa"/>
            <w:tcBorders>
              <w:top w:val="nil"/>
              <w:left w:val="nil"/>
              <w:bottom w:val="single" w:sz="4" w:space="0" w:color="000000"/>
              <w:right w:val="single" w:sz="4" w:space="0" w:color="000000"/>
            </w:tcBorders>
            <w:shd w:val="clear" w:color="auto" w:fill="auto"/>
            <w:vAlign w:val="bottom"/>
          </w:tcPr>
          <w:p w:rsidR="00F74B70" w:rsidRPr="000E16BE" w:rsidP="00A5545B" w14:paraId="502A6165"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~10 hours each</w:t>
            </w:r>
          </w:p>
        </w:tc>
        <w:tc>
          <w:tcPr>
            <w:tcW w:w="1170" w:type="dxa"/>
            <w:tcBorders>
              <w:top w:val="nil"/>
              <w:left w:val="nil"/>
              <w:bottom w:val="single" w:sz="4" w:space="0" w:color="000000"/>
              <w:right w:val="single" w:sz="4" w:space="0" w:color="000000"/>
            </w:tcBorders>
            <w:shd w:val="clear" w:color="auto" w:fill="808080"/>
            <w:vAlign w:val="bottom"/>
          </w:tcPr>
          <w:p w:rsidR="00F74B70" w:rsidRPr="000E16BE" w:rsidP="00A5545B" w14:paraId="04E73E08"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2070" w:type="dxa"/>
            <w:tcBorders>
              <w:top w:val="nil"/>
              <w:left w:val="nil"/>
              <w:bottom w:val="single" w:sz="4" w:space="0" w:color="000000"/>
              <w:right w:val="single" w:sz="8" w:space="0" w:color="000000"/>
            </w:tcBorders>
            <w:shd w:val="clear" w:color="auto" w:fill="auto"/>
            <w:vAlign w:val="bottom"/>
          </w:tcPr>
          <w:p w:rsidR="00F74B70" w:rsidRPr="000E16BE" w:rsidP="00A5545B" w14:paraId="36436052" w14:textId="238055A8">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r w:rsidR="00911B9C">
              <w:rPr>
                <w:rFonts w:ascii="Calibri" w:eastAsia="Calibri" w:hAnsi="Calibri" w:cs="Calibri"/>
                <w:color w:val="000000"/>
                <w:sz w:val="18"/>
                <w:szCs w:val="18"/>
              </w:rPr>
              <w:t>4,900</w:t>
            </w:r>
            <w:r w:rsidRPr="000E16BE">
              <w:rPr>
                <w:rFonts w:ascii="Calibri" w:eastAsia="Calibri" w:hAnsi="Calibri" w:cs="Calibri"/>
                <w:color w:val="000000"/>
                <w:sz w:val="18"/>
                <w:szCs w:val="18"/>
              </w:rPr>
              <w:t xml:space="preserve"> for avg of 5 plans/year</w:t>
            </w:r>
          </w:p>
        </w:tc>
      </w:tr>
      <w:tr w14:paraId="3222B903" w14:textId="77777777" w:rsidTr="00685A7F">
        <w:tblPrEx>
          <w:tblW w:w="9735" w:type="dxa"/>
          <w:tblInd w:w="-25" w:type="dxa"/>
          <w:tblLayout w:type="fixed"/>
          <w:tblLook w:val="0400"/>
        </w:tblPrEx>
        <w:trPr>
          <w:trHeight w:val="300"/>
        </w:trPr>
        <w:tc>
          <w:tcPr>
            <w:tcW w:w="2175" w:type="dxa"/>
            <w:tcBorders>
              <w:top w:val="nil"/>
              <w:left w:val="single" w:sz="8" w:space="0" w:color="000000"/>
              <w:bottom w:val="single" w:sz="4" w:space="0" w:color="000000"/>
              <w:right w:val="single" w:sz="8" w:space="0" w:color="000000"/>
            </w:tcBorders>
            <w:shd w:val="clear" w:color="auto" w:fill="auto"/>
            <w:vAlign w:val="bottom"/>
          </w:tcPr>
          <w:p w:rsidR="00F74B70" w:rsidRPr="000E16BE" w:rsidP="00A5545B" w14:paraId="249E676D"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Review project application/ checklist</w:t>
            </w:r>
          </w:p>
        </w:tc>
        <w:tc>
          <w:tcPr>
            <w:tcW w:w="1350" w:type="dxa"/>
            <w:tcBorders>
              <w:top w:val="nil"/>
              <w:left w:val="nil"/>
              <w:bottom w:val="single" w:sz="4" w:space="0" w:color="000000"/>
              <w:right w:val="single" w:sz="4" w:space="0" w:color="000000"/>
            </w:tcBorders>
            <w:shd w:val="clear" w:color="auto" w:fill="auto"/>
            <w:vAlign w:val="bottom"/>
          </w:tcPr>
          <w:p w:rsidR="00F74B70" w:rsidRPr="000E16BE" w:rsidP="00A5545B" w14:paraId="6BF278DE"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Various staff –~GS 12</w:t>
            </w:r>
          </w:p>
        </w:tc>
        <w:tc>
          <w:tcPr>
            <w:tcW w:w="1260" w:type="dxa"/>
            <w:tcBorders>
              <w:top w:val="nil"/>
              <w:left w:val="nil"/>
              <w:bottom w:val="single" w:sz="4" w:space="0" w:color="000000"/>
              <w:right w:val="single" w:sz="4" w:space="0" w:color="000000"/>
            </w:tcBorders>
            <w:shd w:val="clear" w:color="auto" w:fill="auto"/>
            <w:vAlign w:val="bottom"/>
          </w:tcPr>
          <w:p w:rsidR="00F74B70" w:rsidRPr="000E16BE" w:rsidP="00A5545B" w14:paraId="5013C64C" w14:textId="0AFE703B">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r w:rsidR="00911B9C">
              <w:rPr>
                <w:rFonts w:ascii="Calibri" w:eastAsia="Calibri" w:hAnsi="Calibri" w:cs="Calibri"/>
                <w:color w:val="000000"/>
                <w:sz w:val="18"/>
                <w:szCs w:val="18"/>
              </w:rPr>
              <w:t>83</w:t>
            </w:r>
            <w:r w:rsidRPr="000E16BE">
              <w:rPr>
                <w:rFonts w:ascii="Calibri" w:eastAsia="Calibri" w:hAnsi="Calibri" w:cs="Calibri"/>
                <w:color w:val="000000"/>
                <w:sz w:val="18"/>
                <w:szCs w:val="18"/>
              </w:rPr>
              <w:t>/hour</w:t>
            </w:r>
          </w:p>
        </w:tc>
        <w:tc>
          <w:tcPr>
            <w:tcW w:w="1710" w:type="dxa"/>
            <w:tcBorders>
              <w:top w:val="nil"/>
              <w:left w:val="nil"/>
              <w:bottom w:val="single" w:sz="4" w:space="0" w:color="000000"/>
              <w:right w:val="single" w:sz="4" w:space="0" w:color="000000"/>
            </w:tcBorders>
            <w:shd w:val="clear" w:color="auto" w:fill="auto"/>
            <w:vAlign w:val="bottom"/>
          </w:tcPr>
          <w:p w:rsidR="00F74B70" w:rsidRPr="000E16BE" w:rsidP="00A5545B" w14:paraId="21AB2FF2"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~2 hours each (~100 hours total)</w:t>
            </w:r>
          </w:p>
        </w:tc>
        <w:tc>
          <w:tcPr>
            <w:tcW w:w="1170" w:type="dxa"/>
            <w:tcBorders>
              <w:top w:val="nil"/>
              <w:left w:val="nil"/>
              <w:bottom w:val="single" w:sz="4" w:space="0" w:color="000000"/>
              <w:right w:val="single" w:sz="4" w:space="0" w:color="000000"/>
            </w:tcBorders>
            <w:shd w:val="clear" w:color="auto" w:fill="808080"/>
            <w:vAlign w:val="bottom"/>
          </w:tcPr>
          <w:p w:rsidR="00F74B70" w:rsidRPr="000E16BE" w:rsidP="00A5545B" w14:paraId="3F5B24B1"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2070" w:type="dxa"/>
            <w:tcBorders>
              <w:top w:val="nil"/>
              <w:left w:val="nil"/>
              <w:bottom w:val="single" w:sz="4" w:space="0" w:color="000000"/>
              <w:right w:val="single" w:sz="8" w:space="0" w:color="000000"/>
            </w:tcBorders>
            <w:shd w:val="clear" w:color="auto" w:fill="auto"/>
            <w:vAlign w:val="bottom"/>
          </w:tcPr>
          <w:p w:rsidR="00F74B70" w:rsidRPr="000E16BE" w:rsidP="00A5545B" w14:paraId="269B629C" w14:textId="67B908FE">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r w:rsidR="00911B9C">
              <w:rPr>
                <w:rFonts w:ascii="Calibri" w:eastAsia="Calibri" w:hAnsi="Calibri" w:cs="Calibri"/>
                <w:color w:val="000000"/>
                <w:sz w:val="18"/>
                <w:szCs w:val="18"/>
              </w:rPr>
              <w:t>8,300</w:t>
            </w:r>
          </w:p>
        </w:tc>
      </w:tr>
      <w:tr w14:paraId="67F52150" w14:textId="77777777" w:rsidTr="00685A7F">
        <w:tblPrEx>
          <w:tblW w:w="9735" w:type="dxa"/>
          <w:tblInd w:w="-25" w:type="dxa"/>
          <w:tblLayout w:type="fixed"/>
          <w:tblLook w:val="0400"/>
        </w:tblPrEx>
        <w:trPr>
          <w:trHeight w:val="300"/>
        </w:trPr>
        <w:tc>
          <w:tcPr>
            <w:tcW w:w="2175" w:type="dxa"/>
            <w:tcBorders>
              <w:top w:val="nil"/>
              <w:left w:val="single" w:sz="8" w:space="0" w:color="000000"/>
              <w:bottom w:val="single" w:sz="4" w:space="0" w:color="000000"/>
              <w:right w:val="single" w:sz="8" w:space="0" w:color="000000"/>
            </w:tcBorders>
            <w:shd w:val="clear" w:color="auto" w:fill="auto"/>
            <w:vAlign w:val="bottom"/>
          </w:tcPr>
          <w:p w:rsidR="00F74B70" w:rsidRPr="000E16BE" w:rsidP="00A5545B" w14:paraId="792086B9"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Review semi-annual performance reports</w:t>
            </w:r>
          </w:p>
        </w:tc>
        <w:tc>
          <w:tcPr>
            <w:tcW w:w="1350" w:type="dxa"/>
            <w:tcBorders>
              <w:top w:val="nil"/>
              <w:left w:val="nil"/>
              <w:bottom w:val="single" w:sz="4" w:space="0" w:color="000000"/>
              <w:right w:val="single" w:sz="4" w:space="0" w:color="000000"/>
            </w:tcBorders>
            <w:shd w:val="clear" w:color="auto" w:fill="auto"/>
            <w:vAlign w:val="bottom"/>
          </w:tcPr>
          <w:p w:rsidR="00F74B70" w:rsidRPr="000E16BE" w:rsidP="00A5545B" w14:paraId="6FDD50DA"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Various staff –~GS 12</w:t>
            </w:r>
          </w:p>
        </w:tc>
        <w:tc>
          <w:tcPr>
            <w:tcW w:w="1260" w:type="dxa"/>
            <w:tcBorders>
              <w:top w:val="nil"/>
              <w:left w:val="nil"/>
              <w:bottom w:val="single" w:sz="4" w:space="0" w:color="000000"/>
              <w:right w:val="single" w:sz="4" w:space="0" w:color="000000"/>
            </w:tcBorders>
            <w:shd w:val="clear" w:color="auto" w:fill="auto"/>
            <w:vAlign w:val="bottom"/>
          </w:tcPr>
          <w:p w:rsidR="00F74B70" w:rsidRPr="000E16BE" w:rsidP="00A5545B" w14:paraId="1873BFE5" w14:textId="02C0F119">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r w:rsidR="00911B9C">
              <w:rPr>
                <w:rFonts w:ascii="Calibri" w:eastAsia="Calibri" w:hAnsi="Calibri" w:cs="Calibri"/>
                <w:color w:val="000000"/>
                <w:sz w:val="18"/>
                <w:szCs w:val="18"/>
              </w:rPr>
              <w:t>83</w:t>
            </w:r>
            <w:r w:rsidRPr="000E16BE">
              <w:rPr>
                <w:rFonts w:ascii="Calibri" w:eastAsia="Calibri" w:hAnsi="Calibri" w:cs="Calibri"/>
                <w:color w:val="000000"/>
                <w:sz w:val="18"/>
                <w:szCs w:val="18"/>
              </w:rPr>
              <w:t>/hour</w:t>
            </w:r>
          </w:p>
        </w:tc>
        <w:tc>
          <w:tcPr>
            <w:tcW w:w="1710" w:type="dxa"/>
            <w:tcBorders>
              <w:top w:val="nil"/>
              <w:left w:val="nil"/>
              <w:bottom w:val="single" w:sz="4" w:space="0" w:color="000000"/>
              <w:right w:val="single" w:sz="4" w:space="0" w:color="000000"/>
            </w:tcBorders>
            <w:shd w:val="clear" w:color="auto" w:fill="auto"/>
            <w:vAlign w:val="bottom"/>
          </w:tcPr>
          <w:p w:rsidR="00F74B70" w:rsidRPr="000E16BE" w:rsidP="00A5545B" w14:paraId="2B95820B"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~2 hours each (~120 hours total)</w:t>
            </w:r>
          </w:p>
        </w:tc>
        <w:tc>
          <w:tcPr>
            <w:tcW w:w="1170" w:type="dxa"/>
            <w:tcBorders>
              <w:top w:val="nil"/>
              <w:left w:val="nil"/>
              <w:bottom w:val="single" w:sz="4" w:space="0" w:color="000000"/>
              <w:right w:val="single" w:sz="4" w:space="0" w:color="000000"/>
            </w:tcBorders>
            <w:shd w:val="clear" w:color="auto" w:fill="808080"/>
            <w:vAlign w:val="bottom"/>
          </w:tcPr>
          <w:p w:rsidR="00F74B70" w:rsidRPr="000E16BE" w:rsidP="00A5545B" w14:paraId="21AAAF46"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2070" w:type="dxa"/>
            <w:tcBorders>
              <w:top w:val="nil"/>
              <w:left w:val="nil"/>
              <w:bottom w:val="single" w:sz="4" w:space="0" w:color="000000"/>
              <w:right w:val="single" w:sz="8" w:space="0" w:color="000000"/>
            </w:tcBorders>
            <w:shd w:val="clear" w:color="auto" w:fill="auto"/>
            <w:vAlign w:val="bottom"/>
          </w:tcPr>
          <w:p w:rsidR="00F74B70" w:rsidRPr="000E16BE" w:rsidP="00A5545B" w14:paraId="2C12CAA7" w14:textId="2246DBD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r w:rsidR="00EE0563">
              <w:rPr>
                <w:rFonts w:ascii="Calibri" w:eastAsia="Calibri" w:hAnsi="Calibri" w:cs="Calibri"/>
                <w:color w:val="000000"/>
                <w:sz w:val="18"/>
                <w:szCs w:val="18"/>
              </w:rPr>
              <w:t>$</w:t>
            </w:r>
            <w:r w:rsidR="00911B9C">
              <w:rPr>
                <w:rFonts w:ascii="Calibri" w:eastAsia="Calibri" w:hAnsi="Calibri" w:cs="Calibri"/>
                <w:color w:val="000000"/>
                <w:sz w:val="18"/>
                <w:szCs w:val="18"/>
              </w:rPr>
              <w:t>9,960</w:t>
            </w:r>
          </w:p>
        </w:tc>
      </w:tr>
      <w:tr w14:paraId="3F776302" w14:textId="77777777" w:rsidTr="00685A7F">
        <w:tblPrEx>
          <w:tblW w:w="9735" w:type="dxa"/>
          <w:tblInd w:w="-25" w:type="dxa"/>
          <w:tblLayout w:type="fixed"/>
          <w:tblLook w:val="0400"/>
        </w:tblPrEx>
        <w:trPr>
          <w:trHeight w:val="313"/>
        </w:trPr>
        <w:tc>
          <w:tcPr>
            <w:tcW w:w="2175" w:type="dxa"/>
            <w:tcBorders>
              <w:top w:val="nil"/>
              <w:left w:val="single" w:sz="8" w:space="0" w:color="000000"/>
              <w:bottom w:val="single" w:sz="4" w:space="0" w:color="000000"/>
              <w:right w:val="single" w:sz="8" w:space="0" w:color="000000"/>
            </w:tcBorders>
            <w:shd w:val="clear" w:color="auto" w:fill="auto"/>
            <w:vAlign w:val="bottom"/>
          </w:tcPr>
          <w:p w:rsidR="00F74B70" w:rsidRPr="000E16BE" w:rsidP="00A5545B" w14:paraId="420BE031" w14:textId="77777777">
            <w:pPr>
              <w:keepNext/>
              <w:keepLines/>
              <w:widowControl/>
              <w:rPr>
                <w:rFonts w:ascii="Calibri" w:eastAsia="Calibri" w:hAnsi="Calibri" w:cs="Calibri"/>
                <w:b/>
                <w:color w:val="000000"/>
                <w:sz w:val="18"/>
                <w:szCs w:val="18"/>
              </w:rPr>
            </w:pPr>
            <w:r w:rsidRPr="000E16BE">
              <w:rPr>
                <w:rFonts w:ascii="Calibri" w:eastAsia="Calibri" w:hAnsi="Calibri" w:cs="Calibri"/>
                <w:b/>
                <w:color w:val="000000"/>
                <w:sz w:val="18"/>
                <w:szCs w:val="18"/>
              </w:rPr>
              <w:t>Contractor Cost</w:t>
            </w:r>
          </w:p>
        </w:tc>
        <w:tc>
          <w:tcPr>
            <w:tcW w:w="1350" w:type="dxa"/>
            <w:tcBorders>
              <w:top w:val="nil"/>
              <w:left w:val="nil"/>
              <w:bottom w:val="single" w:sz="4" w:space="0" w:color="000000"/>
              <w:right w:val="single" w:sz="4" w:space="0" w:color="000000"/>
            </w:tcBorders>
            <w:shd w:val="clear" w:color="auto" w:fill="808080"/>
            <w:vAlign w:val="bottom"/>
          </w:tcPr>
          <w:p w:rsidR="00F74B70" w:rsidRPr="000E16BE" w:rsidP="00A5545B" w14:paraId="5CA48161"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260" w:type="dxa"/>
            <w:tcBorders>
              <w:top w:val="nil"/>
              <w:left w:val="nil"/>
              <w:bottom w:val="single" w:sz="4" w:space="0" w:color="000000"/>
              <w:right w:val="single" w:sz="4" w:space="0" w:color="000000"/>
            </w:tcBorders>
            <w:shd w:val="clear" w:color="auto" w:fill="auto"/>
            <w:vAlign w:val="bottom"/>
          </w:tcPr>
          <w:p w:rsidR="00F74B70" w:rsidRPr="000E16BE" w:rsidP="00A5545B" w14:paraId="2E044E51"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710" w:type="dxa"/>
            <w:tcBorders>
              <w:top w:val="nil"/>
              <w:left w:val="nil"/>
              <w:bottom w:val="single" w:sz="4" w:space="0" w:color="000000"/>
              <w:right w:val="single" w:sz="4" w:space="0" w:color="000000"/>
            </w:tcBorders>
            <w:shd w:val="clear" w:color="auto" w:fill="auto"/>
            <w:vAlign w:val="bottom"/>
          </w:tcPr>
          <w:p w:rsidR="00F74B70" w:rsidRPr="000E16BE" w:rsidP="00A5545B" w14:paraId="763D385D"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170" w:type="dxa"/>
            <w:tcBorders>
              <w:top w:val="nil"/>
              <w:left w:val="nil"/>
              <w:bottom w:val="single" w:sz="4" w:space="0" w:color="000000"/>
              <w:right w:val="single" w:sz="4" w:space="0" w:color="000000"/>
            </w:tcBorders>
            <w:shd w:val="clear" w:color="auto" w:fill="auto"/>
            <w:vAlign w:val="bottom"/>
          </w:tcPr>
          <w:p w:rsidR="00F74B70" w:rsidRPr="000E16BE" w:rsidP="00A5545B" w14:paraId="25A837CE"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2070" w:type="dxa"/>
            <w:tcBorders>
              <w:top w:val="nil"/>
              <w:left w:val="nil"/>
              <w:bottom w:val="single" w:sz="4" w:space="0" w:color="000000"/>
              <w:right w:val="single" w:sz="8" w:space="0" w:color="000000"/>
            </w:tcBorders>
            <w:shd w:val="clear" w:color="auto" w:fill="auto"/>
            <w:vAlign w:val="bottom"/>
          </w:tcPr>
          <w:p w:rsidR="00F74B70" w:rsidRPr="000E16BE" w:rsidP="00A5545B" w14:paraId="4171A297"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r>
      <w:tr w14:paraId="3D8F1252" w14:textId="77777777" w:rsidTr="00685A7F">
        <w:tblPrEx>
          <w:tblW w:w="9735" w:type="dxa"/>
          <w:tblInd w:w="-25" w:type="dxa"/>
          <w:tblLayout w:type="fixed"/>
          <w:tblLook w:val="0400"/>
        </w:tblPrEx>
        <w:trPr>
          <w:trHeight w:val="300"/>
        </w:trPr>
        <w:tc>
          <w:tcPr>
            <w:tcW w:w="2175" w:type="dxa"/>
            <w:tcBorders>
              <w:top w:val="nil"/>
              <w:left w:val="single" w:sz="8" w:space="0" w:color="000000"/>
              <w:bottom w:val="single" w:sz="4" w:space="0" w:color="000000"/>
              <w:right w:val="single" w:sz="8" w:space="0" w:color="000000"/>
            </w:tcBorders>
            <w:shd w:val="clear" w:color="auto" w:fill="auto"/>
            <w:vAlign w:val="bottom"/>
          </w:tcPr>
          <w:p w:rsidR="00F74B70" w:rsidRPr="000E16BE" w:rsidP="00A5545B" w14:paraId="621E09A2" w14:textId="77777777">
            <w:pPr>
              <w:keepNext/>
              <w:keepLines/>
              <w:widowControl/>
              <w:rPr>
                <w:rFonts w:ascii="Calibri" w:eastAsia="Calibri" w:hAnsi="Calibri" w:cs="Calibri"/>
                <w:b/>
                <w:color w:val="000000"/>
                <w:sz w:val="18"/>
                <w:szCs w:val="18"/>
              </w:rPr>
            </w:pPr>
            <w:r w:rsidRPr="000E16BE">
              <w:rPr>
                <w:rFonts w:ascii="Calibri" w:eastAsia="Calibri" w:hAnsi="Calibri" w:cs="Calibri"/>
                <w:b/>
                <w:color w:val="000000"/>
                <w:sz w:val="18"/>
                <w:szCs w:val="18"/>
              </w:rPr>
              <w:t>Travel</w:t>
            </w:r>
          </w:p>
        </w:tc>
        <w:tc>
          <w:tcPr>
            <w:tcW w:w="1350" w:type="dxa"/>
            <w:tcBorders>
              <w:top w:val="nil"/>
              <w:left w:val="nil"/>
              <w:bottom w:val="single" w:sz="4" w:space="0" w:color="000000"/>
              <w:right w:val="single" w:sz="4" w:space="0" w:color="000000"/>
            </w:tcBorders>
            <w:shd w:val="clear" w:color="auto" w:fill="808080"/>
            <w:vAlign w:val="bottom"/>
          </w:tcPr>
          <w:p w:rsidR="00F74B70" w:rsidRPr="000E16BE" w:rsidP="00A5545B" w14:paraId="356477C0"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260" w:type="dxa"/>
            <w:tcBorders>
              <w:top w:val="nil"/>
              <w:left w:val="nil"/>
              <w:bottom w:val="single" w:sz="4" w:space="0" w:color="000000"/>
              <w:right w:val="single" w:sz="4" w:space="0" w:color="000000"/>
            </w:tcBorders>
            <w:shd w:val="clear" w:color="auto" w:fill="808080"/>
            <w:vAlign w:val="bottom"/>
          </w:tcPr>
          <w:p w:rsidR="00F74B70" w:rsidRPr="000E16BE" w:rsidP="00A5545B" w14:paraId="6A52C9CE"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710" w:type="dxa"/>
            <w:tcBorders>
              <w:top w:val="nil"/>
              <w:left w:val="nil"/>
              <w:bottom w:val="single" w:sz="4" w:space="0" w:color="000000"/>
              <w:right w:val="single" w:sz="4" w:space="0" w:color="000000"/>
            </w:tcBorders>
            <w:shd w:val="clear" w:color="auto" w:fill="808080"/>
            <w:vAlign w:val="bottom"/>
          </w:tcPr>
          <w:p w:rsidR="00F74B70" w:rsidRPr="000E16BE" w:rsidP="00A5545B" w14:paraId="0514C180"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170" w:type="dxa"/>
            <w:tcBorders>
              <w:top w:val="nil"/>
              <w:left w:val="nil"/>
              <w:bottom w:val="single" w:sz="4" w:space="0" w:color="000000"/>
              <w:right w:val="single" w:sz="4" w:space="0" w:color="000000"/>
            </w:tcBorders>
            <w:shd w:val="clear" w:color="auto" w:fill="808080"/>
            <w:vAlign w:val="bottom"/>
          </w:tcPr>
          <w:p w:rsidR="00F74B70" w:rsidRPr="000E16BE" w:rsidP="00A5545B" w14:paraId="085000ED"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2070" w:type="dxa"/>
            <w:tcBorders>
              <w:top w:val="nil"/>
              <w:left w:val="nil"/>
              <w:bottom w:val="single" w:sz="4" w:space="0" w:color="000000"/>
              <w:right w:val="single" w:sz="8" w:space="0" w:color="000000"/>
            </w:tcBorders>
            <w:shd w:val="clear" w:color="auto" w:fill="auto"/>
            <w:vAlign w:val="bottom"/>
          </w:tcPr>
          <w:p w:rsidR="00F74B70" w:rsidRPr="000E16BE" w:rsidP="00A5545B" w14:paraId="00404B22"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$0</w:t>
            </w:r>
          </w:p>
        </w:tc>
      </w:tr>
      <w:tr w14:paraId="761BA108" w14:textId="77777777" w:rsidTr="00685A7F">
        <w:tblPrEx>
          <w:tblW w:w="9735" w:type="dxa"/>
          <w:tblInd w:w="-25" w:type="dxa"/>
          <w:tblLayout w:type="fixed"/>
          <w:tblLook w:val="0400"/>
        </w:tblPrEx>
        <w:trPr>
          <w:trHeight w:val="349"/>
        </w:trPr>
        <w:tc>
          <w:tcPr>
            <w:tcW w:w="2175" w:type="dxa"/>
            <w:tcBorders>
              <w:top w:val="nil"/>
              <w:left w:val="single" w:sz="8" w:space="0" w:color="000000"/>
              <w:bottom w:val="nil"/>
              <w:right w:val="single" w:sz="8" w:space="0" w:color="000000"/>
            </w:tcBorders>
            <w:shd w:val="clear" w:color="auto" w:fill="auto"/>
            <w:vAlign w:val="center"/>
          </w:tcPr>
          <w:p w:rsidR="00F74B70" w:rsidRPr="000E16BE" w:rsidP="00A5545B" w14:paraId="34BEABC2" w14:textId="77777777">
            <w:pPr>
              <w:keepNext/>
              <w:keepLines/>
              <w:widowControl/>
              <w:rPr>
                <w:rFonts w:ascii="Calibri" w:eastAsia="Calibri" w:hAnsi="Calibri" w:cs="Calibri"/>
                <w:b/>
                <w:color w:val="000000"/>
                <w:sz w:val="18"/>
                <w:szCs w:val="18"/>
              </w:rPr>
            </w:pPr>
            <w:r w:rsidRPr="000E16BE">
              <w:rPr>
                <w:rFonts w:ascii="Calibri" w:eastAsia="Calibri" w:hAnsi="Calibri" w:cs="Calibri"/>
                <w:b/>
                <w:color w:val="000000"/>
                <w:sz w:val="18"/>
                <w:szCs w:val="18"/>
              </w:rPr>
              <w:t xml:space="preserve">Other Costs: </w:t>
            </w:r>
          </w:p>
        </w:tc>
        <w:tc>
          <w:tcPr>
            <w:tcW w:w="1350" w:type="dxa"/>
            <w:tcBorders>
              <w:top w:val="nil"/>
              <w:left w:val="nil"/>
              <w:bottom w:val="single" w:sz="4" w:space="0" w:color="000000"/>
              <w:right w:val="single" w:sz="4" w:space="0" w:color="000000"/>
            </w:tcBorders>
            <w:shd w:val="clear" w:color="auto" w:fill="808080"/>
            <w:vAlign w:val="bottom"/>
          </w:tcPr>
          <w:p w:rsidR="00F74B70" w:rsidRPr="000E16BE" w:rsidP="00A5545B" w14:paraId="11CFFCC8"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260" w:type="dxa"/>
            <w:tcBorders>
              <w:top w:val="nil"/>
              <w:left w:val="nil"/>
              <w:bottom w:val="single" w:sz="4" w:space="0" w:color="000000"/>
              <w:right w:val="single" w:sz="4" w:space="0" w:color="000000"/>
            </w:tcBorders>
            <w:shd w:val="clear" w:color="auto" w:fill="808080"/>
            <w:vAlign w:val="bottom"/>
          </w:tcPr>
          <w:p w:rsidR="00F74B70" w:rsidRPr="000E16BE" w:rsidP="00A5545B" w14:paraId="73214D2F"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710" w:type="dxa"/>
            <w:tcBorders>
              <w:top w:val="nil"/>
              <w:left w:val="nil"/>
              <w:bottom w:val="single" w:sz="4" w:space="0" w:color="000000"/>
              <w:right w:val="single" w:sz="4" w:space="0" w:color="000000"/>
            </w:tcBorders>
            <w:shd w:val="clear" w:color="auto" w:fill="808080"/>
            <w:vAlign w:val="bottom"/>
          </w:tcPr>
          <w:p w:rsidR="00F74B70" w:rsidRPr="000E16BE" w:rsidP="00A5545B" w14:paraId="5F9AFDAE"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170" w:type="dxa"/>
            <w:tcBorders>
              <w:top w:val="nil"/>
              <w:left w:val="nil"/>
              <w:bottom w:val="single" w:sz="4" w:space="0" w:color="000000"/>
              <w:right w:val="single" w:sz="4" w:space="0" w:color="000000"/>
            </w:tcBorders>
            <w:shd w:val="clear" w:color="auto" w:fill="808080"/>
            <w:vAlign w:val="bottom"/>
          </w:tcPr>
          <w:p w:rsidR="00F74B70" w:rsidRPr="000E16BE" w:rsidP="00A5545B" w14:paraId="5802F4EB"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2070" w:type="dxa"/>
            <w:tcBorders>
              <w:top w:val="nil"/>
              <w:left w:val="nil"/>
              <w:bottom w:val="single" w:sz="4" w:space="0" w:color="000000"/>
              <w:right w:val="single" w:sz="8" w:space="0" w:color="000000"/>
            </w:tcBorders>
            <w:shd w:val="clear" w:color="auto" w:fill="auto"/>
            <w:vAlign w:val="bottom"/>
          </w:tcPr>
          <w:p w:rsidR="00F74B70" w:rsidRPr="000E16BE" w:rsidP="00A5545B" w14:paraId="047ACD1E"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$0</w:t>
            </w:r>
          </w:p>
        </w:tc>
      </w:tr>
      <w:tr w14:paraId="2DA4A4E5" w14:textId="77777777" w:rsidTr="00685A7F">
        <w:tblPrEx>
          <w:tblW w:w="9735" w:type="dxa"/>
          <w:tblInd w:w="-25" w:type="dxa"/>
          <w:tblLayout w:type="fixed"/>
          <w:tblLook w:val="0400"/>
        </w:tblPrEx>
        <w:trPr>
          <w:trHeight w:val="315"/>
        </w:trPr>
        <w:tc>
          <w:tcPr>
            <w:tcW w:w="2175"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F74B70" w:rsidRPr="000E16BE" w:rsidP="00A5545B" w14:paraId="1CFDA565" w14:textId="77777777">
            <w:pPr>
              <w:keepNext/>
              <w:keepLines/>
              <w:widowControl/>
              <w:rPr>
                <w:rFonts w:ascii="Calibri" w:eastAsia="Calibri" w:hAnsi="Calibri" w:cs="Calibri"/>
                <w:b/>
                <w:color w:val="000000"/>
                <w:sz w:val="18"/>
                <w:szCs w:val="18"/>
              </w:rPr>
            </w:pPr>
            <w:r w:rsidRPr="000E16BE">
              <w:rPr>
                <w:rFonts w:ascii="Calibri" w:eastAsia="Calibri" w:hAnsi="Calibri" w:cs="Calibri"/>
                <w:b/>
                <w:color w:val="000000"/>
                <w:sz w:val="18"/>
                <w:szCs w:val="18"/>
              </w:rPr>
              <w:t>TOTAL</w:t>
            </w:r>
          </w:p>
        </w:tc>
        <w:tc>
          <w:tcPr>
            <w:tcW w:w="1350" w:type="dxa"/>
            <w:tcBorders>
              <w:top w:val="single" w:sz="8" w:space="0" w:color="000000"/>
              <w:left w:val="nil"/>
              <w:bottom w:val="single" w:sz="8" w:space="0" w:color="000000"/>
              <w:right w:val="single" w:sz="8" w:space="0" w:color="000000"/>
            </w:tcBorders>
            <w:shd w:val="clear" w:color="auto" w:fill="808080"/>
            <w:vAlign w:val="bottom"/>
          </w:tcPr>
          <w:p w:rsidR="00F74B70" w:rsidRPr="000E16BE" w:rsidP="00A5545B" w14:paraId="49BEE656"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260" w:type="dxa"/>
            <w:tcBorders>
              <w:top w:val="single" w:sz="8" w:space="0" w:color="000000"/>
              <w:left w:val="nil"/>
              <w:bottom w:val="single" w:sz="8" w:space="0" w:color="000000"/>
              <w:right w:val="single" w:sz="8" w:space="0" w:color="000000"/>
            </w:tcBorders>
            <w:shd w:val="clear" w:color="auto" w:fill="808080"/>
            <w:vAlign w:val="bottom"/>
          </w:tcPr>
          <w:p w:rsidR="00F74B70" w:rsidRPr="000E16BE" w:rsidP="00A5545B" w14:paraId="3B97587E"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710" w:type="dxa"/>
            <w:tcBorders>
              <w:top w:val="single" w:sz="8" w:space="0" w:color="000000"/>
              <w:left w:val="nil"/>
              <w:bottom w:val="single" w:sz="8" w:space="0" w:color="000000"/>
              <w:right w:val="single" w:sz="8" w:space="0" w:color="000000"/>
            </w:tcBorders>
            <w:shd w:val="clear" w:color="auto" w:fill="757171"/>
            <w:vAlign w:val="bottom"/>
          </w:tcPr>
          <w:p w:rsidR="00F74B70" w:rsidRPr="000E16BE" w:rsidP="00A5545B" w14:paraId="382ABF27"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1170" w:type="dxa"/>
            <w:tcBorders>
              <w:top w:val="single" w:sz="8" w:space="0" w:color="000000"/>
              <w:left w:val="nil"/>
              <w:bottom w:val="single" w:sz="8" w:space="0" w:color="000000"/>
              <w:right w:val="single" w:sz="8" w:space="0" w:color="000000"/>
            </w:tcBorders>
            <w:shd w:val="clear" w:color="auto" w:fill="DDEBF7"/>
            <w:vAlign w:val="bottom"/>
          </w:tcPr>
          <w:p w:rsidR="00F74B70" w:rsidRPr="000E16BE" w:rsidP="00A5545B" w14:paraId="5AF40BCA" w14:textId="77777777">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p>
        </w:tc>
        <w:tc>
          <w:tcPr>
            <w:tcW w:w="2070" w:type="dxa"/>
            <w:tcBorders>
              <w:top w:val="single" w:sz="8" w:space="0" w:color="000000"/>
              <w:left w:val="nil"/>
              <w:bottom w:val="single" w:sz="8" w:space="0" w:color="000000"/>
              <w:right w:val="single" w:sz="8" w:space="0" w:color="000000"/>
            </w:tcBorders>
            <w:shd w:val="clear" w:color="auto" w:fill="DDEBF7"/>
            <w:vAlign w:val="bottom"/>
          </w:tcPr>
          <w:p w:rsidR="00F74B70" w:rsidRPr="000E16BE" w:rsidP="00A5545B" w14:paraId="5F752F4E" w14:textId="0D9C318B">
            <w:pPr>
              <w:keepNext/>
              <w:keepLines/>
              <w:widowControl/>
              <w:rPr>
                <w:rFonts w:ascii="Calibri" w:eastAsia="Calibri" w:hAnsi="Calibri" w:cs="Calibri"/>
                <w:color w:val="000000"/>
                <w:sz w:val="18"/>
                <w:szCs w:val="18"/>
              </w:rPr>
            </w:pPr>
            <w:r w:rsidRPr="000E16BE">
              <w:rPr>
                <w:rFonts w:ascii="Calibri" w:eastAsia="Calibri" w:hAnsi="Calibri" w:cs="Calibri"/>
                <w:color w:val="000000"/>
                <w:sz w:val="18"/>
                <w:szCs w:val="18"/>
              </w:rPr>
              <w:t> $</w:t>
            </w:r>
            <w:r w:rsidR="00911B9C">
              <w:rPr>
                <w:rFonts w:ascii="Calibri" w:eastAsia="Calibri" w:hAnsi="Calibri" w:cs="Calibri"/>
                <w:color w:val="000000"/>
                <w:sz w:val="18"/>
                <w:szCs w:val="18"/>
              </w:rPr>
              <w:t>25,480</w:t>
            </w:r>
          </w:p>
        </w:tc>
      </w:tr>
    </w:tbl>
    <w:p w:rsidR="00F74B70" w:rsidP="00F74B70" w14:paraId="2056ABB4" w14:textId="77777777">
      <w:pPr>
        <w:pBdr>
          <w:top w:val="nil"/>
          <w:left w:val="nil"/>
          <w:bottom w:val="nil"/>
          <w:right w:val="nil"/>
          <w:between w:val="nil"/>
        </w:pBdr>
        <w:spacing w:before="9" w:after="1"/>
        <w:rPr>
          <w:b/>
          <w:color w:val="000000"/>
        </w:rPr>
      </w:pPr>
    </w:p>
    <w:p w:rsidR="00F74B70" w:rsidP="005E6DBE" w14:paraId="3805C8F2"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F74B70" w:rsidP="00F74B70" w14:paraId="50FABA5D" w14:textId="07042242">
      <w:pPr>
        <w:spacing w:before="161"/>
      </w:pPr>
      <w:r w:rsidRPr="000E16BE">
        <w:t>There are no substantive</w:t>
      </w:r>
      <w:r w:rsidR="0064216C">
        <w:t xml:space="preserve"> program</w:t>
      </w:r>
      <w:r w:rsidRPr="000E16BE">
        <w:t xml:space="preserve"> changes </w:t>
      </w:r>
      <w:r w:rsidR="0064216C">
        <w:t xml:space="preserve">or adjustments </w:t>
      </w:r>
      <w:r w:rsidRPr="000E16BE">
        <w:t>to the information collection since the last OMB approval.</w:t>
      </w:r>
    </w:p>
    <w:p w:rsidR="00F74B70" w:rsidP="00F74B70" w14:paraId="3DCC6271" w14:textId="77777777">
      <w:pPr>
        <w:pBdr>
          <w:top w:val="nil"/>
          <w:left w:val="nil"/>
          <w:bottom w:val="nil"/>
          <w:right w:val="nil"/>
          <w:between w:val="nil"/>
        </w:pBdr>
        <w:spacing w:before="7"/>
        <w:rPr>
          <w:b/>
          <w:color w:val="000000"/>
        </w:rPr>
      </w:pPr>
    </w:p>
    <w:p w:rsidR="0065074B" w:rsidP="00F74B70" w14:paraId="5F300C68" w14:textId="5158DAE8">
      <w:pPr>
        <w:pBdr>
          <w:top w:val="nil"/>
          <w:left w:val="nil"/>
          <w:bottom w:val="nil"/>
          <w:right w:val="nil"/>
          <w:between w:val="nil"/>
        </w:pBdr>
        <w:spacing w:before="9" w:after="1"/>
        <w:rPr>
          <w:b/>
          <w:color w:val="000000"/>
        </w:rPr>
      </w:pPr>
    </w:p>
    <w:p w:rsidR="0065074B" w:rsidP="005E6DBE" w14:paraId="2B75BC60"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074B" w:rsidP="005E6DBE" w14:paraId="5EC8808C" w14:textId="77777777">
      <w:pPr>
        <w:pBdr>
          <w:top w:val="nil"/>
          <w:left w:val="nil"/>
          <w:bottom w:val="nil"/>
          <w:right w:val="nil"/>
          <w:between w:val="nil"/>
        </w:pBdr>
        <w:rPr>
          <w:color w:val="2F5496"/>
        </w:rPr>
      </w:pPr>
    </w:p>
    <w:p w:rsidR="0065074B" w:rsidP="0065074B" w14:paraId="4CF85440"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t xml:space="preserve">NOAA may summarize information contained within the information collection in order to provide internal assessments of program performance or resource allocation, as well as to report externally on accomplishments, location of projects, or information required or requested by the Congress or agencies of the federal government outside of NOAA for oversight. </w:t>
      </w:r>
    </w:p>
    <w:p w:rsidR="00E37D35" w:rsidP="0065074B" w14:paraId="072627DC" w14:textId="77777777"/>
    <w:p w:rsidR="00E37D35" w:rsidP="00E37D35" w14:paraId="27A2AA05" w14:textId="77777777">
      <w:pPr>
        <w:pBdr>
          <w:top w:val="nil"/>
          <w:left w:val="nil"/>
          <w:bottom w:val="nil"/>
          <w:right w:val="nil"/>
          <w:between w:val="nil"/>
        </w:pBdr>
        <w:tabs>
          <w:tab w:val="left" w:pos="360"/>
        </w:tabs>
      </w:pPr>
      <w:r w:rsidRPr="000451CC">
        <w:t xml:space="preserve">NOAA’s Ocean Service will retain control over the information and safeguard it from improper access, modification, and destruction, consistent with NOAA standards for confidentiality, privacy, and electronic information. </w:t>
      </w:r>
      <w:r>
        <w:t>(</w:t>
      </w:r>
      <w:r w:rsidRPr="000451CC">
        <w:t>See response to Question 10 of this Supporting Statement for more information on confidentiality and privacy.</w:t>
      </w:r>
      <w:r>
        <w:t>)</w:t>
      </w:r>
      <w:r w:rsidRPr="000451CC">
        <w:t xml:space="preserve">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NOAA’s Ocean Service decide to disseminate the information, it will be subject to the quality control measures and pre-dissemination review pursuant to </w:t>
      </w:r>
      <w:r w:rsidRPr="000451CC">
        <w:rPr>
          <w:sz w:val="2"/>
          <w:szCs w:val="2"/>
        </w:rPr>
        <w:t>H</w:t>
      </w:r>
      <w:hyperlink r:id="rId27" w:history="1">
        <w:r w:rsidRPr="000451CC">
          <w:rPr>
            <w:sz w:val="2"/>
            <w:szCs w:val="2"/>
          </w:rPr>
          <w:t>U</w:t>
        </w:r>
        <w:r w:rsidRPr="000451CC">
          <w:rPr>
            <w:rStyle w:val="Hyperlink"/>
          </w:rPr>
          <w:t>Section 515 of Public Law 106-554</w:t>
        </w:r>
        <w:r w:rsidRPr="000451CC">
          <w:rPr>
            <w:rStyle w:val="Hyperlink"/>
            <w:sz w:val="2"/>
            <w:szCs w:val="2"/>
          </w:rPr>
          <w:t>U</w:t>
        </w:r>
      </w:hyperlink>
      <w:r w:rsidRPr="000451CC">
        <w:rPr>
          <w:sz w:val="2"/>
          <w:szCs w:val="2"/>
        </w:rPr>
        <w:t>H</w:t>
      </w:r>
      <w:r w:rsidRPr="000451CC">
        <w:t>.</w:t>
      </w:r>
    </w:p>
    <w:p w:rsidR="00E37D35" w:rsidP="0065074B" w14:paraId="21146CE7" w14:textId="77777777"/>
    <w:p w:rsidR="0065074B" w:rsidP="0065074B" w14:paraId="6DC4E979" w14:textId="77777777">
      <w:pPr>
        <w:pBdr>
          <w:top w:val="nil"/>
          <w:left w:val="nil"/>
          <w:bottom w:val="nil"/>
          <w:right w:val="nil"/>
          <w:between w:val="nil"/>
        </w:pBdr>
        <w:spacing w:before="160"/>
        <w:rPr>
          <w:color w:val="000000"/>
        </w:rPr>
      </w:pPr>
    </w:p>
    <w:p w:rsidR="0065074B" w:rsidP="005E6DBE" w14:paraId="363DB913"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65074B" w:rsidRPr="0064216C" w:rsidP="0065074B" w14:paraId="78F1D9F4" w14:textId="77777777">
      <w:pPr>
        <w:spacing w:before="161"/>
        <w:rPr>
          <w:i/>
        </w:rPr>
      </w:pPr>
      <w:r w:rsidRPr="0064216C">
        <w:t>Not applicable.  The agency plans to display the expiration date for OMB approval of the information collection on all instruments.</w:t>
      </w:r>
    </w:p>
    <w:p w:rsidR="0065074B" w:rsidP="0065074B" w14:paraId="71434D7D" w14:textId="77777777">
      <w:pPr>
        <w:spacing w:before="161"/>
        <w:rPr>
          <w:i/>
        </w:rPr>
      </w:pPr>
    </w:p>
    <w:p w:rsidR="0065074B" w:rsidP="005E6DBE" w14:paraId="3E00AB52" w14:textId="77777777">
      <w:pPr>
        <w:numPr>
          <w:ilvl w:val="0"/>
          <w:numId w:val="22"/>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65074B" w:rsidP="0065074B" w14:paraId="3AB94CD2" w14:textId="77777777">
      <w:pPr>
        <w:spacing w:before="124"/>
        <w:rPr>
          <w:b/>
          <w:color w:val="1F497D"/>
        </w:rPr>
      </w:pPr>
      <w:r>
        <w:rPr>
          <w:b/>
          <w:color w:val="1F497D"/>
          <w:u w:val="single"/>
        </w:rPr>
        <w:t>Certification Statement for Paperwork Reduction Act Submissions</w:t>
      </w:r>
    </w:p>
    <w:p w:rsidR="005513E1" w:rsidP="005513E1" w14:paraId="17EB98DC" w14:textId="7A1EAB09">
      <w:pPr>
        <w:pBdr>
          <w:top w:val="nil"/>
          <w:left w:val="nil"/>
          <w:bottom w:val="nil"/>
          <w:right w:val="nil"/>
          <w:between w:val="nil"/>
        </w:pBdr>
        <w:tabs>
          <w:tab w:val="left" w:pos="360"/>
        </w:tabs>
        <w:spacing w:before="80"/>
      </w:pPr>
      <w:r>
        <w:t xml:space="preserve">The agency certifies compliance with </w:t>
      </w:r>
      <w:hyperlink r:id="rId28">
        <w:r>
          <w:rPr>
            <w:color w:val="0563C1"/>
            <w:u w:val="single"/>
          </w:rPr>
          <w:t>5 CFR 1320.9</w:t>
        </w:r>
      </w:hyperlink>
      <w:hyperlink r:id="rId28">
        <w:r>
          <w:rPr>
            <w:color w:val="0563C1"/>
          </w:rPr>
          <w:t xml:space="preserve"> </w:t>
        </w:r>
      </w:hyperlink>
      <w:r>
        <w:t xml:space="preserve">and the related provisions of </w:t>
      </w:r>
      <w:hyperlink r:id="rId29">
        <w:r>
          <w:rPr>
            <w:color w:val="0563C1"/>
            <w:u w:val="single"/>
          </w:rPr>
          <w:t>5 CFR</w:t>
        </w:r>
      </w:hyperlink>
      <w:r>
        <w:rPr>
          <w:color w:val="0563C1"/>
        </w:rPr>
        <w:t xml:space="preserve"> </w:t>
      </w:r>
      <w:hyperlink r:id="rId29">
        <w:r>
          <w:rPr>
            <w:color w:val="0563C1"/>
            <w:u w:val="single"/>
          </w:rPr>
          <w:t>1320.8(b)(3)</w:t>
        </w:r>
      </w:hyperlink>
      <w:r>
        <w:t>.</w:t>
      </w:r>
    </w:p>
    <w:p w:rsidR="0065074B" w:rsidP="0065074B" w14:paraId="18E922EB" w14:textId="42ED4273">
      <w:pPr>
        <w:spacing w:before="221" w:line="259" w:lineRule="auto"/>
        <w:jc w:val="both"/>
      </w:pPr>
    </w:p>
    <w:p w:rsidR="0065074B" w:rsidP="0065074B" w14:paraId="231B0EA5" w14:textId="600D93C0">
      <w:pPr>
        <w:spacing w:before="221" w:line="259" w:lineRule="auto"/>
        <w:jc w:val="both"/>
      </w:pPr>
    </w:p>
    <w:p w:rsidR="0065074B" w:rsidP="0065074B" w14:paraId="03EA155B" w14:textId="4641E70D">
      <w:pPr>
        <w:spacing w:before="221" w:line="259" w:lineRule="auto"/>
        <w:jc w:val="both"/>
      </w:pPr>
    </w:p>
    <w:p w:rsidR="0065074B" w:rsidP="0065074B" w14:paraId="3E04BF2D" w14:textId="57270886">
      <w:pPr>
        <w:spacing w:before="221" w:line="259" w:lineRule="auto"/>
        <w:jc w:val="both"/>
      </w:pPr>
    </w:p>
    <w:p w:rsidR="0065074B" w:rsidP="0065074B" w14:paraId="0F7EDB18" w14:textId="10A7D61A">
      <w:pPr>
        <w:spacing w:before="221" w:line="259" w:lineRule="auto"/>
        <w:jc w:val="both"/>
      </w:pPr>
    </w:p>
    <w:p w:rsidR="002766A7" w14:paraId="00F27BC0" w14:textId="0AA6D2D5">
      <w:pPr>
        <w:spacing w:before="221" w:line="259" w:lineRule="auto"/>
        <w:jc w:val="both"/>
        <w:rPr>
          <w:color w:val="1F497D"/>
        </w:rPr>
      </w:pPr>
      <w:bookmarkStart w:id="3" w:name="_heading=h.gjdgxs" w:colFirst="0" w:colLast="0"/>
      <w:bookmarkEnd w:id="3"/>
    </w:p>
    <w:sectPr>
      <w:footerReference w:type="default" r:id="rId30"/>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2244052"/>
      <w:docPartObj>
        <w:docPartGallery w:val="Page Numbers (Bottom of Page)"/>
        <w:docPartUnique/>
      </w:docPartObj>
    </w:sdtPr>
    <w:sdtEndPr>
      <w:rPr>
        <w:noProof/>
      </w:rPr>
    </w:sdtEndPr>
    <w:sdtContent>
      <w:p w:rsidR="00F414B0" w14:paraId="3B0F8ED5" w14:textId="6A742E34">
        <w:pPr>
          <w:pStyle w:val="Footer"/>
        </w:pPr>
        <w:r>
          <w:fldChar w:fldCharType="begin"/>
        </w:r>
        <w:r>
          <w:instrText xml:space="preserve"> PAGE   \* MERGEFORMAT </w:instrText>
        </w:r>
        <w:r>
          <w:fldChar w:fldCharType="separate"/>
        </w:r>
        <w:r>
          <w:rPr>
            <w:noProof/>
          </w:rPr>
          <w:t>2</w:t>
        </w:r>
        <w:r>
          <w:rPr>
            <w:noProof/>
          </w:rPr>
          <w:fldChar w:fldCharType="end"/>
        </w:r>
      </w:p>
    </w:sdtContent>
  </w:sdt>
  <w:p w:rsidR="00C01183" w14:paraId="6491B639" w14:textId="11EC8DFB">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077F" w14:paraId="5127D40C" w14:textId="77777777">
      <w:r>
        <w:separator/>
      </w:r>
    </w:p>
  </w:footnote>
  <w:footnote w:type="continuationSeparator" w:id="1">
    <w:p w:rsidR="0028077F" w14:paraId="6830340F" w14:textId="77777777">
      <w:r>
        <w:continuationSeparator/>
      </w:r>
    </w:p>
  </w:footnote>
  <w:footnote w:id="2">
    <w:p w:rsidR="00E375B0" w14:paraId="29F817DE" w14:textId="26539CAA">
      <w:pPr>
        <w:pStyle w:val="FootnoteText"/>
      </w:pPr>
      <w:r>
        <w:rPr>
          <w:rStyle w:val="FootnoteReference"/>
        </w:rPr>
        <w:footnoteRef/>
      </w:r>
      <w:r>
        <w:t xml:space="preserve"> </w:t>
      </w:r>
      <w:r w:rsidRPr="00E375B0">
        <w:t>https://coast.noaa.gov/czm/act/</w:t>
      </w:r>
    </w:p>
  </w:footnote>
  <w:footnote w:id="3">
    <w:p w:rsidR="00E375B0" w14:paraId="5C72F66D" w14:textId="4F96E4D4">
      <w:pPr>
        <w:pStyle w:val="FootnoteText"/>
      </w:pPr>
      <w:r>
        <w:rPr>
          <w:rStyle w:val="FootnoteReference"/>
        </w:rPr>
        <w:footnoteRef/>
      </w:r>
      <w:r>
        <w:t xml:space="preserve"> </w:t>
      </w:r>
      <w:r w:rsidRPr="00E375B0">
        <w:t>https://www.govinfo.gov/content/pkg/COMPS-3003/pdf/COMPS-3003.pdf</w:t>
      </w:r>
    </w:p>
  </w:footnote>
  <w:footnote w:id="4">
    <w:p w:rsidR="00E375B0" w14:paraId="3038FA2C" w14:textId="36527EC5">
      <w:pPr>
        <w:pStyle w:val="FootnoteText"/>
      </w:pPr>
      <w:r>
        <w:rPr>
          <w:rStyle w:val="FootnoteReference"/>
        </w:rPr>
        <w:footnoteRef/>
      </w:r>
      <w:r>
        <w:t xml:space="preserve"> </w:t>
      </w:r>
      <w:r w:rsidRPr="00E375B0">
        <w:t>https://www.gpo.gov/fdsys/pkg/PLAW-111publ11/pdf/PLAW-111publ11.pdf</w:t>
      </w:r>
    </w:p>
  </w:footnote>
  <w:footnote w:id="5">
    <w:p w:rsidR="00E375B0" w14:paraId="503E1CCB" w14:textId="6FA8AE0A">
      <w:pPr>
        <w:pStyle w:val="FootnoteText"/>
      </w:pPr>
      <w:r>
        <w:rPr>
          <w:rStyle w:val="FootnoteReference"/>
        </w:rPr>
        <w:footnoteRef/>
      </w:r>
      <w:r>
        <w:t xml:space="preserve"> </w:t>
      </w:r>
      <w:r w:rsidRPr="00E375B0">
        <w:t>https://www.govinfo.gov/content/pkg/FR-2003-06-17/pdf/03-15292.pdf</w:t>
      </w:r>
    </w:p>
  </w:footnote>
  <w:footnote w:id="6">
    <w:p w:rsidR="00E375B0" w14:paraId="17A578F2" w14:textId="19CA4868">
      <w:pPr>
        <w:pStyle w:val="FootnoteText"/>
      </w:pPr>
      <w:r>
        <w:rPr>
          <w:rStyle w:val="FootnoteReference"/>
        </w:rPr>
        <w:footnoteRef/>
      </w:r>
      <w:r>
        <w:t xml:space="preserve"> </w:t>
      </w:r>
      <w:r w:rsidRPr="00E375B0">
        <w:t>https://coast.noaa.gov/data/czm/landconservation/media/CELCPfinal02Guidelines.pdf</w:t>
      </w:r>
    </w:p>
  </w:footnote>
  <w:footnote w:id="7">
    <w:p w:rsidR="00DD7EB3" w14:paraId="37F9BCEB" w14:textId="5C312CA6">
      <w:pPr>
        <w:pStyle w:val="FootnoteText"/>
      </w:pPr>
      <w:r>
        <w:rPr>
          <w:rStyle w:val="FootnoteReference"/>
        </w:rPr>
        <w:footnoteRef/>
      </w:r>
      <w:r>
        <w:t xml:space="preserve"> </w:t>
      </w:r>
      <w:r w:rsidRPr="00DD7EB3">
        <w:t>https://www.law.cornell.edu/cfr/text/15/921.13</w:t>
      </w:r>
    </w:p>
  </w:footnote>
  <w:footnote w:id="8">
    <w:p w:rsidR="000E36F2" w14:paraId="4D907E74" w14:textId="190EB907">
      <w:pPr>
        <w:pStyle w:val="FootnoteText"/>
      </w:pPr>
      <w:r>
        <w:rPr>
          <w:rStyle w:val="FootnoteReference"/>
        </w:rPr>
        <w:footnoteRef/>
      </w:r>
      <w:r>
        <w:t xml:space="preserve"> </w:t>
      </w:r>
      <w:r w:rsidRPr="000E36F2">
        <w:t>https://coast.noaa.gov/czm/landconservation/</w:t>
      </w:r>
    </w:p>
  </w:footnote>
  <w:footnote w:id="9">
    <w:p w:rsidR="000E36F2" w14:paraId="0B23B8D4" w14:textId="336487EE">
      <w:pPr>
        <w:pStyle w:val="FootnoteText"/>
      </w:pPr>
      <w:r>
        <w:rPr>
          <w:rStyle w:val="FootnoteReference"/>
        </w:rPr>
        <w:footnoteRef/>
      </w:r>
      <w:r>
        <w:t xml:space="preserve"> </w:t>
      </w:r>
      <w:r w:rsidRPr="000E36F2">
        <w:t>https://www.era.nih.gov/</w:t>
      </w:r>
    </w:p>
  </w:footnote>
  <w:footnote w:id="10">
    <w:p w:rsidR="00071184" w14:paraId="680AE471" w14:textId="6D5201E9">
      <w:pPr>
        <w:pStyle w:val="FootnoteText"/>
      </w:pPr>
      <w:r>
        <w:rPr>
          <w:rStyle w:val="FootnoteReference"/>
        </w:rPr>
        <w:footnoteRef/>
      </w:r>
      <w:r>
        <w:t xml:space="preserve"> </w:t>
      </w:r>
      <w:r w:rsidRPr="00071184">
        <w:t>https://www.govinfo.gov/content/pkg/FR-2024-12-17/pdf/2024-29755.pdf</w:t>
      </w:r>
    </w:p>
  </w:footnote>
  <w:footnote w:id="11">
    <w:p w:rsidR="00071184" w14:paraId="6685FCCE" w14:textId="753F748D">
      <w:pPr>
        <w:pStyle w:val="FootnoteText"/>
      </w:pPr>
      <w:r>
        <w:rPr>
          <w:rStyle w:val="FootnoteReference"/>
        </w:rPr>
        <w:footnoteRef/>
      </w:r>
      <w:r>
        <w:t xml:space="preserve"> </w:t>
      </w:r>
      <w:r w:rsidRPr="00071184">
        <w:t>https://www.bls.gov/oes/tables.htm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B2D1B"/>
    <w:multiLevelType w:val="hybridMultilevel"/>
    <w:tmpl w:val="2714A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DD545A8"/>
    <w:multiLevelType w:val="multilevel"/>
    <w:tmpl w:val="182CCF7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2">
    <w:nsid w:val="0F1A0281"/>
    <w:multiLevelType w:val="hybridMultilevel"/>
    <w:tmpl w:val="D9D41F4A"/>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3C31B8"/>
    <w:multiLevelType w:val="multilevel"/>
    <w:tmpl w:val="546079D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nsid w:val="11A47A7D"/>
    <w:multiLevelType w:val="hybridMultilevel"/>
    <w:tmpl w:val="9F782C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074FBB"/>
    <w:multiLevelType w:val="multilevel"/>
    <w:tmpl w:val="C15802B2"/>
    <w:lvl w:ilvl="0">
      <w:start w:val="1"/>
      <w:numFmt w:val="upperLetter"/>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rPr>
        <w:b/>
      </w:rPr>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
    <w:nsid w:val="1422153F"/>
    <w:multiLevelType w:val="multilevel"/>
    <w:tmpl w:val="CDACDC5A"/>
    <w:lvl w:ilvl="0">
      <w:start w:val="4"/>
      <w:numFmt w:val="decimal"/>
      <w:lvlText w:val="%1."/>
      <w:lvlJc w:val="left"/>
      <w:pPr>
        <w:ind w:left="269"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7">
    <w:nsid w:val="1ABA17F3"/>
    <w:multiLevelType w:val="multilevel"/>
    <w:tmpl w:val="E578B2D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8">
    <w:nsid w:val="1F56537A"/>
    <w:multiLevelType w:val="multilevel"/>
    <w:tmpl w:val="4E9067A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222D5DB1"/>
    <w:multiLevelType w:val="hybridMultilevel"/>
    <w:tmpl w:val="588A1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5153D8"/>
    <w:multiLevelType w:val="hybridMultilevel"/>
    <w:tmpl w:val="96443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FA0B79"/>
    <w:multiLevelType w:val="hybridMultilevel"/>
    <w:tmpl w:val="25AEE79A"/>
    <w:lvl w:ilvl="0">
      <w:start w:val="3"/>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5542688"/>
    <w:multiLevelType w:val="multilevel"/>
    <w:tmpl w:val="D8E215C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3C1829DE"/>
    <w:multiLevelType w:val="multilevel"/>
    <w:tmpl w:val="BDD2AE3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4">
    <w:nsid w:val="4AF13B7C"/>
    <w:multiLevelType w:val="multilevel"/>
    <w:tmpl w:val="8C341AB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5">
    <w:nsid w:val="4C2E3E6D"/>
    <w:multiLevelType w:val="multilevel"/>
    <w:tmpl w:val="21C83B14"/>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6">
    <w:nsid w:val="522055B4"/>
    <w:multiLevelType w:val="hybridMultilevel"/>
    <w:tmpl w:val="5CF499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E856C88"/>
    <w:multiLevelType w:val="hybridMultilevel"/>
    <w:tmpl w:val="10FC0E88"/>
    <w:lvl w:ilvl="0">
      <w:start w:val="3"/>
      <w:numFmt w:val="decimal"/>
      <w:lvlText w:val="%1."/>
      <w:lvlJc w:val="left"/>
      <w:pPr>
        <w:ind w:left="360" w:hanging="360"/>
      </w:pPr>
      <w:rPr>
        <w:rFonts w:ascii="Arial" w:hAnsi="Arial"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09C1BB6"/>
    <w:multiLevelType w:val="multilevel"/>
    <w:tmpl w:val="7E3AFCA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9">
    <w:nsid w:val="60BA1888"/>
    <w:multiLevelType w:val="hybridMultilevel"/>
    <w:tmpl w:val="72E2C7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A1D1A64"/>
    <w:multiLevelType w:val="multilevel"/>
    <w:tmpl w:val="40464AAE"/>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1">
    <w:nsid w:val="74F52AA9"/>
    <w:multiLevelType w:val="multilevel"/>
    <w:tmpl w:val="B2423B4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16cid:durableId="90786862">
    <w:abstractNumId w:val="3"/>
  </w:num>
  <w:num w:numId="2" w16cid:durableId="879511058">
    <w:abstractNumId w:val="13"/>
  </w:num>
  <w:num w:numId="3" w16cid:durableId="1800101784">
    <w:abstractNumId w:val="15"/>
  </w:num>
  <w:num w:numId="4" w16cid:durableId="971208571">
    <w:abstractNumId w:val="21"/>
  </w:num>
  <w:num w:numId="5" w16cid:durableId="1933471930">
    <w:abstractNumId w:val="12"/>
  </w:num>
  <w:num w:numId="6" w16cid:durableId="1568568922">
    <w:abstractNumId w:val="8"/>
  </w:num>
  <w:num w:numId="7" w16cid:durableId="1829010061">
    <w:abstractNumId w:val="18"/>
  </w:num>
  <w:num w:numId="8" w16cid:durableId="603001398">
    <w:abstractNumId w:val="7"/>
  </w:num>
  <w:num w:numId="9" w16cid:durableId="1657344104">
    <w:abstractNumId w:val="1"/>
  </w:num>
  <w:num w:numId="10" w16cid:durableId="105085454">
    <w:abstractNumId w:val="14"/>
  </w:num>
  <w:num w:numId="11" w16cid:durableId="428162881">
    <w:abstractNumId w:val="20"/>
  </w:num>
  <w:num w:numId="12" w16cid:durableId="855391607">
    <w:abstractNumId w:val="2"/>
  </w:num>
  <w:num w:numId="13" w16cid:durableId="1615668953">
    <w:abstractNumId w:val="5"/>
  </w:num>
  <w:num w:numId="14" w16cid:durableId="609581548">
    <w:abstractNumId w:val="19"/>
  </w:num>
  <w:num w:numId="15" w16cid:durableId="1724601263">
    <w:abstractNumId w:val="4"/>
  </w:num>
  <w:num w:numId="16" w16cid:durableId="1488354819">
    <w:abstractNumId w:val="16"/>
  </w:num>
  <w:num w:numId="17" w16cid:durableId="1723820235">
    <w:abstractNumId w:val="0"/>
  </w:num>
  <w:num w:numId="18" w16cid:durableId="1748838728">
    <w:abstractNumId w:val="11"/>
  </w:num>
  <w:num w:numId="19" w16cid:durableId="768891584">
    <w:abstractNumId w:val="10"/>
  </w:num>
  <w:num w:numId="20" w16cid:durableId="519590207">
    <w:abstractNumId w:val="9"/>
  </w:num>
  <w:num w:numId="21" w16cid:durableId="1681227443">
    <w:abstractNumId w:val="17"/>
  </w:num>
  <w:num w:numId="22" w16cid:durableId="1604342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A7"/>
    <w:rsid w:val="00023379"/>
    <w:rsid w:val="000451CC"/>
    <w:rsid w:val="00053B6F"/>
    <w:rsid w:val="00071184"/>
    <w:rsid w:val="0009696E"/>
    <w:rsid w:val="000E16BE"/>
    <w:rsid w:val="000E36F2"/>
    <w:rsid w:val="000E6844"/>
    <w:rsid w:val="000F0282"/>
    <w:rsid w:val="0011008F"/>
    <w:rsid w:val="00110BEC"/>
    <w:rsid w:val="00115278"/>
    <w:rsid w:val="00127A61"/>
    <w:rsid w:val="00130151"/>
    <w:rsid w:val="00154478"/>
    <w:rsid w:val="001659A1"/>
    <w:rsid w:val="0018419A"/>
    <w:rsid w:val="001A3C59"/>
    <w:rsid w:val="001A7821"/>
    <w:rsid w:val="001E50C2"/>
    <w:rsid w:val="00212453"/>
    <w:rsid w:val="00236BBF"/>
    <w:rsid w:val="0023718F"/>
    <w:rsid w:val="002438F9"/>
    <w:rsid w:val="002766A7"/>
    <w:rsid w:val="0028077F"/>
    <w:rsid w:val="002B6A8B"/>
    <w:rsid w:val="002C75CA"/>
    <w:rsid w:val="002D076D"/>
    <w:rsid w:val="002F7836"/>
    <w:rsid w:val="00305AD7"/>
    <w:rsid w:val="00344115"/>
    <w:rsid w:val="003568B4"/>
    <w:rsid w:val="0036343F"/>
    <w:rsid w:val="00363DE7"/>
    <w:rsid w:val="00392452"/>
    <w:rsid w:val="00394735"/>
    <w:rsid w:val="003953D7"/>
    <w:rsid w:val="003A0F75"/>
    <w:rsid w:val="003B3464"/>
    <w:rsid w:val="003C313F"/>
    <w:rsid w:val="003D2F7B"/>
    <w:rsid w:val="003D7676"/>
    <w:rsid w:val="003F41D3"/>
    <w:rsid w:val="003F455A"/>
    <w:rsid w:val="00401702"/>
    <w:rsid w:val="00403AD2"/>
    <w:rsid w:val="00435FC0"/>
    <w:rsid w:val="004622E2"/>
    <w:rsid w:val="0046631C"/>
    <w:rsid w:val="004746CE"/>
    <w:rsid w:val="004772A1"/>
    <w:rsid w:val="004921E0"/>
    <w:rsid w:val="00492630"/>
    <w:rsid w:val="004A6673"/>
    <w:rsid w:val="004B2213"/>
    <w:rsid w:val="004D154F"/>
    <w:rsid w:val="00522E48"/>
    <w:rsid w:val="005405E0"/>
    <w:rsid w:val="005513E1"/>
    <w:rsid w:val="005A5580"/>
    <w:rsid w:val="005B0875"/>
    <w:rsid w:val="005C204F"/>
    <w:rsid w:val="005E6DBE"/>
    <w:rsid w:val="00604980"/>
    <w:rsid w:val="006069DA"/>
    <w:rsid w:val="00611871"/>
    <w:rsid w:val="00623421"/>
    <w:rsid w:val="0064216C"/>
    <w:rsid w:val="0065074B"/>
    <w:rsid w:val="0065219F"/>
    <w:rsid w:val="00672016"/>
    <w:rsid w:val="00685A7F"/>
    <w:rsid w:val="006D043A"/>
    <w:rsid w:val="007005F4"/>
    <w:rsid w:val="00703F40"/>
    <w:rsid w:val="00706721"/>
    <w:rsid w:val="0071144E"/>
    <w:rsid w:val="00715DDF"/>
    <w:rsid w:val="007349AE"/>
    <w:rsid w:val="00743E43"/>
    <w:rsid w:val="00790322"/>
    <w:rsid w:val="007A4327"/>
    <w:rsid w:val="007B36BB"/>
    <w:rsid w:val="007B4F2F"/>
    <w:rsid w:val="007B6523"/>
    <w:rsid w:val="007C49A5"/>
    <w:rsid w:val="007F2994"/>
    <w:rsid w:val="007F4676"/>
    <w:rsid w:val="00801B63"/>
    <w:rsid w:val="0081240F"/>
    <w:rsid w:val="00837B31"/>
    <w:rsid w:val="008635DE"/>
    <w:rsid w:val="008A316E"/>
    <w:rsid w:val="008A42EF"/>
    <w:rsid w:val="008A4AFE"/>
    <w:rsid w:val="008B369C"/>
    <w:rsid w:val="008E0BB0"/>
    <w:rsid w:val="009004FD"/>
    <w:rsid w:val="00911B9C"/>
    <w:rsid w:val="00927C1F"/>
    <w:rsid w:val="00940CAC"/>
    <w:rsid w:val="00963DC1"/>
    <w:rsid w:val="009752C1"/>
    <w:rsid w:val="00984413"/>
    <w:rsid w:val="009D5B9A"/>
    <w:rsid w:val="009E0188"/>
    <w:rsid w:val="00A06A58"/>
    <w:rsid w:val="00A1160B"/>
    <w:rsid w:val="00A16D33"/>
    <w:rsid w:val="00A42FE0"/>
    <w:rsid w:val="00A5545B"/>
    <w:rsid w:val="00A715D6"/>
    <w:rsid w:val="00A93FC5"/>
    <w:rsid w:val="00AA061A"/>
    <w:rsid w:val="00AB2F6A"/>
    <w:rsid w:val="00AE5978"/>
    <w:rsid w:val="00AF49F6"/>
    <w:rsid w:val="00B05C0A"/>
    <w:rsid w:val="00B12DA8"/>
    <w:rsid w:val="00B24DCB"/>
    <w:rsid w:val="00B348D0"/>
    <w:rsid w:val="00B5474B"/>
    <w:rsid w:val="00B74E2C"/>
    <w:rsid w:val="00B96245"/>
    <w:rsid w:val="00BC22BB"/>
    <w:rsid w:val="00BC5CD5"/>
    <w:rsid w:val="00BE4B62"/>
    <w:rsid w:val="00BF1F42"/>
    <w:rsid w:val="00C01183"/>
    <w:rsid w:val="00C3049E"/>
    <w:rsid w:val="00C527F7"/>
    <w:rsid w:val="00C54208"/>
    <w:rsid w:val="00C55A17"/>
    <w:rsid w:val="00C76872"/>
    <w:rsid w:val="00C97617"/>
    <w:rsid w:val="00CB33C8"/>
    <w:rsid w:val="00CC7355"/>
    <w:rsid w:val="00CD2714"/>
    <w:rsid w:val="00CD3E3E"/>
    <w:rsid w:val="00CE5F04"/>
    <w:rsid w:val="00D12D84"/>
    <w:rsid w:val="00D940A4"/>
    <w:rsid w:val="00DA0A71"/>
    <w:rsid w:val="00DA73F2"/>
    <w:rsid w:val="00DB37E5"/>
    <w:rsid w:val="00DB384C"/>
    <w:rsid w:val="00DC26CA"/>
    <w:rsid w:val="00DD7EB3"/>
    <w:rsid w:val="00E375B0"/>
    <w:rsid w:val="00E37D35"/>
    <w:rsid w:val="00E46EF4"/>
    <w:rsid w:val="00E67E81"/>
    <w:rsid w:val="00E76DFF"/>
    <w:rsid w:val="00E84C47"/>
    <w:rsid w:val="00E913F8"/>
    <w:rsid w:val="00E91D54"/>
    <w:rsid w:val="00EA51E0"/>
    <w:rsid w:val="00ED2903"/>
    <w:rsid w:val="00EE0563"/>
    <w:rsid w:val="00EE3BF2"/>
    <w:rsid w:val="00EF64AB"/>
    <w:rsid w:val="00EF6589"/>
    <w:rsid w:val="00F13363"/>
    <w:rsid w:val="00F414B0"/>
    <w:rsid w:val="00F60D30"/>
    <w:rsid w:val="00F74B70"/>
    <w:rsid w:val="00F863E2"/>
    <w:rsid w:val="00FA15D2"/>
    <w:rsid w:val="00FA23B0"/>
    <w:rsid w:val="00FC7CE7"/>
    <w:rsid w:val="00FD18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F56FC8"/>
  <w15:docId w15:val="{F4D4EB4F-1D13-4868-9222-E3C0810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customStyle="1" w:styleId="Level1">
    <w:name w:val="Level 1"/>
    <w:rsid w:val="00492630"/>
    <w:pPr>
      <w:widowControl/>
      <w:autoSpaceDE w:val="0"/>
      <w:autoSpaceDN w:val="0"/>
      <w:adjustRightInd w:val="0"/>
      <w:ind w:left="720"/>
    </w:pPr>
  </w:style>
  <w:style w:type="paragraph" w:customStyle="1" w:styleId="Outline0071">
    <w:name w:val="Outline007_1"/>
    <w:rsid w:val="004926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style>
  <w:style w:type="paragraph" w:customStyle="1" w:styleId="Outline0051">
    <w:name w:val="Outline005_1"/>
    <w:rsid w:val="004926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style>
  <w:style w:type="paragraph" w:customStyle="1" w:styleId="Outline0061">
    <w:name w:val="Outline006_1"/>
    <w:rsid w:val="00492630"/>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style>
  <w:style w:type="paragraph" w:customStyle="1" w:styleId="BodyTextIn">
    <w:name w:val="Body Text In"/>
    <w:rsid w:val="004926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style>
  <w:style w:type="character" w:customStyle="1" w:styleId="sensecontent2">
    <w:name w:val="sense_content2"/>
    <w:rsid w:val="00492630"/>
    <w:rPr>
      <w:rFonts w:ascii="Times New Roman" w:hAnsi="Times New Roman" w:cs="Times New Roman" w:hint="default"/>
      <w:b w:val="0"/>
      <w:bCs w:val="0"/>
    </w:rPr>
  </w:style>
  <w:style w:type="paragraph" w:styleId="CommentSubject">
    <w:name w:val="annotation subject"/>
    <w:basedOn w:val="CommentText"/>
    <w:next w:val="CommentText"/>
    <w:link w:val="CommentSubjectChar"/>
    <w:uiPriority w:val="99"/>
    <w:semiHidden/>
    <w:unhideWhenUsed/>
    <w:rsid w:val="0065219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65219F"/>
    <w:rPr>
      <w:rFonts w:ascii="Arial" w:eastAsia="Arial" w:hAnsi="Arial" w:cs="Arial"/>
      <w:b/>
      <w:bCs/>
      <w:color w:val="2E5395"/>
      <w:sz w:val="20"/>
      <w:szCs w:val="20"/>
    </w:rPr>
  </w:style>
  <w:style w:type="paragraph" w:styleId="NormalWeb">
    <w:name w:val="Normal (Web)"/>
    <w:basedOn w:val="Normal"/>
    <w:uiPriority w:val="99"/>
    <w:unhideWhenUsed/>
    <w:rsid w:val="00837B31"/>
    <w:pPr>
      <w:widowControl/>
      <w:spacing w:before="100" w:beforeAutospacing="1" w:after="100" w:afterAutospacing="1"/>
    </w:pPr>
  </w:style>
  <w:style w:type="character" w:styleId="Strong">
    <w:name w:val="Strong"/>
    <w:basedOn w:val="DefaultParagraphFont"/>
    <w:uiPriority w:val="22"/>
    <w:qFormat/>
    <w:rsid w:val="00837B31"/>
    <w:rPr>
      <w:b/>
      <w:bCs/>
    </w:rPr>
  </w:style>
  <w:style w:type="character" w:styleId="UnresolvedMention">
    <w:name w:val="Unresolved Mention"/>
    <w:basedOn w:val="DefaultParagraphFont"/>
    <w:uiPriority w:val="99"/>
    <w:semiHidden/>
    <w:unhideWhenUsed/>
    <w:rsid w:val="00706721"/>
    <w:rPr>
      <w:color w:val="605E5C"/>
      <w:shd w:val="clear" w:color="auto" w:fill="E1DFDD"/>
    </w:rPr>
  </w:style>
  <w:style w:type="paragraph" w:styleId="BodyTextIndent">
    <w:name w:val="Body Text Indent"/>
    <w:basedOn w:val="Normal"/>
    <w:link w:val="BodyTextIndentChar"/>
    <w:uiPriority w:val="99"/>
    <w:unhideWhenUsed/>
    <w:rsid w:val="00B05C0A"/>
    <w:pPr>
      <w:spacing w:after="120"/>
      <w:ind w:left="360"/>
    </w:pPr>
  </w:style>
  <w:style w:type="character" w:customStyle="1" w:styleId="BodyTextIndentChar">
    <w:name w:val="Body Text Indent Char"/>
    <w:basedOn w:val="DefaultParagraphFont"/>
    <w:link w:val="BodyTextIndent"/>
    <w:uiPriority w:val="99"/>
    <w:rsid w:val="00B05C0A"/>
  </w:style>
  <w:style w:type="paragraph" w:styleId="FootnoteText">
    <w:name w:val="footnote text"/>
    <w:basedOn w:val="Normal"/>
    <w:link w:val="FootnoteTextChar"/>
    <w:uiPriority w:val="99"/>
    <w:semiHidden/>
    <w:unhideWhenUsed/>
    <w:rsid w:val="00E375B0"/>
    <w:rPr>
      <w:sz w:val="20"/>
      <w:szCs w:val="20"/>
    </w:rPr>
  </w:style>
  <w:style w:type="character" w:customStyle="1" w:styleId="FootnoteTextChar">
    <w:name w:val="Footnote Text Char"/>
    <w:basedOn w:val="DefaultParagraphFont"/>
    <w:link w:val="FootnoteText"/>
    <w:uiPriority w:val="99"/>
    <w:semiHidden/>
    <w:rsid w:val="00E375B0"/>
    <w:rPr>
      <w:sz w:val="20"/>
      <w:szCs w:val="20"/>
    </w:rPr>
  </w:style>
  <w:style w:type="character" w:styleId="FootnoteReference">
    <w:name w:val="footnote reference"/>
    <w:basedOn w:val="DefaultParagraphFont"/>
    <w:uiPriority w:val="99"/>
    <w:semiHidden/>
    <w:unhideWhenUsed/>
    <w:rsid w:val="00E37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FR-2003-06-17/pdf/03-15292.pdf" TargetMode="External" /><Relationship Id="rId11" Type="http://schemas.openxmlformats.org/officeDocument/2006/relationships/hyperlink" Target="http://ceq.hss.doe.gov/Nepa/regs/nepa/nepaeqia.htm" TargetMode="External" /><Relationship Id="rId12" Type="http://schemas.openxmlformats.org/officeDocument/2006/relationships/hyperlink" Target="http://www.nmfs.noaa.gov/pr/laws/esa/text.htm" TargetMode="External" /><Relationship Id="rId13" Type="http://schemas.openxmlformats.org/officeDocument/2006/relationships/hyperlink" Target="http://www.nmfs.noaa.gov/msa2005/docs/MSA_amended_msa%20_20070112_FINAL.pdf" TargetMode="External" /><Relationship Id="rId14" Type="http://schemas.openxmlformats.org/officeDocument/2006/relationships/hyperlink" Target="http://www.law.cornell.edu/uscode/uscode16/usc_sup_01_16_10_55.html" TargetMode="External" /><Relationship Id="rId15" Type="http://schemas.openxmlformats.org/officeDocument/2006/relationships/hyperlink" Target="http://www.fema.gov/business/nfip/" TargetMode="External" /><Relationship Id="rId16" Type="http://schemas.openxmlformats.org/officeDocument/2006/relationships/hyperlink" Target="http://www.nps.gov/history/local-law/nhpa1966.htm" TargetMode="External" /><Relationship Id="rId17" Type="http://schemas.openxmlformats.org/officeDocument/2006/relationships/hyperlink" Target="http://www.ada.gov/pubs/ada.htm" TargetMode="External" /><Relationship Id="rId18" Type="http://schemas.openxmlformats.org/officeDocument/2006/relationships/hyperlink" Target="https://coast.noaa.gov/data/czm/landconservation/media/CELCPfinal02Guidelines.pdf" TargetMode="External" /><Relationship Id="rId19" Type="http://schemas.openxmlformats.org/officeDocument/2006/relationships/hyperlink" Target="https://www.govinfo.gov/content/pkg/CFR-2014-title15-vol3/pdf/CFR-2014-title15-vol3-part921.pdf" TargetMode="External" /><Relationship Id="rId2" Type="http://schemas.openxmlformats.org/officeDocument/2006/relationships/settings" Target="settings.xml" /><Relationship Id="rId20" Type="http://schemas.openxmlformats.org/officeDocument/2006/relationships/hyperlink" Target="http://www.grants.gov" TargetMode="External" /><Relationship Id="rId21" Type="http://schemas.openxmlformats.org/officeDocument/2006/relationships/hyperlink" Target="https://coast.noaa.gov/czm/landconservation/" TargetMode="External" /><Relationship Id="rId22" Type="http://schemas.openxmlformats.org/officeDocument/2006/relationships/hyperlink" Target="https://www.era.nih.gov/" TargetMode="External" /><Relationship Id="rId23" Type="http://schemas.openxmlformats.org/officeDocument/2006/relationships/hyperlink" Target="https://www.govinfo.gov/content/pkg/FR-2024-12-17/pdf/2024-29755.pdf" TargetMode="External" /><Relationship Id="rId24" Type="http://schemas.openxmlformats.org/officeDocument/2006/relationships/hyperlink" Target="http://www.justice.gov/oip/amended-foia-redlined.pdf" TargetMode="External" /><Relationship Id="rId25" Type="http://schemas.openxmlformats.org/officeDocument/2006/relationships/hyperlink" Target="https://www.bls.gov/oes/tables.htm" TargetMode="External" /><Relationship Id="rId26" Type="http://schemas.openxmlformats.org/officeDocument/2006/relationships/hyperlink" Target="https://www.opm.gov/policy-data-oversight/pay-leave/salaries-wages/salary-tables/pdf/2022/DCB_h.pdf" TargetMode="External" /><Relationship Id="rId27" Type="http://schemas.openxmlformats.org/officeDocument/2006/relationships/hyperlink" Target="http://www.fws.gov/informationquality/section515.html" TargetMode="External" /><Relationship Id="rId28" Type="http://schemas.openxmlformats.org/officeDocument/2006/relationships/hyperlink" Target="http://www.gpo.gov/fdsys/pkg/CFR-2014-title5-vol3/pdf/CFR-2014-title5-vol3-sec1320-9.pdf" TargetMode="External" /><Relationship Id="rId29" Type="http://schemas.openxmlformats.org/officeDocument/2006/relationships/hyperlink" Target="http://www.gpo.gov/fdsys/pkg/CFR-2014-title5-vol3/pdf/CFR-2014-title5-vol3-sec1320-8.pdf" TargetMode="External" /><Relationship Id="rId3" Type="http://schemas.openxmlformats.org/officeDocument/2006/relationships/webSettings" Target="webSettings.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coast.noaa.gov/czm/act/" TargetMode="External" /><Relationship Id="rId8" Type="http://schemas.openxmlformats.org/officeDocument/2006/relationships/hyperlink" Target="http://www.gpo.gov/fdsys/pkg/PLAW-111publ11/pdf/PLAW-111publ11.pdf" TargetMode="External" /><Relationship Id="rId9" Type="http://schemas.openxmlformats.org/officeDocument/2006/relationships/hyperlink" Target="https://coast.noaa.gov/czm/act/s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62C1E7-8E63-4ECF-B436-7B467CB1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5505</Words>
  <Characters>31385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National Oceanic and Atmospheric Administration</Company>
  <LinksUpToDate>false</LinksUpToDate>
  <CharactersWithSpaces>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10</cp:revision>
  <dcterms:created xsi:type="dcterms:W3CDTF">2025-03-21T16:44:00Z</dcterms:created>
  <dcterms:modified xsi:type="dcterms:W3CDTF">2025-03-26T16:27:00Z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