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F1BDC" w14:paraId="00000001" w14:textId="77777777">
      <w:pPr>
        <w:spacing w:before="8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SUPPORTING STATEMENT</w:t>
      </w:r>
    </w:p>
    <w:p w:rsidR="006F1BDC" w14:paraId="00000002" w14:textId="77777777">
      <w:pPr>
        <w:spacing w:before="22" w:after="0" w:line="240" w:lineRule="auto"/>
        <w:ind w:firstLine="14"/>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U.S. Department of Commerce</w:t>
      </w:r>
    </w:p>
    <w:p w:rsidR="006F1BDC" w14:paraId="00000003" w14:textId="77777777">
      <w:pPr>
        <w:spacing w:before="22" w:after="0" w:line="240" w:lineRule="auto"/>
        <w:ind w:firstLine="14"/>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National Oceanic &amp; Atmospheric Administration</w:t>
      </w:r>
    </w:p>
    <w:p w:rsidR="006F1BDC" w14:paraId="00000004" w14:textId="7777777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Greater Atlantic Region, Atlantic Sea Scallop Fishery</w:t>
      </w:r>
    </w:p>
    <w:p w:rsidR="006F1BDC" w14:paraId="00000005" w14:textId="7777777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Management Plan </w:t>
      </w:r>
    </w:p>
    <w:p w:rsidR="006F1BDC" w14:paraId="00000006" w14:textId="7777777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OMB Control No. 0648-0491</w:t>
      </w:r>
    </w:p>
    <w:p w:rsidR="006F1BDC" w14:paraId="00000007" w14:textId="77777777">
      <w:pPr>
        <w:spacing w:after="0" w:line="240" w:lineRule="auto"/>
        <w:rPr>
          <w:rFonts w:ascii="Times New Roman" w:eastAsia="Times New Roman" w:hAnsi="Times New Roman" w:cs="Times New Roman"/>
          <w:sz w:val="24"/>
          <w:szCs w:val="24"/>
        </w:rPr>
      </w:pPr>
    </w:p>
    <w:p w:rsidR="006F1BDC" w14:paraId="00000008" w14:textId="77777777">
      <w:pPr>
        <w:spacing w:before="1"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SUPPORTING STATEMENT PART A</w:t>
      </w:r>
      <w:r>
        <w:rPr>
          <w:rFonts w:ascii="Times New Roman" w:eastAsia="Times New Roman" w:hAnsi="Times New Roman" w:cs="Times New Roman"/>
          <w:b/>
          <w:color w:val="1F497D"/>
          <w:sz w:val="24"/>
          <w:szCs w:val="24"/>
        </w:rPr>
        <w:t xml:space="preserve"> </w:t>
      </w:r>
    </w:p>
    <w:p w:rsidR="006F1BDC" w14:paraId="00000009" w14:textId="77777777">
      <w:pPr>
        <w:spacing w:before="199"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Abstract</w:t>
      </w:r>
    </w:p>
    <w:p w:rsidR="006F1BDC" w14:paraId="0000000A" w14:textId="77777777">
      <w:pPr>
        <w:spacing w:before="144"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Paperwork Reduction Act (PRA) submission requests Office of Management and Budget (OMB) approval of an extension of the information collection requirements pertaining to the Atlantic Sea Scallop Fishery Management Plan (FMP) under OMB Control No. 0648-0491. The National Marine Fisheries Service (NMFS) manages the Atlantic Sea Scallop fishery through regulations that limit catch of scallops, bycatch of certain other species, and fishing vessel activity. This fishery is only effectively managed and these</w:t>
      </w:r>
      <w:r>
        <w:rPr>
          <w:rFonts w:ascii="Times New Roman" w:eastAsia="Times New Roman" w:hAnsi="Times New Roman" w:cs="Times New Roman"/>
          <w:sz w:val="24"/>
          <w:szCs w:val="24"/>
        </w:rPr>
        <w:t xml:space="preserve"> regulations implemented through the use of information collected by NMFS to track fishing effort, catch, and the exchange of quota and trips through exchange by vessel owners.  This information can only be collected through the reporting requirements included in this renewal.   </w:t>
      </w:r>
    </w:p>
    <w:p w:rsidR="006F1BDC" w14:paraId="0000000B" w14:textId="77777777">
      <w:pPr>
        <w:spacing w:before="124" w:after="0" w:line="240" w:lineRule="auto"/>
        <w:rPr>
          <w:rFonts w:ascii="Times New Roman" w:eastAsia="Times New Roman" w:hAnsi="Times New Roman" w:cs="Times New Roman"/>
          <w:color w:val="2F5496"/>
          <w:sz w:val="24"/>
          <w:szCs w:val="24"/>
        </w:rPr>
      </w:pPr>
    </w:p>
    <w:p w:rsidR="006F1BDC" w14:paraId="0000000C" w14:textId="77777777">
      <w:pPr>
        <w:spacing w:before="124"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Justification</w:t>
      </w:r>
    </w:p>
    <w:p w:rsidR="006F1BDC" w14:paraId="0000000D" w14:textId="77777777">
      <w:pPr>
        <w:numPr>
          <w:ilvl w:val="0"/>
          <w:numId w:val="1"/>
        </w:numPr>
        <w:spacing w:before="182"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6F1BDC" w14:paraId="0000000E" w14:textId="77777777">
      <w:pPr>
        <w:spacing w:before="159" w:after="0" w:line="240" w:lineRule="auto"/>
        <w:rPr>
          <w:rFonts w:ascii="Times New Roman" w:eastAsia="Times New Roman" w:hAnsi="Times New Roman" w:cs="Times New Roman"/>
          <w:sz w:val="24"/>
          <w:szCs w:val="24"/>
        </w:rPr>
      </w:pPr>
      <w:bookmarkStart w:id="0" w:name="_heading=h.fk2b6fzb7gjj" w:colFirst="0" w:colLast="0"/>
      <w:bookmarkEnd w:id="0"/>
      <w:r>
        <w:rPr>
          <w:rFonts w:ascii="Times New Roman" w:eastAsia="Times New Roman" w:hAnsi="Times New Roman" w:cs="Times New Roman"/>
          <w:sz w:val="24"/>
          <w:szCs w:val="24"/>
        </w:rPr>
        <w:t xml:space="preserve">Under the </w:t>
      </w:r>
      <w:hyperlink r:id="rId6">
        <w:r>
          <w:rPr>
            <w:rFonts w:ascii="Times New Roman" w:eastAsia="Times New Roman" w:hAnsi="Times New Roman" w:cs="Times New Roman"/>
            <w:color w:val="0000FF"/>
            <w:sz w:val="24"/>
            <w:szCs w:val="24"/>
            <w:u w:val="single"/>
          </w:rPr>
          <w:t>Magnuson-Stevens Fishery Conservation and Management Act</w:t>
        </w:r>
      </w:hyperlink>
      <w:r>
        <w:rPr>
          <w:rFonts w:ascii="Times New Roman" w:eastAsia="Times New Roman" w:hAnsi="Times New Roman" w:cs="Times New Roman"/>
          <w:sz w:val="24"/>
          <w:szCs w:val="24"/>
        </w:rPr>
        <w:t xml:space="preserve"> (Magnuson-Stevens Act), the Secretary of Commerce (Secretary) has responsibility for the conservation and management of marine fishery resources off the coast of the United States.  The majority of this responsibility has been delegated to the Fishery Management Councils and the National Oceanic and Atmospheric Administration’s (NOAA) National Marine Fisheries Service (NMFS).  NMFS manages the Atlantic sea scallop (scallop) fishery through a set of regulations that limit catch of scallops and fishing vesse</w:t>
      </w:r>
      <w:r>
        <w:rPr>
          <w:rFonts w:ascii="Times New Roman" w:eastAsia="Times New Roman" w:hAnsi="Times New Roman" w:cs="Times New Roman"/>
          <w:sz w:val="24"/>
          <w:szCs w:val="24"/>
        </w:rPr>
        <w:t>l activity.  In addition, regulations limit catch of certain other species of fish in order to minimize bycatch and bycatch mortality (bycatch is the catch and discard of species that are not targeted in the scallop fishery).  Finally, the regulations control vessel permitting and the exchange of effort and quota allocations between vessels.  In order to effectively manage the fishery, track fishing effort and catch, and to allow vessel owners to exchange fishing trips and quota, NMFS must collect informati</w:t>
      </w:r>
      <w:r>
        <w:rPr>
          <w:rFonts w:ascii="Times New Roman" w:eastAsia="Times New Roman" w:hAnsi="Times New Roman" w:cs="Times New Roman"/>
          <w:sz w:val="24"/>
          <w:szCs w:val="24"/>
        </w:rPr>
        <w:t>on through the reporting requirements included in this renewal.  All of the collection requirements remain necessary without revision.</w:t>
      </w:r>
    </w:p>
    <w:p w:rsidR="006F1BDC" w14:paraId="0000000F"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current extension includes the same information collection requirements as previously.  To successfully implement and administer components of the FMP, OMB Control No. 0648-0491 includes the following information collections:</w:t>
      </w:r>
    </w:p>
    <w:p w:rsidR="006F1BDC" w14:paraId="00000010" w14:textId="77777777">
      <w:pPr>
        <w:numPr>
          <w:ilvl w:val="0"/>
          <w:numId w:val="14"/>
        </w:num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area trip exchange application procedures</w:t>
      </w:r>
    </w:p>
    <w:p w:rsidR="006F1BDC" w14:paraId="00000011" w14:textId="77777777">
      <w:pPr>
        <w:numPr>
          <w:ilvl w:val="0"/>
          <w:numId w:val="14"/>
        </w:num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Fishing Quota (IFQ) Transfers</w:t>
      </w:r>
    </w:p>
    <w:p w:rsidR="006F1BDC" w14:paraId="00000012" w14:textId="77777777">
      <w:pPr>
        <w:numPr>
          <w:ilvl w:val="0"/>
          <w:numId w:val="14"/>
        </w:num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Recovery</w:t>
      </w:r>
    </w:p>
    <w:p w:rsidR="006F1BDC" w14:paraId="00000013" w14:textId="77777777">
      <w:pPr>
        <w:numPr>
          <w:ilvl w:val="0"/>
          <w:numId w:val="14"/>
        </w:num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IFQ Sector Program</w:t>
      </w:r>
    </w:p>
    <w:p w:rsidR="006F1BDC" w14:paraId="00000014" w14:textId="77777777">
      <w:pPr>
        <w:spacing w:before="159" w:after="0" w:line="240" w:lineRule="auto"/>
        <w:rPr>
          <w:rFonts w:ascii="Times New Roman" w:eastAsia="Times New Roman" w:hAnsi="Times New Roman" w:cs="Times New Roman"/>
          <w:sz w:val="24"/>
          <w:szCs w:val="24"/>
        </w:rPr>
      </w:pPr>
    </w:p>
    <w:p w:rsidR="006F1BDC" w14:paraId="00000015"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 Area Trip Exchange Application</w:t>
      </w:r>
      <w:r>
        <w:rPr>
          <w:rFonts w:ascii="Times New Roman" w:eastAsia="Times New Roman" w:hAnsi="Times New Roman" w:cs="Times New Roman"/>
          <w:sz w:val="24"/>
          <w:szCs w:val="24"/>
        </w:rPr>
        <w:t xml:space="preserve"> </w:t>
      </w:r>
    </w:p>
    <w:p w:rsidR="006F1BDC" w14:paraId="00000016"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one-for-one access area trip exchange program provides flexibility to scallop vessels about where they may fish.  Participants need to send an access area trip exchange application to NMFS with the following information:  Vessel name and permit number, owner name and signature, specification of the areas involved in the exchange.  Both vessels involved in the exchange are required to submit forms for cross verification.  This measure is expected to provide flexibility to vessels regarding which areas to</w:t>
      </w:r>
      <w:r>
        <w:rPr>
          <w:rFonts w:ascii="Times New Roman" w:eastAsia="Times New Roman" w:hAnsi="Times New Roman" w:cs="Times New Roman"/>
          <w:sz w:val="24"/>
          <w:szCs w:val="24"/>
        </w:rPr>
        <w:t xml:space="preserve"> fish, thereby reducing the possibility of revenue loss to those vessels that are unable to access some distant areas due to vessel capacity constraints.  Although there will be some transaction costs associated with the exchange of access area trips, the net result will likely be a reduction in overall costs of fishing. Administrative and enforcement costs associated with the exchange of controlled access trip authorizations are modest when compared with the potential improvement in controlled access alloc</w:t>
      </w:r>
      <w:r>
        <w:rPr>
          <w:rFonts w:ascii="Times New Roman" w:eastAsia="Times New Roman" w:hAnsi="Times New Roman" w:cs="Times New Roman"/>
          <w:sz w:val="24"/>
          <w:szCs w:val="24"/>
        </w:rPr>
        <w:t>ation programs and reduced economic cost to industry.</w:t>
      </w:r>
    </w:p>
    <w:p w:rsidR="006F1BDC" w14:paraId="00000017" w14:textId="77777777">
      <w:pPr>
        <w:spacing w:before="159" w:after="0" w:line="240" w:lineRule="auto"/>
        <w:rPr>
          <w:rFonts w:ascii="Times New Roman" w:eastAsia="Times New Roman" w:hAnsi="Times New Roman" w:cs="Times New Roman"/>
          <w:sz w:val="24"/>
          <w:szCs w:val="24"/>
        </w:rPr>
      </w:pPr>
    </w:p>
    <w:p w:rsidR="006F1BDC" w14:paraId="00000018" w14:textId="77777777">
      <w:pPr>
        <w:spacing w:before="159"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IFQ Transfers</w:t>
      </w:r>
    </w:p>
    <w:p w:rsidR="006F1BDC" w14:paraId="00000019" w14:textId="77777777">
      <w:pPr>
        <w:spacing w:before="159"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IFQ permit holders can temporarily and/or permanently transfer individual fishing quota from one IFQ vessel to another.  Quota transfers are requested through the submission of transfer applications.  Required information includes vessel information, quota transfer information, and authorizing signatures from both parties.  The IFQ transfer program is optional, and provides greater flexibility for IFQ permit holders by enabling them to increase their vessel’s IFQ or for individuals to lease or sell IFQ if t</w:t>
      </w:r>
      <w:r>
        <w:rPr>
          <w:rFonts w:ascii="Times New Roman" w:eastAsia="Times New Roman" w:hAnsi="Times New Roman" w:cs="Times New Roman"/>
          <w:sz w:val="24"/>
          <w:szCs w:val="24"/>
        </w:rPr>
        <w:t>hey choose not to fish the allocation.</w:t>
      </w:r>
    </w:p>
    <w:p w:rsidR="006F1BDC" w14:paraId="0000001A" w14:textId="77777777">
      <w:pPr>
        <w:spacing w:before="159" w:after="0" w:line="240" w:lineRule="auto"/>
        <w:rPr>
          <w:rFonts w:ascii="Times New Roman" w:eastAsia="Times New Roman" w:hAnsi="Times New Roman" w:cs="Times New Roman"/>
          <w:b/>
          <w:sz w:val="24"/>
          <w:szCs w:val="24"/>
        </w:rPr>
      </w:pPr>
    </w:p>
    <w:p w:rsidR="006F1BDC" w14:paraId="0000001B" w14:textId="77777777">
      <w:pPr>
        <w:spacing w:before="159"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Recovery</w:t>
      </w:r>
    </w:p>
    <w:p w:rsidR="006F1BDC" w14:paraId="0000001C"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304(d) (2) of the Magnuson-Stevens Act (MSA) requires an IFQ cost recovery plan to recover management and enforcement costs for IFQ fisheries.  The FMP includes an IFQ cost recovery program, whereby NMFS will collect up to 3% of ex-vessel value of landed product to cover actual costs directly related to enforcement and management of the IFQ program.  IFQ permit holders are required to submit a cost recovery payment annually via a pre-existing Federal payment system called </w:t>
      </w:r>
      <w:hyperlink r:id="rId7">
        <w:r>
          <w:rPr>
            <w:rFonts w:ascii="Times New Roman" w:eastAsia="Times New Roman" w:hAnsi="Times New Roman" w:cs="Times New Roman"/>
            <w:color w:val="0000FF"/>
            <w:sz w:val="24"/>
            <w:szCs w:val="24"/>
            <w:u w:val="single"/>
          </w:rPr>
          <w:t>www.pay.gov</w:t>
        </w:r>
      </w:hyperlink>
      <w:r>
        <w:rPr>
          <w:rFonts w:ascii="Times New Roman" w:eastAsia="Times New Roman" w:hAnsi="Times New Roman" w:cs="Times New Roman"/>
          <w:sz w:val="24"/>
          <w:szCs w:val="24"/>
        </w:rPr>
        <w:t>, which is also currently used by the Alaska Region and the Southeast Region.  Information submitted via the internet would require the user to establish an online account, including personal and financial information.  This requirement is necessary in order to comply with the provisions of the MSA and to collect payments from individuals that have been granted an allocation to a public resource.</w:t>
      </w:r>
    </w:p>
    <w:p w:rsidR="006F1BDC" w14:paraId="0000001D" w14:textId="77777777">
      <w:pPr>
        <w:spacing w:before="159" w:after="0" w:line="240" w:lineRule="auto"/>
        <w:rPr>
          <w:rFonts w:ascii="Times New Roman" w:eastAsia="Times New Roman" w:hAnsi="Times New Roman" w:cs="Times New Roman"/>
          <w:sz w:val="24"/>
          <w:szCs w:val="24"/>
        </w:rPr>
      </w:pPr>
    </w:p>
    <w:p w:rsidR="006F1BDC" w14:paraId="0000001E" w14:textId="77777777">
      <w:pPr>
        <w:spacing w:before="159" w:after="0" w:line="240" w:lineRule="auto"/>
        <w:rPr>
          <w:rFonts w:ascii="Times New Roman" w:eastAsia="Times New Roman" w:hAnsi="Times New Roman" w:cs="Times New Roman"/>
          <w:sz w:val="24"/>
          <w:szCs w:val="24"/>
        </w:rPr>
      </w:pPr>
      <w:bookmarkStart w:id="1" w:name="_heading=h.28d5oh8zm4c9" w:colFirst="0" w:colLast="0"/>
      <w:bookmarkEnd w:id="1"/>
      <w:r>
        <w:rPr>
          <w:rFonts w:ascii="Times New Roman" w:eastAsia="Times New Roman" w:hAnsi="Times New Roman" w:cs="Times New Roman"/>
          <w:b/>
          <w:sz w:val="24"/>
          <w:szCs w:val="24"/>
        </w:rPr>
        <w:t>IFQ Sector Program</w:t>
      </w:r>
    </w:p>
    <w:p w:rsidR="006F1BDC" w14:paraId="0000001F"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FMP contains provisions that authorize allocation of a portion of the overall IFQ fishery TAC to a self-selected group of IFQ permit holders (sector), provided the sector provides adequate information describing the formation of the sector and its intended plan of operations.  Individuals or other entities (corporations, cooperatives, etc.) proposing a sector are required to submit documents as described below.  </w:t>
      </w:r>
    </w:p>
    <w:p w:rsidR="006F1BDC" w14:paraId="00000020" w14:textId="77777777">
      <w:pPr>
        <w:spacing w:before="159" w:after="0" w:line="240" w:lineRule="auto"/>
        <w:rPr>
          <w:rFonts w:ascii="Times New Roman" w:eastAsia="Times New Roman" w:hAnsi="Times New Roman" w:cs="Times New Roman"/>
          <w:sz w:val="24"/>
          <w:szCs w:val="24"/>
        </w:rPr>
      </w:pPr>
    </w:p>
    <w:p w:rsidR="006F1BDC" w14:paraId="00000021" w14:textId="77777777">
      <w:pPr>
        <w:spacing w:before="159"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Sector Allocation Proposal</w:t>
      </w:r>
    </w:p>
    <w:p w:rsidR="006F1BDC" w14:paraId="00000022" w14:textId="77777777">
      <w:pPr>
        <w:spacing w:before="159"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Any person may submit a Sector allocation proposal for a group of limited access general category scallop vessels to the Council, at least 1 year in advance of the start of a sector, and request that the Sector be implemented through a framework procedure specified at §648.55.</w:t>
      </w:r>
    </w:p>
    <w:p w:rsidR="006F1BDC" w14:paraId="00000023"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document specifies the proposed maximum amount of TAC to be allocated to sector participants and the sector has proposed rules describing movement of vessels among sectors or to the common pool of vessels managed under the FMP.  This document is required to include an appropriate analysis that assesses the impacts of the proposed sector, in compliance with the National Environmental Policy Act (NEPA).</w:t>
      </w:r>
    </w:p>
    <w:p w:rsidR="006F1BDC" w14:paraId="00000024" w14:textId="77777777">
      <w:pPr>
        <w:spacing w:before="159" w:after="0" w:line="240" w:lineRule="auto"/>
        <w:rPr>
          <w:rFonts w:ascii="Times New Roman" w:eastAsia="Times New Roman" w:hAnsi="Times New Roman" w:cs="Times New Roman"/>
          <w:b/>
          <w:sz w:val="24"/>
          <w:szCs w:val="24"/>
        </w:rPr>
      </w:pPr>
    </w:p>
    <w:p w:rsidR="006F1BDC" w14:paraId="00000025" w14:textId="77777777">
      <w:pPr>
        <w:spacing w:before="159"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Operations Plan</w:t>
      </w:r>
      <w:r>
        <w:rPr>
          <w:rFonts w:ascii="Times New Roman" w:eastAsia="Times New Roman" w:hAnsi="Times New Roman" w:cs="Times New Roman"/>
          <w:b/>
          <w:sz w:val="24"/>
          <w:szCs w:val="24"/>
        </w:rPr>
        <w:t xml:space="preserve"> </w:t>
      </w:r>
    </w:p>
    <w:p w:rsidR="006F1BDC" w14:paraId="00000026"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group that wants to form a sector and receive an allocation is required to submit a legally binding operations plan to the Council and the Regional Administrator.  The operations plan must be agreed upon and signed by all members of the sector and, if approved, would constitute a contract.</w:t>
      </w:r>
    </w:p>
    <w:p w:rsidR="006F1BDC" w14:paraId="00000027"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document provides a list of all participants involved with the sector; a contract signed by all proposed participants; historic information on the catch history, TAC associated with the proposed sector; detailed information regarding potential redistribution of TAC within the sector, if applicable; a plan and analysis of specific management rules for sector participants, including plans for the enforcement of sector rules and the monitoring of landings and discards; and procedures for the removal of pa</w:t>
      </w:r>
      <w:r>
        <w:rPr>
          <w:rFonts w:ascii="Times New Roman" w:eastAsia="Times New Roman" w:hAnsi="Times New Roman" w:cs="Times New Roman"/>
          <w:sz w:val="24"/>
          <w:szCs w:val="24"/>
        </w:rPr>
        <w:t>rticipants from the sector.  This document is required to include a supplementary NEPA analysis that would include a revised assessment of the impacts of the proposed sector based upon changes that may have occurred since the submission of the sector allocation proposal mentioned above.</w:t>
      </w:r>
    </w:p>
    <w:p w:rsidR="006F1BDC" w14:paraId="00000028"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sector is required to resubmit its operations plan to the Regional Director no later than December 1 of each year, whether or not the plan has changed. NMFS may consult with the Council and would solicit public comment on the operations plan for at least 15 days, through proposed rulemaking in the </w:t>
      </w:r>
      <w:r>
        <w:rPr>
          <w:rFonts w:ascii="Times New Roman" w:eastAsia="Times New Roman" w:hAnsi="Times New Roman" w:cs="Times New Roman"/>
          <w:sz w:val="24"/>
          <w:szCs w:val="24"/>
          <w:u w:val="single"/>
        </w:rPr>
        <w:t>Federal Register</w:t>
      </w:r>
      <w:r>
        <w:rPr>
          <w:rFonts w:ascii="Times New Roman" w:eastAsia="Times New Roman" w:hAnsi="Times New Roman" w:cs="Times New Roman"/>
          <w:sz w:val="24"/>
          <w:szCs w:val="24"/>
        </w:rPr>
        <w:t>.  Upon review of the public comments, the Regional Administrator may approve or disapprove sector operations, through a final determination pursuant to the Administrative Procedure Act.</w:t>
      </w:r>
    </w:p>
    <w:p w:rsidR="006F1BDC" w14:paraId="00000029" w14:textId="77777777">
      <w:pPr>
        <w:spacing w:before="15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information is necessary to describe the proposed sector and the proposed rules under which the sector would operate. This information is used to determine whether this sector would maintain consistency with the goals and objectives of the FMP.</w:t>
      </w:r>
    </w:p>
    <w:p w:rsidR="006F1BDC" w14:paraId="0000002A" w14:textId="77777777">
      <w:pPr>
        <w:spacing w:before="159" w:after="0" w:line="240" w:lineRule="auto"/>
        <w:rPr>
          <w:rFonts w:ascii="Times New Roman" w:eastAsia="Times New Roman" w:hAnsi="Times New Roman" w:cs="Times New Roman"/>
          <w:sz w:val="24"/>
          <w:szCs w:val="24"/>
        </w:rPr>
      </w:pPr>
    </w:p>
    <w:p w:rsidR="006F1BDC" w:rsidP="00D045C7" w14:paraId="0000002B" w14:textId="77777777">
      <w:pPr>
        <w:numPr>
          <w:ilvl w:val="0"/>
          <w:numId w:val="1"/>
        </w:numPr>
        <w:pBdr>
          <w:top w:val="nil"/>
          <w:left w:val="nil"/>
          <w:bottom w:val="nil"/>
          <w:right w:val="nil"/>
          <w:between w:val="nil"/>
        </w:pBdr>
        <w:spacing w:before="197"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Indicate how, by whom, and for what purpose the information is to be used. Except for a new collection, indicate the actual use the agency has made of the information received from the current collection.</w:t>
      </w:r>
    </w:p>
    <w:p w:rsidR="006F1BDC" w14:paraId="0000002C" w14:textId="5676C831">
      <w:pPr>
        <w:spacing w:after="0" w:line="240" w:lineRule="auto"/>
        <w:rPr>
          <w:rFonts w:ascii="Times New Roman" w:eastAsia="Times New Roman" w:hAnsi="Times New Roman" w:cs="Times New Roman"/>
          <w:sz w:val="24"/>
          <w:szCs w:val="24"/>
        </w:rPr>
      </w:pPr>
      <w:bookmarkStart w:id="2" w:name="_heading=h.4cs9uw1add9u" w:colFirst="0" w:colLast="0"/>
      <w:bookmarkEnd w:id="2"/>
      <w:r>
        <w:rPr>
          <w:rFonts w:ascii="Times New Roman" w:eastAsia="Times New Roman" w:hAnsi="Times New Roman" w:cs="Times New Roman"/>
          <w:sz w:val="24"/>
          <w:szCs w:val="24"/>
        </w:rPr>
        <w:br/>
        <w:t xml:space="preserve">Several offices of NMFS, the U.S. Coast Guard (USCG), and the Fishery Management Councils utilize the information.  The number of responses for each requirement is provided in Question 12 and Table 1 in this document.  Data collected through these programs has been incorporated into the NMFS database and is used to track and confirm vessel permit status and eligibility, and IFQ status.  </w:t>
      </w:r>
      <w:sdt>
        <w:sdtPr>
          <w:tag w:val="goog_rdk_0"/>
          <w:id w:val="-1484381171"/>
          <w:richText/>
        </w:sdtPr>
        <w:sdtContent>
          <w:sdt>
            <w:sdtPr>
              <w:tag w:val="goog_rdk_1"/>
              <w:id w:val="1719162989"/>
              <w:richText/>
            </w:sdtPr>
            <w:sdtContent/>
          </w:sdt>
        </w:sdtContent>
      </w:sdt>
      <w:r>
        <w:rPr>
          <w:rFonts w:ascii="Times New Roman" w:eastAsia="Times New Roman" w:hAnsi="Times New Roman" w:cs="Times New Roman"/>
          <w:sz w:val="24"/>
          <w:szCs w:val="24"/>
        </w:rPr>
        <w:t xml:space="preserve">IFQ transfer requests are submitted regularly throughout the year. Sector applications and operations plans are submitted once per year.  Aggregated summaries of the collected information is used to evaluate the management program and future management proposals. </w:t>
      </w:r>
    </w:p>
    <w:p w:rsidR="006F1BDC" w14:paraId="0000002D" w14:textId="77777777">
      <w:pPr>
        <w:spacing w:after="0" w:line="240" w:lineRule="auto"/>
        <w:rPr>
          <w:rFonts w:ascii="Times New Roman" w:eastAsia="Times New Roman" w:hAnsi="Times New Roman" w:cs="Times New Roman"/>
          <w:sz w:val="24"/>
          <w:szCs w:val="24"/>
        </w:rPr>
      </w:pPr>
    </w:p>
    <w:p w:rsidR="006F1BDC" w14:paraId="0000002E" w14:textId="77777777">
      <w:pPr>
        <w:spacing w:after="0" w:line="240" w:lineRule="auto"/>
        <w:rPr>
          <w:rFonts w:ascii="Times New Roman" w:eastAsia="Times New Roman" w:hAnsi="Times New Roman" w:cs="Times New Roman"/>
          <w:sz w:val="24"/>
          <w:szCs w:val="24"/>
        </w:rPr>
      </w:pPr>
    </w:p>
    <w:p w:rsidR="006F1BDC" w:rsidRPr="00D045C7" w:rsidP="00D045C7" w14:paraId="0000002F" w14:textId="77777777">
      <w:pPr>
        <w:pStyle w:val="ListParagraph"/>
        <w:numPr>
          <w:ilvl w:val="0"/>
          <w:numId w:val="19"/>
        </w:numPr>
        <w:spacing w:before="199" w:after="0" w:line="240" w:lineRule="auto"/>
        <w:ind w:left="360"/>
        <w:rPr>
          <w:rFonts w:ascii="Times New Roman" w:eastAsia="Times New Roman" w:hAnsi="Times New Roman" w:cs="Times New Roman"/>
          <w:b/>
          <w:color w:val="000000"/>
          <w:sz w:val="24"/>
          <w:szCs w:val="24"/>
        </w:rPr>
      </w:pPr>
      <w:r w:rsidRPr="00D045C7">
        <w:rPr>
          <w:rFonts w:ascii="Times New Roman" w:eastAsia="Times New Roman" w:hAnsi="Times New Roman" w:cs="Times New Roman"/>
          <w:b/>
          <w:color w:val="000000"/>
          <w:sz w:val="24"/>
          <w:szCs w:val="24"/>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6F1BDC" w14:paraId="00000030" w14:textId="77777777">
      <w:pPr>
        <w:widowControl w:val="0"/>
        <w:spacing w:after="0" w:line="240" w:lineRule="auto"/>
        <w:rPr>
          <w:rFonts w:ascii="Times New Roman" w:eastAsia="Times New Roman" w:hAnsi="Times New Roman" w:cs="Times New Roman"/>
          <w:b/>
          <w:sz w:val="24"/>
          <w:szCs w:val="24"/>
        </w:rPr>
      </w:pPr>
    </w:p>
    <w:p w:rsidR="006F1BDC" w14:paraId="00000031" w14:textId="77777777">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IFQ Transfers</w:t>
      </w:r>
    </w:p>
    <w:p w:rsidR="006F1BDC" w14:paraId="00000032" w14:textId="77777777">
      <w:pPr>
        <w:widowControl w:val="0"/>
        <w:spacing w:after="0" w:line="240" w:lineRule="auto"/>
        <w:rPr>
          <w:rFonts w:ascii="Times New Roman" w:eastAsia="Times New Roman" w:hAnsi="Times New Roman" w:cs="Times New Roman"/>
          <w:sz w:val="24"/>
          <w:szCs w:val="24"/>
        </w:rPr>
      </w:pPr>
    </w:p>
    <w:p w:rsidR="006F1BDC" w14:paraId="00000033"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IFQ transfer applications would be available via the Greater Atlantic Region Fisheries Office’s (GARFO’s) website, www.greateratlantic.fisheries.noaa.gov.  Applications may be emailed to GARFO’s IFQ transfer email address.</w:t>
      </w:r>
    </w:p>
    <w:p w:rsidR="006F1BDC" w14:paraId="00000034" w14:textId="77777777">
      <w:pPr>
        <w:widowControl w:val="0"/>
        <w:spacing w:after="0" w:line="240" w:lineRule="auto"/>
        <w:rPr>
          <w:rFonts w:ascii="Times New Roman" w:eastAsia="Times New Roman" w:hAnsi="Times New Roman" w:cs="Times New Roman"/>
          <w:sz w:val="24"/>
          <w:szCs w:val="24"/>
        </w:rPr>
      </w:pPr>
    </w:p>
    <w:p w:rsidR="006F1BDC" w14:paraId="00000035" w14:textId="77777777">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Recovery</w:t>
      </w:r>
    </w:p>
    <w:p w:rsidR="006F1BDC" w14:paraId="00000036" w14:textId="77777777">
      <w:pPr>
        <w:widowControl w:val="0"/>
        <w:spacing w:after="0" w:line="240" w:lineRule="auto"/>
        <w:rPr>
          <w:rFonts w:ascii="Times New Roman" w:eastAsia="Times New Roman" w:hAnsi="Times New Roman" w:cs="Times New Roman"/>
          <w:sz w:val="24"/>
          <w:szCs w:val="24"/>
        </w:rPr>
      </w:pPr>
    </w:p>
    <w:p w:rsidR="006F1BDC" w14:paraId="00000037"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Vessel owners would submit payment via the secure internet site: www.pay.gov. </w:t>
      </w:r>
    </w:p>
    <w:p w:rsidR="006F1BDC" w14:paraId="00000038" w14:textId="77777777">
      <w:pPr>
        <w:widowControl w:val="0"/>
        <w:spacing w:after="0" w:line="240" w:lineRule="auto"/>
        <w:rPr>
          <w:rFonts w:ascii="Times New Roman" w:eastAsia="Times New Roman" w:hAnsi="Times New Roman" w:cs="Times New Roman"/>
          <w:sz w:val="24"/>
          <w:szCs w:val="24"/>
        </w:rPr>
      </w:pPr>
    </w:p>
    <w:p w:rsidR="006F1BDC" w14:paraId="00000039"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NMFS collects all other information from vessel owners and/or operators through completed forms and/or instructions. Forms may be sent by mail, or scanned and emailed.  </w:t>
      </w:r>
    </w:p>
    <w:p w:rsidR="006F1BDC" w14:paraId="0000003A" w14:textId="77777777">
      <w:pPr>
        <w:spacing w:before="161" w:after="0" w:line="240" w:lineRule="auto"/>
        <w:rPr>
          <w:rFonts w:ascii="Times New Roman" w:eastAsia="Times New Roman" w:hAnsi="Times New Roman" w:cs="Times New Roman"/>
          <w:sz w:val="24"/>
          <w:szCs w:val="24"/>
        </w:rPr>
      </w:pPr>
    </w:p>
    <w:p w:rsidR="006F1BDC" w:rsidP="00D045C7" w14:paraId="0000003B" w14:textId="77777777">
      <w:pPr>
        <w:numPr>
          <w:ilvl w:val="0"/>
          <w:numId w:val="16"/>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Describe efforts to identify duplication. Show specifically why any similar information already available cannot be used or modified for use for the purposes described in Question 2</w:t>
      </w:r>
    </w:p>
    <w:p w:rsidR="006F1BDC" w14:paraId="0000003C" w14:textId="77777777">
      <w:pPr>
        <w:rPr>
          <w:rFonts w:ascii="Times New Roman" w:eastAsia="Times New Roman" w:hAnsi="Times New Roman" w:cs="Times New Roman"/>
          <w:sz w:val="24"/>
          <w:szCs w:val="24"/>
        </w:rPr>
      </w:pPr>
    </w:p>
    <w:p w:rsidR="006F1BDC" w14:paraId="0000003D"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reporting requirements under 0648-0491 do not duplicate any other reporting requirements.</w:t>
      </w:r>
    </w:p>
    <w:p w:rsidR="006F1BDC" w14:paraId="0000003E" w14:textId="77777777">
      <w:pPr>
        <w:spacing w:before="80" w:after="0" w:line="240" w:lineRule="auto"/>
        <w:rPr>
          <w:rFonts w:ascii="Times New Roman" w:eastAsia="Times New Roman" w:hAnsi="Times New Roman" w:cs="Times New Roman"/>
          <w:b/>
          <w:color w:val="000000"/>
          <w:sz w:val="24"/>
          <w:szCs w:val="24"/>
        </w:rPr>
      </w:pPr>
    </w:p>
    <w:p w:rsidR="006F1BDC" w:rsidP="00D045C7" w14:paraId="0000003F" w14:textId="77777777">
      <w:pPr>
        <w:numPr>
          <w:ilvl w:val="0"/>
          <w:numId w:val="17"/>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the collection of information impacts small businesses or other small entities, describe any methods used to minimize burden.</w:t>
      </w:r>
    </w:p>
    <w:p w:rsidR="006F1BDC" w14:paraId="00000040" w14:textId="77777777">
      <w:pPr>
        <w:spacing w:before="16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collection of information would not have a significant impact on small entities.  Only the minimum data to meet the requirements of the above data needs are requested from all participants.  Furthermore, detailed instructions are included with all required applications and forms to help facilitate proper completion.  Since all of the respondents are small businesses, separate requirements based on the size of the business have not been developed.</w:t>
      </w:r>
    </w:p>
    <w:p w:rsidR="006F1BDC" w14:paraId="00000041" w14:textId="77777777">
      <w:pPr>
        <w:spacing w:before="160" w:after="0" w:line="240" w:lineRule="auto"/>
        <w:rPr>
          <w:rFonts w:ascii="Times New Roman" w:eastAsia="Times New Roman" w:hAnsi="Times New Roman" w:cs="Times New Roman"/>
          <w:sz w:val="24"/>
          <w:szCs w:val="24"/>
        </w:rPr>
      </w:pPr>
    </w:p>
    <w:p w:rsidR="006F1BDC" w:rsidP="00D045C7" w14:paraId="00000042" w14:textId="77777777">
      <w:pPr>
        <w:numPr>
          <w:ilvl w:val="0"/>
          <w:numId w:val="18"/>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Describe the consequence to Federal program or policy activities if the collection is not conducted or is conducted less frequently, as well as any technical or legal obstacles to reducing burden.</w:t>
      </w:r>
    </w:p>
    <w:p w:rsidR="006F1BDC" w14:paraId="00000043" w14:textId="77777777">
      <w:pPr>
        <w:widowControl w:val="0"/>
        <w:spacing w:after="0" w:line="240" w:lineRule="auto"/>
        <w:rPr>
          <w:rFonts w:ascii="Times New Roman" w:eastAsia="Times New Roman" w:hAnsi="Times New Roman" w:cs="Times New Roman"/>
          <w:sz w:val="24"/>
          <w:szCs w:val="24"/>
        </w:rPr>
      </w:pPr>
    </w:p>
    <w:p w:rsidR="006F1BDC" w14:paraId="00000044" w14:textId="6C16D54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Limited Access General Category (LAGC) permit provisions under 0648-0491 are necessary to ensure consistent permit application procedures and to promote effective management of the scallop fishery.  </w:t>
      </w:r>
      <w:sdt>
        <w:sdtPr>
          <w:tag w:val="goog_rdk_3"/>
          <w:id w:val="-1760664873"/>
          <w:richText/>
        </w:sdtPr>
        <w:sdtContent>
          <w:sdt>
            <w:sdtPr>
              <w:tag w:val="goog_rdk_4"/>
              <w:id w:val="-1001964099"/>
              <w:richText/>
            </w:sdtPr>
            <w:sdtContent/>
          </w:sdt>
        </w:sdtContent>
      </w:sdt>
    </w:p>
    <w:p w:rsidR="006F1BDC" w14:paraId="00000045" w14:textId="77777777">
      <w:pPr>
        <w:widowControl w:val="0"/>
        <w:spacing w:after="0" w:line="240" w:lineRule="auto"/>
        <w:rPr>
          <w:rFonts w:ascii="Times New Roman" w:eastAsia="Times New Roman" w:hAnsi="Times New Roman" w:cs="Times New Roman"/>
          <w:sz w:val="24"/>
          <w:szCs w:val="24"/>
        </w:rPr>
      </w:pPr>
    </w:p>
    <w:p w:rsidR="006F1BDC" w14:paraId="00000046"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IFQ transfer applications are needed to implement a transfer program.  Without these applications, industry would not be afforded the benefit of the transfer program. </w:t>
      </w:r>
    </w:p>
    <w:p w:rsidR="006F1BDC" w14:paraId="00000047" w14:textId="77777777">
      <w:pPr>
        <w:widowControl w:val="0"/>
        <w:spacing w:after="0" w:line="240" w:lineRule="auto"/>
        <w:rPr>
          <w:rFonts w:ascii="Times New Roman" w:eastAsia="Times New Roman" w:hAnsi="Times New Roman" w:cs="Times New Roman"/>
          <w:sz w:val="24"/>
          <w:szCs w:val="24"/>
        </w:rPr>
      </w:pPr>
    </w:p>
    <w:p w:rsidR="006F1BDC" w14:paraId="00000048"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recovery requirements are critical to administer the cost recovery program and collect payment from IFQ permit holders.  The minimum amount of information would be collected to effectively administer this program.</w:t>
      </w:r>
    </w:p>
    <w:p w:rsidR="006F1BDC" w14:paraId="00000049" w14:textId="77777777">
      <w:pPr>
        <w:widowControl w:val="0"/>
        <w:spacing w:after="0" w:line="240" w:lineRule="auto"/>
        <w:rPr>
          <w:rFonts w:ascii="Times New Roman" w:eastAsia="Times New Roman" w:hAnsi="Times New Roman" w:cs="Times New Roman"/>
          <w:sz w:val="24"/>
          <w:szCs w:val="24"/>
        </w:rPr>
      </w:pPr>
    </w:p>
    <w:p w:rsidR="006F1BDC" w14:paraId="0000004A"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Without sector application, analysis, and reporting requirements, NMFS could not successfully implement a sector program.</w:t>
      </w:r>
    </w:p>
    <w:p w:rsidR="006F1BDC" w14:paraId="0000004B" w14:textId="77777777">
      <w:pPr>
        <w:spacing w:before="80" w:after="0" w:line="240" w:lineRule="auto"/>
        <w:rPr>
          <w:rFonts w:ascii="Times New Roman" w:eastAsia="Times New Roman" w:hAnsi="Times New Roman" w:cs="Times New Roman"/>
          <w:b/>
          <w:color w:val="000000"/>
          <w:sz w:val="24"/>
          <w:szCs w:val="24"/>
        </w:rPr>
      </w:pPr>
    </w:p>
    <w:p w:rsidR="006F1BDC" w:rsidP="00D045C7" w14:paraId="0000004C" w14:textId="77777777">
      <w:pPr>
        <w:numPr>
          <w:ilvl w:val="0"/>
          <w:numId w:val="2"/>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Explain any special circumstances that would cause an information collection to be conducted in a manner inconsistent with OMB guidelines.</w:t>
      </w:r>
    </w:p>
    <w:p w:rsidR="006F1BDC" w14:paraId="0000004D" w14:textId="77777777">
      <w:pPr>
        <w:spacing w:before="80" w:after="0" w:line="240" w:lineRule="auto"/>
        <w:rPr>
          <w:rFonts w:ascii="Times New Roman" w:eastAsia="Times New Roman" w:hAnsi="Times New Roman" w:cs="Times New Roman"/>
          <w:color w:val="000000"/>
          <w:sz w:val="24"/>
          <w:szCs w:val="24"/>
        </w:rPr>
      </w:pPr>
    </w:p>
    <w:p w:rsidR="006F1BDC" w14:paraId="0000004E" w14:textId="77777777">
      <w:pPr>
        <w:spacing w:before="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collection will be conducted in a manner consistent with OMB guidelines, with one exception.  IFQ vessel owners may transfer quota, and limited access vessel owners may exchange access area trips more frequently then quarterly, but this collection is completely voluntary and to the benefit of the fishing industry.  A vessel owner may submit more than one transfer application quarterly.  </w:t>
      </w:r>
    </w:p>
    <w:p w:rsidR="006F1BDC" w14:paraId="0000004F" w14:textId="77777777">
      <w:pPr>
        <w:spacing w:before="80" w:after="0" w:line="240" w:lineRule="auto"/>
        <w:rPr>
          <w:rFonts w:ascii="Times New Roman" w:eastAsia="Times New Roman" w:hAnsi="Times New Roman" w:cs="Times New Roman"/>
          <w:sz w:val="24"/>
          <w:szCs w:val="24"/>
        </w:rPr>
      </w:pPr>
    </w:p>
    <w:p w:rsidR="006F1BDC" w:rsidP="00D045C7" w14:paraId="00000050" w14:textId="77777777">
      <w:pPr>
        <w:numPr>
          <w:ilvl w:val="0"/>
          <w:numId w:val="3"/>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r>
        <w:rPr>
          <w:rFonts w:ascii="Times New Roman" w:eastAsia="Times New Roman" w:hAnsi="Times New Roman" w:cs="Times New Roman"/>
          <w:sz w:val="24"/>
          <w:szCs w:val="24"/>
        </w:rPr>
        <w:br/>
      </w:r>
    </w:p>
    <w:p w:rsidR="006F1BDC" w14:paraId="00000051" w14:textId="77777777">
      <w:pPr>
        <w:spacing w:before="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u w:val="single"/>
        </w:rPr>
        <w:t>Federal Register</w:t>
      </w:r>
      <w:r>
        <w:rPr>
          <w:rFonts w:ascii="Times New Roman" w:eastAsia="Times New Roman" w:hAnsi="Times New Roman" w:cs="Times New Roman"/>
          <w:sz w:val="24"/>
          <w:szCs w:val="24"/>
        </w:rPr>
        <w:t xml:space="preserve"> Notice was published October 10, 2024, (89 FR 82227), soliciting public comment on this proposed extension.  NMFS received no comments during the 60-day comment collection period after publication in the Federal Register. </w:t>
      </w:r>
    </w:p>
    <w:p w:rsidR="006F1BDC" w14:paraId="00000052" w14:textId="77777777">
      <w:pPr>
        <w:spacing w:after="0" w:line="240" w:lineRule="auto"/>
        <w:rPr>
          <w:rFonts w:ascii="Times New Roman" w:eastAsia="Times New Roman" w:hAnsi="Times New Roman" w:cs="Times New Roman"/>
          <w:sz w:val="24"/>
          <w:szCs w:val="24"/>
          <w:highlight w:val="yellow"/>
        </w:rPr>
      </w:pPr>
    </w:p>
    <w:p w:rsidR="006F1BDC" w14:paraId="00000053"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NMFS announced at the December 3-5, 2024, New England Fishery Management Council meeting that this set of collection requirements was up for extension and solicited comments.  The same information that was presented by the Greater Atlantic Regional Administrator was also available in physical form as a handout included with the meeting materials at both Council meetings.  A wide range of stakeholders attend these meetings, including the general public, scallop fishermen and fishermen in other fisheries, mem</w:t>
      </w:r>
      <w:r>
        <w:rPr>
          <w:rFonts w:ascii="Times New Roman" w:eastAsia="Times New Roman" w:hAnsi="Times New Roman" w:cs="Times New Roman"/>
          <w:sz w:val="24"/>
          <w:szCs w:val="24"/>
        </w:rPr>
        <w:t xml:space="preserve">bers of environmental organizations, and academia.  NMFS received no comments during the New England Fishery Management Council meeting.  </w:t>
      </w:r>
    </w:p>
    <w:p w:rsidR="006F1BDC" w14:paraId="00000054" w14:textId="77777777">
      <w:pPr>
        <w:spacing w:after="0" w:line="240" w:lineRule="auto"/>
        <w:rPr>
          <w:rFonts w:ascii="Times New Roman" w:eastAsia="Times New Roman" w:hAnsi="Times New Roman" w:cs="Times New Roman"/>
          <w:sz w:val="24"/>
          <w:szCs w:val="24"/>
        </w:rPr>
      </w:pPr>
    </w:p>
    <w:p w:rsidR="006F1BDC" w14:paraId="00000055" w14:textId="77777777">
      <w:pPr>
        <w:spacing w:before="16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NOAA consulted stakeholders in attendance and via webinar at both a Mid-Atlantic and New England Fishery Management Council meeting announcing this renewal and to obtain their views on the availability of data, frequency of collection, the clarity of instructions and recordkeeping, disclosure, or reporting format (if any), and on the data elements to be recorded, disclosed, or reported.  NOAA did not receive any comments. </w:t>
      </w:r>
    </w:p>
    <w:p w:rsidR="006F1BDC" w14:paraId="00000056" w14:textId="77777777">
      <w:pPr>
        <w:spacing w:after="0" w:line="240" w:lineRule="auto"/>
        <w:rPr>
          <w:rFonts w:ascii="Times New Roman" w:eastAsia="Times New Roman" w:hAnsi="Times New Roman" w:cs="Times New Roman"/>
          <w:sz w:val="24"/>
          <w:szCs w:val="24"/>
        </w:rPr>
      </w:pPr>
    </w:p>
    <w:p w:rsidR="006F1BDC" w14:paraId="00000057" w14:textId="77777777">
      <w:pPr>
        <w:spacing w:after="0" w:line="240" w:lineRule="auto"/>
        <w:rPr>
          <w:rFonts w:ascii="Times New Roman" w:eastAsia="Times New Roman" w:hAnsi="Times New Roman" w:cs="Times New Roman"/>
          <w:sz w:val="24"/>
          <w:szCs w:val="24"/>
        </w:rPr>
      </w:pPr>
    </w:p>
    <w:p w:rsidR="006F1BDC" w:rsidP="00D045C7" w14:paraId="00000058" w14:textId="77777777">
      <w:pPr>
        <w:numPr>
          <w:ilvl w:val="0"/>
          <w:numId w:val="4"/>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Explain any decision to provide any payment or gift to respondents, other than remuneration of contractors or grantees.</w:t>
      </w:r>
    </w:p>
    <w:p w:rsidR="006F1BDC" w14:paraId="00000059" w14:textId="77777777">
      <w:pPr>
        <w:spacing w:before="80" w:after="0" w:line="240" w:lineRule="auto"/>
        <w:ind w:left="360"/>
        <w:rPr>
          <w:rFonts w:ascii="Times New Roman" w:eastAsia="Times New Roman" w:hAnsi="Times New Roman" w:cs="Times New Roman"/>
          <w:b/>
          <w:color w:val="000000"/>
          <w:sz w:val="24"/>
          <w:szCs w:val="24"/>
        </w:rPr>
      </w:pPr>
    </w:p>
    <w:p w:rsidR="006F1BDC" w14:paraId="0000005A"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payment or gift would be made to respondents.  </w:t>
      </w:r>
    </w:p>
    <w:p w:rsidR="006F1BDC" w14:paraId="0000005B" w14:textId="77777777">
      <w:pPr>
        <w:spacing w:before="80" w:after="0" w:line="240" w:lineRule="auto"/>
        <w:ind w:left="360"/>
        <w:rPr>
          <w:rFonts w:ascii="Times New Roman" w:eastAsia="Times New Roman" w:hAnsi="Times New Roman" w:cs="Times New Roman"/>
          <w:b/>
          <w:color w:val="000000"/>
          <w:sz w:val="24"/>
          <w:szCs w:val="24"/>
        </w:rPr>
      </w:pPr>
    </w:p>
    <w:p w:rsidR="006F1BDC" w:rsidP="00D045C7" w14:paraId="0000005C" w14:textId="77777777">
      <w:pPr>
        <w:numPr>
          <w:ilvl w:val="0"/>
          <w:numId w:val="5"/>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Describe any assurance of confidentiality provided to respondents and the basis for the assurance in statute, regulation, or agency policy. If the collection requires a systems of records notice (SORN) or privacy impact assessment (PIA), those should be cited and described here.</w:t>
      </w:r>
    </w:p>
    <w:p w:rsidR="006F1BDC" w14:paraId="0000005D" w14:textId="77777777">
      <w:pPr>
        <w:widowControl w:val="0"/>
        <w:spacing w:after="0" w:line="240" w:lineRule="auto"/>
        <w:rPr>
          <w:rFonts w:ascii="Times New Roman" w:eastAsia="Times New Roman" w:hAnsi="Times New Roman" w:cs="Times New Roman"/>
          <w:sz w:val="24"/>
          <w:szCs w:val="24"/>
        </w:rPr>
      </w:pPr>
    </w:p>
    <w:p w:rsidR="006F1BDC" w14:paraId="0000005E"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collection of information collects personally identifiable information (PII) in accordance with System of Record Notice (SORN) </w:t>
      </w:r>
      <w:hyperlink r:id="rId8">
        <w:r>
          <w:rPr>
            <w:rFonts w:ascii="Times New Roman" w:eastAsia="Times New Roman" w:hAnsi="Times New Roman" w:cs="Times New Roman"/>
            <w:color w:val="0000FF"/>
            <w:sz w:val="24"/>
            <w:szCs w:val="24"/>
            <w:u w:val="single"/>
          </w:rPr>
          <w:t>NOAA-19</w:t>
        </w:r>
      </w:hyperlink>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Permits and Registrations for United States Federal Regulated Fisheries.  A description of the information collected and applicable security and privacy controls is captured in the Privacy Impact Assessment for </w:t>
      </w:r>
      <w:hyperlink r:id="rId9">
        <w:r>
          <w:rPr>
            <w:rFonts w:ascii="Times New Roman" w:eastAsia="Times New Roman" w:hAnsi="Times New Roman" w:cs="Times New Roman"/>
            <w:color w:val="0000FF"/>
            <w:sz w:val="24"/>
            <w:szCs w:val="24"/>
            <w:u w:val="single"/>
          </w:rPr>
          <w:t>NOAA4100</w:t>
        </w:r>
      </w:hyperlink>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w:t>
      </w:r>
    </w:p>
    <w:p w:rsidR="006F1BDC" w14:paraId="0000005F" w14:textId="77777777">
      <w:pPr>
        <w:widowControl w:val="0"/>
        <w:spacing w:after="0" w:line="240" w:lineRule="auto"/>
        <w:rPr>
          <w:rFonts w:ascii="Times New Roman" w:eastAsia="Times New Roman" w:hAnsi="Times New Roman" w:cs="Times New Roman"/>
          <w:sz w:val="24"/>
          <w:szCs w:val="24"/>
        </w:rPr>
      </w:pPr>
    </w:p>
    <w:p w:rsidR="006F1BDC" w14:paraId="00000060"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stated on the forms, all data is kept confidential as required by Section 402(b) of the Magnuson-Stevens Act, and maintained in accordance with </w:t>
      </w:r>
      <w:hyperlink r:id="rId10">
        <w:r>
          <w:rPr>
            <w:rFonts w:ascii="Times New Roman" w:eastAsia="Times New Roman" w:hAnsi="Times New Roman" w:cs="Times New Roman"/>
            <w:color w:val="0000FF"/>
            <w:sz w:val="24"/>
            <w:szCs w:val="24"/>
            <w:u w:val="single"/>
          </w:rPr>
          <w:t>NOAA Administrative Order 216-100</w:t>
        </w:r>
      </w:hyperlink>
      <w:r>
        <w:rPr>
          <w:rFonts w:ascii="Times New Roman" w:eastAsia="Times New Roman" w:hAnsi="Times New Roman" w:cs="Times New Roman"/>
          <w:sz w:val="24"/>
          <w:szCs w:val="24"/>
        </w:rPr>
        <w:t>, Confidentiality of Fisheries Statistics, and is not be transferred for public use except in aggregate statistical form (and without identifying the source of data, i.e., vessel name, owner, etc.)</w:t>
      </w:r>
    </w:p>
    <w:p w:rsidR="006F1BDC" w14:paraId="00000061" w14:textId="77777777">
      <w:pPr>
        <w:spacing w:before="158" w:after="0" w:line="240" w:lineRule="auto"/>
        <w:rPr>
          <w:rFonts w:ascii="Times New Roman" w:eastAsia="Times New Roman" w:hAnsi="Times New Roman" w:cs="Times New Roman"/>
          <w:sz w:val="24"/>
          <w:szCs w:val="24"/>
        </w:rPr>
      </w:pPr>
    </w:p>
    <w:p w:rsidR="006F1BDC" w:rsidP="00D045C7" w14:paraId="00000062" w14:textId="77777777">
      <w:pPr>
        <w:numPr>
          <w:ilvl w:val="0"/>
          <w:numId w:val="6"/>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6F1BDC" w14:paraId="00000063" w14:textId="77777777">
      <w:pPr>
        <w:spacing w:after="0" w:line="240" w:lineRule="auto"/>
        <w:rPr>
          <w:rFonts w:ascii="Times New Roman" w:eastAsia="Times New Roman" w:hAnsi="Times New Roman" w:cs="Times New Roman"/>
          <w:sz w:val="24"/>
          <w:szCs w:val="24"/>
        </w:rPr>
      </w:pPr>
    </w:p>
    <w:p w:rsidR="006F1BDC" w14:paraId="00000064"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no questions of a sensitive nature.</w:t>
      </w:r>
    </w:p>
    <w:p w:rsidR="00F365D2" w14:paraId="77F6E58A" w14:textId="77777777">
      <w:pPr>
        <w:spacing w:after="0" w:line="240" w:lineRule="auto"/>
        <w:rPr>
          <w:rFonts w:ascii="Times New Roman" w:eastAsia="Times New Roman" w:hAnsi="Times New Roman" w:cs="Times New Roman"/>
          <w:sz w:val="24"/>
          <w:szCs w:val="24"/>
        </w:rPr>
        <w:sectPr>
          <w:pgSz w:w="12240" w:h="15840"/>
          <w:pgMar w:top="1440" w:right="1440" w:bottom="1440" w:left="1440" w:header="720" w:footer="720" w:gutter="0"/>
          <w:pgNumType w:start="1"/>
          <w:cols w:space="720"/>
        </w:sectPr>
      </w:pPr>
    </w:p>
    <w:p w:rsidR="006F1BDC" w:rsidP="00F365D2" w14:paraId="00000066" w14:textId="77777777">
      <w:pPr>
        <w:numPr>
          <w:ilvl w:val="0"/>
          <w:numId w:val="7"/>
        </w:numPr>
        <w:spacing w:before="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Provide estimates of the hour burden of the collection of information.</w:t>
      </w:r>
    </w:p>
    <w:p w:rsidR="006F1BDC" w14:paraId="00000067" w14:textId="38A65E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sdt>
        <w:sdtPr>
          <w:tag w:val="goog_rdk_5"/>
          <w:id w:val="195820194"/>
          <w:richText/>
        </w:sdtPr>
        <w:sdtContent>
          <w:sdt>
            <w:sdtPr>
              <w:tag w:val="goog_rdk_6"/>
              <w:id w:val="1169987147"/>
              <w:richText/>
            </w:sdtPr>
            <w:sdtContent/>
          </w:sdt>
        </w:sdtContent>
      </w:sdt>
      <w:r>
        <w:rPr>
          <w:rFonts w:ascii="Times New Roman" w:eastAsia="Times New Roman" w:hAnsi="Times New Roman" w:cs="Times New Roman"/>
          <w:sz w:val="24"/>
          <w:szCs w:val="24"/>
        </w:rPr>
        <w:t>LAGC incidental catch vessels will operate only under other fisheries that have reporting requirements under those other fishery FMPs.  Table 1 summarizes the time burden of these reporting requirements.  This analysis uses the most recent data from the Bureau of Labor Statistics to calculate estimates for hourly wages of respondent types for each information collection named below. Occupational Code: 53-5021 Captains, Mates, and Pilots of Water Vessels</w:t>
      </w:r>
      <w:r w:rsidR="00F365D2">
        <w:rPr>
          <w:rFonts w:ascii="Times New Roman" w:eastAsia="Times New Roman" w:hAnsi="Times New Roman" w:cs="Times New Roman"/>
          <w:sz w:val="24"/>
          <w:szCs w:val="24"/>
        </w:rPr>
        <w:t>.</w:t>
      </w:r>
    </w:p>
    <w:tbl>
      <w:tblPr>
        <w:tblStyle w:val="a"/>
        <w:tblW w:w="10884" w:type="dxa"/>
        <w:tblLayout w:type="fixed"/>
        <w:tblLook w:val="0400"/>
      </w:tblPr>
      <w:tblGrid>
        <w:gridCol w:w="2668"/>
        <w:gridCol w:w="1115"/>
        <w:gridCol w:w="1080"/>
        <w:gridCol w:w="1016"/>
        <w:gridCol w:w="917"/>
        <w:gridCol w:w="966"/>
        <w:gridCol w:w="818"/>
        <w:gridCol w:w="1115"/>
        <w:gridCol w:w="1189"/>
      </w:tblGrid>
      <w:tr w14:paraId="648E0A39" w14:textId="77777777" w:rsidTr="00F365D2">
        <w:tblPrEx>
          <w:tblW w:w="10884" w:type="dxa"/>
          <w:tblLayout w:type="fixed"/>
          <w:tblLook w:val="0400"/>
        </w:tblPrEx>
        <w:trPr>
          <w:trHeight w:val="966"/>
        </w:trPr>
        <w:tc>
          <w:tcPr>
            <w:tcW w:w="2668" w:type="dxa"/>
            <w:tcBorders>
              <w:top w:val="single" w:sz="8" w:space="0" w:color="000000"/>
              <w:left w:val="single" w:sz="8" w:space="0" w:color="000000"/>
              <w:bottom w:val="nil"/>
              <w:right w:val="single" w:sz="8" w:space="0" w:color="000000"/>
            </w:tcBorders>
            <w:shd w:val="clear" w:color="auto" w:fill="BDD7EE"/>
            <w:vAlign w:val="center"/>
          </w:tcPr>
          <w:p w:rsidR="006F1BDC" w:rsidP="00F365D2" w14:paraId="00000068" w14:textId="77777777">
            <w:pPr>
              <w:jc w:val="center"/>
              <w:rPr>
                <w:b/>
                <w:color w:val="000000"/>
                <w:sz w:val="16"/>
                <w:szCs w:val="16"/>
              </w:rPr>
            </w:pPr>
            <w:r>
              <w:rPr>
                <w:b/>
                <w:color w:val="000000"/>
                <w:sz w:val="16"/>
                <w:szCs w:val="16"/>
              </w:rPr>
              <w:t>Information Collection</w:t>
            </w:r>
          </w:p>
        </w:tc>
        <w:tc>
          <w:tcPr>
            <w:tcW w:w="1115" w:type="dxa"/>
            <w:tcBorders>
              <w:top w:val="single" w:sz="8" w:space="0" w:color="000000"/>
              <w:left w:val="nil"/>
              <w:bottom w:val="nil"/>
              <w:right w:val="single" w:sz="8" w:space="0" w:color="000000"/>
            </w:tcBorders>
            <w:shd w:val="clear" w:color="auto" w:fill="BDD7EE"/>
            <w:vAlign w:val="center"/>
          </w:tcPr>
          <w:p w:rsidR="006F1BDC" w:rsidP="00F365D2" w14:paraId="00000069" w14:textId="77777777">
            <w:pPr>
              <w:jc w:val="center"/>
              <w:rPr>
                <w:b/>
                <w:color w:val="000000"/>
                <w:sz w:val="16"/>
                <w:szCs w:val="16"/>
              </w:rPr>
            </w:pPr>
            <w:r>
              <w:rPr>
                <w:b/>
                <w:color w:val="000000"/>
                <w:sz w:val="16"/>
                <w:szCs w:val="16"/>
              </w:rPr>
              <w:t>Type of Respondent (e.g., Profession)</w:t>
            </w:r>
          </w:p>
        </w:tc>
        <w:tc>
          <w:tcPr>
            <w:tcW w:w="1080" w:type="dxa"/>
            <w:tcBorders>
              <w:top w:val="single" w:sz="8" w:space="0" w:color="000000"/>
              <w:left w:val="nil"/>
              <w:bottom w:val="nil"/>
              <w:right w:val="single" w:sz="8" w:space="0" w:color="000000"/>
            </w:tcBorders>
            <w:shd w:val="clear" w:color="auto" w:fill="BDD7EE"/>
            <w:vAlign w:val="center"/>
          </w:tcPr>
          <w:p w:rsidR="006F1BDC" w:rsidP="00F365D2" w14:paraId="0000006A" w14:textId="77777777">
            <w:pPr>
              <w:jc w:val="center"/>
              <w:rPr>
                <w:b/>
                <w:color w:val="000000"/>
                <w:sz w:val="16"/>
                <w:szCs w:val="16"/>
              </w:rPr>
            </w:pPr>
            <w:r>
              <w:rPr>
                <w:b/>
                <w:color w:val="000000"/>
                <w:sz w:val="16"/>
                <w:szCs w:val="16"/>
              </w:rPr>
              <w:t># of Respondents</w:t>
            </w:r>
          </w:p>
        </w:tc>
        <w:tc>
          <w:tcPr>
            <w:tcW w:w="1016" w:type="dxa"/>
            <w:tcBorders>
              <w:top w:val="single" w:sz="8" w:space="0" w:color="000000"/>
              <w:left w:val="nil"/>
              <w:bottom w:val="nil"/>
              <w:right w:val="single" w:sz="8" w:space="0" w:color="000000"/>
            </w:tcBorders>
            <w:shd w:val="clear" w:color="auto" w:fill="BDD7EE"/>
            <w:vAlign w:val="center"/>
          </w:tcPr>
          <w:p w:rsidR="006F1BDC" w:rsidP="00F365D2" w14:paraId="0000006B" w14:textId="77777777">
            <w:pPr>
              <w:jc w:val="center"/>
              <w:rPr>
                <w:b/>
                <w:color w:val="000000"/>
                <w:sz w:val="16"/>
                <w:szCs w:val="16"/>
              </w:rPr>
            </w:pPr>
            <w:r>
              <w:rPr>
                <w:b/>
                <w:color w:val="000000"/>
                <w:sz w:val="16"/>
                <w:szCs w:val="16"/>
              </w:rPr>
              <w:t>Annual # of Responses / Respondent</w:t>
            </w:r>
          </w:p>
        </w:tc>
        <w:tc>
          <w:tcPr>
            <w:tcW w:w="917" w:type="dxa"/>
            <w:tcBorders>
              <w:top w:val="single" w:sz="8" w:space="0" w:color="000000"/>
              <w:left w:val="nil"/>
              <w:bottom w:val="nil"/>
              <w:right w:val="single" w:sz="8" w:space="0" w:color="000000"/>
            </w:tcBorders>
            <w:shd w:val="clear" w:color="auto" w:fill="BDD7EE"/>
            <w:vAlign w:val="center"/>
          </w:tcPr>
          <w:p w:rsidR="006F1BDC" w:rsidP="00F365D2" w14:paraId="0000006C" w14:textId="77777777">
            <w:pPr>
              <w:jc w:val="center"/>
              <w:rPr>
                <w:b/>
                <w:color w:val="000000"/>
                <w:sz w:val="16"/>
                <w:szCs w:val="16"/>
              </w:rPr>
            </w:pPr>
            <w:r>
              <w:rPr>
                <w:b/>
                <w:color w:val="000000"/>
                <w:sz w:val="16"/>
                <w:szCs w:val="16"/>
              </w:rPr>
              <w:t xml:space="preserve"> Total # of Annual Responses</w:t>
            </w:r>
          </w:p>
        </w:tc>
        <w:tc>
          <w:tcPr>
            <w:tcW w:w="966" w:type="dxa"/>
            <w:tcBorders>
              <w:top w:val="single" w:sz="8" w:space="0" w:color="000000"/>
              <w:left w:val="nil"/>
              <w:bottom w:val="nil"/>
              <w:right w:val="single" w:sz="8" w:space="0" w:color="000000"/>
            </w:tcBorders>
            <w:shd w:val="clear" w:color="auto" w:fill="BDD7EE"/>
            <w:vAlign w:val="center"/>
          </w:tcPr>
          <w:p w:rsidR="006F1BDC" w:rsidP="00F365D2" w14:paraId="0000006D" w14:textId="77777777">
            <w:pPr>
              <w:jc w:val="center"/>
              <w:rPr>
                <w:b/>
                <w:color w:val="000000"/>
                <w:sz w:val="16"/>
                <w:szCs w:val="16"/>
              </w:rPr>
            </w:pPr>
            <w:r>
              <w:rPr>
                <w:b/>
                <w:color w:val="000000"/>
                <w:sz w:val="16"/>
                <w:szCs w:val="16"/>
              </w:rPr>
              <w:t>Burden Hrs / Response</w:t>
            </w:r>
          </w:p>
        </w:tc>
        <w:tc>
          <w:tcPr>
            <w:tcW w:w="818" w:type="dxa"/>
            <w:tcBorders>
              <w:top w:val="single" w:sz="8" w:space="0" w:color="000000"/>
              <w:left w:val="nil"/>
              <w:bottom w:val="nil"/>
              <w:right w:val="single" w:sz="8" w:space="0" w:color="000000"/>
            </w:tcBorders>
            <w:shd w:val="clear" w:color="auto" w:fill="BDD7EE"/>
            <w:vAlign w:val="center"/>
          </w:tcPr>
          <w:p w:rsidR="006F1BDC" w:rsidP="00F365D2" w14:paraId="0000006E" w14:textId="77777777">
            <w:pPr>
              <w:jc w:val="center"/>
              <w:rPr>
                <w:b/>
                <w:color w:val="000000"/>
                <w:sz w:val="16"/>
                <w:szCs w:val="16"/>
              </w:rPr>
            </w:pPr>
            <w:r>
              <w:rPr>
                <w:b/>
                <w:color w:val="000000"/>
                <w:sz w:val="16"/>
                <w:szCs w:val="16"/>
              </w:rPr>
              <w:t>Total Annual Burden Hrs</w:t>
            </w:r>
          </w:p>
        </w:tc>
        <w:tc>
          <w:tcPr>
            <w:tcW w:w="1115" w:type="dxa"/>
            <w:tcBorders>
              <w:top w:val="single" w:sz="8" w:space="0" w:color="000000"/>
              <w:left w:val="nil"/>
              <w:bottom w:val="nil"/>
              <w:right w:val="single" w:sz="8" w:space="0" w:color="000000"/>
            </w:tcBorders>
            <w:shd w:val="clear" w:color="auto" w:fill="BDD7EE"/>
            <w:vAlign w:val="center"/>
          </w:tcPr>
          <w:p w:rsidR="006F1BDC" w:rsidP="00F365D2" w14:paraId="0000006F" w14:textId="77777777">
            <w:pPr>
              <w:jc w:val="center"/>
              <w:rPr>
                <w:b/>
                <w:color w:val="000000"/>
                <w:sz w:val="16"/>
                <w:szCs w:val="16"/>
              </w:rPr>
            </w:pPr>
            <w:r>
              <w:rPr>
                <w:b/>
                <w:color w:val="000000"/>
                <w:sz w:val="16"/>
                <w:szCs w:val="16"/>
              </w:rPr>
              <w:t>Hourly Wage Rate  (for Type of Respondent)</w:t>
            </w:r>
          </w:p>
        </w:tc>
        <w:tc>
          <w:tcPr>
            <w:tcW w:w="1189" w:type="dxa"/>
            <w:tcBorders>
              <w:top w:val="single" w:sz="8" w:space="0" w:color="000000"/>
              <w:left w:val="nil"/>
              <w:bottom w:val="nil"/>
              <w:right w:val="single" w:sz="8" w:space="0" w:color="000000"/>
            </w:tcBorders>
            <w:shd w:val="clear" w:color="auto" w:fill="BDD7EE"/>
            <w:vAlign w:val="center"/>
          </w:tcPr>
          <w:p w:rsidR="006F1BDC" w:rsidP="00F365D2" w14:paraId="00000070" w14:textId="77777777">
            <w:pPr>
              <w:jc w:val="center"/>
              <w:rPr>
                <w:b/>
                <w:color w:val="000000"/>
                <w:sz w:val="16"/>
                <w:szCs w:val="16"/>
              </w:rPr>
            </w:pPr>
            <w:r>
              <w:rPr>
                <w:b/>
                <w:color w:val="000000"/>
                <w:sz w:val="16"/>
                <w:szCs w:val="16"/>
              </w:rPr>
              <w:t>Total Annual Wage Burden Costs</w:t>
            </w:r>
          </w:p>
        </w:tc>
      </w:tr>
      <w:tr w14:paraId="382B233F" w14:textId="77777777" w:rsidTr="00F365D2">
        <w:tblPrEx>
          <w:tblW w:w="10884" w:type="dxa"/>
          <w:tblLayout w:type="fixed"/>
          <w:tblLook w:val="0400"/>
        </w:tblPrEx>
        <w:trPr>
          <w:trHeight w:val="257"/>
        </w:trPr>
        <w:tc>
          <w:tcPr>
            <w:tcW w:w="2668" w:type="dxa"/>
            <w:tcBorders>
              <w:top w:val="nil"/>
              <w:left w:val="single" w:sz="8" w:space="0" w:color="000000"/>
              <w:bottom w:val="single" w:sz="4" w:space="0" w:color="000000"/>
              <w:right w:val="single" w:sz="4" w:space="0" w:color="000000"/>
            </w:tcBorders>
            <w:shd w:val="clear" w:color="auto" w:fill="FFFFFF"/>
            <w:vAlign w:val="bottom"/>
          </w:tcPr>
          <w:p w:rsidR="006F1BDC" w:rsidP="00F365D2" w14:paraId="00000071" w14:textId="77777777">
            <w:pPr>
              <w:rPr>
                <w:color w:val="000000"/>
                <w:sz w:val="16"/>
                <w:szCs w:val="16"/>
              </w:rPr>
            </w:pPr>
            <w:r>
              <w:rPr>
                <w:color w:val="000000"/>
                <w:sz w:val="16"/>
                <w:szCs w:val="16"/>
              </w:rPr>
              <w:t>Trip Exchange Request</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72" w14:textId="77777777">
            <w:pPr>
              <w:rPr>
                <w:color w:val="000000"/>
                <w:sz w:val="16"/>
                <w:szCs w:val="16"/>
              </w:rPr>
            </w:pPr>
            <w:r>
              <w:rPr>
                <w:color w:val="000000"/>
                <w:sz w:val="16"/>
                <w:szCs w:val="16"/>
              </w:rPr>
              <w:t> Captain</w:t>
            </w:r>
          </w:p>
        </w:tc>
        <w:tc>
          <w:tcPr>
            <w:tcW w:w="1080" w:type="dxa"/>
            <w:tcBorders>
              <w:top w:val="nil"/>
              <w:left w:val="nil"/>
              <w:bottom w:val="single" w:sz="4" w:space="0" w:color="000000"/>
              <w:right w:val="single" w:sz="4" w:space="0" w:color="000000"/>
            </w:tcBorders>
            <w:shd w:val="clear" w:color="auto" w:fill="FFFFFF"/>
            <w:vAlign w:val="bottom"/>
          </w:tcPr>
          <w:p w:rsidR="006F1BDC" w:rsidP="00F365D2" w14:paraId="00000073" w14:textId="77777777">
            <w:pPr>
              <w:jc w:val="right"/>
              <w:rPr>
                <w:color w:val="000000"/>
                <w:sz w:val="16"/>
                <w:szCs w:val="16"/>
              </w:rPr>
            </w:pPr>
            <w:r>
              <w:rPr>
                <w:color w:val="000000"/>
                <w:sz w:val="16"/>
                <w:szCs w:val="16"/>
              </w:rPr>
              <w:t>180</w:t>
            </w:r>
          </w:p>
        </w:tc>
        <w:tc>
          <w:tcPr>
            <w:tcW w:w="1016" w:type="dxa"/>
            <w:tcBorders>
              <w:top w:val="nil"/>
              <w:left w:val="nil"/>
              <w:bottom w:val="single" w:sz="4" w:space="0" w:color="000000"/>
              <w:right w:val="single" w:sz="4" w:space="0" w:color="000000"/>
            </w:tcBorders>
            <w:shd w:val="clear" w:color="auto" w:fill="FFFFFF"/>
            <w:vAlign w:val="bottom"/>
          </w:tcPr>
          <w:p w:rsidR="006F1BDC" w:rsidP="00F365D2" w14:paraId="00000074" w14:textId="77777777">
            <w:pPr>
              <w:jc w:val="right"/>
              <w:rPr>
                <w:color w:val="000000"/>
                <w:sz w:val="16"/>
                <w:szCs w:val="16"/>
              </w:rPr>
            </w:pPr>
            <w:r>
              <w:rPr>
                <w:color w:val="000000"/>
                <w:sz w:val="16"/>
                <w:szCs w:val="16"/>
              </w:rPr>
              <w:t>1</w:t>
            </w:r>
          </w:p>
        </w:tc>
        <w:tc>
          <w:tcPr>
            <w:tcW w:w="917" w:type="dxa"/>
            <w:tcBorders>
              <w:top w:val="nil"/>
              <w:left w:val="nil"/>
              <w:bottom w:val="single" w:sz="4" w:space="0" w:color="000000"/>
              <w:right w:val="single" w:sz="4" w:space="0" w:color="000000"/>
            </w:tcBorders>
            <w:shd w:val="clear" w:color="auto" w:fill="FFFFFF"/>
            <w:vAlign w:val="bottom"/>
          </w:tcPr>
          <w:p w:rsidR="006F1BDC" w:rsidP="00F365D2" w14:paraId="00000075" w14:textId="77777777">
            <w:pPr>
              <w:jc w:val="right"/>
              <w:rPr>
                <w:color w:val="000000"/>
                <w:sz w:val="16"/>
                <w:szCs w:val="16"/>
              </w:rPr>
            </w:pPr>
            <w:r>
              <w:rPr>
                <w:color w:val="000000"/>
                <w:sz w:val="16"/>
                <w:szCs w:val="16"/>
              </w:rPr>
              <w:t xml:space="preserve">  180 </w:t>
            </w:r>
          </w:p>
        </w:tc>
        <w:tc>
          <w:tcPr>
            <w:tcW w:w="966" w:type="dxa"/>
            <w:tcBorders>
              <w:top w:val="nil"/>
              <w:left w:val="nil"/>
              <w:bottom w:val="single" w:sz="4" w:space="0" w:color="000000"/>
              <w:right w:val="single" w:sz="4" w:space="0" w:color="000000"/>
            </w:tcBorders>
            <w:shd w:val="clear" w:color="auto" w:fill="FFFFFF"/>
            <w:vAlign w:val="bottom"/>
          </w:tcPr>
          <w:p w:rsidR="006F1BDC" w:rsidP="00F365D2" w14:paraId="00000076" w14:textId="77777777">
            <w:pPr>
              <w:jc w:val="right"/>
              <w:rPr>
                <w:color w:val="000000"/>
                <w:sz w:val="16"/>
                <w:szCs w:val="16"/>
              </w:rPr>
            </w:pPr>
            <w:r>
              <w:rPr>
                <w:color w:val="000000"/>
                <w:sz w:val="16"/>
                <w:szCs w:val="16"/>
              </w:rPr>
              <w:t>15 min</w:t>
            </w:r>
          </w:p>
        </w:tc>
        <w:tc>
          <w:tcPr>
            <w:tcW w:w="818" w:type="dxa"/>
            <w:tcBorders>
              <w:top w:val="nil"/>
              <w:left w:val="nil"/>
              <w:bottom w:val="single" w:sz="4" w:space="0" w:color="000000"/>
              <w:right w:val="single" w:sz="4" w:space="0" w:color="000000"/>
            </w:tcBorders>
            <w:shd w:val="clear" w:color="auto" w:fill="FFFFFF"/>
            <w:vAlign w:val="bottom"/>
          </w:tcPr>
          <w:p w:rsidR="006F1BDC" w:rsidP="00F365D2" w14:paraId="00000077" w14:textId="77777777">
            <w:pPr>
              <w:jc w:val="right"/>
              <w:rPr>
                <w:color w:val="000000"/>
                <w:sz w:val="16"/>
                <w:szCs w:val="16"/>
              </w:rPr>
            </w:pPr>
            <w:r>
              <w:rPr>
                <w:color w:val="000000"/>
                <w:sz w:val="16"/>
                <w:szCs w:val="16"/>
              </w:rPr>
              <w:t>45</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78" w14:textId="77777777">
            <w:pPr>
              <w:jc w:val="right"/>
              <w:rPr>
                <w:color w:val="000000"/>
                <w:sz w:val="16"/>
                <w:szCs w:val="16"/>
              </w:rPr>
            </w:pPr>
            <w:r>
              <w:rPr>
                <w:color w:val="000000"/>
                <w:sz w:val="16"/>
                <w:szCs w:val="16"/>
              </w:rPr>
              <w:t>$           47.03 </w:t>
            </w:r>
          </w:p>
        </w:tc>
        <w:tc>
          <w:tcPr>
            <w:tcW w:w="1189" w:type="dxa"/>
            <w:tcBorders>
              <w:top w:val="nil"/>
              <w:left w:val="nil"/>
              <w:bottom w:val="single" w:sz="4" w:space="0" w:color="000000"/>
              <w:right w:val="single" w:sz="8" w:space="0" w:color="000000"/>
            </w:tcBorders>
            <w:shd w:val="clear" w:color="auto" w:fill="FFFFFF"/>
            <w:vAlign w:val="bottom"/>
          </w:tcPr>
          <w:p w:rsidR="006F1BDC" w:rsidP="00F365D2" w14:paraId="00000079" w14:textId="77777777">
            <w:pPr>
              <w:jc w:val="right"/>
              <w:rPr>
                <w:color w:val="000000"/>
                <w:sz w:val="16"/>
                <w:szCs w:val="16"/>
              </w:rPr>
            </w:pPr>
            <w:r>
              <w:rPr>
                <w:sz w:val="16"/>
                <w:szCs w:val="16"/>
              </w:rPr>
              <w:t>$2,116</w:t>
            </w:r>
            <w:r>
              <w:rPr>
                <w:color w:val="000000"/>
                <w:sz w:val="16"/>
                <w:szCs w:val="16"/>
              </w:rPr>
              <w:t> </w:t>
            </w:r>
          </w:p>
        </w:tc>
      </w:tr>
      <w:tr w14:paraId="69F3E8FF" w14:textId="77777777" w:rsidTr="00F365D2">
        <w:tblPrEx>
          <w:tblW w:w="10884" w:type="dxa"/>
          <w:tblLayout w:type="fixed"/>
          <w:tblLook w:val="0400"/>
        </w:tblPrEx>
        <w:trPr>
          <w:trHeight w:val="399"/>
        </w:trPr>
        <w:tc>
          <w:tcPr>
            <w:tcW w:w="2668" w:type="dxa"/>
            <w:tcBorders>
              <w:top w:val="nil"/>
              <w:left w:val="single" w:sz="8" w:space="0" w:color="000000"/>
              <w:bottom w:val="single" w:sz="4" w:space="0" w:color="000000"/>
              <w:right w:val="single" w:sz="4" w:space="0" w:color="000000"/>
            </w:tcBorders>
            <w:shd w:val="clear" w:color="auto" w:fill="FFFFFF"/>
            <w:vAlign w:val="bottom"/>
          </w:tcPr>
          <w:p w:rsidR="006F1BDC" w:rsidP="00F365D2" w14:paraId="0000007A" w14:textId="77777777">
            <w:pPr>
              <w:rPr>
                <w:color w:val="000000"/>
                <w:sz w:val="16"/>
                <w:szCs w:val="16"/>
              </w:rPr>
            </w:pPr>
            <w:r>
              <w:rPr>
                <w:color w:val="000000"/>
                <w:sz w:val="16"/>
                <w:szCs w:val="16"/>
              </w:rPr>
              <w:t>Quota Transfer Application (temporary &amp; permanent)</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7B" w14:textId="77777777">
            <w:pPr>
              <w:rPr>
                <w:color w:val="000000"/>
                <w:sz w:val="16"/>
                <w:szCs w:val="16"/>
              </w:rPr>
            </w:pPr>
            <w:r>
              <w:rPr>
                <w:color w:val="000000"/>
                <w:sz w:val="16"/>
                <w:szCs w:val="16"/>
              </w:rPr>
              <w:t xml:space="preserve"> Vessel Owner </w:t>
            </w:r>
          </w:p>
        </w:tc>
        <w:tc>
          <w:tcPr>
            <w:tcW w:w="1080" w:type="dxa"/>
            <w:tcBorders>
              <w:top w:val="nil"/>
              <w:left w:val="nil"/>
              <w:bottom w:val="single" w:sz="4" w:space="0" w:color="000000"/>
              <w:right w:val="single" w:sz="4" w:space="0" w:color="000000"/>
            </w:tcBorders>
            <w:shd w:val="clear" w:color="auto" w:fill="FFFFFF"/>
            <w:vAlign w:val="bottom"/>
          </w:tcPr>
          <w:p w:rsidR="006F1BDC" w:rsidP="00F365D2" w14:paraId="0000007C" w14:textId="77777777">
            <w:pPr>
              <w:jc w:val="right"/>
              <w:rPr>
                <w:color w:val="000000"/>
                <w:sz w:val="16"/>
                <w:szCs w:val="16"/>
              </w:rPr>
            </w:pPr>
            <w:r>
              <w:rPr>
                <w:color w:val="000000"/>
                <w:sz w:val="16"/>
                <w:szCs w:val="16"/>
              </w:rPr>
              <w:t>420</w:t>
            </w:r>
          </w:p>
        </w:tc>
        <w:tc>
          <w:tcPr>
            <w:tcW w:w="1016" w:type="dxa"/>
            <w:tcBorders>
              <w:top w:val="nil"/>
              <w:left w:val="nil"/>
              <w:bottom w:val="single" w:sz="4" w:space="0" w:color="000000"/>
              <w:right w:val="single" w:sz="4" w:space="0" w:color="000000"/>
            </w:tcBorders>
            <w:shd w:val="clear" w:color="auto" w:fill="FFFFFF"/>
            <w:vAlign w:val="bottom"/>
          </w:tcPr>
          <w:p w:rsidR="006F1BDC" w:rsidP="00F365D2" w14:paraId="0000007D" w14:textId="77777777">
            <w:pPr>
              <w:jc w:val="right"/>
              <w:rPr>
                <w:color w:val="000000"/>
                <w:sz w:val="16"/>
                <w:szCs w:val="16"/>
              </w:rPr>
            </w:pPr>
            <w:r>
              <w:rPr>
                <w:color w:val="000000"/>
                <w:sz w:val="16"/>
                <w:szCs w:val="16"/>
              </w:rPr>
              <w:t>1</w:t>
            </w:r>
          </w:p>
        </w:tc>
        <w:tc>
          <w:tcPr>
            <w:tcW w:w="917" w:type="dxa"/>
            <w:tcBorders>
              <w:top w:val="nil"/>
              <w:left w:val="nil"/>
              <w:bottom w:val="single" w:sz="4" w:space="0" w:color="000000"/>
              <w:right w:val="single" w:sz="4" w:space="0" w:color="000000"/>
            </w:tcBorders>
            <w:shd w:val="clear" w:color="auto" w:fill="FFFFFF"/>
            <w:vAlign w:val="bottom"/>
          </w:tcPr>
          <w:p w:rsidR="006F1BDC" w:rsidP="00F365D2" w14:paraId="0000007E" w14:textId="77777777">
            <w:pPr>
              <w:jc w:val="right"/>
              <w:rPr>
                <w:color w:val="000000"/>
                <w:sz w:val="16"/>
                <w:szCs w:val="16"/>
              </w:rPr>
            </w:pPr>
            <w:r>
              <w:rPr>
                <w:color w:val="000000"/>
                <w:sz w:val="16"/>
                <w:szCs w:val="16"/>
              </w:rPr>
              <w:t xml:space="preserve"> 420 </w:t>
            </w:r>
          </w:p>
        </w:tc>
        <w:tc>
          <w:tcPr>
            <w:tcW w:w="966" w:type="dxa"/>
            <w:tcBorders>
              <w:top w:val="nil"/>
              <w:left w:val="nil"/>
              <w:bottom w:val="single" w:sz="4" w:space="0" w:color="000000"/>
              <w:right w:val="single" w:sz="4" w:space="0" w:color="000000"/>
            </w:tcBorders>
            <w:shd w:val="clear" w:color="auto" w:fill="FFFFFF"/>
            <w:vAlign w:val="bottom"/>
          </w:tcPr>
          <w:p w:rsidR="006F1BDC" w:rsidP="00F365D2" w14:paraId="0000007F" w14:textId="77777777">
            <w:pPr>
              <w:jc w:val="right"/>
              <w:rPr>
                <w:color w:val="000000"/>
                <w:sz w:val="16"/>
                <w:szCs w:val="16"/>
              </w:rPr>
            </w:pPr>
            <w:r>
              <w:rPr>
                <w:color w:val="000000"/>
                <w:sz w:val="16"/>
                <w:szCs w:val="16"/>
              </w:rPr>
              <w:t>10 min</w:t>
            </w:r>
          </w:p>
        </w:tc>
        <w:tc>
          <w:tcPr>
            <w:tcW w:w="818" w:type="dxa"/>
            <w:tcBorders>
              <w:top w:val="nil"/>
              <w:left w:val="nil"/>
              <w:bottom w:val="single" w:sz="4" w:space="0" w:color="000000"/>
              <w:right w:val="single" w:sz="4" w:space="0" w:color="000000"/>
            </w:tcBorders>
            <w:shd w:val="clear" w:color="auto" w:fill="FFFFFF"/>
            <w:vAlign w:val="bottom"/>
          </w:tcPr>
          <w:p w:rsidR="006F1BDC" w:rsidP="00F365D2" w14:paraId="00000080" w14:textId="77777777">
            <w:pPr>
              <w:jc w:val="right"/>
              <w:rPr>
                <w:color w:val="000000"/>
                <w:sz w:val="16"/>
                <w:szCs w:val="16"/>
              </w:rPr>
            </w:pPr>
            <w:r>
              <w:rPr>
                <w:color w:val="000000"/>
                <w:sz w:val="16"/>
                <w:szCs w:val="16"/>
              </w:rPr>
              <w:t>35</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81" w14:textId="77777777">
            <w:pPr>
              <w:jc w:val="right"/>
              <w:rPr>
                <w:color w:val="000000"/>
                <w:sz w:val="16"/>
                <w:szCs w:val="16"/>
              </w:rPr>
            </w:pPr>
            <w:r>
              <w:rPr>
                <w:color w:val="000000"/>
                <w:sz w:val="16"/>
                <w:szCs w:val="16"/>
              </w:rPr>
              <w:t>$           47.03 </w:t>
            </w:r>
          </w:p>
        </w:tc>
        <w:tc>
          <w:tcPr>
            <w:tcW w:w="1189" w:type="dxa"/>
            <w:tcBorders>
              <w:top w:val="nil"/>
              <w:left w:val="nil"/>
              <w:bottom w:val="single" w:sz="4" w:space="0" w:color="000000"/>
              <w:right w:val="single" w:sz="8" w:space="0" w:color="000000"/>
            </w:tcBorders>
            <w:shd w:val="clear" w:color="auto" w:fill="FFFFFF"/>
            <w:vAlign w:val="bottom"/>
          </w:tcPr>
          <w:p w:rsidR="006F1BDC" w:rsidP="00F365D2" w14:paraId="00000082" w14:textId="77777777">
            <w:pPr>
              <w:jc w:val="right"/>
              <w:rPr>
                <w:color w:val="000000"/>
                <w:sz w:val="16"/>
                <w:szCs w:val="16"/>
              </w:rPr>
            </w:pPr>
            <w:r>
              <w:rPr>
                <w:sz w:val="16"/>
                <w:szCs w:val="16"/>
              </w:rPr>
              <w:t>$</w:t>
            </w:r>
            <w:r>
              <w:rPr>
                <w:color w:val="000000"/>
                <w:sz w:val="16"/>
                <w:szCs w:val="16"/>
              </w:rPr>
              <w:t>1,646 </w:t>
            </w:r>
          </w:p>
        </w:tc>
      </w:tr>
      <w:tr w14:paraId="4D3E78EB" w14:textId="77777777" w:rsidTr="00F365D2">
        <w:tblPrEx>
          <w:tblW w:w="10884" w:type="dxa"/>
          <w:tblLayout w:type="fixed"/>
          <w:tblLook w:val="0400"/>
        </w:tblPrEx>
        <w:trPr>
          <w:trHeight w:val="257"/>
        </w:trPr>
        <w:tc>
          <w:tcPr>
            <w:tcW w:w="2668" w:type="dxa"/>
            <w:tcBorders>
              <w:top w:val="nil"/>
              <w:left w:val="single" w:sz="8" w:space="0" w:color="000000"/>
              <w:bottom w:val="single" w:sz="4" w:space="0" w:color="000000"/>
              <w:right w:val="single" w:sz="4" w:space="0" w:color="000000"/>
            </w:tcBorders>
            <w:shd w:val="clear" w:color="auto" w:fill="FFFFFF"/>
            <w:vAlign w:val="bottom"/>
          </w:tcPr>
          <w:p w:rsidR="006F1BDC" w:rsidP="00F365D2" w14:paraId="00000083" w14:textId="77777777">
            <w:pPr>
              <w:rPr>
                <w:color w:val="000000"/>
                <w:sz w:val="16"/>
                <w:szCs w:val="16"/>
              </w:rPr>
            </w:pPr>
            <w:r>
              <w:rPr>
                <w:color w:val="000000"/>
                <w:sz w:val="16"/>
                <w:szCs w:val="16"/>
              </w:rPr>
              <w:t>Cost Recovery</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84" w14:textId="77777777">
            <w:pPr>
              <w:rPr>
                <w:color w:val="000000"/>
                <w:sz w:val="16"/>
                <w:szCs w:val="16"/>
              </w:rPr>
            </w:pPr>
            <w:r>
              <w:rPr>
                <w:color w:val="000000"/>
                <w:sz w:val="16"/>
                <w:szCs w:val="16"/>
              </w:rPr>
              <w:t> Vessel Owner</w:t>
            </w:r>
          </w:p>
        </w:tc>
        <w:tc>
          <w:tcPr>
            <w:tcW w:w="1080" w:type="dxa"/>
            <w:tcBorders>
              <w:top w:val="nil"/>
              <w:left w:val="nil"/>
              <w:bottom w:val="single" w:sz="4" w:space="0" w:color="000000"/>
              <w:right w:val="single" w:sz="4" w:space="0" w:color="000000"/>
            </w:tcBorders>
            <w:shd w:val="clear" w:color="auto" w:fill="FFFFFF"/>
            <w:vAlign w:val="bottom"/>
          </w:tcPr>
          <w:p w:rsidR="006F1BDC" w:rsidP="00F365D2" w14:paraId="00000085" w14:textId="77777777">
            <w:pPr>
              <w:jc w:val="right"/>
              <w:rPr>
                <w:color w:val="000000"/>
                <w:sz w:val="16"/>
                <w:szCs w:val="16"/>
              </w:rPr>
            </w:pPr>
            <w:r>
              <w:rPr>
                <w:color w:val="000000"/>
                <w:sz w:val="16"/>
                <w:szCs w:val="16"/>
              </w:rPr>
              <w:t>200</w:t>
            </w:r>
          </w:p>
        </w:tc>
        <w:tc>
          <w:tcPr>
            <w:tcW w:w="1016" w:type="dxa"/>
            <w:tcBorders>
              <w:top w:val="nil"/>
              <w:left w:val="nil"/>
              <w:bottom w:val="single" w:sz="4" w:space="0" w:color="000000"/>
              <w:right w:val="single" w:sz="4" w:space="0" w:color="000000"/>
            </w:tcBorders>
            <w:shd w:val="clear" w:color="auto" w:fill="FFFFFF"/>
            <w:vAlign w:val="bottom"/>
          </w:tcPr>
          <w:p w:rsidR="006F1BDC" w:rsidP="00F365D2" w14:paraId="00000086" w14:textId="77777777">
            <w:pPr>
              <w:jc w:val="right"/>
              <w:rPr>
                <w:color w:val="000000"/>
                <w:sz w:val="16"/>
                <w:szCs w:val="16"/>
              </w:rPr>
            </w:pPr>
            <w:r>
              <w:rPr>
                <w:color w:val="000000"/>
                <w:sz w:val="16"/>
                <w:szCs w:val="16"/>
              </w:rPr>
              <w:t>1</w:t>
            </w:r>
          </w:p>
        </w:tc>
        <w:tc>
          <w:tcPr>
            <w:tcW w:w="917" w:type="dxa"/>
            <w:tcBorders>
              <w:top w:val="nil"/>
              <w:left w:val="nil"/>
              <w:bottom w:val="single" w:sz="4" w:space="0" w:color="000000"/>
              <w:right w:val="single" w:sz="4" w:space="0" w:color="000000"/>
            </w:tcBorders>
            <w:shd w:val="clear" w:color="auto" w:fill="FFFFFF"/>
            <w:vAlign w:val="bottom"/>
          </w:tcPr>
          <w:p w:rsidR="006F1BDC" w:rsidP="00F365D2" w14:paraId="00000087" w14:textId="77777777">
            <w:pPr>
              <w:jc w:val="right"/>
              <w:rPr>
                <w:color w:val="000000"/>
                <w:sz w:val="16"/>
                <w:szCs w:val="16"/>
              </w:rPr>
            </w:pPr>
            <w:r>
              <w:rPr>
                <w:color w:val="000000"/>
                <w:sz w:val="16"/>
                <w:szCs w:val="16"/>
              </w:rPr>
              <w:t xml:space="preserve">  200 </w:t>
            </w:r>
          </w:p>
        </w:tc>
        <w:tc>
          <w:tcPr>
            <w:tcW w:w="966" w:type="dxa"/>
            <w:tcBorders>
              <w:top w:val="nil"/>
              <w:left w:val="nil"/>
              <w:bottom w:val="single" w:sz="4" w:space="0" w:color="000000"/>
              <w:right w:val="single" w:sz="4" w:space="0" w:color="000000"/>
            </w:tcBorders>
            <w:shd w:val="clear" w:color="auto" w:fill="FFFFFF"/>
            <w:vAlign w:val="bottom"/>
          </w:tcPr>
          <w:p w:rsidR="006F1BDC" w:rsidP="00F365D2" w14:paraId="00000088" w14:textId="77777777">
            <w:pPr>
              <w:jc w:val="right"/>
              <w:rPr>
                <w:color w:val="000000"/>
                <w:sz w:val="16"/>
                <w:szCs w:val="16"/>
              </w:rPr>
            </w:pPr>
            <w:r>
              <w:rPr>
                <w:color w:val="000000"/>
                <w:sz w:val="16"/>
                <w:szCs w:val="16"/>
              </w:rPr>
              <w:t>2 hr.</w:t>
            </w:r>
          </w:p>
        </w:tc>
        <w:tc>
          <w:tcPr>
            <w:tcW w:w="818" w:type="dxa"/>
            <w:tcBorders>
              <w:top w:val="nil"/>
              <w:left w:val="nil"/>
              <w:bottom w:val="single" w:sz="4" w:space="0" w:color="000000"/>
              <w:right w:val="single" w:sz="4" w:space="0" w:color="000000"/>
            </w:tcBorders>
            <w:shd w:val="clear" w:color="auto" w:fill="FFFFFF"/>
            <w:vAlign w:val="bottom"/>
          </w:tcPr>
          <w:p w:rsidR="006F1BDC" w:rsidP="00F365D2" w14:paraId="00000089" w14:textId="77777777">
            <w:pPr>
              <w:jc w:val="right"/>
              <w:rPr>
                <w:color w:val="000000"/>
                <w:sz w:val="16"/>
                <w:szCs w:val="16"/>
              </w:rPr>
            </w:pPr>
            <w:r>
              <w:rPr>
                <w:color w:val="000000"/>
                <w:sz w:val="16"/>
                <w:szCs w:val="16"/>
              </w:rPr>
              <w:t>400</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8A" w14:textId="77777777">
            <w:pPr>
              <w:rPr>
                <w:color w:val="000000"/>
                <w:sz w:val="16"/>
                <w:szCs w:val="16"/>
              </w:rPr>
            </w:pPr>
            <w:r>
              <w:rPr>
                <w:color w:val="000000"/>
                <w:sz w:val="16"/>
                <w:szCs w:val="16"/>
              </w:rPr>
              <w:t>$           47.03 </w:t>
            </w:r>
          </w:p>
        </w:tc>
        <w:tc>
          <w:tcPr>
            <w:tcW w:w="1189" w:type="dxa"/>
            <w:tcBorders>
              <w:top w:val="nil"/>
              <w:left w:val="nil"/>
              <w:bottom w:val="single" w:sz="4" w:space="0" w:color="000000"/>
              <w:right w:val="single" w:sz="8" w:space="0" w:color="000000"/>
            </w:tcBorders>
            <w:shd w:val="clear" w:color="auto" w:fill="FFFFFF"/>
            <w:vAlign w:val="bottom"/>
          </w:tcPr>
          <w:p w:rsidR="006F1BDC" w:rsidP="00F365D2" w14:paraId="0000008B" w14:textId="77777777">
            <w:pPr>
              <w:jc w:val="right"/>
              <w:rPr>
                <w:color w:val="000000"/>
                <w:sz w:val="16"/>
                <w:szCs w:val="16"/>
              </w:rPr>
            </w:pPr>
            <w:r>
              <w:rPr>
                <w:sz w:val="16"/>
                <w:szCs w:val="16"/>
              </w:rPr>
              <w:t>$</w:t>
            </w:r>
            <w:r>
              <w:rPr>
                <w:color w:val="000000"/>
                <w:sz w:val="16"/>
                <w:szCs w:val="16"/>
              </w:rPr>
              <w:t>18,812 </w:t>
            </w:r>
          </w:p>
        </w:tc>
      </w:tr>
      <w:tr w14:paraId="70B1B9FE" w14:textId="77777777" w:rsidTr="00F365D2">
        <w:tblPrEx>
          <w:tblW w:w="10884" w:type="dxa"/>
          <w:tblLayout w:type="fixed"/>
          <w:tblLook w:val="0400"/>
        </w:tblPrEx>
        <w:trPr>
          <w:trHeight w:val="270"/>
        </w:trPr>
        <w:tc>
          <w:tcPr>
            <w:tcW w:w="2668" w:type="dxa"/>
            <w:tcBorders>
              <w:top w:val="nil"/>
              <w:left w:val="single" w:sz="8" w:space="0" w:color="000000"/>
              <w:bottom w:val="single" w:sz="4" w:space="0" w:color="000000"/>
              <w:right w:val="single" w:sz="4" w:space="0" w:color="000000"/>
            </w:tcBorders>
            <w:shd w:val="clear" w:color="auto" w:fill="FFFFFF"/>
            <w:vAlign w:val="bottom"/>
          </w:tcPr>
          <w:p w:rsidR="006F1BDC" w:rsidP="00F365D2" w14:paraId="0000008C" w14:textId="77777777">
            <w:pPr>
              <w:rPr>
                <w:color w:val="000000"/>
                <w:sz w:val="16"/>
                <w:szCs w:val="16"/>
              </w:rPr>
            </w:pPr>
            <w:r>
              <w:rPr>
                <w:color w:val="000000"/>
                <w:sz w:val="16"/>
                <w:szCs w:val="16"/>
              </w:rPr>
              <w:t xml:space="preserve">Sector Proposals </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8D" w14:textId="77777777">
            <w:pPr>
              <w:rPr>
                <w:color w:val="000000"/>
                <w:sz w:val="16"/>
                <w:szCs w:val="16"/>
              </w:rPr>
            </w:pPr>
            <w:r>
              <w:rPr>
                <w:color w:val="000000"/>
                <w:sz w:val="16"/>
                <w:szCs w:val="16"/>
              </w:rPr>
              <w:t xml:space="preserve"> Vessel Owner </w:t>
            </w:r>
          </w:p>
        </w:tc>
        <w:tc>
          <w:tcPr>
            <w:tcW w:w="1080" w:type="dxa"/>
            <w:tcBorders>
              <w:top w:val="nil"/>
              <w:left w:val="nil"/>
              <w:bottom w:val="single" w:sz="4" w:space="0" w:color="000000"/>
              <w:right w:val="single" w:sz="4" w:space="0" w:color="000000"/>
            </w:tcBorders>
            <w:shd w:val="clear" w:color="auto" w:fill="FFFFFF"/>
            <w:vAlign w:val="bottom"/>
          </w:tcPr>
          <w:p w:rsidR="006F1BDC" w:rsidP="00F365D2" w14:paraId="0000008E" w14:textId="77777777">
            <w:pPr>
              <w:jc w:val="right"/>
              <w:rPr>
                <w:color w:val="000000"/>
                <w:sz w:val="16"/>
                <w:szCs w:val="16"/>
              </w:rPr>
            </w:pPr>
            <w:r>
              <w:rPr>
                <w:color w:val="000000"/>
                <w:sz w:val="16"/>
                <w:szCs w:val="16"/>
              </w:rPr>
              <w:t>2</w:t>
            </w:r>
          </w:p>
        </w:tc>
        <w:tc>
          <w:tcPr>
            <w:tcW w:w="1016" w:type="dxa"/>
            <w:tcBorders>
              <w:top w:val="nil"/>
              <w:left w:val="nil"/>
              <w:bottom w:val="single" w:sz="4" w:space="0" w:color="000000"/>
              <w:right w:val="single" w:sz="4" w:space="0" w:color="000000"/>
            </w:tcBorders>
            <w:shd w:val="clear" w:color="auto" w:fill="FFFFFF"/>
            <w:vAlign w:val="bottom"/>
          </w:tcPr>
          <w:p w:rsidR="006F1BDC" w:rsidP="00F365D2" w14:paraId="0000008F" w14:textId="77777777">
            <w:pPr>
              <w:jc w:val="right"/>
              <w:rPr>
                <w:color w:val="000000"/>
                <w:sz w:val="16"/>
                <w:szCs w:val="16"/>
              </w:rPr>
            </w:pPr>
            <w:r>
              <w:rPr>
                <w:color w:val="000000"/>
                <w:sz w:val="16"/>
                <w:szCs w:val="16"/>
              </w:rPr>
              <w:t>1</w:t>
            </w:r>
          </w:p>
        </w:tc>
        <w:tc>
          <w:tcPr>
            <w:tcW w:w="917" w:type="dxa"/>
            <w:tcBorders>
              <w:top w:val="nil"/>
              <w:left w:val="nil"/>
              <w:bottom w:val="single" w:sz="4" w:space="0" w:color="000000"/>
              <w:right w:val="single" w:sz="4" w:space="0" w:color="000000"/>
            </w:tcBorders>
            <w:shd w:val="clear" w:color="auto" w:fill="FFFFFF"/>
            <w:vAlign w:val="bottom"/>
          </w:tcPr>
          <w:p w:rsidR="006F1BDC" w:rsidP="00F365D2" w14:paraId="00000090" w14:textId="77777777">
            <w:pPr>
              <w:jc w:val="right"/>
              <w:rPr>
                <w:color w:val="000000"/>
                <w:sz w:val="16"/>
                <w:szCs w:val="16"/>
              </w:rPr>
            </w:pPr>
            <w:r>
              <w:rPr>
                <w:color w:val="000000"/>
                <w:sz w:val="16"/>
                <w:szCs w:val="16"/>
              </w:rPr>
              <w:t xml:space="preserve">2 </w:t>
            </w:r>
          </w:p>
        </w:tc>
        <w:tc>
          <w:tcPr>
            <w:tcW w:w="966" w:type="dxa"/>
            <w:tcBorders>
              <w:top w:val="nil"/>
              <w:left w:val="nil"/>
              <w:bottom w:val="single" w:sz="4" w:space="0" w:color="000000"/>
              <w:right w:val="single" w:sz="4" w:space="0" w:color="000000"/>
            </w:tcBorders>
            <w:shd w:val="clear" w:color="auto" w:fill="FFFFFF"/>
            <w:vAlign w:val="bottom"/>
          </w:tcPr>
          <w:p w:rsidR="006F1BDC" w:rsidP="00F365D2" w14:paraId="00000091" w14:textId="77777777">
            <w:pPr>
              <w:jc w:val="right"/>
              <w:rPr>
                <w:color w:val="000000"/>
                <w:sz w:val="16"/>
                <w:szCs w:val="16"/>
              </w:rPr>
            </w:pPr>
            <w:r>
              <w:rPr>
                <w:color w:val="000000"/>
                <w:sz w:val="16"/>
                <w:szCs w:val="16"/>
              </w:rPr>
              <w:t>150 hrs.</w:t>
            </w:r>
          </w:p>
        </w:tc>
        <w:tc>
          <w:tcPr>
            <w:tcW w:w="818" w:type="dxa"/>
            <w:tcBorders>
              <w:top w:val="nil"/>
              <w:left w:val="nil"/>
              <w:bottom w:val="single" w:sz="4" w:space="0" w:color="000000"/>
              <w:right w:val="single" w:sz="4" w:space="0" w:color="000000"/>
            </w:tcBorders>
            <w:shd w:val="clear" w:color="auto" w:fill="FFFFFF"/>
            <w:vAlign w:val="bottom"/>
          </w:tcPr>
          <w:p w:rsidR="006F1BDC" w:rsidP="00F365D2" w14:paraId="00000092" w14:textId="77777777">
            <w:pPr>
              <w:jc w:val="right"/>
              <w:rPr>
                <w:color w:val="000000"/>
                <w:sz w:val="16"/>
                <w:szCs w:val="16"/>
              </w:rPr>
            </w:pPr>
            <w:r>
              <w:rPr>
                <w:color w:val="000000"/>
                <w:sz w:val="16"/>
                <w:szCs w:val="16"/>
              </w:rPr>
              <w:t>300</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93" w14:textId="77777777">
            <w:pPr>
              <w:rPr>
                <w:color w:val="000000"/>
                <w:sz w:val="16"/>
                <w:szCs w:val="16"/>
              </w:rPr>
            </w:pPr>
            <w:r>
              <w:rPr>
                <w:color w:val="000000"/>
                <w:sz w:val="16"/>
                <w:szCs w:val="16"/>
              </w:rPr>
              <w:t>$           47.03 </w:t>
            </w:r>
          </w:p>
        </w:tc>
        <w:tc>
          <w:tcPr>
            <w:tcW w:w="1189" w:type="dxa"/>
            <w:tcBorders>
              <w:top w:val="nil"/>
              <w:left w:val="nil"/>
              <w:bottom w:val="single" w:sz="4" w:space="0" w:color="000000"/>
              <w:right w:val="single" w:sz="8" w:space="0" w:color="000000"/>
            </w:tcBorders>
            <w:shd w:val="clear" w:color="auto" w:fill="FFFFFF"/>
            <w:vAlign w:val="bottom"/>
          </w:tcPr>
          <w:p w:rsidR="006F1BDC" w:rsidP="00F365D2" w14:paraId="00000094" w14:textId="77777777">
            <w:pPr>
              <w:jc w:val="right"/>
              <w:rPr>
                <w:color w:val="000000"/>
                <w:sz w:val="16"/>
                <w:szCs w:val="16"/>
              </w:rPr>
            </w:pPr>
            <w:r>
              <w:rPr>
                <w:sz w:val="16"/>
                <w:szCs w:val="16"/>
              </w:rPr>
              <w:t>$</w:t>
            </w:r>
            <w:r>
              <w:rPr>
                <w:color w:val="000000"/>
                <w:sz w:val="16"/>
                <w:szCs w:val="16"/>
              </w:rPr>
              <w:t>23,515 </w:t>
            </w:r>
          </w:p>
        </w:tc>
      </w:tr>
      <w:tr w14:paraId="6D393151" w14:textId="77777777" w:rsidTr="00F365D2">
        <w:tblPrEx>
          <w:tblW w:w="10884" w:type="dxa"/>
          <w:tblLayout w:type="fixed"/>
          <w:tblLook w:val="0400"/>
        </w:tblPrEx>
        <w:trPr>
          <w:trHeight w:val="270"/>
        </w:trPr>
        <w:tc>
          <w:tcPr>
            <w:tcW w:w="2668" w:type="dxa"/>
            <w:tcBorders>
              <w:top w:val="nil"/>
              <w:left w:val="single" w:sz="8" w:space="0" w:color="000000"/>
              <w:bottom w:val="single" w:sz="4" w:space="0" w:color="000000"/>
              <w:right w:val="single" w:sz="4" w:space="0" w:color="000000"/>
            </w:tcBorders>
            <w:shd w:val="clear" w:color="auto" w:fill="FFFFFF"/>
            <w:vAlign w:val="bottom"/>
          </w:tcPr>
          <w:p w:rsidR="006F1BDC" w:rsidP="00F365D2" w14:paraId="00000095" w14:textId="77777777">
            <w:pPr>
              <w:rPr>
                <w:color w:val="000000"/>
                <w:sz w:val="16"/>
                <w:szCs w:val="16"/>
              </w:rPr>
            </w:pPr>
            <w:r>
              <w:rPr>
                <w:color w:val="000000"/>
                <w:sz w:val="16"/>
                <w:szCs w:val="16"/>
              </w:rPr>
              <w:t>Sector Operation Plans</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96" w14:textId="77777777">
            <w:pPr>
              <w:rPr>
                <w:color w:val="000000"/>
                <w:sz w:val="16"/>
                <w:szCs w:val="16"/>
              </w:rPr>
            </w:pPr>
            <w:r>
              <w:rPr>
                <w:color w:val="000000"/>
                <w:sz w:val="16"/>
                <w:szCs w:val="16"/>
              </w:rPr>
              <w:t xml:space="preserve"> Vessel Owner </w:t>
            </w:r>
          </w:p>
        </w:tc>
        <w:tc>
          <w:tcPr>
            <w:tcW w:w="1080" w:type="dxa"/>
            <w:tcBorders>
              <w:top w:val="nil"/>
              <w:left w:val="nil"/>
              <w:bottom w:val="single" w:sz="4" w:space="0" w:color="000000"/>
              <w:right w:val="single" w:sz="4" w:space="0" w:color="000000"/>
            </w:tcBorders>
            <w:shd w:val="clear" w:color="auto" w:fill="FFFFFF"/>
            <w:vAlign w:val="bottom"/>
          </w:tcPr>
          <w:p w:rsidR="006F1BDC" w:rsidP="00F365D2" w14:paraId="00000097" w14:textId="77777777">
            <w:pPr>
              <w:jc w:val="right"/>
              <w:rPr>
                <w:color w:val="000000"/>
                <w:sz w:val="16"/>
                <w:szCs w:val="16"/>
              </w:rPr>
            </w:pPr>
            <w:r>
              <w:rPr>
                <w:color w:val="000000"/>
                <w:sz w:val="16"/>
                <w:szCs w:val="16"/>
              </w:rPr>
              <w:t>2</w:t>
            </w:r>
          </w:p>
        </w:tc>
        <w:tc>
          <w:tcPr>
            <w:tcW w:w="1016" w:type="dxa"/>
            <w:tcBorders>
              <w:top w:val="nil"/>
              <w:left w:val="nil"/>
              <w:bottom w:val="single" w:sz="4" w:space="0" w:color="000000"/>
              <w:right w:val="single" w:sz="4" w:space="0" w:color="000000"/>
            </w:tcBorders>
            <w:shd w:val="clear" w:color="auto" w:fill="FFFFFF"/>
            <w:vAlign w:val="bottom"/>
          </w:tcPr>
          <w:p w:rsidR="006F1BDC" w:rsidP="00F365D2" w14:paraId="00000098" w14:textId="77777777">
            <w:pPr>
              <w:jc w:val="right"/>
              <w:rPr>
                <w:color w:val="000000"/>
                <w:sz w:val="16"/>
                <w:szCs w:val="16"/>
              </w:rPr>
            </w:pPr>
            <w:r>
              <w:rPr>
                <w:color w:val="000000"/>
                <w:sz w:val="16"/>
                <w:szCs w:val="16"/>
              </w:rPr>
              <w:t>1</w:t>
            </w:r>
          </w:p>
        </w:tc>
        <w:tc>
          <w:tcPr>
            <w:tcW w:w="917" w:type="dxa"/>
            <w:tcBorders>
              <w:top w:val="nil"/>
              <w:left w:val="nil"/>
              <w:bottom w:val="single" w:sz="4" w:space="0" w:color="000000"/>
              <w:right w:val="single" w:sz="4" w:space="0" w:color="000000"/>
            </w:tcBorders>
            <w:shd w:val="clear" w:color="auto" w:fill="FFFFFF"/>
            <w:vAlign w:val="bottom"/>
          </w:tcPr>
          <w:p w:rsidR="006F1BDC" w:rsidP="00F365D2" w14:paraId="00000099" w14:textId="77777777">
            <w:pPr>
              <w:jc w:val="right"/>
              <w:rPr>
                <w:color w:val="000000"/>
                <w:sz w:val="16"/>
                <w:szCs w:val="16"/>
              </w:rPr>
            </w:pPr>
            <w:r>
              <w:rPr>
                <w:color w:val="000000"/>
                <w:sz w:val="16"/>
                <w:szCs w:val="16"/>
              </w:rPr>
              <w:t xml:space="preserve">2 </w:t>
            </w:r>
          </w:p>
        </w:tc>
        <w:tc>
          <w:tcPr>
            <w:tcW w:w="966" w:type="dxa"/>
            <w:tcBorders>
              <w:top w:val="nil"/>
              <w:left w:val="nil"/>
              <w:bottom w:val="single" w:sz="4" w:space="0" w:color="000000"/>
              <w:right w:val="single" w:sz="4" w:space="0" w:color="000000"/>
            </w:tcBorders>
            <w:shd w:val="clear" w:color="auto" w:fill="FFFFFF"/>
            <w:vAlign w:val="bottom"/>
          </w:tcPr>
          <w:p w:rsidR="006F1BDC" w:rsidP="00F365D2" w14:paraId="0000009A" w14:textId="77777777">
            <w:pPr>
              <w:jc w:val="right"/>
              <w:rPr>
                <w:color w:val="000000"/>
                <w:sz w:val="16"/>
                <w:szCs w:val="16"/>
              </w:rPr>
            </w:pPr>
            <w:r>
              <w:rPr>
                <w:color w:val="000000"/>
                <w:sz w:val="16"/>
                <w:szCs w:val="16"/>
              </w:rPr>
              <w:t>100 hrs.</w:t>
            </w:r>
          </w:p>
        </w:tc>
        <w:tc>
          <w:tcPr>
            <w:tcW w:w="818" w:type="dxa"/>
            <w:tcBorders>
              <w:top w:val="nil"/>
              <w:left w:val="nil"/>
              <w:bottom w:val="single" w:sz="4" w:space="0" w:color="000000"/>
              <w:right w:val="single" w:sz="4" w:space="0" w:color="000000"/>
            </w:tcBorders>
            <w:shd w:val="clear" w:color="auto" w:fill="FFFFFF"/>
            <w:vAlign w:val="bottom"/>
          </w:tcPr>
          <w:p w:rsidR="006F1BDC" w:rsidP="00F365D2" w14:paraId="0000009B" w14:textId="77777777">
            <w:pPr>
              <w:jc w:val="right"/>
              <w:rPr>
                <w:color w:val="000000"/>
                <w:sz w:val="16"/>
                <w:szCs w:val="16"/>
              </w:rPr>
            </w:pPr>
            <w:r>
              <w:rPr>
                <w:color w:val="000000"/>
                <w:sz w:val="16"/>
                <w:szCs w:val="16"/>
              </w:rPr>
              <w:t>200</w:t>
            </w:r>
          </w:p>
        </w:tc>
        <w:tc>
          <w:tcPr>
            <w:tcW w:w="1115" w:type="dxa"/>
            <w:tcBorders>
              <w:top w:val="nil"/>
              <w:left w:val="nil"/>
              <w:bottom w:val="single" w:sz="4" w:space="0" w:color="000000"/>
              <w:right w:val="single" w:sz="4" w:space="0" w:color="000000"/>
            </w:tcBorders>
            <w:shd w:val="clear" w:color="auto" w:fill="FFFFFF"/>
            <w:vAlign w:val="bottom"/>
          </w:tcPr>
          <w:p w:rsidR="006F1BDC" w:rsidP="00F365D2" w14:paraId="0000009C" w14:textId="77777777">
            <w:pPr>
              <w:rPr>
                <w:color w:val="000000"/>
                <w:sz w:val="16"/>
                <w:szCs w:val="16"/>
              </w:rPr>
            </w:pPr>
            <w:r>
              <w:rPr>
                <w:color w:val="000000"/>
                <w:sz w:val="16"/>
                <w:szCs w:val="16"/>
              </w:rPr>
              <w:t>$           47.03 </w:t>
            </w:r>
          </w:p>
        </w:tc>
        <w:tc>
          <w:tcPr>
            <w:tcW w:w="1189" w:type="dxa"/>
            <w:tcBorders>
              <w:top w:val="nil"/>
              <w:left w:val="nil"/>
              <w:bottom w:val="single" w:sz="4" w:space="0" w:color="000000"/>
              <w:right w:val="single" w:sz="8" w:space="0" w:color="000000"/>
            </w:tcBorders>
            <w:shd w:val="clear" w:color="auto" w:fill="FFFFFF"/>
            <w:vAlign w:val="bottom"/>
          </w:tcPr>
          <w:p w:rsidR="006F1BDC" w:rsidP="00F365D2" w14:paraId="0000009D" w14:textId="77777777">
            <w:pPr>
              <w:jc w:val="right"/>
              <w:rPr>
                <w:sz w:val="16"/>
                <w:szCs w:val="16"/>
              </w:rPr>
            </w:pPr>
            <w:r>
              <w:rPr>
                <w:sz w:val="16"/>
                <w:szCs w:val="16"/>
              </w:rPr>
              <w:t>$</w:t>
            </w:r>
            <w:r>
              <w:rPr>
                <w:color w:val="000000"/>
                <w:sz w:val="16"/>
                <w:szCs w:val="16"/>
              </w:rPr>
              <w:t>23,515 </w:t>
            </w:r>
          </w:p>
        </w:tc>
      </w:tr>
      <w:tr w14:paraId="4625EDEE" w14:textId="77777777" w:rsidTr="00F365D2">
        <w:tblPrEx>
          <w:tblW w:w="10884" w:type="dxa"/>
          <w:tblLayout w:type="fixed"/>
          <w:tblLook w:val="0400"/>
        </w:tblPrEx>
        <w:trPr>
          <w:trHeight w:val="270"/>
        </w:trPr>
        <w:tc>
          <w:tcPr>
            <w:tcW w:w="2668"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6F1BDC" w:rsidP="00F365D2" w14:paraId="0000009E" w14:textId="77777777">
            <w:pPr>
              <w:rPr>
                <w:b/>
                <w:color w:val="000000"/>
                <w:sz w:val="16"/>
                <w:szCs w:val="16"/>
              </w:rPr>
            </w:pPr>
            <w:r>
              <w:rPr>
                <w:b/>
                <w:color w:val="000000"/>
                <w:sz w:val="16"/>
                <w:szCs w:val="16"/>
              </w:rPr>
              <w:t>Totals</w:t>
            </w:r>
          </w:p>
        </w:tc>
        <w:tc>
          <w:tcPr>
            <w:tcW w:w="1115" w:type="dxa"/>
            <w:tcBorders>
              <w:top w:val="single" w:sz="8" w:space="0" w:color="000000"/>
              <w:left w:val="nil"/>
              <w:bottom w:val="single" w:sz="8" w:space="0" w:color="000000"/>
              <w:right w:val="single" w:sz="8" w:space="0" w:color="000000"/>
            </w:tcBorders>
            <w:shd w:val="clear" w:color="auto" w:fill="000000"/>
            <w:vAlign w:val="bottom"/>
          </w:tcPr>
          <w:p w:rsidR="006F1BDC" w:rsidP="00F365D2" w14:paraId="0000009F" w14:textId="77777777">
            <w:pPr>
              <w:rPr>
                <w:b/>
                <w:color w:val="000000"/>
                <w:sz w:val="16"/>
                <w:szCs w:val="16"/>
              </w:rPr>
            </w:pPr>
            <w:r>
              <w:rPr>
                <w:b/>
                <w:color w:val="000000"/>
                <w:sz w:val="16"/>
                <w:szCs w:val="16"/>
              </w:rPr>
              <w:t> </w:t>
            </w:r>
          </w:p>
        </w:tc>
        <w:tc>
          <w:tcPr>
            <w:tcW w:w="1080" w:type="dxa"/>
            <w:tcBorders>
              <w:top w:val="single" w:sz="8" w:space="0" w:color="000000"/>
              <w:left w:val="nil"/>
              <w:bottom w:val="single" w:sz="8" w:space="0" w:color="000000"/>
              <w:right w:val="single" w:sz="8" w:space="0" w:color="000000"/>
            </w:tcBorders>
            <w:shd w:val="clear" w:color="auto" w:fill="000000"/>
            <w:vAlign w:val="bottom"/>
          </w:tcPr>
          <w:p w:rsidR="006F1BDC" w:rsidP="00F365D2" w14:paraId="000000A0" w14:textId="77777777">
            <w:pPr>
              <w:rPr>
                <w:b/>
                <w:color w:val="000000"/>
                <w:sz w:val="16"/>
                <w:szCs w:val="16"/>
              </w:rPr>
            </w:pPr>
          </w:p>
        </w:tc>
        <w:tc>
          <w:tcPr>
            <w:tcW w:w="1016" w:type="dxa"/>
            <w:tcBorders>
              <w:top w:val="single" w:sz="8" w:space="0" w:color="000000"/>
              <w:left w:val="nil"/>
              <w:bottom w:val="single" w:sz="8" w:space="0" w:color="000000"/>
              <w:right w:val="single" w:sz="8" w:space="0" w:color="000000"/>
            </w:tcBorders>
            <w:shd w:val="clear" w:color="auto" w:fill="000000"/>
            <w:vAlign w:val="bottom"/>
          </w:tcPr>
          <w:p w:rsidR="006F1BDC" w:rsidP="00F365D2" w14:paraId="000000A1" w14:textId="77777777">
            <w:pPr>
              <w:rPr>
                <w:b/>
                <w:color w:val="000000"/>
                <w:sz w:val="16"/>
                <w:szCs w:val="16"/>
              </w:rPr>
            </w:pPr>
            <w:r>
              <w:rPr>
                <w:b/>
                <w:color w:val="000000"/>
                <w:sz w:val="16"/>
                <w:szCs w:val="16"/>
              </w:rPr>
              <w:t> </w:t>
            </w:r>
          </w:p>
        </w:tc>
        <w:tc>
          <w:tcPr>
            <w:tcW w:w="917" w:type="dxa"/>
            <w:tcBorders>
              <w:top w:val="single" w:sz="8" w:space="0" w:color="000000"/>
              <w:left w:val="nil"/>
              <w:bottom w:val="single" w:sz="8" w:space="0" w:color="000000"/>
              <w:right w:val="single" w:sz="8" w:space="0" w:color="000000"/>
            </w:tcBorders>
            <w:shd w:val="clear" w:color="auto" w:fill="DDEBF7"/>
            <w:vAlign w:val="bottom"/>
          </w:tcPr>
          <w:p w:rsidR="006F1BDC" w:rsidP="00F365D2" w14:paraId="000000A2" w14:textId="77777777">
            <w:pPr>
              <w:jc w:val="right"/>
              <w:rPr>
                <w:b/>
                <w:color w:val="000000"/>
                <w:sz w:val="16"/>
                <w:szCs w:val="16"/>
              </w:rPr>
            </w:pPr>
            <w:r>
              <w:rPr>
                <w:b/>
                <w:color w:val="000000"/>
                <w:sz w:val="16"/>
                <w:szCs w:val="16"/>
              </w:rPr>
              <w:t>804</w:t>
            </w:r>
          </w:p>
        </w:tc>
        <w:tc>
          <w:tcPr>
            <w:tcW w:w="966" w:type="dxa"/>
            <w:tcBorders>
              <w:top w:val="single" w:sz="8" w:space="0" w:color="000000"/>
              <w:left w:val="nil"/>
              <w:bottom w:val="single" w:sz="8" w:space="0" w:color="000000"/>
              <w:right w:val="single" w:sz="8" w:space="0" w:color="000000"/>
            </w:tcBorders>
            <w:shd w:val="clear" w:color="auto" w:fill="000000"/>
            <w:vAlign w:val="bottom"/>
          </w:tcPr>
          <w:p w:rsidR="006F1BDC" w:rsidP="00F365D2" w14:paraId="000000A3" w14:textId="77777777">
            <w:pPr>
              <w:jc w:val="right"/>
              <w:rPr>
                <w:b/>
                <w:color w:val="000000"/>
                <w:sz w:val="16"/>
                <w:szCs w:val="16"/>
              </w:rPr>
            </w:pPr>
            <w:r>
              <w:rPr>
                <w:b/>
                <w:color w:val="000000"/>
                <w:sz w:val="16"/>
                <w:szCs w:val="16"/>
              </w:rPr>
              <w:t> </w:t>
            </w:r>
          </w:p>
        </w:tc>
        <w:tc>
          <w:tcPr>
            <w:tcW w:w="818" w:type="dxa"/>
            <w:tcBorders>
              <w:top w:val="single" w:sz="8" w:space="0" w:color="000000"/>
              <w:left w:val="nil"/>
              <w:bottom w:val="single" w:sz="8" w:space="0" w:color="000000"/>
              <w:right w:val="single" w:sz="8" w:space="0" w:color="000000"/>
            </w:tcBorders>
            <w:shd w:val="clear" w:color="auto" w:fill="DDEBF7"/>
            <w:vAlign w:val="bottom"/>
          </w:tcPr>
          <w:p w:rsidR="006F1BDC" w:rsidP="00F365D2" w14:paraId="000000A4" w14:textId="77777777">
            <w:pPr>
              <w:jc w:val="right"/>
              <w:rPr>
                <w:b/>
                <w:color w:val="000000"/>
                <w:sz w:val="16"/>
                <w:szCs w:val="16"/>
              </w:rPr>
            </w:pPr>
            <w:r>
              <w:rPr>
                <w:b/>
                <w:color w:val="000000"/>
                <w:sz w:val="16"/>
                <w:szCs w:val="16"/>
              </w:rPr>
              <w:t>980</w:t>
            </w:r>
          </w:p>
        </w:tc>
        <w:tc>
          <w:tcPr>
            <w:tcW w:w="1115" w:type="dxa"/>
            <w:tcBorders>
              <w:top w:val="single" w:sz="8" w:space="0" w:color="000000"/>
              <w:left w:val="nil"/>
              <w:bottom w:val="single" w:sz="8" w:space="0" w:color="000000"/>
              <w:right w:val="single" w:sz="8" w:space="0" w:color="000000"/>
            </w:tcBorders>
            <w:shd w:val="clear" w:color="auto" w:fill="000000"/>
            <w:vAlign w:val="bottom"/>
          </w:tcPr>
          <w:p w:rsidR="006F1BDC" w:rsidP="00F365D2" w14:paraId="000000A5" w14:textId="77777777">
            <w:pPr>
              <w:jc w:val="right"/>
              <w:rPr>
                <w:b/>
                <w:color w:val="000000"/>
                <w:sz w:val="16"/>
                <w:szCs w:val="16"/>
              </w:rPr>
            </w:pPr>
            <w:r>
              <w:rPr>
                <w:b/>
                <w:color w:val="000000"/>
                <w:sz w:val="16"/>
                <w:szCs w:val="16"/>
              </w:rPr>
              <w:t> </w:t>
            </w:r>
          </w:p>
        </w:tc>
        <w:tc>
          <w:tcPr>
            <w:tcW w:w="1189" w:type="dxa"/>
            <w:tcBorders>
              <w:top w:val="single" w:sz="8" w:space="0" w:color="000000"/>
              <w:left w:val="nil"/>
              <w:bottom w:val="single" w:sz="8" w:space="0" w:color="000000"/>
              <w:right w:val="single" w:sz="8" w:space="0" w:color="000000"/>
            </w:tcBorders>
            <w:shd w:val="clear" w:color="auto" w:fill="DDEBF7"/>
            <w:vAlign w:val="bottom"/>
          </w:tcPr>
          <w:p w:rsidR="006F1BDC" w:rsidP="00F365D2" w14:paraId="000000A6" w14:textId="77777777">
            <w:pPr>
              <w:jc w:val="right"/>
              <w:rPr>
                <w:b/>
                <w:color w:val="000000"/>
                <w:sz w:val="16"/>
                <w:szCs w:val="16"/>
              </w:rPr>
            </w:pPr>
            <w:r>
              <w:rPr>
                <w:b/>
                <w:color w:val="000000"/>
                <w:sz w:val="16"/>
                <w:szCs w:val="16"/>
              </w:rPr>
              <w:t> $69,604</w:t>
            </w:r>
          </w:p>
        </w:tc>
      </w:tr>
    </w:tbl>
    <w:p w:rsidR="006F1BDC" w:rsidP="00F365D2" w14:paraId="000000A7"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 Occupational Code used (53-5021). https://www.bls.gov/oes/current/oes_nat.htm#53-0000</w:t>
      </w:r>
    </w:p>
    <w:p w:rsidR="006F1BDC" w14:paraId="000000A8" w14:textId="77777777">
      <w:pPr>
        <w:spacing w:after="0" w:line="240" w:lineRule="auto"/>
        <w:rPr>
          <w:rFonts w:ascii="Times New Roman" w:eastAsia="Times New Roman" w:hAnsi="Times New Roman" w:cs="Times New Roman"/>
          <w:sz w:val="24"/>
          <w:szCs w:val="24"/>
        </w:rPr>
      </w:pPr>
    </w:p>
    <w:p w:rsidR="00F365D2" w14:paraId="32310D6F" w14:textId="77777777">
      <w:pPr>
        <w:spacing w:after="0" w:line="240" w:lineRule="auto"/>
        <w:rPr>
          <w:rFonts w:ascii="Times New Roman" w:eastAsia="Times New Roman" w:hAnsi="Times New Roman" w:cs="Times New Roman"/>
          <w:sz w:val="24"/>
          <w:szCs w:val="24"/>
        </w:rPr>
        <w:sectPr w:rsidSect="00F365D2">
          <w:pgSz w:w="15840" w:h="12240" w:orient="landscape"/>
          <w:pgMar w:top="1440" w:right="1440" w:bottom="1440" w:left="1440" w:header="720" w:footer="720" w:gutter="0"/>
          <w:pgNumType w:start="1"/>
          <w:cols w:space="720"/>
          <w:docGrid w:linePitch="299"/>
        </w:sectPr>
      </w:pPr>
    </w:p>
    <w:p w:rsidR="006F1BDC" w14:paraId="000000A9" w14:textId="77777777">
      <w:pPr>
        <w:spacing w:after="0" w:line="240" w:lineRule="auto"/>
        <w:rPr>
          <w:rFonts w:ascii="Times New Roman" w:eastAsia="Times New Roman" w:hAnsi="Times New Roman" w:cs="Times New Roman"/>
          <w:sz w:val="24"/>
          <w:szCs w:val="24"/>
        </w:rPr>
      </w:pPr>
    </w:p>
    <w:p w:rsidR="006F1BDC" w:rsidP="00F365D2" w14:paraId="000000AA" w14:textId="77777777">
      <w:pPr>
        <w:numPr>
          <w:ilvl w:val="0"/>
          <w:numId w:val="8"/>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Provide an estimate for the total annual cost burden to respondents or record keepers resulting from the collection of information. (Do not include the cost of any hour burden already reflected on the burden worksheet).</w:t>
      </w:r>
    </w:p>
    <w:p w:rsidR="006F1BDC" w14:paraId="000000AB" w14:textId="77777777">
      <w:pPr>
        <w:rPr>
          <w:sz w:val="24"/>
          <w:szCs w:val="24"/>
        </w:rPr>
      </w:pPr>
    </w:p>
    <w:tbl>
      <w:tblPr>
        <w:tblStyle w:val="a0"/>
        <w:tblW w:w="8899" w:type="dxa"/>
        <w:tblInd w:w="118" w:type="dxa"/>
        <w:tblLayout w:type="fixed"/>
        <w:tblLook w:val="0400"/>
      </w:tblPr>
      <w:tblGrid>
        <w:gridCol w:w="2643"/>
        <w:gridCol w:w="1441"/>
        <w:gridCol w:w="1153"/>
        <w:gridCol w:w="1134"/>
        <w:gridCol w:w="1243"/>
        <w:gridCol w:w="1285"/>
      </w:tblGrid>
      <w:tr w14:paraId="3825A6E4" w14:textId="77777777">
        <w:tblPrEx>
          <w:tblW w:w="8899" w:type="dxa"/>
          <w:tblInd w:w="118" w:type="dxa"/>
          <w:tblLayout w:type="fixed"/>
          <w:tblLook w:val="0400"/>
        </w:tblPrEx>
        <w:trPr>
          <w:trHeight w:val="690"/>
        </w:trPr>
        <w:tc>
          <w:tcPr>
            <w:tcW w:w="2644"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6F1BDC" w14:paraId="000000AC" w14:textId="77777777">
            <w:pPr>
              <w:jc w:val="center"/>
              <w:rPr>
                <w:b/>
                <w:color w:val="000000"/>
                <w:sz w:val="16"/>
                <w:szCs w:val="16"/>
              </w:rPr>
            </w:pPr>
            <w:r>
              <w:rPr>
                <w:b/>
                <w:color w:val="000000"/>
                <w:sz w:val="16"/>
                <w:szCs w:val="16"/>
              </w:rPr>
              <w:t>Information Collection</w:t>
            </w:r>
          </w:p>
        </w:tc>
        <w:tc>
          <w:tcPr>
            <w:tcW w:w="1441" w:type="dxa"/>
            <w:tcBorders>
              <w:top w:val="single" w:sz="8" w:space="0" w:color="000000"/>
              <w:left w:val="nil"/>
              <w:bottom w:val="single" w:sz="8" w:space="0" w:color="000000"/>
              <w:right w:val="single" w:sz="8" w:space="0" w:color="000000"/>
            </w:tcBorders>
            <w:shd w:val="clear" w:color="auto" w:fill="BDD7EE"/>
            <w:vAlign w:val="center"/>
          </w:tcPr>
          <w:p w:rsidR="006F1BDC" w14:paraId="000000AD" w14:textId="77777777">
            <w:pPr>
              <w:jc w:val="center"/>
              <w:rPr>
                <w:b/>
                <w:color w:val="000000"/>
                <w:sz w:val="16"/>
                <w:szCs w:val="16"/>
              </w:rPr>
            </w:pPr>
            <w:r>
              <w:rPr>
                <w:b/>
                <w:color w:val="000000"/>
                <w:sz w:val="16"/>
                <w:szCs w:val="16"/>
              </w:rPr>
              <w:t># of Respondents/year</w:t>
            </w:r>
            <w:r>
              <w:rPr>
                <w:b/>
                <w:color w:val="000000"/>
                <w:sz w:val="16"/>
                <w:szCs w:val="16"/>
              </w:rPr>
              <w:br/>
              <w:t>(a)</w:t>
            </w:r>
          </w:p>
        </w:tc>
        <w:tc>
          <w:tcPr>
            <w:tcW w:w="1153" w:type="dxa"/>
            <w:tcBorders>
              <w:top w:val="single" w:sz="8" w:space="0" w:color="000000"/>
              <w:left w:val="nil"/>
              <w:bottom w:val="single" w:sz="8" w:space="0" w:color="000000"/>
              <w:right w:val="single" w:sz="8" w:space="0" w:color="000000"/>
            </w:tcBorders>
            <w:shd w:val="clear" w:color="auto" w:fill="BDD7EE"/>
            <w:vAlign w:val="center"/>
          </w:tcPr>
          <w:p w:rsidR="006F1BDC" w14:paraId="000000AE" w14:textId="77777777">
            <w:pPr>
              <w:jc w:val="center"/>
              <w:rPr>
                <w:b/>
                <w:color w:val="000000"/>
                <w:sz w:val="16"/>
                <w:szCs w:val="16"/>
              </w:rPr>
            </w:pPr>
            <w:r>
              <w:rPr>
                <w:b/>
                <w:color w:val="000000"/>
                <w:sz w:val="16"/>
                <w:szCs w:val="16"/>
              </w:rPr>
              <w:t>Annual # of Responses / Respondent</w:t>
            </w:r>
            <w:r>
              <w:rPr>
                <w:b/>
                <w:color w:val="000000"/>
                <w:sz w:val="16"/>
                <w:szCs w:val="16"/>
              </w:rPr>
              <w:br/>
              <w:t>(b)</w:t>
            </w:r>
          </w:p>
        </w:tc>
        <w:tc>
          <w:tcPr>
            <w:tcW w:w="1134" w:type="dxa"/>
            <w:tcBorders>
              <w:top w:val="single" w:sz="8" w:space="0" w:color="000000"/>
              <w:left w:val="nil"/>
              <w:bottom w:val="single" w:sz="8" w:space="0" w:color="000000"/>
              <w:right w:val="single" w:sz="8" w:space="0" w:color="000000"/>
            </w:tcBorders>
            <w:shd w:val="clear" w:color="auto" w:fill="BDD7EE"/>
            <w:vAlign w:val="center"/>
          </w:tcPr>
          <w:p w:rsidR="006F1BDC" w14:paraId="000000AF" w14:textId="77777777">
            <w:pPr>
              <w:jc w:val="center"/>
              <w:rPr>
                <w:b/>
                <w:color w:val="000000"/>
                <w:sz w:val="16"/>
                <w:szCs w:val="16"/>
              </w:rPr>
            </w:pPr>
            <w:r>
              <w:rPr>
                <w:b/>
                <w:color w:val="000000"/>
                <w:sz w:val="16"/>
                <w:szCs w:val="16"/>
              </w:rPr>
              <w:t xml:space="preserve"> Total # of Annual Responses</w:t>
            </w:r>
            <w:r>
              <w:rPr>
                <w:b/>
                <w:color w:val="000000"/>
                <w:sz w:val="16"/>
                <w:szCs w:val="16"/>
              </w:rPr>
              <w:br/>
              <w:t>(c) = (a) x (b)</w:t>
            </w:r>
          </w:p>
        </w:tc>
        <w:tc>
          <w:tcPr>
            <w:tcW w:w="1243" w:type="dxa"/>
            <w:tcBorders>
              <w:top w:val="single" w:sz="8" w:space="0" w:color="000000"/>
              <w:left w:val="nil"/>
              <w:bottom w:val="single" w:sz="8" w:space="0" w:color="000000"/>
              <w:right w:val="single" w:sz="8" w:space="0" w:color="000000"/>
            </w:tcBorders>
            <w:shd w:val="clear" w:color="auto" w:fill="BDD7EE"/>
            <w:vAlign w:val="center"/>
          </w:tcPr>
          <w:p w:rsidR="006F1BDC" w14:paraId="000000B0" w14:textId="77777777">
            <w:pPr>
              <w:jc w:val="center"/>
              <w:rPr>
                <w:b/>
                <w:color w:val="000000"/>
                <w:sz w:val="16"/>
                <w:szCs w:val="16"/>
              </w:rPr>
            </w:pPr>
            <w:r>
              <w:rPr>
                <w:b/>
                <w:color w:val="000000"/>
                <w:sz w:val="16"/>
                <w:szCs w:val="16"/>
              </w:rPr>
              <w:t>Cost Burden / Respondent</w:t>
            </w:r>
            <w:r>
              <w:rPr>
                <w:b/>
                <w:color w:val="000000"/>
                <w:sz w:val="16"/>
                <w:szCs w:val="16"/>
              </w:rPr>
              <w:br/>
              <w:t>(h)</w:t>
            </w:r>
          </w:p>
        </w:tc>
        <w:tc>
          <w:tcPr>
            <w:tcW w:w="1285" w:type="dxa"/>
            <w:tcBorders>
              <w:top w:val="single" w:sz="8" w:space="0" w:color="000000"/>
              <w:left w:val="nil"/>
              <w:bottom w:val="single" w:sz="8" w:space="0" w:color="000000"/>
              <w:right w:val="single" w:sz="8" w:space="0" w:color="000000"/>
            </w:tcBorders>
            <w:shd w:val="clear" w:color="auto" w:fill="BDD7EE"/>
            <w:vAlign w:val="center"/>
          </w:tcPr>
          <w:p w:rsidR="006F1BDC" w14:paraId="000000B1" w14:textId="77777777">
            <w:pPr>
              <w:jc w:val="center"/>
              <w:rPr>
                <w:b/>
                <w:color w:val="000000"/>
                <w:sz w:val="16"/>
                <w:szCs w:val="16"/>
              </w:rPr>
            </w:pPr>
            <w:r>
              <w:rPr>
                <w:b/>
                <w:color w:val="000000"/>
                <w:sz w:val="16"/>
                <w:szCs w:val="16"/>
              </w:rPr>
              <w:t>Total Annual Cost Burden</w:t>
            </w:r>
            <w:r>
              <w:rPr>
                <w:b/>
                <w:color w:val="000000"/>
                <w:sz w:val="16"/>
                <w:szCs w:val="16"/>
              </w:rPr>
              <w:br/>
              <w:t>(i) = (c) x (h)</w:t>
            </w:r>
          </w:p>
        </w:tc>
      </w:tr>
      <w:tr w14:paraId="07263E16" w14:textId="77777777">
        <w:tblPrEx>
          <w:tblW w:w="8899" w:type="dxa"/>
          <w:tblInd w:w="118" w:type="dxa"/>
          <w:tblLayout w:type="fixed"/>
          <w:tblLook w:val="0400"/>
        </w:tblPrEx>
        <w:trPr>
          <w:trHeight w:val="260"/>
        </w:trPr>
        <w:tc>
          <w:tcPr>
            <w:tcW w:w="2644" w:type="dxa"/>
            <w:tcBorders>
              <w:top w:val="nil"/>
              <w:left w:val="single" w:sz="8" w:space="0" w:color="000000"/>
              <w:bottom w:val="single" w:sz="4" w:space="0" w:color="000000"/>
              <w:right w:val="single" w:sz="4" w:space="0" w:color="000000"/>
            </w:tcBorders>
            <w:shd w:val="clear" w:color="auto" w:fill="auto"/>
            <w:vAlign w:val="bottom"/>
          </w:tcPr>
          <w:p w:rsidR="006F1BDC" w14:paraId="000000B2" w14:textId="77777777">
            <w:pPr>
              <w:rPr>
                <w:color w:val="000000"/>
                <w:sz w:val="16"/>
                <w:szCs w:val="16"/>
              </w:rPr>
            </w:pPr>
            <w:r>
              <w:rPr>
                <w:color w:val="000000"/>
                <w:sz w:val="16"/>
                <w:szCs w:val="16"/>
              </w:rPr>
              <w:t>Trip Exchange Request</w:t>
            </w:r>
          </w:p>
        </w:tc>
        <w:tc>
          <w:tcPr>
            <w:tcW w:w="1441" w:type="dxa"/>
            <w:tcBorders>
              <w:top w:val="nil"/>
              <w:left w:val="nil"/>
              <w:bottom w:val="single" w:sz="4" w:space="0" w:color="000000"/>
              <w:right w:val="single" w:sz="4" w:space="0" w:color="000000"/>
            </w:tcBorders>
            <w:shd w:val="clear" w:color="auto" w:fill="FFFFFF"/>
            <w:vAlign w:val="center"/>
          </w:tcPr>
          <w:p w:rsidR="006F1BDC" w14:paraId="000000B3" w14:textId="77777777">
            <w:pPr>
              <w:jc w:val="right"/>
              <w:rPr>
                <w:color w:val="000000"/>
                <w:sz w:val="16"/>
                <w:szCs w:val="16"/>
              </w:rPr>
            </w:pPr>
            <w:r>
              <w:rPr>
                <w:color w:val="000000"/>
                <w:sz w:val="16"/>
                <w:szCs w:val="16"/>
              </w:rPr>
              <w:t>180</w:t>
            </w:r>
          </w:p>
        </w:tc>
        <w:tc>
          <w:tcPr>
            <w:tcW w:w="1153" w:type="dxa"/>
            <w:tcBorders>
              <w:top w:val="nil"/>
              <w:left w:val="nil"/>
              <w:bottom w:val="single" w:sz="4" w:space="0" w:color="000000"/>
              <w:right w:val="single" w:sz="4" w:space="0" w:color="000000"/>
            </w:tcBorders>
            <w:shd w:val="clear" w:color="auto" w:fill="FFFFFF"/>
            <w:vAlign w:val="center"/>
          </w:tcPr>
          <w:p w:rsidR="006F1BDC" w14:paraId="000000B4" w14:textId="77777777">
            <w:pPr>
              <w:jc w:val="right"/>
              <w:rPr>
                <w:color w:val="000000"/>
                <w:sz w:val="16"/>
                <w:szCs w:val="16"/>
              </w:rPr>
            </w:pPr>
            <w:r>
              <w:rPr>
                <w:color w:val="000000"/>
                <w:sz w:val="16"/>
                <w:szCs w:val="16"/>
              </w:rPr>
              <w:t>1</w:t>
            </w:r>
          </w:p>
        </w:tc>
        <w:tc>
          <w:tcPr>
            <w:tcW w:w="1134" w:type="dxa"/>
            <w:tcBorders>
              <w:top w:val="nil"/>
              <w:left w:val="nil"/>
              <w:bottom w:val="single" w:sz="4" w:space="0" w:color="000000"/>
              <w:right w:val="single" w:sz="4" w:space="0" w:color="000000"/>
            </w:tcBorders>
            <w:shd w:val="clear" w:color="auto" w:fill="FFFFFF"/>
            <w:vAlign w:val="center"/>
          </w:tcPr>
          <w:p w:rsidR="006F1BDC" w14:paraId="000000B5" w14:textId="582F9935">
            <w:pPr>
              <w:jc w:val="right"/>
              <w:rPr>
                <w:color w:val="000000"/>
                <w:sz w:val="16"/>
                <w:szCs w:val="16"/>
              </w:rPr>
            </w:pPr>
            <w:r>
              <w:rPr>
                <w:color w:val="000000"/>
                <w:sz w:val="16"/>
                <w:szCs w:val="16"/>
              </w:rPr>
              <w:t xml:space="preserve">                 180 </w:t>
            </w:r>
          </w:p>
        </w:tc>
        <w:tc>
          <w:tcPr>
            <w:tcW w:w="1243" w:type="dxa"/>
            <w:tcBorders>
              <w:top w:val="nil"/>
              <w:left w:val="nil"/>
              <w:bottom w:val="single" w:sz="4" w:space="0" w:color="000000"/>
              <w:right w:val="single" w:sz="4" w:space="0" w:color="000000"/>
            </w:tcBorders>
            <w:shd w:val="clear" w:color="auto" w:fill="FFFFFF"/>
            <w:vAlign w:val="center"/>
          </w:tcPr>
          <w:p w:rsidR="006F1BDC" w14:paraId="000000B6" w14:textId="517FD750">
            <w:pPr>
              <w:jc w:val="right"/>
              <w:rPr>
                <w:color w:val="000000"/>
                <w:sz w:val="16"/>
                <w:szCs w:val="16"/>
              </w:rPr>
            </w:pPr>
            <w:r>
              <w:rPr>
                <w:color w:val="000000"/>
                <w:sz w:val="16"/>
                <w:szCs w:val="16"/>
              </w:rPr>
              <w:t xml:space="preserve"> </w:t>
            </w:r>
            <w:sdt>
              <w:sdtPr>
                <w:tag w:val="goog_rdk_7"/>
                <w:id w:val="788554317"/>
                <w:richText/>
              </w:sdtPr>
              <w:sdtContent/>
            </w:sdt>
            <w:sdt>
              <w:sdtPr>
                <w:tag w:val="goog_rdk_8"/>
                <w:id w:val="1960371133"/>
                <w:richText/>
              </w:sdtPr>
              <w:sdtContent/>
            </w:sdt>
            <w:r>
              <w:rPr>
                <w:color w:val="000000"/>
                <w:sz w:val="16"/>
                <w:szCs w:val="16"/>
              </w:rPr>
              <w:t xml:space="preserve">$  </w:t>
            </w:r>
            <w:sdt>
              <w:sdtPr>
                <w:tag w:val="goog_rdk_9"/>
                <w:id w:val="668536928"/>
                <w:showingPlcHdr/>
                <w:richText/>
              </w:sdtPr>
              <w:sdtContent>
                <w:r w:rsidR="00F365D2">
                  <w:t xml:space="preserve">     </w:t>
                </w:r>
              </w:sdtContent>
            </w:sdt>
            <w:sdt>
              <w:sdtPr>
                <w:tag w:val="goog_rdk_10"/>
                <w:id w:val="-2032246771"/>
                <w:showingPlcHdr/>
                <w:richText/>
              </w:sdtPr>
              <w:sdtContent>
                <w:r w:rsidR="00CE1891">
                  <w:t xml:space="preserve">     </w:t>
                </w:r>
              </w:sdtContent>
            </w:sdt>
            <w:sdt>
              <w:sdtPr>
                <w:tag w:val="goog_rdk_11"/>
                <w:id w:val="704911791"/>
                <w:richText/>
              </w:sdtPr>
              <w:sdtContent>
                <w:sdt>
                  <w:sdtPr>
                    <w:tag w:val="goog_rdk_12"/>
                    <w:id w:val="902019839"/>
                    <w:showingPlcHdr/>
                    <w:richText/>
                  </w:sdtPr>
                  <w:sdtContent>
                    <w:r w:rsidR="00CE1891">
                      <w:t xml:space="preserve">     </w:t>
                    </w:r>
                  </w:sdtContent>
                </w:sdt>
              </w:sdtContent>
            </w:sdt>
            <w:sdt>
              <w:sdtPr>
                <w:tag w:val="goog_rdk_13"/>
                <w:id w:val="1404797150"/>
                <w:richText/>
              </w:sdtPr>
              <w:sdtContent>
                <w:sdt>
                  <w:sdtPr>
                    <w:tag w:val="goog_rdk_14"/>
                    <w:id w:val="-1870905958"/>
                    <w:richText/>
                  </w:sdtPr>
                  <w:sdtContent/>
                </w:sdt>
              </w:sdtContent>
            </w:sdt>
            <w:r>
              <w:rPr>
                <w:color w:val="000000"/>
                <w:sz w:val="16"/>
                <w:szCs w:val="16"/>
              </w:rPr>
              <w:t xml:space="preserve"> </w:t>
            </w:r>
          </w:p>
        </w:tc>
        <w:tc>
          <w:tcPr>
            <w:tcW w:w="1285" w:type="dxa"/>
            <w:tcBorders>
              <w:top w:val="nil"/>
              <w:left w:val="nil"/>
              <w:bottom w:val="single" w:sz="4" w:space="0" w:color="000000"/>
              <w:right w:val="single" w:sz="8" w:space="0" w:color="000000"/>
            </w:tcBorders>
            <w:shd w:val="clear" w:color="auto" w:fill="FFFFFF"/>
            <w:vAlign w:val="center"/>
          </w:tcPr>
          <w:p w:rsidR="006F1BDC" w14:paraId="000000B7" w14:textId="6AED2AA5">
            <w:pPr>
              <w:jc w:val="right"/>
              <w:rPr>
                <w:color w:val="000000"/>
                <w:sz w:val="16"/>
                <w:szCs w:val="16"/>
              </w:rPr>
            </w:pPr>
            <w:r>
              <w:rPr>
                <w:color w:val="000000"/>
                <w:sz w:val="16"/>
                <w:szCs w:val="16"/>
              </w:rPr>
              <w:t xml:space="preserve"> $                </w:t>
            </w:r>
            <w:sdt>
              <w:sdtPr>
                <w:tag w:val="goog_rdk_16"/>
                <w:id w:val="-460886142"/>
                <w:richText/>
              </w:sdtPr>
              <w:sdtContent>
                <w:r>
                  <w:rPr>
                    <w:color w:val="000000"/>
                    <w:sz w:val="16"/>
                    <w:szCs w:val="16"/>
                  </w:rPr>
                  <w:t xml:space="preserve">  -  </w:t>
                </w:r>
                <w:sdt>
                  <w:sdtPr>
                    <w:tag w:val="goog_rdk_17"/>
                    <w:id w:val="-212207307"/>
                    <w:showingPlcHdr/>
                    <w:richText/>
                  </w:sdtPr>
                  <w:sdtContent>
                    <w:r w:rsidR="00CE1891">
                      <w:t xml:space="preserve">     </w:t>
                    </w:r>
                  </w:sdtContent>
                </w:sdt>
              </w:sdtContent>
            </w:sdt>
            <w:sdt>
              <w:sdtPr>
                <w:tag w:val="goog_rdk_18"/>
                <w:id w:val="929086139"/>
                <w:showingPlcHdr/>
                <w:richText/>
              </w:sdtPr>
              <w:sdtContent>
                <w:r w:rsidR="00CE1891">
                  <w:t xml:space="preserve">     </w:t>
                </w:r>
              </w:sdtContent>
            </w:sdt>
            <w:r>
              <w:rPr>
                <w:color w:val="000000"/>
                <w:sz w:val="16"/>
                <w:szCs w:val="16"/>
              </w:rPr>
              <w:t xml:space="preserve"> </w:t>
            </w:r>
          </w:p>
        </w:tc>
      </w:tr>
      <w:tr w14:paraId="3D8834CC" w14:textId="77777777">
        <w:tblPrEx>
          <w:tblW w:w="8899" w:type="dxa"/>
          <w:tblInd w:w="118" w:type="dxa"/>
          <w:tblLayout w:type="fixed"/>
          <w:tblLook w:val="0400"/>
        </w:tblPrEx>
        <w:trPr>
          <w:trHeight w:val="465"/>
        </w:trPr>
        <w:tc>
          <w:tcPr>
            <w:tcW w:w="2644" w:type="dxa"/>
            <w:tcBorders>
              <w:top w:val="nil"/>
              <w:left w:val="single" w:sz="8" w:space="0" w:color="000000"/>
              <w:bottom w:val="single" w:sz="4" w:space="0" w:color="000000"/>
              <w:right w:val="single" w:sz="4" w:space="0" w:color="000000"/>
            </w:tcBorders>
            <w:shd w:val="clear" w:color="auto" w:fill="auto"/>
            <w:vAlign w:val="bottom"/>
          </w:tcPr>
          <w:p w:rsidR="006F1BDC" w14:paraId="000000B8" w14:textId="77777777">
            <w:pPr>
              <w:rPr>
                <w:color w:val="000000"/>
                <w:sz w:val="16"/>
                <w:szCs w:val="16"/>
              </w:rPr>
            </w:pPr>
            <w:r>
              <w:rPr>
                <w:color w:val="000000"/>
                <w:sz w:val="16"/>
                <w:szCs w:val="16"/>
              </w:rPr>
              <w:t>Quota Transfer Application (temporary &amp; permanent)</w:t>
            </w:r>
          </w:p>
        </w:tc>
        <w:tc>
          <w:tcPr>
            <w:tcW w:w="1441" w:type="dxa"/>
            <w:tcBorders>
              <w:top w:val="nil"/>
              <w:left w:val="nil"/>
              <w:bottom w:val="single" w:sz="4" w:space="0" w:color="000000"/>
              <w:right w:val="single" w:sz="4" w:space="0" w:color="000000"/>
            </w:tcBorders>
            <w:shd w:val="clear" w:color="auto" w:fill="FFFFFF"/>
            <w:vAlign w:val="center"/>
          </w:tcPr>
          <w:p w:rsidR="006F1BDC" w14:paraId="000000B9" w14:textId="77777777">
            <w:pPr>
              <w:jc w:val="right"/>
              <w:rPr>
                <w:color w:val="000000"/>
                <w:sz w:val="16"/>
                <w:szCs w:val="16"/>
              </w:rPr>
            </w:pPr>
            <w:r>
              <w:rPr>
                <w:color w:val="000000"/>
                <w:sz w:val="16"/>
                <w:szCs w:val="16"/>
              </w:rPr>
              <w:t>420</w:t>
            </w:r>
          </w:p>
        </w:tc>
        <w:tc>
          <w:tcPr>
            <w:tcW w:w="1153" w:type="dxa"/>
            <w:tcBorders>
              <w:top w:val="nil"/>
              <w:left w:val="nil"/>
              <w:bottom w:val="single" w:sz="4" w:space="0" w:color="000000"/>
              <w:right w:val="single" w:sz="4" w:space="0" w:color="000000"/>
            </w:tcBorders>
            <w:shd w:val="clear" w:color="auto" w:fill="FFFFFF"/>
            <w:vAlign w:val="center"/>
          </w:tcPr>
          <w:p w:rsidR="006F1BDC" w14:paraId="000000BA" w14:textId="77777777">
            <w:pPr>
              <w:jc w:val="right"/>
              <w:rPr>
                <w:color w:val="000000"/>
                <w:sz w:val="16"/>
                <w:szCs w:val="16"/>
              </w:rPr>
            </w:pPr>
            <w:r>
              <w:rPr>
                <w:color w:val="000000"/>
                <w:sz w:val="16"/>
                <w:szCs w:val="16"/>
              </w:rPr>
              <w:t>1</w:t>
            </w:r>
          </w:p>
        </w:tc>
        <w:tc>
          <w:tcPr>
            <w:tcW w:w="1134" w:type="dxa"/>
            <w:tcBorders>
              <w:top w:val="nil"/>
              <w:left w:val="nil"/>
              <w:bottom w:val="single" w:sz="4" w:space="0" w:color="000000"/>
              <w:right w:val="single" w:sz="4" w:space="0" w:color="000000"/>
            </w:tcBorders>
            <w:shd w:val="clear" w:color="auto" w:fill="FFFFFF"/>
            <w:vAlign w:val="center"/>
          </w:tcPr>
          <w:p w:rsidR="006F1BDC" w14:paraId="000000BB" w14:textId="0F53B30F">
            <w:pPr>
              <w:jc w:val="right"/>
              <w:rPr>
                <w:color w:val="000000"/>
                <w:sz w:val="16"/>
                <w:szCs w:val="16"/>
              </w:rPr>
            </w:pPr>
            <w:r>
              <w:rPr>
                <w:color w:val="000000"/>
                <w:sz w:val="16"/>
                <w:szCs w:val="16"/>
              </w:rPr>
              <w:t xml:space="preserve">                 420 </w:t>
            </w:r>
          </w:p>
        </w:tc>
        <w:tc>
          <w:tcPr>
            <w:tcW w:w="1243" w:type="dxa"/>
            <w:tcBorders>
              <w:top w:val="nil"/>
              <w:left w:val="nil"/>
              <w:bottom w:val="single" w:sz="4" w:space="0" w:color="000000"/>
              <w:right w:val="single" w:sz="4" w:space="0" w:color="000000"/>
            </w:tcBorders>
            <w:shd w:val="clear" w:color="auto" w:fill="FFFFFF"/>
            <w:vAlign w:val="center"/>
          </w:tcPr>
          <w:p w:rsidR="006F1BDC" w14:paraId="000000BC" w14:textId="072F1DD6">
            <w:pPr>
              <w:jc w:val="right"/>
              <w:rPr>
                <w:color w:val="000000"/>
                <w:sz w:val="16"/>
                <w:szCs w:val="16"/>
              </w:rPr>
            </w:pPr>
            <w:r>
              <w:rPr>
                <w:color w:val="000000"/>
                <w:sz w:val="16"/>
                <w:szCs w:val="16"/>
              </w:rPr>
              <w:t xml:space="preserve"> $ </w:t>
            </w:r>
            <w:r>
              <w:rPr>
                <w:color w:val="000000"/>
                <w:sz w:val="16"/>
                <w:szCs w:val="16"/>
              </w:rPr>
              <w:t xml:space="preserve">        </w:t>
            </w:r>
            <w:sdt>
              <w:sdtPr>
                <w:tag w:val="goog_rdk_19"/>
                <w:id w:val="-1034889972"/>
                <w:richText/>
              </w:sdtPr>
              <w:sdtContent>
                <w:r>
                  <w:rPr>
                    <w:color w:val="000000"/>
                    <w:sz w:val="16"/>
                    <w:szCs w:val="16"/>
                  </w:rPr>
                  <w:t xml:space="preserve">  -  </w:t>
                </w:r>
              </w:sdtContent>
            </w:sdt>
            <w:sdt>
              <w:sdtPr>
                <w:tag w:val="goog_rdk_20"/>
                <w:id w:val="-1666323633"/>
                <w:showingPlcHdr/>
                <w:richText/>
              </w:sdtPr>
              <w:sdtContent>
                <w:r w:rsidR="00CE1891">
                  <w:t xml:space="preserve">     </w:t>
                </w:r>
              </w:sdtContent>
            </w:sdt>
            <w:sdt>
              <w:sdtPr>
                <w:tag w:val="goog_rdk_21"/>
                <w:id w:val="1247697250"/>
                <w:richText/>
              </w:sdtPr>
              <w:sdtContent>
                <w:sdt>
                  <w:sdtPr>
                    <w:tag w:val="goog_rdk_22"/>
                    <w:id w:val="-1812943129"/>
                    <w:showingPlcHdr/>
                    <w:richText/>
                  </w:sdtPr>
                  <w:sdtContent>
                    <w:r w:rsidR="00CE1891">
                      <w:t xml:space="preserve">     </w:t>
                    </w:r>
                  </w:sdtContent>
                </w:sdt>
              </w:sdtContent>
            </w:sdt>
            <w:sdt>
              <w:sdtPr>
                <w:tag w:val="goog_rdk_23"/>
                <w:id w:val="1766272138"/>
                <w:showingPlcHdr/>
                <w:richText/>
              </w:sdtPr>
              <w:sdtContent>
                <w:r w:rsidR="00CE1891">
                  <w:t xml:space="preserve">     </w:t>
                </w:r>
              </w:sdtContent>
            </w:sdt>
            <w:r>
              <w:rPr>
                <w:color w:val="000000"/>
                <w:sz w:val="16"/>
                <w:szCs w:val="16"/>
              </w:rPr>
              <w:t xml:space="preserve"> </w:t>
            </w:r>
          </w:p>
        </w:tc>
        <w:tc>
          <w:tcPr>
            <w:tcW w:w="1285" w:type="dxa"/>
            <w:tcBorders>
              <w:top w:val="nil"/>
              <w:left w:val="nil"/>
              <w:bottom w:val="single" w:sz="4" w:space="0" w:color="000000"/>
              <w:right w:val="single" w:sz="8" w:space="0" w:color="000000"/>
            </w:tcBorders>
            <w:shd w:val="clear" w:color="auto" w:fill="FFFFFF"/>
            <w:vAlign w:val="center"/>
          </w:tcPr>
          <w:p w:rsidR="006F1BDC" w14:paraId="000000BD" w14:textId="631327BC">
            <w:pPr>
              <w:jc w:val="right"/>
              <w:rPr>
                <w:color w:val="000000"/>
                <w:sz w:val="16"/>
                <w:szCs w:val="16"/>
              </w:rPr>
            </w:pPr>
            <w:r>
              <w:rPr>
                <w:color w:val="000000"/>
                <w:sz w:val="16"/>
                <w:szCs w:val="16"/>
              </w:rPr>
              <w:t xml:space="preserve"> $           </w:t>
            </w:r>
            <w:sdt>
              <w:sdtPr>
                <w:tag w:val="goog_rdk_24"/>
                <w:id w:val="33394263"/>
                <w:richText/>
              </w:sdtPr>
              <w:sdtContent>
                <w:r>
                  <w:rPr>
                    <w:color w:val="000000"/>
                    <w:sz w:val="16"/>
                    <w:szCs w:val="16"/>
                  </w:rPr>
                  <w:t xml:space="preserve">  -  </w:t>
                </w:r>
              </w:sdtContent>
            </w:sdt>
            <w:sdt>
              <w:sdtPr>
                <w:tag w:val="goog_rdk_25"/>
                <w:id w:val="172465233"/>
                <w:showingPlcHdr/>
                <w:richText/>
              </w:sdtPr>
              <w:sdtContent>
                <w:r w:rsidR="00CE1891">
                  <w:t xml:space="preserve">     </w:t>
                </w:r>
              </w:sdtContent>
            </w:sdt>
            <w:sdt>
              <w:sdtPr>
                <w:tag w:val="goog_rdk_26"/>
                <w:id w:val="909809250"/>
                <w:richText/>
              </w:sdtPr>
              <w:sdtContent>
                <w:sdt>
                  <w:sdtPr>
                    <w:tag w:val="goog_rdk_27"/>
                    <w:id w:val="840348708"/>
                    <w:showingPlcHdr/>
                    <w:richText/>
                  </w:sdtPr>
                  <w:sdtContent>
                    <w:r w:rsidR="00CE1891">
                      <w:t xml:space="preserve">     </w:t>
                    </w:r>
                  </w:sdtContent>
                </w:sdt>
              </w:sdtContent>
            </w:sdt>
            <w:sdt>
              <w:sdtPr>
                <w:tag w:val="goog_rdk_28"/>
                <w:id w:val="-1833671508"/>
                <w:showingPlcHdr/>
                <w:richText/>
              </w:sdtPr>
              <w:sdtContent>
                <w:r w:rsidR="00CE1891">
                  <w:t xml:space="preserve">     </w:t>
                </w:r>
              </w:sdtContent>
            </w:sdt>
            <w:r>
              <w:rPr>
                <w:color w:val="000000"/>
                <w:sz w:val="16"/>
                <w:szCs w:val="16"/>
              </w:rPr>
              <w:t xml:space="preserve"> </w:t>
            </w:r>
          </w:p>
        </w:tc>
      </w:tr>
      <w:tr w14:paraId="2D5E453C" w14:textId="77777777">
        <w:tblPrEx>
          <w:tblW w:w="8899" w:type="dxa"/>
          <w:tblInd w:w="118" w:type="dxa"/>
          <w:tblLayout w:type="fixed"/>
          <w:tblLook w:val="0400"/>
        </w:tblPrEx>
        <w:trPr>
          <w:trHeight w:val="233"/>
        </w:trPr>
        <w:tc>
          <w:tcPr>
            <w:tcW w:w="2644" w:type="dxa"/>
            <w:tcBorders>
              <w:top w:val="nil"/>
              <w:left w:val="single" w:sz="8" w:space="0" w:color="000000"/>
              <w:bottom w:val="single" w:sz="4" w:space="0" w:color="000000"/>
              <w:right w:val="single" w:sz="4" w:space="0" w:color="000000"/>
            </w:tcBorders>
            <w:shd w:val="clear" w:color="auto" w:fill="auto"/>
            <w:vAlign w:val="bottom"/>
          </w:tcPr>
          <w:p w:rsidR="006F1BDC" w14:paraId="000000BE" w14:textId="77777777">
            <w:pPr>
              <w:rPr>
                <w:color w:val="000000"/>
                <w:sz w:val="16"/>
                <w:szCs w:val="16"/>
              </w:rPr>
            </w:pPr>
            <w:r>
              <w:rPr>
                <w:color w:val="000000"/>
                <w:sz w:val="16"/>
                <w:szCs w:val="16"/>
              </w:rPr>
              <w:t>Cost Recovery</w:t>
            </w:r>
          </w:p>
        </w:tc>
        <w:tc>
          <w:tcPr>
            <w:tcW w:w="1441" w:type="dxa"/>
            <w:tcBorders>
              <w:top w:val="nil"/>
              <w:left w:val="nil"/>
              <w:bottom w:val="nil"/>
              <w:right w:val="single" w:sz="4" w:space="0" w:color="000000"/>
            </w:tcBorders>
            <w:shd w:val="clear" w:color="auto" w:fill="FFFFFF"/>
            <w:vAlign w:val="center"/>
          </w:tcPr>
          <w:p w:rsidR="006F1BDC" w14:paraId="000000BF" w14:textId="77777777">
            <w:pPr>
              <w:jc w:val="right"/>
              <w:rPr>
                <w:color w:val="000000"/>
                <w:sz w:val="16"/>
                <w:szCs w:val="16"/>
              </w:rPr>
            </w:pPr>
            <w:r>
              <w:rPr>
                <w:color w:val="000000"/>
                <w:sz w:val="16"/>
                <w:szCs w:val="16"/>
              </w:rPr>
              <w:t>200</w:t>
            </w:r>
          </w:p>
        </w:tc>
        <w:tc>
          <w:tcPr>
            <w:tcW w:w="1153" w:type="dxa"/>
            <w:tcBorders>
              <w:top w:val="nil"/>
              <w:left w:val="nil"/>
              <w:bottom w:val="nil"/>
              <w:right w:val="single" w:sz="4" w:space="0" w:color="000000"/>
            </w:tcBorders>
            <w:shd w:val="clear" w:color="auto" w:fill="FFFFFF"/>
            <w:vAlign w:val="center"/>
          </w:tcPr>
          <w:p w:rsidR="006F1BDC" w14:paraId="000000C0" w14:textId="77777777">
            <w:pPr>
              <w:jc w:val="right"/>
              <w:rPr>
                <w:color w:val="000000"/>
                <w:sz w:val="16"/>
                <w:szCs w:val="16"/>
              </w:rPr>
            </w:pPr>
            <w:r>
              <w:rPr>
                <w:color w:val="000000"/>
                <w:sz w:val="16"/>
                <w:szCs w:val="16"/>
              </w:rPr>
              <w:t>1</w:t>
            </w:r>
          </w:p>
        </w:tc>
        <w:tc>
          <w:tcPr>
            <w:tcW w:w="1134" w:type="dxa"/>
            <w:tcBorders>
              <w:top w:val="nil"/>
              <w:left w:val="nil"/>
              <w:bottom w:val="nil"/>
              <w:right w:val="single" w:sz="4" w:space="0" w:color="000000"/>
            </w:tcBorders>
            <w:shd w:val="clear" w:color="auto" w:fill="FFFFFF"/>
            <w:vAlign w:val="center"/>
          </w:tcPr>
          <w:p w:rsidR="006F1BDC" w14:paraId="000000C1" w14:textId="0979DE7D">
            <w:pPr>
              <w:jc w:val="right"/>
              <w:rPr>
                <w:color w:val="000000"/>
                <w:sz w:val="16"/>
                <w:szCs w:val="16"/>
              </w:rPr>
            </w:pPr>
            <w:r>
              <w:rPr>
                <w:color w:val="000000"/>
                <w:sz w:val="16"/>
                <w:szCs w:val="16"/>
              </w:rPr>
              <w:t xml:space="preserve">                 200 </w:t>
            </w:r>
          </w:p>
        </w:tc>
        <w:tc>
          <w:tcPr>
            <w:tcW w:w="1243" w:type="dxa"/>
            <w:tcBorders>
              <w:top w:val="nil"/>
              <w:left w:val="nil"/>
              <w:bottom w:val="nil"/>
              <w:right w:val="single" w:sz="4" w:space="0" w:color="000000"/>
            </w:tcBorders>
            <w:shd w:val="clear" w:color="auto" w:fill="FFFFFF"/>
            <w:vAlign w:val="center"/>
          </w:tcPr>
          <w:p w:rsidR="006F1BDC" w14:paraId="000000C2" w14:textId="2F84A5F0">
            <w:pPr>
              <w:jc w:val="right"/>
              <w:rPr>
                <w:color w:val="000000"/>
                <w:sz w:val="16"/>
                <w:szCs w:val="16"/>
              </w:rPr>
            </w:pPr>
            <w:r>
              <w:rPr>
                <w:color w:val="000000"/>
                <w:sz w:val="16"/>
                <w:szCs w:val="16"/>
              </w:rPr>
              <w:t xml:space="preserve"> $   </w:t>
            </w:r>
            <w:r>
              <w:rPr>
                <w:color w:val="000000"/>
                <w:sz w:val="16"/>
                <w:szCs w:val="16"/>
              </w:rPr>
              <w:t xml:space="preserve">                  -   </w:t>
            </w:r>
          </w:p>
        </w:tc>
        <w:tc>
          <w:tcPr>
            <w:tcW w:w="1285" w:type="dxa"/>
            <w:tcBorders>
              <w:top w:val="nil"/>
              <w:left w:val="nil"/>
              <w:bottom w:val="single" w:sz="4" w:space="0" w:color="000000"/>
              <w:right w:val="single" w:sz="8" w:space="0" w:color="000000"/>
            </w:tcBorders>
            <w:shd w:val="clear" w:color="auto" w:fill="FFFFFF"/>
            <w:vAlign w:val="center"/>
          </w:tcPr>
          <w:p w:rsidR="006F1BDC" w14:paraId="000000C3" w14:textId="77777777">
            <w:pPr>
              <w:jc w:val="right"/>
              <w:rPr>
                <w:color w:val="000000"/>
                <w:sz w:val="16"/>
                <w:szCs w:val="16"/>
              </w:rPr>
            </w:pPr>
            <w:r>
              <w:rPr>
                <w:color w:val="000000"/>
                <w:sz w:val="16"/>
                <w:szCs w:val="16"/>
              </w:rPr>
              <w:t xml:space="preserve"> $                        -   </w:t>
            </w:r>
          </w:p>
        </w:tc>
      </w:tr>
      <w:tr w14:paraId="1492E172" w14:textId="77777777">
        <w:tblPrEx>
          <w:tblW w:w="8899" w:type="dxa"/>
          <w:tblInd w:w="118" w:type="dxa"/>
          <w:tblLayout w:type="fixed"/>
          <w:tblLook w:val="0400"/>
        </w:tblPrEx>
        <w:trPr>
          <w:trHeight w:val="260"/>
        </w:trPr>
        <w:tc>
          <w:tcPr>
            <w:tcW w:w="2644" w:type="dxa"/>
            <w:tcBorders>
              <w:top w:val="nil"/>
              <w:left w:val="single" w:sz="8" w:space="0" w:color="000000"/>
              <w:bottom w:val="single" w:sz="4" w:space="0" w:color="000000"/>
              <w:right w:val="single" w:sz="4" w:space="0" w:color="000000"/>
            </w:tcBorders>
            <w:shd w:val="clear" w:color="auto" w:fill="auto"/>
            <w:vAlign w:val="bottom"/>
          </w:tcPr>
          <w:p w:rsidR="006F1BDC" w14:paraId="000000C4" w14:textId="77777777">
            <w:pPr>
              <w:rPr>
                <w:color w:val="000000"/>
                <w:sz w:val="16"/>
                <w:szCs w:val="16"/>
              </w:rPr>
            </w:pPr>
            <w:r>
              <w:rPr>
                <w:color w:val="000000"/>
                <w:sz w:val="16"/>
                <w:szCs w:val="16"/>
              </w:rPr>
              <w:t xml:space="preserve">Sector Proposals </w:t>
            </w:r>
          </w:p>
        </w:tc>
        <w:tc>
          <w:tcPr>
            <w:tcW w:w="1441" w:type="dxa"/>
            <w:tcBorders>
              <w:top w:val="single" w:sz="4" w:space="0" w:color="000000"/>
              <w:left w:val="nil"/>
              <w:bottom w:val="single" w:sz="4" w:space="0" w:color="000000"/>
              <w:right w:val="single" w:sz="4" w:space="0" w:color="000000"/>
            </w:tcBorders>
            <w:shd w:val="clear" w:color="auto" w:fill="FFFFFF"/>
            <w:vAlign w:val="center"/>
          </w:tcPr>
          <w:p w:rsidR="006F1BDC" w14:paraId="000000C5" w14:textId="77777777">
            <w:pPr>
              <w:jc w:val="right"/>
              <w:rPr>
                <w:color w:val="000000"/>
                <w:sz w:val="16"/>
                <w:szCs w:val="16"/>
              </w:rPr>
            </w:pPr>
            <w:r>
              <w:rPr>
                <w:color w:val="000000"/>
                <w:sz w:val="16"/>
                <w:szCs w:val="16"/>
              </w:rPr>
              <w:t>2</w:t>
            </w:r>
          </w:p>
        </w:tc>
        <w:tc>
          <w:tcPr>
            <w:tcW w:w="1153" w:type="dxa"/>
            <w:tcBorders>
              <w:top w:val="single" w:sz="4" w:space="0" w:color="000000"/>
              <w:left w:val="nil"/>
              <w:bottom w:val="single" w:sz="4" w:space="0" w:color="000000"/>
              <w:right w:val="single" w:sz="4" w:space="0" w:color="000000"/>
            </w:tcBorders>
            <w:shd w:val="clear" w:color="auto" w:fill="FFFFFF"/>
            <w:vAlign w:val="center"/>
          </w:tcPr>
          <w:p w:rsidR="006F1BDC" w14:paraId="000000C6" w14:textId="77777777">
            <w:pPr>
              <w:jc w:val="right"/>
              <w:rPr>
                <w:color w:val="000000"/>
                <w:sz w:val="16"/>
                <w:szCs w:val="16"/>
              </w:rPr>
            </w:pPr>
            <w:r>
              <w:rPr>
                <w:color w:val="000000"/>
                <w:sz w:val="16"/>
                <w:szCs w:val="16"/>
              </w:rPr>
              <w:t>1</w:t>
            </w:r>
          </w:p>
        </w:tc>
        <w:tc>
          <w:tcPr>
            <w:tcW w:w="1134" w:type="dxa"/>
            <w:tcBorders>
              <w:top w:val="single" w:sz="4" w:space="0" w:color="000000"/>
              <w:left w:val="nil"/>
              <w:bottom w:val="single" w:sz="4" w:space="0" w:color="000000"/>
              <w:right w:val="single" w:sz="4" w:space="0" w:color="000000"/>
            </w:tcBorders>
            <w:shd w:val="clear" w:color="auto" w:fill="FFFFFF"/>
            <w:vAlign w:val="center"/>
          </w:tcPr>
          <w:p w:rsidR="006F1BDC" w14:paraId="000000C7" w14:textId="77777777">
            <w:pPr>
              <w:jc w:val="right"/>
              <w:rPr>
                <w:color w:val="000000"/>
                <w:sz w:val="16"/>
                <w:szCs w:val="16"/>
              </w:rPr>
            </w:pPr>
            <w:r>
              <w:rPr>
                <w:color w:val="000000"/>
                <w:sz w:val="16"/>
                <w:szCs w:val="16"/>
              </w:rPr>
              <w:t>2</w:t>
            </w:r>
          </w:p>
        </w:tc>
        <w:tc>
          <w:tcPr>
            <w:tcW w:w="1243" w:type="dxa"/>
            <w:tcBorders>
              <w:top w:val="single" w:sz="4" w:space="0" w:color="000000"/>
              <w:left w:val="nil"/>
              <w:bottom w:val="single" w:sz="4" w:space="0" w:color="000000"/>
              <w:right w:val="single" w:sz="4" w:space="0" w:color="000000"/>
            </w:tcBorders>
            <w:shd w:val="clear" w:color="auto" w:fill="FFFFFF"/>
            <w:vAlign w:val="center"/>
          </w:tcPr>
          <w:p w:rsidR="006F1BDC" w14:paraId="000000C8" w14:textId="03AC3CC3">
            <w:pPr>
              <w:jc w:val="right"/>
              <w:rPr>
                <w:color w:val="000000"/>
                <w:sz w:val="16"/>
                <w:szCs w:val="16"/>
              </w:rPr>
            </w:pPr>
            <w:r>
              <w:rPr>
                <w:color w:val="000000"/>
                <w:sz w:val="16"/>
                <w:szCs w:val="16"/>
              </w:rPr>
              <w:t xml:space="preserve"> $</w:t>
            </w:r>
            <w:r>
              <w:rPr>
                <w:color w:val="000000"/>
                <w:sz w:val="16"/>
                <w:szCs w:val="16"/>
              </w:rPr>
              <w:t xml:space="preserve">              2.00 </w:t>
            </w:r>
          </w:p>
        </w:tc>
        <w:tc>
          <w:tcPr>
            <w:tcW w:w="1285" w:type="dxa"/>
            <w:tcBorders>
              <w:top w:val="nil"/>
              <w:left w:val="nil"/>
              <w:bottom w:val="single" w:sz="4" w:space="0" w:color="000000"/>
              <w:right w:val="single" w:sz="8" w:space="0" w:color="000000"/>
            </w:tcBorders>
            <w:shd w:val="clear" w:color="auto" w:fill="FFFFFF"/>
            <w:vAlign w:val="center"/>
          </w:tcPr>
          <w:p w:rsidR="006F1BDC" w14:paraId="000000C9" w14:textId="77777777">
            <w:pPr>
              <w:jc w:val="right"/>
              <w:rPr>
                <w:color w:val="000000"/>
                <w:sz w:val="16"/>
                <w:szCs w:val="16"/>
              </w:rPr>
            </w:pPr>
            <w:r>
              <w:rPr>
                <w:color w:val="000000"/>
                <w:sz w:val="16"/>
                <w:szCs w:val="16"/>
              </w:rPr>
              <w:t xml:space="preserve"> $                  4.00 </w:t>
            </w:r>
          </w:p>
        </w:tc>
      </w:tr>
      <w:sdt>
        <w:sdtPr>
          <w:tag w:val="goog_rdk_29"/>
          <w:id w:val="-1304145653"/>
          <w:richText/>
        </w:sdtPr>
        <w:sdtContent>
          <w:tr w14:paraId="61DF934D" w14:textId="77777777" w:rsidTr="00CE1891">
            <w:tblPrEx>
              <w:tblW w:w="8899" w:type="dxa"/>
              <w:tblInd w:w="118" w:type="dxa"/>
              <w:tblLayout w:type="fixed"/>
              <w:tblLook w:val="0400"/>
            </w:tblPrEx>
            <w:trPr>
              <w:trHeight w:val="400"/>
            </w:trPr>
            <w:tc>
              <w:tcPr>
                <w:tcW w:w="2644" w:type="dxa"/>
                <w:tcBorders>
                  <w:top w:val="nil"/>
                  <w:left w:val="single" w:sz="8" w:space="0" w:color="000000"/>
                  <w:bottom w:val="single" w:sz="4" w:space="0" w:color="000000"/>
                  <w:right w:val="single" w:sz="4" w:space="0" w:color="000000"/>
                </w:tcBorders>
                <w:shd w:val="clear" w:color="auto" w:fill="auto"/>
                <w:vAlign w:val="bottom"/>
              </w:tcPr>
              <w:p w:rsidR="006F1BDC" w14:paraId="000000CA" w14:textId="77777777">
                <w:pPr>
                  <w:rPr>
                    <w:color w:val="000000"/>
                    <w:sz w:val="16"/>
                    <w:szCs w:val="16"/>
                  </w:rPr>
                </w:pPr>
                <w:r>
                  <w:rPr>
                    <w:color w:val="000000"/>
                    <w:sz w:val="16"/>
                    <w:szCs w:val="16"/>
                  </w:rPr>
                  <w:t>Sector Operation Plans</w:t>
                </w:r>
              </w:p>
            </w:tc>
            <w:tc>
              <w:tcPr>
                <w:tcW w:w="1441" w:type="dxa"/>
                <w:tcBorders>
                  <w:top w:val="single" w:sz="4" w:space="0" w:color="000000"/>
                  <w:left w:val="nil"/>
                  <w:bottom w:val="single" w:sz="4" w:space="0" w:color="000000"/>
                  <w:right w:val="single" w:sz="4" w:space="0" w:color="000000"/>
                </w:tcBorders>
                <w:shd w:val="clear" w:color="auto" w:fill="FFFFFF"/>
                <w:vAlign w:val="center"/>
              </w:tcPr>
              <w:p w:rsidR="006F1BDC" w14:paraId="000000CB" w14:textId="77777777">
                <w:pPr>
                  <w:jc w:val="right"/>
                  <w:rPr>
                    <w:color w:val="000000"/>
                    <w:sz w:val="16"/>
                    <w:szCs w:val="16"/>
                  </w:rPr>
                </w:pPr>
                <w:r>
                  <w:rPr>
                    <w:color w:val="000000"/>
                    <w:sz w:val="16"/>
                    <w:szCs w:val="16"/>
                  </w:rPr>
                  <w:t>2</w:t>
                </w:r>
              </w:p>
            </w:tc>
            <w:tc>
              <w:tcPr>
                <w:tcW w:w="1153" w:type="dxa"/>
                <w:tcBorders>
                  <w:top w:val="single" w:sz="4" w:space="0" w:color="000000"/>
                  <w:left w:val="nil"/>
                  <w:bottom w:val="single" w:sz="4" w:space="0" w:color="000000"/>
                  <w:right w:val="single" w:sz="4" w:space="0" w:color="000000"/>
                </w:tcBorders>
                <w:shd w:val="clear" w:color="auto" w:fill="FFFFFF"/>
                <w:vAlign w:val="center"/>
              </w:tcPr>
              <w:p w:rsidR="006F1BDC" w14:paraId="000000CC" w14:textId="77777777">
                <w:pPr>
                  <w:jc w:val="right"/>
                  <w:rPr>
                    <w:color w:val="000000"/>
                    <w:sz w:val="16"/>
                    <w:szCs w:val="16"/>
                  </w:rPr>
                </w:pPr>
                <w:r>
                  <w:rPr>
                    <w:color w:val="000000"/>
                    <w:sz w:val="16"/>
                    <w:szCs w:val="16"/>
                  </w:rPr>
                  <w:t>1</w:t>
                </w:r>
              </w:p>
            </w:tc>
            <w:tc>
              <w:tcPr>
                <w:tcW w:w="1134" w:type="dxa"/>
                <w:tcBorders>
                  <w:top w:val="single" w:sz="4" w:space="0" w:color="000000"/>
                  <w:left w:val="nil"/>
                  <w:bottom w:val="single" w:sz="4" w:space="0" w:color="000000"/>
                  <w:right w:val="single" w:sz="4" w:space="0" w:color="000000"/>
                </w:tcBorders>
                <w:shd w:val="clear" w:color="auto" w:fill="FFFFFF"/>
                <w:vAlign w:val="center"/>
              </w:tcPr>
              <w:p w:rsidR="006F1BDC" w14:paraId="000000CD" w14:textId="77777777">
                <w:pPr>
                  <w:jc w:val="right"/>
                  <w:rPr>
                    <w:color w:val="000000"/>
                    <w:sz w:val="16"/>
                    <w:szCs w:val="16"/>
                  </w:rPr>
                </w:pPr>
                <w:r>
                  <w:rPr>
                    <w:color w:val="000000"/>
                    <w:sz w:val="16"/>
                    <w:szCs w:val="16"/>
                  </w:rPr>
                  <w:t>2</w:t>
                </w:r>
              </w:p>
            </w:tc>
            <w:tc>
              <w:tcPr>
                <w:tcW w:w="1243" w:type="dxa"/>
                <w:tcBorders>
                  <w:top w:val="single" w:sz="4" w:space="0" w:color="000000"/>
                  <w:left w:val="nil"/>
                  <w:bottom w:val="single" w:sz="4" w:space="0" w:color="000000"/>
                  <w:right w:val="single" w:sz="4" w:space="0" w:color="000000"/>
                </w:tcBorders>
                <w:shd w:val="clear" w:color="auto" w:fill="FFFFFF"/>
                <w:vAlign w:val="center"/>
              </w:tcPr>
              <w:p w:rsidR="006F1BDC" w14:paraId="000000CE" w14:textId="01A3C775">
                <w:pPr>
                  <w:jc w:val="right"/>
                  <w:rPr>
                    <w:color w:val="000000"/>
                    <w:sz w:val="16"/>
                    <w:szCs w:val="16"/>
                  </w:rPr>
                </w:pPr>
                <w:r>
                  <w:rPr>
                    <w:color w:val="000000"/>
                    <w:sz w:val="16"/>
                    <w:szCs w:val="16"/>
                  </w:rPr>
                  <w:t xml:space="preserve">$     </w:t>
                </w:r>
                <w:r>
                  <w:rPr>
                    <w:color w:val="000000"/>
                    <w:sz w:val="16"/>
                    <w:szCs w:val="16"/>
                  </w:rPr>
                  <w:t xml:space="preserve">           2.00</w:t>
                </w:r>
              </w:p>
            </w:tc>
            <w:tc>
              <w:tcPr>
                <w:tcW w:w="1285" w:type="dxa"/>
                <w:tcBorders>
                  <w:top w:val="nil"/>
                  <w:left w:val="nil"/>
                  <w:bottom w:val="single" w:sz="4" w:space="0" w:color="000000"/>
                  <w:right w:val="single" w:sz="8" w:space="0" w:color="000000"/>
                </w:tcBorders>
                <w:shd w:val="clear" w:color="auto" w:fill="FFFFFF"/>
                <w:vAlign w:val="center"/>
              </w:tcPr>
              <w:p w:rsidR="006F1BDC" w14:paraId="000000CF" w14:textId="77777777">
                <w:pPr>
                  <w:jc w:val="right"/>
                  <w:rPr>
                    <w:color w:val="000000"/>
                    <w:sz w:val="16"/>
                    <w:szCs w:val="16"/>
                  </w:rPr>
                </w:pPr>
                <w:r>
                  <w:rPr>
                    <w:color w:val="000000"/>
                    <w:sz w:val="16"/>
                    <w:szCs w:val="16"/>
                  </w:rPr>
                  <w:t>$                  4.00</w:t>
                </w:r>
              </w:p>
            </w:tc>
          </w:tr>
        </w:sdtContent>
      </w:sdt>
      <w:tr w14:paraId="4D8D6E58" w14:textId="77777777">
        <w:tblPrEx>
          <w:tblW w:w="8899" w:type="dxa"/>
          <w:tblInd w:w="118" w:type="dxa"/>
          <w:tblLayout w:type="fixed"/>
          <w:tblLook w:val="0400"/>
        </w:tblPrEx>
        <w:trPr>
          <w:trHeight w:val="250"/>
        </w:trPr>
        <w:tc>
          <w:tcPr>
            <w:tcW w:w="2644" w:type="dxa"/>
            <w:tcBorders>
              <w:top w:val="single" w:sz="8" w:space="0" w:color="000000"/>
              <w:left w:val="single" w:sz="8" w:space="0" w:color="000000"/>
              <w:bottom w:val="single" w:sz="8" w:space="0" w:color="000000"/>
              <w:right w:val="single" w:sz="4" w:space="0" w:color="000000"/>
            </w:tcBorders>
            <w:shd w:val="clear" w:color="auto" w:fill="DDEBF7"/>
            <w:vAlign w:val="center"/>
          </w:tcPr>
          <w:p w:rsidR="006F1BDC" w14:paraId="000000D0" w14:textId="77777777">
            <w:pPr>
              <w:jc w:val="right"/>
              <w:rPr>
                <w:b/>
                <w:color w:val="000000"/>
                <w:sz w:val="16"/>
                <w:szCs w:val="16"/>
              </w:rPr>
            </w:pPr>
            <w:r>
              <w:rPr>
                <w:b/>
                <w:color w:val="000000"/>
                <w:sz w:val="16"/>
                <w:szCs w:val="16"/>
              </w:rPr>
              <w:t>TOTALS</w:t>
            </w:r>
          </w:p>
        </w:tc>
        <w:tc>
          <w:tcPr>
            <w:tcW w:w="1441" w:type="dxa"/>
            <w:tcBorders>
              <w:top w:val="single" w:sz="8" w:space="0" w:color="000000"/>
              <w:left w:val="nil"/>
              <w:bottom w:val="single" w:sz="8" w:space="0" w:color="000000"/>
              <w:right w:val="single" w:sz="4" w:space="0" w:color="000000"/>
            </w:tcBorders>
            <w:shd w:val="clear" w:color="auto" w:fill="DDEBF7"/>
            <w:vAlign w:val="center"/>
          </w:tcPr>
          <w:p w:rsidR="006F1BDC" w14:paraId="000000D1" w14:textId="77777777">
            <w:pPr>
              <w:jc w:val="right"/>
              <w:rPr>
                <w:b/>
                <w:color w:val="000000"/>
                <w:sz w:val="16"/>
                <w:szCs w:val="16"/>
              </w:rPr>
            </w:pPr>
            <w:r>
              <w:rPr>
                <w:b/>
                <w:color w:val="000000"/>
                <w:sz w:val="16"/>
                <w:szCs w:val="16"/>
              </w:rPr>
              <w:t>804 </w:t>
            </w:r>
          </w:p>
        </w:tc>
        <w:tc>
          <w:tcPr>
            <w:tcW w:w="1153" w:type="dxa"/>
            <w:tcBorders>
              <w:top w:val="single" w:sz="8" w:space="0" w:color="000000"/>
              <w:left w:val="nil"/>
              <w:bottom w:val="single" w:sz="8" w:space="0" w:color="000000"/>
              <w:right w:val="single" w:sz="4" w:space="0" w:color="000000"/>
            </w:tcBorders>
            <w:shd w:val="clear" w:color="auto" w:fill="000000"/>
            <w:vAlign w:val="center"/>
          </w:tcPr>
          <w:p w:rsidR="006F1BDC" w14:paraId="000000D2" w14:textId="77777777">
            <w:pPr>
              <w:jc w:val="right"/>
              <w:rPr>
                <w:b/>
                <w:color w:val="000000"/>
                <w:sz w:val="16"/>
                <w:szCs w:val="16"/>
              </w:rPr>
            </w:pPr>
            <w:r>
              <w:rPr>
                <w:b/>
                <w:color w:val="000000"/>
                <w:sz w:val="16"/>
                <w:szCs w:val="16"/>
              </w:rPr>
              <w:t> </w:t>
            </w:r>
          </w:p>
        </w:tc>
        <w:tc>
          <w:tcPr>
            <w:tcW w:w="1134" w:type="dxa"/>
            <w:tcBorders>
              <w:top w:val="single" w:sz="8" w:space="0" w:color="000000"/>
              <w:left w:val="nil"/>
              <w:bottom w:val="single" w:sz="8" w:space="0" w:color="000000"/>
              <w:right w:val="single" w:sz="4" w:space="0" w:color="000000"/>
            </w:tcBorders>
            <w:shd w:val="clear" w:color="auto" w:fill="DDEBF7"/>
            <w:vAlign w:val="center"/>
          </w:tcPr>
          <w:p w:rsidR="006F1BDC" w14:paraId="000000D3" w14:textId="77777777">
            <w:pPr>
              <w:jc w:val="right"/>
              <w:rPr>
                <w:b/>
                <w:color w:val="000000"/>
                <w:sz w:val="16"/>
                <w:szCs w:val="16"/>
              </w:rPr>
            </w:pPr>
            <w:r>
              <w:rPr>
                <w:b/>
                <w:color w:val="000000"/>
                <w:sz w:val="16"/>
                <w:szCs w:val="16"/>
              </w:rPr>
              <w:t>804</w:t>
            </w:r>
          </w:p>
        </w:tc>
        <w:tc>
          <w:tcPr>
            <w:tcW w:w="1243" w:type="dxa"/>
            <w:tcBorders>
              <w:top w:val="single" w:sz="8" w:space="0" w:color="000000"/>
              <w:left w:val="nil"/>
              <w:bottom w:val="single" w:sz="8" w:space="0" w:color="000000"/>
              <w:right w:val="single" w:sz="4" w:space="0" w:color="000000"/>
            </w:tcBorders>
            <w:shd w:val="clear" w:color="auto" w:fill="000000"/>
            <w:vAlign w:val="center"/>
          </w:tcPr>
          <w:p w:rsidR="006F1BDC" w14:paraId="000000D4" w14:textId="77777777">
            <w:pPr>
              <w:jc w:val="right"/>
              <w:rPr>
                <w:b/>
                <w:color w:val="000000"/>
                <w:sz w:val="16"/>
                <w:szCs w:val="16"/>
              </w:rPr>
            </w:pPr>
            <w:r>
              <w:rPr>
                <w:b/>
                <w:color w:val="000000"/>
                <w:sz w:val="16"/>
                <w:szCs w:val="16"/>
              </w:rPr>
              <w:t> </w:t>
            </w:r>
          </w:p>
        </w:tc>
        <w:tc>
          <w:tcPr>
            <w:tcW w:w="1285" w:type="dxa"/>
            <w:tcBorders>
              <w:top w:val="single" w:sz="8" w:space="0" w:color="000000"/>
              <w:left w:val="nil"/>
              <w:bottom w:val="single" w:sz="8" w:space="0" w:color="000000"/>
              <w:right w:val="single" w:sz="8" w:space="0" w:color="000000"/>
            </w:tcBorders>
            <w:shd w:val="clear" w:color="auto" w:fill="DDEBF7"/>
            <w:vAlign w:val="center"/>
          </w:tcPr>
          <w:p w:rsidR="006F1BDC" w14:paraId="000000D5" w14:textId="175971A5">
            <w:pPr>
              <w:jc w:val="right"/>
              <w:rPr>
                <w:b/>
                <w:color w:val="000000"/>
                <w:sz w:val="16"/>
                <w:szCs w:val="16"/>
              </w:rPr>
            </w:pPr>
            <w:r>
              <w:rPr>
                <w:b/>
                <w:color w:val="000000"/>
                <w:sz w:val="16"/>
                <w:szCs w:val="16"/>
              </w:rPr>
              <w:t xml:space="preserve"> $        </w:t>
            </w:r>
            <w:sdt>
              <w:sdtPr>
                <w:tag w:val="goog_rdk_30"/>
                <w:id w:val="1926844235"/>
                <w:richText/>
              </w:sdtPr>
              <w:sdtContent>
                <w:r>
                  <w:rPr>
                    <w:b/>
                    <w:color w:val="000000"/>
                    <w:sz w:val="16"/>
                    <w:szCs w:val="16"/>
                  </w:rPr>
                  <w:t>8</w:t>
                </w:r>
              </w:sdtContent>
            </w:sdt>
            <w:r>
              <w:rPr>
                <w:b/>
                <w:color w:val="000000"/>
                <w:sz w:val="16"/>
                <w:szCs w:val="16"/>
              </w:rPr>
              <w:t xml:space="preserve">.00 </w:t>
            </w:r>
          </w:p>
        </w:tc>
      </w:tr>
    </w:tbl>
    <w:p w:rsidR="006F1BDC" w14:paraId="000000D6" w14:textId="77777777">
      <w:pPr>
        <w:spacing w:after="0" w:line="240" w:lineRule="auto"/>
        <w:rPr>
          <w:rFonts w:ascii="Times New Roman" w:eastAsia="Times New Roman" w:hAnsi="Times New Roman" w:cs="Times New Roman"/>
          <w:sz w:val="24"/>
          <w:szCs w:val="24"/>
        </w:rPr>
      </w:pPr>
    </w:p>
    <w:p w:rsidR="006F1BDC" w14:paraId="000000D7" w14:textId="77777777">
      <w:pPr>
        <w:spacing w:after="0" w:line="240" w:lineRule="auto"/>
        <w:rPr>
          <w:rFonts w:ascii="Times New Roman" w:eastAsia="Times New Roman" w:hAnsi="Times New Roman" w:cs="Times New Roman"/>
          <w:sz w:val="24"/>
          <w:szCs w:val="24"/>
        </w:rPr>
      </w:pPr>
    </w:p>
    <w:p w:rsidR="006F1BDC" w:rsidP="007973C6" w14:paraId="000000D8" w14:textId="77777777">
      <w:pPr>
        <w:numPr>
          <w:ilvl w:val="0"/>
          <w:numId w:val="9"/>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6F1BDC" w14:paraId="000000D9" w14:textId="77777777">
      <w:pPr>
        <w:rPr>
          <w:sz w:val="24"/>
          <w:szCs w:val="24"/>
        </w:rPr>
      </w:pPr>
    </w:p>
    <w:tbl>
      <w:tblPr>
        <w:tblStyle w:val="a1"/>
        <w:tblW w:w="7347" w:type="dxa"/>
        <w:jc w:val="center"/>
        <w:tblLayout w:type="fixed"/>
        <w:tblLook w:val="0400"/>
      </w:tblPr>
      <w:tblGrid>
        <w:gridCol w:w="1520"/>
        <w:gridCol w:w="1170"/>
        <w:gridCol w:w="1080"/>
        <w:gridCol w:w="997"/>
        <w:gridCol w:w="1280"/>
        <w:gridCol w:w="1300"/>
      </w:tblGrid>
      <w:tr w14:paraId="45CF06A0" w14:textId="77777777">
        <w:tblPrEx>
          <w:tblW w:w="7347" w:type="dxa"/>
          <w:jc w:val="center"/>
          <w:tblLayout w:type="fixed"/>
          <w:tblLook w:val="0400"/>
        </w:tblPrEx>
        <w:trPr>
          <w:trHeight w:val="450"/>
          <w:jc w:val="center"/>
        </w:trPr>
        <w:tc>
          <w:tcPr>
            <w:tcW w:w="1520" w:type="dxa"/>
            <w:tcBorders>
              <w:top w:val="single" w:sz="8" w:space="0" w:color="000000"/>
              <w:left w:val="single" w:sz="8" w:space="0" w:color="000000"/>
              <w:bottom w:val="nil"/>
              <w:right w:val="single" w:sz="8" w:space="0" w:color="000000"/>
            </w:tcBorders>
            <w:shd w:val="clear" w:color="auto" w:fill="BDD7EE"/>
            <w:vAlign w:val="center"/>
          </w:tcPr>
          <w:p w:rsidR="006F1BDC" w14:paraId="000000DA" w14:textId="77777777">
            <w:pPr>
              <w:jc w:val="center"/>
              <w:rPr>
                <w:b/>
                <w:color w:val="000000"/>
                <w:sz w:val="16"/>
                <w:szCs w:val="16"/>
              </w:rPr>
            </w:pPr>
            <w:r>
              <w:rPr>
                <w:b/>
                <w:color w:val="000000"/>
                <w:sz w:val="16"/>
                <w:szCs w:val="16"/>
              </w:rPr>
              <w:t>Cost Descriptions</w:t>
            </w:r>
          </w:p>
        </w:tc>
        <w:tc>
          <w:tcPr>
            <w:tcW w:w="1170" w:type="dxa"/>
            <w:tcBorders>
              <w:top w:val="single" w:sz="8" w:space="0" w:color="000000"/>
              <w:left w:val="nil"/>
              <w:bottom w:val="nil"/>
              <w:right w:val="single" w:sz="8" w:space="0" w:color="000000"/>
            </w:tcBorders>
            <w:shd w:val="clear" w:color="auto" w:fill="BDD7EE"/>
            <w:vAlign w:val="center"/>
          </w:tcPr>
          <w:p w:rsidR="006F1BDC" w14:paraId="000000DB" w14:textId="77777777">
            <w:pPr>
              <w:jc w:val="center"/>
              <w:rPr>
                <w:b/>
                <w:color w:val="000000"/>
                <w:sz w:val="16"/>
                <w:szCs w:val="16"/>
              </w:rPr>
            </w:pPr>
            <w:r>
              <w:rPr>
                <w:b/>
                <w:color w:val="000000"/>
                <w:sz w:val="16"/>
                <w:szCs w:val="16"/>
              </w:rPr>
              <w:t>Grade/Step</w:t>
            </w:r>
          </w:p>
        </w:tc>
        <w:tc>
          <w:tcPr>
            <w:tcW w:w="1080" w:type="dxa"/>
            <w:tcBorders>
              <w:top w:val="single" w:sz="8" w:space="0" w:color="000000"/>
              <w:left w:val="nil"/>
              <w:bottom w:val="nil"/>
              <w:right w:val="single" w:sz="8" w:space="0" w:color="000000"/>
            </w:tcBorders>
            <w:shd w:val="clear" w:color="auto" w:fill="BDD7EE"/>
            <w:vAlign w:val="center"/>
          </w:tcPr>
          <w:p w:rsidR="006F1BDC" w14:paraId="000000DC" w14:textId="77777777">
            <w:pPr>
              <w:jc w:val="center"/>
              <w:rPr>
                <w:b/>
                <w:color w:val="000000"/>
                <w:sz w:val="16"/>
                <w:szCs w:val="16"/>
              </w:rPr>
            </w:pPr>
            <w:r>
              <w:rPr>
                <w:b/>
                <w:color w:val="000000"/>
                <w:sz w:val="16"/>
                <w:szCs w:val="16"/>
              </w:rPr>
              <w:t>Loaded Salary /Cost</w:t>
            </w:r>
          </w:p>
        </w:tc>
        <w:tc>
          <w:tcPr>
            <w:tcW w:w="997" w:type="dxa"/>
            <w:tcBorders>
              <w:top w:val="single" w:sz="8" w:space="0" w:color="000000"/>
              <w:left w:val="nil"/>
              <w:bottom w:val="nil"/>
              <w:right w:val="single" w:sz="8" w:space="0" w:color="000000"/>
            </w:tcBorders>
            <w:shd w:val="clear" w:color="auto" w:fill="BDD7EE"/>
            <w:vAlign w:val="center"/>
          </w:tcPr>
          <w:p w:rsidR="006F1BDC" w14:paraId="000000DD" w14:textId="77777777">
            <w:pPr>
              <w:jc w:val="center"/>
              <w:rPr>
                <w:b/>
                <w:color w:val="000000"/>
                <w:sz w:val="16"/>
                <w:szCs w:val="16"/>
              </w:rPr>
            </w:pPr>
            <w:r>
              <w:rPr>
                <w:b/>
                <w:color w:val="000000"/>
                <w:sz w:val="16"/>
                <w:szCs w:val="16"/>
              </w:rPr>
              <w:t>% of Effort</w:t>
            </w:r>
          </w:p>
        </w:tc>
        <w:tc>
          <w:tcPr>
            <w:tcW w:w="1280" w:type="dxa"/>
            <w:tcBorders>
              <w:top w:val="single" w:sz="8" w:space="0" w:color="000000"/>
              <w:left w:val="nil"/>
              <w:bottom w:val="nil"/>
              <w:right w:val="single" w:sz="8" w:space="0" w:color="000000"/>
            </w:tcBorders>
            <w:shd w:val="clear" w:color="auto" w:fill="BDD7EE"/>
            <w:vAlign w:val="center"/>
          </w:tcPr>
          <w:p w:rsidR="006F1BDC" w14:paraId="000000DE" w14:textId="77777777">
            <w:pPr>
              <w:jc w:val="center"/>
              <w:rPr>
                <w:b/>
                <w:color w:val="000000"/>
                <w:sz w:val="16"/>
                <w:szCs w:val="16"/>
              </w:rPr>
            </w:pPr>
            <w:r>
              <w:rPr>
                <w:b/>
                <w:color w:val="000000"/>
                <w:sz w:val="16"/>
                <w:szCs w:val="16"/>
              </w:rPr>
              <w:t>Fringe (if Applicable)</w:t>
            </w:r>
          </w:p>
        </w:tc>
        <w:tc>
          <w:tcPr>
            <w:tcW w:w="1300" w:type="dxa"/>
            <w:tcBorders>
              <w:top w:val="single" w:sz="8" w:space="0" w:color="000000"/>
              <w:left w:val="nil"/>
              <w:bottom w:val="nil"/>
              <w:right w:val="single" w:sz="8" w:space="0" w:color="000000"/>
            </w:tcBorders>
            <w:shd w:val="clear" w:color="auto" w:fill="BDD7EE"/>
            <w:vAlign w:val="center"/>
          </w:tcPr>
          <w:p w:rsidR="006F1BDC" w14:paraId="000000DF" w14:textId="77777777">
            <w:pPr>
              <w:jc w:val="center"/>
              <w:rPr>
                <w:b/>
                <w:color w:val="000000"/>
                <w:sz w:val="16"/>
                <w:szCs w:val="16"/>
              </w:rPr>
            </w:pPr>
            <w:r>
              <w:rPr>
                <w:b/>
                <w:color w:val="000000"/>
                <w:sz w:val="16"/>
                <w:szCs w:val="16"/>
              </w:rPr>
              <w:t>Total Cost to Government</w:t>
            </w:r>
          </w:p>
        </w:tc>
      </w:tr>
      <w:tr w14:paraId="323E0E1B" w14:textId="77777777">
        <w:tblPrEx>
          <w:tblW w:w="7347" w:type="dxa"/>
          <w:jc w:val="center"/>
          <w:tblLayout w:type="fixed"/>
          <w:tblLook w:val="0400"/>
        </w:tblPrEx>
        <w:trPr>
          <w:trHeight w:val="465"/>
          <w:jc w:val="center"/>
        </w:trPr>
        <w:tc>
          <w:tcPr>
            <w:tcW w:w="1520" w:type="dxa"/>
            <w:tcBorders>
              <w:top w:val="single" w:sz="4" w:space="0" w:color="000000"/>
              <w:left w:val="single" w:sz="8" w:space="0" w:color="000000"/>
              <w:bottom w:val="single" w:sz="4" w:space="0" w:color="000000"/>
              <w:right w:val="single" w:sz="8" w:space="0" w:color="000000"/>
            </w:tcBorders>
            <w:shd w:val="clear" w:color="auto" w:fill="auto"/>
            <w:vAlign w:val="bottom"/>
          </w:tcPr>
          <w:p w:rsidR="006F1BDC" w14:paraId="000000E0" w14:textId="77777777">
            <w:pPr>
              <w:rPr>
                <w:b/>
                <w:color w:val="000000"/>
                <w:sz w:val="16"/>
                <w:szCs w:val="16"/>
              </w:rPr>
            </w:pPr>
            <w:r>
              <w:rPr>
                <w:b/>
                <w:color w:val="000000"/>
                <w:sz w:val="16"/>
                <w:szCs w:val="16"/>
              </w:rPr>
              <w:t>Federal Oversight</w:t>
            </w:r>
          </w:p>
        </w:tc>
        <w:tc>
          <w:tcPr>
            <w:tcW w:w="1170" w:type="dxa"/>
            <w:tcBorders>
              <w:top w:val="single" w:sz="4" w:space="0" w:color="000000"/>
              <w:left w:val="nil"/>
              <w:bottom w:val="single" w:sz="4" w:space="0" w:color="000000"/>
              <w:right w:val="single" w:sz="4" w:space="0" w:color="000000"/>
            </w:tcBorders>
            <w:shd w:val="clear" w:color="auto" w:fill="auto"/>
            <w:vAlign w:val="bottom"/>
          </w:tcPr>
          <w:p w:rsidR="006F1BDC" w14:paraId="000000E1" w14:textId="77777777">
            <w:pPr>
              <w:rPr>
                <w:color w:val="000000"/>
                <w:sz w:val="16"/>
                <w:szCs w:val="16"/>
              </w:rPr>
            </w:pPr>
            <w:r>
              <w:rPr>
                <w:color w:val="000000"/>
                <w:sz w:val="16"/>
                <w:szCs w:val="16"/>
              </w:rPr>
              <w:t> ZS-IV</w:t>
            </w:r>
          </w:p>
        </w:tc>
        <w:tc>
          <w:tcPr>
            <w:tcW w:w="1080" w:type="dxa"/>
            <w:tcBorders>
              <w:top w:val="single" w:sz="4" w:space="0" w:color="000000"/>
              <w:left w:val="nil"/>
              <w:bottom w:val="single" w:sz="4" w:space="0" w:color="000000"/>
              <w:right w:val="single" w:sz="4" w:space="0" w:color="000000"/>
            </w:tcBorders>
            <w:shd w:val="clear" w:color="auto" w:fill="auto"/>
            <w:vAlign w:val="bottom"/>
          </w:tcPr>
          <w:p w:rsidR="006F1BDC" w14:paraId="000000E2" w14:textId="77777777">
            <w:pPr>
              <w:rPr>
                <w:color w:val="000000"/>
                <w:sz w:val="16"/>
                <w:szCs w:val="16"/>
              </w:rPr>
            </w:pPr>
            <w:r>
              <w:rPr>
                <w:color w:val="000000"/>
                <w:sz w:val="16"/>
                <w:szCs w:val="16"/>
              </w:rPr>
              <w:t>105,867</w:t>
            </w:r>
          </w:p>
        </w:tc>
        <w:tc>
          <w:tcPr>
            <w:tcW w:w="997" w:type="dxa"/>
            <w:tcBorders>
              <w:top w:val="single" w:sz="4" w:space="0" w:color="000000"/>
              <w:left w:val="nil"/>
              <w:bottom w:val="single" w:sz="4" w:space="0" w:color="000000"/>
              <w:right w:val="single" w:sz="4" w:space="0" w:color="000000"/>
            </w:tcBorders>
            <w:shd w:val="clear" w:color="auto" w:fill="auto"/>
            <w:vAlign w:val="bottom"/>
          </w:tcPr>
          <w:p w:rsidR="006F1BDC" w14:paraId="000000E3" w14:textId="77777777">
            <w:pPr>
              <w:rPr>
                <w:color w:val="000000"/>
                <w:sz w:val="16"/>
                <w:szCs w:val="16"/>
              </w:rPr>
            </w:pPr>
            <w:r>
              <w:rPr>
                <w:color w:val="000000"/>
                <w:sz w:val="16"/>
                <w:szCs w:val="16"/>
              </w:rPr>
              <w:t> 10</w:t>
            </w:r>
          </w:p>
        </w:tc>
        <w:tc>
          <w:tcPr>
            <w:tcW w:w="1280" w:type="dxa"/>
            <w:tcBorders>
              <w:top w:val="single" w:sz="4" w:space="0" w:color="000000"/>
              <w:left w:val="nil"/>
              <w:bottom w:val="single" w:sz="4" w:space="0" w:color="000000"/>
              <w:right w:val="single" w:sz="4" w:space="0" w:color="000000"/>
            </w:tcBorders>
            <w:shd w:val="clear" w:color="auto" w:fill="auto"/>
            <w:vAlign w:val="bottom"/>
          </w:tcPr>
          <w:p w:rsidR="006F1BDC" w14:paraId="000000E4" w14:textId="77777777">
            <w:pPr>
              <w:rPr>
                <w:color w:val="000000"/>
                <w:sz w:val="16"/>
                <w:szCs w:val="16"/>
              </w:rPr>
            </w:pPr>
            <w:r>
              <w:rPr>
                <w:color w:val="000000"/>
                <w:sz w:val="16"/>
                <w:szCs w:val="16"/>
              </w:rPr>
              <w:t> </w:t>
            </w:r>
          </w:p>
        </w:tc>
        <w:tc>
          <w:tcPr>
            <w:tcW w:w="1300" w:type="dxa"/>
            <w:tcBorders>
              <w:top w:val="single" w:sz="4" w:space="0" w:color="000000"/>
              <w:left w:val="nil"/>
              <w:bottom w:val="single" w:sz="4" w:space="0" w:color="000000"/>
              <w:right w:val="single" w:sz="8" w:space="0" w:color="000000"/>
            </w:tcBorders>
            <w:shd w:val="clear" w:color="auto" w:fill="auto"/>
            <w:vAlign w:val="bottom"/>
          </w:tcPr>
          <w:p w:rsidR="006F1BDC" w14:paraId="000000E5" w14:textId="77777777">
            <w:pPr>
              <w:rPr>
                <w:color w:val="000000"/>
                <w:sz w:val="16"/>
                <w:szCs w:val="16"/>
              </w:rPr>
            </w:pPr>
            <w:r>
              <w:rPr>
                <w:color w:val="000000"/>
                <w:sz w:val="16"/>
                <w:szCs w:val="16"/>
              </w:rPr>
              <w:t> 10,587</w:t>
            </w:r>
          </w:p>
        </w:tc>
      </w:tr>
      <w:tr w14:paraId="11AFDD74" w14:textId="77777777">
        <w:tblPrEx>
          <w:tblW w:w="7347" w:type="dxa"/>
          <w:jc w:val="center"/>
          <w:tblLayout w:type="fixed"/>
          <w:tblLook w:val="0400"/>
        </w:tblPrEx>
        <w:trPr>
          <w:trHeight w:val="300"/>
          <w:jc w:val="center"/>
        </w:trPr>
        <w:tc>
          <w:tcPr>
            <w:tcW w:w="1520" w:type="dxa"/>
            <w:tcBorders>
              <w:top w:val="nil"/>
              <w:left w:val="single" w:sz="8" w:space="0" w:color="000000"/>
              <w:bottom w:val="single" w:sz="4" w:space="0" w:color="000000"/>
              <w:right w:val="single" w:sz="8" w:space="0" w:color="000000"/>
            </w:tcBorders>
            <w:shd w:val="clear" w:color="auto" w:fill="auto"/>
            <w:vAlign w:val="bottom"/>
          </w:tcPr>
          <w:p w:rsidR="006F1BDC" w14:paraId="000000E6" w14:textId="77777777">
            <w:pPr>
              <w:rPr>
                <w:color w:val="000000"/>
                <w:sz w:val="16"/>
                <w:szCs w:val="16"/>
              </w:rPr>
            </w:pPr>
            <w:r>
              <w:rPr>
                <w:color w:val="000000"/>
                <w:sz w:val="16"/>
                <w:szCs w:val="16"/>
              </w:rPr>
              <w:t> </w:t>
            </w:r>
          </w:p>
        </w:tc>
        <w:tc>
          <w:tcPr>
            <w:tcW w:w="1170" w:type="dxa"/>
            <w:tcBorders>
              <w:top w:val="nil"/>
              <w:left w:val="nil"/>
              <w:bottom w:val="single" w:sz="4" w:space="0" w:color="000000"/>
              <w:right w:val="single" w:sz="4" w:space="0" w:color="000000"/>
            </w:tcBorders>
            <w:shd w:val="clear" w:color="auto" w:fill="auto"/>
            <w:vAlign w:val="bottom"/>
          </w:tcPr>
          <w:p w:rsidR="006F1BDC" w14:paraId="000000E7" w14:textId="77777777">
            <w:pPr>
              <w:rPr>
                <w:color w:val="000000"/>
                <w:sz w:val="16"/>
                <w:szCs w:val="16"/>
              </w:rPr>
            </w:pPr>
            <w:r>
              <w:rPr>
                <w:color w:val="000000"/>
                <w:sz w:val="16"/>
                <w:szCs w:val="16"/>
              </w:rPr>
              <w:t> ZA-III</w:t>
            </w:r>
          </w:p>
        </w:tc>
        <w:tc>
          <w:tcPr>
            <w:tcW w:w="1080" w:type="dxa"/>
            <w:tcBorders>
              <w:top w:val="nil"/>
              <w:left w:val="nil"/>
              <w:bottom w:val="single" w:sz="4" w:space="0" w:color="000000"/>
              <w:right w:val="single" w:sz="4" w:space="0" w:color="000000"/>
            </w:tcBorders>
            <w:shd w:val="clear" w:color="auto" w:fill="auto"/>
            <w:vAlign w:val="bottom"/>
          </w:tcPr>
          <w:p w:rsidR="006F1BDC" w14:paraId="000000E8" w14:textId="77777777">
            <w:pPr>
              <w:rPr>
                <w:color w:val="000000"/>
                <w:sz w:val="16"/>
                <w:szCs w:val="16"/>
              </w:rPr>
            </w:pPr>
            <w:r>
              <w:rPr>
                <w:color w:val="000000"/>
                <w:sz w:val="16"/>
                <w:szCs w:val="16"/>
              </w:rPr>
              <w:t>169,571</w:t>
            </w:r>
          </w:p>
        </w:tc>
        <w:tc>
          <w:tcPr>
            <w:tcW w:w="997" w:type="dxa"/>
            <w:tcBorders>
              <w:top w:val="nil"/>
              <w:left w:val="nil"/>
              <w:bottom w:val="single" w:sz="4" w:space="0" w:color="000000"/>
              <w:right w:val="single" w:sz="4" w:space="0" w:color="000000"/>
            </w:tcBorders>
            <w:shd w:val="clear" w:color="auto" w:fill="auto"/>
            <w:vAlign w:val="bottom"/>
          </w:tcPr>
          <w:p w:rsidR="006F1BDC" w14:paraId="000000E9" w14:textId="77777777">
            <w:pPr>
              <w:rPr>
                <w:color w:val="000000"/>
                <w:sz w:val="16"/>
                <w:szCs w:val="16"/>
              </w:rPr>
            </w:pPr>
            <w:r>
              <w:rPr>
                <w:color w:val="000000"/>
                <w:sz w:val="16"/>
                <w:szCs w:val="16"/>
              </w:rPr>
              <w:t> 10</w:t>
            </w:r>
          </w:p>
        </w:tc>
        <w:tc>
          <w:tcPr>
            <w:tcW w:w="1280" w:type="dxa"/>
            <w:tcBorders>
              <w:top w:val="nil"/>
              <w:left w:val="nil"/>
              <w:bottom w:val="single" w:sz="4" w:space="0" w:color="000000"/>
              <w:right w:val="single" w:sz="4" w:space="0" w:color="000000"/>
            </w:tcBorders>
            <w:shd w:val="clear" w:color="auto" w:fill="auto"/>
            <w:vAlign w:val="bottom"/>
          </w:tcPr>
          <w:p w:rsidR="006F1BDC" w14:paraId="000000EA" w14:textId="77777777">
            <w:pPr>
              <w:rPr>
                <w:color w:val="000000"/>
                <w:sz w:val="16"/>
                <w:szCs w:val="16"/>
              </w:rPr>
            </w:pPr>
            <w:r>
              <w:rPr>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6F1BDC" w14:paraId="000000EB" w14:textId="77777777">
            <w:pPr>
              <w:rPr>
                <w:color w:val="000000"/>
                <w:sz w:val="16"/>
                <w:szCs w:val="16"/>
              </w:rPr>
            </w:pPr>
            <w:r>
              <w:rPr>
                <w:color w:val="000000"/>
                <w:sz w:val="16"/>
                <w:szCs w:val="16"/>
              </w:rPr>
              <w:t> 16,957</w:t>
            </w:r>
          </w:p>
        </w:tc>
      </w:tr>
      <w:tr w14:paraId="22CF7519" w14:textId="77777777">
        <w:tblPrEx>
          <w:tblW w:w="7347" w:type="dxa"/>
          <w:jc w:val="center"/>
          <w:tblLayout w:type="fixed"/>
          <w:tblLook w:val="0400"/>
        </w:tblPrEx>
        <w:trPr>
          <w:trHeight w:val="465"/>
          <w:jc w:val="center"/>
        </w:trPr>
        <w:tc>
          <w:tcPr>
            <w:tcW w:w="1520" w:type="dxa"/>
            <w:tcBorders>
              <w:top w:val="nil"/>
              <w:left w:val="single" w:sz="8" w:space="0" w:color="000000"/>
              <w:bottom w:val="single" w:sz="4" w:space="0" w:color="000000"/>
              <w:right w:val="single" w:sz="8" w:space="0" w:color="000000"/>
            </w:tcBorders>
            <w:shd w:val="clear" w:color="auto" w:fill="auto"/>
            <w:vAlign w:val="bottom"/>
          </w:tcPr>
          <w:p w:rsidR="006F1BDC" w14:paraId="000000EC" w14:textId="77777777">
            <w:pPr>
              <w:rPr>
                <w:b/>
                <w:color w:val="000000"/>
                <w:sz w:val="16"/>
                <w:szCs w:val="16"/>
              </w:rPr>
            </w:pPr>
            <w:r>
              <w:rPr>
                <w:b/>
                <w:color w:val="000000"/>
                <w:sz w:val="16"/>
                <w:szCs w:val="16"/>
              </w:rPr>
              <w:t>Contractor Cost</w:t>
            </w:r>
          </w:p>
        </w:tc>
        <w:tc>
          <w:tcPr>
            <w:tcW w:w="1170" w:type="dxa"/>
            <w:tcBorders>
              <w:top w:val="nil"/>
              <w:left w:val="nil"/>
              <w:bottom w:val="single" w:sz="4" w:space="0" w:color="000000"/>
              <w:right w:val="single" w:sz="4" w:space="0" w:color="000000"/>
            </w:tcBorders>
            <w:shd w:val="clear" w:color="auto" w:fill="auto"/>
            <w:vAlign w:val="bottom"/>
          </w:tcPr>
          <w:p w:rsidR="006F1BDC" w14:paraId="000000ED" w14:textId="77777777">
            <w:pPr>
              <w:rPr>
                <w:color w:val="000000"/>
                <w:sz w:val="16"/>
                <w:szCs w:val="16"/>
              </w:rPr>
            </w:pPr>
            <w:r>
              <w:rPr>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rsidR="006F1BDC" w14:paraId="000000EE" w14:textId="77777777">
            <w:pPr>
              <w:rPr>
                <w:color w:val="000000"/>
                <w:sz w:val="16"/>
                <w:szCs w:val="16"/>
              </w:rPr>
            </w:pPr>
            <w:r>
              <w:rPr>
                <w:color w:val="000000"/>
                <w:sz w:val="16"/>
                <w:szCs w:val="16"/>
              </w:rPr>
              <w:t> N/A</w:t>
            </w:r>
          </w:p>
        </w:tc>
        <w:tc>
          <w:tcPr>
            <w:tcW w:w="997" w:type="dxa"/>
            <w:tcBorders>
              <w:top w:val="nil"/>
              <w:left w:val="nil"/>
              <w:bottom w:val="single" w:sz="4" w:space="0" w:color="000000"/>
              <w:right w:val="single" w:sz="4" w:space="0" w:color="000000"/>
            </w:tcBorders>
            <w:shd w:val="clear" w:color="auto" w:fill="auto"/>
            <w:vAlign w:val="bottom"/>
          </w:tcPr>
          <w:p w:rsidR="006F1BDC" w14:paraId="000000EF" w14:textId="77777777">
            <w:pPr>
              <w:rPr>
                <w:color w:val="000000"/>
                <w:sz w:val="16"/>
                <w:szCs w:val="16"/>
              </w:rPr>
            </w:pPr>
            <w:r>
              <w:rPr>
                <w:color w:val="000000"/>
                <w:sz w:val="16"/>
                <w:szCs w:val="16"/>
              </w:rPr>
              <w:t> </w:t>
            </w:r>
          </w:p>
        </w:tc>
        <w:tc>
          <w:tcPr>
            <w:tcW w:w="1280" w:type="dxa"/>
            <w:tcBorders>
              <w:top w:val="nil"/>
              <w:left w:val="nil"/>
              <w:bottom w:val="single" w:sz="4" w:space="0" w:color="000000"/>
              <w:right w:val="single" w:sz="4" w:space="0" w:color="000000"/>
            </w:tcBorders>
            <w:shd w:val="clear" w:color="auto" w:fill="auto"/>
            <w:vAlign w:val="bottom"/>
          </w:tcPr>
          <w:p w:rsidR="006F1BDC" w14:paraId="000000F0" w14:textId="77777777">
            <w:pPr>
              <w:rPr>
                <w:color w:val="000000"/>
                <w:sz w:val="16"/>
                <w:szCs w:val="16"/>
              </w:rPr>
            </w:pPr>
            <w:r>
              <w:rPr>
                <w:color w:val="000000"/>
                <w:sz w:val="16"/>
                <w:szCs w:val="16"/>
              </w:rPr>
              <w:t>  N/A</w:t>
            </w:r>
          </w:p>
        </w:tc>
        <w:tc>
          <w:tcPr>
            <w:tcW w:w="1300" w:type="dxa"/>
            <w:tcBorders>
              <w:top w:val="nil"/>
              <w:left w:val="nil"/>
              <w:bottom w:val="single" w:sz="4" w:space="0" w:color="000000"/>
              <w:right w:val="single" w:sz="8" w:space="0" w:color="000000"/>
            </w:tcBorders>
            <w:shd w:val="clear" w:color="auto" w:fill="auto"/>
            <w:vAlign w:val="bottom"/>
          </w:tcPr>
          <w:p w:rsidR="006F1BDC" w14:paraId="000000F1" w14:textId="77777777">
            <w:pPr>
              <w:rPr>
                <w:color w:val="000000"/>
                <w:sz w:val="16"/>
                <w:szCs w:val="16"/>
              </w:rPr>
            </w:pPr>
            <w:r>
              <w:rPr>
                <w:color w:val="000000"/>
                <w:sz w:val="16"/>
                <w:szCs w:val="16"/>
              </w:rPr>
              <w:t>  N/A</w:t>
            </w:r>
          </w:p>
        </w:tc>
      </w:tr>
      <w:tr w14:paraId="0BCBFE47" w14:textId="77777777">
        <w:tblPrEx>
          <w:tblW w:w="7347" w:type="dxa"/>
          <w:jc w:val="center"/>
          <w:tblLayout w:type="fixed"/>
          <w:tblLook w:val="0400"/>
        </w:tblPrEx>
        <w:trPr>
          <w:trHeight w:val="300"/>
          <w:jc w:val="center"/>
        </w:trPr>
        <w:tc>
          <w:tcPr>
            <w:tcW w:w="1520" w:type="dxa"/>
            <w:tcBorders>
              <w:top w:val="nil"/>
              <w:left w:val="single" w:sz="8" w:space="0" w:color="000000"/>
              <w:bottom w:val="single" w:sz="4" w:space="0" w:color="000000"/>
              <w:right w:val="single" w:sz="8" w:space="0" w:color="000000"/>
            </w:tcBorders>
            <w:shd w:val="clear" w:color="auto" w:fill="auto"/>
            <w:vAlign w:val="bottom"/>
          </w:tcPr>
          <w:p w:rsidR="006F1BDC" w14:paraId="000000F2" w14:textId="77777777">
            <w:pPr>
              <w:rPr>
                <w:b/>
                <w:color w:val="000000"/>
                <w:sz w:val="16"/>
                <w:szCs w:val="16"/>
              </w:rPr>
            </w:pPr>
            <w:r>
              <w:rPr>
                <w:b/>
                <w:color w:val="000000"/>
                <w:sz w:val="16"/>
                <w:szCs w:val="16"/>
              </w:rPr>
              <w:t>Travel</w:t>
            </w:r>
          </w:p>
        </w:tc>
        <w:tc>
          <w:tcPr>
            <w:tcW w:w="1170" w:type="dxa"/>
            <w:tcBorders>
              <w:top w:val="nil"/>
              <w:left w:val="nil"/>
              <w:bottom w:val="single" w:sz="4" w:space="0" w:color="000000"/>
              <w:right w:val="single" w:sz="4" w:space="0" w:color="000000"/>
            </w:tcBorders>
            <w:shd w:val="clear" w:color="auto" w:fill="auto"/>
            <w:vAlign w:val="bottom"/>
          </w:tcPr>
          <w:p w:rsidR="006F1BDC" w14:paraId="000000F3" w14:textId="77777777">
            <w:pPr>
              <w:rPr>
                <w:color w:val="000000"/>
                <w:sz w:val="16"/>
                <w:szCs w:val="16"/>
              </w:rPr>
            </w:pPr>
            <w:r>
              <w:rPr>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rsidR="006F1BDC" w14:paraId="000000F4" w14:textId="77777777">
            <w:pPr>
              <w:rPr>
                <w:color w:val="000000"/>
                <w:sz w:val="16"/>
                <w:szCs w:val="16"/>
              </w:rPr>
            </w:pPr>
            <w:r>
              <w:rPr>
                <w:color w:val="000000"/>
                <w:sz w:val="16"/>
                <w:szCs w:val="16"/>
              </w:rPr>
              <w:t> </w:t>
            </w:r>
          </w:p>
        </w:tc>
        <w:tc>
          <w:tcPr>
            <w:tcW w:w="997" w:type="dxa"/>
            <w:tcBorders>
              <w:top w:val="nil"/>
              <w:left w:val="nil"/>
              <w:bottom w:val="single" w:sz="4" w:space="0" w:color="000000"/>
              <w:right w:val="single" w:sz="4" w:space="0" w:color="000000"/>
            </w:tcBorders>
            <w:shd w:val="clear" w:color="auto" w:fill="auto"/>
            <w:vAlign w:val="bottom"/>
          </w:tcPr>
          <w:p w:rsidR="006F1BDC" w14:paraId="000000F5" w14:textId="77777777">
            <w:pPr>
              <w:rPr>
                <w:color w:val="000000"/>
                <w:sz w:val="16"/>
                <w:szCs w:val="16"/>
              </w:rPr>
            </w:pPr>
            <w:r>
              <w:rPr>
                <w:color w:val="000000"/>
                <w:sz w:val="16"/>
                <w:szCs w:val="16"/>
              </w:rPr>
              <w:t> </w:t>
            </w:r>
          </w:p>
        </w:tc>
        <w:tc>
          <w:tcPr>
            <w:tcW w:w="1280" w:type="dxa"/>
            <w:tcBorders>
              <w:top w:val="nil"/>
              <w:left w:val="nil"/>
              <w:bottom w:val="single" w:sz="4" w:space="0" w:color="000000"/>
              <w:right w:val="single" w:sz="4" w:space="0" w:color="000000"/>
            </w:tcBorders>
            <w:shd w:val="clear" w:color="auto" w:fill="auto"/>
            <w:vAlign w:val="bottom"/>
          </w:tcPr>
          <w:p w:rsidR="006F1BDC" w14:paraId="000000F6" w14:textId="77777777">
            <w:pPr>
              <w:rPr>
                <w:color w:val="000000"/>
                <w:sz w:val="16"/>
                <w:szCs w:val="16"/>
              </w:rPr>
            </w:pPr>
            <w:r>
              <w:rPr>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6F1BDC" w14:paraId="000000F7" w14:textId="77777777">
            <w:pPr>
              <w:rPr>
                <w:color w:val="000000"/>
                <w:sz w:val="16"/>
                <w:szCs w:val="16"/>
              </w:rPr>
            </w:pPr>
            <w:r>
              <w:rPr>
                <w:color w:val="000000"/>
                <w:sz w:val="16"/>
                <w:szCs w:val="16"/>
              </w:rPr>
              <w:t> </w:t>
            </w:r>
          </w:p>
        </w:tc>
      </w:tr>
      <w:tr w14:paraId="2BE69421" w14:textId="77777777">
        <w:tblPrEx>
          <w:tblW w:w="7347" w:type="dxa"/>
          <w:jc w:val="center"/>
          <w:tblLayout w:type="fixed"/>
          <w:tblLook w:val="0400"/>
        </w:tblPrEx>
        <w:trPr>
          <w:trHeight w:val="300"/>
          <w:jc w:val="center"/>
        </w:trPr>
        <w:tc>
          <w:tcPr>
            <w:tcW w:w="1520" w:type="dxa"/>
            <w:tcBorders>
              <w:top w:val="nil"/>
              <w:left w:val="single" w:sz="8" w:space="0" w:color="000000"/>
              <w:bottom w:val="single" w:sz="4" w:space="0" w:color="000000"/>
              <w:right w:val="single" w:sz="8" w:space="0" w:color="000000"/>
            </w:tcBorders>
            <w:shd w:val="clear" w:color="auto" w:fill="auto"/>
            <w:vAlign w:val="bottom"/>
          </w:tcPr>
          <w:p w:rsidR="006F1BDC" w14:paraId="000000F8" w14:textId="77777777">
            <w:pPr>
              <w:rPr>
                <w:b/>
                <w:color w:val="000000"/>
                <w:sz w:val="16"/>
                <w:szCs w:val="16"/>
              </w:rPr>
            </w:pPr>
            <w:r>
              <w:rPr>
                <w:b/>
                <w:color w:val="000000"/>
                <w:sz w:val="16"/>
                <w:szCs w:val="16"/>
              </w:rPr>
              <w:t>Other Costs</w:t>
            </w:r>
          </w:p>
        </w:tc>
        <w:tc>
          <w:tcPr>
            <w:tcW w:w="1170" w:type="dxa"/>
            <w:tcBorders>
              <w:top w:val="nil"/>
              <w:left w:val="nil"/>
              <w:bottom w:val="single" w:sz="4" w:space="0" w:color="000000"/>
              <w:right w:val="single" w:sz="4" w:space="0" w:color="000000"/>
            </w:tcBorders>
            <w:shd w:val="clear" w:color="auto" w:fill="auto"/>
            <w:vAlign w:val="bottom"/>
          </w:tcPr>
          <w:p w:rsidR="006F1BDC" w14:paraId="000000F9" w14:textId="77777777">
            <w:pPr>
              <w:rPr>
                <w:color w:val="000000"/>
                <w:sz w:val="16"/>
                <w:szCs w:val="16"/>
              </w:rPr>
            </w:pPr>
            <w:r>
              <w:rPr>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rsidR="006F1BDC" w14:paraId="000000FA" w14:textId="77777777">
            <w:pPr>
              <w:rPr>
                <w:color w:val="000000"/>
                <w:sz w:val="16"/>
                <w:szCs w:val="16"/>
              </w:rPr>
            </w:pPr>
            <w:r>
              <w:rPr>
                <w:color w:val="000000"/>
                <w:sz w:val="16"/>
                <w:szCs w:val="16"/>
              </w:rPr>
              <w:t> </w:t>
            </w:r>
          </w:p>
        </w:tc>
        <w:tc>
          <w:tcPr>
            <w:tcW w:w="997" w:type="dxa"/>
            <w:tcBorders>
              <w:top w:val="nil"/>
              <w:left w:val="nil"/>
              <w:bottom w:val="single" w:sz="4" w:space="0" w:color="000000"/>
              <w:right w:val="single" w:sz="4" w:space="0" w:color="000000"/>
            </w:tcBorders>
            <w:shd w:val="clear" w:color="auto" w:fill="auto"/>
            <w:vAlign w:val="bottom"/>
          </w:tcPr>
          <w:p w:rsidR="006F1BDC" w14:paraId="000000FB" w14:textId="77777777">
            <w:pPr>
              <w:rPr>
                <w:color w:val="000000"/>
                <w:sz w:val="16"/>
                <w:szCs w:val="16"/>
              </w:rPr>
            </w:pPr>
            <w:r>
              <w:rPr>
                <w:color w:val="000000"/>
                <w:sz w:val="16"/>
                <w:szCs w:val="16"/>
              </w:rPr>
              <w:t> </w:t>
            </w:r>
          </w:p>
        </w:tc>
        <w:tc>
          <w:tcPr>
            <w:tcW w:w="1280" w:type="dxa"/>
            <w:tcBorders>
              <w:top w:val="nil"/>
              <w:left w:val="nil"/>
              <w:bottom w:val="single" w:sz="4" w:space="0" w:color="000000"/>
              <w:right w:val="single" w:sz="4" w:space="0" w:color="000000"/>
            </w:tcBorders>
            <w:shd w:val="clear" w:color="auto" w:fill="auto"/>
            <w:vAlign w:val="bottom"/>
          </w:tcPr>
          <w:p w:rsidR="006F1BDC" w14:paraId="000000FC" w14:textId="77777777">
            <w:pPr>
              <w:rPr>
                <w:color w:val="000000"/>
                <w:sz w:val="16"/>
                <w:szCs w:val="16"/>
              </w:rPr>
            </w:pPr>
            <w:r>
              <w:rPr>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6F1BDC" w14:paraId="000000FD" w14:textId="77777777">
            <w:pPr>
              <w:rPr>
                <w:color w:val="000000"/>
                <w:sz w:val="16"/>
                <w:szCs w:val="16"/>
              </w:rPr>
            </w:pPr>
            <w:r>
              <w:rPr>
                <w:color w:val="000000"/>
                <w:sz w:val="16"/>
                <w:szCs w:val="16"/>
              </w:rPr>
              <w:t> </w:t>
            </w:r>
          </w:p>
        </w:tc>
      </w:tr>
      <w:tr w14:paraId="47CD8184" w14:textId="77777777">
        <w:tblPrEx>
          <w:tblW w:w="7347" w:type="dxa"/>
          <w:jc w:val="center"/>
          <w:tblLayout w:type="fixed"/>
          <w:tblLook w:val="0400"/>
        </w:tblPrEx>
        <w:trPr>
          <w:trHeight w:val="315"/>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6F1BDC" w14:paraId="000000FE" w14:textId="77777777">
            <w:pPr>
              <w:rPr>
                <w:b/>
                <w:color w:val="000000"/>
                <w:sz w:val="16"/>
                <w:szCs w:val="16"/>
              </w:rPr>
            </w:pPr>
            <w:r>
              <w:rPr>
                <w:b/>
                <w:color w:val="000000"/>
                <w:sz w:val="16"/>
                <w:szCs w:val="16"/>
              </w:rPr>
              <w:t>TOTAL</w:t>
            </w:r>
          </w:p>
        </w:tc>
        <w:tc>
          <w:tcPr>
            <w:tcW w:w="1170" w:type="dxa"/>
            <w:tcBorders>
              <w:top w:val="single" w:sz="8" w:space="0" w:color="000000"/>
              <w:left w:val="nil"/>
              <w:bottom w:val="single" w:sz="8" w:space="0" w:color="000000"/>
              <w:right w:val="single" w:sz="8" w:space="0" w:color="000000"/>
            </w:tcBorders>
            <w:shd w:val="clear" w:color="auto" w:fill="auto"/>
            <w:vAlign w:val="bottom"/>
          </w:tcPr>
          <w:p w:rsidR="006F1BDC" w14:paraId="000000FF" w14:textId="77777777">
            <w:pPr>
              <w:rPr>
                <w:color w:val="000000"/>
                <w:sz w:val="16"/>
                <w:szCs w:val="16"/>
              </w:rPr>
            </w:pPr>
            <w:r>
              <w:rPr>
                <w:color w:val="000000"/>
                <w:sz w:val="16"/>
                <w:szCs w:val="16"/>
              </w:rPr>
              <w:t> </w:t>
            </w:r>
          </w:p>
        </w:tc>
        <w:tc>
          <w:tcPr>
            <w:tcW w:w="1080" w:type="dxa"/>
            <w:tcBorders>
              <w:top w:val="single" w:sz="8" w:space="0" w:color="000000"/>
              <w:left w:val="nil"/>
              <w:bottom w:val="single" w:sz="8" w:space="0" w:color="000000"/>
              <w:right w:val="single" w:sz="8" w:space="0" w:color="000000"/>
            </w:tcBorders>
            <w:shd w:val="clear" w:color="auto" w:fill="auto"/>
            <w:vAlign w:val="bottom"/>
          </w:tcPr>
          <w:p w:rsidR="006F1BDC" w14:paraId="00000100" w14:textId="77777777">
            <w:pPr>
              <w:rPr>
                <w:color w:val="000000"/>
                <w:sz w:val="16"/>
                <w:szCs w:val="16"/>
              </w:rPr>
            </w:pPr>
            <w:r>
              <w:rPr>
                <w:color w:val="000000"/>
                <w:sz w:val="16"/>
                <w:szCs w:val="16"/>
              </w:rPr>
              <w:t> </w:t>
            </w:r>
          </w:p>
        </w:tc>
        <w:tc>
          <w:tcPr>
            <w:tcW w:w="997" w:type="dxa"/>
            <w:tcBorders>
              <w:top w:val="single" w:sz="8" w:space="0" w:color="000000"/>
              <w:left w:val="nil"/>
              <w:bottom w:val="single" w:sz="8" w:space="0" w:color="000000"/>
              <w:right w:val="single" w:sz="8" w:space="0" w:color="000000"/>
            </w:tcBorders>
            <w:shd w:val="clear" w:color="auto" w:fill="auto"/>
            <w:vAlign w:val="bottom"/>
          </w:tcPr>
          <w:p w:rsidR="006F1BDC" w14:paraId="00000101" w14:textId="77777777">
            <w:pPr>
              <w:rPr>
                <w:color w:val="000000"/>
                <w:sz w:val="16"/>
                <w:szCs w:val="16"/>
              </w:rPr>
            </w:pPr>
            <w:r>
              <w:rPr>
                <w:color w:val="000000"/>
                <w:sz w:val="16"/>
                <w:szCs w:val="16"/>
              </w:rPr>
              <w:t> </w:t>
            </w:r>
          </w:p>
        </w:tc>
        <w:tc>
          <w:tcPr>
            <w:tcW w:w="1280" w:type="dxa"/>
            <w:tcBorders>
              <w:top w:val="single" w:sz="8" w:space="0" w:color="000000"/>
              <w:left w:val="nil"/>
              <w:bottom w:val="single" w:sz="8" w:space="0" w:color="000000"/>
              <w:right w:val="single" w:sz="8" w:space="0" w:color="000000"/>
            </w:tcBorders>
            <w:shd w:val="clear" w:color="auto" w:fill="auto"/>
            <w:vAlign w:val="bottom"/>
          </w:tcPr>
          <w:p w:rsidR="006F1BDC" w14:paraId="00000102" w14:textId="77777777">
            <w:pPr>
              <w:rPr>
                <w:color w:val="000000"/>
                <w:sz w:val="16"/>
                <w:szCs w:val="16"/>
              </w:rPr>
            </w:pPr>
            <w:r>
              <w:rPr>
                <w:color w:val="000000"/>
                <w:sz w:val="16"/>
                <w:szCs w:val="16"/>
              </w:rPr>
              <w:t> </w:t>
            </w:r>
          </w:p>
        </w:tc>
        <w:tc>
          <w:tcPr>
            <w:tcW w:w="1300" w:type="dxa"/>
            <w:tcBorders>
              <w:top w:val="single" w:sz="8" w:space="0" w:color="000000"/>
              <w:left w:val="nil"/>
              <w:bottom w:val="single" w:sz="8" w:space="0" w:color="000000"/>
              <w:right w:val="single" w:sz="8" w:space="0" w:color="000000"/>
            </w:tcBorders>
            <w:shd w:val="clear" w:color="auto" w:fill="auto"/>
            <w:vAlign w:val="bottom"/>
          </w:tcPr>
          <w:p w:rsidR="006F1BDC" w14:paraId="00000103" w14:textId="77777777">
            <w:pPr>
              <w:rPr>
                <w:b/>
                <w:color w:val="000000"/>
                <w:sz w:val="18"/>
                <w:szCs w:val="18"/>
              </w:rPr>
            </w:pPr>
            <w:r>
              <w:rPr>
                <w:b/>
                <w:color w:val="000000"/>
                <w:sz w:val="18"/>
                <w:szCs w:val="18"/>
              </w:rPr>
              <w:t>27,544</w:t>
            </w:r>
          </w:p>
        </w:tc>
      </w:tr>
    </w:tbl>
    <w:p w:rsidR="006F1BDC" w14:paraId="00000104" w14:textId="77777777">
      <w:pPr>
        <w:rPr>
          <w:rFonts w:ascii="Times New Roman" w:eastAsia="Times New Roman" w:hAnsi="Times New Roman" w:cs="Times New Roman"/>
          <w:sz w:val="24"/>
          <w:szCs w:val="24"/>
        </w:rPr>
      </w:pPr>
    </w:p>
    <w:p w:rsidR="006F1BDC" w14:paraId="00000105"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Commerce Alternative Personnel System (CAPS) pay table for the Rest of U.S. locality rate was used to determine the base salary.  </w:t>
      </w:r>
      <w:hyperlink r:id="rId11">
        <w:r>
          <w:rPr>
            <w:rFonts w:ascii="Times New Roman" w:eastAsia="Times New Roman" w:hAnsi="Times New Roman" w:cs="Times New Roman"/>
            <w:color w:val="0000FF"/>
            <w:sz w:val="24"/>
            <w:szCs w:val="24"/>
            <w:u w:val="single"/>
          </w:rPr>
          <w:t>https://www.commerce.gov/sites/default/files/2024-01/CAPS_rpStandard_2024.pdf</w:t>
        </w:r>
      </w:hyperlink>
      <w:r>
        <w:rPr>
          <w:rFonts w:ascii="Times New Roman" w:eastAsia="Times New Roman" w:hAnsi="Times New Roman" w:cs="Times New Roman"/>
          <w:sz w:val="24"/>
          <w:szCs w:val="24"/>
        </w:rPr>
        <w:t xml:space="preserve">  The Rest of U.S. locality was used since NOAA staff are geographically dispersed.  A 1.5 multiplier was used to calculate the loaded salary.</w:t>
      </w:r>
    </w:p>
    <w:p w:rsidR="006F1BDC" w14:paraId="00000106" w14:textId="77777777">
      <w:pPr>
        <w:rPr>
          <w:sz w:val="24"/>
          <w:szCs w:val="24"/>
        </w:rPr>
      </w:pPr>
    </w:p>
    <w:p w:rsidR="006F1BDC" w:rsidP="007973C6" w14:paraId="00000107" w14:textId="77777777">
      <w:pPr>
        <w:numPr>
          <w:ilvl w:val="0"/>
          <w:numId w:val="10"/>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Explain the reasons for any program changes or adjustments reported in ROCIS.</w:t>
      </w:r>
    </w:p>
    <w:p w:rsidR="006F1BDC" w14:paraId="00000108" w14:textId="429292F2">
      <w:pPr>
        <w:spacing w:before="16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Trip Exchange requests and Quota Transfer Applications are now submitted electronically.  These costs have been removed, reducing the costs to the respondent by $372.</w:t>
      </w:r>
    </w:p>
    <w:p w:rsidR="006F1BDC" w14:paraId="00000109"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6F1BDC" w:rsidP="007973C6" w14:paraId="0000010A" w14:textId="77777777">
      <w:pPr>
        <w:numPr>
          <w:ilvl w:val="0"/>
          <w:numId w:val="11"/>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6F1BDC" w14:paraId="0000010B" w14:textId="77777777">
      <w:pPr>
        <w:rPr>
          <w:rFonts w:ascii="Times New Roman" w:eastAsia="Times New Roman" w:hAnsi="Times New Roman" w:cs="Times New Roman"/>
          <w:sz w:val="24"/>
          <w:szCs w:val="24"/>
        </w:rPr>
      </w:pPr>
      <w:r>
        <w:rPr>
          <w:rFonts w:ascii="Times New Roman" w:eastAsia="Times New Roman" w:hAnsi="Times New Roman" w:cs="Times New Roman"/>
          <w:color w:val="2F5496"/>
          <w:sz w:val="24"/>
          <w:szCs w:val="24"/>
        </w:rPr>
        <w:br/>
      </w:r>
      <w:r>
        <w:rPr>
          <w:rFonts w:ascii="Times New Roman" w:eastAsia="Times New Roman" w:hAnsi="Times New Roman" w:cs="Times New Roman"/>
          <w:sz w:val="24"/>
          <w:szCs w:val="24"/>
        </w:rPr>
        <w:t>The results from this collection may be used in scientific, management, technical or general information publications such as the Fisheries of the United States, which follows prescribed statistical tabulations and summary table format, and the annual Stock Assessment and Fishery Evaluation Report prepared by the New England Fishery Management Council for the scallop fishery.  Data obtained from this collection would be available to the public upon request in summary form only.  Furthermore, data are availa</w:t>
      </w:r>
      <w:r>
        <w:rPr>
          <w:rFonts w:ascii="Times New Roman" w:eastAsia="Times New Roman" w:hAnsi="Times New Roman" w:cs="Times New Roman"/>
          <w:sz w:val="24"/>
          <w:szCs w:val="24"/>
        </w:rPr>
        <w:t>ble to NMFS employees in detailed form on a need-to-know basis only.</w:t>
      </w:r>
    </w:p>
    <w:p w:rsidR="006F1BDC" w14:paraId="0000010C" w14:textId="7777777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NOAA NMFS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Although the information collected is not expected to be disseminated directly to </w:t>
      </w:r>
      <w:r>
        <w:rPr>
          <w:rFonts w:ascii="Times New Roman" w:eastAsia="Times New Roman" w:hAnsi="Times New Roman" w:cs="Times New Roman"/>
          <w:sz w:val="24"/>
          <w:szCs w:val="24"/>
        </w:rPr>
        <w:t>the public, results may be used in scientific, management, technical or general informational publications. Should NOAA NMFS</w:t>
      </w: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decide to disseminate the information, it will be subject to the quality control measures and pre-dissemination review pursuant to Section 515 of Public Law 106-554.</w:t>
      </w:r>
    </w:p>
    <w:p w:rsidR="006F1BDC" w14:paraId="0000010D" w14:textId="77777777">
      <w:pPr>
        <w:spacing w:after="0" w:line="240" w:lineRule="auto"/>
        <w:rPr>
          <w:rFonts w:ascii="Times New Roman" w:eastAsia="Times New Roman" w:hAnsi="Times New Roman" w:cs="Times New Roman"/>
          <w:sz w:val="24"/>
          <w:szCs w:val="24"/>
        </w:rPr>
      </w:pPr>
    </w:p>
    <w:p w:rsidR="006F1BDC" w:rsidP="007973C6" w14:paraId="0000010E" w14:textId="77777777">
      <w:pPr>
        <w:numPr>
          <w:ilvl w:val="0"/>
          <w:numId w:val="12"/>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seeking approval to not display the expiration date for OMB approval of the information collection, explain the reasons that display would be inappropriate.</w:t>
      </w:r>
    </w:p>
    <w:p w:rsidR="006F1BDC" w14:paraId="0000010F" w14:textId="77777777">
      <w:pPr>
        <w:widowControl w:val="0"/>
        <w:spacing w:after="0" w:line="240" w:lineRule="auto"/>
        <w:rPr>
          <w:rFonts w:ascii="Times New Roman" w:eastAsia="Times New Roman" w:hAnsi="Times New Roman" w:cs="Times New Roman"/>
          <w:sz w:val="24"/>
          <w:szCs w:val="24"/>
        </w:rPr>
      </w:pPr>
    </w:p>
    <w:p w:rsidR="006F1BDC" w14:paraId="00000110" w14:textId="7777777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office will display the OMB control number on all forms under this collection.</w:t>
      </w:r>
    </w:p>
    <w:p w:rsidR="006F1BDC" w14:paraId="00000111"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6F1BDC" w:rsidP="007973C6" w14:paraId="00000112" w14:textId="77777777">
      <w:pPr>
        <w:numPr>
          <w:ilvl w:val="0"/>
          <w:numId w:val="13"/>
        </w:numPr>
        <w:spacing w:before="80"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Explain each exception to the certification statement identified in “Certification for Paperwork Reduction Act Submissions."</w:t>
      </w:r>
    </w:p>
    <w:p w:rsidR="006F1BDC" w14:paraId="00000113" w14:textId="77777777">
      <w:pPr>
        <w:spacing w:before="221"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agency certifies compliance with </w:t>
      </w:r>
      <w:hyperlink r:id="rId12">
        <w:r>
          <w:rPr>
            <w:rFonts w:ascii="Times New Roman" w:eastAsia="Times New Roman" w:hAnsi="Times New Roman" w:cs="Times New Roman"/>
            <w:color w:val="0563C1"/>
            <w:sz w:val="24"/>
            <w:szCs w:val="24"/>
            <w:u w:val="single"/>
          </w:rPr>
          <w:t>5 CFR 1320.9</w:t>
        </w:r>
      </w:hyperlink>
      <w:hyperlink r:id="rId12">
        <w:r>
          <w:rPr>
            <w:rFonts w:ascii="Times New Roman" w:eastAsia="Times New Roman" w:hAnsi="Times New Roman" w:cs="Times New Roman"/>
            <w:color w:val="0563C1"/>
            <w:sz w:val="24"/>
            <w:szCs w:val="24"/>
          </w:rPr>
          <w:t xml:space="preserve"> </w:t>
        </w:r>
      </w:hyperlink>
      <w:r>
        <w:rPr>
          <w:rFonts w:ascii="Times New Roman" w:eastAsia="Times New Roman" w:hAnsi="Times New Roman" w:cs="Times New Roman"/>
          <w:color w:val="000000"/>
          <w:sz w:val="24"/>
          <w:szCs w:val="24"/>
        </w:rPr>
        <w:t xml:space="preserve">and the related provisions of </w:t>
      </w:r>
      <w:hyperlink r:id="rId13">
        <w:r>
          <w:rPr>
            <w:rFonts w:ascii="Times New Roman" w:eastAsia="Times New Roman" w:hAnsi="Times New Roman" w:cs="Times New Roman"/>
            <w:color w:val="0563C1"/>
            <w:sz w:val="24"/>
            <w:szCs w:val="24"/>
            <w:u w:val="single"/>
          </w:rPr>
          <w:t>5 CFR</w:t>
        </w:r>
      </w:hyperlink>
      <w:r>
        <w:rPr>
          <w:rFonts w:ascii="Times New Roman" w:eastAsia="Times New Roman" w:hAnsi="Times New Roman" w:cs="Times New Roman"/>
          <w:color w:val="0563C1"/>
          <w:sz w:val="24"/>
          <w:szCs w:val="24"/>
        </w:rPr>
        <w:t xml:space="preserve"> </w:t>
      </w:r>
      <w:hyperlink r:id="rId13">
        <w:r>
          <w:rPr>
            <w:rFonts w:ascii="Times New Roman" w:eastAsia="Times New Roman" w:hAnsi="Times New Roman" w:cs="Times New Roman"/>
            <w:color w:val="0563C1"/>
            <w:sz w:val="24"/>
            <w:szCs w:val="24"/>
            <w:u w:val="single"/>
          </w:rPr>
          <w:t>1320.8(b)(3)</w:t>
        </w:r>
      </w:hyperlink>
      <w:r>
        <w:rPr>
          <w:rFonts w:ascii="Times New Roman" w:eastAsia="Times New Roman" w:hAnsi="Times New Roman" w:cs="Times New Roman"/>
          <w:color w:val="000000"/>
          <w:sz w:val="24"/>
          <w:szCs w:val="24"/>
        </w:rPr>
        <w:t>.</w:t>
      </w:r>
    </w:p>
    <w:p w:rsidR="006F1BDC" w14:paraId="00000114" w14:textId="77777777">
      <w:pPr>
        <w:spacing w:after="240" w:line="240" w:lineRule="auto"/>
        <w:rPr>
          <w:rFonts w:ascii="Times New Roman" w:eastAsia="Times New Roman" w:hAnsi="Times New Roman" w:cs="Times New Roman"/>
          <w:sz w:val="24"/>
          <w:szCs w:val="24"/>
        </w:rPr>
      </w:pPr>
    </w:p>
    <w:p w:rsidR="006F1BDC" w14:paraId="00000115" w14:textId="77777777"/>
    <w:sectPr w:rsidSect="00F365D2">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0F98AC-3E33-46C9-9C47-31DE39BE9F6B}"/>
    <w:embedBold r:id="rId2" w:fontKey="{7C2D4E97-D859-4461-9017-CC0AAE32D3C0}"/>
  </w:font>
  <w:font w:name="Segoe UI">
    <w:panose1 w:val="020B0502040204020203"/>
    <w:charset w:val="00"/>
    <w:family w:val="swiss"/>
    <w:pitch w:val="variable"/>
    <w:sig w:usb0="E4002EFF" w:usb1="C000E47F" w:usb2="00000009" w:usb3="00000000" w:csb0="000001FF" w:csb1="00000000"/>
    <w:embedRegular r:id="rId3" w:fontKey="{C3293C6F-8070-4E21-89BE-0961FB32A753}"/>
  </w:font>
  <w:font w:name="Georgia">
    <w:panose1 w:val="02040502050405020303"/>
    <w:charset w:val="00"/>
    <w:family w:val="roman"/>
    <w:pitch w:val="variable"/>
    <w:sig w:usb0="00000287" w:usb1="00000000" w:usb2="00000000" w:usb3="00000000" w:csb0="0000009F" w:csb1="00000000"/>
    <w:embedRegular r:id="rId4" w:fontKey="{62B0FF6D-C404-45D7-BF48-F6F8AED5F896}"/>
    <w:embedItalic r:id="rId5" w:fontKey="{D237E927-A632-4401-919F-CBF6D5074C5F}"/>
  </w:font>
  <w:font w:name="Calibri Light">
    <w:panose1 w:val="020F0302020204030204"/>
    <w:charset w:val="00"/>
    <w:family w:val="swiss"/>
    <w:pitch w:val="variable"/>
    <w:sig w:usb0="E4002EFF" w:usb1="C200247B" w:usb2="00000009" w:usb3="00000000" w:csb0="000001FF" w:csb1="00000000"/>
    <w:embedRegular r:id="rId6" w:fontKey="{312802E2-548B-418A-B6FA-6519F25279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F0FA2" w14:paraId="5E15E123" w14:textId="77777777">
      <w:pPr>
        <w:spacing w:after="0" w:line="240" w:lineRule="auto"/>
      </w:pPr>
      <w:r>
        <w:separator/>
      </w:r>
    </w:p>
  </w:footnote>
  <w:footnote w:type="continuationSeparator" w:id="1">
    <w:p w:rsidR="006F0FA2" w14:paraId="4B01E063" w14:textId="77777777">
      <w:pPr>
        <w:spacing w:after="0" w:line="240" w:lineRule="auto"/>
      </w:pPr>
      <w:r>
        <w:continuationSeparator/>
      </w:r>
    </w:p>
  </w:footnote>
  <w:footnote w:id="2">
    <w:p w:rsidR="006F1BDC" w14:paraId="00000116" w14:textId="7777777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https://www.commerce.gov/node/4991</w:t>
      </w:r>
    </w:p>
  </w:footnote>
  <w:footnote w:id="3">
    <w:p w:rsidR="006F1BDC" w14:paraId="00000117" w14:textId="7777777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https://www.commerce.gov/sites/default/files/2024-05/NOAA4100-PIA-FY2024_SAOP-Approved-Delegated.pdf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ED0040"/>
    <w:multiLevelType w:val="multilevel"/>
    <w:tmpl w:val="524EEE8C"/>
    <w:lvl w:ilvl="0">
      <w:start w:val="9"/>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
    <w:nsid w:val="151C0C8B"/>
    <w:multiLevelType w:val="multilevel"/>
    <w:tmpl w:val="2F787B92"/>
    <w:lvl w:ilvl="0">
      <w:start w:val="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
    <w:nsid w:val="1DF33613"/>
    <w:multiLevelType w:val="multilevel"/>
    <w:tmpl w:val="CEF4FFF0"/>
    <w:lvl w:ilvl="0">
      <w:start w:val="12"/>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
    <w:nsid w:val="245465CC"/>
    <w:multiLevelType w:val="multilevel"/>
    <w:tmpl w:val="F3721D76"/>
    <w:lvl w:ilvl="0">
      <w:start w:val="10"/>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
    <w:nsid w:val="257C3352"/>
    <w:multiLevelType w:val="multilevel"/>
    <w:tmpl w:val="553C3CD0"/>
    <w:lvl w:ilvl="0">
      <w:start w:val="6"/>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5">
    <w:nsid w:val="27354DD1"/>
    <w:multiLevelType w:val="multilevel"/>
    <w:tmpl w:val="D61A2E72"/>
    <w:lvl w:ilvl="0">
      <w:start w:val="5"/>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6">
    <w:nsid w:val="390779C6"/>
    <w:multiLevelType w:val="multilevel"/>
    <w:tmpl w:val="95A0C39E"/>
    <w:lvl w:ilvl="0">
      <w:start w:val="3"/>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7">
    <w:nsid w:val="3B393CE1"/>
    <w:multiLevelType w:val="multilevel"/>
    <w:tmpl w:val="C772022E"/>
    <w:lvl w:ilvl="0">
      <w:start w:val="1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8">
    <w:nsid w:val="433761A1"/>
    <w:multiLevelType w:val="multilevel"/>
    <w:tmpl w:val="48AA0AB2"/>
    <w:lvl w:ilvl="0">
      <w:start w:val="14"/>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9">
    <w:nsid w:val="43972B45"/>
    <w:multiLevelType w:val="multilevel"/>
    <w:tmpl w:val="B06E1608"/>
    <w:lvl w:ilvl="0">
      <w:start w:val="16"/>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0">
    <w:nsid w:val="5064410D"/>
    <w:multiLevelType w:val="multilevel"/>
    <w:tmpl w:val="95A0C39E"/>
    <w:lvl w:ilvl="0">
      <w:start w:val="3"/>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1">
    <w:nsid w:val="5839439F"/>
    <w:multiLevelType w:val="multilevel"/>
    <w:tmpl w:val="D9CC12B6"/>
    <w:lvl w:ilvl="0">
      <w:start w:val="1"/>
      <w:numFmt w:val="decimal"/>
      <w:lvlText w:val="%1."/>
      <w:lvlJc w:val="left"/>
      <w:pPr>
        <w:ind w:left="720" w:hanging="360"/>
      </w:pPr>
    </w:lvl>
    <w:lvl w:ilvl="1">
      <w:start w:val="0"/>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63F5A5E"/>
    <w:multiLevelType w:val="multilevel"/>
    <w:tmpl w:val="7DC2F2FC"/>
    <w:lvl w:ilvl="0">
      <w:start w:val="1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3">
    <w:nsid w:val="666879A8"/>
    <w:multiLevelType w:val="multilevel"/>
    <w:tmpl w:val="D61CA0C8"/>
    <w:lvl w:ilvl="0">
      <w:start w:val="15"/>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4">
    <w:nsid w:val="6B3D57D2"/>
    <w:multiLevelType w:val="multilevel"/>
    <w:tmpl w:val="F3F83988"/>
    <w:lvl w:ilvl="0">
      <w:start w:val="7"/>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5">
    <w:nsid w:val="77611E9F"/>
    <w:multiLevelType w:val="multilevel"/>
    <w:tmpl w:val="F216EC46"/>
    <w:lvl w:ilvl="0">
      <w:start w:val="1"/>
      <w:numFmt w:val="decimal"/>
      <w:lvlText w:val="%1."/>
      <w:lvlJc w:val="left"/>
      <w:pPr>
        <w:ind w:left="720" w:hanging="360"/>
      </w:pPr>
      <w:rPr>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7853584F"/>
    <w:multiLevelType w:val="multilevel"/>
    <w:tmpl w:val="BF12CA2A"/>
    <w:lvl w:ilvl="0">
      <w:start w:val="13"/>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7">
    <w:nsid w:val="78A92CD1"/>
    <w:multiLevelType w:val="multilevel"/>
    <w:tmpl w:val="DE644EBC"/>
    <w:lvl w:ilvl="0">
      <w:start w:val="17"/>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8">
    <w:nsid w:val="7C5D5421"/>
    <w:multiLevelType w:val="multilevel"/>
    <w:tmpl w:val="7F08EBEA"/>
    <w:lvl w:ilvl="0">
      <w:start w:val="4"/>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num w:numId="1" w16cid:durableId="301807947">
    <w:abstractNumId w:val="15"/>
  </w:num>
  <w:num w:numId="2" w16cid:durableId="338697587">
    <w:abstractNumId w:val="14"/>
  </w:num>
  <w:num w:numId="3" w16cid:durableId="901788994">
    <w:abstractNumId w:val="1"/>
  </w:num>
  <w:num w:numId="4" w16cid:durableId="468283549">
    <w:abstractNumId w:val="0"/>
  </w:num>
  <w:num w:numId="5" w16cid:durableId="867571358">
    <w:abstractNumId w:val="3"/>
  </w:num>
  <w:num w:numId="6" w16cid:durableId="801268713">
    <w:abstractNumId w:val="12"/>
  </w:num>
  <w:num w:numId="7" w16cid:durableId="673263390">
    <w:abstractNumId w:val="2"/>
  </w:num>
  <w:num w:numId="8" w16cid:durableId="699016195">
    <w:abstractNumId w:val="16"/>
  </w:num>
  <w:num w:numId="9" w16cid:durableId="1173762634">
    <w:abstractNumId w:val="8"/>
  </w:num>
  <w:num w:numId="10" w16cid:durableId="857084999">
    <w:abstractNumId w:val="13"/>
  </w:num>
  <w:num w:numId="11" w16cid:durableId="494879276">
    <w:abstractNumId w:val="9"/>
  </w:num>
  <w:num w:numId="12" w16cid:durableId="272979805">
    <w:abstractNumId w:val="17"/>
  </w:num>
  <w:num w:numId="13" w16cid:durableId="678430164">
    <w:abstractNumId w:val="7"/>
  </w:num>
  <w:num w:numId="14" w16cid:durableId="2021738187">
    <w:abstractNumId w:val="11"/>
  </w:num>
  <w:num w:numId="15" w16cid:durableId="312178792">
    <w:abstractNumId w:val="10"/>
  </w:num>
  <w:num w:numId="16" w16cid:durableId="357894456">
    <w:abstractNumId w:val="18"/>
  </w:num>
  <w:num w:numId="17" w16cid:durableId="1552842540">
    <w:abstractNumId w:val="5"/>
  </w:num>
  <w:num w:numId="18" w16cid:durableId="1397240034">
    <w:abstractNumId w:val="4"/>
  </w:num>
  <w:num w:numId="19" w16cid:durableId="6460151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BDC"/>
    <w:rsid w:val="00147821"/>
    <w:rsid w:val="006F0FA2"/>
    <w:rsid w:val="006F1BDC"/>
    <w:rsid w:val="007973C6"/>
    <w:rsid w:val="0081471F"/>
    <w:rsid w:val="00CE1891"/>
    <w:rsid w:val="00D045C7"/>
    <w:rsid w:val="00F365D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DAF8F2"/>
  <w15:docId w15:val="{AC36C26B-9AC3-4006-B147-79EDD3C4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E2A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E2AF5"/>
    <w:rPr>
      <w:rFonts w:ascii="Times New Roman" w:eastAsia="Times New Roman" w:hAnsi="Times New Roman" w:cs="Times New Roman"/>
      <w:b/>
      <w:bCs/>
      <w:kern w:val="36"/>
      <w:sz w:val="48"/>
      <w:szCs w:val="48"/>
    </w:rPr>
  </w:style>
  <w:style w:type="paragraph" w:customStyle="1" w:styleId="msonormal">
    <w:name w:val="msonormal"/>
    <w:basedOn w:val="Normal"/>
    <w:rsid w:val="00AE2AF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E2A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2AF5"/>
    <w:rPr>
      <w:color w:val="0000FF"/>
      <w:u w:val="single"/>
    </w:rPr>
  </w:style>
  <w:style w:type="character" w:styleId="FollowedHyperlink">
    <w:name w:val="FollowedHyperlink"/>
    <w:basedOn w:val="DefaultParagraphFont"/>
    <w:uiPriority w:val="99"/>
    <w:semiHidden/>
    <w:unhideWhenUsed/>
    <w:rsid w:val="00AE2AF5"/>
    <w:rPr>
      <w:color w:val="800080"/>
      <w:u w:val="single"/>
    </w:rPr>
  </w:style>
  <w:style w:type="character" w:customStyle="1" w:styleId="apple-tab-span">
    <w:name w:val="apple-tab-span"/>
    <w:basedOn w:val="DefaultParagraphFont"/>
    <w:rsid w:val="00AE2AF5"/>
  </w:style>
  <w:style w:type="character" w:styleId="CommentReference">
    <w:name w:val="annotation reference"/>
    <w:basedOn w:val="DefaultParagraphFont"/>
    <w:semiHidden/>
    <w:unhideWhenUsed/>
    <w:rsid w:val="0061798C"/>
    <w:rPr>
      <w:sz w:val="16"/>
      <w:szCs w:val="16"/>
    </w:rPr>
  </w:style>
  <w:style w:type="paragraph" w:styleId="CommentText">
    <w:name w:val="annotation text"/>
    <w:basedOn w:val="Normal"/>
    <w:link w:val="CommentTextChar"/>
    <w:semiHidden/>
    <w:unhideWhenUsed/>
    <w:rsid w:val="0061798C"/>
    <w:pPr>
      <w:spacing w:line="240" w:lineRule="auto"/>
    </w:pPr>
    <w:rPr>
      <w:sz w:val="20"/>
      <w:szCs w:val="20"/>
    </w:rPr>
  </w:style>
  <w:style w:type="character" w:customStyle="1" w:styleId="CommentTextChar">
    <w:name w:val="Comment Text Char"/>
    <w:basedOn w:val="DefaultParagraphFont"/>
    <w:link w:val="CommentText"/>
    <w:semiHidden/>
    <w:rsid w:val="0061798C"/>
    <w:rPr>
      <w:sz w:val="20"/>
      <w:szCs w:val="20"/>
    </w:rPr>
  </w:style>
  <w:style w:type="paragraph" w:styleId="CommentSubject">
    <w:name w:val="annotation subject"/>
    <w:basedOn w:val="CommentText"/>
    <w:next w:val="CommentText"/>
    <w:link w:val="CommentSubjectChar"/>
    <w:uiPriority w:val="99"/>
    <w:semiHidden/>
    <w:unhideWhenUsed/>
    <w:rsid w:val="0061798C"/>
    <w:rPr>
      <w:b/>
      <w:bCs/>
    </w:rPr>
  </w:style>
  <w:style w:type="character" w:customStyle="1" w:styleId="CommentSubjectChar">
    <w:name w:val="Comment Subject Char"/>
    <w:basedOn w:val="CommentTextChar"/>
    <w:link w:val="CommentSubject"/>
    <w:uiPriority w:val="99"/>
    <w:semiHidden/>
    <w:rsid w:val="0061798C"/>
    <w:rPr>
      <w:b/>
      <w:bCs/>
      <w:sz w:val="20"/>
      <w:szCs w:val="20"/>
    </w:rPr>
  </w:style>
  <w:style w:type="paragraph" w:styleId="BalloonText">
    <w:name w:val="Balloon Text"/>
    <w:basedOn w:val="Normal"/>
    <w:link w:val="BalloonTextChar"/>
    <w:uiPriority w:val="99"/>
    <w:semiHidden/>
    <w:unhideWhenUsed/>
    <w:rsid w:val="006179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98C"/>
    <w:rPr>
      <w:rFonts w:ascii="Segoe UI" w:hAnsi="Segoe UI" w:cs="Segoe UI"/>
      <w:sz w:val="18"/>
      <w:szCs w:val="18"/>
    </w:rPr>
  </w:style>
  <w:style w:type="paragraph" w:styleId="ListParagraph">
    <w:name w:val="List Paragraph"/>
    <w:basedOn w:val="Normal"/>
    <w:uiPriority w:val="34"/>
    <w:qFormat/>
    <w:rsid w:val="00862F0F"/>
    <w:pPr>
      <w:ind w:left="720"/>
      <w:contextualSpacing/>
    </w:pPr>
  </w:style>
  <w:style w:type="paragraph" w:styleId="Header">
    <w:name w:val="header"/>
    <w:basedOn w:val="Normal"/>
    <w:link w:val="HeaderChar"/>
    <w:uiPriority w:val="99"/>
    <w:unhideWhenUsed/>
    <w:rsid w:val="002F7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F34"/>
  </w:style>
  <w:style w:type="paragraph" w:styleId="Footer">
    <w:name w:val="footer"/>
    <w:basedOn w:val="Normal"/>
    <w:link w:val="FooterChar"/>
    <w:uiPriority w:val="99"/>
    <w:unhideWhenUsed/>
    <w:rsid w:val="002F7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F34"/>
  </w:style>
  <w:style w:type="character" w:styleId="UnresolvedMention">
    <w:name w:val="Unresolved Mention"/>
    <w:basedOn w:val="DefaultParagraphFont"/>
    <w:uiPriority w:val="99"/>
    <w:semiHidden/>
    <w:unhideWhenUsed/>
    <w:rsid w:val="00CD3F68"/>
    <w:rPr>
      <w:color w:val="605E5C"/>
      <w:shd w:val="clear" w:color="auto" w:fill="E1DFDD"/>
    </w:rPr>
  </w:style>
  <w:style w:type="paragraph" w:styleId="FootnoteText">
    <w:name w:val="footnote text"/>
    <w:basedOn w:val="Normal"/>
    <w:link w:val="FootnoteTextChar"/>
    <w:uiPriority w:val="99"/>
    <w:semiHidden/>
    <w:unhideWhenUsed/>
    <w:rsid w:val="00BE28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2861"/>
    <w:rPr>
      <w:sz w:val="20"/>
      <w:szCs w:val="20"/>
    </w:rPr>
  </w:style>
  <w:style w:type="character" w:styleId="FootnoteReference">
    <w:name w:val="footnote reference"/>
    <w:basedOn w:val="DefaultParagraphFont"/>
    <w:uiPriority w:val="99"/>
    <w:semiHidden/>
    <w:unhideWhenUsed/>
    <w:rsid w:val="00BE2861"/>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www.corporateservices.noaa.gov/ames/administrative_orders/chapter_216/216-100.html" TargetMode="External" /><Relationship Id="rId11" Type="http://schemas.openxmlformats.org/officeDocument/2006/relationships/hyperlink" Target="https://www.commerce.gov/sites/default/files/2024-01/CAPS_rpStandard_2024.pdf" TargetMode="External" /><Relationship Id="rId12" Type="http://schemas.openxmlformats.org/officeDocument/2006/relationships/hyperlink" Target="http://www.gpo.gov/fdsys/pkg/CFR-2014-title5-vol3/pdf/CFR-2014-title5-vol3-sec1320-9.pdf" TargetMode="External" /><Relationship Id="rId13" Type="http://schemas.openxmlformats.org/officeDocument/2006/relationships/hyperlink" Target="http://www.gpo.gov/fdsys/pkg/CFR-2014-title5-vol3/pdf/CFR-2014-title5-vol3-sec1320-8.pdf" TargetMode="Externa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yperlink" Target="http://www.nmfs.noaa.gov/msa2005/docs/MSA_amended_msa%20_20070112_FINAL.pdf" TargetMode="External" /><Relationship Id="rId7" Type="http://schemas.openxmlformats.org/officeDocument/2006/relationships/hyperlink" Target="http://www.pay.gov" TargetMode="External" /><Relationship Id="rId8" Type="http://schemas.openxmlformats.org/officeDocument/2006/relationships/hyperlink" Target="https://www.commerce.gov/node/4991" TargetMode="External" /><Relationship Id="rId9" Type="http://schemas.openxmlformats.org/officeDocument/2006/relationships/hyperlink" Target="https://www.commerce.gov/sites/default/files/2024-05/NOAA4100-PIA-FY2024_SAOP-Approved-Delegated.pd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FsUDAi6chcE8rWJI32pZOVptA==">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3419</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NOAA CORPSRV</Company>
  <LinksUpToDate>false</LinksUpToDate>
  <CharactersWithSpaces>22863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Tweeddale</dc:creator>
  <cp:lastModifiedBy>Adrienne.Thomas</cp:lastModifiedBy>
  <cp:revision>4</cp:revision>
  <dcterms:created xsi:type="dcterms:W3CDTF">2025-03-28T15:52:00Z</dcterms:created>
  <dcterms:modified xsi:type="dcterms:W3CDTF">2025-03-28T16:01:00Z</dcterms:modified>
</cp:coreProperties>
</file>