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7FCA589">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753BDD" w:rsidR="00075913">
        <w:rPr>
          <w:bCs/>
        </w:rPr>
        <w:t xml:space="preserve">NESHAP for </w:t>
      </w:r>
      <w:r w:rsidRPr="0083746C" w:rsidR="00075913">
        <w:rPr>
          <w:bCs/>
        </w:rPr>
        <w:t xml:space="preserve">Surface Coating of Metal Cans </w:t>
      </w:r>
      <w:r w:rsidRPr="00753BDD" w:rsidR="00075913">
        <w:rPr>
          <w:bCs/>
        </w:rPr>
        <w:t xml:space="preserve">(40 CFR Part 63, Subpart </w:t>
      </w:r>
      <w:r w:rsidR="00075913">
        <w:rPr>
          <w:bCs/>
        </w:rPr>
        <w:t>KKKK</w:t>
      </w:r>
      <w:r w:rsidRPr="00753BDD" w:rsidR="00075913">
        <w:rPr>
          <w:bCs/>
        </w:rPr>
        <w:t>)</w:t>
      </w:r>
      <w:r w:rsidR="00075913">
        <w:rPr>
          <w:bCs/>
        </w:rPr>
        <w:t xml:space="preserve"> (Renewal)</w:t>
      </w:r>
    </w:p>
    <w:p w:rsidR="00EE2403" w:rsidRPr="00BB3410" w:rsidP="00BB432F" w14:paraId="71D5121E" w14:textId="5F7A2BAD">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C70C5" w:rsidR="00D0369D">
        <w:rPr>
          <w:bCs/>
        </w:rPr>
        <w:t>2060-05</w:t>
      </w:r>
      <w:r w:rsidR="00D0369D">
        <w:rPr>
          <w:bCs/>
        </w:rPr>
        <w:t>41</w:t>
      </w:r>
    </w:p>
    <w:p w:rsidR="00EE2403" w:rsidRPr="00BB3410" w:rsidP="00ED57A4" w14:paraId="4FB77BCA" w14:textId="0805128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C74197">
        <w:rPr>
          <w:rFonts w:cstheme="minorHAnsi"/>
        </w:rPr>
        <w:t>2079.10</w:t>
      </w:r>
    </w:p>
    <w:p w:rsidR="00971823" w:rsidP="00EA7AD4" w14:paraId="3014C565" w14:textId="5072B35C">
      <w:pPr>
        <w:spacing w:before="240"/>
        <w:rPr>
          <w:color w:val="000000"/>
        </w:rPr>
      </w:pPr>
      <w:r w:rsidRPr="4BDBF0A0">
        <w:rPr>
          <w:b/>
          <w:bCs/>
        </w:rPr>
        <w:t>Abstract:</w:t>
      </w:r>
      <w:r w:rsidRPr="4BDBF0A0" w:rsidR="00BB432F">
        <w:t xml:space="preserve"> </w:t>
      </w:r>
    </w:p>
    <w:p w:rsidR="00526FDF" w:rsidRPr="00EA7AD4" w:rsidP="008E5584" w14:paraId="10C694CD" w14:textId="22B3B48D">
      <w:r w:rsidRPr="00054D2A">
        <w:t xml:space="preserve">The National Emission Standards for Hazardous Air Pollutants (NESHAP) for </w:t>
      </w:r>
      <w:r w:rsidRPr="00B127DB">
        <w:rPr>
          <w:bCs/>
        </w:rPr>
        <w:t xml:space="preserve">Metal Can Manufacturing Surface Coating </w:t>
      </w:r>
      <w:r w:rsidRPr="00054D2A">
        <w:t xml:space="preserve">were proposed on </w:t>
      </w:r>
      <w:r>
        <w:t xml:space="preserve">January 15, 2003, </w:t>
      </w:r>
      <w:r w:rsidRPr="00054D2A">
        <w:t>promulgated on November 13, 2003</w:t>
      </w:r>
      <w:r>
        <w:t xml:space="preserve">, and </w:t>
      </w:r>
      <w:r w:rsidR="00693785">
        <w:t xml:space="preserve">most recently </w:t>
      </w:r>
      <w:r>
        <w:t xml:space="preserve">amended on </w:t>
      </w:r>
      <w:r w:rsidR="007475A9">
        <w:t>February 25, 2020</w:t>
      </w:r>
      <w:r>
        <w:t xml:space="preserve">. The latest amendment </w:t>
      </w:r>
      <w:r w:rsidR="007475A9">
        <w:t>was a</w:t>
      </w:r>
      <w:r w:rsidR="00FE6D59">
        <w:t xml:space="preserve"> </w:t>
      </w:r>
      <w:r w:rsidRPr="00072334" w:rsidR="00FE6D59">
        <w:t>residual risk and technology review (RTR)</w:t>
      </w:r>
      <w:r w:rsidR="0033751A">
        <w:t xml:space="preserve"> require</w:t>
      </w:r>
      <w:r w:rsidR="00EA7AD4">
        <w:t>d</w:t>
      </w:r>
      <w:r w:rsidR="0033751A">
        <w:t xml:space="preserve"> of periodic air emissions testing</w:t>
      </w:r>
      <w:r w:rsidR="00C51043">
        <w:t>,</w:t>
      </w:r>
      <w:r w:rsidR="0033751A">
        <w:t xml:space="preserve"> </w:t>
      </w:r>
      <w:r w:rsidR="001D6036">
        <w:t>revisions to the startup, shu</w:t>
      </w:r>
      <w:r w:rsidR="00C51043">
        <w:t>t</w:t>
      </w:r>
      <w:r w:rsidR="001D6036">
        <w:t>down, and malfunction (SSM</w:t>
      </w:r>
      <w:r w:rsidR="00C51043">
        <w:t>) provisions</w:t>
      </w:r>
      <w:r w:rsidR="001F723E">
        <w:t>,</w:t>
      </w:r>
      <w:r w:rsidR="00C51043">
        <w:t xml:space="preserve"> and </w:t>
      </w:r>
      <w:r w:rsidR="007E7C6A">
        <w:t xml:space="preserve">the use of electronic data reporting for performance test data submittals notifications, and reports. </w:t>
      </w:r>
      <w:r w:rsidRPr="00054D2A">
        <w:t xml:space="preserve">These regulations apply to existing and new facilities in this source category that use 5,700 liters (1,500 gallons) per year or more of coatings and that is a major source of </w:t>
      </w:r>
      <w:r>
        <w:t xml:space="preserve">hazardous air pollutant (HAP). </w:t>
      </w:r>
      <w:r w:rsidRPr="00054D2A">
        <w:t xml:space="preserve">The metal can surface coating source category includes any facilities that coat or print metal cans </w:t>
      </w:r>
      <w:r>
        <w:t>(including decorative tins),</w:t>
      </w:r>
      <w:r w:rsidRPr="005761BA">
        <w:t xml:space="preserve"> metal ends for metal or composite cans</w:t>
      </w:r>
      <w:r>
        <w:t>,</w:t>
      </w:r>
      <w:r w:rsidRPr="005761BA">
        <w:t xml:space="preserve"> or metal crowns or closures for any type of can during any stage of the can manufacturing process. The source category does not include the coating of metal coils for cans or can parts. Coil coating for cans and can parts is included in the NESHAP for the</w:t>
      </w:r>
      <w:r>
        <w:t xml:space="preserve"> surface coating of metal coil (</w:t>
      </w:r>
      <w:r w:rsidRPr="005761BA">
        <w:t xml:space="preserve">40 CFR </w:t>
      </w:r>
      <w:r>
        <w:t>P</w:t>
      </w:r>
      <w:r w:rsidRPr="005761BA">
        <w:t xml:space="preserve">art 63, </w:t>
      </w:r>
      <w:r>
        <w:t>Subpart SSSS)</w:t>
      </w:r>
      <w:r w:rsidRPr="005761BA">
        <w:t xml:space="preserve">. The source category does not include the coating of pails and drums, which is covered in the NESHAP for the surface coating of miscellaneous metal parts and products (40 CFR </w:t>
      </w:r>
      <w:r>
        <w:t>P</w:t>
      </w:r>
      <w:r w:rsidRPr="005761BA">
        <w:t xml:space="preserve">art 63, </w:t>
      </w:r>
      <w:r>
        <w:t>S</w:t>
      </w:r>
      <w:r w:rsidRPr="005761BA">
        <w:t xml:space="preserve">ubpart MMMM). </w:t>
      </w:r>
      <w:r w:rsidRPr="00054D2A">
        <w:t xml:space="preserve">New facilities include those that commenced construction or reconstruction after </w:t>
      </w:r>
      <w:r w:rsidRPr="00E0183A" w:rsidR="000627F1">
        <w:t>January 15, 2003</w:t>
      </w:r>
      <w:r w:rsidRPr="00054D2A">
        <w:t xml:space="preserve">. This information is being collected to assure compliance with 40 CFR Part 63, Subpart </w:t>
      </w:r>
      <w:r>
        <w:rPr>
          <w:color w:val="000000"/>
        </w:rPr>
        <w:t>KKKK.</w:t>
      </w:r>
    </w:p>
    <w:p w:rsidR="00526FDF" w:rsidRPr="00054D2A" w:rsidP="008E5584" w14:paraId="22294ADF" w14:textId="132CA924">
      <w:r>
        <w:rPr>
          <w:color w:val="000000"/>
        </w:rPr>
        <w:t>In general, all</w:t>
      </w:r>
      <w:r>
        <w:rPr>
          <w:color w:val="FF0000"/>
        </w:rPr>
        <w:t xml:space="preserve"> </w:t>
      </w:r>
      <w:r w:rsidRPr="00054D2A">
        <w:t>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526FDF" w:rsidP="008E5584" w14:paraId="4395DEF8" w14:textId="3822C76E">
      <w:pPr>
        <w:pBdr>
          <w:top w:val="single" w:sz="6" w:space="0" w:color="FFFFFF"/>
          <w:left w:val="single" w:sz="6" w:space="0" w:color="FFFFFF"/>
          <w:bottom w:val="single" w:sz="6" w:space="0" w:color="FFFFFF"/>
          <w:right w:val="single" w:sz="6" w:space="0" w:color="FFFFFF"/>
        </w:pBdr>
        <w:rPr>
          <w:color w:val="000000"/>
        </w:rPr>
      </w:pPr>
      <w:r>
        <w:rPr>
          <w:color w:val="000000"/>
        </w:rPr>
        <w:t xml:space="preserve">Over the next three years, </w:t>
      </w:r>
      <w:r w:rsidRPr="00054D2A">
        <w:t>approximately 5</w:t>
      </w:r>
      <w:r>
        <w:rPr>
          <w:color w:val="000000"/>
        </w:rPr>
        <w:t xml:space="preserve"> respondents per year will be subject to these standards, and no additional respondents per year will become subject to these same standards. </w:t>
      </w:r>
    </w:p>
    <w:p w:rsidR="000C707E" w:rsidP="008E5584" w14:paraId="337B2A5C" w14:textId="38B5A156">
      <w:pPr>
        <w:pBdr>
          <w:top w:val="single" w:sz="6" w:space="0" w:color="FFFFFF"/>
          <w:left w:val="single" w:sz="6" w:space="0" w:color="FFFFFF"/>
          <w:bottom w:val="single" w:sz="6" w:space="0" w:color="FFFFFF"/>
          <w:right w:val="single" w:sz="6" w:space="0" w:color="FFFFFF"/>
        </w:pBdr>
      </w:pPr>
      <w:bookmarkStart w:id="1" w:name="_Hlk505168273"/>
      <w:r w:rsidRPr="000C707E">
        <w:t>The Office of Management and Budget (OMB) approved the currently active ICR with</w:t>
      </w:r>
      <w:r w:rsidRPr="000C707E">
        <w:t xml:space="preserve"> the following</w:t>
      </w:r>
      <w:r w:rsidRPr="000C707E">
        <w:t xml:space="preserve"> Terms of Clearance</w:t>
      </w:r>
      <w:bookmarkEnd w:id="1"/>
      <w:r w:rsidRPr="000C707E">
        <w:t>:</w:t>
      </w:r>
    </w:p>
    <w:p w:rsidR="000C707E" w:rsidP="008E5584" w14:paraId="18868330" w14:textId="1918BF19">
      <w:pPr>
        <w:pBdr>
          <w:top w:val="single" w:sz="6" w:space="0" w:color="FFFFFF"/>
          <w:left w:val="single" w:sz="6" w:space="0" w:color="FFFFFF"/>
          <w:bottom w:val="single" w:sz="6" w:space="0" w:color="FFFFFF"/>
          <w:right w:val="single" w:sz="6" w:space="0" w:color="FFFFFF"/>
        </w:pBdr>
        <w:ind w:left="720"/>
      </w:pPr>
      <w:r>
        <w:t>“</w:t>
      </w:r>
      <w:r w:rsidRPr="000C707E">
        <w:t xml:space="preserve">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w:t>
      </w:r>
      <w:r w:rsidRPr="000C707E">
        <w:t>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t>”</w:t>
      </w:r>
    </w:p>
    <w:p w:rsidR="000C707E" w:rsidRPr="00F12BA5" w:rsidP="00F12BA5" w14:paraId="3E4B1D33" w14:textId="391E7127">
      <w:pPr>
        <w:spacing w:before="240"/>
        <w:rPr>
          <w:color w:val="000000"/>
        </w:rPr>
      </w:pPr>
      <w:r>
        <w:t xml:space="preserve">The relevant regulatory text is referenced in section </w:t>
      </w:r>
      <w:r w:rsidRPr="009E7936">
        <w:t>12b</w:t>
      </w:r>
      <w:r>
        <w:t xml:space="preserve">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12b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w:t>
      </w:r>
      <w:r w:rsidRPr="004548C3">
        <w:t>discussed in section 8 of</w:t>
      </w:r>
      <w:r>
        <w:t xml:space="preserve"> this document. </w:t>
      </w:r>
      <w:r w:rsidRPr="00BE6205">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AB6C82" w:rsidP="00653D08" w14:paraId="0D5D4789" w14:textId="231291C0">
      <w:pPr>
        <w:pBdr>
          <w:top w:val="single" w:sz="6" w:space="0" w:color="FFFFFF"/>
          <w:left w:val="single" w:sz="6" w:space="0" w:color="FFFFFF"/>
          <w:bottom w:val="single" w:sz="6" w:space="0" w:color="FFFFFF"/>
          <w:right w:val="single" w:sz="6" w:space="0" w:color="FFFFFF"/>
        </w:pBdr>
      </w:pPr>
      <w:r w:rsidRPr="00AB6C82">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AB6C82"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AB6C8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w:t>
      </w:r>
      <w:r w:rsidRPr="00AB6C82">
        <w:t>accordance with Section 114(a)(3); and (G) provide such other information as the Administrator may reasonably require.</w:t>
      </w:r>
    </w:p>
    <w:p w:rsidR="00601660" w:rsidP="008E5584" w14:paraId="654F2FEB" w14:textId="4F738D15">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Pr>
          <w:color w:val="FF0000"/>
        </w:rPr>
        <w:t xml:space="preserve"> </w:t>
      </w:r>
      <w:r w:rsidRPr="00054D2A" w:rsidR="001E6D9C">
        <w:t xml:space="preserve">HAP emissions from </w:t>
      </w:r>
      <w:r w:rsidRPr="00D97661" w:rsidR="001E6D9C">
        <w:rPr>
          <w:bCs/>
        </w:rPr>
        <w:t>metal can manufacturing surface coating</w:t>
      </w:r>
      <w:r w:rsidR="001E6D9C">
        <w:rPr>
          <w:color w:val="000000"/>
        </w:rPr>
        <w:t xml:space="preserve"> </w:t>
      </w:r>
      <w:r>
        <w:rPr>
          <w:color w:val="000000"/>
        </w:rPr>
        <w:t xml:space="preserve">cause or contribute to air pollution that may reasonably be anticipated to endanger public health or welfare. Therefore, the </w:t>
      </w:r>
      <w:r w:rsidR="008E5584">
        <w:t>NESHAP</w:t>
      </w:r>
      <w:r>
        <w:rPr>
          <w:color w:val="FF0000"/>
        </w:rPr>
        <w:t xml:space="preserve"> </w:t>
      </w:r>
      <w:r>
        <w:rPr>
          <w:color w:val="000000"/>
        </w:rPr>
        <w:t xml:space="preserve">were promulgated for this source category at </w:t>
      </w:r>
      <w:r w:rsidRPr="00277635">
        <w:rPr>
          <w:color w:val="000000"/>
        </w:rPr>
        <w:t>40 CFR Part 63,</w:t>
      </w:r>
      <w:r>
        <w:rPr>
          <w:b/>
          <w:bCs/>
          <w:i/>
          <w:iCs/>
          <w:color w:val="000000"/>
        </w:rPr>
        <w:t xml:space="preserve"> </w:t>
      </w:r>
      <w:r>
        <w:rPr>
          <w:color w:val="000000"/>
        </w:rPr>
        <w:t xml:space="preserve">Subpart </w:t>
      </w:r>
      <w:r w:rsidR="00277635">
        <w:t>KKKK.</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E3D99" w:rsidP="008E5584" w14:paraId="546FC449" w14:textId="7A1D2424">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 standard ensure compliance with the applicable regulations which were promulgated in accordance with the CAA. The collected information is also used for targeting inspections and as evidence in legal proceedings.</w:t>
      </w:r>
    </w:p>
    <w:p w:rsidR="00CE3D99" w:rsidRPr="00E743C6" w:rsidP="008E5584" w14:paraId="0A57713F" w14:textId="7064945E">
      <w:pPr>
        <w:pBdr>
          <w:top w:val="single" w:sz="6" w:space="0" w:color="FFFFFF"/>
          <w:left w:val="single" w:sz="6" w:space="0" w:color="FFFFFF"/>
          <w:bottom w:val="single" w:sz="6" w:space="0" w:color="FFFFFF"/>
          <w:right w:val="single" w:sz="6" w:space="0" w:color="FFFFFF"/>
        </w:pBdr>
      </w:pPr>
      <w:r>
        <w:rPr>
          <w:color w:val="000000"/>
        </w:rPr>
        <w:t>For facilities using the emission rate with add-on control compliance option, performance tests are required to determine an affected facility’s initial and ongoing capability to comply with</w:t>
      </w:r>
      <w:r w:rsidRPr="00C27DFA">
        <w:t xml:space="preserve"> the emission standard. During the performance test a record of the operating parameters under which compliance was achieved may be recorded and used to determine compliance.</w:t>
      </w:r>
      <w:r>
        <w:rPr>
          <w:color w:val="FF0000"/>
        </w:rPr>
        <w:t xml:space="preserve"> </w:t>
      </w:r>
      <w:r>
        <w:t>C</w:t>
      </w:r>
      <w:r w:rsidRPr="009246DC">
        <w:t>ontinuous parameter monitoring system</w:t>
      </w:r>
      <w:r w:rsidRPr="008A2EFF">
        <w:t>s</w:t>
      </w:r>
      <w:r>
        <w:t xml:space="preserve"> </w:t>
      </w:r>
      <w:r w:rsidRPr="00146F35">
        <w:t xml:space="preserve">are used to </w:t>
      </w:r>
      <w:r w:rsidRPr="00E743C6">
        <w:t>ensure compliance with the standard at all times.</w:t>
      </w:r>
    </w:p>
    <w:p w:rsidR="00CE3D99" w:rsidP="008E5584" w14:paraId="38F6FE6C" w14:textId="2DC4433D">
      <w:pPr>
        <w:pBdr>
          <w:top w:val="single" w:sz="6" w:space="0" w:color="FFFFFF"/>
          <w:left w:val="single" w:sz="6" w:space="0" w:color="FFFFFF"/>
          <w:bottom w:val="single" w:sz="6" w:space="0" w:color="FFFFFF"/>
          <w:right w:val="single" w:sz="6" w:space="0" w:color="FFFFFF"/>
        </w:pBdr>
        <w:rPr>
          <w:color w:val="000000"/>
        </w:rPr>
      </w:pPr>
      <w:r w:rsidRPr="00205CFF">
        <w:t xml:space="preserve">The required semiannual reports </w:t>
      </w:r>
      <w:r>
        <w:rPr>
          <w:color w:val="000000"/>
        </w:rPr>
        <w:t>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03BEE352">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on </w:t>
      </w:r>
      <w:r w:rsidRPr="0072022C" w:rsidR="00BB6E13">
        <w:rPr>
          <w:rFonts w:cstheme="minorHAnsi"/>
        </w:rPr>
        <w:t>February 25, 2020</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805C94" w:rsidR="00805C94">
        <w:rPr>
          <w:rFonts w:cstheme="minorHAnsi"/>
          <w:color w:val="000000"/>
        </w:rPr>
        <w:t xml:space="preserve">The semiannual compliance reports are to be created using the electronic template included with this Supporting Statement. The template is an Excel </w:t>
      </w:r>
      <w:r w:rsidRPr="00805C94" w:rsidR="00805C94">
        <w:rPr>
          <w:rFonts w:cstheme="minorHAnsi"/>
          <w:color w:val="000000"/>
        </w:rPr>
        <w:t xml:space="preserve">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r w:rsidRPr="0093123F">
        <w:rPr>
          <w:rFonts w:cstheme="minorHAnsi"/>
          <w:color w:val="000000"/>
        </w:rPr>
        <w:t>The For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6"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6"/>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C3214D" w:rsidP="00C3214D" w14:paraId="518B46AB" w14:textId="6D7B5C78">
      <w:pPr>
        <w:pBdr>
          <w:top w:val="single" w:sz="6" w:space="0" w:color="FFFFFF"/>
          <w:left w:val="single" w:sz="6" w:space="0" w:color="FFFFFF"/>
          <w:bottom w:val="single" w:sz="6" w:space="0" w:color="FFFFFF"/>
          <w:right w:val="single" w:sz="6" w:space="0" w:color="FFFFFF"/>
        </w:pBdr>
      </w:pPr>
      <w:r w:rsidRPr="006D68BC">
        <w:rPr>
          <w:color w:val="000000" w:themeColor="text1"/>
        </w:rPr>
        <w:t>A majority of the respondents are large entities (i.e., large businesses).</w:t>
      </w:r>
      <w:r w:rsidR="00F96E01">
        <w:rPr>
          <w:color w:val="000000" w:themeColor="text1"/>
        </w:rPr>
        <w:t xml:space="preserve"> </w:t>
      </w:r>
      <w:r w:rsidRPr="006D68BC">
        <w:rPr>
          <w:color w:val="000000" w:themeColor="text1"/>
        </w:rPr>
        <w:t>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development of the regulation.</w:t>
      </w:r>
      <w:r w:rsidR="00C3214D">
        <w:rPr>
          <w:color w:val="000000" w:themeColor="text1"/>
        </w:rPr>
        <w:t xml:space="preserve"> </w:t>
      </w:r>
      <w:r w:rsidRPr="006D68BC">
        <w:rPr>
          <w:color w:val="000000" w:themeColor="text1"/>
        </w:rPr>
        <w:t>Due to technical considerations involving the process operations and the types of control equipment employed, the recordkeeping and reporting requirements are the same for both small and large entities.</w:t>
      </w:r>
      <w:r w:rsidR="00F96E01">
        <w:rPr>
          <w:color w:val="000000" w:themeColor="text1"/>
        </w:rPr>
        <w:t xml:space="preserve"> </w:t>
      </w:r>
      <w:r w:rsidRPr="006D68BC">
        <w:rPr>
          <w:color w:val="000000" w:themeColor="text1"/>
        </w:rPr>
        <w:t xml:space="preserve">The Agency considers these to be the minimum requirements needed to ensure compliance and, </w:t>
      </w:r>
      <w:r w:rsidRPr="006D68BC">
        <w:rPr>
          <w:color w:val="000000" w:themeColor="text1"/>
        </w:rPr>
        <w:t>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RPr="008113AD" w:rsidP="00653D08" w14:paraId="72982BD8" w14:textId="5BF604F1">
      <w:pPr>
        <w:pBdr>
          <w:top w:val="single" w:sz="6" w:space="0" w:color="FFFFFF"/>
          <w:left w:val="single" w:sz="6" w:space="0" w:color="FFFFFF"/>
          <w:bottom w:val="single" w:sz="6" w:space="0" w:color="FFFFFF"/>
          <w:right w:val="single" w:sz="6" w:space="0" w:color="FFFFFF"/>
        </w:pBdr>
      </w:pPr>
      <w:r w:rsidRPr="00253DBC">
        <w:rPr>
          <w:color w:val="000000"/>
        </w:rPr>
        <w:t xml:space="preserve">These reporting or recordkeeping requirements do not violate any of the regulations promulgated by </w:t>
      </w:r>
      <w:r w:rsidRPr="008113AD">
        <w:t>OMB under 5 CFR Part 1320, Section 1320.5.</w:t>
      </w:r>
    </w:p>
    <w:p w:rsidR="00111663" w:rsidRPr="008113AD" w:rsidP="00854AAE" w14:paraId="775EDF16" w14:textId="21C81ECB">
      <w:pPr>
        <w:pBdr>
          <w:top w:val="single" w:sz="6" w:space="0" w:color="FFFFFF"/>
          <w:left w:val="single" w:sz="6" w:space="0" w:color="FFFFFF"/>
          <w:bottom w:val="single" w:sz="6" w:space="0" w:color="FFFFFF"/>
          <w:right w:val="single" w:sz="6" w:space="0" w:color="FFFFFF"/>
        </w:pBdr>
      </w:pPr>
      <w:r w:rsidRPr="008113AD">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w:t>
      </w:r>
      <w:r w:rsidRPr="00A233E0">
        <w:rPr>
          <w:rFonts w:cstheme="minorHAnsi"/>
          <w:i/>
          <w:iCs/>
        </w:rPr>
        <w:t>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79E33F92">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B5191B" w:rsidR="00B5191B">
        <w:rPr>
          <w:rFonts w:cstheme="minorHAnsi"/>
        </w:rPr>
        <w:t>Can Manufacturers Institute</w:t>
      </w:r>
      <w:r w:rsidR="00B5191B">
        <w:rPr>
          <w:rFonts w:cstheme="minorHAnsi"/>
        </w:rPr>
        <w:t xml:space="preserve"> </w:t>
      </w:r>
      <w:r w:rsidRPr="00FE090D">
        <w:rPr>
          <w:rFonts w:cstheme="minorHAnsi"/>
        </w:rPr>
        <w:t xml:space="preserve">at </w:t>
      </w:r>
      <w:r w:rsidRPr="008206F8" w:rsidR="008206F8">
        <w:rPr>
          <w:rFonts w:cstheme="minorHAnsi"/>
        </w:rPr>
        <w:t>(202) 232-4677</w:t>
      </w:r>
      <w:r w:rsidRPr="008206F8">
        <w:rPr>
          <w:rFonts w:cstheme="minorHAnsi"/>
        </w:rPr>
        <w:t>,</w:t>
      </w:r>
      <w:r w:rsidRPr="00FE090D">
        <w:rPr>
          <w:rFonts w:cstheme="minorHAnsi"/>
        </w:rPr>
        <w:t xml:space="preserve"> and </w:t>
      </w:r>
      <w:r>
        <w:rPr>
          <w:rFonts w:cstheme="minorHAnsi"/>
        </w:rPr>
        <w:t xml:space="preserve">the </w:t>
      </w:r>
      <w:r w:rsidRPr="009A39E1" w:rsidR="009A39E1">
        <w:rPr>
          <w:rFonts w:cstheme="minorHAnsi"/>
        </w:rPr>
        <w:t>American Coatings Association</w:t>
      </w:r>
      <w:r w:rsidR="009A39E1">
        <w:rPr>
          <w:rFonts w:cstheme="minorHAnsi"/>
          <w:b/>
          <w:bCs/>
          <w:color w:val="FF0000"/>
        </w:rPr>
        <w:t xml:space="preserve"> </w:t>
      </w:r>
      <w:r w:rsidRPr="00FE090D">
        <w:rPr>
          <w:rFonts w:cstheme="minorHAnsi"/>
        </w:rPr>
        <w:t>at</w:t>
      </w:r>
      <w:r w:rsidRPr="00947133" w:rsidR="00947133">
        <w:rPr>
          <w:rFonts w:cstheme="minorHAnsi"/>
        </w:rPr>
        <w:t xml:space="preserve"> (202) 462-6272</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BB7977" w:rsidRPr="00BB7977" w:rsidP="00BB7977" w14:paraId="5DFC2DFE" w14:textId="09A275A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0923D3" w:rsidR="00ED3B08">
        <w:t>owners or operators of existing major source</w:t>
      </w:r>
      <w:r w:rsidR="00ED3B08">
        <w:t xml:space="preserve">s </w:t>
      </w:r>
      <w:r w:rsidRPr="00266006" w:rsidR="00ED3B08">
        <w:t>coating metal cans</w:t>
      </w:r>
      <w:r w:rsidR="00ED3B08">
        <w:t>,</w:t>
      </w:r>
      <w:r w:rsidRPr="00266006" w:rsidR="00ED3B08">
        <w:t xml:space="preserve"> ends</w:t>
      </w:r>
      <w:r w:rsidR="00ED3B08">
        <w:t>,</w:t>
      </w:r>
      <w:r w:rsidRPr="00266006" w:rsidR="00ED3B08">
        <w:t xml:space="preserve"> metal crowns and closures</w:t>
      </w:r>
      <w:r w:rsidR="00ED3B08">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BB7977" w14:paraId="17A11468" w14:textId="5D37672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Standard</w:t>
            </w:r>
            <w:r w:rsidRPr="000D678B" w:rsidR="003321B1">
              <w:rPr>
                <w:b/>
                <w:bCs/>
              </w:rPr>
              <w:t xml:space="preserve"> </w:t>
            </w:r>
            <w:r w:rsidRPr="000D678B" w:rsidR="003321B1">
              <w:rPr>
                <w:b/>
              </w:rPr>
              <w:t xml:space="preserve">(40 CFR Part 63, Subpart </w:t>
            </w:r>
            <w:r w:rsidR="003321B1">
              <w:rPr>
                <w:b/>
              </w:rPr>
              <w:t>KKKK</w:t>
            </w:r>
            <w:r w:rsidRPr="000D678B" w:rsidR="003321B1">
              <w:rPr>
                <w:b/>
              </w:rPr>
              <w:t>)</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BB7977" w14:paraId="19989AD2"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0E78373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BB7977" w14:paraId="34EC0DE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BB7977" w14:paraId="5EDE4297"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AF1097">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6" w:space="0" w:color="FFFFFF"/>
              <w:right w:val="single" w:sz="6" w:space="0" w:color="FFFFFF"/>
            </w:tcBorders>
          </w:tcPr>
          <w:p w:rsidR="00421125" w:rsidRPr="00BB7977" w:rsidP="00421125" w14:paraId="0C7C812D" w14:textId="14BFD1D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4732E">
              <w:rPr>
                <w:color w:val="000000"/>
              </w:rPr>
              <w:t>Metal Can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421125" w:rsidRPr="00BB7977" w:rsidP="00DD56FD" w14:paraId="1F744FA6" w14:textId="1DE0C55F">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4732E">
              <w:rPr>
                <w:color w:val="000000"/>
              </w:rPr>
              <w:t>3411</w:t>
            </w:r>
          </w:p>
        </w:tc>
        <w:tc>
          <w:tcPr>
            <w:tcW w:w="2430" w:type="dxa"/>
            <w:tcBorders>
              <w:top w:val="single" w:sz="7" w:space="0" w:color="000000"/>
              <w:left w:val="single" w:sz="7" w:space="0" w:color="000000"/>
              <w:bottom w:val="single" w:sz="6" w:space="0" w:color="FFFFFF"/>
              <w:right w:val="single" w:sz="7" w:space="0" w:color="000000"/>
            </w:tcBorders>
            <w:vAlign w:val="center"/>
          </w:tcPr>
          <w:p w:rsidR="00421125" w:rsidRPr="00BB7977" w:rsidP="00DD56FD" w14:paraId="4C2064E7" w14:textId="530098D0">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4732E">
              <w:rPr>
                <w:color w:val="000000"/>
              </w:rPr>
              <w:t>332431</w:t>
            </w:r>
          </w:p>
        </w:tc>
      </w:tr>
      <w:tr w14:paraId="1FBD6CA1" w14:textId="77777777" w:rsidTr="00AF1097">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6" w:space="0" w:color="FFFFFF"/>
              <w:right w:val="single" w:sz="6" w:space="0" w:color="FFFFFF"/>
            </w:tcBorders>
          </w:tcPr>
          <w:p w:rsidR="00421125" w:rsidRPr="00BB7977" w:rsidP="00421125" w14:paraId="51380FF3" w14:textId="58F352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4732E">
              <w:rPr>
                <w:color w:val="000000"/>
              </w:rPr>
              <w:t>Metal Crown, Closure, and Other Metal Stamping (except Automotive)</w:t>
            </w:r>
          </w:p>
        </w:tc>
        <w:tc>
          <w:tcPr>
            <w:tcW w:w="2610" w:type="dxa"/>
            <w:tcBorders>
              <w:top w:val="single" w:sz="7" w:space="0" w:color="000000"/>
              <w:left w:val="single" w:sz="7" w:space="0" w:color="000000"/>
              <w:bottom w:val="single" w:sz="6" w:space="0" w:color="FFFFFF"/>
              <w:right w:val="single" w:sz="6" w:space="0" w:color="FFFFFF"/>
            </w:tcBorders>
            <w:vAlign w:val="center"/>
          </w:tcPr>
          <w:p w:rsidR="00421125" w:rsidRPr="00BB7977" w:rsidP="00DD56FD" w14:paraId="6EC8CF04" w14:textId="09AF25C1">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color w:val="000000"/>
              </w:rPr>
              <w:t>3466</w:t>
            </w:r>
          </w:p>
        </w:tc>
        <w:tc>
          <w:tcPr>
            <w:tcW w:w="2430" w:type="dxa"/>
            <w:tcBorders>
              <w:top w:val="single" w:sz="7" w:space="0" w:color="000000"/>
              <w:left w:val="single" w:sz="7" w:space="0" w:color="000000"/>
              <w:bottom w:val="single" w:sz="6" w:space="0" w:color="FFFFFF"/>
              <w:right w:val="single" w:sz="7" w:space="0" w:color="000000"/>
            </w:tcBorders>
            <w:vAlign w:val="center"/>
          </w:tcPr>
          <w:p w:rsidR="00421125" w:rsidRPr="00BB7977" w:rsidP="00DD56FD" w14:paraId="28BAC251" w14:textId="1F480906">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4732E">
              <w:rPr>
                <w:color w:val="000000"/>
              </w:rPr>
              <w:t>332119</w:t>
            </w:r>
          </w:p>
        </w:tc>
      </w:tr>
      <w:tr w14:paraId="024792D2" w14:textId="77777777" w:rsidTr="00AF1097">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6" w:space="0" w:color="FFFFFF"/>
              <w:right w:val="single" w:sz="6" w:space="0" w:color="FFFFFF"/>
            </w:tcBorders>
          </w:tcPr>
          <w:p w:rsidR="00421125" w:rsidRPr="00BB7977" w:rsidP="00421125" w14:paraId="40FD0FBD" w14:textId="298EEF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4732E">
              <w:rPr>
                <w:color w:val="000000"/>
              </w:rPr>
              <w:t>Metal Coating, Engraving (except Jewelry and Silverware), and Allied Services to Manufacturers</w:t>
            </w:r>
          </w:p>
        </w:tc>
        <w:tc>
          <w:tcPr>
            <w:tcW w:w="2610" w:type="dxa"/>
            <w:tcBorders>
              <w:top w:val="single" w:sz="7" w:space="0" w:color="000000"/>
              <w:left w:val="single" w:sz="7" w:space="0" w:color="000000"/>
              <w:bottom w:val="single" w:sz="6" w:space="0" w:color="FFFFFF"/>
              <w:right w:val="single" w:sz="6" w:space="0" w:color="FFFFFF"/>
            </w:tcBorders>
            <w:vAlign w:val="center"/>
          </w:tcPr>
          <w:p w:rsidR="00421125" w:rsidRPr="00BB7977" w:rsidP="00DD56FD" w14:paraId="4751A8CA" w14:textId="6B8A4779">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color w:val="000000"/>
              </w:rPr>
              <w:t>3999</w:t>
            </w:r>
          </w:p>
        </w:tc>
        <w:tc>
          <w:tcPr>
            <w:tcW w:w="2430" w:type="dxa"/>
            <w:tcBorders>
              <w:top w:val="single" w:sz="7" w:space="0" w:color="000000"/>
              <w:left w:val="single" w:sz="7" w:space="0" w:color="000000"/>
              <w:bottom w:val="single" w:sz="6" w:space="0" w:color="FFFFFF"/>
              <w:right w:val="single" w:sz="7" w:space="0" w:color="000000"/>
            </w:tcBorders>
            <w:vAlign w:val="center"/>
          </w:tcPr>
          <w:p w:rsidR="00421125" w:rsidRPr="00BB7977" w:rsidP="00DD56FD" w14:paraId="22C53323" w14:textId="32E4E212">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4732E">
              <w:rPr>
                <w:color w:val="000000"/>
              </w:rPr>
              <w:t>332812</w:t>
            </w:r>
          </w:p>
        </w:tc>
      </w:tr>
      <w:tr w14:paraId="73632731" w14:textId="77777777" w:rsidTr="00AF1097">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7" w:space="0" w:color="000000"/>
              <w:right w:val="single" w:sz="6" w:space="0" w:color="FFFFFF"/>
            </w:tcBorders>
          </w:tcPr>
          <w:p w:rsidR="00421125" w:rsidRPr="00BB7977" w:rsidP="00421125" w14:paraId="0ED8323F" w14:textId="11C1A2C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4732E">
              <w:rPr>
                <w:color w:val="000000"/>
              </w:rPr>
              <w:t>All Other Miscellaneous Fabricated Metal Product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421125" w:rsidRPr="00BB7977" w:rsidP="00DD56FD" w14:paraId="170C57F5" w14:textId="4C8EAF1E">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color w:val="000000"/>
              </w:rPr>
              <w:t>3497</w:t>
            </w:r>
          </w:p>
        </w:tc>
        <w:tc>
          <w:tcPr>
            <w:tcW w:w="2430" w:type="dxa"/>
            <w:tcBorders>
              <w:top w:val="single" w:sz="7" w:space="0" w:color="000000"/>
              <w:left w:val="single" w:sz="7" w:space="0" w:color="000000"/>
              <w:bottom w:val="single" w:sz="7" w:space="0" w:color="000000"/>
              <w:right w:val="single" w:sz="7" w:space="0" w:color="000000"/>
            </w:tcBorders>
            <w:vAlign w:val="center"/>
          </w:tcPr>
          <w:p w:rsidR="00421125" w:rsidRPr="00BB7977" w:rsidP="00DD56FD" w14:paraId="4F971DE8" w14:textId="18E0F149">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B4732E">
              <w:rPr>
                <w:color w:val="000000"/>
              </w:rPr>
              <w:t>332999</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09C20D0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1D2B2E" w:rsidR="001D2B2E">
        <w:rPr>
          <w:rFonts w:cstheme="minorHAnsi"/>
        </w:rPr>
        <w:t>five</w:t>
      </w:r>
      <w:r w:rsidR="001D2B2E">
        <w:rPr>
          <w:rFonts w:cstheme="minorHAnsi"/>
          <w:color w:val="FF0000"/>
        </w:rPr>
        <w:t xml:space="preserve"> </w:t>
      </w:r>
      <w:r w:rsidRPr="00D71532">
        <w:rPr>
          <w:rFonts w:cstheme="minorHAnsi"/>
          <w:color w:val="000000"/>
        </w:rPr>
        <w:t>existing respondents will be subject to the standard. It is estimated that n</w:t>
      </w:r>
      <w:r w:rsidR="001D2B2E">
        <w:rPr>
          <w:rFonts w:cstheme="minorHAnsi"/>
          <w:color w:val="000000"/>
        </w:rPr>
        <w:t>o</w:t>
      </w:r>
      <w:r w:rsidRPr="00D71532">
        <w:rPr>
          <w:rFonts w:cstheme="minorHAnsi"/>
          <w:color w:val="000000"/>
        </w:rPr>
        <w:t xml:space="preserve"> additional</w:t>
      </w:r>
      <w:r w:rsidR="001D2B2E">
        <w:rPr>
          <w:rFonts w:cstheme="minorHAnsi"/>
          <w:color w:val="000000"/>
        </w:rPr>
        <w:t xml:space="preserve"> </w:t>
      </w:r>
      <w:r w:rsidRPr="00D71532">
        <w:rPr>
          <w:rFonts w:cstheme="minorHAnsi"/>
          <w:color w:val="000000"/>
        </w:rPr>
        <w:t xml:space="preserve">respondents per year will become subject, for an overall total of </w:t>
      </w:r>
      <w:r w:rsidRPr="001D2B2E" w:rsidR="001D2B2E">
        <w:rPr>
          <w:rFonts w:cstheme="minorHAnsi"/>
        </w:rPr>
        <w:t>five</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8" w:name="_Hlk163570653"/>
      <w:r w:rsidRPr="00D71532">
        <w:rPr>
          <w:rFonts w:cstheme="minorHAnsi"/>
          <w:color w:val="000000"/>
        </w:rPr>
        <w:t xml:space="preserve">Number of Respondents </w:t>
      </w:r>
      <w:bookmarkEnd w:id="18"/>
      <w:r w:rsidRPr="00D71532">
        <w:rPr>
          <w:rFonts w:cstheme="minorHAnsi"/>
          <w:color w:val="000000"/>
        </w:rPr>
        <w:t xml:space="preserve">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w:t>
      </w:r>
      <w:r w:rsidRPr="00D71532">
        <w:rPr>
          <w:rFonts w:cstheme="minorHAnsi"/>
          <w:color w:val="000000"/>
        </w:rPr>
        <w:t>representatives, there is an average of one affected facility at each plant site and each plant site has only one respondent (i.e., the owner/operator of the plant site).</w:t>
      </w:r>
    </w:p>
    <w:p w:rsidR="00D71532" w:rsidRPr="00BB3410" w:rsidP="00854AAE" w14:paraId="6D3040F8" w14:textId="5BD4CAB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 Total Annual Responses shown below. The number of Total Annual Responses is</w:t>
      </w:r>
      <w:r w:rsidR="00801EB9">
        <w:rPr>
          <w:rFonts w:cstheme="minorHAnsi"/>
          <w:color w:val="000000"/>
        </w:rPr>
        <w:t xml:space="preserve"> 20.</w:t>
      </w:r>
      <w:r w:rsidRPr="00D71532">
        <w:rPr>
          <w:rFonts w:cstheme="minorHAnsi"/>
          <w:color w:val="000000"/>
        </w:rPr>
        <w:t xml:space="preserve"> </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7"/>
    </w:p>
    <w:p w:rsidR="00987C8D" w:rsidRPr="00987C8D" w:rsidP="00987C8D" w14:paraId="1DF0EBFD" w14:textId="1EC0AAE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E0183A" w:rsidR="009F3018">
        <w:rPr>
          <w:bCs/>
        </w:rPr>
        <w:t>Surface Coating of Metal Cans</w:t>
      </w:r>
      <w:r w:rsidRPr="00072334" w:rsidR="009F3018">
        <w:t xml:space="preserve"> NESHAP</w:t>
      </w:r>
      <w:r w:rsidRPr="00A25219" w:rsidR="009F3018">
        <w:t xml:space="preserve"> (40 CFR Part 63, Subpart </w:t>
      </w:r>
      <w:r w:rsidR="009F3018">
        <w:t>KKKK</w:t>
      </w:r>
      <w:r w:rsidRPr="00A25219" w:rsidR="009F3018">
        <w:t>).</w:t>
      </w:r>
      <w:r w:rsidR="009F3018">
        <w:rPr>
          <w:color w:val="00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9F3018" w:rsidR="009F3018">
        <w:rPr>
          <w:rFonts w:cstheme="minorHAnsi"/>
        </w:rPr>
        <w:t>five</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1A7390">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71D39" w:rsidRPr="00987C8D" w:rsidP="00271D39" w14:paraId="69DEB2E2" w14:textId="36ECDAB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C258D">
              <w:t>Initial notification</w:t>
            </w:r>
            <w:r w:rsidR="00C111F6">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hideMark/>
          </w:tcPr>
          <w:p w:rsidR="00271D39" w:rsidRPr="00987C8D" w:rsidP="00271D39" w14:paraId="1F8187B5" w14:textId="013B38C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C258D">
              <w:t>§63.3510(b), §63.5(d), §63.9(b)</w:t>
            </w:r>
          </w:p>
        </w:tc>
      </w:tr>
      <w:tr w14:paraId="42A53D6D" w14:textId="77777777" w:rsidTr="001A7390">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71D39" w:rsidRPr="00987C8D" w:rsidP="00271D39" w14:paraId="7A28D8FD" w14:textId="0954F1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Notification of compliance status</w:t>
            </w:r>
            <w:r w:rsidR="00C111F6">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271D39" w:rsidRPr="00987C8D" w:rsidP="00271D39" w14:paraId="0C195381" w14:textId="47AF157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§63.3510(c), §</w:t>
            </w:r>
            <w:r w:rsidRPr="00CA5A38">
              <w:t>§</w:t>
            </w:r>
            <w:r w:rsidRPr="00BC258D">
              <w:t>63.9(h)(1-3)</w:t>
            </w:r>
          </w:p>
        </w:tc>
      </w:tr>
      <w:tr w14:paraId="671E7398" w14:textId="77777777" w:rsidTr="001A7390">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71D39" w:rsidRPr="00987C8D" w:rsidP="00271D39" w14:paraId="1BC04A05" w14:textId="22D83DD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Notification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271D39" w:rsidRPr="00987C8D" w:rsidP="00271D39" w14:paraId="3AE465B4" w14:textId="5CC859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§63.3510(a), §63.5(a)</w:t>
            </w:r>
          </w:p>
        </w:tc>
      </w:tr>
      <w:tr w14:paraId="15875BBE" w14:textId="77777777" w:rsidTr="001A7390">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71D39" w:rsidRPr="00987C8D" w:rsidP="00271D39" w14:paraId="164579D2" w14:textId="0D2C2C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271D39" w:rsidRPr="00987C8D" w:rsidP="00271D39" w14:paraId="025F1A7A" w14:textId="72A3EF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§63.3510(a), §63.9(b)</w:t>
            </w:r>
          </w:p>
        </w:tc>
      </w:tr>
      <w:tr w14:paraId="5DFE5529" w14:textId="77777777" w:rsidTr="001A7390">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71D39" w:rsidRPr="00987C8D" w:rsidP="00271D39" w14:paraId="59B001F1" w14:textId="1621513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271D39" w:rsidRPr="00987C8D" w:rsidP="00271D39" w14:paraId="50476519" w14:textId="173593C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§63.3510(a), §63.7(b), §63.8(e), §63.9(e)</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71D39" w:rsidRPr="00C40E1C" w:rsidP="00271D39" w14:paraId="432AF04A" w14:textId="77777777">
            <w:pPr>
              <w:spacing w:line="120" w:lineRule="exact"/>
            </w:pPr>
          </w:p>
          <w:p w:rsidR="00271D39" w:rsidRPr="00C40E1C" w:rsidP="00271D39"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40E1C">
              <w:t>Notification of changes in information (reclassification to area source status or to revert to major source status) (electronic submission)</w:t>
            </w:r>
          </w:p>
        </w:tc>
        <w:tc>
          <w:tcPr>
            <w:tcW w:w="2529" w:type="dxa"/>
            <w:tcBorders>
              <w:top w:val="single" w:sz="8" w:space="0" w:color="000000"/>
              <w:left w:val="single" w:sz="8" w:space="0" w:color="000000"/>
              <w:bottom w:val="single" w:sz="8" w:space="0" w:color="000000"/>
              <w:right w:val="single" w:sz="8" w:space="0" w:color="000000"/>
            </w:tcBorders>
          </w:tcPr>
          <w:p w:rsidR="00271D39" w:rsidRPr="00C40E1C" w:rsidP="00271D39" w14:paraId="7345D56A" w14:textId="77777777">
            <w:pPr>
              <w:spacing w:line="120" w:lineRule="exact"/>
            </w:pPr>
          </w:p>
          <w:p w:rsidR="00271D39" w:rsidRPr="00C40E1C" w:rsidP="00271D39"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40E1C">
              <w:t>§63.9(b), §63.9(j)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7E4E1A">
        <w:tblPrEx>
          <w:tblW w:w="9360" w:type="dxa"/>
          <w:jc w:val="center"/>
          <w:tblLayout w:type="fixed"/>
          <w:tblCellMar>
            <w:left w:w="120" w:type="dxa"/>
            <w:right w:w="120" w:type="dxa"/>
          </w:tblCellMar>
          <w:tblLook w:val="04A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AF21ED" w:rsidRPr="00987C8D" w:rsidP="00AF21ED" w14:paraId="43877D0A" w14:textId="00FB7BE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Semiannual compliance report</w:t>
            </w:r>
          </w:p>
        </w:tc>
        <w:tc>
          <w:tcPr>
            <w:tcW w:w="2070" w:type="dxa"/>
            <w:tcBorders>
              <w:top w:val="single" w:sz="7" w:space="0" w:color="000000"/>
              <w:left w:val="single" w:sz="7" w:space="0" w:color="000000"/>
              <w:bottom w:val="single" w:sz="7" w:space="0" w:color="000000"/>
              <w:right w:val="single" w:sz="7" w:space="0" w:color="000000"/>
            </w:tcBorders>
          </w:tcPr>
          <w:p w:rsidR="00AF21ED" w:rsidRPr="00987C8D" w:rsidP="00AF21ED" w14:paraId="3FD4CBEA" w14:textId="4ACC5A4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§63.3511(a)</w:t>
            </w:r>
          </w:p>
        </w:tc>
      </w:tr>
      <w:tr w14:paraId="17BE0922" w14:textId="77777777" w:rsidTr="007E4E1A">
        <w:tblPrEx>
          <w:tblW w:w="9360" w:type="dxa"/>
          <w:jc w:val="center"/>
          <w:tblLayout w:type="fixed"/>
          <w:tblCellMar>
            <w:left w:w="120" w:type="dxa"/>
            <w:right w:w="120" w:type="dxa"/>
          </w:tblCellMar>
          <w:tblLook w:val="04A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AF21ED" w:rsidRPr="00987C8D" w:rsidP="00AF21ED" w14:paraId="63F243C5" w14:textId="1CB0331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Excess emissions report</w:t>
            </w:r>
          </w:p>
        </w:tc>
        <w:tc>
          <w:tcPr>
            <w:tcW w:w="2070" w:type="dxa"/>
            <w:tcBorders>
              <w:top w:val="single" w:sz="7" w:space="0" w:color="000000"/>
              <w:left w:val="single" w:sz="7" w:space="0" w:color="000000"/>
              <w:bottom w:val="single" w:sz="7" w:space="0" w:color="000000"/>
              <w:right w:val="single" w:sz="7" w:space="0" w:color="000000"/>
            </w:tcBorders>
          </w:tcPr>
          <w:p w:rsidR="00AF21ED" w:rsidRPr="00987C8D" w:rsidP="00AF21ED" w14:paraId="601EC6D0" w14:textId="2EA4710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w:t>
            </w:r>
            <w:r w:rsidRPr="00CA5A38">
              <w:t>§</w:t>
            </w:r>
            <w:r w:rsidRPr="00BC258D">
              <w:t>63.3511(a)(5-8)</w:t>
            </w:r>
          </w:p>
        </w:tc>
      </w:tr>
      <w:tr w14:paraId="7E0FC2F9" w14:textId="77777777" w:rsidTr="007E4E1A">
        <w:tblPrEx>
          <w:tblW w:w="9360" w:type="dxa"/>
          <w:jc w:val="center"/>
          <w:tblLayout w:type="fixed"/>
          <w:tblCellMar>
            <w:left w:w="120" w:type="dxa"/>
            <w:right w:w="120" w:type="dxa"/>
          </w:tblCellMar>
          <w:tblLook w:val="04A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AF21ED" w:rsidRPr="00987C8D" w:rsidP="00AF21ED" w14:paraId="4363B11A" w14:textId="500C9E3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Report of performance test</w:t>
            </w:r>
            <w:r w:rsidR="00686691">
              <w:t xml:space="preserve"> (electronic submission)</w:t>
            </w:r>
          </w:p>
        </w:tc>
        <w:tc>
          <w:tcPr>
            <w:tcW w:w="2070" w:type="dxa"/>
            <w:tcBorders>
              <w:top w:val="single" w:sz="7" w:space="0" w:color="000000"/>
              <w:left w:val="single" w:sz="7" w:space="0" w:color="000000"/>
              <w:bottom w:val="single" w:sz="7" w:space="0" w:color="000000"/>
              <w:right w:val="single" w:sz="7" w:space="0" w:color="000000"/>
            </w:tcBorders>
          </w:tcPr>
          <w:p w:rsidR="00AF21ED" w:rsidRPr="00987C8D" w:rsidP="00AF21ED" w14:paraId="628E0983" w14:textId="5D50F0B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w:t>
            </w:r>
            <w:r w:rsidRPr="00BC258D" w:rsidR="00686691">
              <w:t>§</w:t>
            </w:r>
            <w:r w:rsidRPr="00BC258D">
              <w:t>63.3511(b)</w:t>
            </w:r>
            <w:r w:rsidR="00686691">
              <w:t xml:space="preserve"> and (d)</w:t>
            </w:r>
            <w:r w:rsidRPr="00BC258D">
              <w:t>, §63.10(d)(2).</w:t>
            </w:r>
          </w:p>
        </w:tc>
      </w:tr>
      <w:tr w14:paraId="2427FC8C" w14:textId="77777777" w:rsidTr="007E4E1A">
        <w:tblPrEx>
          <w:tblW w:w="9360" w:type="dxa"/>
          <w:jc w:val="center"/>
          <w:tblLayout w:type="fixed"/>
          <w:tblCellMar>
            <w:left w:w="120" w:type="dxa"/>
            <w:right w:w="120" w:type="dxa"/>
          </w:tblCellMar>
          <w:tblLook w:val="04A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AF21ED" w:rsidRPr="00987C8D" w:rsidP="00AF21ED" w14:paraId="202FC471" w14:textId="0E18020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rsidR="00AF21ED" w:rsidRPr="00987C8D" w:rsidP="00AF21ED" w14:paraId="638FF146" w14:textId="4A12A30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C258D">
              <w:t>§63.3511(c)</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3550D62A" w14:textId="65908D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Copies of 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7934CA38" w14:textId="758260E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§63.3512(a)</w:t>
            </w:r>
          </w:p>
        </w:tc>
      </w:tr>
      <w:tr w14:paraId="67792A54"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7559FCF3" w14:textId="25CBBCA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Material formulation data</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1849EF97" w14:textId="14114AE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§63.3512(b)</w:t>
            </w:r>
          </w:p>
        </w:tc>
      </w:tr>
      <w:tr w14:paraId="6D40F05E"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2E59B461" w14:textId="767454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HAP content calculations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4269BB3D" w14:textId="67D668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§63.3512(c)</w:t>
            </w:r>
          </w:p>
        </w:tc>
      </w:tr>
      <w:tr w14:paraId="56DB1951"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7FB3A20A" w14:textId="2775DC8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Names and volume of materials used</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295C5950" w14:textId="6F9A628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§63.3512(d)</w:t>
            </w:r>
          </w:p>
        </w:tc>
      </w:tr>
      <w:tr w14:paraId="1438DCD4"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2E672EAA" w14:textId="10C227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Mass fraction of HAP in each material used</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4775FB5C" w14:textId="03690FE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§63.3512(e)</w:t>
            </w:r>
          </w:p>
        </w:tc>
      </w:tr>
      <w:tr w14:paraId="61CEDB7F"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647C73C6" w14:textId="7094E8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Volume fraction of coating solids in each material used</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15726D11" w14:textId="1B9890E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§63.3512(f)</w:t>
            </w:r>
          </w:p>
        </w:tc>
      </w:tr>
      <w:tr w14:paraId="38A51A0E"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3B72D691" w14:textId="46FB999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Density of materials used</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3F9E580F" w14:textId="3D407ED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§63.3512(g)</w:t>
            </w:r>
          </w:p>
        </w:tc>
      </w:tr>
      <w:tr w14:paraId="20C709C5"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30E5666D" w14:textId="6E4DD18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Documentation of waste material shipped offsite</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6B97272E" w14:textId="3A6CB57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§63.3512(h)</w:t>
            </w:r>
          </w:p>
        </w:tc>
      </w:tr>
      <w:tr w14:paraId="7432146E"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0ECEA05D" w14:textId="777B36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Documentation of date, time, and duration of each deviation</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27EAC270" w14:textId="4CF15D3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§63.3512(i)</w:t>
            </w:r>
          </w:p>
        </w:tc>
      </w:tr>
      <w:tr w14:paraId="62EFA83C"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348A2C15" w14:textId="6292CB3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Start 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33C9E1FE" w14:textId="348A156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 §63.6(e)</w:t>
            </w:r>
          </w:p>
        </w:tc>
      </w:tr>
      <w:tr w14:paraId="49C9DA35"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1F15F345" w14:textId="3064F5C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Records of continuous compliance with operating limits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28226001" w14:textId="2C34A9F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w:t>
            </w:r>
          </w:p>
        </w:tc>
      </w:tr>
      <w:tr w14:paraId="314A2C65"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5FC506E8" w14:textId="7B68E25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Documentation of capture system efficiency determination</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24A6E273" w14:textId="01C0D2C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w:t>
            </w:r>
          </w:p>
        </w:tc>
      </w:tr>
      <w:tr w14:paraId="2173D961"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1E336D7D" w14:textId="5D62800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Documentation of add-on control device destruction or removal efficiency determination</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35FC0C62" w14:textId="26D713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w:t>
            </w:r>
          </w:p>
        </w:tc>
      </w:tr>
      <w:tr w14:paraId="5DD58E29"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7467268B" w14:textId="24211A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Documentation of control device performance tests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343E8733" w14:textId="2511530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 §63.10(b)</w:t>
            </w:r>
          </w:p>
        </w:tc>
      </w:tr>
      <w:tr w14:paraId="72386769"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64BBA48B" w14:textId="24AA0D5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Determination of capture system and add-on control operating limits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0DA446AF" w14:textId="2ACF142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w:t>
            </w:r>
          </w:p>
        </w:tc>
      </w:tr>
      <w:tr w14:paraId="49B7A5B2" w14:textId="77777777" w:rsidTr="001B023F">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25A78" w:rsidRPr="00987C8D" w:rsidP="00F25A78" w14:paraId="6052BC41" w14:textId="6546046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Work practice plan/records</w:t>
            </w:r>
          </w:p>
        </w:tc>
        <w:tc>
          <w:tcPr>
            <w:tcW w:w="2250" w:type="dxa"/>
            <w:tcBorders>
              <w:top w:val="single" w:sz="7" w:space="0" w:color="000000"/>
              <w:left w:val="single" w:sz="7" w:space="0" w:color="000000"/>
              <w:bottom w:val="single" w:sz="7" w:space="0" w:color="000000"/>
              <w:right w:val="single" w:sz="7" w:space="0" w:color="000000"/>
            </w:tcBorders>
          </w:tcPr>
          <w:p w:rsidR="00F25A78" w:rsidRPr="00987C8D" w:rsidP="00F25A78" w14:paraId="610CF8F4" w14:textId="4A2489A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2B27">
              <w:t>§63.3512(j)</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41026E" w14:paraId="04D67FB8" w14:textId="77777777">
            <w:pPr>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8B07A2" w:rsidRPr="00B04A5C" w:rsidP="0041026E" w14:paraId="5C0083D2" w14:textId="77777777">
            <w:pPr>
              <w:outlineLvl w:val="0"/>
              <w:rPr>
                <w:color w:val="000000"/>
              </w:rPr>
            </w:pPr>
            <w:r w:rsidRPr="00B04A5C">
              <w:rPr>
                <w:color w:val="000000"/>
              </w:rPr>
              <w:t>Familiarization with the regulatory requirements.</w:t>
            </w:r>
          </w:p>
        </w:tc>
      </w:tr>
      <w:tr w14:paraId="4942690D" w14:textId="77777777" w:rsidTr="002F5EFD">
        <w:tblPrEx>
          <w:tblW w:w="9445" w:type="dxa"/>
          <w:tblLook w:val="04A0"/>
        </w:tblPrEx>
        <w:trPr>
          <w:trHeight w:val="548"/>
        </w:trPr>
        <w:tc>
          <w:tcPr>
            <w:tcW w:w="9445" w:type="dxa"/>
          </w:tcPr>
          <w:p w:rsidR="0094457E" w:rsidRPr="00B04A5C" w:rsidP="0094457E" w14:paraId="6CF334ED" w14:textId="7E9AFDA5">
            <w:pPr>
              <w:outlineLvl w:val="0"/>
              <w:rPr>
                <w:color w:val="000000"/>
              </w:rPr>
            </w:pPr>
            <w:r w:rsidRPr="00AF309F">
              <w:rPr>
                <w:bCs/>
                <w:color w:val="000000"/>
              </w:rPr>
              <w:t xml:space="preserve">Install, calibrate, maintain, and operate CPMS for </w:t>
            </w:r>
            <w:r>
              <w:rPr>
                <w:bCs/>
                <w:color w:val="000000"/>
              </w:rPr>
              <w:t>operating limit parameters for emission capture systems and</w:t>
            </w:r>
            <w:r w:rsidRPr="00AF309F">
              <w:rPr>
                <w:bCs/>
                <w:color w:val="000000"/>
              </w:rPr>
              <w:t xml:space="preserve"> for </w:t>
            </w:r>
            <w:r>
              <w:rPr>
                <w:bCs/>
                <w:color w:val="000000"/>
              </w:rPr>
              <w:t xml:space="preserve">add-on </w:t>
            </w:r>
            <w:r w:rsidRPr="00AF309F">
              <w:rPr>
                <w:bCs/>
                <w:color w:val="000000"/>
              </w:rPr>
              <w:t>control device</w:t>
            </w:r>
            <w:r>
              <w:rPr>
                <w:bCs/>
                <w:color w:val="000000"/>
              </w:rPr>
              <w:t>s, if using them to demonstrate compliance</w:t>
            </w:r>
            <w:r w:rsidRPr="00AF309F">
              <w:rPr>
                <w:bCs/>
                <w:color w:val="000000"/>
              </w:rPr>
              <w:t>.</w:t>
            </w:r>
          </w:p>
        </w:tc>
      </w:tr>
      <w:tr w14:paraId="032F4D1D" w14:textId="77777777" w:rsidTr="0041026E">
        <w:tblPrEx>
          <w:tblW w:w="9445" w:type="dxa"/>
          <w:tblLook w:val="04A0"/>
        </w:tblPrEx>
        <w:trPr>
          <w:trHeight w:val="701"/>
        </w:trPr>
        <w:tc>
          <w:tcPr>
            <w:tcW w:w="9445" w:type="dxa"/>
            <w:vAlign w:val="center"/>
          </w:tcPr>
          <w:p w:rsidR="0094457E" w:rsidRPr="00B04A5C" w:rsidP="0094457E" w14:paraId="13C4E26E" w14:textId="34851040">
            <w:pPr>
              <w:outlineLvl w:val="0"/>
              <w:rPr>
                <w:color w:val="000000"/>
              </w:rPr>
            </w:pPr>
            <w:r w:rsidRPr="00146F35">
              <w:t xml:space="preserve">Perform </w:t>
            </w:r>
            <w:r w:rsidRPr="00B92927">
              <w:t>initial performance test, using applicable methods: Reference Method 1, 1A, 2, 2A, 2C, 2D, 2F, 2G, 3, 3A, 3B, 4, 18, 24, 25, 25A, 204, 204A, 204B, 204C, 204D, 204E, 204F, 301, 311, ASTM Methods D2697-86 and D1475-90</w:t>
            </w:r>
            <w:r w:rsidRPr="00882F85">
              <w:t xml:space="preserve">. Test and repeat performance tests if </w:t>
            </w:r>
            <w:r>
              <w:t>using an emission capture system and add-on control device to demonstrate compliance</w:t>
            </w:r>
            <w:r w:rsidRPr="00882F85">
              <w:t>.</w:t>
            </w:r>
          </w:p>
        </w:tc>
      </w:tr>
      <w:tr w14:paraId="01F22045" w14:textId="77777777" w:rsidTr="0041026E">
        <w:tblPrEx>
          <w:tblW w:w="9445" w:type="dxa"/>
          <w:tblLook w:val="04A0"/>
        </w:tblPrEx>
        <w:trPr>
          <w:trHeight w:val="701"/>
        </w:trPr>
        <w:tc>
          <w:tcPr>
            <w:tcW w:w="9445" w:type="dxa"/>
            <w:vAlign w:val="center"/>
          </w:tcPr>
          <w:p w:rsidR="00660704" w:rsidRPr="00146F35" w:rsidP="0094457E" w14:paraId="02654419" w14:textId="763E9CA1">
            <w:pPr>
              <w:outlineLvl w:val="0"/>
            </w:pPr>
            <w:r>
              <w:rPr>
                <w:color w:val="000000"/>
              </w:rPr>
              <w:t xml:space="preserve">If owner or operator chooses to account for the mass of organic HAP in wastewater, </w:t>
            </w:r>
            <w:r w:rsidRPr="00146F35">
              <w:t>Reference Method</w:t>
            </w:r>
            <w:r>
              <w:t xml:space="preserve"> 25D, 301, 305, 624, 625, 1624, 1625.</w:t>
            </w:r>
          </w:p>
        </w:tc>
      </w:tr>
      <w:tr w14:paraId="55372A75" w14:textId="77777777" w:rsidTr="0041026E">
        <w:tblPrEx>
          <w:tblW w:w="9445" w:type="dxa"/>
          <w:tblLook w:val="04A0"/>
        </w:tblPrEx>
        <w:trPr>
          <w:trHeight w:val="432"/>
        </w:trPr>
        <w:tc>
          <w:tcPr>
            <w:tcW w:w="9445" w:type="dxa"/>
            <w:vAlign w:val="center"/>
          </w:tcPr>
          <w:p w:rsidR="0094457E" w:rsidRPr="00B04A5C" w:rsidP="0094457E" w14:paraId="48ADF906" w14:textId="77777777">
            <w:pPr>
              <w:outlineLvl w:val="0"/>
              <w:rPr>
                <w:color w:val="000000"/>
              </w:rPr>
            </w:pPr>
            <w:r w:rsidRPr="00B04A5C">
              <w:rPr>
                <w:color w:val="000000"/>
              </w:rPr>
              <w:t>Write the notifications and reports listed above.</w:t>
            </w:r>
          </w:p>
        </w:tc>
      </w:tr>
      <w:tr w14:paraId="6EB70483" w14:textId="77777777" w:rsidTr="0041026E">
        <w:tblPrEx>
          <w:tblW w:w="9445" w:type="dxa"/>
          <w:tblLook w:val="04A0"/>
        </w:tblPrEx>
        <w:trPr>
          <w:trHeight w:val="432"/>
        </w:trPr>
        <w:tc>
          <w:tcPr>
            <w:tcW w:w="9445" w:type="dxa"/>
            <w:vAlign w:val="center"/>
          </w:tcPr>
          <w:p w:rsidR="0094457E" w:rsidRPr="00B04A5C" w:rsidP="0094457E" w14:paraId="40649BBA" w14:textId="77777777">
            <w:pPr>
              <w:outlineLvl w:val="0"/>
              <w:rPr>
                <w:color w:val="000000"/>
              </w:rPr>
            </w:pPr>
            <w:r w:rsidRPr="00B04A5C">
              <w:rPr>
                <w:color w:val="000000"/>
              </w:rPr>
              <w:t>Enter information required to be recorded above.</w:t>
            </w:r>
          </w:p>
        </w:tc>
      </w:tr>
      <w:tr w14:paraId="51C92A26" w14:textId="77777777" w:rsidTr="0041026E">
        <w:tblPrEx>
          <w:tblW w:w="9445" w:type="dxa"/>
          <w:tblLook w:val="04A0"/>
        </w:tblPrEx>
        <w:trPr>
          <w:trHeight w:val="692"/>
        </w:trPr>
        <w:tc>
          <w:tcPr>
            <w:tcW w:w="9445" w:type="dxa"/>
            <w:vAlign w:val="center"/>
          </w:tcPr>
          <w:p w:rsidR="0094457E" w:rsidRPr="00B04A5C" w:rsidP="0094457E" w14:paraId="7E34FC8A" w14:textId="6553F94C">
            <w:pPr>
              <w:outlineLvl w:val="0"/>
              <w:rPr>
                <w:color w:val="000000"/>
              </w:rPr>
            </w:pPr>
            <w:r>
              <w:rPr>
                <w:color w:val="000000"/>
              </w:rPr>
              <w:t>Electronically submit the required reports via CEDRI, developing, acquiring, installing, and utilizing technology and systems for the purpose of collecting, validating, and verifying information.</w:t>
            </w:r>
          </w:p>
        </w:tc>
      </w:tr>
      <w:tr w14:paraId="45A85FE2" w14:textId="77777777" w:rsidTr="0041026E">
        <w:tblPrEx>
          <w:tblW w:w="9445" w:type="dxa"/>
          <w:tblLook w:val="04A0"/>
        </w:tblPrEx>
        <w:trPr>
          <w:trHeight w:val="764"/>
        </w:trPr>
        <w:tc>
          <w:tcPr>
            <w:tcW w:w="9445" w:type="dxa"/>
            <w:vAlign w:val="center"/>
          </w:tcPr>
          <w:p w:rsidR="0094457E" w:rsidRPr="00B04A5C" w:rsidP="0094457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41026E">
        <w:tblPrEx>
          <w:tblW w:w="9445" w:type="dxa"/>
          <w:tblLook w:val="04A0"/>
        </w:tblPrEx>
        <w:trPr>
          <w:trHeight w:val="728"/>
        </w:trPr>
        <w:tc>
          <w:tcPr>
            <w:tcW w:w="9445" w:type="dxa"/>
            <w:vAlign w:val="center"/>
          </w:tcPr>
          <w:p w:rsidR="0094457E" w:rsidRPr="00B04A5C" w:rsidP="0094457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41026E">
        <w:tblPrEx>
          <w:tblW w:w="9445" w:type="dxa"/>
          <w:tblLook w:val="04A0"/>
        </w:tblPrEx>
        <w:trPr>
          <w:trHeight w:val="432"/>
        </w:trPr>
        <w:tc>
          <w:tcPr>
            <w:tcW w:w="9445" w:type="dxa"/>
            <w:vAlign w:val="center"/>
          </w:tcPr>
          <w:p w:rsidR="0094457E" w:rsidRPr="00B04A5C" w:rsidP="0094457E" w14:paraId="484A8233" w14:textId="77777777">
            <w:pPr>
              <w:outlineLvl w:val="0"/>
              <w:rPr>
                <w:color w:val="000000"/>
              </w:rPr>
            </w:pPr>
            <w:r w:rsidRPr="00B04A5C">
              <w:rPr>
                <w:color w:val="000000"/>
              </w:rPr>
              <w:t>Train personnel to be able to respond to a collection of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7E544AAB">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FD5089" w:rsidR="008B511F">
        <w:rPr>
          <w:rFonts w:cstheme="minorHAnsi"/>
        </w:rPr>
        <w:t>1,940</w:t>
      </w:r>
      <w:r w:rsidRPr="00FD5089" w:rsidR="00C4086C">
        <w:rPr>
          <w:rFonts w:cstheme="minorHAnsi"/>
        </w:rPr>
        <w:t xml:space="preserve"> </w:t>
      </w:r>
      <w:r w:rsidRPr="00FD5089">
        <w:rPr>
          <w:rFonts w:cstheme="minorHAnsi"/>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36BBA561">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F96E01">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FD5089" w:rsidP="00342882" w14:paraId="07317B6B" w14:textId="197C3218">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 xml:space="preserve">The type of industry costs associated with the information </w:t>
      </w:r>
      <w:r w:rsidRPr="00FC76D1">
        <w:rPr>
          <w:rFonts w:cstheme="minorHAnsi"/>
        </w:rPr>
        <w:t xml:space="preserve">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w:t>
      </w:r>
      <w:r w:rsidRPr="00FD5089">
        <w:rPr>
          <w:rFonts w:cstheme="minorHAnsi"/>
        </w:rPr>
        <w:t>photocopying and postage.</w:t>
      </w:r>
    </w:p>
    <w:p w:rsidR="00342882" w:rsidRPr="00FD5089" w:rsidP="00342882" w14:paraId="105876AA" w14:textId="4C9A91FE">
      <w:pPr>
        <w:pBdr>
          <w:top w:val="single" w:sz="6" w:space="0" w:color="FFFFFF"/>
          <w:left w:val="single" w:sz="6" w:space="0" w:color="FFFFFF"/>
          <w:bottom w:val="single" w:sz="6" w:space="0" w:color="FFFFFF"/>
          <w:right w:val="single" w:sz="6" w:space="0" w:color="FFFFFF"/>
        </w:pBdr>
        <w:rPr>
          <w:rFonts w:cstheme="minorHAnsi"/>
        </w:rPr>
      </w:pPr>
      <w:r w:rsidRPr="00FD5089">
        <w:rPr>
          <w:rFonts w:cstheme="minorHAnsi"/>
        </w:rPr>
        <w:t>The total capital/startup costs for this ICR are $</w:t>
      </w:r>
      <w:r w:rsidRPr="00FD5089" w:rsidR="00C843F4">
        <w:rPr>
          <w:rFonts w:cstheme="minorHAnsi"/>
        </w:rPr>
        <w:t>9,380</w:t>
      </w:r>
      <w:r w:rsidRPr="00FD5089">
        <w:rPr>
          <w:rFonts w:cstheme="minorHAnsi"/>
        </w:rPr>
        <w:t xml:space="preserve">. This is the total of column D shown below in the table Capital/Startup vs. Operation and Maintenance (O&amp;M) Costs. </w:t>
      </w:r>
    </w:p>
    <w:p w:rsidR="00342882" w:rsidRPr="00FD5089" w:rsidP="00342882" w14:paraId="2CCD21DB" w14:textId="7DB7B990">
      <w:pPr>
        <w:pBdr>
          <w:top w:val="single" w:sz="6" w:space="0" w:color="FFFFFF"/>
          <w:left w:val="single" w:sz="6" w:space="0" w:color="FFFFFF"/>
          <w:bottom w:val="single" w:sz="6" w:space="0" w:color="FFFFFF"/>
          <w:right w:val="single" w:sz="6" w:space="0" w:color="FFFFFF"/>
        </w:pBdr>
        <w:rPr>
          <w:rFonts w:cstheme="minorHAnsi"/>
        </w:rPr>
      </w:pPr>
      <w:r w:rsidRPr="00FD5089">
        <w:rPr>
          <w:rFonts w:cstheme="minorHAnsi"/>
        </w:rPr>
        <w:t>The total operation and maintenance (O&amp;M) costs for this ICR are $</w:t>
      </w:r>
      <w:r w:rsidRPr="00FD5089" w:rsidR="00767F3F">
        <w:rPr>
          <w:rFonts w:cstheme="minorHAnsi"/>
        </w:rPr>
        <w:t>6,000</w:t>
      </w:r>
      <w:r w:rsidRPr="00FD5089">
        <w:rPr>
          <w:rFonts w:cstheme="minorHAnsi"/>
        </w:rPr>
        <w:t>. This is the total of column G shown below in the table Capital/Startup vs. Operation and Maintenance (O&amp;M) Costs.</w:t>
      </w:r>
    </w:p>
    <w:p w:rsidR="00BB3410" w:rsidRPr="00C047BB" w:rsidP="00854AAE" w14:paraId="678BA42F" w14:textId="3C25E869">
      <w:pPr>
        <w:pBdr>
          <w:top w:val="single" w:sz="6" w:space="0" w:color="FFFFFF"/>
          <w:left w:val="single" w:sz="6" w:space="0" w:color="FFFFFF"/>
          <w:bottom w:val="single" w:sz="6" w:space="0" w:color="FFFFFF"/>
          <w:right w:val="single" w:sz="6" w:space="0" w:color="FFFFFF"/>
        </w:pBdr>
        <w:rPr>
          <w:rFonts w:cstheme="minorHAnsi"/>
        </w:rPr>
      </w:pPr>
      <w:r w:rsidRPr="00FD5089">
        <w:rPr>
          <w:rFonts w:cstheme="minorHAnsi"/>
        </w:rPr>
        <w:t>The average annual cost for capital/startup and operation and maintenance costs to industry over the next three years of the ICR is estimated to be $</w:t>
      </w:r>
      <w:r w:rsidRPr="00FD5089" w:rsidR="00767F3F">
        <w:rPr>
          <w:rFonts w:cstheme="minorHAnsi"/>
        </w:rPr>
        <w:t>15,400</w:t>
      </w:r>
      <w:r w:rsidRPr="00FD5089">
        <w:rPr>
          <w:rFonts w:cstheme="minorHAnsi"/>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087ECB" w:rsidRPr="00962BB9" w:rsidP="00087ECB" w14:paraId="3EE44CFD" w14:textId="50818766">
      <w:pPr>
        <w:spacing w:before="120" w:after="0"/>
        <w:ind w:firstLine="720"/>
        <w:rPr>
          <w:rFonts w:cstheme="minorHAnsi"/>
        </w:rPr>
      </w:pPr>
      <w:r w:rsidRPr="00962BB9">
        <w:rPr>
          <w:rFonts w:cstheme="minorHAnsi"/>
        </w:rPr>
        <w:t>•</w:t>
      </w:r>
      <w:r w:rsidRPr="00962BB9">
        <w:rPr>
          <w:rFonts w:cstheme="minorHAnsi"/>
        </w:rPr>
        <w:tab/>
      </w:r>
      <w:r w:rsidRPr="004336B6" w:rsidR="004336B6">
        <w:rPr>
          <w:rFonts w:cstheme="minorHAnsi"/>
        </w:rPr>
        <w:t>Observe initial performance tests, and repeated performance tests if necessary.</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1F6A910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w:t>
      </w:r>
      <w:r w:rsidRPr="00FD5089">
        <w:rPr>
          <w:rFonts w:cstheme="minorHAnsi"/>
        </w:rPr>
        <w:t xml:space="preserve">the publication and distribution of collected information. The average annual Agency burden and cost during the three years of the ICR is estimated to be </w:t>
      </w:r>
      <w:r w:rsidRPr="00FD5089" w:rsidR="00BA5F8A">
        <w:rPr>
          <w:rFonts w:cstheme="minorHAnsi"/>
        </w:rPr>
        <w:t>188</w:t>
      </w:r>
      <w:r w:rsidRPr="00FD5089">
        <w:rPr>
          <w:rFonts w:cstheme="minorHAnsi"/>
        </w:rPr>
        <w:t xml:space="preserve"> hours at a cost of $</w:t>
      </w:r>
      <w:r w:rsidRPr="00FD5089" w:rsidR="00910722">
        <w:rPr>
          <w:rFonts w:cstheme="minorHAnsi"/>
        </w:rPr>
        <w:t>10,400</w:t>
      </w:r>
      <w:r w:rsidRPr="00FD5089">
        <w:rPr>
          <w:rFonts w:cstheme="minorHAnsi"/>
        </w:rPr>
        <w:t xml:space="preserve">. See Table 2: Average Annual EPA Burden and Cost – </w:t>
      </w:r>
      <w:r w:rsidRPr="00FD5089" w:rsidR="00910722">
        <w:rPr>
          <w:rFonts w:cstheme="minorHAnsi"/>
        </w:rPr>
        <w:t>Table 2:</w:t>
      </w:r>
      <w:r w:rsidR="00F96E01">
        <w:rPr>
          <w:rFonts w:cstheme="minorHAnsi"/>
        </w:rPr>
        <w:t xml:space="preserve"> </w:t>
      </w:r>
      <w:r w:rsidRPr="00FD5089" w:rsidR="00910722">
        <w:rPr>
          <w:rFonts w:cstheme="minorHAnsi"/>
        </w:rPr>
        <w:t>Average Annual EPA Burden and Cost - NESHAP for Surface Coating of Metal Cans (40 CFR Part 63, Subpart KKKK) (Renewal)</w:t>
      </w:r>
      <w:r w:rsidRPr="00FD5089">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6AEEFDE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w:t>
      </w:r>
      <w:r w:rsidR="00FA60B6">
        <w:rPr>
          <w:rFonts w:cstheme="minorHAnsi"/>
          <w:color w:val="000000"/>
        </w:rPr>
        <w:t>1</w:t>
      </w:r>
      <w:r w:rsidRPr="006D6C61">
        <w:rPr>
          <w:rFonts w:cstheme="minorHAnsi"/>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5F7E83F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910722" w:rsidR="00910722">
        <w:rPr>
          <w:rFonts w:cstheme="minorHAnsi"/>
          <w:color w:val="000000"/>
        </w:rPr>
        <w:t>Table 2:</w:t>
      </w:r>
      <w:r w:rsidR="00F96E01">
        <w:rPr>
          <w:rFonts w:cstheme="minorHAnsi"/>
          <w:color w:val="000000"/>
        </w:rPr>
        <w:t xml:space="preserve"> </w:t>
      </w:r>
      <w:r w:rsidRPr="00910722" w:rsidR="00910722">
        <w:rPr>
          <w:rFonts w:cstheme="minorHAnsi"/>
          <w:color w:val="000000"/>
        </w:rPr>
        <w:t>Average Annual EPA Burden and Cost - NESHAP for Surface Coating of Metal Cans (40 CFR Part 63, Subpart KKKK)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1C6FA5" w:rsidRPr="00FC76D1" w:rsidP="00FA60B6" w14:paraId="646C6379" w14:textId="7E4C4826">
      <w:pPr>
        <w:pBdr>
          <w:top w:val="single" w:sz="6" w:space="0" w:color="FFFFFF"/>
          <w:left w:val="single" w:sz="6" w:space="0" w:color="FFFFFF"/>
          <w:bottom w:val="single" w:sz="6" w:space="0" w:color="FFFFFF"/>
          <w:right w:val="single" w:sz="6" w:space="0" w:color="FFFFFF"/>
        </w:pBdr>
      </w:pPr>
      <w:r w:rsidRPr="00FC76D1">
        <w:t>The</w:t>
      </w:r>
      <w:r w:rsidR="00FA60B6">
        <w:t>re is a</w:t>
      </w:r>
      <w:r w:rsidR="00F04813">
        <w:t xml:space="preserve"> decrease </w:t>
      </w:r>
      <w:r w:rsidRPr="00FC76D1">
        <w:t>in burden from the most recently approved ICR</w:t>
      </w:r>
      <w:r w:rsidR="007E1E28">
        <w:t xml:space="preserve"> </w:t>
      </w:r>
      <w:r w:rsidRPr="007E1E28" w:rsidR="007E1E28">
        <w:t>as currently identified in the OMB Inventory of Approved Burdens</w:t>
      </w:r>
      <w:r w:rsidR="00FA60B6">
        <w:t>.</w:t>
      </w:r>
      <w:r w:rsidRPr="00FC76D1" w:rsidR="007858BC">
        <w:t xml:space="preserve"> </w:t>
      </w:r>
      <w:r w:rsidR="008A3206">
        <w:t>The burden currently identified in the OMB Inventory of Approved Burdens</w:t>
      </w:r>
      <w:r w:rsidR="00F17D15">
        <w:t xml:space="preserve"> is 1954 hours, which</w:t>
      </w:r>
      <w:r w:rsidR="008A3206">
        <w:t xml:space="preserve"> is the sum of the incremental burden from </w:t>
      </w:r>
      <w:r w:rsidR="00B35F22">
        <w:t>the 2020 amendments (54 hours per year) and the total burden from the prior ICR renewal (1940 hours per year)</w:t>
      </w:r>
      <w:r w:rsidR="00F17D15">
        <w:t>.</w:t>
      </w:r>
      <w:r w:rsidR="00B35F22">
        <w:t xml:space="preserve"> </w:t>
      </w:r>
      <w:r w:rsidRPr="00F17D15" w:rsidR="00F17D15">
        <w:t>The previous ICR reflected those burdens and costs associated with the initial activities for subject facilities</w:t>
      </w:r>
      <w:r w:rsidR="00F17D15">
        <w:t xml:space="preserve"> due to the 2020 amendments</w:t>
      </w:r>
      <w:r w:rsidRPr="00F17D15" w:rsidR="00F17D15">
        <w:t xml:space="preserve">. This </w:t>
      </w:r>
      <w:r w:rsidR="003607FD">
        <w:t xml:space="preserve">included time to familiarize with CEDRI for electronic reporting and revision of record systems due to the </w:t>
      </w:r>
      <w:r w:rsidR="005A5CF7">
        <w:t>revisions for periods of startup, shutdown, and malfunction.</w:t>
      </w:r>
      <w:r w:rsidRPr="00F17D15" w:rsidR="00F17D15">
        <w:t xml:space="preserve"> </w:t>
      </w:r>
      <w:r w:rsidRPr="00FC76D1" w:rsidR="00D27E38">
        <w:t xml:space="preserve">There is also a </w:t>
      </w:r>
      <w:r w:rsidR="00951121">
        <w:t>decrease</w:t>
      </w:r>
      <w:r w:rsidRPr="00FC76D1" w:rsidR="00D27E38">
        <w:t xml:space="preserve"> in the Capital O&amp;M compared to the previously approved ICR. Most of the Capital O&amp;M </w:t>
      </w:r>
      <w:r w:rsidRPr="00FC76D1" w:rsidR="000A5FD7">
        <w:t>included</w:t>
      </w:r>
      <w:r w:rsidRPr="00FC76D1" w:rsidR="00D27E38">
        <w:t xml:space="preserve"> with the previous ICR </w:t>
      </w:r>
      <w:r w:rsidR="00512C4F">
        <w:t>is</w:t>
      </w:r>
      <w:r w:rsidRPr="00FC76D1" w:rsidR="00C752ED">
        <w:t xml:space="preserve"> </w:t>
      </w:r>
      <w:r w:rsidRPr="00FC76D1" w:rsidR="00014D8C">
        <w:t xml:space="preserve">associated with capital and startup costs. </w:t>
      </w:r>
      <w:bookmarkStart w:id="24" w:name="_Hlk178847283"/>
      <w:r w:rsidRPr="005A5CF7" w:rsidR="005A5CF7">
        <w:t>This ICR, by in large, reflects the on-going burden and costs for existing facilities following rulemaking activities.</w:t>
      </w:r>
      <w:bookmarkEnd w:id="24"/>
    </w:p>
    <w:p w:rsidR="005D140B" w:rsidRPr="00163C69" w:rsidP="4BDBF0A0" w14:paraId="3604F417" w14:textId="5D0F3160">
      <w:pPr>
        <w:pStyle w:val="ListParagraph"/>
        <w:numPr>
          <w:ilvl w:val="0"/>
          <w:numId w:val="27"/>
        </w:numPr>
        <w:spacing w:before="240" w:after="0"/>
        <w:rPr>
          <w:b/>
          <w:bCs/>
        </w:rPr>
      </w:pPr>
      <w:bookmarkStart w:id="25" w:name="_Toc156593389"/>
      <w:r w:rsidRPr="4BDBF0A0">
        <w:rPr>
          <w:b/>
          <w:bCs/>
        </w:rPr>
        <w:t xml:space="preserve">PUBLICATION OF </w:t>
      </w:r>
      <w:bookmarkStart w:id="26" w:name="_Toc156593390"/>
      <w:bookmarkEnd w:id="25"/>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28C9067F">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w:t>
      </w:r>
      <w:r w:rsidRPr="007025A2">
        <w:t>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6"/>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7" w:name="_Toc156593391"/>
      <w:r w:rsidRPr="00163C69">
        <w:rPr>
          <w:rFonts w:cstheme="minorHAnsi"/>
          <w:b/>
          <w:bCs/>
        </w:rPr>
        <w:t>CERTIFICATION STATEMENT</w:t>
      </w:r>
      <w:bookmarkEnd w:id="27"/>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001641AA" w14:paraId="7CE12A09" w14:textId="573417FD">
      <w:pPr>
        <w:spacing w:before="240"/>
        <w:rPr>
          <w:rFonts w:cstheme="minorHAnsi"/>
          <w:b/>
          <w:bCs/>
          <w:color w:val="FF0000"/>
          <w:sz w:val="24"/>
          <w:szCs w:val="24"/>
        </w:rPr>
      </w:pPr>
      <w:r w:rsidRPr="001641AA">
        <w:rPr>
          <w:rFonts w:cstheme="minorHAnsi"/>
          <w:b/>
          <w:bCs/>
          <w:sz w:val="24"/>
          <w:szCs w:val="24"/>
        </w:rPr>
        <w:t xml:space="preserve">Table 1: Annual Respondent Burden and Cost </w:t>
      </w:r>
      <w:r w:rsidRPr="00FC76D1">
        <w:rPr>
          <w:rFonts w:cstheme="minorHAnsi"/>
          <w:b/>
          <w:bCs/>
          <w:sz w:val="24"/>
          <w:szCs w:val="24"/>
        </w:rPr>
        <w:t xml:space="preserve">– </w:t>
      </w:r>
      <w:r w:rsidRPr="00FC76D1" w:rsidR="0012040F">
        <w:rPr>
          <w:rFonts w:cstheme="minorHAnsi"/>
          <w:b/>
          <w:bCs/>
          <w:sz w:val="24"/>
          <w:szCs w:val="24"/>
        </w:rPr>
        <w:t>NESHAP for Surface Coating of Metal Cans (40 CFR Part 63, Subpart KKKK) (Renewal)</w:t>
      </w:r>
    </w:p>
    <w:tbl>
      <w:tblPr>
        <w:tblW w:w="0" w:type="auto"/>
        <w:jc w:val="center"/>
        <w:tblLayout w:type="fixed"/>
        <w:tblCellMar>
          <w:left w:w="0" w:type="dxa"/>
          <w:right w:w="0" w:type="dxa"/>
        </w:tblCellMar>
        <w:tblLook w:val="04A0"/>
      </w:tblPr>
      <w:tblGrid>
        <w:gridCol w:w="2271"/>
        <w:gridCol w:w="859"/>
        <w:gridCol w:w="1196"/>
        <w:gridCol w:w="999"/>
        <w:gridCol w:w="1170"/>
        <w:gridCol w:w="810"/>
        <w:gridCol w:w="1350"/>
        <w:gridCol w:w="900"/>
        <w:gridCol w:w="3435"/>
      </w:tblGrid>
      <w:tr w14:paraId="7E0EB4C6" w14:textId="77777777" w:rsidTr="00D841AF">
        <w:tblPrEx>
          <w:tblW w:w="0" w:type="auto"/>
          <w:jc w:val="center"/>
          <w:tblLayout w:type="fixed"/>
          <w:tblCellMar>
            <w:left w:w="0" w:type="dxa"/>
            <w:right w:w="0" w:type="dxa"/>
          </w:tblCellMar>
          <w:tblLook w:val="04A0"/>
        </w:tblPrEx>
        <w:trPr>
          <w:trHeight w:val="1785"/>
          <w:jc w:val="center"/>
        </w:trPr>
        <w:tc>
          <w:tcPr>
            <w:tcW w:w="2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32971EB9" w14:textId="77777777">
            <w:pPr>
              <w:jc w:val="center"/>
              <w:rPr>
                <w:b/>
                <w:bCs/>
                <w:color w:val="000000"/>
                <w:sz w:val="20"/>
                <w:szCs w:val="20"/>
              </w:rPr>
            </w:pPr>
            <w:r>
              <w:rPr>
                <w:b/>
                <w:bCs/>
                <w:color w:val="000000"/>
                <w:sz w:val="20"/>
                <w:szCs w:val="20"/>
              </w:rPr>
              <w:t>Burden Item</w:t>
            </w:r>
          </w:p>
        </w:tc>
        <w:tc>
          <w:tcPr>
            <w:tcW w:w="8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6A827FDD" w14:textId="77777777">
            <w:pPr>
              <w:jc w:val="center"/>
              <w:rPr>
                <w:b/>
                <w:bCs/>
                <w:color w:val="000000"/>
                <w:sz w:val="20"/>
                <w:szCs w:val="20"/>
              </w:rPr>
            </w:pPr>
            <w:r>
              <w:rPr>
                <w:b/>
                <w:bCs/>
                <w:color w:val="000000"/>
                <w:sz w:val="20"/>
                <w:szCs w:val="20"/>
              </w:rPr>
              <w:t xml:space="preserve">(A) </w:t>
            </w:r>
          </w:p>
          <w:p w:rsidR="001B7BCF" w:rsidP="00B2231D" w14:paraId="2B702744" w14:textId="77777777">
            <w:pPr>
              <w:jc w:val="center"/>
              <w:rPr>
                <w:b/>
                <w:bCs/>
                <w:color w:val="000000"/>
                <w:sz w:val="20"/>
                <w:szCs w:val="20"/>
              </w:rPr>
            </w:pPr>
            <w:r>
              <w:rPr>
                <w:b/>
                <w:bCs/>
                <w:color w:val="000000"/>
                <w:sz w:val="20"/>
                <w:szCs w:val="20"/>
              </w:rPr>
              <w:t>Person hours per occurrence</w:t>
            </w:r>
          </w:p>
        </w:tc>
        <w:tc>
          <w:tcPr>
            <w:tcW w:w="11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089F175A" w14:textId="77777777">
            <w:pPr>
              <w:jc w:val="center"/>
              <w:rPr>
                <w:b/>
                <w:bCs/>
                <w:color w:val="000000"/>
                <w:sz w:val="20"/>
                <w:szCs w:val="20"/>
              </w:rPr>
            </w:pPr>
            <w:r>
              <w:rPr>
                <w:b/>
                <w:bCs/>
                <w:color w:val="000000"/>
                <w:sz w:val="20"/>
                <w:szCs w:val="20"/>
              </w:rPr>
              <w:t xml:space="preserve">(B) </w:t>
            </w:r>
          </w:p>
          <w:p w:rsidR="001B7BCF" w:rsidP="00B2231D" w14:paraId="5A4F7B49" w14:textId="77777777">
            <w:pPr>
              <w:jc w:val="center"/>
              <w:rPr>
                <w:b/>
                <w:bCs/>
                <w:color w:val="000000"/>
                <w:sz w:val="20"/>
                <w:szCs w:val="20"/>
              </w:rPr>
            </w:pPr>
            <w:r>
              <w:rPr>
                <w:b/>
                <w:bCs/>
                <w:color w:val="000000"/>
                <w:sz w:val="20"/>
                <w:szCs w:val="20"/>
              </w:rPr>
              <w:t>No. of occurrences per respondent per year</w:t>
            </w:r>
          </w:p>
        </w:tc>
        <w:tc>
          <w:tcPr>
            <w:tcW w:w="9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36398413" w14:textId="77777777">
            <w:pPr>
              <w:jc w:val="center"/>
              <w:rPr>
                <w:b/>
                <w:bCs/>
                <w:color w:val="000000"/>
                <w:sz w:val="20"/>
                <w:szCs w:val="20"/>
              </w:rPr>
            </w:pPr>
            <w:r>
              <w:rPr>
                <w:b/>
                <w:bCs/>
                <w:color w:val="000000"/>
                <w:sz w:val="20"/>
                <w:szCs w:val="20"/>
              </w:rPr>
              <w:t>(C) Technical person-hours per respondent per year (AxB)</w:t>
            </w:r>
          </w:p>
        </w:tc>
        <w:tc>
          <w:tcPr>
            <w:tcW w:w="11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578C9D99" w14:textId="77777777">
            <w:pPr>
              <w:jc w:val="center"/>
              <w:rPr>
                <w:b/>
                <w:bCs/>
                <w:color w:val="000000"/>
                <w:sz w:val="20"/>
                <w:szCs w:val="20"/>
              </w:rPr>
            </w:pPr>
            <w:r>
              <w:rPr>
                <w:b/>
                <w:bCs/>
                <w:color w:val="000000"/>
                <w:sz w:val="20"/>
                <w:szCs w:val="20"/>
              </w:rPr>
              <w:t xml:space="preserve">(D) Respondents per year </w:t>
            </w:r>
            <w:r>
              <w:rPr>
                <w:b/>
                <w:bCs/>
                <w:color w:val="000000"/>
                <w:sz w:val="20"/>
                <w:szCs w:val="20"/>
                <w:vertAlign w:val="superscript"/>
              </w:rPr>
              <w:t>b</w:t>
            </w:r>
          </w:p>
        </w:tc>
        <w:tc>
          <w:tcPr>
            <w:tcW w:w="8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4886E879" w14:textId="77777777">
            <w:pPr>
              <w:jc w:val="center"/>
              <w:rPr>
                <w:b/>
                <w:bCs/>
                <w:color w:val="000000"/>
                <w:sz w:val="20"/>
                <w:szCs w:val="20"/>
              </w:rPr>
            </w:pPr>
            <w:r>
              <w:rPr>
                <w:b/>
                <w:bCs/>
                <w:color w:val="000000"/>
                <w:sz w:val="20"/>
                <w:szCs w:val="20"/>
              </w:rPr>
              <w:t>(E) Technical hours per year (CxD)</w:t>
            </w:r>
          </w:p>
        </w:tc>
        <w:tc>
          <w:tcPr>
            <w:tcW w:w="13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7A914764" w14:textId="77777777">
            <w:pPr>
              <w:jc w:val="center"/>
              <w:rPr>
                <w:b/>
                <w:bCs/>
                <w:color w:val="000000"/>
                <w:sz w:val="20"/>
                <w:szCs w:val="20"/>
              </w:rPr>
            </w:pPr>
            <w:r>
              <w:rPr>
                <w:b/>
                <w:bCs/>
                <w:color w:val="000000"/>
                <w:sz w:val="20"/>
                <w:szCs w:val="20"/>
              </w:rPr>
              <w:t>(F) Management hours per year (Ex0.05)</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326CB493" w14:textId="77777777">
            <w:pPr>
              <w:jc w:val="center"/>
              <w:rPr>
                <w:b/>
                <w:bCs/>
                <w:color w:val="000000"/>
                <w:sz w:val="20"/>
                <w:szCs w:val="20"/>
              </w:rPr>
            </w:pPr>
            <w:r>
              <w:rPr>
                <w:b/>
                <w:bCs/>
                <w:color w:val="000000"/>
                <w:sz w:val="20"/>
                <w:szCs w:val="20"/>
              </w:rPr>
              <w:t>(G) Clerical hours per year (Ex0.1)</w:t>
            </w:r>
          </w:p>
        </w:tc>
        <w:tc>
          <w:tcPr>
            <w:tcW w:w="34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0F583EF3" w14:textId="77777777">
            <w:pPr>
              <w:jc w:val="center"/>
              <w:rPr>
                <w:b/>
                <w:bCs/>
                <w:color w:val="000000"/>
                <w:sz w:val="20"/>
                <w:szCs w:val="20"/>
              </w:rPr>
            </w:pPr>
            <w:r>
              <w:rPr>
                <w:b/>
                <w:bCs/>
                <w:color w:val="000000"/>
                <w:sz w:val="20"/>
                <w:szCs w:val="20"/>
              </w:rPr>
              <w:t xml:space="preserve">(H) </w:t>
            </w:r>
          </w:p>
          <w:p w:rsidR="001B7BCF" w:rsidP="00B2231D" w14:paraId="4773B80F" w14:textId="77777777">
            <w:pPr>
              <w:jc w:val="center"/>
              <w:rPr>
                <w:b/>
                <w:bCs/>
                <w:color w:val="000000"/>
                <w:sz w:val="20"/>
                <w:szCs w:val="20"/>
              </w:rPr>
            </w:pPr>
            <w:r>
              <w:rPr>
                <w:b/>
                <w:bCs/>
                <w:color w:val="000000"/>
                <w:sz w:val="20"/>
                <w:szCs w:val="20"/>
              </w:rPr>
              <w:t xml:space="preserve">Total cost per year </w:t>
            </w:r>
          </w:p>
          <w:p w:rsidR="001B7BCF" w:rsidP="00B2231D" w14:paraId="3D68F1BD" w14:textId="77777777">
            <w:pPr>
              <w:jc w:val="center"/>
              <w:rPr>
                <w:b/>
                <w:bCs/>
                <w:color w:val="000000"/>
                <w:sz w:val="20"/>
                <w:szCs w:val="20"/>
              </w:rPr>
            </w:pPr>
            <w:r>
              <w:rPr>
                <w:b/>
                <w:bCs/>
                <w:color w:val="000000"/>
                <w:sz w:val="20"/>
                <w:szCs w:val="20"/>
              </w:rPr>
              <w:t xml:space="preserve">($) </w:t>
            </w:r>
            <w:r>
              <w:rPr>
                <w:b/>
                <w:bCs/>
                <w:color w:val="000000"/>
                <w:sz w:val="20"/>
                <w:szCs w:val="20"/>
                <w:vertAlign w:val="superscript"/>
              </w:rPr>
              <w:t>a</w:t>
            </w:r>
            <w:r>
              <w:rPr>
                <w:b/>
                <w:bCs/>
                <w:color w:val="000000"/>
                <w:sz w:val="20"/>
                <w:szCs w:val="20"/>
              </w:rPr>
              <w:t xml:space="preserve"> </w:t>
            </w:r>
          </w:p>
        </w:tc>
      </w:tr>
      <w:tr w14:paraId="03CA5371"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12040F" w14:paraId="3912B330" w14:textId="77777777">
            <w:pPr>
              <w:rPr>
                <w:color w:val="000000"/>
                <w:sz w:val="20"/>
                <w:szCs w:val="20"/>
              </w:rPr>
            </w:pPr>
            <w:r w:rsidRPr="0012040F">
              <w:rPr>
                <w:color w:val="000000"/>
                <w:sz w:val="20"/>
                <w:szCs w:val="20"/>
              </w:rPr>
              <w:t>1. Reporting Requirements</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D7113A1" w14:textId="38F4C99E">
            <w:pPr>
              <w:jc w:val="center"/>
              <w:rPr>
                <w:color w:val="000000"/>
                <w:sz w:val="20"/>
                <w:szCs w:val="20"/>
              </w:rPr>
            </w:pP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60ABD24" w14:textId="21E7734A">
            <w:pPr>
              <w:jc w:val="center"/>
              <w:rPr>
                <w:color w:val="000000"/>
                <w:sz w:val="20"/>
                <w:szCs w:val="20"/>
              </w:rPr>
            </w:pP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506C3A7" w14:textId="473E9CE6">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F8CB2A3" w14:textId="4815F42D">
            <w:pPr>
              <w:jc w:val="center"/>
              <w:rPr>
                <w:color w:val="000000"/>
                <w:sz w:val="20"/>
                <w:szCs w:val="20"/>
              </w:rPr>
            </w:pP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3ADF04E" w14:textId="0D454D46">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2E8B90D" w14:textId="36B231A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51003F6" w14:textId="6D268DA1">
            <w:pPr>
              <w:jc w:val="center"/>
              <w:rPr>
                <w:color w:val="000000"/>
                <w:sz w:val="20"/>
                <w:szCs w:val="20"/>
              </w:rPr>
            </w:pP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7274BED8" w14:textId="77777777">
            <w:pPr>
              <w:jc w:val="right"/>
              <w:rPr>
                <w:color w:val="000000"/>
                <w:sz w:val="20"/>
                <w:szCs w:val="20"/>
              </w:rPr>
            </w:pPr>
            <w:r w:rsidRPr="0012040F">
              <w:rPr>
                <w:color w:val="000000"/>
                <w:sz w:val="20"/>
                <w:szCs w:val="20"/>
              </w:rPr>
              <w:t> </w:t>
            </w:r>
          </w:p>
        </w:tc>
      </w:tr>
      <w:tr w14:paraId="2E0FAE73"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96E01" w14:paraId="03EFC9FB" w14:textId="355250B5">
            <w:pPr>
              <w:ind w:left="360" w:hanging="180"/>
              <w:rPr>
                <w:color w:val="000000"/>
                <w:sz w:val="20"/>
                <w:szCs w:val="20"/>
              </w:rPr>
            </w:pPr>
            <w:r>
              <w:rPr>
                <w:color w:val="000000"/>
                <w:sz w:val="20"/>
                <w:szCs w:val="20"/>
              </w:rPr>
              <w:t xml:space="preserve"> </w:t>
            </w:r>
            <w:r w:rsidRPr="0012040F">
              <w:rPr>
                <w:color w:val="000000"/>
                <w:sz w:val="20"/>
                <w:szCs w:val="20"/>
              </w:rPr>
              <w:t>a. Familiarization with the regulatory requirements</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12450F1" w14:textId="77777777">
            <w:pPr>
              <w:jc w:val="center"/>
              <w:rPr>
                <w:color w:val="000000"/>
                <w:sz w:val="20"/>
                <w:szCs w:val="20"/>
              </w:rPr>
            </w:pPr>
            <w:r w:rsidRPr="0012040F">
              <w:rPr>
                <w:color w:val="000000"/>
                <w:sz w:val="20"/>
                <w:szCs w:val="20"/>
              </w:rPr>
              <w:t>4</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941EE38"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15C8474" w14:textId="77777777">
            <w:pPr>
              <w:jc w:val="center"/>
              <w:rPr>
                <w:color w:val="000000"/>
                <w:sz w:val="20"/>
                <w:szCs w:val="20"/>
              </w:rPr>
            </w:pPr>
            <w:r w:rsidRPr="0012040F">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5523321" w14:textId="77777777">
            <w:pPr>
              <w:jc w:val="center"/>
              <w:rPr>
                <w:color w:val="000000"/>
                <w:sz w:val="20"/>
                <w:szCs w:val="20"/>
              </w:rPr>
            </w:pPr>
            <w:r w:rsidRPr="0012040F">
              <w:rPr>
                <w:color w:val="000000"/>
                <w:sz w:val="20"/>
                <w:szCs w:val="20"/>
              </w:rPr>
              <w:t>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D803C6D" w14:textId="77777777">
            <w:pPr>
              <w:jc w:val="center"/>
              <w:rPr>
                <w:color w:val="000000"/>
                <w:sz w:val="20"/>
                <w:szCs w:val="20"/>
              </w:rPr>
            </w:pPr>
            <w:r w:rsidRPr="0012040F">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B9AE75C" w14:textId="77777777">
            <w:pPr>
              <w:jc w:val="center"/>
              <w:rPr>
                <w:color w:val="000000"/>
                <w:sz w:val="20"/>
                <w:szCs w:val="20"/>
              </w:rPr>
            </w:pPr>
            <w:r w:rsidRPr="0012040F">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0AA6C05" w14:textId="77777777">
            <w:pPr>
              <w:jc w:val="center"/>
              <w:rPr>
                <w:color w:val="000000"/>
                <w:sz w:val="20"/>
                <w:szCs w:val="20"/>
              </w:rPr>
            </w:pPr>
            <w:r w:rsidRPr="0012040F">
              <w:rPr>
                <w:color w:val="000000"/>
                <w:sz w:val="20"/>
                <w:szCs w:val="20"/>
              </w:rPr>
              <w:t>2</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34FECD1D" w14:textId="77777777">
            <w:pPr>
              <w:jc w:val="right"/>
              <w:rPr>
                <w:color w:val="000000"/>
                <w:sz w:val="20"/>
                <w:szCs w:val="20"/>
              </w:rPr>
            </w:pPr>
            <w:r w:rsidRPr="0012040F">
              <w:rPr>
                <w:color w:val="000000"/>
                <w:sz w:val="20"/>
                <w:szCs w:val="20"/>
              </w:rPr>
              <w:t xml:space="preserve">$3,150 </w:t>
            </w:r>
          </w:p>
        </w:tc>
      </w:tr>
      <w:tr w14:paraId="475706D2"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96E01" w14:paraId="2AA42E3F" w14:textId="3A21DFF6">
            <w:pPr>
              <w:ind w:left="360" w:hanging="180"/>
              <w:rPr>
                <w:color w:val="000000"/>
                <w:sz w:val="20"/>
                <w:szCs w:val="20"/>
              </w:rPr>
            </w:pPr>
            <w:r>
              <w:rPr>
                <w:color w:val="000000"/>
                <w:sz w:val="20"/>
                <w:szCs w:val="20"/>
              </w:rPr>
              <w:t xml:space="preserve"> </w:t>
            </w:r>
            <w:r w:rsidRPr="0012040F">
              <w:rPr>
                <w:color w:val="000000"/>
                <w:sz w:val="20"/>
                <w:szCs w:val="20"/>
              </w:rPr>
              <w:t>b. Compile and process data</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78EF0C3" w14:textId="77777777">
            <w:pPr>
              <w:jc w:val="center"/>
              <w:rPr>
                <w:color w:val="000000"/>
                <w:sz w:val="20"/>
                <w:szCs w:val="20"/>
              </w:rPr>
            </w:pPr>
            <w:r w:rsidRPr="0012040F">
              <w:rPr>
                <w:color w:val="000000"/>
                <w:sz w:val="20"/>
                <w:szCs w:val="20"/>
              </w:rPr>
              <w:t>4</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1B76CCA" w14:textId="77777777">
            <w:pPr>
              <w:jc w:val="center"/>
              <w:rPr>
                <w:color w:val="000000"/>
                <w:sz w:val="20"/>
                <w:szCs w:val="20"/>
              </w:rPr>
            </w:pPr>
            <w:r w:rsidRPr="0012040F">
              <w:rPr>
                <w:color w:val="000000"/>
                <w:sz w:val="20"/>
                <w:szCs w:val="20"/>
              </w:rPr>
              <w:t>4</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4D55647" w14:textId="77777777">
            <w:pPr>
              <w:jc w:val="center"/>
              <w:rPr>
                <w:color w:val="000000"/>
                <w:sz w:val="20"/>
                <w:szCs w:val="20"/>
              </w:rPr>
            </w:pPr>
            <w:r w:rsidRPr="0012040F">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75BB3E9" w14:textId="77777777">
            <w:pPr>
              <w:jc w:val="center"/>
              <w:rPr>
                <w:color w:val="000000"/>
                <w:sz w:val="20"/>
                <w:szCs w:val="20"/>
              </w:rPr>
            </w:pPr>
            <w:r w:rsidRPr="0012040F">
              <w:rPr>
                <w:color w:val="000000"/>
                <w:sz w:val="20"/>
                <w:szCs w:val="20"/>
              </w:rPr>
              <w:t>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411F4D9" w14:textId="77777777">
            <w:pPr>
              <w:jc w:val="center"/>
              <w:rPr>
                <w:color w:val="000000"/>
                <w:sz w:val="20"/>
                <w:szCs w:val="20"/>
              </w:rPr>
            </w:pPr>
            <w:r w:rsidRPr="0012040F">
              <w:rPr>
                <w:color w:val="000000"/>
                <w:sz w:val="20"/>
                <w:szCs w:val="20"/>
              </w:rPr>
              <w:t>80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FEADE69" w14:textId="77777777">
            <w:pPr>
              <w:jc w:val="center"/>
              <w:rPr>
                <w:color w:val="000000"/>
                <w:sz w:val="20"/>
                <w:szCs w:val="20"/>
              </w:rPr>
            </w:pPr>
            <w:r w:rsidRPr="0012040F">
              <w:rPr>
                <w:color w:val="000000"/>
                <w:sz w:val="20"/>
                <w:szCs w:val="20"/>
              </w:rPr>
              <w:t>4</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06310C0" w14:textId="77777777">
            <w:pPr>
              <w:jc w:val="center"/>
              <w:rPr>
                <w:color w:val="000000"/>
                <w:sz w:val="20"/>
                <w:szCs w:val="20"/>
              </w:rPr>
            </w:pPr>
            <w:r w:rsidRPr="0012040F">
              <w:rPr>
                <w:color w:val="000000"/>
                <w:sz w:val="20"/>
                <w:szCs w:val="20"/>
              </w:rPr>
              <w:t>8</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33866ED7" w14:textId="77777777">
            <w:pPr>
              <w:jc w:val="right"/>
              <w:rPr>
                <w:color w:val="000000"/>
                <w:sz w:val="20"/>
                <w:szCs w:val="20"/>
              </w:rPr>
            </w:pPr>
            <w:r w:rsidRPr="0012040F">
              <w:rPr>
                <w:color w:val="000000"/>
                <w:sz w:val="20"/>
                <w:szCs w:val="20"/>
              </w:rPr>
              <w:t xml:space="preserve">$12,601 </w:t>
            </w:r>
          </w:p>
        </w:tc>
      </w:tr>
      <w:tr w14:paraId="4C79EBBC"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96E01" w14:paraId="70AD8286" w14:textId="62DA2853">
            <w:pPr>
              <w:ind w:left="360" w:hanging="180"/>
              <w:rPr>
                <w:color w:val="000000"/>
                <w:sz w:val="20"/>
                <w:szCs w:val="20"/>
              </w:rPr>
            </w:pPr>
            <w:r>
              <w:rPr>
                <w:color w:val="000000"/>
                <w:sz w:val="20"/>
                <w:szCs w:val="20"/>
              </w:rPr>
              <w:t xml:space="preserve"> </w:t>
            </w:r>
            <w:r w:rsidRPr="0012040F">
              <w:rPr>
                <w:color w:val="000000"/>
                <w:sz w:val="20"/>
                <w:szCs w:val="20"/>
              </w:rPr>
              <w:t>c. Write reports</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B753F85" w14:textId="7B1456C4">
            <w:pPr>
              <w:jc w:val="center"/>
              <w:rPr>
                <w:color w:val="000000"/>
                <w:sz w:val="20"/>
                <w:szCs w:val="20"/>
              </w:rPr>
            </w:pP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C12C06F" w14:textId="56519204">
            <w:pPr>
              <w:jc w:val="center"/>
              <w:rPr>
                <w:color w:val="000000"/>
                <w:sz w:val="20"/>
                <w:szCs w:val="20"/>
              </w:rPr>
            </w:pP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66D4A7A" w14:textId="125B8430">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9CEF061" w14:textId="5BEAEC05">
            <w:pPr>
              <w:jc w:val="center"/>
              <w:rPr>
                <w:color w:val="000000"/>
                <w:sz w:val="20"/>
                <w:szCs w:val="20"/>
              </w:rPr>
            </w:pP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2E88CB6"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E6AE2EE"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590A2DE"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48C519C1" w14:textId="77777777">
            <w:pPr>
              <w:jc w:val="right"/>
              <w:rPr>
                <w:color w:val="000000"/>
                <w:sz w:val="20"/>
                <w:szCs w:val="20"/>
              </w:rPr>
            </w:pPr>
            <w:r w:rsidRPr="0012040F">
              <w:rPr>
                <w:color w:val="000000"/>
                <w:sz w:val="20"/>
                <w:szCs w:val="20"/>
              </w:rPr>
              <w:t xml:space="preserve">$0 </w:t>
            </w:r>
          </w:p>
        </w:tc>
      </w:tr>
      <w:tr w14:paraId="41F2E589"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7C557757" w14:textId="77777777">
            <w:pPr>
              <w:ind w:left="450"/>
              <w:rPr>
                <w:color w:val="000000"/>
                <w:sz w:val="20"/>
                <w:szCs w:val="20"/>
              </w:rPr>
            </w:pPr>
            <w:r w:rsidRPr="0012040F">
              <w:rPr>
                <w:color w:val="000000"/>
                <w:sz w:val="20"/>
                <w:szCs w:val="20"/>
              </w:rPr>
              <w:t>i. Initial notification</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5D041F5"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17F4FDC"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C278E81"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492ADB3" w14:textId="77777777">
            <w:pPr>
              <w:jc w:val="center"/>
              <w:rPr>
                <w:color w:val="000000"/>
                <w:sz w:val="20"/>
                <w:szCs w:val="20"/>
              </w:rPr>
            </w:pPr>
            <w:r w:rsidRPr="0012040F">
              <w:rPr>
                <w:color w:val="000000"/>
                <w:sz w:val="20"/>
                <w:szCs w:val="20"/>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A1E86C3"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024E5C6"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28F8505"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76EECB1C" w14:textId="77777777">
            <w:pPr>
              <w:jc w:val="right"/>
              <w:rPr>
                <w:color w:val="000000"/>
                <w:sz w:val="20"/>
                <w:szCs w:val="20"/>
              </w:rPr>
            </w:pPr>
            <w:r w:rsidRPr="0012040F">
              <w:rPr>
                <w:color w:val="000000"/>
                <w:sz w:val="20"/>
                <w:szCs w:val="20"/>
              </w:rPr>
              <w:t xml:space="preserve">$0 </w:t>
            </w:r>
          </w:p>
        </w:tc>
      </w:tr>
      <w:tr w14:paraId="6E34FFF4"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1E5C960F" w14:textId="77777777">
            <w:pPr>
              <w:ind w:left="450"/>
              <w:rPr>
                <w:color w:val="000000"/>
                <w:sz w:val="20"/>
                <w:szCs w:val="20"/>
              </w:rPr>
            </w:pPr>
            <w:r w:rsidRPr="0012040F">
              <w:rPr>
                <w:color w:val="000000"/>
                <w:sz w:val="20"/>
                <w:szCs w:val="20"/>
              </w:rPr>
              <w:t>ii. Notification of compliance status</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0F57665"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3CBDC54"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ED061F9"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B4B7709" w14:textId="77777777">
            <w:pPr>
              <w:jc w:val="center"/>
              <w:rPr>
                <w:color w:val="000000"/>
                <w:sz w:val="20"/>
                <w:szCs w:val="20"/>
              </w:rPr>
            </w:pPr>
            <w:r w:rsidRPr="0012040F">
              <w:rPr>
                <w:color w:val="000000"/>
                <w:sz w:val="20"/>
                <w:szCs w:val="20"/>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9224533"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2C58074"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DDDD48F"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62303382" w14:textId="77777777">
            <w:pPr>
              <w:jc w:val="right"/>
              <w:rPr>
                <w:color w:val="000000"/>
                <w:sz w:val="20"/>
                <w:szCs w:val="20"/>
              </w:rPr>
            </w:pPr>
            <w:r w:rsidRPr="0012040F">
              <w:rPr>
                <w:color w:val="000000"/>
                <w:sz w:val="20"/>
                <w:szCs w:val="20"/>
              </w:rPr>
              <w:t xml:space="preserve">$0 </w:t>
            </w:r>
          </w:p>
        </w:tc>
      </w:tr>
      <w:tr w14:paraId="19A0900B"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024C2BE8" w14:textId="77777777">
            <w:pPr>
              <w:ind w:left="450"/>
              <w:rPr>
                <w:color w:val="000000"/>
                <w:sz w:val="20"/>
                <w:szCs w:val="20"/>
              </w:rPr>
            </w:pPr>
            <w:r w:rsidRPr="0012040F">
              <w:rPr>
                <w:color w:val="000000"/>
                <w:sz w:val="20"/>
                <w:szCs w:val="20"/>
              </w:rPr>
              <w:t>iii. Notification of construction/reconstruction</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F3D04ED"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2F2C0EF"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5E04A38"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88C256E" w14:textId="77777777">
            <w:pPr>
              <w:jc w:val="center"/>
              <w:rPr>
                <w:color w:val="000000"/>
                <w:sz w:val="20"/>
                <w:szCs w:val="20"/>
              </w:rPr>
            </w:pPr>
            <w:r w:rsidRPr="0012040F">
              <w:rPr>
                <w:color w:val="000000"/>
                <w:sz w:val="20"/>
                <w:szCs w:val="20"/>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384B3B1"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4EE7920"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BA982B6"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610861E6" w14:textId="77777777">
            <w:pPr>
              <w:jc w:val="right"/>
              <w:rPr>
                <w:color w:val="000000"/>
                <w:sz w:val="20"/>
                <w:szCs w:val="20"/>
              </w:rPr>
            </w:pPr>
            <w:r w:rsidRPr="0012040F">
              <w:rPr>
                <w:color w:val="000000"/>
                <w:sz w:val="20"/>
                <w:szCs w:val="20"/>
              </w:rPr>
              <w:t xml:space="preserve">$0 </w:t>
            </w:r>
          </w:p>
        </w:tc>
      </w:tr>
      <w:tr w14:paraId="64093765"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3FC2C785" w14:textId="77777777">
            <w:pPr>
              <w:ind w:left="450"/>
              <w:rPr>
                <w:color w:val="000000"/>
                <w:sz w:val="20"/>
                <w:szCs w:val="20"/>
              </w:rPr>
            </w:pPr>
            <w:r w:rsidRPr="0012040F">
              <w:rPr>
                <w:color w:val="000000"/>
                <w:sz w:val="20"/>
                <w:szCs w:val="20"/>
              </w:rPr>
              <w:t>iv. Notification of actual startup</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E6D04C5"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75CD009"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EA5B446"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601B474" w14:textId="77777777">
            <w:pPr>
              <w:jc w:val="center"/>
              <w:rPr>
                <w:color w:val="000000"/>
                <w:sz w:val="20"/>
                <w:szCs w:val="20"/>
              </w:rPr>
            </w:pPr>
            <w:r w:rsidRPr="0012040F">
              <w:rPr>
                <w:color w:val="000000"/>
                <w:sz w:val="20"/>
                <w:szCs w:val="20"/>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A748382"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2E5E300"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842497F"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020A6675" w14:textId="77777777">
            <w:pPr>
              <w:jc w:val="right"/>
              <w:rPr>
                <w:color w:val="000000"/>
                <w:sz w:val="20"/>
                <w:szCs w:val="20"/>
              </w:rPr>
            </w:pPr>
            <w:r w:rsidRPr="0012040F">
              <w:rPr>
                <w:color w:val="000000"/>
                <w:sz w:val="20"/>
                <w:szCs w:val="20"/>
              </w:rPr>
              <w:t xml:space="preserve">$0 </w:t>
            </w:r>
          </w:p>
        </w:tc>
      </w:tr>
      <w:tr w14:paraId="20025A59"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509F13EE" w14:textId="77777777">
            <w:pPr>
              <w:ind w:left="450"/>
              <w:rPr>
                <w:color w:val="000000"/>
                <w:sz w:val="20"/>
                <w:szCs w:val="20"/>
              </w:rPr>
            </w:pPr>
            <w:r w:rsidRPr="0012040F">
              <w:rPr>
                <w:color w:val="000000"/>
                <w:sz w:val="20"/>
                <w:szCs w:val="20"/>
              </w:rPr>
              <w:t xml:space="preserve">v. Notification of performance test </w:t>
            </w:r>
            <w:r w:rsidRPr="00ED0CE3">
              <w:rPr>
                <w:color w:val="000000"/>
                <w:sz w:val="20"/>
                <w:szCs w:val="20"/>
                <w:vertAlign w:val="superscript"/>
              </w:rPr>
              <w:t>c</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1CC7412"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B8D8B84"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02E0A8B"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1573AD5" w14:textId="77777777">
            <w:pPr>
              <w:jc w:val="center"/>
              <w:rPr>
                <w:color w:val="000000"/>
                <w:sz w:val="20"/>
                <w:szCs w:val="20"/>
              </w:rPr>
            </w:pPr>
            <w:r w:rsidRPr="0012040F">
              <w:rPr>
                <w:color w:val="000000"/>
                <w:sz w:val="20"/>
                <w:szCs w:val="20"/>
              </w:rPr>
              <w:t>0.2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A78CA08" w14:textId="77777777">
            <w:pPr>
              <w:jc w:val="center"/>
              <w:rPr>
                <w:color w:val="000000"/>
                <w:sz w:val="20"/>
                <w:szCs w:val="20"/>
              </w:rPr>
            </w:pPr>
            <w:r w:rsidRPr="0012040F">
              <w:rPr>
                <w:color w:val="000000"/>
                <w:sz w:val="20"/>
                <w:szCs w:val="20"/>
              </w:rPr>
              <w:t>0.4</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6EB67C6" w14:textId="77777777">
            <w:pPr>
              <w:jc w:val="center"/>
              <w:rPr>
                <w:color w:val="000000"/>
                <w:sz w:val="20"/>
                <w:szCs w:val="20"/>
              </w:rPr>
            </w:pPr>
            <w:r w:rsidRPr="0012040F">
              <w:rPr>
                <w:color w:val="000000"/>
                <w:sz w:val="20"/>
                <w:szCs w:val="20"/>
              </w:rPr>
              <w:t>0.02</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FF91316" w14:textId="77777777">
            <w:pPr>
              <w:jc w:val="center"/>
              <w:rPr>
                <w:color w:val="000000"/>
                <w:sz w:val="20"/>
                <w:szCs w:val="20"/>
              </w:rPr>
            </w:pPr>
            <w:r w:rsidRPr="0012040F">
              <w:rPr>
                <w:color w:val="000000"/>
                <w:sz w:val="20"/>
                <w:szCs w:val="20"/>
              </w:rPr>
              <w:t>0.04</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515E0C15" w14:textId="77777777">
            <w:pPr>
              <w:jc w:val="right"/>
              <w:rPr>
                <w:color w:val="000000"/>
                <w:sz w:val="20"/>
                <w:szCs w:val="20"/>
              </w:rPr>
            </w:pPr>
            <w:r w:rsidRPr="0012040F">
              <w:rPr>
                <w:color w:val="000000"/>
                <w:sz w:val="20"/>
                <w:szCs w:val="20"/>
              </w:rPr>
              <w:t xml:space="preserve">$63 </w:t>
            </w:r>
          </w:p>
        </w:tc>
      </w:tr>
      <w:tr w14:paraId="05AB800B"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1550BE35" w14:textId="77777777">
            <w:pPr>
              <w:ind w:left="450"/>
              <w:rPr>
                <w:color w:val="000000"/>
                <w:sz w:val="20"/>
                <w:szCs w:val="20"/>
              </w:rPr>
            </w:pPr>
            <w:r w:rsidRPr="0012040F">
              <w:rPr>
                <w:color w:val="000000"/>
                <w:sz w:val="20"/>
                <w:szCs w:val="20"/>
              </w:rPr>
              <w:t xml:space="preserve">vi. Report of performance test </w:t>
            </w:r>
            <w:r w:rsidRPr="00ED0CE3">
              <w:rPr>
                <w:color w:val="000000"/>
                <w:sz w:val="20"/>
                <w:szCs w:val="20"/>
                <w:vertAlign w:val="superscript"/>
              </w:rPr>
              <w:t>c</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59DC1BB" w14:textId="77777777">
            <w:pPr>
              <w:jc w:val="center"/>
              <w:rPr>
                <w:color w:val="000000"/>
                <w:sz w:val="20"/>
                <w:szCs w:val="20"/>
              </w:rPr>
            </w:pPr>
            <w:r w:rsidRPr="0012040F">
              <w:rPr>
                <w:color w:val="000000"/>
                <w:sz w:val="20"/>
                <w:szCs w:val="20"/>
              </w:rPr>
              <w:t>10</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01E11E8"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CA1A522" w14:textId="77777777">
            <w:pPr>
              <w:jc w:val="center"/>
              <w:rPr>
                <w:color w:val="000000"/>
                <w:sz w:val="20"/>
                <w:szCs w:val="20"/>
              </w:rPr>
            </w:pPr>
            <w:r w:rsidRPr="0012040F">
              <w:rPr>
                <w:color w:val="000000"/>
                <w:sz w:val="20"/>
                <w:szCs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048D781" w14:textId="77777777">
            <w:pPr>
              <w:jc w:val="center"/>
              <w:rPr>
                <w:color w:val="000000"/>
                <w:sz w:val="20"/>
                <w:szCs w:val="20"/>
              </w:rPr>
            </w:pPr>
            <w:r w:rsidRPr="0012040F">
              <w:rPr>
                <w:color w:val="000000"/>
                <w:sz w:val="20"/>
                <w:szCs w:val="20"/>
              </w:rPr>
              <w:t>0.2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58034A6" w14:textId="77777777">
            <w:pPr>
              <w:jc w:val="center"/>
              <w:rPr>
                <w:color w:val="000000"/>
                <w:sz w:val="20"/>
                <w:szCs w:val="20"/>
              </w:rPr>
            </w:pPr>
            <w:r w:rsidRPr="0012040F">
              <w:rPr>
                <w:color w:val="000000"/>
                <w:sz w:val="20"/>
                <w:szCs w:val="20"/>
              </w:rPr>
              <w:t>2</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2709467" w14:textId="77777777">
            <w:pPr>
              <w:jc w:val="center"/>
              <w:rPr>
                <w:color w:val="000000"/>
                <w:sz w:val="20"/>
                <w:szCs w:val="20"/>
              </w:rPr>
            </w:pPr>
            <w:r w:rsidRPr="0012040F">
              <w:rPr>
                <w:color w:val="000000"/>
                <w:sz w:val="20"/>
                <w:szCs w:val="20"/>
              </w:rPr>
              <w:t>0.1</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3FA13EC" w14:textId="77777777">
            <w:pPr>
              <w:jc w:val="center"/>
              <w:rPr>
                <w:color w:val="000000"/>
                <w:sz w:val="20"/>
                <w:szCs w:val="20"/>
              </w:rPr>
            </w:pPr>
            <w:r w:rsidRPr="0012040F">
              <w:rPr>
                <w:color w:val="000000"/>
                <w:sz w:val="20"/>
                <w:szCs w:val="20"/>
              </w:rPr>
              <w:t>0.2</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5BDB4323" w14:textId="77777777">
            <w:pPr>
              <w:jc w:val="right"/>
              <w:rPr>
                <w:color w:val="000000"/>
                <w:sz w:val="20"/>
                <w:szCs w:val="20"/>
              </w:rPr>
            </w:pPr>
            <w:r w:rsidRPr="0012040F">
              <w:rPr>
                <w:color w:val="000000"/>
                <w:sz w:val="20"/>
                <w:szCs w:val="20"/>
              </w:rPr>
              <w:t xml:space="preserve">$315 </w:t>
            </w:r>
          </w:p>
        </w:tc>
      </w:tr>
      <w:tr w14:paraId="668A022A"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1F5BCFCF" w14:textId="77777777">
            <w:pPr>
              <w:ind w:left="450"/>
              <w:rPr>
                <w:color w:val="000000"/>
                <w:sz w:val="20"/>
                <w:szCs w:val="20"/>
              </w:rPr>
            </w:pPr>
            <w:r w:rsidRPr="0012040F">
              <w:rPr>
                <w:color w:val="000000"/>
                <w:sz w:val="20"/>
                <w:szCs w:val="20"/>
              </w:rPr>
              <w:t>vii. Semiannual report</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03FF950" w14:textId="77777777">
            <w:pPr>
              <w:jc w:val="center"/>
              <w:rPr>
                <w:color w:val="000000"/>
                <w:sz w:val="20"/>
                <w:szCs w:val="20"/>
              </w:rPr>
            </w:pPr>
            <w:r w:rsidRPr="0012040F">
              <w:rPr>
                <w:color w:val="000000"/>
                <w:sz w:val="20"/>
                <w:szCs w:val="20"/>
              </w:rPr>
              <w:t>6</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14C45FB" w14:textId="77777777">
            <w:pPr>
              <w:jc w:val="center"/>
              <w:rPr>
                <w:color w:val="000000"/>
                <w:sz w:val="20"/>
                <w:szCs w:val="20"/>
              </w:rPr>
            </w:pPr>
            <w:r w:rsidRPr="0012040F">
              <w:rPr>
                <w:color w:val="000000"/>
                <w:sz w:val="20"/>
                <w:szCs w:val="20"/>
              </w:rPr>
              <w:t>2</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62598CE" w14:textId="77777777">
            <w:pPr>
              <w:jc w:val="center"/>
              <w:rPr>
                <w:color w:val="000000"/>
                <w:sz w:val="20"/>
                <w:szCs w:val="20"/>
              </w:rPr>
            </w:pPr>
            <w:r w:rsidRPr="0012040F">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B6402E3" w14:textId="77777777">
            <w:pPr>
              <w:jc w:val="center"/>
              <w:rPr>
                <w:color w:val="000000"/>
                <w:sz w:val="20"/>
                <w:szCs w:val="20"/>
              </w:rPr>
            </w:pPr>
            <w:r w:rsidRPr="0012040F">
              <w:rPr>
                <w:color w:val="000000"/>
                <w:sz w:val="20"/>
                <w:szCs w:val="20"/>
              </w:rPr>
              <w:t>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6CF6F3E" w14:textId="77777777">
            <w:pPr>
              <w:jc w:val="center"/>
              <w:rPr>
                <w:color w:val="000000"/>
                <w:sz w:val="20"/>
                <w:szCs w:val="20"/>
              </w:rPr>
            </w:pPr>
            <w:r w:rsidRPr="0012040F">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EEB80E1" w14:textId="77777777">
            <w:pPr>
              <w:jc w:val="center"/>
              <w:rPr>
                <w:color w:val="000000"/>
                <w:sz w:val="20"/>
                <w:szCs w:val="20"/>
              </w:rPr>
            </w:pPr>
            <w:r w:rsidRPr="0012040F">
              <w:rPr>
                <w:color w:val="000000"/>
                <w:sz w:val="20"/>
                <w:szCs w:val="20"/>
              </w:rPr>
              <w:t>3</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BBC0C08" w14:textId="77777777">
            <w:pPr>
              <w:jc w:val="center"/>
              <w:rPr>
                <w:color w:val="000000"/>
                <w:sz w:val="20"/>
                <w:szCs w:val="20"/>
              </w:rPr>
            </w:pPr>
            <w:r w:rsidRPr="0012040F">
              <w:rPr>
                <w:color w:val="000000"/>
                <w:sz w:val="20"/>
                <w:szCs w:val="20"/>
              </w:rPr>
              <w:t>6</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28267602" w14:textId="77777777">
            <w:pPr>
              <w:jc w:val="right"/>
              <w:rPr>
                <w:color w:val="000000"/>
                <w:sz w:val="20"/>
                <w:szCs w:val="20"/>
              </w:rPr>
            </w:pPr>
            <w:r w:rsidRPr="0012040F">
              <w:rPr>
                <w:color w:val="000000"/>
                <w:sz w:val="20"/>
                <w:szCs w:val="20"/>
              </w:rPr>
              <w:t xml:space="preserve">$9,450 </w:t>
            </w:r>
          </w:p>
        </w:tc>
      </w:tr>
      <w:tr w14:paraId="71863BB8"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5782047C" w14:textId="77777777">
            <w:pPr>
              <w:ind w:left="450"/>
              <w:rPr>
                <w:color w:val="000000"/>
                <w:sz w:val="20"/>
                <w:szCs w:val="20"/>
              </w:rPr>
            </w:pPr>
            <w:r w:rsidRPr="0012040F">
              <w:rPr>
                <w:color w:val="000000"/>
                <w:sz w:val="20"/>
                <w:szCs w:val="20"/>
              </w:rPr>
              <w:t>viii. Excess emissions report</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1F2F339"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06993F1" w14:textId="77777777">
            <w:pPr>
              <w:jc w:val="center"/>
              <w:rPr>
                <w:color w:val="000000"/>
                <w:sz w:val="20"/>
                <w:szCs w:val="20"/>
              </w:rPr>
            </w:pPr>
            <w:r w:rsidRPr="0012040F">
              <w:rPr>
                <w:color w:val="000000"/>
                <w:sz w:val="20"/>
                <w:szCs w:val="20"/>
              </w:rPr>
              <w:t>2</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D5D7444" w14:textId="77777777">
            <w:pPr>
              <w:jc w:val="center"/>
              <w:rPr>
                <w:color w:val="000000"/>
                <w:sz w:val="20"/>
                <w:szCs w:val="20"/>
              </w:rPr>
            </w:pPr>
            <w:r w:rsidRPr="0012040F">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5424E3E" w14:textId="77777777">
            <w:pPr>
              <w:jc w:val="center"/>
              <w:rPr>
                <w:color w:val="000000"/>
                <w:sz w:val="20"/>
                <w:szCs w:val="20"/>
              </w:rPr>
            </w:pPr>
            <w:r w:rsidRPr="0012040F">
              <w:rPr>
                <w:color w:val="000000"/>
                <w:sz w:val="20"/>
                <w:szCs w:val="20"/>
              </w:rPr>
              <w:t>5</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BC0459D" w14:textId="77777777">
            <w:pPr>
              <w:jc w:val="center"/>
              <w:rPr>
                <w:color w:val="000000"/>
                <w:sz w:val="20"/>
                <w:szCs w:val="20"/>
              </w:rPr>
            </w:pPr>
            <w:r w:rsidRPr="0012040F">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A3B6E80" w14:textId="77777777">
            <w:pPr>
              <w:jc w:val="center"/>
              <w:rPr>
                <w:color w:val="000000"/>
                <w:sz w:val="20"/>
                <w:szCs w:val="20"/>
              </w:rPr>
            </w:pPr>
            <w:r w:rsidRPr="0012040F">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50B15DE" w14:textId="77777777">
            <w:pPr>
              <w:jc w:val="center"/>
              <w:rPr>
                <w:color w:val="000000"/>
                <w:sz w:val="20"/>
                <w:szCs w:val="20"/>
              </w:rPr>
            </w:pPr>
            <w:r w:rsidRPr="0012040F">
              <w:rPr>
                <w:color w:val="000000"/>
                <w:sz w:val="20"/>
                <w:szCs w:val="20"/>
              </w:rPr>
              <w:t>2</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2552B8BF" w14:textId="77777777">
            <w:pPr>
              <w:jc w:val="right"/>
              <w:rPr>
                <w:color w:val="000000"/>
                <w:sz w:val="20"/>
                <w:szCs w:val="20"/>
              </w:rPr>
            </w:pPr>
            <w:r w:rsidRPr="0012040F">
              <w:rPr>
                <w:color w:val="000000"/>
                <w:sz w:val="20"/>
                <w:szCs w:val="20"/>
              </w:rPr>
              <w:t xml:space="preserve">$3,150 </w:t>
            </w:r>
          </w:p>
        </w:tc>
      </w:tr>
      <w:tr w14:paraId="0A770992"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45ADF4DC" w14:textId="77777777">
            <w:pPr>
              <w:ind w:left="450"/>
              <w:rPr>
                <w:color w:val="000000"/>
                <w:sz w:val="20"/>
                <w:szCs w:val="20"/>
              </w:rPr>
            </w:pPr>
            <w:r w:rsidRPr="0012040F">
              <w:rPr>
                <w:color w:val="000000"/>
                <w:sz w:val="20"/>
                <w:szCs w:val="20"/>
              </w:rPr>
              <w:t xml:space="preserve">ix. Startup, shutdown, malfunction report </w:t>
            </w:r>
            <w:r w:rsidRPr="00ED0CE3">
              <w:rPr>
                <w:color w:val="000000"/>
                <w:sz w:val="20"/>
                <w:szCs w:val="20"/>
                <w:vertAlign w:val="superscript"/>
              </w:rPr>
              <w:t>d</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3D976EDE" w14:textId="77777777">
            <w:pPr>
              <w:jc w:val="center"/>
              <w:rPr>
                <w:color w:val="000000"/>
                <w:sz w:val="20"/>
                <w:szCs w:val="20"/>
              </w:rPr>
            </w:pPr>
            <w:r w:rsidRPr="0012040F">
              <w:rPr>
                <w:color w:val="000000"/>
                <w:sz w:val="20"/>
                <w:szCs w:val="20"/>
              </w:rPr>
              <w:t>2</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5851768"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0DDFEC0B" w14:textId="77777777">
            <w:pPr>
              <w:jc w:val="center"/>
              <w:rPr>
                <w:color w:val="000000"/>
                <w:sz w:val="20"/>
                <w:szCs w:val="20"/>
              </w:rPr>
            </w:pPr>
            <w:r w:rsidRPr="0012040F">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26F0DD4" w14:textId="77777777">
            <w:pPr>
              <w:jc w:val="center"/>
              <w:rPr>
                <w:color w:val="000000"/>
                <w:sz w:val="20"/>
                <w:szCs w:val="20"/>
              </w:rPr>
            </w:pPr>
            <w:r w:rsidRPr="0012040F">
              <w:rPr>
                <w:color w:val="000000"/>
                <w:sz w:val="20"/>
                <w:szCs w:val="20"/>
              </w:rPr>
              <w:t>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97261D2" w14:textId="77777777">
            <w:pPr>
              <w:jc w:val="center"/>
              <w:rPr>
                <w:color w:val="000000"/>
                <w:sz w:val="20"/>
                <w:szCs w:val="20"/>
              </w:rPr>
            </w:pPr>
            <w:r w:rsidRPr="0012040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41F8D08" w14:textId="77777777">
            <w:pPr>
              <w:jc w:val="center"/>
              <w:rPr>
                <w:color w:val="000000"/>
                <w:sz w:val="20"/>
                <w:szCs w:val="20"/>
              </w:rPr>
            </w:pPr>
            <w:r w:rsidRPr="0012040F">
              <w:rPr>
                <w:color w:val="000000"/>
                <w:sz w:val="20"/>
                <w:szCs w:val="20"/>
              </w:rPr>
              <w:t>0</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19723A49" w14:textId="77777777">
            <w:pPr>
              <w:jc w:val="center"/>
              <w:rPr>
                <w:color w:val="000000"/>
                <w:sz w:val="20"/>
                <w:szCs w:val="20"/>
              </w:rPr>
            </w:pPr>
            <w:r w:rsidRPr="0012040F">
              <w:rPr>
                <w:color w:val="000000"/>
                <w:sz w:val="20"/>
                <w:szCs w:val="20"/>
              </w:rPr>
              <w:t>0</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4E32B5D8" w14:textId="77777777">
            <w:pPr>
              <w:jc w:val="right"/>
              <w:rPr>
                <w:color w:val="000000"/>
                <w:sz w:val="20"/>
                <w:szCs w:val="20"/>
              </w:rPr>
            </w:pPr>
            <w:r w:rsidRPr="0012040F">
              <w:rPr>
                <w:color w:val="000000"/>
                <w:sz w:val="20"/>
                <w:szCs w:val="20"/>
              </w:rPr>
              <w:t xml:space="preserve">$0 </w:t>
            </w:r>
          </w:p>
        </w:tc>
      </w:tr>
      <w:tr w14:paraId="5083FB92"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850435" w14:paraId="13B6E14F" w14:textId="77777777">
            <w:pPr>
              <w:ind w:left="450"/>
              <w:rPr>
                <w:color w:val="000000"/>
                <w:sz w:val="20"/>
                <w:szCs w:val="20"/>
              </w:rPr>
            </w:pPr>
            <w:r w:rsidRPr="0012040F">
              <w:rPr>
                <w:color w:val="000000"/>
                <w:sz w:val="20"/>
                <w:szCs w:val="20"/>
              </w:rPr>
              <w:t xml:space="preserve">x. Add-on control performance test </w:t>
            </w:r>
            <w:r w:rsidRPr="00ED0CE3">
              <w:rPr>
                <w:color w:val="000000"/>
                <w:sz w:val="20"/>
                <w:szCs w:val="20"/>
                <w:vertAlign w:val="superscript"/>
              </w:rPr>
              <w:t>e</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9EE612C" w14:textId="77777777">
            <w:pPr>
              <w:jc w:val="center"/>
              <w:rPr>
                <w:color w:val="000000"/>
                <w:sz w:val="20"/>
                <w:szCs w:val="20"/>
              </w:rPr>
            </w:pPr>
            <w:r w:rsidRPr="0012040F">
              <w:rPr>
                <w:color w:val="000000"/>
                <w:sz w:val="20"/>
                <w:szCs w:val="20"/>
              </w:rPr>
              <w:t>30</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7912CE24" w14:textId="77777777">
            <w:pPr>
              <w:jc w:val="center"/>
              <w:rPr>
                <w:color w:val="000000"/>
                <w:sz w:val="20"/>
                <w:szCs w:val="20"/>
              </w:rPr>
            </w:pPr>
            <w:r w:rsidRPr="0012040F">
              <w:rPr>
                <w:color w:val="000000"/>
                <w:sz w:val="20"/>
                <w:szCs w:val="20"/>
              </w:rPr>
              <w:t>1</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617B3044" w14:textId="77777777">
            <w:pPr>
              <w:jc w:val="center"/>
              <w:rPr>
                <w:color w:val="000000"/>
                <w:sz w:val="20"/>
                <w:szCs w:val="20"/>
              </w:rPr>
            </w:pPr>
            <w:r w:rsidRPr="0012040F">
              <w:rPr>
                <w:color w:val="000000"/>
                <w:sz w:val="20"/>
                <w:szCs w:val="20"/>
              </w:rPr>
              <w:t>30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DF77DD7" w14:textId="77777777">
            <w:pPr>
              <w:jc w:val="center"/>
              <w:rPr>
                <w:color w:val="000000"/>
                <w:sz w:val="20"/>
                <w:szCs w:val="20"/>
              </w:rPr>
            </w:pPr>
            <w:r w:rsidRPr="0012040F">
              <w:rPr>
                <w:color w:val="000000"/>
                <w:sz w:val="20"/>
                <w:szCs w:val="20"/>
              </w:rPr>
              <w:t>0.2</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2AA3727B" w14:textId="77777777">
            <w:pPr>
              <w:jc w:val="center"/>
              <w:rPr>
                <w:color w:val="000000"/>
                <w:sz w:val="20"/>
                <w:szCs w:val="20"/>
              </w:rPr>
            </w:pPr>
            <w:r w:rsidRPr="0012040F">
              <w:rPr>
                <w:color w:val="000000"/>
                <w:sz w:val="20"/>
                <w:szCs w:val="20"/>
              </w:rPr>
              <w:t>6</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5B6B9633" w14:textId="77777777">
            <w:pPr>
              <w:jc w:val="center"/>
              <w:rPr>
                <w:color w:val="000000"/>
                <w:sz w:val="20"/>
                <w:szCs w:val="20"/>
              </w:rPr>
            </w:pPr>
            <w:r w:rsidRPr="0012040F">
              <w:rPr>
                <w:color w:val="000000"/>
                <w:sz w:val="20"/>
                <w:szCs w:val="20"/>
              </w:rPr>
              <w:t>0.3</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2040F" w:rsidRPr="0012040F" w:rsidP="004E572A" w14:paraId="496E013D" w14:textId="77777777">
            <w:pPr>
              <w:jc w:val="center"/>
              <w:rPr>
                <w:color w:val="000000"/>
                <w:sz w:val="20"/>
                <w:szCs w:val="20"/>
              </w:rPr>
            </w:pPr>
            <w:r w:rsidRPr="0012040F">
              <w:rPr>
                <w:color w:val="000000"/>
                <w:sz w:val="20"/>
                <w:szCs w:val="20"/>
              </w:rPr>
              <w:t>0.6</w:t>
            </w:r>
          </w:p>
        </w:tc>
        <w:tc>
          <w:tcPr>
            <w:tcW w:w="34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2040F" w:rsidRPr="0012040F" w:rsidP="00FC76D1" w14:paraId="1C324B6B" w14:textId="77777777">
            <w:pPr>
              <w:jc w:val="right"/>
              <w:rPr>
                <w:color w:val="000000"/>
                <w:sz w:val="20"/>
                <w:szCs w:val="20"/>
              </w:rPr>
            </w:pPr>
            <w:r w:rsidRPr="0012040F">
              <w:rPr>
                <w:color w:val="000000"/>
                <w:sz w:val="20"/>
                <w:szCs w:val="20"/>
              </w:rPr>
              <w:t xml:space="preserve">$945.04 </w:t>
            </w:r>
          </w:p>
        </w:tc>
      </w:tr>
      <w:tr w14:paraId="529D19E5" w14:textId="77777777" w:rsidTr="00D841AF">
        <w:tblPrEx>
          <w:tblW w:w="0" w:type="auto"/>
          <w:jc w:val="center"/>
          <w:tblLayout w:type="fixed"/>
          <w:tblCellMar>
            <w:left w:w="0" w:type="dxa"/>
            <w:right w:w="0" w:type="dxa"/>
          </w:tblCellMar>
          <w:tblLook w:val="04A0"/>
        </w:tblPrEx>
        <w:trPr>
          <w:trHeight w:val="54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4E715273" w14:textId="77777777">
            <w:pPr>
              <w:rPr>
                <w:b/>
                <w:bCs/>
                <w:i/>
                <w:iCs/>
                <w:color w:val="000000"/>
                <w:sz w:val="20"/>
                <w:szCs w:val="20"/>
              </w:rPr>
            </w:pPr>
            <w:r>
              <w:rPr>
                <w:b/>
                <w:bCs/>
                <w:i/>
                <w:iCs/>
                <w:color w:val="000000"/>
                <w:sz w:val="20"/>
                <w:szCs w:val="20"/>
              </w:rPr>
              <w:t>Subtotal for Reporting Requirements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B7BCF" w:rsidP="004E572A" w14:paraId="6C74F531" w14:textId="5E6D59B3">
            <w:pPr>
              <w:jc w:val="center"/>
              <w:rPr>
                <w:color w:val="000000"/>
                <w:sz w:val="20"/>
                <w:szCs w:val="20"/>
              </w:rPr>
            </w:pP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B7BCF" w:rsidP="004E572A" w14:paraId="5DEF5CD3" w14:textId="241718B9">
            <w:pPr>
              <w:jc w:val="center"/>
              <w:rPr>
                <w:color w:val="000000"/>
                <w:sz w:val="20"/>
                <w:szCs w:val="20"/>
              </w:rPr>
            </w:pP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B7BCF" w:rsidP="004E572A" w14:paraId="42C8E697" w14:textId="251C2BE1">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1B7BCF" w:rsidP="004E572A" w14:paraId="304303D3" w14:textId="44CC12D5">
            <w:pPr>
              <w:jc w:val="center"/>
              <w:rPr>
                <w:color w:val="000000"/>
                <w:sz w:val="20"/>
                <w:szCs w:val="20"/>
              </w:rPr>
            </w:pPr>
          </w:p>
        </w:tc>
        <w:tc>
          <w:tcPr>
            <w:tcW w:w="3060"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1B7BCF" w:rsidP="004E572A" w14:paraId="15F68EBF" w14:textId="67CB815D">
            <w:pPr>
              <w:jc w:val="center"/>
              <w:rPr>
                <w:b/>
                <w:bCs/>
                <w:color w:val="000000"/>
                <w:sz w:val="20"/>
                <w:szCs w:val="20"/>
              </w:rPr>
            </w:pPr>
            <w:r>
              <w:rPr>
                <w:b/>
                <w:bCs/>
                <w:color w:val="000000"/>
                <w:sz w:val="20"/>
                <w:szCs w:val="20"/>
              </w:rPr>
              <w:t>21</w:t>
            </w:r>
            <w:r w:rsidR="0012040F">
              <w:rPr>
                <w:b/>
                <w:bCs/>
                <w:color w:val="000000"/>
                <w:sz w:val="20"/>
                <w:szCs w:val="20"/>
              </w:rPr>
              <w:t>7</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FC76D1" w14:paraId="2ECEE7BD" w14:textId="42C71177">
            <w:pPr>
              <w:jc w:val="right"/>
              <w:rPr>
                <w:b/>
                <w:bCs/>
                <w:color w:val="000000"/>
                <w:sz w:val="20"/>
                <w:szCs w:val="20"/>
              </w:rPr>
            </w:pPr>
            <w:r>
              <w:rPr>
                <w:b/>
                <w:bCs/>
                <w:color w:val="000000"/>
                <w:sz w:val="20"/>
                <w:szCs w:val="20"/>
              </w:rPr>
              <w:t>$2</w:t>
            </w:r>
            <w:r w:rsidR="0012040F">
              <w:rPr>
                <w:b/>
                <w:bCs/>
                <w:color w:val="000000"/>
                <w:sz w:val="20"/>
                <w:szCs w:val="20"/>
              </w:rPr>
              <w:t>9</w:t>
            </w:r>
            <w:r>
              <w:rPr>
                <w:b/>
                <w:bCs/>
                <w:color w:val="000000"/>
                <w:sz w:val="20"/>
                <w:szCs w:val="20"/>
              </w:rPr>
              <w:t>,6</w:t>
            </w:r>
            <w:r w:rsidR="0012040F">
              <w:rPr>
                <w:b/>
                <w:bCs/>
                <w:color w:val="000000"/>
                <w:sz w:val="20"/>
                <w:szCs w:val="20"/>
              </w:rPr>
              <w:t>74</w:t>
            </w:r>
          </w:p>
        </w:tc>
      </w:tr>
      <w:tr w14:paraId="26C79E86"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7C6C9F" w14:paraId="0DDE5625" w14:textId="399F4839">
            <w:pPr>
              <w:rPr>
                <w:color w:val="000000"/>
                <w:sz w:val="20"/>
                <w:szCs w:val="20"/>
              </w:rPr>
            </w:pPr>
            <w:r w:rsidRPr="007C6C9F">
              <w:rPr>
                <w:color w:val="000000"/>
                <w:sz w:val="20"/>
                <w:szCs w:val="20"/>
              </w:rPr>
              <w:t>2.</w:t>
            </w:r>
            <w:r w:rsidR="00F96E01">
              <w:rPr>
                <w:color w:val="000000"/>
                <w:sz w:val="20"/>
                <w:szCs w:val="20"/>
              </w:rPr>
              <w:t xml:space="preserve"> </w:t>
            </w:r>
            <w:r w:rsidRPr="007C6C9F">
              <w:rPr>
                <w:color w:val="000000"/>
                <w:sz w:val="20"/>
                <w:szCs w:val="20"/>
              </w:rPr>
              <w:t>Recordkeeping requirements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59B88C2" w14:textId="63FB42C7">
            <w:pPr>
              <w:jc w:val="center"/>
              <w:rPr>
                <w:color w:val="000000"/>
                <w:sz w:val="20"/>
                <w:szCs w:val="20"/>
              </w:rPr>
            </w:pP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ADA409C" w14:textId="393DBE7C">
            <w:pPr>
              <w:jc w:val="center"/>
              <w:rPr>
                <w:color w:val="000000"/>
                <w:sz w:val="20"/>
                <w:szCs w:val="20"/>
              </w:rPr>
            </w:pP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1ED7B1D" w14:textId="10C16DFF">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E98C43B" w14:textId="67A58608">
            <w:pPr>
              <w:jc w:val="center"/>
              <w:rPr>
                <w:color w:val="000000"/>
                <w:sz w:val="20"/>
                <w:szCs w:val="20"/>
              </w:rPr>
            </w:pP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5ACC3DC" w14:textId="5413DC2A">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FE290C9" w14:textId="18F20962">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1D93BE5" w14:textId="185EAB14">
            <w:pPr>
              <w:jc w:val="center"/>
              <w:rPr>
                <w:color w:val="000000"/>
                <w:sz w:val="20"/>
                <w:szCs w:val="20"/>
              </w:rPr>
            </w:pP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15DBA7F8" w14:textId="77777777">
            <w:pPr>
              <w:jc w:val="right"/>
              <w:rPr>
                <w:color w:val="000000"/>
                <w:sz w:val="20"/>
                <w:szCs w:val="20"/>
              </w:rPr>
            </w:pPr>
            <w:r w:rsidRPr="007C6C9F">
              <w:rPr>
                <w:color w:val="000000"/>
                <w:sz w:val="20"/>
                <w:szCs w:val="20"/>
              </w:rPr>
              <w:t> </w:t>
            </w:r>
          </w:p>
        </w:tc>
      </w:tr>
      <w:tr w14:paraId="7D91C384"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531954D1" w14:textId="77777777">
            <w:pPr>
              <w:ind w:left="360" w:hanging="180"/>
              <w:rPr>
                <w:color w:val="000000"/>
                <w:sz w:val="20"/>
                <w:szCs w:val="20"/>
              </w:rPr>
            </w:pPr>
            <w:r w:rsidRPr="007C6C9F">
              <w:rPr>
                <w:color w:val="000000"/>
                <w:sz w:val="20"/>
                <w:szCs w:val="20"/>
              </w:rPr>
              <w:t>a. Familiarization with the regulatory requirements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DD7C379" w14:textId="77777777">
            <w:pPr>
              <w:jc w:val="center"/>
              <w:rPr>
                <w:color w:val="000000"/>
                <w:sz w:val="20"/>
                <w:szCs w:val="20"/>
              </w:rPr>
            </w:pPr>
            <w:r w:rsidRPr="007C6C9F">
              <w:rPr>
                <w:color w:val="000000"/>
                <w:sz w:val="20"/>
                <w:szCs w:val="20"/>
              </w:rPr>
              <w:t>4</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972C1DD"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2840B03" w14:textId="77777777">
            <w:pPr>
              <w:jc w:val="center"/>
              <w:rPr>
                <w:color w:val="000000"/>
                <w:sz w:val="20"/>
                <w:szCs w:val="20"/>
              </w:rPr>
            </w:pPr>
            <w:r w:rsidRPr="007C6C9F">
              <w:rPr>
                <w:color w:val="000000"/>
                <w:sz w:val="20"/>
                <w:szCs w:val="20"/>
              </w:rPr>
              <w:t>4</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EA72FC2"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EDFEBC2" w14:textId="77777777">
            <w:pPr>
              <w:jc w:val="center"/>
              <w:rPr>
                <w:color w:val="000000"/>
                <w:sz w:val="20"/>
                <w:szCs w:val="20"/>
              </w:rPr>
            </w:pPr>
            <w:r w:rsidRPr="007C6C9F">
              <w:rPr>
                <w:color w:val="000000"/>
                <w:sz w:val="20"/>
                <w:szCs w:val="20"/>
              </w:rPr>
              <w:t>20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F6459DA" w14:textId="77777777">
            <w:pPr>
              <w:jc w:val="center"/>
              <w:rPr>
                <w:color w:val="000000"/>
                <w:sz w:val="20"/>
                <w:szCs w:val="20"/>
              </w:rPr>
            </w:pPr>
            <w:r w:rsidRPr="007C6C9F">
              <w:rPr>
                <w:color w:val="000000"/>
                <w:sz w:val="20"/>
                <w:szCs w:val="20"/>
              </w:rPr>
              <w:t>1</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7D7DB02" w14:textId="77777777">
            <w:pPr>
              <w:jc w:val="center"/>
              <w:rPr>
                <w:color w:val="000000"/>
                <w:sz w:val="20"/>
                <w:szCs w:val="20"/>
              </w:rPr>
            </w:pPr>
            <w:r w:rsidRPr="007C6C9F">
              <w:rPr>
                <w:color w:val="000000"/>
                <w:sz w:val="20"/>
                <w:szCs w:val="20"/>
              </w:rPr>
              <w:t>2</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6EF9BB42" w14:textId="77777777">
            <w:pPr>
              <w:jc w:val="right"/>
              <w:rPr>
                <w:color w:val="000000"/>
                <w:sz w:val="20"/>
                <w:szCs w:val="20"/>
              </w:rPr>
            </w:pPr>
            <w:r w:rsidRPr="007C6C9F">
              <w:rPr>
                <w:color w:val="000000"/>
                <w:sz w:val="20"/>
                <w:szCs w:val="20"/>
              </w:rPr>
              <w:t xml:space="preserve">$3,150 </w:t>
            </w:r>
          </w:p>
        </w:tc>
      </w:tr>
      <w:tr w14:paraId="6D60672B"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5C06988F" w14:textId="77777777">
            <w:pPr>
              <w:ind w:left="360" w:hanging="180"/>
              <w:rPr>
                <w:color w:val="000000"/>
                <w:sz w:val="20"/>
                <w:szCs w:val="20"/>
              </w:rPr>
            </w:pPr>
            <w:r w:rsidRPr="007C6C9F">
              <w:rPr>
                <w:color w:val="000000"/>
                <w:sz w:val="20"/>
                <w:szCs w:val="20"/>
              </w:rPr>
              <w:t>b. Plan activities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4179EAA" w14:textId="77777777">
            <w:pPr>
              <w:jc w:val="center"/>
              <w:rPr>
                <w:color w:val="000000"/>
                <w:sz w:val="20"/>
                <w:szCs w:val="20"/>
              </w:rPr>
            </w:pPr>
            <w:r w:rsidRPr="007C6C9F">
              <w:rPr>
                <w:color w:val="000000"/>
                <w:sz w:val="20"/>
                <w:szCs w:val="20"/>
              </w:rPr>
              <w:t>12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92E84C6"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8A86F6E" w14:textId="77777777">
            <w:pPr>
              <w:jc w:val="center"/>
              <w:rPr>
                <w:color w:val="000000"/>
                <w:sz w:val="20"/>
                <w:szCs w:val="20"/>
              </w:rPr>
            </w:pPr>
            <w:r w:rsidRPr="007C6C9F">
              <w:rPr>
                <w:color w:val="000000"/>
                <w:sz w:val="20"/>
                <w:szCs w:val="20"/>
              </w:rPr>
              <w:t>12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0C79E15"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50884A3" w14:textId="77777777">
            <w:pPr>
              <w:jc w:val="center"/>
              <w:rPr>
                <w:color w:val="000000"/>
                <w:sz w:val="20"/>
                <w:szCs w:val="20"/>
              </w:rPr>
            </w:pPr>
            <w:r w:rsidRPr="007C6C9F">
              <w:rPr>
                <w:color w:val="000000"/>
                <w:sz w:val="20"/>
                <w:szCs w:val="20"/>
              </w:rPr>
              <w:t>60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2D54878" w14:textId="77777777">
            <w:pPr>
              <w:jc w:val="center"/>
              <w:rPr>
                <w:color w:val="000000"/>
                <w:sz w:val="20"/>
                <w:szCs w:val="20"/>
              </w:rPr>
            </w:pPr>
            <w:r w:rsidRPr="007C6C9F">
              <w:rPr>
                <w:color w:val="000000"/>
                <w:sz w:val="20"/>
                <w:szCs w:val="20"/>
              </w:rPr>
              <w:t>3</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B49E29C" w14:textId="77777777">
            <w:pPr>
              <w:jc w:val="center"/>
              <w:rPr>
                <w:color w:val="000000"/>
                <w:sz w:val="20"/>
                <w:szCs w:val="20"/>
              </w:rPr>
            </w:pPr>
            <w:r w:rsidRPr="007C6C9F">
              <w:rPr>
                <w:color w:val="000000"/>
                <w:sz w:val="20"/>
                <w:szCs w:val="20"/>
              </w:rPr>
              <w:t>6</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7C874B4B" w14:textId="77777777">
            <w:pPr>
              <w:jc w:val="right"/>
              <w:rPr>
                <w:color w:val="000000"/>
                <w:sz w:val="20"/>
                <w:szCs w:val="20"/>
              </w:rPr>
            </w:pPr>
            <w:r w:rsidRPr="007C6C9F">
              <w:rPr>
                <w:color w:val="000000"/>
                <w:sz w:val="20"/>
                <w:szCs w:val="20"/>
              </w:rPr>
              <w:t xml:space="preserve">$9,450 </w:t>
            </w:r>
          </w:p>
        </w:tc>
      </w:tr>
      <w:tr w14:paraId="2B2DC3BD"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2662BE41" w14:textId="77777777">
            <w:pPr>
              <w:ind w:left="360" w:hanging="180"/>
              <w:rPr>
                <w:color w:val="000000"/>
                <w:sz w:val="20"/>
                <w:szCs w:val="20"/>
              </w:rPr>
            </w:pPr>
            <w:r w:rsidRPr="007C6C9F">
              <w:rPr>
                <w:color w:val="000000"/>
                <w:sz w:val="20"/>
                <w:szCs w:val="20"/>
              </w:rPr>
              <w:t>c. Implement activities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529912A" w14:textId="77777777">
            <w:pPr>
              <w:jc w:val="center"/>
              <w:rPr>
                <w:color w:val="000000"/>
                <w:sz w:val="20"/>
                <w:szCs w:val="20"/>
              </w:rPr>
            </w:pPr>
            <w:r w:rsidRPr="007C6C9F">
              <w:rPr>
                <w:color w:val="000000"/>
                <w:sz w:val="20"/>
                <w:szCs w:val="20"/>
              </w:rPr>
              <w:t>12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6B2D206"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52FFAE2" w14:textId="77777777">
            <w:pPr>
              <w:jc w:val="center"/>
              <w:rPr>
                <w:color w:val="000000"/>
                <w:sz w:val="20"/>
                <w:szCs w:val="20"/>
              </w:rPr>
            </w:pPr>
            <w:r w:rsidRPr="007C6C9F">
              <w:rPr>
                <w:color w:val="000000"/>
                <w:sz w:val="20"/>
                <w:szCs w:val="20"/>
              </w:rPr>
              <w:t>12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CB88D9C"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F1D8DE3" w14:textId="77777777">
            <w:pPr>
              <w:jc w:val="center"/>
              <w:rPr>
                <w:color w:val="000000"/>
                <w:sz w:val="20"/>
                <w:szCs w:val="20"/>
              </w:rPr>
            </w:pPr>
            <w:r w:rsidRPr="007C6C9F">
              <w:rPr>
                <w:color w:val="000000"/>
                <w:sz w:val="20"/>
                <w:szCs w:val="20"/>
              </w:rPr>
              <w:t>60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BD90CD1" w14:textId="77777777">
            <w:pPr>
              <w:jc w:val="center"/>
              <w:rPr>
                <w:color w:val="000000"/>
                <w:sz w:val="20"/>
                <w:szCs w:val="20"/>
              </w:rPr>
            </w:pPr>
            <w:r w:rsidRPr="007C6C9F">
              <w:rPr>
                <w:color w:val="000000"/>
                <w:sz w:val="20"/>
                <w:szCs w:val="20"/>
              </w:rPr>
              <w:t>3</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0CD6F1E" w14:textId="77777777">
            <w:pPr>
              <w:jc w:val="center"/>
              <w:rPr>
                <w:color w:val="000000"/>
                <w:sz w:val="20"/>
                <w:szCs w:val="20"/>
              </w:rPr>
            </w:pPr>
            <w:r w:rsidRPr="007C6C9F">
              <w:rPr>
                <w:color w:val="000000"/>
                <w:sz w:val="20"/>
                <w:szCs w:val="20"/>
              </w:rPr>
              <w:t>6</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342C866D" w14:textId="77777777">
            <w:pPr>
              <w:jc w:val="right"/>
              <w:rPr>
                <w:color w:val="000000"/>
                <w:sz w:val="20"/>
                <w:szCs w:val="20"/>
              </w:rPr>
            </w:pPr>
            <w:r w:rsidRPr="007C6C9F">
              <w:rPr>
                <w:color w:val="000000"/>
                <w:sz w:val="20"/>
                <w:szCs w:val="20"/>
              </w:rPr>
              <w:t xml:space="preserve">$9,450 </w:t>
            </w:r>
          </w:p>
        </w:tc>
      </w:tr>
      <w:tr w14:paraId="26F0CD13"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15BAEFB9" w14:textId="77777777">
            <w:pPr>
              <w:ind w:left="360" w:hanging="180"/>
              <w:rPr>
                <w:color w:val="000000"/>
                <w:sz w:val="20"/>
                <w:szCs w:val="20"/>
              </w:rPr>
            </w:pPr>
            <w:r w:rsidRPr="007C6C9F">
              <w:rPr>
                <w:color w:val="000000"/>
                <w:sz w:val="20"/>
                <w:szCs w:val="20"/>
              </w:rPr>
              <w:t>d. Maintain record system for material used</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F8B3950" w14:textId="77777777">
            <w:pPr>
              <w:jc w:val="center"/>
              <w:rPr>
                <w:color w:val="000000"/>
                <w:sz w:val="20"/>
                <w:szCs w:val="20"/>
              </w:rPr>
            </w:pPr>
            <w:r w:rsidRPr="007C6C9F">
              <w:rPr>
                <w:color w:val="000000"/>
                <w:sz w:val="20"/>
                <w:szCs w:val="20"/>
              </w:rPr>
              <w:t>20</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B22993D"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95D9792" w14:textId="77777777">
            <w:pPr>
              <w:jc w:val="center"/>
              <w:rPr>
                <w:color w:val="000000"/>
                <w:sz w:val="20"/>
                <w:szCs w:val="20"/>
              </w:rPr>
            </w:pPr>
            <w:r w:rsidRPr="007C6C9F">
              <w:rPr>
                <w:color w:val="000000"/>
                <w:sz w:val="20"/>
                <w:szCs w:val="20"/>
              </w:rPr>
              <w:t>20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68C90C8"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99B3335" w14:textId="77777777">
            <w:pPr>
              <w:jc w:val="center"/>
              <w:rPr>
                <w:color w:val="000000"/>
                <w:sz w:val="20"/>
                <w:szCs w:val="20"/>
              </w:rPr>
            </w:pPr>
            <w:r w:rsidRPr="007C6C9F">
              <w:rPr>
                <w:color w:val="000000"/>
                <w:sz w:val="20"/>
                <w:szCs w:val="20"/>
              </w:rPr>
              <w:t>100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208371F" w14:textId="77777777">
            <w:pPr>
              <w:jc w:val="center"/>
              <w:rPr>
                <w:color w:val="000000"/>
                <w:sz w:val="20"/>
                <w:szCs w:val="20"/>
              </w:rPr>
            </w:pPr>
            <w:r w:rsidRPr="007C6C9F">
              <w:rPr>
                <w:color w:val="000000"/>
                <w:sz w:val="20"/>
                <w:szCs w:val="20"/>
              </w:rPr>
              <w:t>5</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03762F3" w14:textId="77777777">
            <w:pPr>
              <w:jc w:val="center"/>
              <w:rPr>
                <w:color w:val="000000"/>
                <w:sz w:val="20"/>
                <w:szCs w:val="20"/>
              </w:rPr>
            </w:pPr>
            <w:r w:rsidRPr="007C6C9F">
              <w:rPr>
                <w:color w:val="000000"/>
                <w:sz w:val="20"/>
                <w:szCs w:val="20"/>
              </w:rPr>
              <w:t>10</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57DBD114" w14:textId="77777777">
            <w:pPr>
              <w:jc w:val="right"/>
              <w:rPr>
                <w:color w:val="000000"/>
                <w:sz w:val="20"/>
                <w:szCs w:val="20"/>
              </w:rPr>
            </w:pPr>
            <w:r w:rsidRPr="007C6C9F">
              <w:rPr>
                <w:color w:val="000000"/>
                <w:sz w:val="20"/>
                <w:szCs w:val="20"/>
              </w:rPr>
              <w:t xml:space="preserve">$15,751 </w:t>
            </w:r>
          </w:p>
        </w:tc>
      </w:tr>
      <w:tr w14:paraId="330B6224"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7EF81F73" w14:textId="77777777">
            <w:pPr>
              <w:ind w:left="360" w:hanging="180"/>
              <w:rPr>
                <w:color w:val="000000"/>
                <w:sz w:val="20"/>
                <w:szCs w:val="20"/>
              </w:rPr>
            </w:pPr>
            <w:r w:rsidRPr="007C6C9F">
              <w:rPr>
                <w:color w:val="000000"/>
                <w:sz w:val="20"/>
                <w:szCs w:val="20"/>
              </w:rPr>
              <w:t xml:space="preserve">e. Revise record systems due to SSM revisions </w:t>
            </w:r>
            <w:r w:rsidRPr="00ED0CE3">
              <w:rPr>
                <w:color w:val="000000"/>
                <w:sz w:val="20"/>
                <w:szCs w:val="20"/>
                <w:vertAlign w:val="superscript"/>
              </w:rPr>
              <w:t>f</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FDB7EE8" w14:textId="77777777">
            <w:pPr>
              <w:jc w:val="center"/>
              <w:rPr>
                <w:color w:val="000000"/>
                <w:sz w:val="20"/>
                <w:szCs w:val="20"/>
              </w:rPr>
            </w:pPr>
            <w:r w:rsidRPr="007C6C9F">
              <w:rPr>
                <w:color w:val="000000"/>
                <w:sz w:val="20"/>
                <w:szCs w:val="20"/>
              </w:rPr>
              <w:t>8</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2A05522"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BEEE4CD" w14:textId="77777777">
            <w:pPr>
              <w:jc w:val="center"/>
              <w:rPr>
                <w:color w:val="000000"/>
                <w:sz w:val="20"/>
                <w:szCs w:val="20"/>
              </w:rPr>
            </w:pPr>
            <w:r w:rsidRPr="007C6C9F">
              <w:rPr>
                <w:color w:val="000000"/>
                <w:sz w:val="20"/>
                <w:szCs w:val="20"/>
              </w:rPr>
              <w:t>8</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6CC523B" w14:textId="77777777">
            <w:pPr>
              <w:jc w:val="center"/>
              <w:rPr>
                <w:color w:val="000000"/>
                <w:sz w:val="20"/>
                <w:szCs w:val="20"/>
              </w:rPr>
            </w:pPr>
            <w:r w:rsidRPr="007C6C9F">
              <w:rPr>
                <w:color w:val="000000"/>
                <w:sz w:val="20"/>
                <w:szCs w:val="20"/>
              </w:rPr>
              <w:t>0</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77B7F65" w14:textId="77777777">
            <w:pPr>
              <w:jc w:val="center"/>
              <w:rPr>
                <w:color w:val="000000"/>
                <w:sz w:val="20"/>
                <w:szCs w:val="20"/>
              </w:rPr>
            </w:pPr>
            <w:r w:rsidRPr="007C6C9F">
              <w:rPr>
                <w:color w:val="000000"/>
                <w:sz w:val="20"/>
                <w:szCs w:val="20"/>
              </w:rPr>
              <w:t>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7D316FD" w14:textId="77777777">
            <w:pPr>
              <w:jc w:val="center"/>
              <w:rPr>
                <w:color w:val="000000"/>
                <w:sz w:val="20"/>
                <w:szCs w:val="20"/>
              </w:rPr>
            </w:pPr>
            <w:r w:rsidRPr="007C6C9F">
              <w:rPr>
                <w:color w:val="000000"/>
                <w:sz w:val="20"/>
                <w:szCs w:val="20"/>
              </w:rPr>
              <w:t>0</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825C4D3" w14:textId="77777777">
            <w:pPr>
              <w:jc w:val="center"/>
              <w:rPr>
                <w:color w:val="000000"/>
                <w:sz w:val="20"/>
                <w:szCs w:val="20"/>
              </w:rPr>
            </w:pPr>
            <w:r w:rsidRPr="007C6C9F">
              <w:rPr>
                <w:color w:val="000000"/>
                <w:sz w:val="20"/>
                <w:szCs w:val="20"/>
              </w:rPr>
              <w:t>0</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4BFC8F1E" w14:textId="77777777">
            <w:pPr>
              <w:jc w:val="right"/>
              <w:rPr>
                <w:color w:val="000000"/>
                <w:sz w:val="20"/>
                <w:szCs w:val="20"/>
              </w:rPr>
            </w:pPr>
            <w:r w:rsidRPr="007C6C9F">
              <w:rPr>
                <w:color w:val="000000"/>
                <w:sz w:val="20"/>
                <w:szCs w:val="20"/>
              </w:rPr>
              <w:t xml:space="preserve">$0 </w:t>
            </w:r>
          </w:p>
        </w:tc>
      </w:tr>
      <w:tr w14:paraId="615AB731"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56C0DCAA" w14:textId="77777777">
            <w:pPr>
              <w:ind w:left="360" w:hanging="180"/>
              <w:rPr>
                <w:color w:val="000000"/>
                <w:sz w:val="20"/>
                <w:szCs w:val="20"/>
              </w:rPr>
            </w:pPr>
            <w:r w:rsidRPr="007C6C9F">
              <w:rPr>
                <w:color w:val="000000"/>
                <w:sz w:val="20"/>
                <w:szCs w:val="20"/>
              </w:rPr>
              <w:t>f. Time to enter information</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FDE3A94" w14:textId="02D5D3C5">
            <w:pPr>
              <w:jc w:val="center"/>
              <w:rPr>
                <w:color w:val="000000"/>
                <w:sz w:val="20"/>
                <w:szCs w:val="20"/>
              </w:rPr>
            </w:pP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B7A0AEB" w14:textId="6029D434">
            <w:pPr>
              <w:jc w:val="center"/>
              <w:rPr>
                <w:color w:val="000000"/>
                <w:sz w:val="20"/>
                <w:szCs w:val="20"/>
              </w:rPr>
            </w:pP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401BA55" w14:textId="3FBEAC1B">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1560400" w14:textId="10DD50CB">
            <w:pPr>
              <w:jc w:val="center"/>
              <w:rPr>
                <w:color w:val="000000"/>
                <w:sz w:val="20"/>
                <w:szCs w:val="20"/>
              </w:rPr>
            </w:pP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BE46BE4" w14:textId="15712C14">
            <w:pPr>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50BAEEB" w14:textId="31B4B4D0">
            <w:pPr>
              <w:jc w:val="center"/>
              <w:rPr>
                <w:color w:val="000000"/>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C4243D7" w14:textId="7C895637">
            <w:pPr>
              <w:jc w:val="center"/>
              <w:rPr>
                <w:color w:val="000000"/>
                <w:sz w:val="20"/>
                <w:szCs w:val="20"/>
              </w:rPr>
            </w:pP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55315A1C" w14:textId="77777777">
            <w:pPr>
              <w:jc w:val="right"/>
              <w:rPr>
                <w:color w:val="000000"/>
                <w:sz w:val="20"/>
                <w:szCs w:val="20"/>
              </w:rPr>
            </w:pPr>
            <w:r w:rsidRPr="007C6C9F">
              <w:rPr>
                <w:color w:val="000000"/>
                <w:sz w:val="20"/>
                <w:szCs w:val="20"/>
              </w:rPr>
              <w:t> </w:t>
            </w:r>
          </w:p>
        </w:tc>
      </w:tr>
      <w:tr w14:paraId="0ADEC95C"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7032B687" w14:textId="77777777">
            <w:pPr>
              <w:ind w:left="540" w:hanging="180"/>
              <w:rPr>
                <w:color w:val="000000"/>
                <w:sz w:val="20"/>
                <w:szCs w:val="20"/>
              </w:rPr>
            </w:pPr>
            <w:r w:rsidRPr="007C6C9F">
              <w:rPr>
                <w:color w:val="000000"/>
                <w:sz w:val="20"/>
                <w:szCs w:val="20"/>
              </w:rPr>
              <w:t>i. Material usage</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491502D" w14:textId="77777777">
            <w:pPr>
              <w:jc w:val="center"/>
              <w:rPr>
                <w:color w:val="000000"/>
                <w:sz w:val="20"/>
                <w:szCs w:val="20"/>
              </w:rPr>
            </w:pPr>
            <w:r w:rsidRPr="007C6C9F">
              <w:rPr>
                <w:color w:val="000000"/>
                <w:sz w:val="20"/>
                <w:szCs w:val="20"/>
              </w:rPr>
              <w:t>0.5</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5BDC75C" w14:textId="77777777">
            <w:pPr>
              <w:jc w:val="center"/>
              <w:rPr>
                <w:color w:val="000000"/>
                <w:sz w:val="20"/>
                <w:szCs w:val="20"/>
              </w:rPr>
            </w:pPr>
            <w:r w:rsidRPr="007C6C9F">
              <w:rPr>
                <w:color w:val="000000"/>
                <w:sz w:val="20"/>
                <w:szCs w:val="20"/>
              </w:rPr>
              <w:t>365</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C95D54F" w14:textId="77777777">
            <w:pPr>
              <w:jc w:val="center"/>
              <w:rPr>
                <w:color w:val="000000"/>
                <w:sz w:val="20"/>
                <w:szCs w:val="20"/>
              </w:rPr>
            </w:pPr>
            <w:r w:rsidRPr="007C6C9F">
              <w:rPr>
                <w:color w:val="000000"/>
                <w:sz w:val="20"/>
                <w:szCs w:val="20"/>
              </w:rPr>
              <w:t>182.5</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B251D14"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9D958E3" w14:textId="77777777">
            <w:pPr>
              <w:jc w:val="center"/>
              <w:rPr>
                <w:color w:val="000000"/>
                <w:sz w:val="20"/>
                <w:szCs w:val="20"/>
              </w:rPr>
            </w:pPr>
            <w:r w:rsidRPr="007C6C9F">
              <w:rPr>
                <w:color w:val="000000"/>
                <w:sz w:val="20"/>
                <w:szCs w:val="20"/>
              </w:rPr>
              <w:t>912.5</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233E764" w14:textId="77777777">
            <w:pPr>
              <w:jc w:val="center"/>
              <w:rPr>
                <w:color w:val="000000"/>
                <w:sz w:val="20"/>
                <w:szCs w:val="20"/>
              </w:rPr>
            </w:pPr>
            <w:r w:rsidRPr="007C6C9F">
              <w:rPr>
                <w:color w:val="000000"/>
                <w:sz w:val="20"/>
                <w:szCs w:val="20"/>
              </w:rPr>
              <w:t>45.625</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C40A286" w14:textId="77777777">
            <w:pPr>
              <w:jc w:val="center"/>
              <w:rPr>
                <w:color w:val="000000"/>
                <w:sz w:val="20"/>
                <w:szCs w:val="20"/>
              </w:rPr>
            </w:pPr>
            <w:r w:rsidRPr="007C6C9F">
              <w:rPr>
                <w:color w:val="000000"/>
                <w:sz w:val="20"/>
                <w:szCs w:val="20"/>
              </w:rPr>
              <w:t>91.25</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26A7B530" w14:textId="77777777">
            <w:pPr>
              <w:jc w:val="right"/>
              <w:rPr>
                <w:color w:val="000000"/>
                <w:sz w:val="20"/>
                <w:szCs w:val="20"/>
              </w:rPr>
            </w:pPr>
            <w:r w:rsidRPr="007C6C9F">
              <w:rPr>
                <w:color w:val="000000"/>
                <w:sz w:val="20"/>
                <w:szCs w:val="20"/>
              </w:rPr>
              <w:t xml:space="preserve">$143,725 </w:t>
            </w:r>
          </w:p>
        </w:tc>
      </w:tr>
      <w:tr w14:paraId="66E2C116"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850435" w14:paraId="1FDF7683" w14:textId="77777777">
            <w:pPr>
              <w:ind w:left="540" w:hanging="180"/>
              <w:rPr>
                <w:color w:val="000000"/>
                <w:sz w:val="20"/>
                <w:szCs w:val="20"/>
              </w:rPr>
            </w:pPr>
            <w:r w:rsidRPr="007C6C9F">
              <w:rPr>
                <w:color w:val="000000"/>
                <w:sz w:val="20"/>
                <w:szCs w:val="20"/>
              </w:rPr>
              <w:t>ii. Compliance calculation</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AD239E2" w14:textId="77777777">
            <w:pPr>
              <w:jc w:val="center"/>
              <w:rPr>
                <w:color w:val="000000"/>
                <w:sz w:val="20"/>
                <w:szCs w:val="20"/>
              </w:rPr>
            </w:pPr>
            <w:r w:rsidRPr="007C6C9F">
              <w:rPr>
                <w:color w:val="000000"/>
                <w:sz w:val="20"/>
                <w:szCs w:val="20"/>
              </w:rPr>
              <w:t>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E037914" w14:textId="77777777">
            <w:pPr>
              <w:jc w:val="center"/>
              <w:rPr>
                <w:color w:val="000000"/>
                <w:sz w:val="20"/>
                <w:szCs w:val="20"/>
              </w:rPr>
            </w:pPr>
            <w:r w:rsidRPr="007C6C9F">
              <w:rPr>
                <w:color w:val="000000"/>
                <w:sz w:val="20"/>
                <w:szCs w:val="20"/>
              </w:rPr>
              <w:t>12</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648D645" w14:textId="77777777">
            <w:pPr>
              <w:jc w:val="center"/>
              <w:rPr>
                <w:color w:val="000000"/>
                <w:sz w:val="20"/>
                <w:szCs w:val="20"/>
              </w:rPr>
            </w:pPr>
            <w:r w:rsidRPr="007C6C9F">
              <w:rPr>
                <w:color w:val="000000"/>
                <w:sz w:val="20"/>
                <w:szCs w:val="20"/>
              </w:rPr>
              <w:t>24</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63510562"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648653B" w14:textId="77777777">
            <w:pPr>
              <w:jc w:val="center"/>
              <w:rPr>
                <w:color w:val="000000"/>
                <w:sz w:val="20"/>
                <w:szCs w:val="20"/>
              </w:rPr>
            </w:pPr>
            <w:r w:rsidRPr="007C6C9F">
              <w:rPr>
                <w:color w:val="000000"/>
                <w:sz w:val="20"/>
                <w:szCs w:val="20"/>
              </w:rPr>
              <w:t>120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260601A" w14:textId="77777777">
            <w:pPr>
              <w:jc w:val="center"/>
              <w:rPr>
                <w:color w:val="000000"/>
                <w:sz w:val="20"/>
                <w:szCs w:val="20"/>
              </w:rPr>
            </w:pPr>
            <w:r w:rsidRPr="007C6C9F">
              <w:rPr>
                <w:color w:val="000000"/>
                <w:sz w:val="20"/>
                <w:szCs w:val="20"/>
              </w:rPr>
              <w:t>6</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6538CDB" w14:textId="77777777">
            <w:pPr>
              <w:jc w:val="center"/>
              <w:rPr>
                <w:color w:val="000000"/>
                <w:sz w:val="20"/>
                <w:szCs w:val="20"/>
              </w:rPr>
            </w:pPr>
            <w:r w:rsidRPr="007C6C9F">
              <w:rPr>
                <w:color w:val="000000"/>
                <w:sz w:val="20"/>
                <w:szCs w:val="20"/>
              </w:rPr>
              <w:t>12</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1E4F6502" w14:textId="77777777">
            <w:pPr>
              <w:jc w:val="right"/>
              <w:rPr>
                <w:color w:val="000000"/>
                <w:sz w:val="20"/>
                <w:szCs w:val="20"/>
              </w:rPr>
            </w:pPr>
            <w:r w:rsidRPr="007C6C9F">
              <w:rPr>
                <w:color w:val="000000"/>
                <w:sz w:val="20"/>
                <w:szCs w:val="20"/>
              </w:rPr>
              <w:t xml:space="preserve">$18,901 </w:t>
            </w:r>
          </w:p>
        </w:tc>
      </w:tr>
      <w:tr w14:paraId="2479B935"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7A57C3" w14:paraId="24164E26" w14:textId="77777777">
            <w:pPr>
              <w:ind w:left="360" w:hanging="180"/>
              <w:rPr>
                <w:color w:val="000000"/>
                <w:sz w:val="20"/>
                <w:szCs w:val="20"/>
              </w:rPr>
            </w:pPr>
            <w:r w:rsidRPr="007C6C9F">
              <w:rPr>
                <w:color w:val="000000"/>
                <w:sz w:val="20"/>
                <w:szCs w:val="20"/>
              </w:rPr>
              <w:t>g. Time to train personnel</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6C0C387" w14:textId="77777777">
            <w:pPr>
              <w:jc w:val="center"/>
              <w:rPr>
                <w:color w:val="000000"/>
                <w:sz w:val="20"/>
                <w:szCs w:val="20"/>
              </w:rPr>
            </w:pPr>
            <w:r w:rsidRPr="007C6C9F">
              <w:rPr>
                <w:color w:val="000000"/>
                <w:sz w:val="20"/>
                <w:szCs w:val="20"/>
              </w:rPr>
              <w:t>10</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C19BC9B" w14:textId="77777777">
            <w:pPr>
              <w:jc w:val="center"/>
              <w:rPr>
                <w:color w:val="000000"/>
                <w:sz w:val="20"/>
                <w:szCs w:val="20"/>
              </w:rPr>
            </w:pPr>
            <w:r w:rsidRPr="007C6C9F">
              <w:rPr>
                <w:color w:val="000000"/>
                <w:sz w:val="20"/>
                <w:szCs w:val="20"/>
              </w:rPr>
              <w:t>1</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2654060" w14:textId="77777777">
            <w:pPr>
              <w:jc w:val="center"/>
              <w:rPr>
                <w:color w:val="000000"/>
                <w:sz w:val="20"/>
                <w:szCs w:val="20"/>
              </w:rPr>
            </w:pPr>
            <w:r w:rsidRPr="007C6C9F">
              <w:rPr>
                <w:color w:val="000000"/>
                <w:sz w:val="20"/>
                <w:szCs w:val="20"/>
              </w:rPr>
              <w:t>10</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31639A50"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523B738" w14:textId="77777777">
            <w:pPr>
              <w:jc w:val="center"/>
              <w:rPr>
                <w:color w:val="000000"/>
                <w:sz w:val="20"/>
                <w:szCs w:val="20"/>
              </w:rPr>
            </w:pPr>
            <w:r w:rsidRPr="007C6C9F">
              <w:rPr>
                <w:color w:val="000000"/>
                <w:sz w:val="20"/>
                <w:szCs w:val="20"/>
              </w:rPr>
              <w:t>50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638B61C" w14:textId="77777777">
            <w:pPr>
              <w:jc w:val="center"/>
              <w:rPr>
                <w:color w:val="000000"/>
                <w:sz w:val="20"/>
                <w:szCs w:val="20"/>
              </w:rPr>
            </w:pPr>
            <w:r w:rsidRPr="007C6C9F">
              <w:rPr>
                <w:color w:val="000000"/>
                <w:sz w:val="20"/>
                <w:szCs w:val="20"/>
              </w:rPr>
              <w:t>2.5</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8AF370C" w14:textId="77777777">
            <w:pPr>
              <w:jc w:val="center"/>
              <w:rPr>
                <w:color w:val="000000"/>
                <w:sz w:val="20"/>
                <w:szCs w:val="20"/>
              </w:rPr>
            </w:pPr>
            <w:r w:rsidRPr="007C6C9F">
              <w:rPr>
                <w:color w:val="000000"/>
                <w:sz w:val="20"/>
                <w:szCs w:val="20"/>
              </w:rPr>
              <w:t>5</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54DFB042" w14:textId="77777777">
            <w:pPr>
              <w:jc w:val="right"/>
              <w:rPr>
                <w:color w:val="000000"/>
                <w:sz w:val="20"/>
                <w:szCs w:val="20"/>
              </w:rPr>
            </w:pPr>
            <w:r w:rsidRPr="007C6C9F">
              <w:rPr>
                <w:color w:val="000000"/>
                <w:sz w:val="20"/>
                <w:szCs w:val="20"/>
              </w:rPr>
              <w:t xml:space="preserve">$7,875 </w:t>
            </w:r>
          </w:p>
        </w:tc>
      </w:tr>
      <w:tr w14:paraId="7F2D7E6A"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7A57C3" w14:paraId="6CC2E8F0" w14:textId="77777777">
            <w:pPr>
              <w:ind w:left="360" w:hanging="180"/>
              <w:rPr>
                <w:color w:val="000000"/>
                <w:sz w:val="20"/>
                <w:szCs w:val="20"/>
              </w:rPr>
            </w:pPr>
            <w:r w:rsidRPr="007C6C9F">
              <w:rPr>
                <w:color w:val="000000"/>
                <w:sz w:val="20"/>
                <w:szCs w:val="20"/>
              </w:rPr>
              <w:t>h. Store, file, and maintain records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C6F325B" w14:textId="77777777">
            <w:pPr>
              <w:jc w:val="center"/>
              <w:rPr>
                <w:color w:val="000000"/>
                <w:sz w:val="20"/>
                <w:szCs w:val="20"/>
              </w:rPr>
            </w:pPr>
            <w:r w:rsidRPr="007C6C9F">
              <w:rPr>
                <w:color w:val="000000"/>
                <w:sz w:val="20"/>
                <w:szCs w:val="20"/>
              </w:rPr>
              <w:t>2</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0EB8794" w14:textId="77777777">
            <w:pPr>
              <w:jc w:val="center"/>
              <w:rPr>
                <w:color w:val="000000"/>
                <w:sz w:val="20"/>
                <w:szCs w:val="20"/>
              </w:rPr>
            </w:pPr>
            <w:r w:rsidRPr="007C6C9F">
              <w:rPr>
                <w:color w:val="000000"/>
                <w:sz w:val="20"/>
                <w:szCs w:val="20"/>
              </w:rPr>
              <w:t>12</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6BD0D4A" w14:textId="77777777">
            <w:pPr>
              <w:jc w:val="center"/>
              <w:rPr>
                <w:color w:val="000000"/>
                <w:sz w:val="20"/>
                <w:szCs w:val="20"/>
              </w:rPr>
            </w:pPr>
            <w:r w:rsidRPr="007C6C9F">
              <w:rPr>
                <w:color w:val="000000"/>
                <w:sz w:val="20"/>
                <w:szCs w:val="20"/>
              </w:rPr>
              <w:t>24</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DB37F2A"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A223957" w14:textId="77777777">
            <w:pPr>
              <w:jc w:val="center"/>
              <w:rPr>
                <w:color w:val="000000"/>
                <w:sz w:val="20"/>
                <w:szCs w:val="20"/>
              </w:rPr>
            </w:pPr>
            <w:r w:rsidRPr="007C6C9F">
              <w:rPr>
                <w:color w:val="000000"/>
                <w:sz w:val="20"/>
                <w:szCs w:val="20"/>
              </w:rPr>
              <w:t>120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5DFE723B" w14:textId="77777777">
            <w:pPr>
              <w:jc w:val="center"/>
              <w:rPr>
                <w:color w:val="000000"/>
                <w:sz w:val="20"/>
                <w:szCs w:val="20"/>
              </w:rPr>
            </w:pPr>
            <w:r w:rsidRPr="007C6C9F">
              <w:rPr>
                <w:color w:val="000000"/>
                <w:sz w:val="20"/>
                <w:szCs w:val="20"/>
              </w:rPr>
              <w:t>6</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571210C" w14:textId="77777777">
            <w:pPr>
              <w:jc w:val="center"/>
              <w:rPr>
                <w:color w:val="000000"/>
                <w:sz w:val="20"/>
                <w:szCs w:val="20"/>
              </w:rPr>
            </w:pPr>
            <w:r w:rsidRPr="007C6C9F">
              <w:rPr>
                <w:color w:val="000000"/>
                <w:sz w:val="20"/>
                <w:szCs w:val="20"/>
              </w:rPr>
              <w:t>12</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600D7424" w14:textId="77777777">
            <w:pPr>
              <w:jc w:val="right"/>
              <w:rPr>
                <w:color w:val="000000"/>
                <w:sz w:val="20"/>
                <w:szCs w:val="20"/>
              </w:rPr>
            </w:pPr>
            <w:r w:rsidRPr="007C6C9F">
              <w:rPr>
                <w:color w:val="000000"/>
                <w:sz w:val="20"/>
                <w:szCs w:val="20"/>
              </w:rPr>
              <w:t xml:space="preserve">$18,901 </w:t>
            </w:r>
          </w:p>
        </w:tc>
      </w:tr>
      <w:tr w14:paraId="58EAF455" w14:textId="77777777" w:rsidTr="00D841AF">
        <w:tblPrEx>
          <w:tblW w:w="0" w:type="auto"/>
          <w:jc w:val="center"/>
          <w:tblLayout w:type="fixed"/>
          <w:tblCellMar>
            <w:left w:w="0" w:type="dxa"/>
            <w:right w:w="0" w:type="dxa"/>
          </w:tblCellMar>
          <w:tblLook w:val="04A0"/>
        </w:tblPrEx>
        <w:trPr>
          <w:trHeight w:val="30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7A57C3" w14:paraId="0F579395" w14:textId="77777777">
            <w:pPr>
              <w:ind w:left="360" w:hanging="180"/>
              <w:rPr>
                <w:color w:val="000000"/>
                <w:sz w:val="20"/>
                <w:szCs w:val="20"/>
              </w:rPr>
            </w:pPr>
            <w:r w:rsidRPr="007C6C9F">
              <w:rPr>
                <w:color w:val="000000"/>
                <w:sz w:val="20"/>
                <w:szCs w:val="20"/>
              </w:rPr>
              <w:t>i. Retrieve records/reports</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DC58456" w14:textId="77777777">
            <w:pPr>
              <w:jc w:val="center"/>
              <w:rPr>
                <w:color w:val="000000"/>
                <w:sz w:val="20"/>
                <w:szCs w:val="20"/>
              </w:rPr>
            </w:pPr>
            <w:r w:rsidRPr="007C6C9F">
              <w:rPr>
                <w:color w:val="000000"/>
                <w:sz w:val="20"/>
                <w:szCs w:val="20"/>
              </w:rPr>
              <w:t>1</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D729C7B" w14:textId="77777777">
            <w:pPr>
              <w:jc w:val="center"/>
              <w:rPr>
                <w:color w:val="000000"/>
                <w:sz w:val="20"/>
                <w:szCs w:val="20"/>
              </w:rPr>
            </w:pPr>
            <w:r w:rsidRPr="007C6C9F">
              <w:rPr>
                <w:color w:val="000000"/>
                <w:sz w:val="20"/>
                <w:szCs w:val="20"/>
              </w:rPr>
              <w:t>12</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00E9C7DF" w14:textId="77777777">
            <w:pPr>
              <w:jc w:val="center"/>
              <w:rPr>
                <w:color w:val="000000"/>
                <w:sz w:val="20"/>
                <w:szCs w:val="20"/>
              </w:rPr>
            </w:pPr>
            <w:r w:rsidRPr="007C6C9F">
              <w:rPr>
                <w:color w:val="000000"/>
                <w:sz w:val="20"/>
                <w:szCs w:val="20"/>
              </w:rPr>
              <w:t>12</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23A5576F" w14:textId="77777777">
            <w:pPr>
              <w:jc w:val="center"/>
              <w:rPr>
                <w:color w:val="000000"/>
                <w:sz w:val="20"/>
                <w:szCs w:val="20"/>
              </w:rPr>
            </w:pPr>
            <w:r w:rsidRPr="007C6C9F">
              <w:rPr>
                <w:color w:val="000000"/>
                <w:sz w:val="20"/>
                <w:szCs w:val="20"/>
              </w:rPr>
              <w:t>5</w:t>
            </w:r>
          </w:p>
        </w:tc>
        <w:tc>
          <w:tcPr>
            <w:tcW w:w="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1917F141" w14:textId="77777777">
            <w:pPr>
              <w:jc w:val="center"/>
              <w:rPr>
                <w:color w:val="000000"/>
                <w:sz w:val="20"/>
                <w:szCs w:val="20"/>
              </w:rPr>
            </w:pPr>
            <w:r w:rsidRPr="007C6C9F">
              <w:rPr>
                <w:color w:val="000000"/>
                <w:sz w:val="20"/>
                <w:szCs w:val="20"/>
              </w:rPr>
              <w:t>60</w:t>
            </w:r>
          </w:p>
        </w:tc>
        <w:tc>
          <w:tcPr>
            <w:tcW w:w="13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468F04DF" w14:textId="77777777">
            <w:pPr>
              <w:jc w:val="center"/>
              <w:rPr>
                <w:color w:val="000000"/>
                <w:sz w:val="20"/>
                <w:szCs w:val="20"/>
              </w:rPr>
            </w:pPr>
            <w:r w:rsidRPr="007C6C9F">
              <w:rPr>
                <w:color w:val="000000"/>
                <w:sz w:val="20"/>
                <w:szCs w:val="20"/>
              </w:rPr>
              <w:t>3</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4E572A" w14:paraId="77BAAE52" w14:textId="77777777">
            <w:pPr>
              <w:jc w:val="center"/>
              <w:rPr>
                <w:color w:val="000000"/>
                <w:sz w:val="20"/>
                <w:szCs w:val="20"/>
              </w:rPr>
            </w:pPr>
            <w:r w:rsidRPr="007C6C9F">
              <w:rPr>
                <w:color w:val="000000"/>
                <w:sz w:val="20"/>
                <w:szCs w:val="20"/>
              </w:rPr>
              <w:t>6</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C6C9F" w:rsidRPr="007C6C9F" w:rsidP="00FC76D1" w14:paraId="4FBE7713" w14:textId="77777777">
            <w:pPr>
              <w:jc w:val="right"/>
              <w:rPr>
                <w:color w:val="000000"/>
                <w:sz w:val="20"/>
                <w:szCs w:val="20"/>
              </w:rPr>
            </w:pPr>
            <w:r w:rsidRPr="007C6C9F">
              <w:rPr>
                <w:color w:val="000000"/>
                <w:sz w:val="20"/>
                <w:szCs w:val="20"/>
              </w:rPr>
              <w:t xml:space="preserve">$9,450 </w:t>
            </w:r>
          </w:p>
        </w:tc>
      </w:tr>
      <w:tr w14:paraId="2695AB98" w14:textId="77777777" w:rsidTr="00D841AF">
        <w:tblPrEx>
          <w:tblW w:w="0" w:type="auto"/>
          <w:jc w:val="center"/>
          <w:tblLayout w:type="fixed"/>
          <w:tblCellMar>
            <w:left w:w="0" w:type="dxa"/>
            <w:right w:w="0" w:type="dxa"/>
          </w:tblCellMar>
          <w:tblLook w:val="04A0"/>
        </w:tblPrEx>
        <w:trPr>
          <w:trHeight w:val="54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4A522C73" w14:textId="77777777">
            <w:pPr>
              <w:rPr>
                <w:b/>
                <w:bCs/>
                <w:i/>
                <w:iCs/>
                <w:color w:val="000000"/>
                <w:sz w:val="20"/>
                <w:szCs w:val="20"/>
              </w:rPr>
            </w:pPr>
            <w:r>
              <w:rPr>
                <w:b/>
                <w:bCs/>
                <w:i/>
                <w:iCs/>
                <w:color w:val="000000"/>
                <w:sz w:val="20"/>
                <w:szCs w:val="20"/>
              </w:rPr>
              <w:t xml:space="preserve">Subtotal for Recordkeeping Requirements </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4D801224" w14:textId="77777777">
            <w:pPr>
              <w:jc w:val="center"/>
              <w:rPr>
                <w:b/>
                <w:bCs/>
                <w:color w:val="000000"/>
                <w:sz w:val="20"/>
                <w:szCs w:val="20"/>
              </w:rPr>
            </w:pPr>
            <w:r>
              <w:rPr>
                <w:b/>
                <w:bCs/>
                <w:color w:val="000000"/>
                <w:sz w:val="20"/>
                <w:szCs w:val="20"/>
              </w:rPr>
              <w:t> </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4544CB2A" w14:textId="77777777">
            <w:pPr>
              <w:jc w:val="center"/>
              <w:rPr>
                <w:b/>
                <w:bCs/>
                <w:color w:val="000000"/>
                <w:sz w:val="20"/>
                <w:szCs w:val="20"/>
              </w:rPr>
            </w:pPr>
            <w:r>
              <w:rPr>
                <w:b/>
                <w:bCs/>
                <w:color w:val="000000"/>
                <w:sz w:val="20"/>
                <w:szCs w:val="20"/>
              </w:rPr>
              <w:t> </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7B32ED29" w14:textId="77777777">
            <w:pPr>
              <w:jc w:val="center"/>
              <w:rPr>
                <w:b/>
                <w:bCs/>
                <w:color w:val="000000"/>
                <w:sz w:val="20"/>
                <w:szCs w:val="20"/>
              </w:rPr>
            </w:pPr>
            <w:r>
              <w:rPr>
                <w:b/>
                <w:bCs/>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6BC1351A" w14:textId="77777777">
            <w:pPr>
              <w:jc w:val="center"/>
              <w:rPr>
                <w:b/>
                <w:bCs/>
                <w:color w:val="000000"/>
                <w:sz w:val="20"/>
                <w:szCs w:val="20"/>
              </w:rPr>
            </w:pPr>
            <w:r>
              <w:rPr>
                <w:b/>
                <w:bCs/>
                <w:color w:val="000000"/>
                <w:sz w:val="20"/>
                <w:szCs w:val="20"/>
              </w:rPr>
              <w:t> </w:t>
            </w:r>
          </w:p>
        </w:tc>
        <w:tc>
          <w:tcPr>
            <w:tcW w:w="3060"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1B7BCF" w:rsidP="00B2231D" w14:paraId="6E1F2658" w14:textId="77777777">
            <w:pPr>
              <w:jc w:val="center"/>
              <w:rPr>
                <w:b/>
                <w:bCs/>
                <w:color w:val="000000"/>
                <w:sz w:val="20"/>
                <w:szCs w:val="20"/>
              </w:rPr>
            </w:pPr>
            <w:r>
              <w:rPr>
                <w:b/>
                <w:bCs/>
                <w:color w:val="000000"/>
                <w:sz w:val="20"/>
                <w:szCs w:val="20"/>
              </w:rPr>
              <w:t>1,728</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3C0F0092" w14:textId="039DB6D6">
            <w:pPr>
              <w:jc w:val="right"/>
              <w:rPr>
                <w:b/>
                <w:bCs/>
                <w:color w:val="000000"/>
                <w:sz w:val="20"/>
                <w:szCs w:val="20"/>
              </w:rPr>
            </w:pPr>
            <w:r>
              <w:rPr>
                <w:b/>
                <w:bCs/>
                <w:color w:val="000000"/>
                <w:sz w:val="20"/>
                <w:szCs w:val="20"/>
              </w:rPr>
              <w:t>$236,654</w:t>
            </w:r>
          </w:p>
        </w:tc>
      </w:tr>
      <w:tr w14:paraId="31A4B8D3" w14:textId="77777777" w:rsidTr="00D841AF">
        <w:tblPrEx>
          <w:tblW w:w="0" w:type="auto"/>
          <w:jc w:val="center"/>
          <w:tblLayout w:type="fixed"/>
          <w:tblCellMar>
            <w:left w:w="0" w:type="dxa"/>
            <w:right w:w="0" w:type="dxa"/>
          </w:tblCellMar>
          <w:tblLook w:val="04A0"/>
        </w:tblPrEx>
        <w:trPr>
          <w:trHeight w:val="570"/>
          <w:jc w:val="center"/>
        </w:trPr>
        <w:tc>
          <w:tcPr>
            <w:tcW w:w="22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56E4B5CB" w14:textId="77777777">
            <w:pPr>
              <w:rPr>
                <w:b/>
                <w:bCs/>
                <w:color w:val="000000"/>
                <w:sz w:val="20"/>
                <w:szCs w:val="20"/>
              </w:rPr>
            </w:pPr>
            <w:r>
              <w:rPr>
                <w:b/>
                <w:bCs/>
                <w:color w:val="000000"/>
                <w:sz w:val="20"/>
                <w:szCs w:val="20"/>
              </w:rPr>
              <w:t xml:space="preserve">TOTAL ANNUAL BURDEN AND COST (ROUNDED) </w:t>
            </w:r>
            <w:r>
              <w:rPr>
                <w:b/>
                <w:bCs/>
                <w:color w:val="000000"/>
                <w:sz w:val="20"/>
                <w:szCs w:val="20"/>
                <w:vertAlign w:val="superscript"/>
              </w:rPr>
              <w:t>e</w:t>
            </w:r>
          </w:p>
        </w:tc>
        <w:tc>
          <w:tcPr>
            <w:tcW w:w="8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1F1F02D7" w14:textId="77777777">
            <w:pPr>
              <w:rPr>
                <w:b/>
                <w:bCs/>
                <w:color w:val="000000"/>
                <w:sz w:val="20"/>
                <w:szCs w:val="20"/>
              </w:rPr>
            </w:pPr>
            <w:r>
              <w:rPr>
                <w:b/>
                <w:bCs/>
                <w:color w:val="000000"/>
                <w:sz w:val="20"/>
                <w:szCs w:val="20"/>
              </w:rPr>
              <w:t> </w:t>
            </w:r>
          </w:p>
        </w:tc>
        <w:tc>
          <w:tcPr>
            <w:tcW w:w="11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03BCC0A2" w14:textId="77777777">
            <w:pPr>
              <w:rPr>
                <w:b/>
                <w:bCs/>
                <w:color w:val="000000"/>
                <w:sz w:val="20"/>
                <w:szCs w:val="20"/>
              </w:rPr>
            </w:pPr>
            <w:r>
              <w:rPr>
                <w:b/>
                <w:bCs/>
                <w:color w:val="000000"/>
                <w:sz w:val="20"/>
                <w:szCs w:val="20"/>
              </w:rPr>
              <w:t> </w:t>
            </w:r>
          </w:p>
        </w:tc>
        <w:tc>
          <w:tcPr>
            <w:tcW w:w="9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7B36C81C" w14:textId="77777777">
            <w:pPr>
              <w:rPr>
                <w:b/>
                <w:bCs/>
                <w:color w:val="000000"/>
                <w:sz w:val="20"/>
                <w:szCs w:val="20"/>
              </w:rPr>
            </w:pPr>
            <w:r>
              <w:rPr>
                <w:b/>
                <w:bCs/>
                <w:color w:val="000000"/>
                <w:sz w:val="20"/>
                <w:szCs w:val="20"/>
              </w:rPr>
              <w:t>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7FA7E263" w14:textId="77777777">
            <w:pPr>
              <w:rPr>
                <w:b/>
                <w:bCs/>
                <w:color w:val="000000"/>
                <w:sz w:val="20"/>
                <w:szCs w:val="20"/>
              </w:rPr>
            </w:pPr>
            <w:r>
              <w:rPr>
                <w:b/>
                <w:bCs/>
                <w:color w:val="000000"/>
                <w:sz w:val="20"/>
                <w:szCs w:val="20"/>
              </w:rPr>
              <w:t> </w:t>
            </w:r>
          </w:p>
        </w:tc>
        <w:tc>
          <w:tcPr>
            <w:tcW w:w="3060"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1B7BCF" w:rsidP="00B2231D" w14:paraId="66A4F8DB" w14:textId="77777777">
            <w:pPr>
              <w:jc w:val="center"/>
              <w:rPr>
                <w:b/>
                <w:bCs/>
                <w:color w:val="000000"/>
                <w:sz w:val="20"/>
                <w:szCs w:val="20"/>
              </w:rPr>
            </w:pPr>
            <w:r>
              <w:rPr>
                <w:b/>
                <w:bCs/>
                <w:color w:val="000000"/>
                <w:sz w:val="20"/>
                <w:szCs w:val="20"/>
              </w:rPr>
              <w:t>1,940</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B7BCF" w:rsidP="00B2231D" w14:paraId="61EBE45D" w14:textId="44F82423">
            <w:pPr>
              <w:jc w:val="right"/>
              <w:rPr>
                <w:b/>
                <w:bCs/>
                <w:color w:val="000000"/>
                <w:sz w:val="20"/>
                <w:szCs w:val="20"/>
              </w:rPr>
            </w:pPr>
            <w:r>
              <w:rPr>
                <w:b/>
                <w:bCs/>
                <w:color w:val="000000"/>
                <w:sz w:val="20"/>
                <w:szCs w:val="20"/>
              </w:rPr>
              <w:t>$2</w:t>
            </w:r>
            <w:r w:rsidR="00FC76D1">
              <w:rPr>
                <w:b/>
                <w:bCs/>
                <w:color w:val="000000"/>
                <w:sz w:val="20"/>
                <w:szCs w:val="20"/>
              </w:rPr>
              <w:t>66</w:t>
            </w:r>
            <w:r>
              <w:rPr>
                <w:b/>
                <w:bCs/>
                <w:color w:val="000000"/>
                <w:sz w:val="20"/>
                <w:szCs w:val="20"/>
              </w:rPr>
              <w:t>,000</w:t>
            </w:r>
          </w:p>
        </w:tc>
      </w:tr>
      <w:tr w14:paraId="78CB7E4C" w14:textId="77777777" w:rsidTr="00D841AF">
        <w:tblPrEx>
          <w:tblW w:w="0" w:type="auto"/>
          <w:jc w:val="center"/>
          <w:tblLayout w:type="fixed"/>
          <w:tblCellMar>
            <w:left w:w="0" w:type="dxa"/>
            <w:right w:w="0" w:type="dxa"/>
          </w:tblCellMar>
          <w:tblLook w:val="04A0"/>
        </w:tblPrEx>
        <w:trPr>
          <w:trHeight w:val="1349"/>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C76D1" w:rsidP="00B2231D" w14:paraId="175345DB" w14:textId="77777777">
            <w:pPr>
              <w:rPr>
                <w:b/>
                <w:bCs/>
                <w:sz w:val="20"/>
                <w:szCs w:val="20"/>
              </w:rPr>
            </w:pPr>
            <w:r>
              <w:rPr>
                <w:b/>
                <w:bCs/>
                <w:sz w:val="20"/>
                <w:szCs w:val="20"/>
              </w:rPr>
              <w:t xml:space="preserve">Capital and O&amp;M Cost (see Section 6(b)(iii)): </w:t>
            </w:r>
            <w:r>
              <w:rPr>
                <w:b/>
                <w:bCs/>
                <w:sz w:val="20"/>
                <w:szCs w:val="20"/>
                <w:vertAlign w:val="superscript"/>
              </w:rPr>
              <w:t>e</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70AB95CF" w14:textId="77777777">
            <w:pPr>
              <w:rPr>
                <w:rFonts w:ascii="Calibri" w:hAnsi="Calibri"/>
                <w:color w:val="000000"/>
              </w:rPr>
            </w:pPr>
            <w:r>
              <w:rPr>
                <w:rFonts w:ascii="Calibri" w:hAnsi="Calibri"/>
                <w:color w:val="000000"/>
              </w:rPr>
              <w:t> </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019F0955" w14:textId="77777777">
            <w:pPr>
              <w:rPr>
                <w:rFonts w:ascii="Calibri" w:hAnsi="Calibri"/>
                <w:color w:val="000000"/>
              </w:rPr>
            </w:pPr>
            <w:r>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4D35C158" w14:textId="77777777">
            <w:pPr>
              <w:rPr>
                <w:rFonts w:ascii="Calibri" w:hAnsi="Calibri"/>
                <w:color w:val="000000"/>
              </w:rPr>
            </w:pPr>
            <w:r>
              <w:rPr>
                <w:rFonts w:ascii="Calibri" w:hAnsi="Calibri"/>
                <w:color w:val="00000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2247210B" w14:textId="77777777">
            <w:pPr>
              <w:rPr>
                <w:rFonts w:ascii="Calibri" w:hAnsi="Calibri"/>
                <w:color w:val="000000"/>
              </w:rPr>
            </w:pPr>
            <w:r>
              <w:rPr>
                <w:rFonts w:ascii="Calibri" w:hAnsi="Calibri"/>
                <w:color w:val="000000"/>
              </w:rPr>
              <w:t> </w:t>
            </w:r>
          </w:p>
        </w:tc>
        <w:tc>
          <w:tcPr>
            <w:tcW w:w="306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7112C324" w14:textId="77777777">
            <w:pPr>
              <w:rPr>
                <w:rFonts w:ascii="Calibri" w:hAnsi="Calibri"/>
                <w:color w:val="000000"/>
              </w:rPr>
            </w:pPr>
            <w:r>
              <w:rPr>
                <w:rFonts w:ascii="Calibri" w:hAnsi="Calibri"/>
                <w:color w:val="000000"/>
              </w:rPr>
              <w:t> </w:t>
            </w:r>
          </w:p>
          <w:p w:rsidR="00FC76D1" w:rsidP="00B2231D" w14:paraId="777ADA73" w14:textId="1E63ADE4">
            <w:pPr>
              <w:rPr>
                <w:rFonts w:ascii="Calibri" w:hAnsi="Calibri"/>
                <w:color w:val="000000"/>
              </w:rPr>
            </w:pPr>
            <w:r>
              <w:rPr>
                <w:rFonts w:ascii="Calibri" w:hAnsi="Calibri"/>
                <w:color w:val="000000"/>
              </w:rPr>
              <w:t> </w:t>
            </w:r>
          </w:p>
          <w:p w:rsidR="00FC76D1" w:rsidP="00B2231D" w14:paraId="32A0DF4D" w14:textId="2BCD2115">
            <w:pPr>
              <w:rPr>
                <w:rFonts w:ascii="Calibri" w:hAnsi="Calibri"/>
                <w:color w:val="000000"/>
              </w:rPr>
            </w:pPr>
            <w:r>
              <w:rPr>
                <w:rFonts w:ascii="Calibri" w:hAnsi="Calibri"/>
                <w:color w:val="000000"/>
              </w:rPr>
              <w:t> </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C76D1" w:rsidP="00B2231D" w14:paraId="60A36E4E" w14:textId="7C842B33">
            <w:pPr>
              <w:jc w:val="right"/>
              <w:rPr>
                <w:b/>
                <w:bCs/>
                <w:color w:val="000000"/>
                <w:sz w:val="20"/>
                <w:szCs w:val="20"/>
              </w:rPr>
            </w:pPr>
            <w:r>
              <w:rPr>
                <w:b/>
                <w:bCs/>
                <w:color w:val="000000"/>
                <w:sz w:val="20"/>
                <w:szCs w:val="20"/>
              </w:rPr>
              <w:t>$15,400</w:t>
            </w:r>
          </w:p>
        </w:tc>
      </w:tr>
      <w:tr w14:paraId="1CD6C8F1" w14:textId="77777777" w:rsidTr="00D841AF">
        <w:tblPrEx>
          <w:tblW w:w="0" w:type="auto"/>
          <w:jc w:val="center"/>
          <w:tblLayout w:type="fixed"/>
          <w:tblCellMar>
            <w:left w:w="0" w:type="dxa"/>
            <w:right w:w="0" w:type="dxa"/>
          </w:tblCellMar>
          <w:tblLook w:val="04A0"/>
        </w:tblPrEx>
        <w:trPr>
          <w:trHeight w:val="1349"/>
          <w:jc w:val="center"/>
        </w:trPr>
        <w:tc>
          <w:tcPr>
            <w:tcW w:w="227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C76D1" w:rsidP="00B2231D" w14:paraId="31B93341" w14:textId="77777777">
            <w:pPr>
              <w:rPr>
                <w:b/>
                <w:bCs/>
                <w:sz w:val="20"/>
                <w:szCs w:val="20"/>
              </w:rPr>
            </w:pPr>
            <w:r>
              <w:rPr>
                <w:b/>
                <w:bCs/>
                <w:sz w:val="20"/>
                <w:szCs w:val="20"/>
              </w:rPr>
              <w:t xml:space="preserve">TOTAL COST: </w:t>
            </w:r>
            <w:r>
              <w:rPr>
                <w:b/>
                <w:bCs/>
                <w:sz w:val="20"/>
                <w:szCs w:val="20"/>
                <w:vertAlign w:val="superscript"/>
              </w:rPr>
              <w:t>e</w:t>
            </w:r>
          </w:p>
        </w:tc>
        <w:tc>
          <w:tcPr>
            <w:tcW w:w="8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28F01204" w14:textId="77777777">
            <w:pPr>
              <w:rPr>
                <w:rFonts w:ascii="Calibri" w:hAnsi="Calibri"/>
                <w:color w:val="000000"/>
              </w:rPr>
            </w:pPr>
            <w:r>
              <w:rPr>
                <w:rFonts w:ascii="Calibri" w:hAnsi="Calibri"/>
                <w:color w:val="000000"/>
              </w:rPr>
              <w:t> </w:t>
            </w:r>
          </w:p>
        </w:tc>
        <w:tc>
          <w:tcPr>
            <w:tcW w:w="11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1CEFEF48" w14:textId="77777777">
            <w:pPr>
              <w:rPr>
                <w:rFonts w:ascii="Calibri" w:hAnsi="Calibri"/>
                <w:color w:val="000000"/>
              </w:rPr>
            </w:pPr>
            <w:r>
              <w:rPr>
                <w:rFonts w:ascii="Calibri" w:hAnsi="Calibri"/>
                <w:color w:val="000000"/>
              </w:rPr>
              <w:t> </w:t>
            </w:r>
          </w:p>
        </w:tc>
        <w:tc>
          <w:tcPr>
            <w:tcW w:w="99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3BBB701A" w14:textId="77777777">
            <w:pPr>
              <w:rPr>
                <w:rFonts w:ascii="Calibri" w:hAnsi="Calibri"/>
                <w:color w:val="000000"/>
              </w:rPr>
            </w:pPr>
            <w:r>
              <w:rPr>
                <w:rFonts w:ascii="Calibri" w:hAnsi="Calibri"/>
                <w:color w:val="000000"/>
              </w:rPr>
              <w:t> </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20C87235" w14:textId="77777777">
            <w:pPr>
              <w:rPr>
                <w:rFonts w:ascii="Calibri" w:hAnsi="Calibri"/>
                <w:color w:val="000000"/>
              </w:rPr>
            </w:pPr>
            <w:r>
              <w:rPr>
                <w:rFonts w:ascii="Calibri" w:hAnsi="Calibri"/>
                <w:color w:val="000000"/>
              </w:rPr>
              <w:t> </w:t>
            </w:r>
          </w:p>
        </w:tc>
        <w:tc>
          <w:tcPr>
            <w:tcW w:w="306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76D1" w:rsidP="00B2231D" w14:paraId="3CF02126" w14:textId="77777777">
            <w:pPr>
              <w:rPr>
                <w:rFonts w:ascii="Calibri" w:hAnsi="Calibri"/>
                <w:color w:val="000000"/>
              </w:rPr>
            </w:pPr>
            <w:r>
              <w:rPr>
                <w:rFonts w:ascii="Calibri" w:hAnsi="Calibri"/>
                <w:color w:val="000000"/>
              </w:rPr>
              <w:t> </w:t>
            </w:r>
          </w:p>
          <w:p w:rsidR="00FC76D1" w:rsidP="00FC76D1" w14:paraId="2C0051BD" w14:textId="390EC3A6">
            <w:pPr>
              <w:jc w:val="center"/>
              <w:rPr>
                <w:rFonts w:ascii="Calibri" w:hAnsi="Calibri"/>
                <w:color w:val="000000"/>
              </w:rPr>
            </w:pPr>
            <w:r>
              <w:rPr>
                <w:b/>
                <w:bCs/>
                <w:color w:val="000000"/>
                <w:sz w:val="20"/>
                <w:szCs w:val="20"/>
              </w:rPr>
              <w:t>1,940</w:t>
            </w:r>
          </w:p>
          <w:p w:rsidR="00FC76D1" w:rsidP="00B2231D" w14:paraId="36D3A7EF" w14:textId="78388983">
            <w:pPr>
              <w:rPr>
                <w:rFonts w:ascii="Calibri" w:hAnsi="Calibri"/>
                <w:color w:val="000000"/>
              </w:rPr>
            </w:pPr>
            <w:r>
              <w:rPr>
                <w:rFonts w:ascii="Calibri" w:hAnsi="Calibri"/>
                <w:color w:val="000000"/>
              </w:rPr>
              <w:t> </w:t>
            </w:r>
          </w:p>
        </w:tc>
        <w:tc>
          <w:tcPr>
            <w:tcW w:w="34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C76D1" w:rsidP="00B2231D" w14:paraId="70DE57AF" w14:textId="349A9912">
            <w:pPr>
              <w:jc w:val="right"/>
              <w:rPr>
                <w:b/>
                <w:bCs/>
                <w:color w:val="000000"/>
                <w:sz w:val="20"/>
                <w:szCs w:val="20"/>
              </w:rPr>
            </w:pPr>
            <w:r>
              <w:rPr>
                <w:b/>
                <w:bCs/>
                <w:color w:val="000000"/>
                <w:sz w:val="20"/>
                <w:szCs w:val="20"/>
              </w:rPr>
              <w:t>$282,000</w:t>
            </w:r>
          </w:p>
        </w:tc>
      </w:tr>
      <w:tr w14:paraId="2D27C523" w14:textId="77777777" w:rsidTr="00D841AF">
        <w:tblPrEx>
          <w:tblW w:w="0" w:type="auto"/>
          <w:jc w:val="left"/>
          <w:tblLayout w:type="fixed"/>
          <w:tblCellMar>
            <w:left w:w="0" w:type="dxa"/>
            <w:right w:w="0" w:type="dxa"/>
          </w:tblCellMar>
          <w:tblLook w:val="04A0"/>
        </w:tblPrEx>
        <w:trPr>
          <w:trHeight w:val="300"/>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28BE71FD" w14:textId="77777777">
            <w:pPr>
              <w:rPr>
                <w:b/>
                <w:bCs/>
                <w:color w:val="000000"/>
                <w:sz w:val="20"/>
                <w:szCs w:val="20"/>
              </w:rPr>
            </w:pPr>
            <w:r>
              <w:rPr>
                <w:b/>
                <w:bCs/>
                <w:color w:val="000000"/>
                <w:sz w:val="20"/>
                <w:szCs w:val="20"/>
              </w:rPr>
              <w:t>Assumptions:</w:t>
            </w:r>
          </w:p>
        </w:tc>
      </w:tr>
      <w:tr w14:paraId="69D31692" w14:textId="77777777" w:rsidTr="00D841AF">
        <w:tblPrEx>
          <w:tblW w:w="0" w:type="auto"/>
          <w:jc w:val="left"/>
          <w:tblLayout w:type="fixed"/>
          <w:tblCellMar>
            <w:left w:w="0" w:type="dxa"/>
            <w:right w:w="0" w:type="dxa"/>
          </w:tblCellMar>
          <w:tblLook w:val="04A0"/>
        </w:tblPrEx>
        <w:trPr>
          <w:trHeight w:val="552"/>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69C29B77" w14:textId="5BF6513B">
            <w:pPr>
              <w:rPr>
                <w:color w:val="000000"/>
                <w:sz w:val="20"/>
                <w:szCs w:val="20"/>
              </w:rPr>
            </w:pPr>
            <w:r>
              <w:rPr>
                <w:color w:val="000000"/>
                <w:sz w:val="20"/>
                <w:szCs w:val="20"/>
                <w:vertAlign w:val="superscript"/>
              </w:rPr>
              <w:t>a.</w:t>
            </w:r>
            <w:r w:rsidR="00F96E01">
              <w:rPr>
                <w:color w:val="000000"/>
                <w:sz w:val="14"/>
                <w:szCs w:val="14"/>
                <w:vertAlign w:val="superscript"/>
              </w:rPr>
              <w:t xml:space="preserve"> </w:t>
            </w:r>
            <w:r w:rsidRPr="00185A56" w:rsidR="00185A56">
              <w:rPr>
                <w:color w:val="000000"/>
                <w:sz w:val="20"/>
                <w:szCs w:val="20"/>
              </w:rPr>
              <w:t>We have assumed that the average number of respondents that will be subject to the rule will be 5 existing sources.</w:t>
            </w:r>
            <w:r w:rsidR="00F96E01">
              <w:rPr>
                <w:color w:val="000000"/>
                <w:sz w:val="20"/>
                <w:szCs w:val="20"/>
              </w:rPr>
              <w:t xml:space="preserve"> </w:t>
            </w:r>
            <w:r w:rsidRPr="00185A56" w:rsidR="00185A56">
              <w:rPr>
                <w:color w:val="000000"/>
                <w:sz w:val="20"/>
                <w:szCs w:val="20"/>
              </w:rPr>
              <w:t>There will be no additional sources over the three-year period of this ICR.</w:t>
            </w:r>
          </w:p>
        </w:tc>
      </w:tr>
      <w:tr w14:paraId="77709540" w14:textId="77777777" w:rsidTr="00D841AF">
        <w:tblPrEx>
          <w:tblW w:w="0" w:type="auto"/>
          <w:jc w:val="left"/>
          <w:tblLayout w:type="fixed"/>
          <w:tblCellMar>
            <w:left w:w="0" w:type="dxa"/>
            <w:right w:w="0" w:type="dxa"/>
          </w:tblCellMar>
          <w:tblLook w:val="04A0"/>
        </w:tblPrEx>
        <w:trPr>
          <w:trHeight w:val="957"/>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6215BFEB" w14:textId="2B39E985">
            <w:pPr>
              <w:rPr>
                <w:color w:val="000000"/>
                <w:sz w:val="20"/>
                <w:szCs w:val="20"/>
              </w:rPr>
            </w:pPr>
            <w:r>
              <w:rPr>
                <w:color w:val="000000"/>
                <w:sz w:val="20"/>
                <w:szCs w:val="20"/>
                <w:vertAlign w:val="superscript"/>
              </w:rPr>
              <w:t>b.</w:t>
            </w:r>
            <w:r w:rsidR="00F96E01">
              <w:rPr>
                <w:color w:val="000000"/>
                <w:sz w:val="14"/>
                <w:szCs w:val="14"/>
                <w:vertAlign w:val="superscript"/>
              </w:rPr>
              <w:t xml:space="preserve"> </w:t>
            </w:r>
            <w:r w:rsidRPr="00185A56" w:rsidR="00185A56">
              <w:rPr>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w:t>
            </w:r>
            <w:r w:rsidRPr="00185A56" w:rsidR="00185A56">
              <w:rPr>
                <w:color w:val="000000"/>
                <w:sz w:val="20"/>
                <w:szCs w:val="20"/>
              </w:rPr>
              <w:t>rates have been increased by 60 percent to account for the benefit packages available to government employees.</w:t>
            </w:r>
          </w:p>
        </w:tc>
      </w:tr>
      <w:tr w14:paraId="5C821321" w14:textId="77777777" w:rsidTr="00D841AF">
        <w:tblPrEx>
          <w:tblW w:w="0" w:type="auto"/>
          <w:jc w:val="left"/>
          <w:tblLayout w:type="fixed"/>
          <w:tblCellMar>
            <w:left w:w="0" w:type="dxa"/>
            <w:right w:w="0" w:type="dxa"/>
          </w:tblCellMar>
          <w:tblLook w:val="04A0"/>
        </w:tblPrEx>
        <w:trPr>
          <w:trHeight w:val="363"/>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351AB442" w14:textId="0F28D35D">
            <w:pPr>
              <w:rPr>
                <w:color w:val="000000"/>
                <w:sz w:val="20"/>
                <w:szCs w:val="20"/>
              </w:rPr>
            </w:pPr>
            <w:r>
              <w:rPr>
                <w:color w:val="000000"/>
                <w:sz w:val="20"/>
                <w:szCs w:val="20"/>
                <w:vertAlign w:val="superscript"/>
              </w:rPr>
              <w:t>c.</w:t>
            </w:r>
            <w:r w:rsidR="00F96E01">
              <w:rPr>
                <w:color w:val="000000"/>
                <w:sz w:val="20"/>
                <w:szCs w:val="20"/>
              </w:rPr>
              <w:t xml:space="preserve"> </w:t>
            </w:r>
            <w:r w:rsidRPr="00185A56" w:rsidR="00185A56">
              <w:rPr>
                <w:color w:val="000000"/>
                <w:sz w:val="20"/>
                <w:szCs w:val="20"/>
              </w:rPr>
              <w:t>We have assumed that it will take four hours to review the notification of the test and the test plan for each respondent. We have further assumed that one facility will be required to conduct testing not already required by their Part 70 permit once every 5 years (1 facility / 5 years = 0.2 facility per year).</w:t>
            </w:r>
          </w:p>
        </w:tc>
      </w:tr>
      <w:tr w14:paraId="6CFE5466" w14:textId="77777777" w:rsidTr="00D841AF">
        <w:tblPrEx>
          <w:tblW w:w="0" w:type="auto"/>
          <w:jc w:val="left"/>
          <w:tblLayout w:type="fixed"/>
          <w:tblCellMar>
            <w:left w:w="0" w:type="dxa"/>
            <w:right w:w="0" w:type="dxa"/>
          </w:tblCellMar>
          <w:tblLook w:val="04A0"/>
        </w:tblPrEx>
        <w:trPr>
          <w:trHeight w:val="315"/>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0524B9F3" w14:textId="5F54E350">
            <w:pPr>
              <w:rPr>
                <w:color w:val="000000"/>
                <w:sz w:val="20"/>
                <w:szCs w:val="20"/>
              </w:rPr>
            </w:pPr>
            <w:r>
              <w:rPr>
                <w:color w:val="000000"/>
                <w:sz w:val="20"/>
                <w:szCs w:val="20"/>
                <w:vertAlign w:val="superscript"/>
              </w:rPr>
              <w:t>d.</w:t>
            </w:r>
            <w:r w:rsidR="00F96E01">
              <w:rPr>
                <w:color w:val="000000"/>
                <w:sz w:val="20"/>
                <w:szCs w:val="20"/>
              </w:rPr>
              <w:t xml:space="preserve"> </w:t>
            </w:r>
            <w:r w:rsidRPr="000F157C" w:rsidR="000F157C">
              <w:rPr>
                <w:color w:val="000000"/>
                <w:sz w:val="20"/>
                <w:szCs w:val="20"/>
              </w:rPr>
              <w:t>We have assumed that it will take eight hours to review the test report for each respondent.</w:t>
            </w:r>
          </w:p>
        </w:tc>
      </w:tr>
      <w:tr w14:paraId="29A81D01" w14:textId="77777777" w:rsidTr="00D841AF">
        <w:tblPrEx>
          <w:tblW w:w="0" w:type="auto"/>
          <w:jc w:val="left"/>
          <w:tblLayout w:type="fixed"/>
          <w:tblCellMar>
            <w:left w:w="0" w:type="dxa"/>
            <w:right w:w="0" w:type="dxa"/>
          </w:tblCellMar>
          <w:tblLook w:val="04A0"/>
        </w:tblPrEx>
        <w:trPr>
          <w:trHeight w:val="315"/>
          <w:jc w:val="left"/>
        </w:trPr>
        <w:tc>
          <w:tcPr>
            <w:tcW w:w="12990"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95052F" w:rsidP="00B2231D" w14:paraId="1C468254" w14:textId="07782E99">
            <w:pPr>
              <w:rPr>
                <w:color w:val="000000"/>
                <w:sz w:val="20"/>
                <w:szCs w:val="20"/>
              </w:rPr>
            </w:pPr>
            <w:r>
              <w:rPr>
                <w:color w:val="000000"/>
                <w:sz w:val="20"/>
                <w:szCs w:val="20"/>
                <w:vertAlign w:val="superscript"/>
              </w:rPr>
              <w:t>e.</w:t>
            </w:r>
            <w:r w:rsidR="00F96E01">
              <w:rPr>
                <w:color w:val="000000"/>
                <w:sz w:val="20"/>
                <w:szCs w:val="20"/>
                <w:vertAlign w:val="superscript"/>
              </w:rPr>
              <w:t xml:space="preserve"> </w:t>
            </w:r>
            <w:r w:rsidRPr="000F157C" w:rsidR="000F157C">
              <w:rPr>
                <w:color w:val="000000"/>
                <w:sz w:val="20"/>
                <w:szCs w:val="20"/>
              </w:rPr>
              <w:t>The 2020 rule amendment eliminated the SSM report requirement.</w:t>
            </w:r>
          </w:p>
          <w:p w:rsidR="000F157C" w:rsidP="00B2231D" w14:paraId="1FC88504" w14:textId="4DE3071E">
            <w:pPr>
              <w:rPr>
                <w:color w:val="000000"/>
                <w:sz w:val="20"/>
                <w:szCs w:val="20"/>
              </w:rPr>
            </w:pPr>
            <w:r w:rsidRPr="00894761">
              <w:rPr>
                <w:color w:val="000000"/>
                <w:sz w:val="20"/>
                <w:szCs w:val="20"/>
                <w:vertAlign w:val="superscript"/>
              </w:rPr>
              <w:t>f.</w:t>
            </w:r>
            <w:r w:rsidR="00F96E01">
              <w:rPr>
                <w:color w:val="000000"/>
                <w:sz w:val="20"/>
                <w:szCs w:val="20"/>
              </w:rPr>
              <w:t xml:space="preserve"> </w:t>
            </w:r>
            <w:r w:rsidRPr="000F157C">
              <w:rPr>
                <w:color w:val="000000"/>
                <w:sz w:val="20"/>
                <w:szCs w:val="20"/>
              </w:rPr>
              <w:t>We assume no record systems will need to be revised during the 3-year period of this ICR due to SSM revisions from the 2020 amendments.</w:t>
            </w:r>
          </w:p>
          <w:p w:rsidR="000F157C" w:rsidP="00B2231D" w14:paraId="73F8C4F0" w14:textId="74764AED">
            <w:pPr>
              <w:rPr>
                <w:color w:val="000000"/>
                <w:sz w:val="20"/>
                <w:szCs w:val="20"/>
              </w:rPr>
            </w:pPr>
            <w:r w:rsidRPr="00894761">
              <w:rPr>
                <w:color w:val="000000"/>
                <w:sz w:val="20"/>
                <w:szCs w:val="20"/>
                <w:vertAlign w:val="superscript"/>
              </w:rPr>
              <w:t>g.</w:t>
            </w:r>
            <w:r w:rsidR="00F96E01">
              <w:rPr>
                <w:color w:val="000000"/>
                <w:sz w:val="20"/>
                <w:szCs w:val="20"/>
              </w:rPr>
              <w:t xml:space="preserve"> </w:t>
            </w:r>
            <w:r w:rsidRPr="00894761">
              <w:rPr>
                <w:color w:val="000000"/>
                <w:sz w:val="20"/>
                <w:szCs w:val="20"/>
              </w:rPr>
              <w:t>Totals have been rounded to 3 significant figures. Figures may not add exactly due to rounding.</w:t>
            </w:r>
          </w:p>
        </w:tc>
      </w:tr>
    </w:tbl>
    <w:p w:rsidR="0095052F" w:rsidP="0095052F" w14:paraId="316D85E8" w14:textId="77777777">
      <w:pPr>
        <w:rPr>
          <w:bCs/>
          <w:color w:val="FF0000"/>
        </w:rPr>
      </w:pPr>
    </w:p>
    <w:p w:rsidR="0095052F" w:rsidP="001641AA" w14:paraId="252C1F6D" w14:textId="77777777">
      <w:pPr>
        <w:spacing w:before="240"/>
        <w:rPr>
          <w:rFonts w:cstheme="minorHAnsi"/>
          <w:b/>
          <w:bCs/>
          <w:color w:val="FF0000"/>
          <w:sz w:val="24"/>
          <w:szCs w:val="24"/>
        </w:rPr>
      </w:pPr>
    </w:p>
    <w:p w:rsidR="00BB5C21" w:rsidP="001641AA" w14:paraId="4CFC7183" w14:textId="77777777">
      <w:pPr>
        <w:spacing w:before="240"/>
        <w:rPr>
          <w:rFonts w:cstheme="minorHAnsi"/>
          <w:b/>
          <w:bCs/>
          <w:color w:val="FF0000"/>
          <w:sz w:val="24"/>
          <w:szCs w:val="24"/>
        </w:rPr>
      </w:pPr>
    </w:p>
    <w:p w:rsidR="00BB5C21" w:rsidP="001641AA" w14:paraId="6ABC1F63" w14:textId="77777777">
      <w:pPr>
        <w:spacing w:before="240"/>
        <w:rPr>
          <w:rFonts w:cstheme="minorHAnsi"/>
          <w:b/>
          <w:bCs/>
          <w:color w:val="FF0000"/>
          <w:sz w:val="24"/>
          <w:szCs w:val="24"/>
        </w:rPr>
      </w:pPr>
    </w:p>
    <w:p w:rsidR="00BB5C21" w:rsidP="001641AA" w14:paraId="64BCB89F" w14:textId="77777777">
      <w:pPr>
        <w:spacing w:before="240"/>
        <w:rPr>
          <w:rFonts w:cstheme="minorHAnsi"/>
          <w:b/>
          <w:bCs/>
          <w:color w:val="FF0000"/>
          <w:sz w:val="24"/>
          <w:szCs w:val="24"/>
        </w:rPr>
      </w:pPr>
    </w:p>
    <w:p w:rsidR="00BB5C21" w:rsidP="001641AA" w14:paraId="2202FEC0" w14:textId="77777777">
      <w:pPr>
        <w:spacing w:before="240"/>
        <w:rPr>
          <w:rFonts w:cstheme="minorHAnsi"/>
          <w:b/>
          <w:bCs/>
          <w:color w:val="FF0000"/>
          <w:sz w:val="24"/>
          <w:szCs w:val="24"/>
        </w:rPr>
      </w:pPr>
    </w:p>
    <w:p w:rsidR="00BB5C21" w:rsidP="001641AA" w14:paraId="10547F35" w14:textId="77777777">
      <w:pPr>
        <w:spacing w:before="240"/>
        <w:rPr>
          <w:rFonts w:cstheme="minorHAnsi"/>
          <w:b/>
          <w:bCs/>
          <w:color w:val="FF0000"/>
          <w:sz w:val="24"/>
          <w:szCs w:val="24"/>
        </w:rPr>
      </w:pPr>
    </w:p>
    <w:p w:rsidR="00BB5C21" w:rsidP="001641AA" w14:paraId="76F8A428" w14:textId="77777777">
      <w:pPr>
        <w:spacing w:before="240"/>
        <w:rPr>
          <w:rFonts w:cstheme="minorHAnsi"/>
          <w:b/>
          <w:bCs/>
          <w:color w:val="FF0000"/>
          <w:sz w:val="24"/>
          <w:szCs w:val="24"/>
        </w:rPr>
      </w:pPr>
    </w:p>
    <w:p w:rsidR="00BB5C21" w:rsidP="001641AA" w14:paraId="14E877E6" w14:textId="77777777">
      <w:pPr>
        <w:spacing w:before="240"/>
        <w:rPr>
          <w:rFonts w:cstheme="minorHAnsi"/>
          <w:b/>
          <w:bCs/>
          <w:color w:val="FF0000"/>
          <w:sz w:val="24"/>
          <w:szCs w:val="24"/>
        </w:rPr>
      </w:pPr>
    </w:p>
    <w:p w:rsidR="00BB5C21" w:rsidP="001641AA" w14:paraId="4E777823" w14:textId="77777777">
      <w:pPr>
        <w:spacing w:before="240"/>
        <w:rPr>
          <w:rFonts w:cstheme="minorHAnsi"/>
          <w:b/>
          <w:bCs/>
          <w:color w:val="FF0000"/>
          <w:sz w:val="24"/>
          <w:szCs w:val="24"/>
        </w:rPr>
      </w:pPr>
    </w:p>
    <w:p w:rsidR="00BB5C21" w:rsidP="001641AA" w14:paraId="7B280109" w14:textId="77777777">
      <w:pPr>
        <w:spacing w:before="240"/>
        <w:rPr>
          <w:rFonts w:cstheme="minorHAnsi"/>
          <w:b/>
          <w:bCs/>
          <w:color w:val="FF0000"/>
          <w:sz w:val="24"/>
          <w:szCs w:val="24"/>
        </w:rPr>
      </w:pPr>
    </w:p>
    <w:p w:rsidR="00BB5C21" w:rsidP="001641AA" w14:paraId="08470D70" w14:textId="77777777">
      <w:pPr>
        <w:spacing w:before="240"/>
        <w:rPr>
          <w:rFonts w:cstheme="minorHAnsi"/>
          <w:b/>
          <w:bCs/>
          <w:color w:val="FF0000"/>
          <w:sz w:val="24"/>
          <w:szCs w:val="24"/>
        </w:rPr>
      </w:pPr>
    </w:p>
    <w:p w:rsidR="001641AA" w:rsidP="001641AA" w14:paraId="0C0DF005" w14:textId="73A0ED0F">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4A16C7" w:rsidR="004A16C7">
        <w:rPr>
          <w:rFonts w:cstheme="minorHAnsi"/>
          <w:b/>
          <w:bCs/>
          <w:sz w:val="24"/>
          <w:szCs w:val="24"/>
        </w:rPr>
        <w:t>NESHAP for Surface Coating of Metal Cans (40 CFR Part 63, Subpart KKKK) (Renewal)</w:t>
      </w:r>
    </w:p>
    <w:tbl>
      <w:tblPr>
        <w:tblW w:w="5000" w:type="pct"/>
        <w:tblCellMar>
          <w:left w:w="0" w:type="dxa"/>
          <w:right w:w="0" w:type="dxa"/>
        </w:tblCellMar>
        <w:tblLook w:val="04A0"/>
      </w:tblPr>
      <w:tblGrid>
        <w:gridCol w:w="30"/>
        <w:gridCol w:w="3148"/>
        <w:gridCol w:w="1381"/>
        <w:gridCol w:w="1285"/>
        <w:gridCol w:w="1208"/>
        <w:gridCol w:w="1071"/>
        <w:gridCol w:w="1150"/>
        <w:gridCol w:w="1401"/>
        <w:gridCol w:w="1109"/>
        <w:gridCol w:w="1139"/>
        <w:gridCol w:w="68"/>
      </w:tblGrid>
      <w:tr w14:paraId="2536C91C" w14:textId="77777777" w:rsidTr="000B57DD">
        <w:tblPrEx>
          <w:tblW w:w="5000" w:type="pct"/>
          <w:tblCellMar>
            <w:left w:w="0" w:type="dxa"/>
            <w:right w:w="0" w:type="dxa"/>
          </w:tblCellMar>
          <w:tblLook w:val="04A0"/>
        </w:tblPrEx>
        <w:trPr>
          <w:gridAfter w:val="1"/>
          <w:wAfter w:w="27" w:type="dxa"/>
          <w:trHeight w:val="1530"/>
        </w:trPr>
        <w:tc>
          <w:tcPr>
            <w:tcW w:w="119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195A28D6" w14:textId="77777777">
            <w:pPr>
              <w:jc w:val="center"/>
              <w:rPr>
                <w:b/>
                <w:bCs/>
                <w:color w:val="000000"/>
                <w:sz w:val="20"/>
                <w:szCs w:val="20"/>
              </w:rPr>
            </w:pPr>
            <w:r>
              <w:rPr>
                <w:b/>
                <w:bCs/>
                <w:color w:val="000000"/>
                <w:sz w:val="20"/>
                <w:szCs w:val="20"/>
              </w:rPr>
              <w:t>Burden Item</w:t>
            </w:r>
          </w:p>
        </w:tc>
        <w:tc>
          <w:tcPr>
            <w:tcW w:w="53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32DD46B3" w14:textId="77777777">
            <w:pPr>
              <w:jc w:val="center"/>
              <w:rPr>
                <w:b/>
                <w:bCs/>
                <w:color w:val="000000"/>
                <w:sz w:val="20"/>
                <w:szCs w:val="20"/>
              </w:rPr>
            </w:pPr>
            <w:r>
              <w:rPr>
                <w:b/>
                <w:bCs/>
                <w:color w:val="000000"/>
                <w:sz w:val="20"/>
                <w:szCs w:val="20"/>
              </w:rPr>
              <w:t xml:space="preserve">(A) </w:t>
            </w:r>
          </w:p>
          <w:p w:rsidR="00E23855" w:rsidP="00B2231D" w14:paraId="6DEE1A44" w14:textId="77777777">
            <w:pPr>
              <w:jc w:val="center"/>
              <w:rPr>
                <w:b/>
                <w:bCs/>
                <w:color w:val="000000"/>
                <w:sz w:val="20"/>
                <w:szCs w:val="20"/>
              </w:rPr>
            </w:pPr>
            <w:r>
              <w:rPr>
                <w:b/>
                <w:bCs/>
                <w:color w:val="000000"/>
                <w:sz w:val="20"/>
                <w:szCs w:val="20"/>
              </w:rPr>
              <w:t>EPA hours per occurrence</w:t>
            </w:r>
          </w:p>
        </w:tc>
        <w:tc>
          <w:tcPr>
            <w:tcW w:w="49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6272895A" w14:textId="77777777">
            <w:pPr>
              <w:jc w:val="center"/>
              <w:rPr>
                <w:b/>
                <w:bCs/>
                <w:color w:val="000000"/>
                <w:sz w:val="20"/>
                <w:szCs w:val="20"/>
              </w:rPr>
            </w:pPr>
            <w:r>
              <w:rPr>
                <w:b/>
                <w:bCs/>
                <w:color w:val="000000"/>
                <w:sz w:val="20"/>
                <w:szCs w:val="20"/>
              </w:rPr>
              <w:t xml:space="preserve">(B) </w:t>
            </w:r>
          </w:p>
          <w:p w:rsidR="00E23855" w:rsidP="00B2231D" w14:paraId="5F0C3C34" w14:textId="77777777">
            <w:pPr>
              <w:jc w:val="center"/>
              <w:rPr>
                <w:b/>
                <w:bCs/>
                <w:color w:val="000000"/>
                <w:sz w:val="20"/>
                <w:szCs w:val="20"/>
              </w:rPr>
            </w:pPr>
            <w:r>
              <w:rPr>
                <w:b/>
                <w:bCs/>
                <w:color w:val="000000"/>
                <w:sz w:val="20"/>
                <w:szCs w:val="20"/>
              </w:rPr>
              <w:t>No. of occurrences per respondent per year</w:t>
            </w:r>
          </w:p>
        </w:tc>
        <w:tc>
          <w:tcPr>
            <w:tcW w:w="46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736E700D" w14:textId="77777777">
            <w:pPr>
              <w:jc w:val="center"/>
              <w:rPr>
                <w:b/>
                <w:bCs/>
                <w:color w:val="000000"/>
                <w:sz w:val="20"/>
                <w:szCs w:val="20"/>
              </w:rPr>
            </w:pPr>
            <w:r>
              <w:rPr>
                <w:b/>
                <w:bCs/>
                <w:color w:val="000000"/>
                <w:sz w:val="20"/>
                <w:szCs w:val="20"/>
              </w:rPr>
              <w:t xml:space="preserve">(C) </w:t>
            </w:r>
          </w:p>
          <w:p w:rsidR="00E23855" w:rsidP="00B2231D" w14:paraId="6ECDA8C4" w14:textId="77777777">
            <w:pPr>
              <w:jc w:val="center"/>
              <w:rPr>
                <w:b/>
                <w:bCs/>
                <w:color w:val="000000"/>
                <w:sz w:val="20"/>
                <w:szCs w:val="20"/>
              </w:rPr>
            </w:pPr>
            <w:r>
              <w:rPr>
                <w:b/>
                <w:bCs/>
                <w:color w:val="000000"/>
                <w:sz w:val="20"/>
                <w:szCs w:val="20"/>
              </w:rPr>
              <w:t>EPA person-hours per respondent per year (AxB)</w:t>
            </w:r>
          </w:p>
        </w:tc>
        <w:tc>
          <w:tcPr>
            <w:tcW w:w="41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62D065C1" w14:textId="77777777">
            <w:pPr>
              <w:jc w:val="center"/>
              <w:rPr>
                <w:b/>
                <w:bCs/>
                <w:color w:val="000000"/>
                <w:sz w:val="20"/>
                <w:szCs w:val="20"/>
              </w:rPr>
            </w:pPr>
            <w:r>
              <w:rPr>
                <w:b/>
                <w:bCs/>
                <w:color w:val="000000"/>
                <w:sz w:val="20"/>
                <w:szCs w:val="20"/>
              </w:rPr>
              <w:t xml:space="preserve">(D) </w:t>
            </w:r>
          </w:p>
          <w:p w:rsidR="00E23855" w:rsidP="00B2231D" w14:paraId="6FDC955F" w14:textId="77777777">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b</w:t>
            </w:r>
          </w:p>
        </w:tc>
        <w:tc>
          <w:tcPr>
            <w:tcW w:w="44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7C5B4BCE" w14:textId="77777777">
            <w:pPr>
              <w:jc w:val="center"/>
              <w:rPr>
                <w:b/>
                <w:bCs/>
                <w:color w:val="000000"/>
                <w:sz w:val="20"/>
                <w:szCs w:val="20"/>
              </w:rPr>
            </w:pPr>
            <w:r>
              <w:rPr>
                <w:b/>
                <w:bCs/>
                <w:color w:val="000000"/>
                <w:sz w:val="20"/>
                <w:szCs w:val="20"/>
              </w:rPr>
              <w:t xml:space="preserve">(E) </w:t>
            </w:r>
          </w:p>
          <w:p w:rsidR="00E23855" w:rsidP="00B2231D" w14:paraId="5578060F" w14:textId="77777777">
            <w:pPr>
              <w:jc w:val="center"/>
              <w:rPr>
                <w:b/>
                <w:bCs/>
                <w:color w:val="000000"/>
                <w:sz w:val="20"/>
                <w:szCs w:val="20"/>
              </w:rPr>
            </w:pPr>
            <w:r>
              <w:rPr>
                <w:b/>
                <w:bCs/>
                <w:color w:val="000000"/>
                <w:sz w:val="20"/>
                <w:szCs w:val="20"/>
              </w:rPr>
              <w:t>Technical hours per year (CxD)</w:t>
            </w:r>
          </w:p>
        </w:tc>
        <w:tc>
          <w:tcPr>
            <w:tcW w:w="54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740D2" w:rsidP="00B2231D" w14:paraId="31916B29" w14:textId="77777777">
            <w:pPr>
              <w:jc w:val="center"/>
              <w:rPr>
                <w:b/>
                <w:bCs/>
                <w:color w:val="000000"/>
                <w:sz w:val="20"/>
                <w:szCs w:val="20"/>
              </w:rPr>
            </w:pPr>
            <w:r>
              <w:rPr>
                <w:b/>
                <w:bCs/>
                <w:color w:val="000000"/>
                <w:sz w:val="20"/>
                <w:szCs w:val="20"/>
              </w:rPr>
              <w:t xml:space="preserve">(F) </w:t>
            </w:r>
          </w:p>
          <w:p w:rsidR="00E23855" w:rsidP="00B2231D" w14:paraId="788D60C3" w14:textId="6F0518B3">
            <w:pPr>
              <w:jc w:val="center"/>
              <w:rPr>
                <w:b/>
                <w:bCs/>
                <w:color w:val="000000"/>
                <w:sz w:val="20"/>
                <w:szCs w:val="20"/>
              </w:rPr>
            </w:pPr>
            <w:r>
              <w:rPr>
                <w:b/>
                <w:bCs/>
                <w:color w:val="000000"/>
                <w:sz w:val="20"/>
                <w:szCs w:val="20"/>
              </w:rPr>
              <w:t>Management hours per year (Ex0.05)</w:t>
            </w:r>
          </w:p>
        </w:tc>
        <w:tc>
          <w:tcPr>
            <w:tcW w:w="4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62C60795" w14:textId="77777777">
            <w:pPr>
              <w:jc w:val="center"/>
              <w:rPr>
                <w:b/>
                <w:bCs/>
                <w:color w:val="000000"/>
                <w:sz w:val="20"/>
                <w:szCs w:val="20"/>
              </w:rPr>
            </w:pPr>
            <w:r>
              <w:rPr>
                <w:b/>
                <w:bCs/>
                <w:color w:val="000000"/>
                <w:sz w:val="20"/>
                <w:szCs w:val="20"/>
              </w:rPr>
              <w:t xml:space="preserve">(G) </w:t>
            </w:r>
          </w:p>
          <w:p w:rsidR="00E23855" w:rsidP="00B2231D" w14:paraId="621DCAF3" w14:textId="77777777">
            <w:pPr>
              <w:jc w:val="center"/>
              <w:rPr>
                <w:b/>
                <w:bCs/>
                <w:color w:val="000000"/>
                <w:sz w:val="20"/>
                <w:szCs w:val="20"/>
              </w:rPr>
            </w:pPr>
            <w:r>
              <w:rPr>
                <w:b/>
                <w:bCs/>
                <w:color w:val="000000"/>
                <w:sz w:val="20"/>
                <w:szCs w:val="20"/>
              </w:rPr>
              <w:t>Clerical hours per year (Ex0.1)</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2BFFB4BB" w14:textId="77777777">
            <w:pPr>
              <w:jc w:val="center"/>
              <w:rPr>
                <w:b/>
                <w:bCs/>
                <w:color w:val="000000"/>
                <w:sz w:val="20"/>
                <w:szCs w:val="20"/>
              </w:rPr>
            </w:pPr>
            <w:r>
              <w:rPr>
                <w:b/>
                <w:bCs/>
                <w:color w:val="000000"/>
                <w:sz w:val="20"/>
                <w:szCs w:val="20"/>
              </w:rPr>
              <w:t xml:space="preserve">(H) </w:t>
            </w:r>
          </w:p>
          <w:p w:rsidR="00E23855" w:rsidP="00B2231D" w14:paraId="0BC5255B" w14:textId="77777777">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a</w:t>
            </w:r>
            <w:r>
              <w:rPr>
                <w:b/>
                <w:bCs/>
                <w:color w:val="000000"/>
                <w:sz w:val="20"/>
                <w:szCs w:val="20"/>
              </w:rPr>
              <w:t xml:space="preserve"> ($)</w:t>
            </w:r>
          </w:p>
        </w:tc>
      </w:tr>
      <w:tr w14:paraId="1D4FDA81"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8F23280" w14:textId="77777777">
            <w:pPr>
              <w:rPr>
                <w:color w:val="000000"/>
                <w:sz w:val="20"/>
                <w:szCs w:val="20"/>
              </w:rPr>
            </w:pPr>
            <w:r w:rsidRPr="00273D08">
              <w:rPr>
                <w:color w:val="000000"/>
                <w:sz w:val="20"/>
                <w:szCs w:val="20"/>
              </w:rPr>
              <w:t>1. Initial performance test</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E885062" w14:textId="77777777">
            <w:pPr>
              <w:jc w:val="center"/>
              <w:rPr>
                <w:color w:val="000000"/>
                <w:sz w:val="20"/>
                <w:szCs w:val="20"/>
              </w:rPr>
            </w:pPr>
            <w:r w:rsidRPr="00273D08">
              <w:rPr>
                <w:color w:val="000000"/>
                <w:sz w:val="20"/>
                <w:szCs w:val="20"/>
              </w:rPr>
              <w:t>24</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E80B16B"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3A232C6A" w14:textId="77777777">
            <w:pPr>
              <w:jc w:val="center"/>
              <w:rPr>
                <w:color w:val="000000"/>
                <w:sz w:val="20"/>
                <w:szCs w:val="20"/>
              </w:rPr>
            </w:pPr>
            <w:r w:rsidRPr="00273D08">
              <w:rPr>
                <w:color w:val="000000"/>
                <w:sz w:val="20"/>
                <w:szCs w:val="20"/>
              </w:rPr>
              <w:t>24</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26BB07A"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85E2D96"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007914F"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D5E57EA"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75FB282" w14:textId="77777777">
            <w:pPr>
              <w:jc w:val="right"/>
              <w:rPr>
                <w:color w:val="000000"/>
                <w:sz w:val="20"/>
                <w:szCs w:val="20"/>
              </w:rPr>
            </w:pPr>
            <w:r w:rsidRPr="00273D08">
              <w:rPr>
                <w:color w:val="000000"/>
                <w:sz w:val="20"/>
                <w:szCs w:val="20"/>
              </w:rPr>
              <w:t xml:space="preserve">$0 </w:t>
            </w:r>
          </w:p>
        </w:tc>
      </w:tr>
      <w:tr w14:paraId="22591AE8"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B7E3FF6" w14:textId="77777777">
            <w:pPr>
              <w:rPr>
                <w:color w:val="000000"/>
                <w:sz w:val="20"/>
                <w:szCs w:val="20"/>
              </w:rPr>
            </w:pPr>
            <w:r w:rsidRPr="00273D08">
              <w:rPr>
                <w:color w:val="000000"/>
                <w:sz w:val="20"/>
                <w:szCs w:val="20"/>
              </w:rPr>
              <w:t>2. Repeat performance test</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55688394" w14:textId="77777777">
            <w:pPr>
              <w:jc w:val="center"/>
              <w:rPr>
                <w:color w:val="000000"/>
                <w:sz w:val="20"/>
                <w:szCs w:val="20"/>
              </w:rPr>
            </w:pPr>
            <w:r w:rsidRPr="00273D08">
              <w:rPr>
                <w:color w:val="000000"/>
                <w:sz w:val="20"/>
                <w:szCs w:val="20"/>
              </w:rPr>
              <w:t>24</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58C9BFC"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1E48D682" w14:textId="77777777">
            <w:pPr>
              <w:jc w:val="center"/>
              <w:rPr>
                <w:color w:val="000000"/>
                <w:sz w:val="20"/>
                <w:szCs w:val="20"/>
              </w:rPr>
            </w:pPr>
            <w:r w:rsidRPr="00273D08">
              <w:rPr>
                <w:color w:val="000000"/>
                <w:sz w:val="20"/>
                <w:szCs w:val="20"/>
              </w:rPr>
              <w:t>24</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B5A0966"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8277587"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CD4B667"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76658B9"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C6679BD" w14:textId="77777777">
            <w:pPr>
              <w:jc w:val="right"/>
              <w:rPr>
                <w:color w:val="000000"/>
                <w:sz w:val="20"/>
                <w:szCs w:val="20"/>
              </w:rPr>
            </w:pPr>
            <w:r w:rsidRPr="00273D08">
              <w:rPr>
                <w:color w:val="000000"/>
                <w:sz w:val="20"/>
                <w:szCs w:val="20"/>
              </w:rPr>
              <w:t xml:space="preserve">$0 </w:t>
            </w:r>
          </w:p>
        </w:tc>
      </w:tr>
      <w:tr w14:paraId="1F5EE98E"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F6A088D" w14:textId="77777777">
            <w:pPr>
              <w:rPr>
                <w:color w:val="000000"/>
                <w:sz w:val="20"/>
                <w:szCs w:val="20"/>
              </w:rPr>
            </w:pPr>
            <w:r w:rsidRPr="00273D08">
              <w:rPr>
                <w:color w:val="000000"/>
                <w:sz w:val="20"/>
                <w:szCs w:val="20"/>
              </w:rPr>
              <w:t xml:space="preserve">3. Report review </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1D6F3FF" w14:textId="77777777">
            <w:pPr>
              <w:jc w:val="center"/>
              <w:rPr>
                <w:color w:val="000000"/>
                <w:sz w:val="20"/>
                <w:szCs w:val="20"/>
              </w:rPr>
            </w:pPr>
            <w:r w:rsidRPr="00273D08">
              <w:rPr>
                <w:color w:val="000000"/>
                <w:sz w:val="20"/>
                <w:szCs w:val="20"/>
              </w:rPr>
              <w:t> </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E5B5142" w14:textId="77777777">
            <w:pPr>
              <w:jc w:val="center"/>
              <w:rPr>
                <w:color w:val="000000"/>
                <w:sz w:val="20"/>
                <w:szCs w:val="20"/>
              </w:rPr>
            </w:pPr>
            <w:r w:rsidRPr="00273D08">
              <w:rPr>
                <w:color w:val="000000"/>
                <w:sz w:val="20"/>
                <w:szCs w:val="20"/>
              </w:rPr>
              <w:t> </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30491FBA" w14:textId="77777777">
            <w:pPr>
              <w:jc w:val="center"/>
              <w:rPr>
                <w:color w:val="000000"/>
                <w:sz w:val="20"/>
                <w:szCs w:val="20"/>
              </w:rPr>
            </w:pPr>
            <w:r w:rsidRPr="00273D08">
              <w:rPr>
                <w:color w:val="000000"/>
                <w:sz w:val="20"/>
                <w:szCs w:val="20"/>
              </w:rPr>
              <w:t> </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052F8BE" w14:textId="77777777">
            <w:pPr>
              <w:jc w:val="center"/>
              <w:rPr>
                <w:color w:val="000000"/>
                <w:sz w:val="20"/>
                <w:szCs w:val="20"/>
              </w:rPr>
            </w:pPr>
            <w:r w:rsidRPr="00273D08">
              <w:rPr>
                <w:color w:val="000000"/>
                <w:sz w:val="20"/>
                <w:szCs w:val="20"/>
              </w:rPr>
              <w:t> </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A1D4028" w14:textId="77777777">
            <w:pPr>
              <w:jc w:val="center"/>
              <w:rPr>
                <w:color w:val="000000"/>
                <w:sz w:val="20"/>
                <w:szCs w:val="20"/>
              </w:rPr>
            </w:pPr>
            <w:r w:rsidRPr="00273D08">
              <w:rPr>
                <w:color w:val="000000"/>
                <w:sz w:val="20"/>
                <w:szCs w:val="20"/>
              </w:rPr>
              <w:t> </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F32FBAD" w14:textId="77777777">
            <w:pPr>
              <w:jc w:val="center"/>
              <w:rPr>
                <w:color w:val="000000"/>
                <w:sz w:val="20"/>
                <w:szCs w:val="20"/>
              </w:rPr>
            </w:pPr>
            <w:r w:rsidRPr="00273D08">
              <w:rPr>
                <w:color w:val="000000"/>
                <w:sz w:val="20"/>
                <w:szCs w:val="20"/>
              </w:rPr>
              <w:t> </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1EDE619" w14:textId="77777777">
            <w:pPr>
              <w:jc w:val="center"/>
              <w:rPr>
                <w:color w:val="000000"/>
                <w:sz w:val="20"/>
                <w:szCs w:val="20"/>
              </w:rPr>
            </w:pPr>
            <w:r w:rsidRPr="00273D08">
              <w:rPr>
                <w:color w:val="000000"/>
                <w:sz w:val="20"/>
                <w:szCs w:val="20"/>
              </w:rPr>
              <w:t>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EA0F189" w14:textId="77777777">
            <w:pPr>
              <w:jc w:val="right"/>
              <w:rPr>
                <w:color w:val="000000"/>
                <w:sz w:val="20"/>
                <w:szCs w:val="20"/>
              </w:rPr>
            </w:pPr>
            <w:r w:rsidRPr="00273D08">
              <w:rPr>
                <w:color w:val="000000"/>
                <w:sz w:val="20"/>
                <w:szCs w:val="20"/>
              </w:rPr>
              <w:t> </w:t>
            </w:r>
          </w:p>
        </w:tc>
      </w:tr>
      <w:tr w14:paraId="56709C4F"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1732B814" w14:textId="271DD466">
            <w:pPr>
              <w:ind w:left="450" w:hanging="270"/>
              <w:rPr>
                <w:color w:val="000000"/>
                <w:sz w:val="20"/>
                <w:szCs w:val="20"/>
              </w:rPr>
            </w:pPr>
            <w:r>
              <w:rPr>
                <w:color w:val="000000"/>
                <w:sz w:val="20"/>
                <w:szCs w:val="20"/>
              </w:rPr>
              <w:t xml:space="preserve"> </w:t>
            </w:r>
            <w:r w:rsidRPr="00273D08">
              <w:rPr>
                <w:color w:val="000000"/>
                <w:sz w:val="20"/>
                <w:szCs w:val="20"/>
              </w:rPr>
              <w:t xml:space="preserve">a. Initial notification </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FCC9E0A"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7D79B65"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657144E6"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56D0D90"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3AE1745"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8BF7042"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34264AC"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551D0C60" w14:textId="77777777">
            <w:pPr>
              <w:jc w:val="right"/>
              <w:rPr>
                <w:color w:val="000000"/>
                <w:sz w:val="20"/>
                <w:szCs w:val="20"/>
              </w:rPr>
            </w:pPr>
            <w:r w:rsidRPr="00273D08">
              <w:rPr>
                <w:color w:val="000000"/>
                <w:sz w:val="20"/>
                <w:szCs w:val="20"/>
              </w:rPr>
              <w:t xml:space="preserve">$0 </w:t>
            </w:r>
          </w:p>
        </w:tc>
      </w:tr>
      <w:tr w14:paraId="09133310"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39296FF2" w14:textId="073549F5">
            <w:pPr>
              <w:ind w:left="450" w:hanging="270"/>
              <w:rPr>
                <w:color w:val="000000"/>
                <w:sz w:val="20"/>
                <w:szCs w:val="20"/>
              </w:rPr>
            </w:pPr>
            <w:r>
              <w:rPr>
                <w:color w:val="000000"/>
                <w:sz w:val="20"/>
                <w:szCs w:val="20"/>
              </w:rPr>
              <w:t xml:space="preserve"> </w:t>
            </w:r>
            <w:r w:rsidRPr="00273D08">
              <w:rPr>
                <w:color w:val="000000"/>
                <w:sz w:val="20"/>
                <w:szCs w:val="20"/>
              </w:rPr>
              <w:t xml:space="preserve">b. Notification of performance test </w:t>
            </w:r>
            <w:r w:rsidRPr="00273D08">
              <w:rPr>
                <w:color w:val="000000"/>
                <w:sz w:val="20"/>
                <w:szCs w:val="20"/>
                <w:vertAlign w:val="superscript"/>
              </w:rPr>
              <w:t>c</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5B86A50"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ED338E9"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583AFED0"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A4E45EE" w14:textId="77777777">
            <w:pPr>
              <w:jc w:val="center"/>
              <w:rPr>
                <w:color w:val="000000"/>
                <w:sz w:val="20"/>
                <w:szCs w:val="20"/>
              </w:rPr>
            </w:pPr>
            <w:r w:rsidRPr="00273D08">
              <w:rPr>
                <w:color w:val="000000"/>
                <w:sz w:val="20"/>
                <w:szCs w:val="20"/>
              </w:rPr>
              <w:t>0.2</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57DDA988" w14:textId="77777777">
            <w:pPr>
              <w:jc w:val="center"/>
              <w:rPr>
                <w:color w:val="000000"/>
                <w:sz w:val="20"/>
                <w:szCs w:val="20"/>
              </w:rPr>
            </w:pPr>
            <w:r w:rsidRPr="00273D08">
              <w:rPr>
                <w:color w:val="000000"/>
                <w:sz w:val="20"/>
                <w:szCs w:val="20"/>
              </w:rPr>
              <w:t>1.6</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DBD99B9" w14:textId="77777777">
            <w:pPr>
              <w:jc w:val="center"/>
              <w:rPr>
                <w:color w:val="000000"/>
                <w:sz w:val="20"/>
                <w:szCs w:val="20"/>
              </w:rPr>
            </w:pPr>
            <w:r w:rsidRPr="00273D08">
              <w:rPr>
                <w:color w:val="000000"/>
                <w:sz w:val="20"/>
                <w:szCs w:val="20"/>
              </w:rPr>
              <w:t>0.08</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DBF4DD0" w14:textId="77777777">
            <w:pPr>
              <w:jc w:val="center"/>
              <w:rPr>
                <w:color w:val="000000"/>
                <w:sz w:val="20"/>
                <w:szCs w:val="20"/>
              </w:rPr>
            </w:pPr>
            <w:r w:rsidRPr="00273D08">
              <w:rPr>
                <w:color w:val="000000"/>
                <w:sz w:val="20"/>
                <w:szCs w:val="20"/>
              </w:rPr>
              <w:t>0.16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F18E4ED" w14:textId="77777777">
            <w:pPr>
              <w:jc w:val="right"/>
              <w:rPr>
                <w:color w:val="000000"/>
                <w:sz w:val="20"/>
                <w:szCs w:val="20"/>
              </w:rPr>
            </w:pPr>
            <w:r w:rsidRPr="00273D08">
              <w:rPr>
                <w:color w:val="000000"/>
                <w:sz w:val="20"/>
                <w:szCs w:val="20"/>
              </w:rPr>
              <w:t xml:space="preserve">$102 </w:t>
            </w:r>
          </w:p>
        </w:tc>
      </w:tr>
      <w:tr w14:paraId="506BCD5E"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409AB3EB" w14:textId="478D1EBC">
            <w:pPr>
              <w:ind w:left="450" w:hanging="270"/>
              <w:rPr>
                <w:color w:val="000000"/>
                <w:sz w:val="20"/>
                <w:szCs w:val="20"/>
              </w:rPr>
            </w:pPr>
            <w:r>
              <w:rPr>
                <w:color w:val="000000"/>
                <w:sz w:val="20"/>
                <w:szCs w:val="20"/>
              </w:rPr>
              <w:t xml:space="preserve"> </w:t>
            </w:r>
            <w:r w:rsidRPr="00273D08">
              <w:rPr>
                <w:color w:val="000000"/>
                <w:sz w:val="20"/>
                <w:szCs w:val="20"/>
              </w:rPr>
              <w:t>c. Notification of compliance status</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9F526AD"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CD96855"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5B84422B"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BEB5BC9"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F2D2B01"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52D777F0"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F212355"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55531FF" w14:textId="77777777">
            <w:pPr>
              <w:jc w:val="right"/>
              <w:rPr>
                <w:color w:val="000000"/>
                <w:sz w:val="20"/>
                <w:szCs w:val="20"/>
              </w:rPr>
            </w:pPr>
            <w:r w:rsidRPr="00273D08">
              <w:rPr>
                <w:color w:val="000000"/>
                <w:sz w:val="20"/>
                <w:szCs w:val="20"/>
              </w:rPr>
              <w:t xml:space="preserve">$0 </w:t>
            </w:r>
          </w:p>
        </w:tc>
      </w:tr>
      <w:tr w14:paraId="0D0FE6CC"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52B25ECC" w14:textId="51596F29">
            <w:pPr>
              <w:ind w:left="450" w:hanging="270"/>
              <w:rPr>
                <w:color w:val="000000"/>
                <w:sz w:val="20"/>
                <w:szCs w:val="20"/>
              </w:rPr>
            </w:pPr>
            <w:r>
              <w:rPr>
                <w:color w:val="000000"/>
                <w:sz w:val="20"/>
                <w:szCs w:val="20"/>
              </w:rPr>
              <w:t xml:space="preserve"> </w:t>
            </w:r>
            <w:r w:rsidRPr="00273D08">
              <w:rPr>
                <w:color w:val="000000"/>
                <w:sz w:val="20"/>
                <w:szCs w:val="20"/>
              </w:rPr>
              <w:t>d. Notification of construction/reconstruction</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FEB952C"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BC68364"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79AB54F6"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CE76611"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4436807"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8FAA3D0"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26B6982"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DBB7F50" w14:textId="77777777">
            <w:pPr>
              <w:jc w:val="right"/>
              <w:rPr>
                <w:color w:val="000000"/>
                <w:sz w:val="20"/>
                <w:szCs w:val="20"/>
              </w:rPr>
            </w:pPr>
            <w:r w:rsidRPr="00273D08">
              <w:rPr>
                <w:color w:val="000000"/>
                <w:sz w:val="20"/>
                <w:szCs w:val="20"/>
              </w:rPr>
              <w:t xml:space="preserve">$0 </w:t>
            </w:r>
          </w:p>
        </w:tc>
      </w:tr>
      <w:tr w14:paraId="4BABC835"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3615E592" w14:textId="7844FE1B">
            <w:pPr>
              <w:ind w:left="450" w:hanging="270"/>
              <w:rPr>
                <w:color w:val="000000"/>
                <w:sz w:val="20"/>
                <w:szCs w:val="20"/>
              </w:rPr>
            </w:pPr>
            <w:r>
              <w:rPr>
                <w:color w:val="000000"/>
                <w:sz w:val="20"/>
                <w:szCs w:val="20"/>
              </w:rPr>
              <w:t xml:space="preserve"> </w:t>
            </w:r>
            <w:r w:rsidRPr="00273D08">
              <w:rPr>
                <w:color w:val="000000"/>
                <w:sz w:val="20"/>
                <w:szCs w:val="20"/>
              </w:rPr>
              <w:t>e. Notification of actual startup</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114D421"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71AB169"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7614BE31"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4D15A39"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E7EF4AE"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77D84FD"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563A638"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AEC70B0" w14:textId="77777777">
            <w:pPr>
              <w:jc w:val="right"/>
              <w:rPr>
                <w:color w:val="000000"/>
                <w:sz w:val="20"/>
                <w:szCs w:val="20"/>
              </w:rPr>
            </w:pPr>
            <w:r w:rsidRPr="00273D08">
              <w:rPr>
                <w:color w:val="000000"/>
                <w:sz w:val="20"/>
                <w:szCs w:val="20"/>
              </w:rPr>
              <w:t xml:space="preserve">$0 </w:t>
            </w:r>
          </w:p>
        </w:tc>
      </w:tr>
      <w:tr w14:paraId="0A5A66B6"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182C82E8" w14:textId="57171614">
            <w:pPr>
              <w:ind w:left="450" w:hanging="270"/>
              <w:rPr>
                <w:color w:val="000000"/>
                <w:sz w:val="20"/>
                <w:szCs w:val="20"/>
              </w:rPr>
            </w:pPr>
            <w:r>
              <w:rPr>
                <w:color w:val="000000"/>
                <w:sz w:val="20"/>
                <w:szCs w:val="20"/>
              </w:rPr>
              <w:t xml:space="preserve"> </w:t>
            </w:r>
            <w:r w:rsidRPr="00273D08">
              <w:rPr>
                <w:color w:val="000000"/>
                <w:sz w:val="20"/>
                <w:szCs w:val="20"/>
              </w:rPr>
              <w:t xml:space="preserve">f. Report of performance test </w:t>
            </w:r>
            <w:r w:rsidRPr="00273D08">
              <w:rPr>
                <w:color w:val="000000"/>
                <w:sz w:val="20"/>
                <w:szCs w:val="20"/>
                <w:vertAlign w:val="superscript"/>
              </w:rPr>
              <w:t>d</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EA6B619"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5CA4E9A5"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3DA455DA"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47E7026" w14:textId="77777777">
            <w:pPr>
              <w:jc w:val="center"/>
              <w:rPr>
                <w:color w:val="000000"/>
                <w:sz w:val="20"/>
                <w:szCs w:val="20"/>
              </w:rPr>
            </w:pPr>
            <w:r w:rsidRPr="00273D08">
              <w:rPr>
                <w:color w:val="000000"/>
                <w:sz w:val="20"/>
                <w:szCs w:val="20"/>
              </w:rPr>
              <w:t>0.2</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1A1477B" w14:textId="77777777">
            <w:pPr>
              <w:jc w:val="center"/>
              <w:rPr>
                <w:color w:val="000000"/>
                <w:sz w:val="20"/>
                <w:szCs w:val="20"/>
              </w:rPr>
            </w:pPr>
            <w:r w:rsidRPr="00273D08">
              <w:rPr>
                <w:color w:val="000000"/>
                <w:sz w:val="20"/>
                <w:szCs w:val="20"/>
              </w:rPr>
              <w:t>1.6</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340262F" w14:textId="77777777">
            <w:pPr>
              <w:jc w:val="center"/>
              <w:rPr>
                <w:color w:val="000000"/>
                <w:sz w:val="20"/>
                <w:szCs w:val="20"/>
              </w:rPr>
            </w:pPr>
            <w:r w:rsidRPr="00273D08">
              <w:rPr>
                <w:color w:val="000000"/>
                <w:sz w:val="20"/>
                <w:szCs w:val="20"/>
              </w:rPr>
              <w:t>0.08</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F058D26" w14:textId="77777777">
            <w:pPr>
              <w:jc w:val="center"/>
              <w:rPr>
                <w:color w:val="000000"/>
                <w:sz w:val="20"/>
                <w:szCs w:val="20"/>
              </w:rPr>
            </w:pPr>
            <w:r w:rsidRPr="00273D08">
              <w:rPr>
                <w:color w:val="000000"/>
                <w:sz w:val="20"/>
                <w:szCs w:val="20"/>
              </w:rPr>
              <w:t>0.16</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304CDDD" w14:textId="77777777">
            <w:pPr>
              <w:jc w:val="right"/>
              <w:rPr>
                <w:color w:val="000000"/>
                <w:sz w:val="20"/>
                <w:szCs w:val="20"/>
              </w:rPr>
            </w:pPr>
            <w:r w:rsidRPr="00273D08">
              <w:rPr>
                <w:color w:val="000000"/>
                <w:sz w:val="20"/>
                <w:szCs w:val="20"/>
              </w:rPr>
              <w:t xml:space="preserve">$102 </w:t>
            </w:r>
          </w:p>
        </w:tc>
      </w:tr>
      <w:tr w14:paraId="373BBD1C"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49231C46" w14:textId="21780C32">
            <w:pPr>
              <w:ind w:left="450" w:hanging="270"/>
              <w:rPr>
                <w:color w:val="000000"/>
                <w:sz w:val="20"/>
                <w:szCs w:val="20"/>
              </w:rPr>
            </w:pPr>
            <w:r>
              <w:rPr>
                <w:color w:val="000000"/>
                <w:sz w:val="20"/>
                <w:szCs w:val="20"/>
              </w:rPr>
              <w:t xml:space="preserve"> </w:t>
            </w:r>
            <w:r w:rsidRPr="00273D08">
              <w:rPr>
                <w:color w:val="000000"/>
                <w:sz w:val="20"/>
                <w:szCs w:val="20"/>
              </w:rPr>
              <w:t>g. Semiannual report</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3008032" w14:textId="77777777">
            <w:pPr>
              <w:jc w:val="center"/>
              <w:rPr>
                <w:color w:val="000000"/>
                <w:sz w:val="20"/>
                <w:szCs w:val="20"/>
              </w:rPr>
            </w:pPr>
            <w:r w:rsidRPr="00273D08">
              <w:rPr>
                <w:color w:val="000000"/>
                <w:sz w:val="20"/>
                <w:szCs w:val="20"/>
              </w:rPr>
              <w:t>12</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542E50B" w14:textId="77777777">
            <w:pPr>
              <w:jc w:val="center"/>
              <w:rPr>
                <w:color w:val="000000"/>
                <w:sz w:val="20"/>
                <w:szCs w:val="20"/>
              </w:rPr>
            </w:pPr>
            <w:r w:rsidRPr="00273D08">
              <w:rPr>
                <w:color w:val="000000"/>
                <w:sz w:val="20"/>
                <w:szCs w:val="20"/>
              </w:rPr>
              <w:t>2</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12599989" w14:textId="77777777">
            <w:pPr>
              <w:jc w:val="center"/>
              <w:rPr>
                <w:color w:val="000000"/>
                <w:sz w:val="20"/>
                <w:szCs w:val="20"/>
              </w:rPr>
            </w:pPr>
            <w:r w:rsidRPr="00273D08">
              <w:rPr>
                <w:color w:val="000000"/>
                <w:sz w:val="20"/>
                <w:szCs w:val="20"/>
              </w:rPr>
              <w:t>24</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263DBA3" w14:textId="77777777">
            <w:pPr>
              <w:jc w:val="center"/>
              <w:rPr>
                <w:color w:val="000000"/>
                <w:sz w:val="20"/>
                <w:szCs w:val="20"/>
              </w:rPr>
            </w:pPr>
            <w:r w:rsidRPr="00273D08">
              <w:rPr>
                <w:color w:val="000000"/>
                <w:sz w:val="20"/>
                <w:szCs w:val="20"/>
              </w:rPr>
              <w:t>5</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BEDBEE7" w14:textId="77777777">
            <w:pPr>
              <w:jc w:val="center"/>
              <w:rPr>
                <w:color w:val="000000"/>
                <w:sz w:val="20"/>
                <w:szCs w:val="20"/>
              </w:rPr>
            </w:pPr>
            <w:r w:rsidRPr="00273D08">
              <w:rPr>
                <w:color w:val="000000"/>
                <w:sz w:val="20"/>
                <w:szCs w:val="20"/>
              </w:rPr>
              <w:t>120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AC170B9" w14:textId="77777777">
            <w:pPr>
              <w:jc w:val="center"/>
              <w:rPr>
                <w:color w:val="000000"/>
                <w:sz w:val="20"/>
                <w:szCs w:val="20"/>
              </w:rPr>
            </w:pPr>
            <w:r w:rsidRPr="00273D08">
              <w:rPr>
                <w:color w:val="000000"/>
                <w:sz w:val="20"/>
                <w:szCs w:val="20"/>
              </w:rPr>
              <w:t>6</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A0E23A7" w14:textId="77777777">
            <w:pPr>
              <w:jc w:val="center"/>
              <w:rPr>
                <w:color w:val="000000"/>
                <w:sz w:val="20"/>
                <w:szCs w:val="20"/>
              </w:rPr>
            </w:pPr>
            <w:r w:rsidRPr="00273D08">
              <w:rPr>
                <w:color w:val="000000"/>
                <w:sz w:val="20"/>
                <w:szCs w:val="20"/>
              </w:rPr>
              <w:t>12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B7A8B38" w14:textId="77777777">
            <w:pPr>
              <w:jc w:val="right"/>
              <w:rPr>
                <w:color w:val="000000"/>
                <w:sz w:val="20"/>
                <w:szCs w:val="20"/>
              </w:rPr>
            </w:pPr>
            <w:r w:rsidRPr="00273D08">
              <w:rPr>
                <w:color w:val="000000"/>
                <w:sz w:val="20"/>
                <w:szCs w:val="20"/>
              </w:rPr>
              <w:t xml:space="preserve">$7,681 </w:t>
            </w:r>
          </w:p>
        </w:tc>
      </w:tr>
      <w:tr w14:paraId="7980E769"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09D2A5E1" w14:textId="515F4A64">
            <w:pPr>
              <w:ind w:left="450" w:hanging="270"/>
              <w:rPr>
                <w:color w:val="000000"/>
                <w:sz w:val="20"/>
                <w:szCs w:val="20"/>
              </w:rPr>
            </w:pPr>
            <w:r>
              <w:rPr>
                <w:color w:val="000000"/>
                <w:sz w:val="20"/>
                <w:szCs w:val="20"/>
              </w:rPr>
              <w:t xml:space="preserve"> </w:t>
            </w:r>
            <w:r w:rsidRPr="00273D08">
              <w:rPr>
                <w:color w:val="000000"/>
                <w:sz w:val="20"/>
                <w:szCs w:val="20"/>
              </w:rPr>
              <w:t>h. Excess emissions report</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1325FE2" w14:textId="77777777">
            <w:pPr>
              <w:jc w:val="center"/>
              <w:rPr>
                <w:color w:val="000000"/>
                <w:sz w:val="20"/>
                <w:szCs w:val="20"/>
              </w:rPr>
            </w:pPr>
            <w:r w:rsidRPr="00273D08">
              <w:rPr>
                <w:color w:val="000000"/>
                <w:sz w:val="20"/>
                <w:szCs w:val="20"/>
              </w:rPr>
              <w:t>4</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4955551" w14:textId="77777777">
            <w:pPr>
              <w:jc w:val="center"/>
              <w:rPr>
                <w:color w:val="000000"/>
                <w:sz w:val="20"/>
                <w:szCs w:val="20"/>
              </w:rPr>
            </w:pPr>
            <w:r w:rsidRPr="00273D08">
              <w:rPr>
                <w:color w:val="000000"/>
                <w:sz w:val="20"/>
                <w:szCs w:val="20"/>
              </w:rPr>
              <w:t>2</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5FF6D3C6"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B273A7C" w14:textId="77777777">
            <w:pPr>
              <w:jc w:val="center"/>
              <w:rPr>
                <w:color w:val="000000"/>
                <w:sz w:val="20"/>
                <w:szCs w:val="20"/>
              </w:rPr>
            </w:pPr>
            <w:r w:rsidRPr="00273D08">
              <w:rPr>
                <w:color w:val="000000"/>
                <w:sz w:val="20"/>
                <w:szCs w:val="20"/>
              </w:rPr>
              <w:t>5</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AFB5B92" w14:textId="77777777">
            <w:pPr>
              <w:jc w:val="center"/>
              <w:rPr>
                <w:color w:val="000000"/>
                <w:sz w:val="20"/>
                <w:szCs w:val="20"/>
              </w:rPr>
            </w:pPr>
            <w:r w:rsidRPr="00273D08">
              <w:rPr>
                <w:color w:val="000000"/>
                <w:sz w:val="20"/>
                <w:szCs w:val="20"/>
              </w:rPr>
              <w:t>40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7F4D68B" w14:textId="77777777">
            <w:pPr>
              <w:jc w:val="center"/>
              <w:rPr>
                <w:color w:val="000000"/>
                <w:sz w:val="20"/>
                <w:szCs w:val="20"/>
              </w:rPr>
            </w:pPr>
            <w:r w:rsidRPr="00273D08">
              <w:rPr>
                <w:color w:val="000000"/>
                <w:sz w:val="20"/>
                <w:szCs w:val="20"/>
              </w:rPr>
              <w:t>2</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6D7588D" w14:textId="77777777">
            <w:pPr>
              <w:jc w:val="center"/>
              <w:rPr>
                <w:color w:val="000000"/>
                <w:sz w:val="20"/>
                <w:szCs w:val="20"/>
              </w:rPr>
            </w:pPr>
            <w:r w:rsidRPr="00273D08">
              <w:rPr>
                <w:color w:val="000000"/>
                <w:sz w:val="20"/>
                <w:szCs w:val="20"/>
              </w:rPr>
              <w:t>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E6D130E" w14:textId="77777777">
            <w:pPr>
              <w:jc w:val="right"/>
              <w:rPr>
                <w:color w:val="000000"/>
                <w:sz w:val="20"/>
                <w:szCs w:val="20"/>
              </w:rPr>
            </w:pPr>
            <w:r w:rsidRPr="00273D08">
              <w:rPr>
                <w:color w:val="000000"/>
                <w:sz w:val="20"/>
                <w:szCs w:val="20"/>
              </w:rPr>
              <w:t xml:space="preserve">$2,560 </w:t>
            </w:r>
          </w:p>
        </w:tc>
      </w:tr>
      <w:tr w14:paraId="5A4B47A6"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613A937D" w14:textId="08E5C11E">
            <w:pPr>
              <w:ind w:left="450" w:hanging="270"/>
              <w:rPr>
                <w:color w:val="000000"/>
                <w:sz w:val="20"/>
                <w:szCs w:val="20"/>
              </w:rPr>
            </w:pPr>
            <w:r>
              <w:rPr>
                <w:color w:val="000000"/>
                <w:sz w:val="20"/>
                <w:szCs w:val="20"/>
              </w:rPr>
              <w:t xml:space="preserve"> </w:t>
            </w:r>
            <w:r w:rsidRPr="00273D08">
              <w:rPr>
                <w:color w:val="000000"/>
                <w:sz w:val="20"/>
                <w:szCs w:val="20"/>
              </w:rPr>
              <w:t>i. Startup, shutdown, report</w:t>
            </w:r>
            <w:r w:rsidR="00E74729">
              <w:rPr>
                <w:color w:val="000000"/>
                <w:sz w:val="20"/>
                <w:szCs w:val="20"/>
              </w:rPr>
              <w:t xml:space="preserve"> </w:t>
            </w:r>
            <w:r w:rsidRPr="00273D08">
              <w:rPr>
                <w:color w:val="000000"/>
                <w:sz w:val="20"/>
                <w:szCs w:val="20"/>
                <w:vertAlign w:val="superscript"/>
              </w:rPr>
              <w:t>e</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1F39156D" w14:textId="77777777">
            <w:pPr>
              <w:jc w:val="center"/>
              <w:rPr>
                <w:color w:val="000000"/>
                <w:sz w:val="20"/>
                <w:szCs w:val="20"/>
              </w:rPr>
            </w:pPr>
            <w:r w:rsidRPr="00273D08">
              <w:rPr>
                <w:color w:val="000000"/>
                <w:sz w:val="20"/>
                <w:szCs w:val="20"/>
              </w:rPr>
              <w:t>8</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BF7C977" w14:textId="77777777">
            <w:pPr>
              <w:jc w:val="center"/>
              <w:rPr>
                <w:color w:val="000000"/>
                <w:sz w:val="20"/>
                <w:szCs w:val="20"/>
              </w:rPr>
            </w:pPr>
            <w:r w:rsidRPr="00273D08">
              <w:rPr>
                <w:color w:val="000000"/>
                <w:sz w:val="20"/>
                <w:szCs w:val="20"/>
              </w:rPr>
              <w:t>1</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1BF8D664" w14:textId="77777777">
            <w:pPr>
              <w:jc w:val="center"/>
              <w:rPr>
                <w:color w:val="000000"/>
                <w:sz w:val="20"/>
                <w:szCs w:val="20"/>
              </w:rPr>
            </w:pPr>
            <w:r w:rsidRPr="00273D08">
              <w:rPr>
                <w:color w:val="000000"/>
                <w:sz w:val="20"/>
                <w:szCs w:val="20"/>
              </w:rPr>
              <w:t>8</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34456D0E"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6758ACD"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465AB6B6"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1202E99"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6AA86C2F" w14:textId="77777777">
            <w:pPr>
              <w:jc w:val="right"/>
              <w:rPr>
                <w:color w:val="000000"/>
                <w:sz w:val="20"/>
                <w:szCs w:val="20"/>
              </w:rPr>
            </w:pPr>
            <w:r w:rsidRPr="00273D08">
              <w:rPr>
                <w:color w:val="000000"/>
                <w:sz w:val="20"/>
                <w:szCs w:val="20"/>
              </w:rPr>
              <w:t xml:space="preserve">$0 </w:t>
            </w:r>
          </w:p>
        </w:tc>
      </w:tr>
      <w:tr w14:paraId="37F8603B" w14:textId="77777777" w:rsidTr="000B57DD">
        <w:tblPrEx>
          <w:tblW w:w="5000" w:type="pct"/>
          <w:tblCellMar>
            <w:left w:w="0" w:type="dxa"/>
            <w:right w:w="0" w:type="dxa"/>
          </w:tblCellMar>
          <w:tblLook w:val="04A0"/>
        </w:tblPrEx>
        <w:trPr>
          <w:gridAfter w:val="1"/>
          <w:wAfter w:w="27" w:type="dxa"/>
          <w:trHeight w:val="300"/>
        </w:trPr>
        <w:tc>
          <w:tcPr>
            <w:tcW w:w="1198"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ED0CE3" w14:paraId="15089FD2" w14:textId="17A25351">
            <w:pPr>
              <w:ind w:left="450" w:hanging="270"/>
              <w:rPr>
                <w:color w:val="000000"/>
                <w:sz w:val="20"/>
                <w:szCs w:val="20"/>
              </w:rPr>
            </w:pPr>
            <w:r>
              <w:rPr>
                <w:color w:val="000000"/>
                <w:sz w:val="20"/>
                <w:szCs w:val="20"/>
              </w:rPr>
              <w:t xml:space="preserve"> </w:t>
            </w:r>
            <w:r w:rsidRPr="00273D08">
              <w:rPr>
                <w:color w:val="000000"/>
                <w:sz w:val="20"/>
                <w:szCs w:val="20"/>
              </w:rPr>
              <w:t xml:space="preserve">j. Review record systems due to SSM revisions </w:t>
            </w:r>
            <w:r w:rsidRPr="00273D08">
              <w:rPr>
                <w:color w:val="000000"/>
                <w:sz w:val="20"/>
                <w:szCs w:val="20"/>
                <w:vertAlign w:val="superscript"/>
              </w:rPr>
              <w:t>f</w:t>
            </w:r>
          </w:p>
        </w:tc>
        <w:tc>
          <w:tcPr>
            <w:tcW w:w="5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6E80014" w14:textId="77777777">
            <w:pPr>
              <w:jc w:val="center"/>
              <w:rPr>
                <w:color w:val="000000"/>
                <w:sz w:val="20"/>
                <w:szCs w:val="20"/>
              </w:rPr>
            </w:pPr>
            <w:r w:rsidRPr="00273D08">
              <w:rPr>
                <w:color w:val="000000"/>
                <w:sz w:val="20"/>
                <w:szCs w:val="20"/>
              </w:rPr>
              <w:t>2</w:t>
            </w:r>
          </w:p>
        </w:tc>
        <w:tc>
          <w:tcPr>
            <w:tcW w:w="49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D57A901" w14:textId="77777777">
            <w:pPr>
              <w:jc w:val="center"/>
              <w:rPr>
                <w:color w:val="000000"/>
                <w:sz w:val="20"/>
                <w:szCs w:val="20"/>
              </w:rPr>
            </w:pPr>
            <w:r w:rsidRPr="00273D08">
              <w:rPr>
                <w:color w:val="000000"/>
                <w:sz w:val="20"/>
                <w:szCs w:val="20"/>
              </w:rPr>
              <w:t>2</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3D08" w:rsidRPr="00273D08" w:rsidP="00273D08" w14:paraId="76FB4581" w14:textId="77777777">
            <w:pPr>
              <w:jc w:val="center"/>
              <w:rPr>
                <w:color w:val="000000"/>
                <w:sz w:val="20"/>
                <w:szCs w:val="20"/>
              </w:rPr>
            </w:pPr>
            <w:r w:rsidRPr="00273D08">
              <w:rPr>
                <w:color w:val="000000"/>
                <w:sz w:val="20"/>
                <w:szCs w:val="20"/>
              </w:rPr>
              <w:t>4</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0A66445" w14:textId="77777777">
            <w:pPr>
              <w:jc w:val="center"/>
              <w:rPr>
                <w:color w:val="000000"/>
                <w:sz w:val="20"/>
                <w:szCs w:val="20"/>
              </w:rPr>
            </w:pPr>
            <w:r w:rsidRPr="00273D08">
              <w:rPr>
                <w:color w:val="000000"/>
                <w:sz w:val="20"/>
                <w:szCs w:val="20"/>
              </w:rPr>
              <w:t>0</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2A616F07" w14:textId="77777777">
            <w:pPr>
              <w:jc w:val="center"/>
              <w:rPr>
                <w:color w:val="000000"/>
                <w:sz w:val="20"/>
                <w:szCs w:val="20"/>
              </w:rPr>
            </w:pPr>
            <w:r w:rsidRPr="00273D08">
              <w:rPr>
                <w:color w:val="000000"/>
                <w:sz w:val="20"/>
                <w:szCs w:val="20"/>
              </w:rPr>
              <w:t>0</w:t>
            </w:r>
          </w:p>
        </w:tc>
        <w:tc>
          <w:tcPr>
            <w:tcW w:w="54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76ED2FB7" w14:textId="77777777">
            <w:pPr>
              <w:jc w:val="center"/>
              <w:rPr>
                <w:color w:val="000000"/>
                <w:sz w:val="20"/>
                <w:szCs w:val="20"/>
              </w:rPr>
            </w:pPr>
            <w:r w:rsidRPr="00273D08">
              <w:rPr>
                <w:color w:val="000000"/>
                <w:sz w:val="20"/>
                <w:szCs w:val="20"/>
              </w:rPr>
              <w:t>0</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44C66F6" w14:textId="77777777">
            <w:pPr>
              <w:jc w:val="center"/>
              <w:rPr>
                <w:color w:val="000000"/>
                <w:sz w:val="20"/>
                <w:szCs w:val="20"/>
              </w:rPr>
            </w:pPr>
            <w:r w:rsidRPr="00273D08">
              <w:rPr>
                <w:color w:val="000000"/>
                <w:sz w:val="20"/>
                <w:szCs w:val="20"/>
              </w:rPr>
              <w:t>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3D08" w:rsidRPr="00273D08" w:rsidP="00273D08" w14:paraId="02169901" w14:textId="77777777">
            <w:pPr>
              <w:jc w:val="right"/>
              <w:rPr>
                <w:color w:val="000000"/>
                <w:sz w:val="20"/>
                <w:szCs w:val="20"/>
              </w:rPr>
            </w:pPr>
            <w:r w:rsidRPr="00273D08">
              <w:rPr>
                <w:color w:val="000000"/>
                <w:sz w:val="20"/>
                <w:szCs w:val="20"/>
              </w:rPr>
              <w:t xml:space="preserve">$0 </w:t>
            </w:r>
          </w:p>
        </w:tc>
      </w:tr>
      <w:tr w14:paraId="5A264CC5" w14:textId="77777777" w:rsidTr="000B57DD">
        <w:tblPrEx>
          <w:tblW w:w="5000" w:type="pct"/>
          <w:tblCellMar>
            <w:left w:w="0" w:type="dxa"/>
            <w:right w:w="0" w:type="dxa"/>
          </w:tblCellMar>
          <w:tblLook w:val="04A0"/>
        </w:tblPrEx>
        <w:trPr>
          <w:gridAfter w:val="1"/>
          <w:wAfter w:w="27" w:type="dxa"/>
          <w:trHeight w:val="300"/>
        </w:trPr>
        <w:tc>
          <w:tcPr>
            <w:tcW w:w="3114" w:type="pct"/>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4E787283" w14:textId="576F7906">
            <w:pPr>
              <w:rPr>
                <w:b/>
                <w:bCs/>
                <w:color w:val="000000"/>
                <w:sz w:val="20"/>
                <w:szCs w:val="20"/>
              </w:rPr>
            </w:pPr>
            <w:r>
              <w:rPr>
                <w:b/>
                <w:bCs/>
                <w:color w:val="000000"/>
                <w:sz w:val="20"/>
                <w:szCs w:val="20"/>
              </w:rPr>
              <w:t xml:space="preserve">TOTAL </w:t>
            </w:r>
            <w:r w:rsidR="00457914">
              <w:rPr>
                <w:b/>
                <w:bCs/>
                <w:color w:val="000000"/>
                <w:sz w:val="20"/>
                <w:szCs w:val="20"/>
              </w:rPr>
              <w:t>(</w:t>
            </w:r>
            <w:r>
              <w:rPr>
                <w:b/>
                <w:bCs/>
                <w:color w:val="000000"/>
                <w:sz w:val="20"/>
                <w:szCs w:val="20"/>
              </w:rPr>
              <w:t>ROUNDED)</w:t>
            </w:r>
            <w:r>
              <w:rPr>
                <w:color w:val="000000"/>
                <w:sz w:val="20"/>
                <w:szCs w:val="20"/>
              </w:rPr>
              <w:t> </w:t>
            </w:r>
            <w:r w:rsidRPr="00457914" w:rsidR="00457914">
              <w:rPr>
                <w:color w:val="000000"/>
                <w:sz w:val="20"/>
                <w:szCs w:val="20"/>
                <w:vertAlign w:val="superscript"/>
              </w:rPr>
              <w:t>g</w:t>
            </w:r>
          </w:p>
        </w:tc>
        <w:tc>
          <w:tcPr>
            <w:tcW w:w="1418"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7DCDEC05" w14:textId="5CA71B1B">
            <w:pPr>
              <w:jc w:val="center"/>
              <w:rPr>
                <w:b/>
                <w:bCs/>
                <w:color w:val="000000"/>
                <w:sz w:val="20"/>
                <w:szCs w:val="20"/>
              </w:rPr>
            </w:pPr>
            <w:r>
              <w:rPr>
                <w:b/>
                <w:bCs/>
                <w:color w:val="000000"/>
                <w:sz w:val="20"/>
                <w:szCs w:val="20"/>
              </w:rPr>
              <w:t>1</w:t>
            </w:r>
            <w:r w:rsidR="00457914">
              <w:rPr>
                <w:b/>
                <w:bCs/>
                <w:color w:val="000000"/>
                <w:sz w:val="20"/>
                <w:szCs w:val="20"/>
              </w:rPr>
              <w:t>88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23855" w:rsidP="00B2231D" w14:paraId="5FE47340" w14:textId="4DC69C85">
            <w:pPr>
              <w:jc w:val="right"/>
              <w:rPr>
                <w:b/>
                <w:bCs/>
                <w:color w:val="000000"/>
                <w:sz w:val="20"/>
                <w:szCs w:val="20"/>
              </w:rPr>
            </w:pPr>
            <w:r>
              <w:rPr>
                <w:b/>
                <w:bCs/>
                <w:color w:val="000000"/>
                <w:sz w:val="20"/>
                <w:szCs w:val="20"/>
              </w:rPr>
              <w:t>$</w:t>
            </w:r>
            <w:r w:rsidR="00457914">
              <w:rPr>
                <w:b/>
                <w:bCs/>
                <w:color w:val="000000"/>
                <w:sz w:val="20"/>
                <w:szCs w:val="20"/>
              </w:rPr>
              <w:t>10</w:t>
            </w:r>
            <w:r>
              <w:rPr>
                <w:b/>
                <w:bCs/>
                <w:color w:val="000000"/>
                <w:sz w:val="20"/>
                <w:szCs w:val="20"/>
              </w:rPr>
              <w:t>,</w:t>
            </w:r>
            <w:r w:rsidR="00457914">
              <w:rPr>
                <w:b/>
                <w:bCs/>
                <w:color w:val="000000"/>
                <w:sz w:val="20"/>
                <w:szCs w:val="20"/>
              </w:rPr>
              <w:t>40</w:t>
            </w:r>
            <w:r>
              <w:rPr>
                <w:b/>
                <w:bCs/>
                <w:color w:val="000000"/>
                <w:sz w:val="20"/>
                <w:szCs w:val="20"/>
              </w:rPr>
              <w:t xml:space="preserve">0 </w:t>
            </w:r>
          </w:p>
        </w:tc>
      </w:tr>
      <w:tr w14:paraId="36EBAD3B" w14:textId="77777777" w:rsidTr="000B57DD">
        <w:tblPrEx>
          <w:tblW w:w="5000" w:type="pct"/>
          <w:tblCellMar>
            <w:left w:w="108" w:type="dxa"/>
            <w:right w:w="108" w:type="dxa"/>
          </w:tblCellMar>
          <w:tblLook w:val="04A0"/>
        </w:tblPrEx>
        <w:trPr>
          <w:gridBefore w:val="1"/>
          <w:wBefore w:w="30" w:type="dxa"/>
          <w:trHeight w:val="300"/>
        </w:trPr>
        <w:tc>
          <w:tcPr>
            <w:tcW w:w="4990" w:type="pct"/>
            <w:gridSpan w:val="10"/>
            <w:tcBorders>
              <w:top w:val="nil"/>
              <w:left w:val="nil"/>
              <w:bottom w:val="nil"/>
              <w:right w:val="nil"/>
            </w:tcBorders>
            <w:shd w:val="clear" w:color="auto" w:fill="auto"/>
            <w:noWrap/>
            <w:vAlign w:val="center"/>
          </w:tcPr>
          <w:p w:rsidR="00BB5C21" w:rsidP="00F265D9" w14:paraId="2D590712" w14:textId="77777777">
            <w:pPr>
              <w:rPr>
                <w:b/>
                <w:bCs/>
                <w:color w:val="000000"/>
                <w:sz w:val="20"/>
                <w:szCs w:val="20"/>
              </w:rPr>
            </w:pPr>
          </w:p>
          <w:p w:rsidR="00F265D9" w:rsidRPr="00BB5C21" w:rsidP="00F265D9" w14:paraId="3EFCA187" w14:textId="4C3BCDF5">
            <w:pPr>
              <w:rPr>
                <w:b/>
                <w:bCs/>
                <w:color w:val="000000"/>
                <w:sz w:val="20"/>
                <w:szCs w:val="20"/>
              </w:rPr>
            </w:pPr>
            <w:r>
              <w:rPr>
                <w:b/>
                <w:bCs/>
                <w:color w:val="000000"/>
                <w:sz w:val="20"/>
                <w:szCs w:val="20"/>
              </w:rPr>
              <w:t>Assumptions:</w:t>
            </w:r>
          </w:p>
          <w:p w:rsidR="00F265D9" w:rsidRPr="00265E45" w:rsidP="00F265D9" w14:paraId="27F32BFF" w14:textId="5AEF174C">
            <w:pPr>
              <w:rPr>
                <w:b/>
                <w:bCs/>
                <w:color w:val="000000"/>
                <w:sz w:val="20"/>
                <w:szCs w:val="20"/>
              </w:rPr>
            </w:pPr>
            <w:r w:rsidRPr="00265E45">
              <w:rPr>
                <w:color w:val="000000"/>
                <w:sz w:val="20"/>
                <w:szCs w:val="20"/>
                <w:vertAlign w:val="superscript"/>
              </w:rPr>
              <w:t>a.</w:t>
            </w:r>
            <w:r w:rsidR="00F96E01">
              <w:rPr>
                <w:color w:val="000000"/>
                <w:sz w:val="14"/>
                <w:szCs w:val="14"/>
                <w:vertAlign w:val="superscript"/>
              </w:rPr>
              <w:t xml:space="preserve"> </w:t>
            </w:r>
            <w:r w:rsidRPr="001C3BFF" w:rsidR="001C3BFF">
              <w:rPr>
                <w:color w:val="000000"/>
                <w:sz w:val="20"/>
                <w:szCs w:val="20"/>
              </w:rPr>
              <w:t>We have assumed that the average number of respondents that will be subject to the rule will be 5 existing sources.</w:t>
            </w:r>
            <w:r w:rsidR="00F96E01">
              <w:rPr>
                <w:color w:val="000000"/>
                <w:sz w:val="20"/>
                <w:szCs w:val="20"/>
              </w:rPr>
              <w:t xml:space="preserve"> </w:t>
            </w:r>
            <w:r w:rsidRPr="001C3BFF" w:rsidR="001C3BFF">
              <w:rPr>
                <w:color w:val="000000"/>
                <w:sz w:val="20"/>
                <w:szCs w:val="20"/>
              </w:rPr>
              <w:t>There will be no additional sources over the three-year period of this ICR.</w:t>
            </w:r>
          </w:p>
        </w:tc>
      </w:tr>
      <w:tr w14:paraId="5733FCF1" w14:textId="77777777" w:rsidTr="000B57DD">
        <w:tblPrEx>
          <w:tblW w:w="5000" w:type="pct"/>
          <w:tblCellMar>
            <w:left w:w="108" w:type="dxa"/>
            <w:right w:w="108" w:type="dxa"/>
          </w:tblCellMar>
          <w:tblLook w:val="04A0"/>
        </w:tblPrEx>
        <w:trPr>
          <w:gridBefore w:val="1"/>
          <w:wBefore w:w="30" w:type="dxa"/>
          <w:trHeight w:val="315"/>
        </w:trPr>
        <w:tc>
          <w:tcPr>
            <w:tcW w:w="4990" w:type="pct"/>
            <w:gridSpan w:val="10"/>
            <w:tcBorders>
              <w:top w:val="nil"/>
              <w:left w:val="nil"/>
              <w:bottom w:val="nil"/>
              <w:right w:val="nil"/>
            </w:tcBorders>
            <w:shd w:val="clear" w:color="auto" w:fill="auto"/>
            <w:noWrap/>
            <w:vAlign w:val="center"/>
          </w:tcPr>
          <w:p w:rsidR="000C0968" w:rsidRPr="00265E45" w:rsidP="000C0968" w14:paraId="0A6170E0" w14:textId="22B07748">
            <w:pPr>
              <w:rPr>
                <w:color w:val="000000"/>
                <w:sz w:val="20"/>
                <w:szCs w:val="20"/>
              </w:rPr>
            </w:pPr>
            <w:r w:rsidRPr="00265E45">
              <w:rPr>
                <w:color w:val="000000"/>
                <w:sz w:val="20"/>
                <w:szCs w:val="20"/>
                <w:vertAlign w:val="superscript"/>
              </w:rPr>
              <w:t>b.</w:t>
            </w:r>
            <w:r w:rsidR="00F96E01">
              <w:rPr>
                <w:color w:val="000000"/>
                <w:sz w:val="14"/>
                <w:szCs w:val="14"/>
                <w:vertAlign w:val="superscript"/>
              </w:rPr>
              <w:t xml:space="preserve"> </w:t>
            </w:r>
            <w:r w:rsidRPr="001C3BFF" w:rsidR="001C3BFF">
              <w:rPr>
                <w:color w:val="000000"/>
                <w:sz w:val="20"/>
                <w:szCs w:val="2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1FBF6A3B" w14:textId="77777777" w:rsidTr="000B57DD">
        <w:tblPrEx>
          <w:tblW w:w="5000" w:type="pct"/>
          <w:tblCellMar>
            <w:left w:w="108" w:type="dxa"/>
            <w:right w:w="108" w:type="dxa"/>
          </w:tblCellMar>
          <w:tblLook w:val="04A0"/>
        </w:tblPrEx>
        <w:trPr>
          <w:gridBefore w:val="1"/>
          <w:wBefore w:w="30" w:type="dxa"/>
          <w:trHeight w:val="315"/>
        </w:trPr>
        <w:tc>
          <w:tcPr>
            <w:tcW w:w="4990" w:type="pct"/>
            <w:gridSpan w:val="10"/>
            <w:tcBorders>
              <w:top w:val="nil"/>
              <w:left w:val="nil"/>
              <w:bottom w:val="nil"/>
              <w:right w:val="nil"/>
            </w:tcBorders>
            <w:shd w:val="clear" w:color="auto" w:fill="auto"/>
            <w:noWrap/>
            <w:vAlign w:val="center"/>
          </w:tcPr>
          <w:p w:rsidR="000B57DD" w:rsidRPr="00265E45" w:rsidP="000B57DD" w14:paraId="007B92E7" w14:textId="1E04A00D">
            <w:pPr>
              <w:rPr>
                <w:color w:val="000000"/>
                <w:sz w:val="20"/>
                <w:szCs w:val="20"/>
              </w:rPr>
            </w:pPr>
            <w:r>
              <w:rPr>
                <w:color w:val="000000"/>
                <w:sz w:val="20"/>
                <w:szCs w:val="20"/>
                <w:vertAlign w:val="superscript"/>
              </w:rPr>
              <w:t>c</w:t>
            </w:r>
            <w:r w:rsidRPr="00265E45">
              <w:rPr>
                <w:color w:val="000000"/>
                <w:sz w:val="20"/>
                <w:szCs w:val="20"/>
                <w:vertAlign w:val="superscript"/>
              </w:rPr>
              <w:t>.</w:t>
            </w:r>
            <w:r w:rsidR="00F96E01">
              <w:rPr>
                <w:color w:val="000000"/>
                <w:sz w:val="14"/>
                <w:szCs w:val="14"/>
                <w:vertAlign w:val="superscript"/>
              </w:rPr>
              <w:t xml:space="preserve"> </w:t>
            </w:r>
            <w:r w:rsidRPr="001C3BFF">
              <w:rPr>
                <w:color w:val="000000"/>
                <w:sz w:val="20"/>
                <w:szCs w:val="20"/>
              </w:rPr>
              <w:t>We have assumed that it will take four hours to review the notification of the test and the test plan for each respondent. We have further assumed that one facility will be required to conduct testing not already required by their Part 70 permit once every 5 years (1 facility / 5 years = 0.2 facility per year).</w:t>
            </w:r>
          </w:p>
        </w:tc>
      </w:tr>
      <w:tr w14:paraId="7D5DD206" w14:textId="77777777" w:rsidTr="000B57DD">
        <w:tblPrEx>
          <w:tblW w:w="5000" w:type="pct"/>
          <w:tblCellMar>
            <w:left w:w="108" w:type="dxa"/>
            <w:right w:w="108" w:type="dxa"/>
          </w:tblCellMar>
          <w:tblLook w:val="04A0"/>
        </w:tblPrEx>
        <w:trPr>
          <w:gridBefore w:val="1"/>
          <w:wBefore w:w="30" w:type="dxa"/>
          <w:trHeight w:val="315"/>
        </w:trPr>
        <w:tc>
          <w:tcPr>
            <w:tcW w:w="4990" w:type="pct"/>
            <w:gridSpan w:val="10"/>
            <w:tcBorders>
              <w:top w:val="nil"/>
              <w:left w:val="nil"/>
              <w:bottom w:val="nil"/>
              <w:right w:val="nil"/>
            </w:tcBorders>
            <w:shd w:val="clear" w:color="auto" w:fill="auto"/>
            <w:noWrap/>
            <w:vAlign w:val="center"/>
          </w:tcPr>
          <w:p w:rsidR="000B57DD" w:rsidP="000B57DD" w14:paraId="1DCC402A" w14:textId="404FE63C">
            <w:pPr>
              <w:rPr>
                <w:color w:val="000000"/>
                <w:sz w:val="20"/>
                <w:szCs w:val="20"/>
              </w:rPr>
            </w:pPr>
            <w:r>
              <w:rPr>
                <w:color w:val="000000"/>
                <w:sz w:val="20"/>
                <w:szCs w:val="20"/>
                <w:vertAlign w:val="superscript"/>
              </w:rPr>
              <w:t>d</w:t>
            </w:r>
            <w:r w:rsidRPr="00265E45">
              <w:rPr>
                <w:color w:val="000000"/>
                <w:sz w:val="20"/>
                <w:szCs w:val="20"/>
                <w:vertAlign w:val="superscript"/>
              </w:rPr>
              <w:t>.</w:t>
            </w:r>
            <w:r w:rsidR="00F96E01">
              <w:rPr>
                <w:color w:val="000000"/>
                <w:sz w:val="14"/>
                <w:szCs w:val="14"/>
                <w:vertAlign w:val="superscript"/>
              </w:rPr>
              <w:t xml:space="preserve"> </w:t>
            </w:r>
            <w:r w:rsidRPr="000C339D">
              <w:rPr>
                <w:color w:val="000000"/>
                <w:sz w:val="20"/>
                <w:szCs w:val="20"/>
              </w:rPr>
              <w:t>We have assumed that it will take eight hours to review the test report for each respondent.</w:t>
            </w:r>
          </w:p>
          <w:p w:rsidR="000B57DD" w:rsidP="000B57DD" w14:paraId="7FAAB681" w14:textId="148B9240">
            <w:pPr>
              <w:rPr>
                <w:color w:val="000000"/>
                <w:sz w:val="20"/>
                <w:szCs w:val="20"/>
              </w:rPr>
            </w:pPr>
            <w:r>
              <w:rPr>
                <w:color w:val="000000"/>
                <w:sz w:val="20"/>
                <w:szCs w:val="20"/>
                <w:vertAlign w:val="superscript"/>
              </w:rPr>
              <w:t>e</w:t>
            </w:r>
            <w:r w:rsidRPr="00265E45">
              <w:rPr>
                <w:color w:val="000000"/>
                <w:sz w:val="20"/>
                <w:szCs w:val="20"/>
                <w:vertAlign w:val="superscript"/>
              </w:rPr>
              <w:t>.</w:t>
            </w:r>
            <w:r w:rsidR="00F96E01">
              <w:rPr>
                <w:color w:val="000000"/>
                <w:sz w:val="20"/>
                <w:szCs w:val="20"/>
                <w:vertAlign w:val="superscript"/>
              </w:rPr>
              <w:t xml:space="preserve"> </w:t>
            </w:r>
            <w:r w:rsidRPr="000C339D">
              <w:rPr>
                <w:color w:val="000000"/>
                <w:sz w:val="20"/>
                <w:szCs w:val="20"/>
              </w:rPr>
              <w:t>The 2020 rule amendment eliminated the SSM report requirement.</w:t>
            </w:r>
          </w:p>
          <w:p w:rsidR="000C339D" w:rsidP="000B57DD" w14:paraId="6AEB6784" w14:textId="083C47DC">
            <w:pPr>
              <w:rPr>
                <w:color w:val="000000"/>
                <w:sz w:val="20"/>
                <w:szCs w:val="20"/>
              </w:rPr>
            </w:pPr>
            <w:r w:rsidRPr="00BB5C21">
              <w:rPr>
                <w:color w:val="000000"/>
                <w:sz w:val="20"/>
                <w:szCs w:val="20"/>
                <w:vertAlign w:val="superscript"/>
              </w:rPr>
              <w:t>f.</w:t>
            </w:r>
            <w:r w:rsidR="00F96E01">
              <w:rPr>
                <w:color w:val="000000"/>
                <w:sz w:val="20"/>
                <w:szCs w:val="20"/>
              </w:rPr>
              <w:t xml:space="preserve"> </w:t>
            </w:r>
            <w:r w:rsidRPr="00BB5C21">
              <w:rPr>
                <w:color w:val="000000"/>
                <w:sz w:val="20"/>
                <w:szCs w:val="20"/>
              </w:rPr>
              <w:t>We assume no record systems will need to be revised during the 3-year period of this ICR due to SSM revisions from the 2020 amendments.</w:t>
            </w:r>
          </w:p>
          <w:p w:rsidR="00BB5C21" w:rsidRPr="00265E45" w:rsidP="000B57DD" w14:paraId="0D5B29C3" w14:textId="4AF098F9">
            <w:pPr>
              <w:rPr>
                <w:color w:val="000000"/>
                <w:sz w:val="20"/>
                <w:szCs w:val="20"/>
              </w:rPr>
            </w:pPr>
            <w:r w:rsidRPr="00BB5C21">
              <w:rPr>
                <w:color w:val="000000"/>
                <w:sz w:val="20"/>
                <w:szCs w:val="20"/>
                <w:vertAlign w:val="superscript"/>
              </w:rPr>
              <w:t>g.</w:t>
            </w:r>
            <w:r w:rsidR="00F96E01">
              <w:rPr>
                <w:color w:val="000000"/>
                <w:sz w:val="20"/>
                <w:szCs w:val="20"/>
              </w:rPr>
              <w:t xml:space="preserve"> </w:t>
            </w:r>
            <w:r w:rsidRPr="00BB5C21">
              <w:rPr>
                <w:color w:val="000000"/>
                <w:sz w:val="20"/>
                <w:szCs w:val="20"/>
              </w:rPr>
              <w:t>Totals have been rounded to 3 significant figures. Figures may not add exactly due to rounding.</w:t>
            </w:r>
          </w:p>
        </w:tc>
      </w:tr>
      <w:tr w14:paraId="6012A078" w14:textId="77777777" w:rsidTr="000B57DD">
        <w:tblPrEx>
          <w:tblW w:w="5000" w:type="pct"/>
          <w:tblCellMar>
            <w:left w:w="108" w:type="dxa"/>
            <w:right w:w="108" w:type="dxa"/>
          </w:tblCellMar>
          <w:tblLook w:val="04A0"/>
        </w:tblPrEx>
        <w:trPr>
          <w:gridBefore w:val="1"/>
          <w:wBefore w:w="30" w:type="dxa"/>
          <w:trHeight w:val="315"/>
        </w:trPr>
        <w:tc>
          <w:tcPr>
            <w:tcW w:w="4990" w:type="pct"/>
            <w:gridSpan w:val="10"/>
            <w:tcBorders>
              <w:top w:val="nil"/>
              <w:left w:val="nil"/>
              <w:bottom w:val="nil"/>
              <w:right w:val="nil"/>
            </w:tcBorders>
            <w:shd w:val="clear" w:color="auto" w:fill="auto"/>
            <w:noWrap/>
            <w:vAlign w:val="center"/>
          </w:tcPr>
          <w:p w:rsidR="000B57DD" w:rsidRPr="00265E45" w:rsidP="000B57DD" w14:paraId="134F30DF" w14:textId="1448AD21">
            <w:pPr>
              <w:rPr>
                <w:color w:val="000000"/>
                <w:sz w:val="20"/>
                <w:szCs w:val="20"/>
              </w:rPr>
            </w:pPr>
          </w:p>
        </w:tc>
      </w:tr>
    </w:tbl>
    <w:p w:rsidR="004A16C7" w:rsidRPr="001641AA" w:rsidP="001641AA" w14:paraId="5CE92988" w14:textId="77777777">
      <w:pPr>
        <w:spacing w:before="240"/>
        <w:rPr>
          <w:rFonts w:cstheme="minorHAnsi"/>
          <w:b/>
          <w:bCs/>
          <w:sz w:val="24"/>
          <w:szCs w:val="24"/>
        </w:rPr>
      </w:pPr>
    </w:p>
    <w:p w:rsidR="00D841AF" w14:paraId="58610761" w14:textId="5A44CC09">
      <w:pPr>
        <w:rPr>
          <w:rFonts w:cstheme="minorHAnsi"/>
          <w:b/>
          <w:bCs/>
          <w:sz w:val="24"/>
          <w:szCs w:val="24"/>
        </w:rPr>
      </w:pPr>
      <w:r>
        <w:rPr>
          <w:rFonts w:cstheme="minorHAnsi"/>
          <w:b/>
          <w:bCs/>
          <w:sz w:val="24"/>
          <w:szCs w:val="24"/>
        </w:rPr>
        <w:br w:type="page"/>
      </w:r>
    </w:p>
    <w:p w:rsidR="001641AA" w:rsidP="00BB3410" w14:paraId="1C5455C8" w14:textId="77777777">
      <w:pPr>
        <w:pStyle w:val="ListParagraph"/>
        <w:spacing w:before="240"/>
        <w:ind w:left="0"/>
        <w:rPr>
          <w:rFonts w:cstheme="minorHAnsi"/>
          <w:b/>
          <w:bCs/>
          <w:sz w:val="24"/>
          <w:szCs w:val="24"/>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9DAD349" w14:textId="77777777" w:rsidTr="00B2231D">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725727" w:rsidP="00B2231D" w14:paraId="0E5F869E" w14:textId="77777777">
            <w:pPr>
              <w:spacing w:line="120" w:lineRule="exact"/>
              <w:rPr>
                <w:color w:val="000000"/>
              </w:rPr>
            </w:pPr>
          </w:p>
          <w:p w:rsidR="00725727" w:rsidP="00B2231D" w14:paraId="01BC24C2"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4441E9E6" w14:textId="77777777" w:rsidTr="00B2231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725727" w:rsidP="00B2231D" w14:paraId="4AE862D3" w14:textId="77777777">
            <w:pPr>
              <w:spacing w:line="120" w:lineRule="exact"/>
              <w:rPr>
                <w:b/>
                <w:bCs/>
                <w:color w:val="000000"/>
              </w:rPr>
            </w:pPr>
          </w:p>
          <w:p w:rsidR="00725727" w:rsidP="00B2231D" w14:paraId="5024182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725727" w:rsidP="00B2231D" w14:paraId="13C0B39F" w14:textId="77777777">
            <w:pPr>
              <w:spacing w:line="120" w:lineRule="exact"/>
              <w:rPr>
                <w:color w:val="000000"/>
                <w:sz w:val="18"/>
                <w:szCs w:val="18"/>
              </w:rPr>
            </w:pPr>
          </w:p>
          <w:p w:rsidR="00725727" w:rsidP="00B2231D" w14:paraId="62B7877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725727" w:rsidP="00B2231D" w14:paraId="35D5D779" w14:textId="77777777">
            <w:pPr>
              <w:spacing w:line="120" w:lineRule="exact"/>
              <w:rPr>
                <w:color w:val="000000"/>
                <w:sz w:val="18"/>
                <w:szCs w:val="18"/>
              </w:rPr>
            </w:pPr>
          </w:p>
          <w:p w:rsidR="00725727" w:rsidP="00B2231D" w14:paraId="67B8099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725727" w:rsidP="00B2231D" w14:paraId="1A55788C" w14:textId="77777777">
            <w:pPr>
              <w:spacing w:line="120" w:lineRule="exact"/>
              <w:rPr>
                <w:color w:val="000000"/>
                <w:sz w:val="18"/>
                <w:szCs w:val="18"/>
              </w:rPr>
            </w:pPr>
          </w:p>
          <w:p w:rsidR="00725727" w:rsidP="00B2231D" w14:paraId="5BFE424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65FC66DD" w14:textId="77777777" w:rsidTr="00B2231D">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725727" w:rsidP="00B2231D" w14:paraId="2FB6EE4E" w14:textId="77777777">
            <w:pPr>
              <w:spacing w:line="120" w:lineRule="exact"/>
              <w:rPr>
                <w:color w:val="000000"/>
                <w:sz w:val="18"/>
                <w:szCs w:val="18"/>
              </w:rPr>
            </w:pPr>
          </w:p>
          <w:p w:rsidR="00725727" w:rsidP="00B2231D" w14:paraId="17E0E055"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725727" w:rsidP="00B2231D" w14:paraId="290AE6FC"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725727" w:rsidP="00B2231D" w14:paraId="224C1DAD" w14:textId="77777777">
            <w:pPr>
              <w:spacing w:line="120" w:lineRule="exact"/>
              <w:rPr>
                <w:color w:val="000000"/>
                <w:sz w:val="20"/>
                <w:szCs w:val="20"/>
              </w:rPr>
            </w:pPr>
          </w:p>
          <w:p w:rsidR="00725727" w:rsidP="00B2231D" w14:paraId="5D1B3E4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725727" w:rsidP="00B2231D" w14:paraId="7932029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725727" w:rsidP="00B2231D" w14:paraId="0E9B176E" w14:textId="77777777">
            <w:pPr>
              <w:spacing w:line="120" w:lineRule="exact"/>
              <w:rPr>
                <w:color w:val="000000"/>
                <w:sz w:val="20"/>
                <w:szCs w:val="20"/>
              </w:rPr>
            </w:pPr>
          </w:p>
          <w:p w:rsidR="00725727" w:rsidP="00B2231D" w14:paraId="6EDE9B1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725727" w:rsidP="00B2231D" w14:paraId="6CEFDFA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725727" w:rsidP="00B2231D" w14:paraId="4963C28A" w14:textId="77777777">
            <w:pPr>
              <w:spacing w:line="120" w:lineRule="exact"/>
              <w:rPr>
                <w:color w:val="000000"/>
                <w:sz w:val="20"/>
                <w:szCs w:val="20"/>
              </w:rPr>
            </w:pPr>
          </w:p>
          <w:p w:rsidR="00725727" w:rsidP="00B2231D" w14:paraId="132AFCE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725727" w:rsidP="00B2231D" w14:paraId="733407E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725727" w:rsidP="00B2231D" w14:paraId="2E20CDD0" w14:textId="77777777">
            <w:pPr>
              <w:spacing w:line="120" w:lineRule="exact"/>
              <w:rPr>
                <w:color w:val="000000"/>
                <w:sz w:val="20"/>
                <w:szCs w:val="20"/>
              </w:rPr>
            </w:pPr>
          </w:p>
          <w:p w:rsidR="00725727" w:rsidP="00B2231D" w14:paraId="3B847FC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725727" w:rsidP="00B2231D" w14:paraId="6525C4C3"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725727" w:rsidP="00B2231D" w14:paraId="74FA48C6" w14:textId="77777777">
            <w:pPr>
              <w:spacing w:line="120" w:lineRule="exact"/>
              <w:rPr>
                <w:color w:val="000000"/>
                <w:sz w:val="20"/>
                <w:szCs w:val="20"/>
              </w:rPr>
            </w:pPr>
          </w:p>
          <w:p w:rsidR="00725727" w:rsidP="00B2231D" w14:paraId="40C6CF4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725727" w:rsidP="00B2231D" w14:paraId="260A1695"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725727" w:rsidP="00B2231D" w14:paraId="6C11126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3A82325C" w14:textId="77777777" w:rsidTr="00B2231D">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725727" w:rsidP="00B2231D" w14:paraId="1F031D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725727" w:rsidP="00B2231D" w14:paraId="55A0E22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725727" w:rsidP="00B2231D" w14:paraId="181185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rsidR="00725727" w:rsidP="00B2231D" w14:paraId="7330FAB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725727" w:rsidP="00B2231D" w14:paraId="390EB62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725727" w:rsidP="00B2231D" w14:paraId="046F3CF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14:paraId="25935399" w14:textId="77777777" w:rsidTr="00B2231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25727" w:rsidP="00B2231D" w14:paraId="2FD2C5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725727" w:rsidP="00B2231D" w14:paraId="43EE627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25727" w:rsidP="00B2231D" w14:paraId="2B4428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725727" w:rsidP="00B2231D" w14:paraId="70E000D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25727" w:rsidP="00B2231D" w14:paraId="5C8C590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25727" w:rsidP="00B2231D" w14:paraId="0F4001D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14:paraId="2737B887" w14:textId="77777777" w:rsidTr="00B2231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725727" w:rsidP="00B2231D" w14:paraId="1FFADAC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725727" w:rsidP="00B2231D" w14:paraId="75A858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725727" w:rsidP="00B2231D" w14:paraId="56631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725727" w:rsidP="00B2231D" w14:paraId="33422EA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725727" w:rsidP="00B2231D" w14:paraId="0D04DE1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725727" w:rsidP="00B2231D" w14:paraId="0EC7EF6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14:paraId="52C2CC52" w14:textId="77777777" w:rsidTr="00B2231D">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725727" w:rsidP="00B2231D" w14:paraId="1FAEED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725727" w:rsidP="00B2231D" w14:paraId="14E4EA3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725727" w:rsidP="00B2231D" w14:paraId="2CFA5B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725727" w:rsidP="00B2231D" w14:paraId="1B822E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725727" w:rsidP="00B2231D" w14:paraId="6C3CB9A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725727" w:rsidRPr="00725727" w:rsidP="00B2231D" w14:paraId="70AA5D1B"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725727">
              <w:rPr>
                <w:b/>
                <w:bCs/>
                <w:color w:val="000000"/>
                <w:sz w:val="18"/>
                <w:szCs w:val="18"/>
              </w:rPr>
              <w:t>5</w:t>
            </w:r>
          </w:p>
        </w:tc>
      </w:tr>
    </w:tbl>
    <w:p w:rsidR="00725727" w:rsidRPr="00725727" w:rsidP="00725727" w14:paraId="1217895C" w14:textId="77777777">
      <w:pPr>
        <w:spacing w:after="0" w:line="240" w:lineRule="auto"/>
        <w:rPr>
          <w:rFonts w:ascii="Times New Roman" w:eastAsia="Times New Roman" w:hAnsi="Times New Roman" w:cs="Times New Roman"/>
          <w:color w:val="000000"/>
          <w:sz w:val="24"/>
          <w:szCs w:val="24"/>
        </w:rPr>
      </w:pPr>
      <w:r w:rsidRPr="00725727">
        <w:rPr>
          <w:rFonts w:ascii="Times New Roman" w:eastAsia="Times New Roman" w:hAnsi="Times New Roman" w:cs="Times New Roman"/>
          <w:color w:val="000000"/>
          <w:sz w:val="24"/>
          <w:szCs w:val="24"/>
          <w:vertAlign w:val="superscript"/>
        </w:rPr>
        <w:t>a</w:t>
      </w:r>
      <w:r w:rsidRPr="00725727">
        <w:rPr>
          <w:rFonts w:ascii="Times New Roman" w:eastAsia="Times New Roman" w:hAnsi="Times New Roman" w:cs="Times New Roman"/>
          <w:color w:val="000000"/>
          <w:sz w:val="24"/>
          <w:szCs w:val="24"/>
        </w:rPr>
        <w:t xml:space="preserve"> </w:t>
      </w:r>
      <w:r w:rsidRPr="00725727">
        <w:rPr>
          <w:rFonts w:ascii="Times New Roman" w:eastAsia="Times New Roman" w:hAnsi="Times New Roman" w:cs="Times New Roman"/>
          <w:color w:val="000000"/>
          <w:sz w:val="20"/>
          <w:szCs w:val="20"/>
        </w:rPr>
        <w:t>New respondents include sources with constructed, reconstructed and modified affected facilities.</w:t>
      </w:r>
      <w:r w:rsidRPr="00725727">
        <w:rPr>
          <w:rFonts w:ascii="Times New Roman" w:eastAsia="Times New Roman" w:hAnsi="Times New Roman" w:cs="Times New Roman"/>
          <w:color w:val="FF0000"/>
          <w:sz w:val="20"/>
          <w:szCs w:val="20"/>
        </w:rPr>
        <w:t xml:space="preserve"> </w:t>
      </w:r>
    </w:p>
    <w:p w:rsidR="00725727" w:rsidP="00BB3410" w14:paraId="5DFEADD4" w14:textId="77777777">
      <w:pPr>
        <w:pStyle w:val="ListParagraph"/>
        <w:spacing w:before="240"/>
        <w:ind w:left="0"/>
        <w:rPr>
          <w:rFonts w:cstheme="minorHAnsi"/>
          <w:b/>
          <w:bCs/>
          <w:sz w:val="24"/>
          <w:szCs w:val="24"/>
        </w:rPr>
      </w:pPr>
    </w:p>
    <w:p w:rsidR="00725727" w:rsidP="00BB3410" w14:paraId="5B8FFABB" w14:textId="77777777">
      <w:pPr>
        <w:pStyle w:val="ListParagraph"/>
        <w:spacing w:before="240"/>
        <w:ind w:left="0"/>
        <w:rPr>
          <w:rFonts w:cstheme="minorHAnsi"/>
          <w:b/>
          <w:bCs/>
          <w:sz w:val="24"/>
          <w:szCs w:val="24"/>
        </w:rPr>
      </w:pPr>
    </w:p>
    <w:p w:rsidR="00725727" w:rsidP="00BB3410" w14:paraId="44721449" w14:textId="77777777">
      <w:pPr>
        <w:pStyle w:val="ListParagraph"/>
        <w:spacing w:before="240"/>
        <w:ind w:left="0"/>
        <w:rPr>
          <w:rFonts w:cstheme="minorHAnsi"/>
          <w:b/>
          <w:bCs/>
          <w:sz w:val="24"/>
          <w:szCs w:val="24"/>
        </w:rPr>
      </w:pPr>
    </w:p>
    <w:p w:rsidR="00725727" w:rsidP="00BB3410" w14:paraId="5C52F9A1" w14:textId="77777777">
      <w:pPr>
        <w:pStyle w:val="ListParagraph"/>
        <w:spacing w:before="240"/>
        <w:ind w:left="0"/>
        <w:rPr>
          <w:rFonts w:cstheme="minorHAnsi"/>
          <w:b/>
          <w:bCs/>
          <w:sz w:val="24"/>
          <w:szCs w:val="24"/>
        </w:rPr>
      </w:pPr>
    </w:p>
    <w:p w:rsidR="00725727" w:rsidP="00BB3410" w14:paraId="7B11B603" w14:textId="77777777">
      <w:pPr>
        <w:pStyle w:val="ListParagraph"/>
        <w:spacing w:before="240"/>
        <w:ind w:left="0"/>
        <w:rPr>
          <w:rFonts w:cstheme="minorHAnsi"/>
          <w:b/>
          <w:bCs/>
          <w:sz w:val="24"/>
          <w:szCs w:val="24"/>
        </w:rPr>
      </w:pPr>
    </w:p>
    <w:p w:rsidR="00725727" w:rsidP="00BB3410" w14:paraId="6A92502A" w14:textId="77777777">
      <w:pPr>
        <w:pStyle w:val="ListParagraph"/>
        <w:spacing w:before="240"/>
        <w:ind w:left="0"/>
        <w:rPr>
          <w:rFonts w:cstheme="minorHAnsi"/>
          <w:b/>
          <w:bCs/>
          <w:sz w:val="24"/>
          <w:szCs w:val="24"/>
        </w:rPr>
      </w:pPr>
    </w:p>
    <w:p w:rsidR="00725727" w:rsidP="00BB3410" w14:paraId="2FCC1432" w14:textId="77777777">
      <w:pPr>
        <w:pStyle w:val="ListParagraph"/>
        <w:spacing w:before="240"/>
        <w:ind w:left="0"/>
        <w:rPr>
          <w:rFonts w:cstheme="minorHAnsi"/>
          <w:b/>
          <w:bCs/>
          <w:sz w:val="24"/>
          <w:szCs w:val="24"/>
        </w:rPr>
      </w:pPr>
    </w:p>
    <w:p w:rsidR="00725727" w:rsidP="00BB3410" w14:paraId="13ABED9C" w14:textId="77777777">
      <w:pPr>
        <w:pStyle w:val="ListParagraph"/>
        <w:spacing w:before="240"/>
        <w:ind w:left="0"/>
        <w:rPr>
          <w:rFonts w:cstheme="minorHAnsi"/>
          <w:b/>
          <w:bCs/>
          <w:sz w:val="24"/>
          <w:szCs w:val="24"/>
        </w:rPr>
      </w:pPr>
    </w:p>
    <w:p w:rsidR="00725727" w:rsidP="00BB3410" w14:paraId="04BFE09E" w14:textId="77777777">
      <w:pPr>
        <w:pStyle w:val="ListParagraph"/>
        <w:spacing w:before="240"/>
        <w:ind w:left="0"/>
        <w:rPr>
          <w:rFonts w:cstheme="minorHAnsi"/>
          <w:b/>
          <w:bCs/>
          <w:sz w:val="24"/>
          <w:szCs w:val="24"/>
        </w:rPr>
      </w:pPr>
    </w:p>
    <w:p w:rsidR="00DE5FD4" w:rsidP="00BB3410" w14:paraId="25C9AE64" w14:textId="77777777">
      <w:pPr>
        <w:pStyle w:val="ListParagraph"/>
        <w:spacing w:before="240"/>
        <w:ind w:left="0"/>
        <w:rPr>
          <w:rFonts w:cstheme="minorHAnsi"/>
          <w:b/>
          <w:bCs/>
          <w:sz w:val="24"/>
          <w:szCs w:val="24"/>
        </w:rPr>
      </w:pPr>
    </w:p>
    <w:p w:rsidR="00725727" w:rsidP="00BB3410" w14:paraId="631EC6DA" w14:textId="692B1DAA">
      <w:pPr>
        <w:pStyle w:val="ListParagraph"/>
        <w:spacing w:before="240"/>
        <w:ind w:left="0"/>
        <w:rPr>
          <w:rFonts w:cstheme="minorHAnsi"/>
          <w:b/>
          <w:bCs/>
          <w:sz w:val="24"/>
          <w:szCs w:val="24"/>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B679E81" w14:textId="77777777" w:rsidTr="00B2231D">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F4002" w:rsidP="00B2231D" w14:paraId="0B72B211" w14:textId="77777777">
            <w:pPr>
              <w:spacing w:line="120" w:lineRule="exact"/>
              <w:rPr>
                <w:color w:val="000000"/>
              </w:rPr>
            </w:pPr>
          </w:p>
          <w:p w:rsidR="00CF4002" w:rsidP="00B2231D" w14:paraId="4A25E8FA"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5AD15020" w14:textId="77777777" w:rsidTr="00B2231D">
        <w:tblPrEx>
          <w:tblW w:w="9180" w:type="dxa"/>
          <w:tblInd w:w="201" w:type="dxa"/>
          <w:tblLayout w:type="fixed"/>
          <w:tblCellMar>
            <w:left w:w="111" w:type="dxa"/>
            <w:right w:w="111" w:type="dxa"/>
          </w:tblCellMar>
          <w:tblLook w:val="0000"/>
        </w:tblPrEx>
        <w:tc>
          <w:tcPr>
            <w:tcW w:w="2700" w:type="dxa"/>
          </w:tcPr>
          <w:p w:rsidR="00CF4002" w:rsidP="00B2231D" w14:paraId="413892FB" w14:textId="77777777">
            <w:pPr>
              <w:spacing w:line="120" w:lineRule="exact"/>
              <w:jc w:val="center"/>
              <w:rPr>
                <w:b/>
                <w:bCs/>
                <w:color w:val="000000"/>
                <w:sz w:val="18"/>
                <w:szCs w:val="18"/>
              </w:rPr>
            </w:pPr>
          </w:p>
          <w:p w:rsidR="00CF4002" w:rsidP="00B2231D" w14:paraId="326B720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F4002" w:rsidP="00B2231D" w14:paraId="5F02AE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F4002" w:rsidP="00B2231D" w14:paraId="04F58E7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F4002" w:rsidP="00B2231D" w14:paraId="5B66C82A" w14:textId="77777777">
            <w:pPr>
              <w:spacing w:line="120" w:lineRule="exact"/>
              <w:jc w:val="center"/>
              <w:rPr>
                <w:color w:val="000000"/>
                <w:sz w:val="18"/>
                <w:szCs w:val="18"/>
              </w:rPr>
            </w:pPr>
          </w:p>
          <w:p w:rsidR="00CF4002" w:rsidP="00B2231D" w14:paraId="1119CCC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F4002" w:rsidP="00B2231D" w14:paraId="25D28A4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F4002" w:rsidP="00B2231D" w14:paraId="190F62F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F4002" w:rsidP="00B2231D" w14:paraId="7E538446" w14:textId="77777777">
            <w:pPr>
              <w:spacing w:line="120" w:lineRule="exact"/>
              <w:jc w:val="center"/>
              <w:rPr>
                <w:color w:val="000000"/>
                <w:sz w:val="18"/>
                <w:szCs w:val="18"/>
              </w:rPr>
            </w:pPr>
          </w:p>
          <w:p w:rsidR="00CF4002" w:rsidP="00B2231D" w14:paraId="650671A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F4002" w:rsidP="00B2231D" w14:paraId="4342259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F4002" w:rsidP="00B2231D" w14:paraId="5BA93EF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F4002" w:rsidP="00B2231D" w14:paraId="06E06DA9" w14:textId="77777777">
            <w:pPr>
              <w:spacing w:line="120" w:lineRule="exact"/>
              <w:jc w:val="center"/>
              <w:rPr>
                <w:color w:val="000000"/>
                <w:sz w:val="18"/>
                <w:szCs w:val="18"/>
              </w:rPr>
            </w:pPr>
          </w:p>
          <w:p w:rsidR="00CF4002" w:rsidP="00B2231D" w14:paraId="6ADB922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F4002" w:rsidP="00B2231D" w14:paraId="0482F75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F4002" w:rsidP="00B2231D" w14:paraId="2F58040C" w14:textId="77777777">
            <w:pPr>
              <w:spacing w:line="120" w:lineRule="exact"/>
              <w:jc w:val="center"/>
              <w:rPr>
                <w:color w:val="000000"/>
                <w:sz w:val="18"/>
                <w:szCs w:val="18"/>
              </w:rPr>
            </w:pPr>
          </w:p>
          <w:p w:rsidR="00CF4002" w:rsidP="00B2231D" w14:paraId="5EA01DB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F4002" w:rsidP="00B2231D" w14:paraId="3FA102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F4002" w:rsidP="00B2231D" w14:paraId="1EDB36C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0059B155"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8"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7BAADF7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Initial notification</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654C876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1260" w:type="dxa"/>
            <w:tcBorders>
              <w:top w:val="single" w:sz="8"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43F2DE2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8"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5742057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8"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1AD88B0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r>
      <w:tr w14:paraId="16A110DB"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0BF4C90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Notification of compliance status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48D1898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2996FDA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208D712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6D3B4A5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r>
      <w:tr w14:paraId="3264615B"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3C105C3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5AAEFF8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068DAB7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03F7003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35D11D7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r>
      <w:tr w14:paraId="56752100"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4FF7B4F4"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 xml:space="preserve">Notification of actual startup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6CE5C6C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460703A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1624DFC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1FA9F6F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r>
      <w:tr w14:paraId="029FD274"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667FD5B7"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 xml:space="preserve">Notification of performance test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5136A9B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3919C25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2C40B2C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491696B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0.2</w:t>
            </w:r>
          </w:p>
        </w:tc>
      </w:tr>
      <w:tr w14:paraId="5E800FEA"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485970ED"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Report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2A4E04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0E03E9A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472860D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7317435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0.2</w:t>
            </w:r>
          </w:p>
        </w:tc>
      </w:tr>
      <w:tr w14:paraId="437D75E8"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71EF68A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 xml:space="preserve">Semiannual report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088E0C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4C9101A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71F975C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0A2834C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10</w:t>
            </w:r>
          </w:p>
        </w:tc>
      </w:tr>
      <w:tr w14:paraId="5809D970"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CF4002" w:rsidRPr="00CF4002" w:rsidP="00CF4002" w14:paraId="3F21274A"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Excess emissions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75ED0BD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5</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21EBF54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F4002" w:rsidRPr="00CF4002" w:rsidP="00CF4002" w14:paraId="742E357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CF4002" w:rsidRPr="00CF4002" w:rsidP="00CF4002" w14:paraId="2BC5A2F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10</w:t>
            </w:r>
          </w:p>
        </w:tc>
      </w:tr>
      <w:tr w14:paraId="3169DB52" w14:textId="77777777" w:rsidTr="00CF4002">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CF4002" w:rsidRPr="00CF4002" w:rsidP="00CF4002" w14:paraId="0CE7734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CF4002">
              <w:rPr>
                <w:color w:val="000000"/>
                <w:sz w:val="18"/>
                <w:szCs w:val="18"/>
              </w:rPr>
              <w:t>Startup, shutdown, malfunction report</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CF4002" w:rsidRPr="00CF4002" w:rsidP="00CF4002" w14:paraId="263D6F1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CF4002" w:rsidRPr="00CF4002" w:rsidP="00CF4002" w14:paraId="1DDB7D1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1</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CF4002" w:rsidRPr="00CF4002" w:rsidP="00CF4002" w14:paraId="085B2DA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CF4002" w:rsidRPr="00CF4002" w:rsidP="00CF4002" w14:paraId="2CF440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F4002">
              <w:rPr>
                <w:color w:val="000000"/>
                <w:sz w:val="20"/>
                <w:szCs w:val="20"/>
              </w:rPr>
              <w:t>0</w:t>
            </w:r>
          </w:p>
        </w:tc>
      </w:tr>
      <w:tr w14:paraId="78776E4B" w14:textId="77777777" w:rsidTr="00EF6215">
        <w:tblPrEx>
          <w:tblW w:w="9180" w:type="dxa"/>
          <w:tblInd w:w="201" w:type="dxa"/>
          <w:tblLayout w:type="fixed"/>
          <w:tblCellMar>
            <w:left w:w="111" w:type="dxa"/>
            <w:right w:w="111" w:type="dxa"/>
          </w:tblCellMar>
          <w:tblLook w:val="0000"/>
        </w:tblPrEx>
        <w:trPr>
          <w:trHeight w:val="366"/>
        </w:trPr>
        <w:tc>
          <w:tcPr>
            <w:tcW w:w="2700" w:type="dxa"/>
            <w:vAlign w:val="center"/>
          </w:tcPr>
          <w:p w:rsidR="00CF4002" w:rsidP="00B2231D" w14:paraId="10972624"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rsidR="00CF4002" w:rsidP="00B2231D" w14:paraId="119EF2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rsidR="00CF4002" w:rsidP="00B2231D" w14:paraId="19C8B2B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rsidR="00CF4002" w:rsidRPr="00EF6215" w:rsidP="00EF6215" w14:paraId="437C2CFB" w14:textId="0E8E5F7E">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EF6215">
              <w:rPr>
                <w:b/>
                <w:bCs/>
                <w:color w:val="000000"/>
                <w:sz w:val="18"/>
                <w:szCs w:val="18"/>
              </w:rPr>
              <w:t>Total (rounded)</w:t>
            </w:r>
          </w:p>
        </w:tc>
        <w:tc>
          <w:tcPr>
            <w:tcW w:w="2070" w:type="dxa"/>
            <w:vAlign w:val="center"/>
          </w:tcPr>
          <w:p w:rsidR="00CF4002" w:rsidRPr="00EF6215" w:rsidP="00EF6215" w14:paraId="0DD67C9E" w14:textId="59346766">
            <w:pPr>
              <w:pBdr>
                <w:top w:val="single" w:sz="6" w:space="0" w:color="FFFFFF"/>
                <w:left w:val="single" w:sz="6" w:space="0" w:color="FFFFFF"/>
                <w:bottom w:val="single" w:sz="6" w:space="0" w:color="FFFFFF"/>
                <w:right w:val="single" w:sz="6" w:space="0" w:color="FFFFFF"/>
              </w:pBdr>
              <w:jc w:val="center"/>
              <w:rPr>
                <w:b/>
                <w:bCs/>
                <w:color w:val="FF0000"/>
                <w:sz w:val="18"/>
                <w:szCs w:val="18"/>
              </w:rPr>
            </w:pPr>
            <w:r w:rsidRPr="00EF6215">
              <w:rPr>
                <w:b/>
                <w:bCs/>
                <w:color w:val="000000"/>
                <w:sz w:val="18"/>
                <w:szCs w:val="18"/>
              </w:rPr>
              <w:t>20</w:t>
            </w:r>
          </w:p>
        </w:tc>
      </w:tr>
    </w:tbl>
    <w:p w:rsidR="00EF6215" w:rsidRPr="00EF6215" w:rsidP="00EF6215" w14:paraId="26802C23" w14:textId="77777777">
      <w:pPr>
        <w:spacing w:after="0" w:line="240" w:lineRule="auto"/>
        <w:rPr>
          <w:rFonts w:ascii="Times New Roman" w:eastAsia="Times New Roman" w:hAnsi="Times New Roman" w:cs="Times New Roman"/>
          <w:color w:val="000000"/>
          <w:sz w:val="20"/>
          <w:szCs w:val="20"/>
        </w:rPr>
      </w:pPr>
      <w:r w:rsidRPr="00EF6215">
        <w:rPr>
          <w:rFonts w:ascii="Times New Roman" w:eastAsia="Times New Roman" w:hAnsi="Times New Roman" w:cs="Times New Roman"/>
          <w:color w:val="000000"/>
          <w:sz w:val="20"/>
          <w:szCs w:val="20"/>
          <w:vertAlign w:val="superscript"/>
        </w:rPr>
        <w:t xml:space="preserve">a </w:t>
      </w:r>
      <w:r w:rsidRPr="00EF6215">
        <w:rPr>
          <w:rFonts w:ascii="Times New Roman" w:eastAsia="Times New Roman" w:hAnsi="Times New Roman" w:cs="Times New Roman"/>
          <w:color w:val="000000"/>
          <w:sz w:val="20"/>
          <w:szCs w:val="20"/>
        </w:rPr>
        <w:t>New respondents include sources with constructed, reconstructed and modified affected facilities.</w:t>
      </w:r>
      <w:r w:rsidRPr="00EF6215">
        <w:rPr>
          <w:rFonts w:ascii="Times New Roman" w:eastAsia="Times New Roman" w:hAnsi="Times New Roman" w:cs="Times New Roman"/>
          <w:color w:val="FF0000"/>
          <w:sz w:val="20"/>
          <w:szCs w:val="20"/>
        </w:rPr>
        <w:t xml:space="preserve"> </w:t>
      </w:r>
    </w:p>
    <w:p w:rsidR="00725727" w:rsidP="00BB3410" w14:paraId="04F44C2F" w14:textId="77777777">
      <w:pPr>
        <w:pStyle w:val="ListParagraph"/>
        <w:spacing w:before="240"/>
        <w:ind w:left="0"/>
        <w:rPr>
          <w:rFonts w:cstheme="minorHAnsi"/>
          <w:b/>
          <w:bCs/>
          <w:sz w:val="24"/>
          <w:szCs w:val="24"/>
        </w:rPr>
      </w:pPr>
    </w:p>
    <w:p w:rsidR="009D7EC1" w:rsidP="00BB3410" w14:paraId="06620F14" w14:textId="77777777">
      <w:pPr>
        <w:pStyle w:val="ListParagraph"/>
        <w:spacing w:before="240"/>
        <w:ind w:left="0"/>
        <w:rPr>
          <w:rFonts w:cstheme="minorHAnsi"/>
          <w:b/>
          <w:bCs/>
          <w:sz w:val="24"/>
          <w:szCs w:val="24"/>
        </w:rPr>
      </w:pPr>
    </w:p>
    <w:p w:rsidR="00EF6215" w:rsidP="00BB3410" w14:paraId="04014CF5" w14:textId="77777777">
      <w:pPr>
        <w:pStyle w:val="ListParagraph"/>
        <w:spacing w:before="240"/>
        <w:ind w:left="0"/>
        <w:rPr>
          <w:rFonts w:cstheme="minorHAnsi"/>
          <w:b/>
          <w:bCs/>
          <w:sz w:val="24"/>
          <w:szCs w:val="24"/>
        </w:rPr>
      </w:pPr>
    </w:p>
    <w:tbl>
      <w:tblPr>
        <w:tblW w:w="9360" w:type="dxa"/>
        <w:tblInd w:w="111" w:type="dxa"/>
        <w:tblLayout w:type="fixed"/>
        <w:tblCellMar>
          <w:left w:w="111" w:type="dxa"/>
          <w:right w:w="111" w:type="dxa"/>
        </w:tblCellMar>
        <w:tblLook w:val="0000"/>
      </w:tblPr>
      <w:tblGrid>
        <w:gridCol w:w="1170"/>
        <w:gridCol w:w="1530"/>
        <w:gridCol w:w="1260"/>
        <w:gridCol w:w="1440"/>
        <w:gridCol w:w="1350"/>
        <w:gridCol w:w="1260"/>
        <w:gridCol w:w="1350"/>
      </w:tblGrid>
      <w:tr w14:paraId="759FABFE" w14:textId="77777777" w:rsidTr="00B2231D">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D87EB4" w:rsidP="00B2231D" w14:paraId="05F3E80D" w14:textId="77777777">
            <w:pPr>
              <w:spacing w:line="120" w:lineRule="exact"/>
              <w:rPr>
                <w:color w:val="000000"/>
              </w:rPr>
            </w:pPr>
          </w:p>
          <w:p w:rsidR="00D87EB4" w:rsidP="00B2231D" w14:paraId="791A00D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5AF136B4" w14:textId="77777777" w:rsidTr="00D577A8">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D87EB4" w:rsidP="00B2231D" w14:paraId="099638C5" w14:textId="77777777">
            <w:pPr>
              <w:spacing w:line="120" w:lineRule="exact"/>
              <w:rPr>
                <w:b/>
                <w:bCs/>
                <w:color w:val="000000"/>
              </w:rPr>
            </w:pPr>
          </w:p>
          <w:p w:rsidR="00D87EB4" w:rsidP="00B2231D" w14:paraId="630C9D0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D87EB4" w:rsidP="00B2231D" w14:paraId="75F10FF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tcPr>
          <w:p w:rsidR="00D87EB4" w:rsidP="00B2231D" w14:paraId="3BFEBC04" w14:textId="77777777">
            <w:pPr>
              <w:spacing w:line="120" w:lineRule="exact"/>
              <w:rPr>
                <w:color w:val="000000"/>
                <w:sz w:val="20"/>
                <w:szCs w:val="20"/>
              </w:rPr>
            </w:pPr>
          </w:p>
          <w:p w:rsidR="00D87EB4" w:rsidP="00B2231D" w14:paraId="367FC95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D87EB4" w:rsidP="00B2231D" w14:paraId="5F5BA09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D87EB4" w:rsidP="00B2231D" w14:paraId="592C8B1C" w14:textId="77777777">
            <w:pPr>
              <w:spacing w:line="120" w:lineRule="exact"/>
              <w:rPr>
                <w:color w:val="000000"/>
                <w:sz w:val="20"/>
                <w:szCs w:val="20"/>
              </w:rPr>
            </w:pPr>
          </w:p>
          <w:p w:rsidR="00D87EB4" w:rsidP="00B2231D" w14:paraId="1CE18B3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D87EB4" w:rsidP="00B2231D" w14:paraId="13A7636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D87EB4" w:rsidP="00B2231D" w14:paraId="179C26E7" w14:textId="77777777">
            <w:pPr>
              <w:spacing w:line="120" w:lineRule="exact"/>
              <w:rPr>
                <w:color w:val="000000"/>
                <w:sz w:val="20"/>
                <w:szCs w:val="20"/>
              </w:rPr>
            </w:pPr>
          </w:p>
          <w:p w:rsidR="00D87EB4" w:rsidP="00B2231D" w14:paraId="5C8D3B4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D87EB4" w:rsidP="00B2231D" w14:paraId="3127874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D87EB4" w:rsidP="00B2231D" w14:paraId="547CA380" w14:textId="77777777">
            <w:pPr>
              <w:spacing w:line="120" w:lineRule="exact"/>
              <w:rPr>
                <w:color w:val="000000"/>
                <w:sz w:val="20"/>
                <w:szCs w:val="20"/>
              </w:rPr>
            </w:pPr>
          </w:p>
          <w:p w:rsidR="00D87EB4" w:rsidP="00B2231D" w14:paraId="4C994C0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D87EB4" w:rsidP="00B2231D" w14:paraId="3005886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D87EB4" w:rsidP="00B2231D" w14:paraId="5F4F6AB4" w14:textId="77777777">
            <w:pPr>
              <w:spacing w:line="120" w:lineRule="exact"/>
              <w:rPr>
                <w:color w:val="000000"/>
                <w:sz w:val="20"/>
                <w:szCs w:val="20"/>
              </w:rPr>
            </w:pPr>
          </w:p>
          <w:p w:rsidR="00D87EB4" w:rsidP="00B2231D" w14:paraId="04BD629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D87EB4" w:rsidP="00B2231D" w14:paraId="707B331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D87EB4" w:rsidP="00B2231D" w14:paraId="4163A7BD" w14:textId="77777777">
            <w:pPr>
              <w:spacing w:line="120" w:lineRule="exact"/>
              <w:rPr>
                <w:color w:val="000000"/>
                <w:sz w:val="20"/>
                <w:szCs w:val="20"/>
              </w:rPr>
            </w:pPr>
          </w:p>
          <w:p w:rsidR="00D87EB4" w:rsidP="00B2231D" w14:paraId="2726C1E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D87EB4" w:rsidP="00B2231D" w14:paraId="14EA406C"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D87EB4" w:rsidP="00B2231D" w14:paraId="79B61FDC"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6A77422A" w14:textId="77777777" w:rsidTr="00D577A8">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12E110EC"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577A8">
              <w:rPr>
                <w:color w:val="000000"/>
                <w:sz w:val="20"/>
                <w:szCs w:val="20"/>
              </w:rPr>
              <w:t xml:space="preserve">Testing </w:t>
            </w:r>
            <w:r w:rsidRPr="00D577A8">
              <w:rPr>
                <w:color w:val="000000"/>
                <w:sz w:val="20"/>
                <w:szCs w:val="20"/>
                <w:vertAlign w:val="superscript"/>
              </w:rPr>
              <w:t>a</w:t>
            </w:r>
          </w:p>
        </w:tc>
        <w:tc>
          <w:tcPr>
            <w:tcW w:w="153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5F52EE9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$18,750 / $14,063</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0B992F2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0.2</w:t>
            </w:r>
          </w:p>
        </w:tc>
        <w:tc>
          <w:tcPr>
            <w:tcW w:w="144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0EB248B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$9,375</w:t>
            </w:r>
          </w:p>
        </w:tc>
        <w:tc>
          <w:tcPr>
            <w:tcW w:w="135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689BE5F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3FD17CD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577A8" w:rsidRPr="00D577A8" w:rsidP="00D577A8" w14:paraId="62AEE43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w:t>
            </w:r>
          </w:p>
        </w:tc>
      </w:tr>
      <w:tr w14:paraId="2DFD23AA" w14:textId="77777777" w:rsidTr="00D577A8">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7C323A11"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577A8">
              <w:rPr>
                <w:color w:val="000000"/>
                <w:sz w:val="20"/>
                <w:szCs w:val="20"/>
              </w:rPr>
              <w:t xml:space="preserve">CPMS </w:t>
            </w:r>
            <w:r w:rsidRPr="00D577A8">
              <w:rPr>
                <w:color w:val="000000"/>
                <w:sz w:val="20"/>
                <w:szCs w:val="20"/>
                <w:vertAlign w:val="superscript"/>
              </w:rPr>
              <w:t>b</w:t>
            </w:r>
          </w:p>
        </w:tc>
        <w:tc>
          <w:tcPr>
            <w:tcW w:w="153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2DEAA5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$16,000</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1DD0554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5C64E7D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261E71B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$1,200</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78FDD1D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577A8" w:rsidRPr="00D577A8" w:rsidP="00D577A8" w14:paraId="3C69480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$6,000</w:t>
            </w:r>
          </w:p>
        </w:tc>
      </w:tr>
      <w:tr w14:paraId="43746EA4" w14:textId="77777777" w:rsidTr="00D577A8">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634DF28B"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577A8">
              <w:rPr>
                <w:color w:val="000000"/>
                <w:sz w:val="20"/>
                <w:szCs w:val="20"/>
              </w:rPr>
              <w:t xml:space="preserve">Totals (rounded) </w:t>
            </w:r>
            <w:r w:rsidRPr="00D577A8">
              <w:rPr>
                <w:color w:val="000000"/>
                <w:sz w:val="20"/>
                <w:szCs w:val="20"/>
                <w:vertAlign w:val="superscript"/>
              </w:rPr>
              <w:t>c</w:t>
            </w:r>
          </w:p>
        </w:tc>
        <w:tc>
          <w:tcPr>
            <w:tcW w:w="153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405EAAC5"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577A8">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0ACA0D1A"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D577A8">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04656781" w14:textId="50706935">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$9,380</w:t>
            </w:r>
          </w:p>
        </w:tc>
        <w:tc>
          <w:tcPr>
            <w:tcW w:w="135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41407729" w14:textId="0380F38B">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D577A8" w:rsidRPr="00D577A8" w:rsidP="00D577A8" w14:paraId="61283BAE" w14:textId="050BD47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shd w:val="clear" w:color="auto" w:fill="auto"/>
            <w:vAlign w:val="center"/>
          </w:tcPr>
          <w:p w:rsidR="00D577A8" w:rsidRPr="00D577A8" w:rsidP="00D577A8" w14:paraId="5F866F9B" w14:textId="31E1CEB0">
            <w:pPr>
              <w:pBdr>
                <w:top w:val="single" w:sz="6" w:space="0" w:color="FFFFFF"/>
                <w:left w:val="single" w:sz="6" w:space="0" w:color="FFFFFF"/>
                <w:bottom w:val="single" w:sz="6" w:space="0" w:color="FFFFFF"/>
                <w:right w:val="single" w:sz="6" w:space="0" w:color="FFFFFF"/>
              </w:pBdr>
              <w:jc w:val="center"/>
              <w:rPr>
                <w:color w:val="000000"/>
                <w:sz w:val="20"/>
                <w:szCs w:val="20"/>
              </w:rPr>
            </w:pPr>
            <w:r w:rsidRPr="00D577A8">
              <w:rPr>
                <w:color w:val="000000"/>
                <w:sz w:val="20"/>
                <w:szCs w:val="20"/>
              </w:rPr>
              <w:t>$6,000</w:t>
            </w:r>
          </w:p>
        </w:tc>
      </w:tr>
    </w:tbl>
    <w:p w:rsidR="004367E6" w:rsidRPr="00074310" w:rsidP="00BB3410" w14:paraId="1FE4E819" w14:textId="305967AB">
      <w:pPr>
        <w:pStyle w:val="ListParagraph"/>
        <w:spacing w:before="240"/>
        <w:ind w:left="0"/>
        <w:rPr>
          <w:rFonts w:cstheme="minorHAnsi"/>
          <w:sz w:val="20"/>
          <w:szCs w:val="20"/>
        </w:rPr>
      </w:pPr>
      <w:r w:rsidRPr="00074310">
        <w:rPr>
          <w:rFonts w:cstheme="minorHAnsi"/>
          <w:sz w:val="20"/>
          <w:szCs w:val="20"/>
          <w:vertAlign w:val="superscript"/>
        </w:rPr>
        <w:t>a</w:t>
      </w:r>
      <w:r w:rsidRPr="00074310" w:rsidR="00074310">
        <w:rPr>
          <w:rFonts w:cstheme="minorHAnsi"/>
          <w:sz w:val="20"/>
          <w:szCs w:val="20"/>
          <w:vertAlign w:val="superscript"/>
        </w:rPr>
        <w:t>.</w:t>
      </w:r>
      <w:r w:rsidRPr="004367E6">
        <w:rPr>
          <w:rFonts w:cstheme="minorHAnsi"/>
          <w:sz w:val="20"/>
          <w:szCs w:val="20"/>
        </w:rPr>
        <w:t xml:space="preserve"> We assume three add-on control devices at one facility will be required to conduct periodic performance testing once every five years (1 facility / 5 years = 0.2 facility per year). We assume that all three devices will be tested during one visit by a testing company. EPA assumes that the cost of testing is 25% less for the second unit and subsequent units at one site. Assuming the cost for testing one control device is $18,750, the cost for testing three control devices at one site is $18,750 + $14,063 + $14,063 = $46,876.</w:t>
      </w:r>
    </w:p>
    <w:p w:rsidR="004367E6" w:rsidRPr="00074310" w:rsidP="00BB3410" w14:paraId="36C2FE5E" w14:textId="2B54CECA">
      <w:pPr>
        <w:pStyle w:val="ListParagraph"/>
        <w:spacing w:before="240"/>
        <w:ind w:left="0"/>
        <w:rPr>
          <w:rFonts w:cstheme="minorHAnsi"/>
          <w:sz w:val="20"/>
          <w:szCs w:val="20"/>
        </w:rPr>
      </w:pPr>
      <w:r w:rsidRPr="00074310">
        <w:rPr>
          <w:rFonts w:cstheme="minorHAnsi"/>
          <w:sz w:val="20"/>
          <w:szCs w:val="20"/>
          <w:vertAlign w:val="superscript"/>
        </w:rPr>
        <w:t>b.</w:t>
      </w:r>
      <w:r w:rsidRPr="00074310">
        <w:rPr>
          <w:rFonts w:cstheme="minorHAnsi"/>
          <w:sz w:val="20"/>
          <w:szCs w:val="20"/>
        </w:rPr>
        <w:t xml:space="preserve"> CMPS is required for complying with operating limits such as RTO temperature monitoring.</w:t>
      </w:r>
    </w:p>
    <w:p w:rsidR="00074310" w:rsidRPr="00074310" w:rsidP="00BB3410" w14:paraId="76C7961F" w14:textId="6F8DDCB8">
      <w:pPr>
        <w:pStyle w:val="ListParagraph"/>
        <w:spacing w:before="240"/>
        <w:ind w:left="0"/>
        <w:rPr>
          <w:rFonts w:cstheme="minorHAnsi"/>
          <w:sz w:val="20"/>
          <w:szCs w:val="20"/>
        </w:rPr>
      </w:pPr>
      <w:r w:rsidRPr="00074310">
        <w:rPr>
          <w:rFonts w:cstheme="minorHAnsi"/>
          <w:sz w:val="20"/>
          <w:szCs w:val="20"/>
          <w:vertAlign w:val="superscript"/>
        </w:rPr>
        <w:t>c.</w:t>
      </w:r>
      <w:r w:rsidRPr="00074310">
        <w:rPr>
          <w:rFonts w:cstheme="minorHAnsi"/>
          <w:sz w:val="20"/>
          <w:szCs w:val="20"/>
        </w:rPr>
        <w:t xml:space="preserve"> Totals have been rounded to 3 significant figures. Figures may not add exactly due to rounding.</w:t>
      </w:r>
    </w:p>
    <w:p w:rsidR="004367E6" w:rsidRPr="00BB3410" w:rsidP="00BB3410" w14:paraId="071D42AE"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7A37B6"/>
    <w:multiLevelType w:val="hybridMultilevel"/>
    <w:tmpl w:val="CB1C95B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1"/>
  </w:num>
  <w:num w:numId="22" w16cid:durableId="1552418013">
    <w:abstractNumId w:val="14"/>
  </w:num>
  <w:num w:numId="23" w16cid:durableId="1598828334">
    <w:abstractNumId w:val="25"/>
  </w:num>
  <w:num w:numId="24" w16cid:durableId="2051031068">
    <w:abstractNumId w:val="0"/>
  </w:num>
  <w:num w:numId="25" w16cid:durableId="258569098">
    <w:abstractNumId w:val="16"/>
  </w:num>
  <w:num w:numId="26" w16cid:durableId="331181582">
    <w:abstractNumId w:val="18"/>
  </w:num>
  <w:num w:numId="27" w16cid:durableId="1015961391">
    <w:abstractNumId w:val="22"/>
  </w:num>
  <w:num w:numId="28" w16cid:durableId="6635842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317"/>
    <w:rsid w:val="00010EEE"/>
    <w:rsid w:val="000129E1"/>
    <w:rsid w:val="00013852"/>
    <w:rsid w:val="00013CE8"/>
    <w:rsid w:val="00014B10"/>
    <w:rsid w:val="00014D8C"/>
    <w:rsid w:val="00015FF6"/>
    <w:rsid w:val="0001637F"/>
    <w:rsid w:val="00017B90"/>
    <w:rsid w:val="00020791"/>
    <w:rsid w:val="00023EFE"/>
    <w:rsid w:val="000264A1"/>
    <w:rsid w:val="000267E1"/>
    <w:rsid w:val="0002790F"/>
    <w:rsid w:val="00030670"/>
    <w:rsid w:val="0003166C"/>
    <w:rsid w:val="00032552"/>
    <w:rsid w:val="00033219"/>
    <w:rsid w:val="00036CF2"/>
    <w:rsid w:val="00037107"/>
    <w:rsid w:val="00042F77"/>
    <w:rsid w:val="0004467E"/>
    <w:rsid w:val="000452DC"/>
    <w:rsid w:val="000459E3"/>
    <w:rsid w:val="000461BA"/>
    <w:rsid w:val="00046911"/>
    <w:rsid w:val="00047160"/>
    <w:rsid w:val="00050BB4"/>
    <w:rsid w:val="00051045"/>
    <w:rsid w:val="000521D6"/>
    <w:rsid w:val="00053570"/>
    <w:rsid w:val="000544D0"/>
    <w:rsid w:val="00054D2A"/>
    <w:rsid w:val="0005572E"/>
    <w:rsid w:val="0005629D"/>
    <w:rsid w:val="0005783D"/>
    <w:rsid w:val="00060163"/>
    <w:rsid w:val="0006085E"/>
    <w:rsid w:val="0006128A"/>
    <w:rsid w:val="00061A77"/>
    <w:rsid w:val="00061BCE"/>
    <w:rsid w:val="000627F1"/>
    <w:rsid w:val="00063CA7"/>
    <w:rsid w:val="00065167"/>
    <w:rsid w:val="00065411"/>
    <w:rsid w:val="00066059"/>
    <w:rsid w:val="00070074"/>
    <w:rsid w:val="00072334"/>
    <w:rsid w:val="000728E0"/>
    <w:rsid w:val="00073C3D"/>
    <w:rsid w:val="00074310"/>
    <w:rsid w:val="00074917"/>
    <w:rsid w:val="00074E51"/>
    <w:rsid w:val="00075913"/>
    <w:rsid w:val="00075C7A"/>
    <w:rsid w:val="000762A8"/>
    <w:rsid w:val="00076439"/>
    <w:rsid w:val="00076F0F"/>
    <w:rsid w:val="00077D8A"/>
    <w:rsid w:val="00082A72"/>
    <w:rsid w:val="00083D4A"/>
    <w:rsid w:val="00084BF3"/>
    <w:rsid w:val="00087ECB"/>
    <w:rsid w:val="00090627"/>
    <w:rsid w:val="00090750"/>
    <w:rsid w:val="000911D6"/>
    <w:rsid w:val="00091EB4"/>
    <w:rsid w:val="0009219E"/>
    <w:rsid w:val="000923D3"/>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5FD7"/>
    <w:rsid w:val="000B3576"/>
    <w:rsid w:val="000B461B"/>
    <w:rsid w:val="000B518C"/>
    <w:rsid w:val="000B57DD"/>
    <w:rsid w:val="000B61F2"/>
    <w:rsid w:val="000B6AAB"/>
    <w:rsid w:val="000B7BBA"/>
    <w:rsid w:val="000C04C0"/>
    <w:rsid w:val="000C0968"/>
    <w:rsid w:val="000C21A3"/>
    <w:rsid w:val="000C339D"/>
    <w:rsid w:val="000C41A7"/>
    <w:rsid w:val="000C43C8"/>
    <w:rsid w:val="000C608D"/>
    <w:rsid w:val="000C707E"/>
    <w:rsid w:val="000D224E"/>
    <w:rsid w:val="000D251E"/>
    <w:rsid w:val="000D2D5D"/>
    <w:rsid w:val="000D3C22"/>
    <w:rsid w:val="000D45B2"/>
    <w:rsid w:val="000D516A"/>
    <w:rsid w:val="000D5863"/>
    <w:rsid w:val="000D678B"/>
    <w:rsid w:val="000D6FA4"/>
    <w:rsid w:val="000E1158"/>
    <w:rsid w:val="000E184B"/>
    <w:rsid w:val="000E19CB"/>
    <w:rsid w:val="000E1FE8"/>
    <w:rsid w:val="000E3298"/>
    <w:rsid w:val="000E348B"/>
    <w:rsid w:val="000E5609"/>
    <w:rsid w:val="000E7DC1"/>
    <w:rsid w:val="000F0186"/>
    <w:rsid w:val="000F157C"/>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2736"/>
    <w:rsid w:val="001141DA"/>
    <w:rsid w:val="0011555E"/>
    <w:rsid w:val="00116064"/>
    <w:rsid w:val="001172FE"/>
    <w:rsid w:val="00117FE1"/>
    <w:rsid w:val="0012040F"/>
    <w:rsid w:val="001235F7"/>
    <w:rsid w:val="0013006A"/>
    <w:rsid w:val="00130CF9"/>
    <w:rsid w:val="001310E0"/>
    <w:rsid w:val="00132921"/>
    <w:rsid w:val="001329B3"/>
    <w:rsid w:val="00135EAD"/>
    <w:rsid w:val="00136237"/>
    <w:rsid w:val="00137EB8"/>
    <w:rsid w:val="001403DA"/>
    <w:rsid w:val="00141AC2"/>
    <w:rsid w:val="00143767"/>
    <w:rsid w:val="00145DAE"/>
    <w:rsid w:val="00146F35"/>
    <w:rsid w:val="00147B68"/>
    <w:rsid w:val="0015084F"/>
    <w:rsid w:val="00152A80"/>
    <w:rsid w:val="0015347D"/>
    <w:rsid w:val="00154A95"/>
    <w:rsid w:val="00160461"/>
    <w:rsid w:val="00161846"/>
    <w:rsid w:val="001636DA"/>
    <w:rsid w:val="00163C69"/>
    <w:rsid w:val="00164169"/>
    <w:rsid w:val="001641AA"/>
    <w:rsid w:val="00166B27"/>
    <w:rsid w:val="00170329"/>
    <w:rsid w:val="00170689"/>
    <w:rsid w:val="00170EB8"/>
    <w:rsid w:val="00171DC0"/>
    <w:rsid w:val="00173422"/>
    <w:rsid w:val="00173E50"/>
    <w:rsid w:val="00176BA8"/>
    <w:rsid w:val="001775F3"/>
    <w:rsid w:val="00180511"/>
    <w:rsid w:val="00184011"/>
    <w:rsid w:val="00184E65"/>
    <w:rsid w:val="00185251"/>
    <w:rsid w:val="00185A56"/>
    <w:rsid w:val="001861E6"/>
    <w:rsid w:val="001912D6"/>
    <w:rsid w:val="0019149E"/>
    <w:rsid w:val="0019182F"/>
    <w:rsid w:val="00191C72"/>
    <w:rsid w:val="001925B3"/>
    <w:rsid w:val="0019580A"/>
    <w:rsid w:val="00195BEB"/>
    <w:rsid w:val="0019768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B7BCF"/>
    <w:rsid w:val="001C0151"/>
    <w:rsid w:val="001C260A"/>
    <w:rsid w:val="001C2D48"/>
    <w:rsid w:val="001C3106"/>
    <w:rsid w:val="001C3BFF"/>
    <w:rsid w:val="001C3D5A"/>
    <w:rsid w:val="001C4634"/>
    <w:rsid w:val="001C6741"/>
    <w:rsid w:val="001C6C1E"/>
    <w:rsid w:val="001C6FA5"/>
    <w:rsid w:val="001C7470"/>
    <w:rsid w:val="001C7D52"/>
    <w:rsid w:val="001D01BB"/>
    <w:rsid w:val="001D294E"/>
    <w:rsid w:val="001D2B2E"/>
    <w:rsid w:val="001D2CC2"/>
    <w:rsid w:val="001D3AB6"/>
    <w:rsid w:val="001D47F8"/>
    <w:rsid w:val="001D4CDC"/>
    <w:rsid w:val="001D4D40"/>
    <w:rsid w:val="001D4F2F"/>
    <w:rsid w:val="001D51D8"/>
    <w:rsid w:val="001D5CED"/>
    <w:rsid w:val="001D6036"/>
    <w:rsid w:val="001E0924"/>
    <w:rsid w:val="001E211E"/>
    <w:rsid w:val="001E3A31"/>
    <w:rsid w:val="001E43D7"/>
    <w:rsid w:val="001E534A"/>
    <w:rsid w:val="001E548A"/>
    <w:rsid w:val="001E54CA"/>
    <w:rsid w:val="001E601A"/>
    <w:rsid w:val="001E6D9C"/>
    <w:rsid w:val="001E6E50"/>
    <w:rsid w:val="001E7480"/>
    <w:rsid w:val="001E74E1"/>
    <w:rsid w:val="001F0834"/>
    <w:rsid w:val="001F0D3B"/>
    <w:rsid w:val="001F1A52"/>
    <w:rsid w:val="001F1F14"/>
    <w:rsid w:val="001F34A5"/>
    <w:rsid w:val="001F370A"/>
    <w:rsid w:val="001F5541"/>
    <w:rsid w:val="001F723E"/>
    <w:rsid w:val="001F75D9"/>
    <w:rsid w:val="001F7B1A"/>
    <w:rsid w:val="001F7DF2"/>
    <w:rsid w:val="0020142E"/>
    <w:rsid w:val="00201886"/>
    <w:rsid w:val="0020334D"/>
    <w:rsid w:val="00205CFF"/>
    <w:rsid w:val="00206483"/>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983"/>
    <w:rsid w:val="00260FB7"/>
    <w:rsid w:val="002648CF"/>
    <w:rsid w:val="00265E45"/>
    <w:rsid w:val="00265FE7"/>
    <w:rsid w:val="00266006"/>
    <w:rsid w:val="00270940"/>
    <w:rsid w:val="00271D39"/>
    <w:rsid w:val="00273D08"/>
    <w:rsid w:val="00274931"/>
    <w:rsid w:val="00277635"/>
    <w:rsid w:val="00277A03"/>
    <w:rsid w:val="0028340E"/>
    <w:rsid w:val="00283764"/>
    <w:rsid w:val="00283AE9"/>
    <w:rsid w:val="00283C66"/>
    <w:rsid w:val="002843EA"/>
    <w:rsid w:val="002847BB"/>
    <w:rsid w:val="002853F5"/>
    <w:rsid w:val="00285782"/>
    <w:rsid w:val="00285A68"/>
    <w:rsid w:val="00286FA0"/>
    <w:rsid w:val="00287F94"/>
    <w:rsid w:val="00290BEB"/>
    <w:rsid w:val="00291493"/>
    <w:rsid w:val="00291589"/>
    <w:rsid w:val="002933D6"/>
    <w:rsid w:val="002946AC"/>
    <w:rsid w:val="0029755D"/>
    <w:rsid w:val="002A43D0"/>
    <w:rsid w:val="002A5285"/>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48D"/>
    <w:rsid w:val="002D3E1A"/>
    <w:rsid w:val="002E0316"/>
    <w:rsid w:val="002E0999"/>
    <w:rsid w:val="002E2569"/>
    <w:rsid w:val="002E4E93"/>
    <w:rsid w:val="002E595B"/>
    <w:rsid w:val="002E5BAD"/>
    <w:rsid w:val="002E6047"/>
    <w:rsid w:val="002E6D1D"/>
    <w:rsid w:val="002F0614"/>
    <w:rsid w:val="002F077A"/>
    <w:rsid w:val="002F10BE"/>
    <w:rsid w:val="002F13DA"/>
    <w:rsid w:val="002F15EB"/>
    <w:rsid w:val="002F3CE0"/>
    <w:rsid w:val="002F5EFD"/>
    <w:rsid w:val="002F6A76"/>
    <w:rsid w:val="00300363"/>
    <w:rsid w:val="003005BB"/>
    <w:rsid w:val="00303DE5"/>
    <w:rsid w:val="00304842"/>
    <w:rsid w:val="003060D3"/>
    <w:rsid w:val="00307411"/>
    <w:rsid w:val="00310FDB"/>
    <w:rsid w:val="00312370"/>
    <w:rsid w:val="00312F28"/>
    <w:rsid w:val="003132A5"/>
    <w:rsid w:val="00313941"/>
    <w:rsid w:val="003152B0"/>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21B1"/>
    <w:rsid w:val="00333489"/>
    <w:rsid w:val="0033751A"/>
    <w:rsid w:val="00342882"/>
    <w:rsid w:val="00342DB5"/>
    <w:rsid w:val="00343CEF"/>
    <w:rsid w:val="00344CB0"/>
    <w:rsid w:val="003467C8"/>
    <w:rsid w:val="00347C3C"/>
    <w:rsid w:val="0035079F"/>
    <w:rsid w:val="003527C1"/>
    <w:rsid w:val="00352C25"/>
    <w:rsid w:val="003565B6"/>
    <w:rsid w:val="00356A66"/>
    <w:rsid w:val="00357418"/>
    <w:rsid w:val="0036059B"/>
    <w:rsid w:val="003607FD"/>
    <w:rsid w:val="00360B75"/>
    <w:rsid w:val="00361737"/>
    <w:rsid w:val="00363F41"/>
    <w:rsid w:val="00366D56"/>
    <w:rsid w:val="00367871"/>
    <w:rsid w:val="00367DAD"/>
    <w:rsid w:val="0037007A"/>
    <w:rsid w:val="0037342A"/>
    <w:rsid w:val="00373CC8"/>
    <w:rsid w:val="003740D2"/>
    <w:rsid w:val="00374E24"/>
    <w:rsid w:val="00375E2A"/>
    <w:rsid w:val="00376609"/>
    <w:rsid w:val="0038330C"/>
    <w:rsid w:val="003856DC"/>
    <w:rsid w:val="003901B8"/>
    <w:rsid w:val="003A0E52"/>
    <w:rsid w:val="003A1D0D"/>
    <w:rsid w:val="003A2744"/>
    <w:rsid w:val="003A38FB"/>
    <w:rsid w:val="003A41A0"/>
    <w:rsid w:val="003A6BEF"/>
    <w:rsid w:val="003B04B9"/>
    <w:rsid w:val="003B0A8F"/>
    <w:rsid w:val="003B153D"/>
    <w:rsid w:val="003B4D4F"/>
    <w:rsid w:val="003C0ACA"/>
    <w:rsid w:val="003C0DBC"/>
    <w:rsid w:val="003C1314"/>
    <w:rsid w:val="003C16BD"/>
    <w:rsid w:val="003C1CF7"/>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67F9"/>
    <w:rsid w:val="003F72BB"/>
    <w:rsid w:val="00401C79"/>
    <w:rsid w:val="00402C51"/>
    <w:rsid w:val="00403FAB"/>
    <w:rsid w:val="00404886"/>
    <w:rsid w:val="0040643E"/>
    <w:rsid w:val="004064AA"/>
    <w:rsid w:val="0041026E"/>
    <w:rsid w:val="004113CD"/>
    <w:rsid w:val="00412B2A"/>
    <w:rsid w:val="00414BB8"/>
    <w:rsid w:val="00415248"/>
    <w:rsid w:val="00415988"/>
    <w:rsid w:val="00417612"/>
    <w:rsid w:val="00421125"/>
    <w:rsid w:val="0042383B"/>
    <w:rsid w:val="0042409F"/>
    <w:rsid w:val="00424DDE"/>
    <w:rsid w:val="00424F93"/>
    <w:rsid w:val="004252C1"/>
    <w:rsid w:val="0042541E"/>
    <w:rsid w:val="00427079"/>
    <w:rsid w:val="004306A8"/>
    <w:rsid w:val="00430CE0"/>
    <w:rsid w:val="00430EDC"/>
    <w:rsid w:val="00430FA6"/>
    <w:rsid w:val="00431D3F"/>
    <w:rsid w:val="00432AC2"/>
    <w:rsid w:val="004336B6"/>
    <w:rsid w:val="0043515D"/>
    <w:rsid w:val="004367E6"/>
    <w:rsid w:val="00436FD0"/>
    <w:rsid w:val="00437139"/>
    <w:rsid w:val="004377DB"/>
    <w:rsid w:val="00441783"/>
    <w:rsid w:val="004420DA"/>
    <w:rsid w:val="00444707"/>
    <w:rsid w:val="004455F6"/>
    <w:rsid w:val="00445751"/>
    <w:rsid w:val="004468C2"/>
    <w:rsid w:val="00446B8D"/>
    <w:rsid w:val="00450C44"/>
    <w:rsid w:val="004548C3"/>
    <w:rsid w:val="00456E33"/>
    <w:rsid w:val="00457914"/>
    <w:rsid w:val="004600ED"/>
    <w:rsid w:val="004620CA"/>
    <w:rsid w:val="00463285"/>
    <w:rsid w:val="00465846"/>
    <w:rsid w:val="00466349"/>
    <w:rsid w:val="00466B43"/>
    <w:rsid w:val="00470E22"/>
    <w:rsid w:val="00472D33"/>
    <w:rsid w:val="0047354F"/>
    <w:rsid w:val="00475BA6"/>
    <w:rsid w:val="00477D70"/>
    <w:rsid w:val="004831CC"/>
    <w:rsid w:val="00485567"/>
    <w:rsid w:val="004855BE"/>
    <w:rsid w:val="00486860"/>
    <w:rsid w:val="00491CC3"/>
    <w:rsid w:val="00491ED9"/>
    <w:rsid w:val="00492617"/>
    <w:rsid w:val="00495623"/>
    <w:rsid w:val="00496F19"/>
    <w:rsid w:val="0049718B"/>
    <w:rsid w:val="004A0C7A"/>
    <w:rsid w:val="004A16C7"/>
    <w:rsid w:val="004A2646"/>
    <w:rsid w:val="004A284B"/>
    <w:rsid w:val="004A2961"/>
    <w:rsid w:val="004A2CDE"/>
    <w:rsid w:val="004A3ABF"/>
    <w:rsid w:val="004A4B8D"/>
    <w:rsid w:val="004A5B46"/>
    <w:rsid w:val="004A6B13"/>
    <w:rsid w:val="004B0167"/>
    <w:rsid w:val="004B61C3"/>
    <w:rsid w:val="004B710E"/>
    <w:rsid w:val="004C17A6"/>
    <w:rsid w:val="004C1D2A"/>
    <w:rsid w:val="004C43EA"/>
    <w:rsid w:val="004C4445"/>
    <w:rsid w:val="004C53AD"/>
    <w:rsid w:val="004C6291"/>
    <w:rsid w:val="004C65F0"/>
    <w:rsid w:val="004C680C"/>
    <w:rsid w:val="004C6EC4"/>
    <w:rsid w:val="004C70C5"/>
    <w:rsid w:val="004C7205"/>
    <w:rsid w:val="004D0275"/>
    <w:rsid w:val="004D59E6"/>
    <w:rsid w:val="004D5E8D"/>
    <w:rsid w:val="004D6404"/>
    <w:rsid w:val="004E0ACD"/>
    <w:rsid w:val="004E1414"/>
    <w:rsid w:val="004E336F"/>
    <w:rsid w:val="004E3CB0"/>
    <w:rsid w:val="004E5457"/>
    <w:rsid w:val="004E572A"/>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C4F"/>
    <w:rsid w:val="00512F2D"/>
    <w:rsid w:val="00513479"/>
    <w:rsid w:val="0051499C"/>
    <w:rsid w:val="00515993"/>
    <w:rsid w:val="00517F46"/>
    <w:rsid w:val="00520209"/>
    <w:rsid w:val="0052076B"/>
    <w:rsid w:val="00524059"/>
    <w:rsid w:val="005263EC"/>
    <w:rsid w:val="00526DFC"/>
    <w:rsid w:val="00526FDF"/>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2869"/>
    <w:rsid w:val="00562BAB"/>
    <w:rsid w:val="005636FA"/>
    <w:rsid w:val="0056373A"/>
    <w:rsid w:val="00564A1B"/>
    <w:rsid w:val="00564BF4"/>
    <w:rsid w:val="00565A5E"/>
    <w:rsid w:val="00566F71"/>
    <w:rsid w:val="005675A6"/>
    <w:rsid w:val="00567E02"/>
    <w:rsid w:val="00571C92"/>
    <w:rsid w:val="00571D24"/>
    <w:rsid w:val="005723B9"/>
    <w:rsid w:val="005726BA"/>
    <w:rsid w:val="0057299B"/>
    <w:rsid w:val="00572E9F"/>
    <w:rsid w:val="00574C83"/>
    <w:rsid w:val="005761BA"/>
    <w:rsid w:val="005810DF"/>
    <w:rsid w:val="00583101"/>
    <w:rsid w:val="00583336"/>
    <w:rsid w:val="005836B3"/>
    <w:rsid w:val="00583AAC"/>
    <w:rsid w:val="00584D72"/>
    <w:rsid w:val="0058662D"/>
    <w:rsid w:val="005900C3"/>
    <w:rsid w:val="00590A21"/>
    <w:rsid w:val="005932EC"/>
    <w:rsid w:val="00593DAA"/>
    <w:rsid w:val="005966D8"/>
    <w:rsid w:val="0059769C"/>
    <w:rsid w:val="00597A92"/>
    <w:rsid w:val="005A0F75"/>
    <w:rsid w:val="005A129A"/>
    <w:rsid w:val="005A2ABF"/>
    <w:rsid w:val="005A35B4"/>
    <w:rsid w:val="005A422E"/>
    <w:rsid w:val="005A5CF7"/>
    <w:rsid w:val="005A7235"/>
    <w:rsid w:val="005A7BA6"/>
    <w:rsid w:val="005B4249"/>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0B09"/>
    <w:rsid w:val="00632312"/>
    <w:rsid w:val="00634E3C"/>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704"/>
    <w:rsid w:val="00660B98"/>
    <w:rsid w:val="00665EAF"/>
    <w:rsid w:val="00666566"/>
    <w:rsid w:val="00666D5A"/>
    <w:rsid w:val="00670852"/>
    <w:rsid w:val="00670897"/>
    <w:rsid w:val="00672A20"/>
    <w:rsid w:val="006737EC"/>
    <w:rsid w:val="006739CE"/>
    <w:rsid w:val="00676C39"/>
    <w:rsid w:val="0068304A"/>
    <w:rsid w:val="00683207"/>
    <w:rsid w:val="00686691"/>
    <w:rsid w:val="00686D59"/>
    <w:rsid w:val="00687254"/>
    <w:rsid w:val="00687583"/>
    <w:rsid w:val="00691828"/>
    <w:rsid w:val="00691A07"/>
    <w:rsid w:val="006921FB"/>
    <w:rsid w:val="00692B88"/>
    <w:rsid w:val="00693785"/>
    <w:rsid w:val="00693D40"/>
    <w:rsid w:val="00694BD3"/>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0734"/>
    <w:rsid w:val="006C1677"/>
    <w:rsid w:val="006C4CAA"/>
    <w:rsid w:val="006C68A7"/>
    <w:rsid w:val="006C7278"/>
    <w:rsid w:val="006C780F"/>
    <w:rsid w:val="006C79DB"/>
    <w:rsid w:val="006D09D6"/>
    <w:rsid w:val="006D1400"/>
    <w:rsid w:val="006D419B"/>
    <w:rsid w:val="006D68BC"/>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1F77"/>
    <w:rsid w:val="007020F8"/>
    <w:rsid w:val="007025A2"/>
    <w:rsid w:val="007029CB"/>
    <w:rsid w:val="00702E91"/>
    <w:rsid w:val="00702F36"/>
    <w:rsid w:val="00703FEF"/>
    <w:rsid w:val="00704459"/>
    <w:rsid w:val="007045C4"/>
    <w:rsid w:val="00704CBA"/>
    <w:rsid w:val="00706B15"/>
    <w:rsid w:val="00706F41"/>
    <w:rsid w:val="007072D8"/>
    <w:rsid w:val="0070751D"/>
    <w:rsid w:val="00710A21"/>
    <w:rsid w:val="007126A6"/>
    <w:rsid w:val="00712749"/>
    <w:rsid w:val="007128E1"/>
    <w:rsid w:val="007139DB"/>
    <w:rsid w:val="00714D14"/>
    <w:rsid w:val="00714E66"/>
    <w:rsid w:val="007167A3"/>
    <w:rsid w:val="00716971"/>
    <w:rsid w:val="007169A1"/>
    <w:rsid w:val="00716CE1"/>
    <w:rsid w:val="00716D1D"/>
    <w:rsid w:val="0072022C"/>
    <w:rsid w:val="00724442"/>
    <w:rsid w:val="00724815"/>
    <w:rsid w:val="00725727"/>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5A9"/>
    <w:rsid w:val="00747678"/>
    <w:rsid w:val="00750796"/>
    <w:rsid w:val="007534F8"/>
    <w:rsid w:val="00753BDD"/>
    <w:rsid w:val="0075404F"/>
    <w:rsid w:val="007558ED"/>
    <w:rsid w:val="007560F1"/>
    <w:rsid w:val="00762228"/>
    <w:rsid w:val="00763E34"/>
    <w:rsid w:val="00764EF9"/>
    <w:rsid w:val="007671D0"/>
    <w:rsid w:val="007674E8"/>
    <w:rsid w:val="00767F3F"/>
    <w:rsid w:val="00770A34"/>
    <w:rsid w:val="00770FC4"/>
    <w:rsid w:val="007711BC"/>
    <w:rsid w:val="007713C7"/>
    <w:rsid w:val="00772C87"/>
    <w:rsid w:val="00772D61"/>
    <w:rsid w:val="00775025"/>
    <w:rsid w:val="00776C0D"/>
    <w:rsid w:val="0077747C"/>
    <w:rsid w:val="00780787"/>
    <w:rsid w:val="00782636"/>
    <w:rsid w:val="007837C6"/>
    <w:rsid w:val="007838DA"/>
    <w:rsid w:val="0078463B"/>
    <w:rsid w:val="007853D4"/>
    <w:rsid w:val="007858BC"/>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7C3"/>
    <w:rsid w:val="007A5A6C"/>
    <w:rsid w:val="007A5EE5"/>
    <w:rsid w:val="007B00E3"/>
    <w:rsid w:val="007B14AA"/>
    <w:rsid w:val="007B22C1"/>
    <w:rsid w:val="007B2A30"/>
    <w:rsid w:val="007B41DD"/>
    <w:rsid w:val="007B5199"/>
    <w:rsid w:val="007B5773"/>
    <w:rsid w:val="007B74AA"/>
    <w:rsid w:val="007C055F"/>
    <w:rsid w:val="007C285F"/>
    <w:rsid w:val="007C3A41"/>
    <w:rsid w:val="007C6C9F"/>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1E28"/>
    <w:rsid w:val="007E2E4D"/>
    <w:rsid w:val="007E403E"/>
    <w:rsid w:val="007E4B86"/>
    <w:rsid w:val="007E6E0D"/>
    <w:rsid w:val="007E7C6A"/>
    <w:rsid w:val="007F11C3"/>
    <w:rsid w:val="007F1FD4"/>
    <w:rsid w:val="007F246C"/>
    <w:rsid w:val="007F2A90"/>
    <w:rsid w:val="007F5265"/>
    <w:rsid w:val="007F60B7"/>
    <w:rsid w:val="007F7757"/>
    <w:rsid w:val="0080187D"/>
    <w:rsid w:val="00801EB9"/>
    <w:rsid w:val="00802495"/>
    <w:rsid w:val="0080293D"/>
    <w:rsid w:val="00802D56"/>
    <w:rsid w:val="00803457"/>
    <w:rsid w:val="008042DB"/>
    <w:rsid w:val="00805C94"/>
    <w:rsid w:val="00806D50"/>
    <w:rsid w:val="00807B4F"/>
    <w:rsid w:val="008113AD"/>
    <w:rsid w:val="00811D22"/>
    <w:rsid w:val="00811FC2"/>
    <w:rsid w:val="008144DD"/>
    <w:rsid w:val="0081485B"/>
    <w:rsid w:val="00815A4C"/>
    <w:rsid w:val="00816010"/>
    <w:rsid w:val="008201BE"/>
    <w:rsid w:val="008202C9"/>
    <w:rsid w:val="008206F8"/>
    <w:rsid w:val="008208CD"/>
    <w:rsid w:val="008219AA"/>
    <w:rsid w:val="008240E3"/>
    <w:rsid w:val="00824837"/>
    <w:rsid w:val="00827596"/>
    <w:rsid w:val="0082798D"/>
    <w:rsid w:val="00830F44"/>
    <w:rsid w:val="008310D5"/>
    <w:rsid w:val="008316D7"/>
    <w:rsid w:val="00831944"/>
    <w:rsid w:val="00831B47"/>
    <w:rsid w:val="008343F1"/>
    <w:rsid w:val="008366EC"/>
    <w:rsid w:val="0083746C"/>
    <w:rsid w:val="00840AE4"/>
    <w:rsid w:val="008416DF"/>
    <w:rsid w:val="008443B3"/>
    <w:rsid w:val="00846433"/>
    <w:rsid w:val="0084668A"/>
    <w:rsid w:val="00850435"/>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0BC6"/>
    <w:rsid w:val="008815D2"/>
    <w:rsid w:val="00881794"/>
    <w:rsid w:val="00881CAD"/>
    <w:rsid w:val="00882F85"/>
    <w:rsid w:val="00883A58"/>
    <w:rsid w:val="00886FCD"/>
    <w:rsid w:val="0089326A"/>
    <w:rsid w:val="0089358E"/>
    <w:rsid w:val="00893F67"/>
    <w:rsid w:val="00894761"/>
    <w:rsid w:val="00895E6F"/>
    <w:rsid w:val="008A0297"/>
    <w:rsid w:val="008A034D"/>
    <w:rsid w:val="008A1004"/>
    <w:rsid w:val="008A15C2"/>
    <w:rsid w:val="008A2EFF"/>
    <w:rsid w:val="008A2F96"/>
    <w:rsid w:val="008A3206"/>
    <w:rsid w:val="008A34CB"/>
    <w:rsid w:val="008A3C57"/>
    <w:rsid w:val="008A474D"/>
    <w:rsid w:val="008A6835"/>
    <w:rsid w:val="008B0300"/>
    <w:rsid w:val="008B07A2"/>
    <w:rsid w:val="008B170E"/>
    <w:rsid w:val="008B37A1"/>
    <w:rsid w:val="008B4625"/>
    <w:rsid w:val="008B467F"/>
    <w:rsid w:val="008B511F"/>
    <w:rsid w:val="008B57B0"/>
    <w:rsid w:val="008C06CB"/>
    <w:rsid w:val="008C0C83"/>
    <w:rsid w:val="008C3F06"/>
    <w:rsid w:val="008C582D"/>
    <w:rsid w:val="008C6A5F"/>
    <w:rsid w:val="008C7F35"/>
    <w:rsid w:val="008D0B32"/>
    <w:rsid w:val="008D256D"/>
    <w:rsid w:val="008D2A1E"/>
    <w:rsid w:val="008D2CA0"/>
    <w:rsid w:val="008D3B33"/>
    <w:rsid w:val="008D4703"/>
    <w:rsid w:val="008D659E"/>
    <w:rsid w:val="008D6656"/>
    <w:rsid w:val="008E2B3A"/>
    <w:rsid w:val="008E3EF5"/>
    <w:rsid w:val="008E4DC6"/>
    <w:rsid w:val="008E5584"/>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308"/>
    <w:rsid w:val="00902767"/>
    <w:rsid w:val="00902BB7"/>
    <w:rsid w:val="009048BF"/>
    <w:rsid w:val="00910722"/>
    <w:rsid w:val="00911E06"/>
    <w:rsid w:val="009124E7"/>
    <w:rsid w:val="00912F15"/>
    <w:rsid w:val="00916658"/>
    <w:rsid w:val="00916674"/>
    <w:rsid w:val="00916D23"/>
    <w:rsid w:val="0091768B"/>
    <w:rsid w:val="00921B62"/>
    <w:rsid w:val="00922AA7"/>
    <w:rsid w:val="00922C6F"/>
    <w:rsid w:val="00922D6B"/>
    <w:rsid w:val="00923155"/>
    <w:rsid w:val="009246DC"/>
    <w:rsid w:val="00925391"/>
    <w:rsid w:val="009254E0"/>
    <w:rsid w:val="00925B78"/>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57E"/>
    <w:rsid w:val="00944C1D"/>
    <w:rsid w:val="00945D12"/>
    <w:rsid w:val="00946AF5"/>
    <w:rsid w:val="00947133"/>
    <w:rsid w:val="0095052F"/>
    <w:rsid w:val="00951121"/>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33C1"/>
    <w:rsid w:val="00975BE8"/>
    <w:rsid w:val="00976A58"/>
    <w:rsid w:val="009776DF"/>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39E1"/>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E7936"/>
    <w:rsid w:val="009F06DE"/>
    <w:rsid w:val="009F1184"/>
    <w:rsid w:val="009F1E00"/>
    <w:rsid w:val="009F2D8F"/>
    <w:rsid w:val="009F3011"/>
    <w:rsid w:val="009F3018"/>
    <w:rsid w:val="009F45ED"/>
    <w:rsid w:val="00A02D1A"/>
    <w:rsid w:val="00A03078"/>
    <w:rsid w:val="00A0627A"/>
    <w:rsid w:val="00A10781"/>
    <w:rsid w:val="00A10C30"/>
    <w:rsid w:val="00A12B93"/>
    <w:rsid w:val="00A12BD8"/>
    <w:rsid w:val="00A15F64"/>
    <w:rsid w:val="00A227AA"/>
    <w:rsid w:val="00A233E0"/>
    <w:rsid w:val="00A24F5B"/>
    <w:rsid w:val="00A25219"/>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5C4A"/>
    <w:rsid w:val="00AA67A0"/>
    <w:rsid w:val="00AA74E9"/>
    <w:rsid w:val="00AB58D2"/>
    <w:rsid w:val="00AB6C82"/>
    <w:rsid w:val="00AC105E"/>
    <w:rsid w:val="00AC1131"/>
    <w:rsid w:val="00AC1727"/>
    <w:rsid w:val="00AC1AC4"/>
    <w:rsid w:val="00AC5472"/>
    <w:rsid w:val="00AD15AC"/>
    <w:rsid w:val="00AD1B66"/>
    <w:rsid w:val="00AD1CFF"/>
    <w:rsid w:val="00AD2447"/>
    <w:rsid w:val="00AD3F78"/>
    <w:rsid w:val="00AD46F7"/>
    <w:rsid w:val="00AE026A"/>
    <w:rsid w:val="00AE1346"/>
    <w:rsid w:val="00AE152D"/>
    <w:rsid w:val="00AE2594"/>
    <w:rsid w:val="00AE274D"/>
    <w:rsid w:val="00AE3624"/>
    <w:rsid w:val="00AE3760"/>
    <w:rsid w:val="00AE3F7E"/>
    <w:rsid w:val="00AE63B1"/>
    <w:rsid w:val="00AE7A5F"/>
    <w:rsid w:val="00AE7BE7"/>
    <w:rsid w:val="00AE7FC5"/>
    <w:rsid w:val="00AF1D99"/>
    <w:rsid w:val="00AF21ED"/>
    <w:rsid w:val="00AF2486"/>
    <w:rsid w:val="00AF24FA"/>
    <w:rsid w:val="00AF309F"/>
    <w:rsid w:val="00AF322E"/>
    <w:rsid w:val="00AF3D20"/>
    <w:rsid w:val="00AF4218"/>
    <w:rsid w:val="00AF6F5C"/>
    <w:rsid w:val="00B027C5"/>
    <w:rsid w:val="00B02874"/>
    <w:rsid w:val="00B044B2"/>
    <w:rsid w:val="00B04655"/>
    <w:rsid w:val="00B04A5C"/>
    <w:rsid w:val="00B06750"/>
    <w:rsid w:val="00B07337"/>
    <w:rsid w:val="00B11B2A"/>
    <w:rsid w:val="00B127DB"/>
    <w:rsid w:val="00B13545"/>
    <w:rsid w:val="00B13DEC"/>
    <w:rsid w:val="00B15AEE"/>
    <w:rsid w:val="00B15B9E"/>
    <w:rsid w:val="00B222EC"/>
    <w:rsid w:val="00B2231D"/>
    <w:rsid w:val="00B22810"/>
    <w:rsid w:val="00B22F84"/>
    <w:rsid w:val="00B2326A"/>
    <w:rsid w:val="00B23E0D"/>
    <w:rsid w:val="00B24852"/>
    <w:rsid w:val="00B26757"/>
    <w:rsid w:val="00B31C31"/>
    <w:rsid w:val="00B35F22"/>
    <w:rsid w:val="00B37C28"/>
    <w:rsid w:val="00B400AE"/>
    <w:rsid w:val="00B434D7"/>
    <w:rsid w:val="00B45BEF"/>
    <w:rsid w:val="00B47058"/>
    <w:rsid w:val="00B4732E"/>
    <w:rsid w:val="00B5068E"/>
    <w:rsid w:val="00B51024"/>
    <w:rsid w:val="00B5191B"/>
    <w:rsid w:val="00B524A9"/>
    <w:rsid w:val="00B578B9"/>
    <w:rsid w:val="00B603E4"/>
    <w:rsid w:val="00B62988"/>
    <w:rsid w:val="00B6361B"/>
    <w:rsid w:val="00B63B97"/>
    <w:rsid w:val="00B65237"/>
    <w:rsid w:val="00B666CD"/>
    <w:rsid w:val="00B67894"/>
    <w:rsid w:val="00B71142"/>
    <w:rsid w:val="00B72371"/>
    <w:rsid w:val="00B737EF"/>
    <w:rsid w:val="00B74D25"/>
    <w:rsid w:val="00B7519D"/>
    <w:rsid w:val="00B7701D"/>
    <w:rsid w:val="00B77C81"/>
    <w:rsid w:val="00B80F76"/>
    <w:rsid w:val="00B818B8"/>
    <w:rsid w:val="00B81A2E"/>
    <w:rsid w:val="00B82E99"/>
    <w:rsid w:val="00B83587"/>
    <w:rsid w:val="00B8407F"/>
    <w:rsid w:val="00B8491D"/>
    <w:rsid w:val="00B85B34"/>
    <w:rsid w:val="00B8742C"/>
    <w:rsid w:val="00B90437"/>
    <w:rsid w:val="00B92005"/>
    <w:rsid w:val="00B92284"/>
    <w:rsid w:val="00B92927"/>
    <w:rsid w:val="00B9379D"/>
    <w:rsid w:val="00B93F50"/>
    <w:rsid w:val="00B9424F"/>
    <w:rsid w:val="00B9504D"/>
    <w:rsid w:val="00B957FA"/>
    <w:rsid w:val="00B95BD0"/>
    <w:rsid w:val="00B9602F"/>
    <w:rsid w:val="00BA1A18"/>
    <w:rsid w:val="00BA45E6"/>
    <w:rsid w:val="00BA5E6F"/>
    <w:rsid w:val="00BA5F8A"/>
    <w:rsid w:val="00BB0D04"/>
    <w:rsid w:val="00BB29FA"/>
    <w:rsid w:val="00BB2B15"/>
    <w:rsid w:val="00BB3410"/>
    <w:rsid w:val="00BB432F"/>
    <w:rsid w:val="00BB49A7"/>
    <w:rsid w:val="00BB49C0"/>
    <w:rsid w:val="00BB5C21"/>
    <w:rsid w:val="00BB6E13"/>
    <w:rsid w:val="00BB6F4C"/>
    <w:rsid w:val="00BB6FB5"/>
    <w:rsid w:val="00BB753F"/>
    <w:rsid w:val="00BB7977"/>
    <w:rsid w:val="00BB7DA0"/>
    <w:rsid w:val="00BB7FF2"/>
    <w:rsid w:val="00BC0B1A"/>
    <w:rsid w:val="00BC1522"/>
    <w:rsid w:val="00BC1BF0"/>
    <w:rsid w:val="00BC258D"/>
    <w:rsid w:val="00BC3541"/>
    <w:rsid w:val="00BC3DD2"/>
    <w:rsid w:val="00BD12E4"/>
    <w:rsid w:val="00BD2B27"/>
    <w:rsid w:val="00BD4AB4"/>
    <w:rsid w:val="00BD6B16"/>
    <w:rsid w:val="00BE03A9"/>
    <w:rsid w:val="00BE12E1"/>
    <w:rsid w:val="00BE1B26"/>
    <w:rsid w:val="00BE1F44"/>
    <w:rsid w:val="00BE3D6F"/>
    <w:rsid w:val="00BE4548"/>
    <w:rsid w:val="00BE53BF"/>
    <w:rsid w:val="00BE5580"/>
    <w:rsid w:val="00BE6205"/>
    <w:rsid w:val="00BE63D7"/>
    <w:rsid w:val="00BF0CAD"/>
    <w:rsid w:val="00BF2700"/>
    <w:rsid w:val="00BF2A34"/>
    <w:rsid w:val="00BF2DF6"/>
    <w:rsid w:val="00BF36E8"/>
    <w:rsid w:val="00BF5699"/>
    <w:rsid w:val="00BF6721"/>
    <w:rsid w:val="00BF6C47"/>
    <w:rsid w:val="00C02D9A"/>
    <w:rsid w:val="00C033E9"/>
    <w:rsid w:val="00C0389F"/>
    <w:rsid w:val="00C04326"/>
    <w:rsid w:val="00C046AD"/>
    <w:rsid w:val="00C047BB"/>
    <w:rsid w:val="00C054E3"/>
    <w:rsid w:val="00C066B7"/>
    <w:rsid w:val="00C07AAE"/>
    <w:rsid w:val="00C07D74"/>
    <w:rsid w:val="00C111F6"/>
    <w:rsid w:val="00C11ED5"/>
    <w:rsid w:val="00C13B84"/>
    <w:rsid w:val="00C13EFF"/>
    <w:rsid w:val="00C14B7B"/>
    <w:rsid w:val="00C14D9D"/>
    <w:rsid w:val="00C1628D"/>
    <w:rsid w:val="00C20372"/>
    <w:rsid w:val="00C2356F"/>
    <w:rsid w:val="00C24C6C"/>
    <w:rsid w:val="00C25A7A"/>
    <w:rsid w:val="00C2600C"/>
    <w:rsid w:val="00C26DDC"/>
    <w:rsid w:val="00C27150"/>
    <w:rsid w:val="00C27DFA"/>
    <w:rsid w:val="00C30469"/>
    <w:rsid w:val="00C3183C"/>
    <w:rsid w:val="00C3214D"/>
    <w:rsid w:val="00C32359"/>
    <w:rsid w:val="00C32D5B"/>
    <w:rsid w:val="00C33E98"/>
    <w:rsid w:val="00C347F1"/>
    <w:rsid w:val="00C34842"/>
    <w:rsid w:val="00C36AEE"/>
    <w:rsid w:val="00C36E61"/>
    <w:rsid w:val="00C375CA"/>
    <w:rsid w:val="00C4086C"/>
    <w:rsid w:val="00C40E1C"/>
    <w:rsid w:val="00C4298A"/>
    <w:rsid w:val="00C42F7B"/>
    <w:rsid w:val="00C441E0"/>
    <w:rsid w:val="00C44A9E"/>
    <w:rsid w:val="00C457F1"/>
    <w:rsid w:val="00C45979"/>
    <w:rsid w:val="00C47AFE"/>
    <w:rsid w:val="00C51043"/>
    <w:rsid w:val="00C51D4B"/>
    <w:rsid w:val="00C538F7"/>
    <w:rsid w:val="00C541C4"/>
    <w:rsid w:val="00C54E17"/>
    <w:rsid w:val="00C54FDB"/>
    <w:rsid w:val="00C573BC"/>
    <w:rsid w:val="00C579D1"/>
    <w:rsid w:val="00C60DDA"/>
    <w:rsid w:val="00C613DC"/>
    <w:rsid w:val="00C6228D"/>
    <w:rsid w:val="00C63846"/>
    <w:rsid w:val="00C67D9C"/>
    <w:rsid w:val="00C705CE"/>
    <w:rsid w:val="00C706D7"/>
    <w:rsid w:val="00C72590"/>
    <w:rsid w:val="00C72CCD"/>
    <w:rsid w:val="00C733F7"/>
    <w:rsid w:val="00C74197"/>
    <w:rsid w:val="00C752ED"/>
    <w:rsid w:val="00C754FD"/>
    <w:rsid w:val="00C76FDB"/>
    <w:rsid w:val="00C80081"/>
    <w:rsid w:val="00C80E50"/>
    <w:rsid w:val="00C81982"/>
    <w:rsid w:val="00C81A3E"/>
    <w:rsid w:val="00C81E8A"/>
    <w:rsid w:val="00C83ECD"/>
    <w:rsid w:val="00C8408B"/>
    <w:rsid w:val="00C843F4"/>
    <w:rsid w:val="00C86ABE"/>
    <w:rsid w:val="00C8720B"/>
    <w:rsid w:val="00C87C08"/>
    <w:rsid w:val="00C87E71"/>
    <w:rsid w:val="00C91270"/>
    <w:rsid w:val="00C9141A"/>
    <w:rsid w:val="00C916DE"/>
    <w:rsid w:val="00C93634"/>
    <w:rsid w:val="00C943C6"/>
    <w:rsid w:val="00C94C38"/>
    <w:rsid w:val="00C94D70"/>
    <w:rsid w:val="00C9517E"/>
    <w:rsid w:val="00C96032"/>
    <w:rsid w:val="00C96BDE"/>
    <w:rsid w:val="00CA27B9"/>
    <w:rsid w:val="00CA32FE"/>
    <w:rsid w:val="00CA4137"/>
    <w:rsid w:val="00CA5A38"/>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6E89"/>
    <w:rsid w:val="00CD1614"/>
    <w:rsid w:val="00CD1836"/>
    <w:rsid w:val="00CD275E"/>
    <w:rsid w:val="00CD2EF7"/>
    <w:rsid w:val="00CD38AB"/>
    <w:rsid w:val="00CD4100"/>
    <w:rsid w:val="00CD4338"/>
    <w:rsid w:val="00CD4809"/>
    <w:rsid w:val="00CD5A92"/>
    <w:rsid w:val="00CE0942"/>
    <w:rsid w:val="00CE1EF9"/>
    <w:rsid w:val="00CE2CB1"/>
    <w:rsid w:val="00CE3ACF"/>
    <w:rsid w:val="00CE3D99"/>
    <w:rsid w:val="00CE4292"/>
    <w:rsid w:val="00CE4DEB"/>
    <w:rsid w:val="00CE4F47"/>
    <w:rsid w:val="00CE5752"/>
    <w:rsid w:val="00CE6F2D"/>
    <w:rsid w:val="00CF23B4"/>
    <w:rsid w:val="00CF242E"/>
    <w:rsid w:val="00CF4002"/>
    <w:rsid w:val="00CF413A"/>
    <w:rsid w:val="00CF4631"/>
    <w:rsid w:val="00CF5A3C"/>
    <w:rsid w:val="00CF5EFF"/>
    <w:rsid w:val="00D00106"/>
    <w:rsid w:val="00D00D33"/>
    <w:rsid w:val="00D01A8F"/>
    <w:rsid w:val="00D0369D"/>
    <w:rsid w:val="00D04072"/>
    <w:rsid w:val="00D043F3"/>
    <w:rsid w:val="00D10B82"/>
    <w:rsid w:val="00D12D20"/>
    <w:rsid w:val="00D14A68"/>
    <w:rsid w:val="00D163B0"/>
    <w:rsid w:val="00D17BB9"/>
    <w:rsid w:val="00D210DB"/>
    <w:rsid w:val="00D225E2"/>
    <w:rsid w:val="00D234AD"/>
    <w:rsid w:val="00D24AC0"/>
    <w:rsid w:val="00D253BF"/>
    <w:rsid w:val="00D26124"/>
    <w:rsid w:val="00D27E38"/>
    <w:rsid w:val="00D31DCE"/>
    <w:rsid w:val="00D33817"/>
    <w:rsid w:val="00D34F98"/>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458"/>
    <w:rsid w:val="00D517F0"/>
    <w:rsid w:val="00D5260D"/>
    <w:rsid w:val="00D54334"/>
    <w:rsid w:val="00D544EC"/>
    <w:rsid w:val="00D55926"/>
    <w:rsid w:val="00D55EB1"/>
    <w:rsid w:val="00D57716"/>
    <w:rsid w:val="00D577A8"/>
    <w:rsid w:val="00D61EDC"/>
    <w:rsid w:val="00D64254"/>
    <w:rsid w:val="00D71532"/>
    <w:rsid w:val="00D73509"/>
    <w:rsid w:val="00D73DBE"/>
    <w:rsid w:val="00D73E09"/>
    <w:rsid w:val="00D74290"/>
    <w:rsid w:val="00D74D4B"/>
    <w:rsid w:val="00D76DB3"/>
    <w:rsid w:val="00D77C8D"/>
    <w:rsid w:val="00D841AF"/>
    <w:rsid w:val="00D87764"/>
    <w:rsid w:val="00D87EB4"/>
    <w:rsid w:val="00D90653"/>
    <w:rsid w:val="00D92ED6"/>
    <w:rsid w:val="00D9599C"/>
    <w:rsid w:val="00D97661"/>
    <w:rsid w:val="00DA4019"/>
    <w:rsid w:val="00DA4E0C"/>
    <w:rsid w:val="00DA53F8"/>
    <w:rsid w:val="00DA7843"/>
    <w:rsid w:val="00DA7E80"/>
    <w:rsid w:val="00DB0E66"/>
    <w:rsid w:val="00DB13CB"/>
    <w:rsid w:val="00DB523F"/>
    <w:rsid w:val="00DB52E0"/>
    <w:rsid w:val="00DB5898"/>
    <w:rsid w:val="00DB5E95"/>
    <w:rsid w:val="00DB6062"/>
    <w:rsid w:val="00DB7775"/>
    <w:rsid w:val="00DB799B"/>
    <w:rsid w:val="00DC1889"/>
    <w:rsid w:val="00DC1EEC"/>
    <w:rsid w:val="00DC2D99"/>
    <w:rsid w:val="00DC57CD"/>
    <w:rsid w:val="00DC63E5"/>
    <w:rsid w:val="00DC6593"/>
    <w:rsid w:val="00DD2682"/>
    <w:rsid w:val="00DD35B0"/>
    <w:rsid w:val="00DD4E7A"/>
    <w:rsid w:val="00DD56FD"/>
    <w:rsid w:val="00DD6533"/>
    <w:rsid w:val="00DD718B"/>
    <w:rsid w:val="00DE15D8"/>
    <w:rsid w:val="00DE26D9"/>
    <w:rsid w:val="00DE3DF8"/>
    <w:rsid w:val="00DE45EC"/>
    <w:rsid w:val="00DE4E0C"/>
    <w:rsid w:val="00DE50FF"/>
    <w:rsid w:val="00DE5FD4"/>
    <w:rsid w:val="00DE60DC"/>
    <w:rsid w:val="00DE66E7"/>
    <w:rsid w:val="00DE68CB"/>
    <w:rsid w:val="00DE6902"/>
    <w:rsid w:val="00DF0955"/>
    <w:rsid w:val="00DF3AA1"/>
    <w:rsid w:val="00DF4973"/>
    <w:rsid w:val="00DF6030"/>
    <w:rsid w:val="00DF7E5D"/>
    <w:rsid w:val="00E00589"/>
    <w:rsid w:val="00E0183A"/>
    <w:rsid w:val="00E0220E"/>
    <w:rsid w:val="00E034D9"/>
    <w:rsid w:val="00E03FC8"/>
    <w:rsid w:val="00E04947"/>
    <w:rsid w:val="00E070E9"/>
    <w:rsid w:val="00E076DF"/>
    <w:rsid w:val="00E10927"/>
    <w:rsid w:val="00E128B1"/>
    <w:rsid w:val="00E14467"/>
    <w:rsid w:val="00E14BF3"/>
    <w:rsid w:val="00E16410"/>
    <w:rsid w:val="00E205A3"/>
    <w:rsid w:val="00E21D2F"/>
    <w:rsid w:val="00E23855"/>
    <w:rsid w:val="00E2389F"/>
    <w:rsid w:val="00E25157"/>
    <w:rsid w:val="00E26F89"/>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3C6"/>
    <w:rsid w:val="00E74511"/>
    <w:rsid w:val="00E74729"/>
    <w:rsid w:val="00E75438"/>
    <w:rsid w:val="00E75DBD"/>
    <w:rsid w:val="00E776D0"/>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3EE"/>
    <w:rsid w:val="00EA3AE4"/>
    <w:rsid w:val="00EA4A33"/>
    <w:rsid w:val="00EA58E6"/>
    <w:rsid w:val="00EA5D83"/>
    <w:rsid w:val="00EA6184"/>
    <w:rsid w:val="00EA6BDC"/>
    <w:rsid w:val="00EA7AD4"/>
    <w:rsid w:val="00EB00A2"/>
    <w:rsid w:val="00EB0A8E"/>
    <w:rsid w:val="00EB0C83"/>
    <w:rsid w:val="00EB1912"/>
    <w:rsid w:val="00EB1C08"/>
    <w:rsid w:val="00EB2A3A"/>
    <w:rsid w:val="00EB3472"/>
    <w:rsid w:val="00EB34A6"/>
    <w:rsid w:val="00EB4C2F"/>
    <w:rsid w:val="00EC04E3"/>
    <w:rsid w:val="00EC0D68"/>
    <w:rsid w:val="00EC1141"/>
    <w:rsid w:val="00EC11F9"/>
    <w:rsid w:val="00EC122D"/>
    <w:rsid w:val="00EC1979"/>
    <w:rsid w:val="00EC230D"/>
    <w:rsid w:val="00EC5598"/>
    <w:rsid w:val="00EC6B27"/>
    <w:rsid w:val="00EC700B"/>
    <w:rsid w:val="00EC7AEE"/>
    <w:rsid w:val="00ED0082"/>
    <w:rsid w:val="00ED0CE3"/>
    <w:rsid w:val="00ED1842"/>
    <w:rsid w:val="00ED1C59"/>
    <w:rsid w:val="00ED2C2E"/>
    <w:rsid w:val="00ED31BD"/>
    <w:rsid w:val="00ED3B08"/>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6215"/>
    <w:rsid w:val="00EF71E8"/>
    <w:rsid w:val="00EF7A31"/>
    <w:rsid w:val="00EF7B2E"/>
    <w:rsid w:val="00EF7D9F"/>
    <w:rsid w:val="00F0015C"/>
    <w:rsid w:val="00F02003"/>
    <w:rsid w:val="00F04813"/>
    <w:rsid w:val="00F0667A"/>
    <w:rsid w:val="00F0705E"/>
    <w:rsid w:val="00F071BE"/>
    <w:rsid w:val="00F10CF0"/>
    <w:rsid w:val="00F12BA5"/>
    <w:rsid w:val="00F13918"/>
    <w:rsid w:val="00F15CFE"/>
    <w:rsid w:val="00F171C6"/>
    <w:rsid w:val="00F1773A"/>
    <w:rsid w:val="00F17AC5"/>
    <w:rsid w:val="00F17D15"/>
    <w:rsid w:val="00F17E88"/>
    <w:rsid w:val="00F17F8C"/>
    <w:rsid w:val="00F2237E"/>
    <w:rsid w:val="00F229AC"/>
    <w:rsid w:val="00F249B7"/>
    <w:rsid w:val="00F252CD"/>
    <w:rsid w:val="00F2554C"/>
    <w:rsid w:val="00F25A78"/>
    <w:rsid w:val="00F265D9"/>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363E"/>
    <w:rsid w:val="00F53D55"/>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06B"/>
    <w:rsid w:val="00F85BB1"/>
    <w:rsid w:val="00F8697C"/>
    <w:rsid w:val="00F904F9"/>
    <w:rsid w:val="00F90ACE"/>
    <w:rsid w:val="00F9157A"/>
    <w:rsid w:val="00F916E8"/>
    <w:rsid w:val="00F91707"/>
    <w:rsid w:val="00F919C9"/>
    <w:rsid w:val="00F91EF0"/>
    <w:rsid w:val="00F92596"/>
    <w:rsid w:val="00F94728"/>
    <w:rsid w:val="00F95973"/>
    <w:rsid w:val="00F96E01"/>
    <w:rsid w:val="00FA0F0D"/>
    <w:rsid w:val="00FA243A"/>
    <w:rsid w:val="00FA4C93"/>
    <w:rsid w:val="00FA5FC1"/>
    <w:rsid w:val="00FA60B6"/>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6D1"/>
    <w:rsid w:val="00FC7E37"/>
    <w:rsid w:val="00FD0324"/>
    <w:rsid w:val="00FD071A"/>
    <w:rsid w:val="00FD0D81"/>
    <w:rsid w:val="00FD3EF8"/>
    <w:rsid w:val="00FD5089"/>
    <w:rsid w:val="00FD54EB"/>
    <w:rsid w:val="00FD7196"/>
    <w:rsid w:val="00FE090D"/>
    <w:rsid w:val="00FE0BEA"/>
    <w:rsid w:val="00FE0D6A"/>
    <w:rsid w:val="00FE2C1F"/>
    <w:rsid w:val="00FE4665"/>
    <w:rsid w:val="00FE539F"/>
    <w:rsid w:val="00FE6D59"/>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2024-10-22T18:22:29+00:00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2006/documentManagement/types"/>
    <ds:schemaRef ds:uri="http://purl.org/dc/elements/1.1/"/>
    <ds:schemaRef ds:uri="4d6aed1e-57d3-46e3-9aba-f706adbce63b"/>
    <ds:schemaRef ds:uri="http://schemas.microsoft.com/office/infopath/2007/PartnerControls"/>
    <ds:schemaRef ds:uri="http://purl.org/dc/terms/"/>
    <ds:schemaRef ds:uri="http://schemas.openxmlformats.org/package/2006/metadata/core-properties"/>
    <ds:schemaRef ds:uri="1891fcec-84c2-4840-9468-b51a784ab0d1"/>
    <ds:schemaRef ds:uri="http://www.w3.org/XML/1998/namespace"/>
    <ds:schemaRef ds:uri="http://purl.org/dc/dcmitype/"/>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A23B7107-8F88-4530-9E43-426A88D0E073}">
  <ds:schemaRefs>
    <ds:schemaRef ds:uri="Microsoft.SharePoint.Taxonomy.ContentTypeSync"/>
  </ds:schemaRefs>
</ds:datastoreItem>
</file>

<file path=customXml/itemProps5.xml><?xml version="1.0" encoding="utf-8"?>
<ds:datastoreItem xmlns:ds="http://schemas.openxmlformats.org/officeDocument/2006/customXml" ds:itemID="{7598A480-EE25-4D13-AB65-8B7AD8BE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Pages>
  <Words>6866</Words>
  <Characters>39137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284</cp:revision>
  <dcterms:created xsi:type="dcterms:W3CDTF">2024-03-01T17:59:00Z</dcterms:created>
  <dcterms:modified xsi:type="dcterms:W3CDTF">2025-02-28T20:05:00Z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