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9164C8" w:rsidP="00940939" w14:paraId="0CA0107B" w14:textId="41050AA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Cs/>
          <w:color w:val="000000" w:themeColor="text1"/>
          <w:sz w:val="22"/>
          <w:szCs w:val="22"/>
        </w:rPr>
      </w:pPr>
      <w:r>
        <w:rPr>
          <w:rFonts w:asciiTheme="minorHAnsi" w:hAnsiTheme="minorHAnsi" w:cstheme="minorHAnsi"/>
          <w:b/>
          <w:bCs/>
          <w:color w:val="000000" w:themeColor="text1"/>
          <w:sz w:val="22"/>
          <w:szCs w:val="22"/>
        </w:rPr>
        <w:t xml:space="preserve">TITLE: </w:t>
      </w:r>
      <w:r w:rsidRPr="009164C8" w:rsidR="009164C8">
        <w:rPr>
          <w:rFonts w:asciiTheme="minorHAnsi" w:hAnsiTheme="minorHAnsi" w:cstheme="minorHAnsi"/>
          <w:bCs/>
          <w:color w:val="000000" w:themeColor="text1"/>
          <w:sz w:val="22"/>
          <w:szCs w:val="22"/>
        </w:rPr>
        <w:t>NESHAP for Chemical Recovery Combustion Sources at Kraft, Soda, Sulfite, and Stand-Alone Semichemical Pulp Mills (40 CFR Part 63, Subpart MM) (Renewal)</w:t>
      </w:r>
    </w:p>
    <w:p w:rsidR="00EE2403" w:rsidRPr="008B3B3E" w:rsidP="00940939" w14:paraId="71D5121E" w14:textId="40A1F99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9164C8">
        <w:rPr>
          <w:rFonts w:asciiTheme="minorHAnsi" w:hAnsiTheme="minorHAnsi" w:cstheme="minorHAnsi"/>
          <w:color w:val="000000" w:themeColor="text1"/>
          <w:sz w:val="22"/>
          <w:szCs w:val="22"/>
        </w:rPr>
        <w:t>2060-0377</w:t>
      </w:r>
    </w:p>
    <w:p w:rsidR="00EE2403" w:rsidRPr="008B3B3E" w:rsidP="00940939" w14:paraId="4FB77BCA" w14:textId="552F3C8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9164C8">
        <w:rPr>
          <w:rFonts w:asciiTheme="minorHAnsi" w:hAnsiTheme="minorHAnsi" w:cstheme="minorHAnsi"/>
          <w:color w:val="000000" w:themeColor="text1"/>
          <w:sz w:val="22"/>
          <w:szCs w:val="22"/>
        </w:rPr>
        <w:t>1805.12</w:t>
      </w:r>
    </w:p>
    <w:p w:rsidR="0011244C" w:rsidP="002943D2" w14:paraId="671E1787" w14:textId="3449D5B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9164C8" w:rsidRPr="009164C8" w:rsidP="009164C8" w14:paraId="20B40DF4" w14:textId="02F06D9D">
      <w:pPr>
        <w:widowControl w:val="0"/>
        <w:autoSpaceDE w:val="0"/>
        <w:autoSpaceDN w:val="0"/>
        <w:adjustRightInd w:val="0"/>
        <w:spacing w:line="259" w:lineRule="auto"/>
        <w:ind w:left="0" w:firstLine="0"/>
        <w:rPr>
          <w:rFonts w:eastAsia="Times New Roman" w:cstheme="minorHAnsi"/>
          <w:color w:val="000000"/>
        </w:rPr>
      </w:pPr>
      <w:r w:rsidRPr="009164C8">
        <w:rPr>
          <w:rFonts w:eastAsia="Times New Roman" w:cstheme="minorHAnsi"/>
          <w:color w:val="000000"/>
        </w:rPr>
        <w:t xml:space="preserve">The </w:t>
      </w:r>
      <w:r w:rsidRPr="009164C8">
        <w:rPr>
          <w:rFonts w:eastAsia="Times New Roman" w:cstheme="minorHAnsi"/>
        </w:rPr>
        <w:t xml:space="preserve">National Emission Standards for Hazardous Air Pollutants (NESHAP) </w:t>
      </w:r>
      <w:r w:rsidRPr="009164C8">
        <w:rPr>
          <w:rFonts w:eastAsia="Times New Roman" w:cstheme="minorHAnsi"/>
          <w:color w:val="000000"/>
        </w:rPr>
        <w:t xml:space="preserve">for the regulations published at </w:t>
      </w:r>
      <w:r w:rsidRPr="009164C8">
        <w:rPr>
          <w:rFonts w:eastAsia="Times New Roman" w:cstheme="minorHAnsi"/>
        </w:rPr>
        <w:t>40 CFR Part 63, Subpart MM</w:t>
      </w:r>
      <w:r w:rsidRPr="009164C8">
        <w:rPr>
          <w:rFonts w:eastAsia="Times New Roman" w:cstheme="minorHAnsi"/>
          <w:color w:val="000000"/>
        </w:rPr>
        <w:t xml:space="preserve"> </w:t>
      </w:r>
      <w:r w:rsidRPr="009164C8">
        <w:rPr>
          <w:rFonts w:eastAsia="Times New Roman" w:cstheme="minorHAnsi"/>
        </w:rPr>
        <w:t xml:space="preserve">were proposed </w:t>
      </w:r>
      <w:r w:rsidRPr="009164C8">
        <w:rPr>
          <w:rFonts w:eastAsia="Times New Roman" w:cstheme="minorHAnsi"/>
          <w:color w:val="000000"/>
        </w:rPr>
        <w:t>on April 15, 1998; promulgated on January 12, 2001; and amended on April 20, 2006, October 11, 2017, November 5, 2020, and November 19, 2020.</w:t>
      </w:r>
      <w:r w:rsidRPr="009164C8">
        <w:rPr>
          <w:rFonts w:eastAsia="Times New Roman" w:cstheme="minorHAnsi"/>
        </w:rPr>
        <w:t xml:space="preserve"> </w:t>
      </w:r>
      <w:r w:rsidRPr="009164C8">
        <w:rPr>
          <w:rFonts w:eastAsia="Times New Roman" w:cstheme="minorHAnsi"/>
          <w:color w:val="000000"/>
        </w:rPr>
        <w:t xml:space="preserve">These regulations apply to new and existing chemical recovery combustion sources at kraft, soda, sulfite, and stand-alone semichemical pulp mills, for which the chemical recovery combustion sources emit greater than or equal to 10 tons per year (tpy) of any one hazardous air pollutant (HAP) or greater than or equal to 25 tpy of any combination of HAPs. New affected facilities include those that commenced construction or reconstruction after the April 15, </w:t>
      </w:r>
      <w:r w:rsidRPr="009164C8">
        <w:rPr>
          <w:rFonts w:eastAsia="Times New Roman" w:cstheme="minorHAnsi"/>
          <w:color w:val="000000"/>
        </w:rPr>
        <w:t>1998</w:t>
      </w:r>
      <w:r w:rsidRPr="009164C8">
        <w:rPr>
          <w:rFonts w:eastAsia="Times New Roman" w:cstheme="minorHAnsi"/>
          <w:color w:val="000000"/>
        </w:rPr>
        <w:t xml:space="preserve"> proposal. This information is being collected to assure compliance with 40 CFR Part 63, Subpart MM.</w:t>
      </w:r>
    </w:p>
    <w:p w:rsidR="009164C8" w:rsidRPr="009164C8" w:rsidP="009164C8" w14:paraId="1A5F5590" w14:textId="3A541571">
      <w:pPr>
        <w:widowControl w:val="0"/>
        <w:autoSpaceDE w:val="0"/>
        <w:autoSpaceDN w:val="0"/>
        <w:adjustRightInd w:val="0"/>
        <w:spacing w:line="259" w:lineRule="auto"/>
        <w:ind w:left="0" w:firstLine="0"/>
        <w:rPr>
          <w:rFonts w:eastAsia="Times New Roman" w:cstheme="minorHAnsi"/>
          <w:color w:val="000000"/>
        </w:rPr>
      </w:pPr>
      <w:r w:rsidRPr="009164C8">
        <w:rPr>
          <w:rFonts w:eastAsia="Times New Roman" w:cstheme="minorHAnsi"/>
          <w:color w:val="000000"/>
        </w:rPr>
        <w:t>In general, all</w:t>
      </w:r>
      <w:r w:rsidRPr="009164C8">
        <w:rPr>
          <w:rFonts w:eastAsia="Times New Roman" w:cstheme="minorHAnsi"/>
        </w:rPr>
        <w:t xml:space="preserve">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sidRPr="009164C8">
        <w:rPr>
          <w:rFonts w:eastAsia="Times New Roman" w:cstheme="minorHAnsi"/>
          <w:color w:val="000000"/>
        </w:rPr>
        <w:t xml:space="preserve">. </w:t>
      </w:r>
    </w:p>
    <w:p w:rsidR="009164C8" w:rsidRPr="009164C8" w:rsidP="009164C8" w14:paraId="128C537A" w14:textId="7BF02C1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9164C8">
        <w:rPr>
          <w:rFonts w:eastAsia="Times New Roman" w:cstheme="minorHAnsi"/>
          <w:color w:val="000000"/>
        </w:rPr>
        <w:t xml:space="preserve">Any owner/operator subject to the provisions of this part shall maintain a file of these </w:t>
      </w:r>
      <w:r w:rsidRPr="009164C8">
        <w:rPr>
          <w:rFonts w:eastAsia="Times New Roman" w:cstheme="minorHAnsi"/>
          <w:color w:val="000000"/>
        </w:rPr>
        <w:t>measurements, and</w:t>
      </w:r>
      <w:r w:rsidRPr="009164C8">
        <w:rPr>
          <w:rFonts w:eastAsia="Times New Roman" w:cstheme="minorHAnsi"/>
          <w:color w:val="000000"/>
        </w:rPr>
        <w:t xml:space="preserve"> retain the file for at least </w:t>
      </w:r>
      <w:r w:rsidRPr="009164C8">
        <w:rPr>
          <w:rFonts w:eastAsia="Times New Roman" w:cstheme="minorHAnsi"/>
        </w:rPr>
        <w:t>five</w:t>
      </w:r>
      <w:r w:rsidRPr="009164C8">
        <w:rPr>
          <w:rFonts w:eastAsia="Times New Roman" w:cstheme="minorHAnsi"/>
          <w:color w:val="000000"/>
        </w:rPr>
        <w:t xml:space="preserve"> years following the date of such measurements, maintenance reports, and records. </w:t>
      </w:r>
      <w:r w:rsidRPr="009164C8">
        <w:rPr>
          <w:rFonts w:eastAsia="Times New Roman" w:cstheme="minorHAnsi"/>
        </w:rPr>
        <w:t>All reports required to be submitted electronically are s</w:t>
      </w:r>
      <w:r w:rsidRPr="009164C8">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9164C8">
        <w:rPr>
          <w:rFonts w:eastAsia="Times New Roman" w:cstheme="minorHAnsi"/>
          <w:shd w:val="clear" w:color="auto" w:fill="FFFFFF"/>
        </w:rPr>
        <w:t>In the event that</w:t>
      </w:r>
      <w:r w:rsidRPr="009164C8">
        <w:rPr>
          <w:rFonts w:eastAsia="Times New Roman" w:cstheme="minorHAnsi"/>
          <w:shd w:val="clear" w:color="auto" w:fill="FFFFFF"/>
        </w:rPr>
        <w:t xml:space="preserve"> there is no such delegated authority, the EPA regional office can review them. </w:t>
      </w:r>
      <w:r w:rsidRPr="009164C8">
        <w:rPr>
          <w:rFonts w:eastAsia="Times New Roman" w:cstheme="minorHAnsi"/>
        </w:rPr>
        <w:t>All other reports are s</w:t>
      </w:r>
      <w:r w:rsidRPr="009164C8">
        <w:rPr>
          <w:rFonts w:eastAsia="Times New Roman" w:cstheme="minorHAnsi"/>
          <w:shd w:val="clear" w:color="auto" w:fill="FFFFFF"/>
        </w:rPr>
        <w:t>ent to the delegated state or local authority. </w:t>
      </w:r>
      <w:r w:rsidRPr="009164C8">
        <w:rPr>
          <w:rFonts w:eastAsia="Times New Roman" w:cstheme="minorHAnsi"/>
          <w:shd w:val="clear" w:color="auto" w:fill="FFFFFF"/>
        </w:rPr>
        <w:t>In the event that</w:t>
      </w:r>
      <w:r w:rsidRPr="009164C8">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9164C8" w:rsidRPr="009164C8" w:rsidP="009164C8" w14:paraId="23E96BE1" w14:textId="55FAC75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9164C8">
        <w:rPr>
          <w:rFonts w:eastAsia="Times New Roman" w:cstheme="minorHAnsi"/>
        </w:rPr>
        <w:t xml:space="preserve">The “Affected Public” includes owners and operators of affected facilities at kraft, soda, sulfite, and stand-alone semichemical pulp mills. The “burden” to the Affected Public may be found below in Table 1: Annual Respondent Burden and Cost – NESHAP for Chemical Recovery Combustion Sources at Kraft, Soda, Sulfite, and Stand-Alone Semichemical Pulp Mills (40 CFR Part 63, Subpart MM) (Renewal). The “burden” to the Federal Government is attributed entirely to work performed by either Federal employees or government contractors and may be found below in Table 2: Average Annual EPA Burden and Cost – NESHAP for Chemical Recovery Combustion Sources at Kraft, Soda, Sulfite, and Stand-Alone </w:t>
      </w:r>
      <w:r w:rsidRPr="009164C8">
        <w:rPr>
          <w:rFonts w:eastAsia="Times New Roman" w:cstheme="minorHAnsi"/>
        </w:rPr>
        <w:t>Semichemical Pulp Mills (40 CFR Part 63, Subpart MM) (Renewal). There are approximately 96 kraft, soda, sulfite, and stand-alone semichemical pulp mill faciliti</w:t>
      </w:r>
      <w:r w:rsidRPr="009164C8">
        <w:rPr>
          <w:rFonts w:eastAsia="Times New Roman" w:cstheme="minorHAnsi"/>
          <w:color w:val="000000"/>
        </w:rPr>
        <w:t xml:space="preserve">es, which are owned and operated by the </w:t>
      </w:r>
      <w:r w:rsidRPr="009164C8">
        <w:rPr>
          <w:rFonts w:eastAsia="Times New Roman" w:cstheme="minorHAnsi"/>
        </w:rPr>
        <w:t xml:space="preserve">kraft, soda, sulfite, and stand-alone semichemical pulp mill </w:t>
      </w:r>
      <w:r w:rsidRPr="009164C8">
        <w:rPr>
          <w:rFonts w:eastAsia="Times New Roman" w:cstheme="minorHAnsi"/>
          <w:color w:val="000000"/>
        </w:rPr>
        <w:t xml:space="preserve">industry. </w:t>
      </w:r>
      <w:r w:rsidRPr="009164C8">
        <w:rPr>
          <w:rFonts w:eastAsia="Times New Roman" w:cstheme="minorHAnsi"/>
        </w:rPr>
        <w:t xml:space="preserve">All the chemical recovery combustion sources at kraft, soda, sulfite, and stand-alone semichemical pulp mills facilities in the United States are owned and operated by the kraft, soda, sulfite, and stand-alone semichemical pulp mills industry. </w:t>
      </w:r>
      <w:r w:rsidRPr="009164C8">
        <w:rPr>
          <w:rFonts w:eastAsia="Times New Roman" w:cstheme="minorHAnsi"/>
          <w:color w:val="000000"/>
        </w:rPr>
        <w:t xml:space="preserve">None of the 96 facilities in the United States are owned by state, local, tribal or the Federal government. They are all owned and operated by privately-owned, for-profit businesses. We assume that they will all respond. </w:t>
      </w:r>
    </w:p>
    <w:p w:rsidR="009164C8" w:rsidRPr="009164C8" w:rsidP="009164C8" w14:paraId="3E1A237C" w14:textId="67C1F15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164C8">
        <w:rPr>
          <w:rFonts w:eastAsia="Times New Roman" w:cstheme="minorHAnsi"/>
          <w:color w:val="000000"/>
        </w:rPr>
        <w:t xml:space="preserve">Over the next three years, </w:t>
      </w:r>
      <w:r w:rsidRPr="009164C8">
        <w:rPr>
          <w:rFonts w:eastAsia="Times New Roman" w:cstheme="minorHAnsi"/>
        </w:rPr>
        <w:t xml:space="preserve">approximately 96 respondents </w:t>
      </w:r>
      <w:r w:rsidRPr="009164C8">
        <w:rPr>
          <w:rFonts w:eastAsia="Times New Roman" w:cstheme="minorHAnsi"/>
          <w:color w:val="000000"/>
        </w:rPr>
        <w:t xml:space="preserve">per year will be subject to the standard. </w:t>
      </w:r>
      <w:r w:rsidRPr="009164C8">
        <w:rPr>
          <w:rFonts w:eastAsia="Times New Roman" w:cstheme="minorHAnsi"/>
        </w:rPr>
        <w:t>In addition, one existing respondent on average per year is expected to construct new process units that will be subject to this NESHAP over the 3-year period of this ICR</w:t>
      </w:r>
      <w:r w:rsidRPr="009164C8">
        <w:rPr>
          <w:rFonts w:eastAsia="Times New Roman" w:cstheme="minorHAnsi"/>
          <w:color w:val="000000"/>
        </w:rPr>
        <w:t xml:space="preserve">. Mills can have more than one affected facility onsite (e.g., recovery furnace, </w:t>
      </w:r>
      <w:r w:rsidRPr="009164C8">
        <w:rPr>
          <w:rFonts w:eastAsia="Times New Roman" w:cstheme="minorHAnsi"/>
        </w:rPr>
        <w:t>smelt dissolving tanks</w:t>
      </w:r>
      <w:r w:rsidRPr="009164C8">
        <w:rPr>
          <w:rFonts w:eastAsia="Times New Roman" w:cstheme="minorHAnsi"/>
          <w:color w:val="000000"/>
        </w:rPr>
        <w:t xml:space="preserve">, lime kiln). Based on current industry trends, any new furnace is expected to be a non-direct contact evaporator (NDCE) recovery furnace equipped with a dry ESP system. </w:t>
      </w:r>
      <w:r w:rsidRPr="009164C8">
        <w:rPr>
          <w:rFonts w:eastAsia="Times New Roman" w:cstheme="minorHAnsi"/>
        </w:rPr>
        <w:t>The respondent universe and growth rate are based on a review of affected facilities in EPA’s Enforcement and Compliance History Online (ECHO) and Greenhouse Gas Reporting Program (GHGRP) databases.</w:t>
      </w:r>
    </w:p>
    <w:p w:rsidR="009164C8" w:rsidRPr="009164C8" w:rsidP="009164C8" w14:paraId="49367F10" w14:textId="2A0A5BE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9164C8">
        <w:rPr>
          <w:rFonts w:eastAsia="Times New Roman" w:cstheme="minorHAnsi"/>
        </w:rPr>
        <w:t xml:space="preserve">The active (previous) ICR had the following Terms of Clearance (TOC): </w:t>
      </w:r>
    </w:p>
    <w:p w:rsidR="009164C8" w:rsidRPr="009164C8" w:rsidP="009164C8" w14:paraId="2ACA5B86" w14:textId="1CF6C52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164C8">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9164C8" w:rsidRPr="009164C8" w:rsidP="009164C8" w14:paraId="465E92DC" w14:textId="41F6ECA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164C8">
        <w:rPr>
          <w:rFonts w:eastAsia="Calibri" w:cstheme="minorHAnsi"/>
        </w:rPr>
        <w:t>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w:t>
      </w:r>
      <w:r w:rsidRPr="009164C8">
        <w:rPr>
          <w:rFonts w:eastAsia="Calibri" w:cstheme="minorHAnsi"/>
        </w:rPr>
        <w:t>i</w:t>
      </w:r>
      <w:r w:rsidRPr="009164C8">
        <w:rPr>
          <w:rFonts w:eastAsia="Calibri" w:cstheme="minorHAnsi"/>
        </w:rPr>
        <w:t xml:space="preserve">) of this document. </w:t>
      </w:r>
      <w:r w:rsidRPr="009164C8">
        <w:rPr>
          <w:rFonts w:eastAsia="Times New Roman" w:cstheme="minorHAnsi"/>
          <w:color w:val="000000"/>
          <w:shd w:val="clear" w:color="auto" w:fill="FFFFFF"/>
        </w:rPr>
        <w:t>All electronic collection in this information collection is submitted through EPA's ERT, as discussed in section 4(b)(</w:t>
      </w:r>
      <w:r w:rsidRPr="009164C8">
        <w:rPr>
          <w:rFonts w:eastAsia="Times New Roman" w:cstheme="minorHAnsi"/>
          <w:color w:val="000000"/>
          <w:shd w:val="clear" w:color="auto" w:fill="FFFFFF"/>
        </w:rPr>
        <w:t>i</w:t>
      </w:r>
      <w:r w:rsidRPr="009164C8">
        <w:rPr>
          <w:rFonts w:eastAsia="Times New Roman" w:cstheme="minorHAnsi"/>
          <w:color w:val="000000"/>
          <w:shd w:val="clear" w:color="auto" w:fill="FFFFFF"/>
        </w:rPr>
        <w:t>) of this document. Additional Paperwork Reduction Act requirements for CEDRI and ERT, including the burden statement and OMB control number, are available at</w:t>
      </w:r>
      <w:r w:rsidRPr="009164C8">
        <w:rPr>
          <w:rFonts w:eastAsia="Times New Roman" w:cstheme="minorHAnsi"/>
          <w:i/>
          <w:iCs/>
          <w:color w:val="000000"/>
          <w:shd w:val="clear" w:color="auto" w:fill="FFFFFF"/>
        </w:rPr>
        <w:t>: </w:t>
      </w:r>
      <w:hyperlink r:id="rId9" w:tgtFrame="_blank" w:tooltip="Original URL: https://www.epa.gov/electronic-reporting-air-emissions/paperwork-reduction-act-pra-cedri-and-ert. Click or tap if you trust this link." w:history="1">
        <w:r w:rsidRPr="009164C8">
          <w:rPr>
            <w:rFonts w:eastAsia="Times New Roman" w:cstheme="minorHAnsi"/>
            <w:i/>
            <w:iCs/>
            <w:color w:val="0000FF"/>
            <w:u w:val="single"/>
            <w:shd w:val="clear" w:color="auto" w:fill="FFFFFF"/>
          </w:rPr>
          <w:t>https://www.epa.gov/electronic-reporting-air-emissions/paperwork-reduction-act-pra-cedri-and-ert</w:t>
        </w:r>
      </w:hyperlink>
      <w:r w:rsidRPr="009164C8">
        <w:rPr>
          <w:rFonts w:eastAsia="Times New Roman" w:cstheme="minorHAnsi"/>
          <w:i/>
          <w:iCs/>
          <w:color w:val="0000FF"/>
          <w:u w:val="single"/>
          <w:shd w:val="clear" w:color="auto" w:fill="FFFFFF"/>
        </w:rPr>
        <w:t xml:space="preserve">. </w:t>
      </w:r>
      <w:r w:rsidRPr="009164C8">
        <w:rPr>
          <w:rFonts w:eastAsia="Times New Roman" w:cstheme="minorHAnsi"/>
        </w:rPr>
        <w:t xml:space="preserve">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w:t>
      </w:r>
      <w:r w:rsidRPr="009164C8">
        <w:rPr>
          <w:rFonts w:eastAsia="Times New Roman" w:cstheme="minorHAnsi"/>
        </w:rPr>
        <w:t>document</w:t>
      </w:r>
      <w:r w:rsidRPr="009164C8">
        <w:rPr>
          <w:rFonts w:eastAsia="Times New Roman" w:cstheme="minorHAnsi"/>
        </w:rPr>
        <w:t xml:space="preserve">. </w:t>
      </w:r>
    </w:p>
    <w:p w:rsidR="009164C8" w:rsidRPr="009164C8" w:rsidP="009164C8" w14:paraId="295979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sz w:val="24"/>
          <w:szCs w:val="24"/>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9164C8" w:rsidRPr="009164C8" w:rsidP="009164C8" w14:paraId="015095D5" w14:textId="7441026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164C8">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9164C8" w:rsidRPr="009164C8" w:rsidP="009164C8" w14:paraId="499337F3" w14:textId="41FE0E9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9164C8">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9164C8" w:rsidP="009164C8" w14:paraId="61662F16" w14:textId="38B292E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9164C8">
        <w:rPr>
          <w:rFonts w:eastAsia="Times New Roman" w:cstheme="minorHAnsi"/>
          <w:color w:val="000000"/>
        </w:rPr>
        <w:t>In the Administrator's judgment,</w:t>
      </w:r>
      <w:r w:rsidRPr="009164C8">
        <w:rPr>
          <w:rFonts w:eastAsia="Times New Roman" w:cstheme="minorHAnsi"/>
          <w:color w:val="FF0000"/>
        </w:rPr>
        <w:t xml:space="preserve"> </w:t>
      </w:r>
      <w:r w:rsidRPr="009164C8">
        <w:rPr>
          <w:rFonts w:eastAsia="Times New Roman" w:cstheme="minorHAnsi"/>
        </w:rPr>
        <w:t xml:space="preserve">HAP emissions, including acetaldehyde, benzene, formaldehyde, methanol, methyl isobutyl ketone, phenol, styrene, toluene, and xylenes, from chemical recovery combustion sources at kraft, soda, sulfite, and stand-alone semichemical pulp mills either </w:t>
      </w:r>
      <w:r w:rsidRPr="009164C8">
        <w:rPr>
          <w:rFonts w:eastAsia="Times New Roman" w:cstheme="minorHAnsi"/>
          <w:color w:val="000000"/>
        </w:rPr>
        <w:t xml:space="preserve">cause or contribute to air pollution that may reasonably be anticipated to endanger public health and/or welfare. Therefore, </w:t>
      </w:r>
      <w:r w:rsidRPr="009164C8">
        <w:rPr>
          <w:rFonts w:eastAsia="Times New Roman" w:cstheme="minorHAnsi"/>
        </w:rPr>
        <w:t xml:space="preserve">the NESHAP were </w:t>
      </w:r>
      <w:r w:rsidRPr="009164C8">
        <w:rPr>
          <w:rFonts w:eastAsia="Times New Roman" w:cstheme="minorHAnsi"/>
          <w:color w:val="000000"/>
        </w:rPr>
        <w:t>promulgated for this source category at 40 CFR Part 63,</w:t>
      </w:r>
      <w:r w:rsidRPr="009164C8">
        <w:rPr>
          <w:rFonts w:eastAsia="Times New Roman" w:cstheme="minorHAnsi"/>
          <w:b/>
          <w:bCs/>
          <w:i/>
          <w:iCs/>
          <w:color w:val="000000"/>
        </w:rPr>
        <w:t xml:space="preserve"> </w:t>
      </w:r>
      <w:r w:rsidRPr="009164C8">
        <w:rPr>
          <w:rFonts w:eastAsia="Times New Roman" w:cstheme="minorHAnsi"/>
          <w:color w:val="000000"/>
        </w:rPr>
        <w:t xml:space="preserve">Subpart </w:t>
      </w:r>
      <w:r w:rsidRPr="009164C8">
        <w:rPr>
          <w:rFonts w:eastAsia="Times New Roman" w:cstheme="minorHAnsi"/>
        </w:rPr>
        <w:t>MM</w:t>
      </w:r>
      <w:r w:rsidRPr="009164C8">
        <w:rPr>
          <w:rFonts w:eastAsia="Times New Roman" w:cstheme="minorHAnsi"/>
          <w:color w:val="000000"/>
        </w:rPr>
        <w:t>.</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164C8" w:rsidRPr="009164C8" w:rsidP="009164C8" w14:paraId="66038DF7" w14:textId="0AF1E45D">
      <w:pPr>
        <w:spacing w:line="259" w:lineRule="auto"/>
        <w:ind w:left="0" w:firstLine="0"/>
        <w:rPr>
          <w:rFonts w:cstheme="minorHAnsi"/>
        </w:rPr>
      </w:pPr>
      <w:r w:rsidRPr="009164C8">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9164C8" w:rsidRPr="009164C8" w:rsidP="009164C8" w14:paraId="51C204BD" w14:textId="2BD4C22A">
      <w:pPr>
        <w:spacing w:line="259" w:lineRule="auto"/>
        <w:ind w:left="0" w:firstLine="0"/>
        <w:rPr>
          <w:rFonts w:cstheme="minorHAnsi"/>
        </w:rPr>
      </w:pPr>
      <w:r w:rsidRPr="009164C8">
        <w:rPr>
          <w:rFonts w:cstheme="minorHAnsi"/>
        </w:rPr>
        <w:t xml:space="preserve">Performance tests are required </w:t>
      </w:r>
      <w:r w:rsidRPr="009164C8">
        <w:rPr>
          <w:rFonts w:cstheme="minorHAnsi"/>
        </w:rPr>
        <w:t>in order to</w:t>
      </w:r>
      <w:r w:rsidRPr="009164C8">
        <w:rPr>
          <w:rFonts w:cstheme="minorHAnsi"/>
        </w:rPr>
        <w:t xml:space="preserve"> determine an affected facility’s initial capability to comply with the emission standards. Continuous emission monitors are used to </w:t>
      </w:r>
      <w:r w:rsidRPr="009164C8">
        <w:rPr>
          <w:rFonts w:cstheme="minorHAnsi"/>
        </w:rPr>
        <w:t>ensure compliance with the standards at all times</w:t>
      </w:r>
      <w:r w:rsidRPr="009164C8">
        <w:rPr>
          <w:rFonts w:cstheme="minorHAnsi"/>
        </w:rPr>
        <w:t>. During the performance test a record of the operating parameters under which compliance was achieved may be recorded and used to determine compliance in place of a continuous emission monitor.</w:t>
      </w:r>
    </w:p>
    <w:p w:rsidR="009164C8" w:rsidRPr="009164C8" w:rsidP="009164C8" w14:paraId="02924165" w14:textId="62CCF88A">
      <w:pPr>
        <w:spacing w:line="259" w:lineRule="auto"/>
        <w:ind w:left="0" w:firstLine="0"/>
        <w:rPr>
          <w:rFonts w:cstheme="minorHAnsi"/>
        </w:rPr>
      </w:pPr>
      <w:r w:rsidRPr="009164C8">
        <w:rPr>
          <w:rFonts w:cstheme="minorHAnsi"/>
        </w:rPr>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w:t>
      </w:r>
      <w:r w:rsidRPr="009164C8">
        <w:rPr>
          <w:rFonts w:cstheme="minorHAnsi"/>
        </w:rPr>
        <w:t>being detected and repaired, and the standards are being met. The performance test may also be observed.</w:t>
      </w:r>
    </w:p>
    <w:p w:rsidR="009164C8" w:rsidRPr="009164C8" w:rsidP="009164C8" w14:paraId="1632EE5D" w14:textId="0F4EE56C">
      <w:pPr>
        <w:spacing w:line="259" w:lineRule="auto"/>
        <w:ind w:left="0" w:firstLine="0"/>
        <w:rPr>
          <w:rFonts w:cstheme="minorHAnsi"/>
        </w:rPr>
      </w:pPr>
      <w:r w:rsidRPr="009164C8">
        <w:rPr>
          <w:rFonts w:cstheme="minorHAnsi"/>
        </w:rPr>
        <w:t>The required semiannual reports are used to determine periods of excess emissions, identify problems at the facility, verify operation/maintenance procedures and for compliance determinations.</w:t>
      </w:r>
    </w:p>
    <w:p w:rsidR="009164C8" w:rsidRPr="009164C8" w:rsidP="009164C8" w14:paraId="03DF378A" w14:textId="44EF7909">
      <w:pPr>
        <w:spacing w:line="259" w:lineRule="auto"/>
        <w:ind w:left="0" w:firstLine="0"/>
        <w:rPr>
          <w:rFonts w:cstheme="minorHAnsi"/>
        </w:rPr>
      </w:pPr>
      <w:r w:rsidRPr="009164C8">
        <w:rPr>
          <w:rFonts w:cstheme="minorHAnsi"/>
        </w:rPr>
        <w:t xml:space="preserve">Additionally, the EPA is requiring electronic reporting for certain notifications or reports. The EPA is requiring that owners or operators of affected sources would submit electronic copies of notifications required in 40 CFR 63.9(b) and (j), notifications of compliance status required in 40 CFR 63.867(d)(2), and performance test reports through the EPA's Central Data Exchange (CDX), using the Compliance and Emissions Data Reporting Interface (CEDRI). For excess emission reports, EPA is developing a template for the reporting form in CEDRI specifically for 40 CFR Part 63, Subpart MM. For the notifications required in 40 CFR 63.9(b), 63.9(j), and 63.867(d)(2), owners and operators would be required to upload a PDF of the required notifications. </w:t>
      </w:r>
    </w:p>
    <w:p w:rsidR="00BB432F" w:rsidRPr="002943D2" w:rsidP="002943D2" w14:paraId="1E879A61" w14:textId="2DEE29E4">
      <w:pPr>
        <w:spacing w:line="259" w:lineRule="auto"/>
        <w:ind w:left="0" w:firstLine="0"/>
        <w:rPr>
          <w:rFonts w:cstheme="minorHAnsi"/>
        </w:rPr>
      </w:pPr>
      <w:r w:rsidRPr="009164C8">
        <w:rPr>
          <w:rFonts w:cstheme="minorHAnsi"/>
        </w:rPr>
        <w:t>CEDRI includes the Electronic Reporting Tool (ERT) software, which is used by facilities to generate electronic reports of performance tests. EPA is also requiring that 40 CFR Part 63, Subpart MM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64C8" w:rsidRPr="009164C8" w:rsidP="009164C8" w14:paraId="4F559E67" w14:textId="1FCFF844">
      <w:pPr>
        <w:spacing w:line="259" w:lineRule="auto"/>
        <w:ind w:left="0" w:firstLine="0"/>
        <w:rPr>
          <w:rFonts w:cstheme="minorHAnsi"/>
        </w:rPr>
      </w:pPr>
      <w:r w:rsidRPr="009164C8">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164C8" w:rsidRPr="009164C8" w:rsidP="009164C8" w14:paraId="098B0338" w14:textId="0F22FB89">
      <w:pPr>
        <w:spacing w:line="259" w:lineRule="auto"/>
        <w:ind w:left="0" w:firstLine="0"/>
        <w:rPr>
          <w:rFonts w:cstheme="minorHAnsi"/>
        </w:rPr>
      </w:pPr>
      <w:r w:rsidRPr="009164C8">
        <w:rPr>
          <w:rFonts w:cstheme="minorHAnsi"/>
        </w:rPr>
        <w:t xml:space="preserve">The rule was amended to include electronic reporting provisions on October 11, </w:t>
      </w:r>
      <w:r w:rsidRPr="009164C8">
        <w:rPr>
          <w:rFonts w:cstheme="minorHAnsi"/>
        </w:rPr>
        <w:t>2017</w:t>
      </w:r>
      <w:r w:rsidRPr="009164C8">
        <w:rPr>
          <w:rFonts w:cstheme="minorHAnsi"/>
        </w:rPr>
        <w:t xml:space="preserve"> and November 19, 2020. Respondents are required to use the EPA’s Electronic Reporting Tool (ERT) to</w:t>
      </w:r>
      <w:r w:rsidRPr="009164C8">
        <w:rPr>
          <w:rFonts w:cstheme="minorHAnsi"/>
        </w:rPr>
        <w:t xml:space="preserve"> </w:t>
      </w:r>
      <w:r w:rsidRPr="009164C8">
        <w:rPr>
          <w:rFonts w:cstheme="minorHAnsi"/>
        </w:rPr>
        <w:t>develop performance test reports</w:t>
      </w:r>
      <w:r w:rsidRPr="009164C8">
        <w:rPr>
          <w:rFonts w:cstheme="minorHAnsi"/>
        </w:rPr>
        <w:t xml:space="preserve"> </w:t>
      </w:r>
      <w:r w:rsidRPr="009164C8">
        <w:rPr>
          <w:rFonts w:cstheme="minorHAnsi"/>
        </w:rPr>
        <w:t>and submit them through the EPA’s Compliance and Emissions Data Reporting Interface (CEDRI), which can be accessed through the EPA’s Central Data Exchange (CDX) (</w:t>
      </w:r>
      <w:hyperlink r:id="rId10" w:history="1">
        <w:r w:rsidRPr="009164C8">
          <w:rPr>
            <w:rStyle w:val="Hyperlink"/>
            <w:rFonts w:cstheme="minorHAnsi"/>
          </w:rPr>
          <w:t>https://cdx.epa.gov/</w:t>
        </w:r>
      </w:hyperlink>
      <w:r w:rsidRPr="009164C8">
        <w:rPr>
          <w:rFonts w:cstheme="minorHAnsi"/>
        </w:rPr>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The excess emission reports are to be created using Form 5900-520, the electronic template included with this Supporting Statement. The template is an Excel spreadsheet which can be partially completed and saved for subsequent excess emissions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 We have created supplementary documents that include screenshots of the electronic portal where the </w:t>
      </w:r>
      <w:r w:rsidRPr="009164C8">
        <w:rPr>
          <w:rFonts w:cstheme="minorHAnsi"/>
        </w:rPr>
        <w:t>reporting requirements are submitted online to EPA, including the OMB burden statement on the electronic portal.</w:t>
      </w:r>
    </w:p>
    <w:p w:rsidR="009F1E00" w:rsidRPr="008B3B3E" w:rsidP="002943D2" w14:paraId="7B30150C" w14:textId="4CB1586E">
      <w:pPr>
        <w:spacing w:line="259" w:lineRule="auto"/>
        <w:ind w:left="0" w:firstLine="0"/>
        <w:rPr>
          <w:rFonts w:cstheme="minorHAnsi"/>
        </w:rPr>
      </w:pPr>
      <w:r w:rsidRPr="009164C8">
        <w:rPr>
          <w:rFonts w:cstheme="minorHAnsi"/>
        </w:rPr>
        <w:t xml:space="preserve">Electronic copies of records may also be maintained </w:t>
      </w:r>
      <w:r w:rsidRPr="009164C8">
        <w:rPr>
          <w:rFonts w:cstheme="minorHAnsi"/>
        </w:rPr>
        <w:t>in order to</w:t>
      </w:r>
      <w:r w:rsidRPr="009164C8">
        <w:rPr>
          <w:rFonts w:cstheme="minorHAnsi"/>
        </w:rPr>
        <w:t xml:space="preserve"> satisfy federal recordkeeping requirements. For additional information on the Paperwork Reduction Act requirements for CEDRI and ERT for this rule, see: </w:t>
      </w:r>
      <w:hyperlink r:id="rId11" w:history="1">
        <w:r w:rsidRPr="009164C8">
          <w:rPr>
            <w:rStyle w:val="Hyperlink"/>
            <w:rFonts w:cstheme="minorHAnsi"/>
            <w:i/>
            <w:iCs/>
          </w:rPr>
          <w:t>https://www.epa.gov/electronic-reporting-air-emissions/paperwork-reduction-act-pra-cedri-and-ert</w:t>
        </w:r>
      </w:hyperlink>
      <w:r w:rsidRPr="009164C8">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9164C8" w:rsidRPr="009164C8" w:rsidP="009164C8" w14:paraId="61E1F2CF" w14:textId="77777777">
      <w:pPr>
        <w:spacing w:line="259" w:lineRule="auto"/>
        <w:ind w:left="0" w:firstLine="0"/>
        <w:rPr>
          <w:rFonts w:cstheme="minorHAnsi"/>
        </w:rPr>
      </w:pPr>
      <w:bookmarkStart w:id="5" w:name="_Hlk77922001"/>
      <w:r w:rsidRPr="009164C8">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473026BB">
      <w:pPr>
        <w:spacing w:line="259" w:lineRule="auto"/>
        <w:ind w:left="0" w:firstLine="0"/>
        <w:rPr>
          <w:rFonts w:cstheme="minorHAnsi"/>
        </w:rPr>
      </w:pPr>
      <w:r w:rsidRPr="009164C8">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28461899">
      <w:pPr>
        <w:spacing w:line="259" w:lineRule="auto"/>
        <w:ind w:left="0" w:firstLine="0"/>
        <w:rPr>
          <w:rFonts w:cstheme="minorHAnsi"/>
        </w:rPr>
      </w:pPr>
      <w:r w:rsidRPr="009164C8">
        <w:rPr>
          <w:rFonts w:cstheme="minorHAnsi"/>
        </w:rPr>
        <w:t>A majority of</w:t>
      </w:r>
      <w:r w:rsidRPr="009164C8">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79EFDB2A">
      <w:pPr>
        <w:spacing w:line="259" w:lineRule="auto"/>
        <w:ind w:left="0" w:firstLine="0"/>
        <w:rPr>
          <w:rFonts w:cstheme="minorHAnsi"/>
        </w:rPr>
      </w:pPr>
      <w:r w:rsidRPr="009164C8">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9164C8">
        <w:rPr>
          <w:rFonts w:cstheme="minorHAnsi"/>
        </w:rPr>
        <w:t>applied</w:t>
      </w:r>
      <w:r w:rsidRPr="009164C8">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9164C8" w:rsidRPr="009164C8" w:rsidP="009164C8" w14:paraId="6E4436E8" w14:textId="4CC95854">
      <w:pPr>
        <w:spacing w:line="259" w:lineRule="auto"/>
        <w:ind w:left="0" w:firstLine="0"/>
        <w:rPr>
          <w:rFonts w:cstheme="minorHAnsi"/>
        </w:rPr>
      </w:pPr>
      <w:r>
        <w:rPr>
          <w:rFonts w:cstheme="minorHAnsi"/>
        </w:rPr>
        <w:t>With the following exception, t</w:t>
      </w:r>
      <w:r w:rsidRPr="009164C8">
        <w:rPr>
          <w:rFonts w:cstheme="minorHAnsi"/>
        </w:rPr>
        <w:t>hese reporting or recordkeeping requirements do not violate any of the regulations promulgated by OMB under 5 CFR Part 1320, Section 1320.5.</w:t>
      </w:r>
    </w:p>
    <w:p w:rsidR="00111663" w:rsidRPr="002943D2" w:rsidP="002943D2" w14:paraId="775EDF16" w14:textId="2DB04B0E">
      <w:pPr>
        <w:spacing w:line="259" w:lineRule="auto"/>
        <w:ind w:left="0" w:firstLine="0"/>
        <w:rPr>
          <w:rFonts w:cstheme="minorHAnsi"/>
        </w:rPr>
      </w:pPr>
      <w:r w:rsidRPr="009164C8">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C19AAE9">
      <w:pPr>
        <w:spacing w:line="259" w:lineRule="auto"/>
        <w:ind w:left="0" w:firstLine="0"/>
        <w:rPr>
          <w:rFonts w:cstheme="minorHAnsi"/>
        </w:rPr>
      </w:pPr>
      <w:r w:rsidRPr="009164C8">
        <w:rPr>
          <w:rFonts w:cstheme="minorHAnsi"/>
        </w:rPr>
        <w:t xml:space="preserve">An announcement of a public comment period for the renewal of this ICR was published in the </w:t>
      </w:r>
      <w:r w:rsidRPr="009164C8">
        <w:rPr>
          <w:rFonts w:cstheme="minorHAnsi"/>
          <w:i/>
        </w:rPr>
        <w:t>Federal Register</w:t>
      </w:r>
      <w:r w:rsidRPr="009164C8">
        <w:rPr>
          <w:rFonts w:cstheme="minorHAnsi"/>
        </w:rPr>
        <w:t xml:space="preserve"> (88 FR 31748) published on May 18, 2023. No comments were received on the burden published in the </w:t>
      </w:r>
      <w:r w:rsidRPr="009164C8">
        <w:rPr>
          <w:rFonts w:cstheme="minorHAnsi"/>
          <w:i/>
        </w:rPr>
        <w:t xml:space="preserve">Federal Register </w:t>
      </w:r>
      <w:r w:rsidRPr="009164C8">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64C8" w:rsidRPr="009164C8" w:rsidP="009164C8" w14:paraId="240E0FEA" w14:textId="41FE632B">
      <w:pPr>
        <w:spacing w:line="259" w:lineRule="auto"/>
        <w:ind w:left="0" w:firstLine="0"/>
        <w:rPr>
          <w:rFonts w:cstheme="minorHAnsi"/>
        </w:rPr>
      </w:pPr>
      <w:r w:rsidRPr="009164C8">
        <w:rPr>
          <w:rFonts w:cstheme="minorHAnsi"/>
        </w:rPr>
        <w:t>The Agency has consulted i</w:t>
      </w:r>
      <w:r w:rsidRPr="009164C8">
        <w:rPr>
          <w:rFonts w:cstheme="minorHAnsi"/>
          <w:bCs/>
        </w:rPr>
        <w:t>ndustry experts and internal data sources to project the number of affected facilities and industry growth over the next three years.</w:t>
      </w:r>
      <w:r w:rsidRPr="009164C8">
        <w:rPr>
          <w:rFonts w:cstheme="minorHAnsi"/>
          <w:b/>
          <w:bCs/>
        </w:rPr>
        <w:t xml:space="preserve"> </w:t>
      </w:r>
      <w:r w:rsidRPr="009164C8">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96 respondents will be subject to the standard over the three-year period covered by this ICR.</w:t>
      </w:r>
    </w:p>
    <w:p w:rsidR="009164C8" w:rsidRPr="009164C8" w:rsidP="009164C8" w14:paraId="7685A0FF" w14:textId="5561A40B">
      <w:pPr>
        <w:spacing w:line="259" w:lineRule="auto"/>
        <w:ind w:left="0" w:firstLine="0"/>
        <w:rPr>
          <w:rFonts w:cstheme="minorHAnsi"/>
        </w:rPr>
      </w:pPr>
      <w:r w:rsidRPr="009164C8">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National Council for Air and Stream Improvement at (919) 941-6400 and the American Forest and Paper Association</w:t>
      </w:r>
      <w:r w:rsidRPr="009164C8">
        <w:rPr>
          <w:rFonts w:cstheme="minorHAnsi"/>
        </w:rPr>
        <w:t xml:space="preserve"> </w:t>
      </w:r>
      <w:r w:rsidRPr="009164C8">
        <w:rPr>
          <w:rFonts w:cstheme="minorHAnsi"/>
        </w:rPr>
        <w:t xml:space="preserve">at (202) 463-2700. </w:t>
      </w:r>
    </w:p>
    <w:p w:rsidR="00940939" w:rsidRPr="00940939" w:rsidP="002943D2" w14:paraId="09E7F150" w14:textId="28D54D86">
      <w:pPr>
        <w:spacing w:line="259" w:lineRule="auto"/>
        <w:ind w:left="0" w:firstLine="0"/>
        <w:rPr>
          <w:rFonts w:cstheme="minorHAnsi"/>
        </w:rPr>
      </w:pPr>
      <w:r w:rsidRPr="009164C8">
        <w:rPr>
          <w:rFonts w:cstheme="minorHAnsi"/>
          <w:bCs/>
        </w:rPr>
        <w:t xml:space="preserve">It is our policy to respond after a thorough review of comments received since the last ICR renewal as well as those submitted in response to the first </w:t>
      </w:r>
      <w:r w:rsidRPr="009164C8">
        <w:rPr>
          <w:rFonts w:cstheme="minorHAnsi"/>
          <w:i/>
        </w:rPr>
        <w:t>Federal Register</w:t>
      </w:r>
      <w:r w:rsidRPr="009164C8">
        <w:rPr>
          <w:rFonts w:cstheme="minorHAnsi"/>
          <w:bCs/>
        </w:rPr>
        <w:t xml:space="preserve"> notice. </w:t>
      </w:r>
      <w:r w:rsidRPr="009164C8">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2598AFCB">
      <w:pPr>
        <w:spacing w:line="259" w:lineRule="auto"/>
        <w:ind w:left="0" w:firstLine="0"/>
        <w:rPr>
          <w:rFonts w:cstheme="minorHAnsi"/>
        </w:rPr>
      </w:pPr>
      <w:r w:rsidRPr="00927CE7">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2B3C0B78">
      <w:pPr>
        <w:spacing w:line="259" w:lineRule="auto"/>
        <w:ind w:left="0" w:firstLine="0"/>
        <w:rPr>
          <w:rFonts w:cstheme="minorHAnsi"/>
        </w:rPr>
      </w:pPr>
      <w:r w:rsidRPr="00927CE7">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927CE7" w:rsidRPr="00927CE7" w:rsidP="00927CE7" w14:paraId="292FCD3D" w14:textId="77777777">
      <w:pPr>
        <w:spacing w:line="259" w:lineRule="auto"/>
        <w:ind w:left="0" w:firstLine="0"/>
        <w:rPr>
          <w:rFonts w:cstheme="minorHAnsi"/>
        </w:rPr>
      </w:pPr>
      <w:r w:rsidRPr="00927CE7">
        <w:rPr>
          <w:rFonts w:cstheme="minorHAnsi"/>
        </w:rPr>
        <w:t xml:space="preserve">The respondents to the recordkeeping and reporting requirements are owners or operators of chemical recovery combustion sources at kraft, soda, sulfite, and stand-alone semichemical pulp mills. The United States Standard Industrial Classification (SIC) code for the respondents affected by the standards is </w:t>
      </w:r>
      <w:r w:rsidRPr="00927CE7">
        <w:rPr>
          <w:rFonts w:cstheme="minorHAnsi"/>
        </w:rPr>
        <w:t>SIC</w:t>
      </w:r>
      <w:r w:rsidRPr="00927CE7">
        <w:rPr>
          <w:rFonts w:cstheme="minorHAnsi"/>
        </w:rPr>
        <w:t xml:space="preserve"> codes and the corresponding North American Industry Classification System (NAICS) codes are listed in the table below:</w:t>
      </w:r>
    </w:p>
    <w:tbl>
      <w:tblPr>
        <w:tblStyle w:val="TableGrid"/>
        <w:tblW w:w="9360" w:type="dxa"/>
        <w:tblLayout w:type="fixed"/>
        <w:tblLook w:val="0000"/>
      </w:tblPr>
      <w:tblGrid>
        <w:gridCol w:w="4320"/>
        <w:gridCol w:w="2610"/>
        <w:gridCol w:w="2430"/>
      </w:tblGrid>
      <w:tr w14:paraId="3C2C57C8" w14:textId="77777777" w:rsidTr="00325C1E">
        <w:tblPrEx>
          <w:tblW w:w="9360" w:type="dxa"/>
          <w:tblLayout w:type="fixed"/>
          <w:tblLook w:val="0000"/>
        </w:tblPrEx>
        <w:tc>
          <w:tcPr>
            <w:tcW w:w="4320" w:type="dxa"/>
          </w:tcPr>
          <w:p w:rsidR="00927CE7" w:rsidRPr="006009A1" w:rsidP="0015080A" w14:paraId="357D387C" w14:textId="77777777">
            <w:pPr>
              <w:spacing w:after="160" w:line="259" w:lineRule="auto"/>
              <w:ind w:left="0" w:firstLine="0"/>
              <w:jc w:val="center"/>
              <w:rPr>
                <w:rFonts w:cstheme="minorHAnsi"/>
                <w:b/>
                <w:bCs/>
                <w:sz w:val="20"/>
                <w:szCs w:val="20"/>
              </w:rPr>
            </w:pPr>
            <w:r w:rsidRPr="006009A1">
              <w:rPr>
                <w:rFonts w:cstheme="minorHAnsi"/>
                <w:b/>
                <w:bCs/>
                <w:sz w:val="20"/>
                <w:szCs w:val="20"/>
              </w:rPr>
              <w:t xml:space="preserve">Standard </w:t>
            </w:r>
            <w:r w:rsidRPr="006009A1">
              <w:rPr>
                <w:rFonts w:cstheme="minorHAnsi"/>
                <w:sz w:val="20"/>
                <w:szCs w:val="20"/>
              </w:rPr>
              <w:t>(40 CFR Part 63, Subpart MM)</w:t>
            </w:r>
          </w:p>
        </w:tc>
        <w:tc>
          <w:tcPr>
            <w:tcW w:w="2610" w:type="dxa"/>
          </w:tcPr>
          <w:p w:rsidR="00927CE7" w:rsidRPr="006009A1" w:rsidP="0015080A" w14:paraId="57F03725" w14:textId="77777777">
            <w:pPr>
              <w:spacing w:after="160" w:line="259" w:lineRule="auto"/>
              <w:ind w:left="0" w:firstLine="0"/>
              <w:jc w:val="center"/>
              <w:rPr>
                <w:rFonts w:cstheme="minorHAnsi"/>
                <w:b/>
                <w:bCs/>
                <w:sz w:val="20"/>
                <w:szCs w:val="20"/>
              </w:rPr>
            </w:pPr>
            <w:r w:rsidRPr="006009A1">
              <w:rPr>
                <w:rFonts w:cstheme="minorHAnsi"/>
                <w:b/>
                <w:bCs/>
                <w:sz w:val="20"/>
                <w:szCs w:val="20"/>
              </w:rPr>
              <w:t>SIC Codes</w:t>
            </w:r>
          </w:p>
        </w:tc>
        <w:tc>
          <w:tcPr>
            <w:tcW w:w="2430" w:type="dxa"/>
          </w:tcPr>
          <w:p w:rsidR="00927CE7" w:rsidRPr="006009A1" w:rsidP="0015080A" w14:paraId="1D75683B" w14:textId="77777777">
            <w:pPr>
              <w:spacing w:after="160" w:line="259" w:lineRule="auto"/>
              <w:ind w:left="0" w:firstLine="0"/>
              <w:jc w:val="center"/>
              <w:rPr>
                <w:rFonts w:cstheme="minorHAnsi"/>
                <w:b/>
                <w:bCs/>
                <w:sz w:val="20"/>
                <w:szCs w:val="20"/>
              </w:rPr>
            </w:pPr>
            <w:r w:rsidRPr="006009A1">
              <w:rPr>
                <w:rFonts w:cstheme="minorHAnsi"/>
                <w:b/>
                <w:bCs/>
                <w:sz w:val="20"/>
                <w:szCs w:val="20"/>
              </w:rPr>
              <w:t>NAICS Codes</w:t>
            </w:r>
          </w:p>
        </w:tc>
      </w:tr>
      <w:tr w14:paraId="6E566CE7" w14:textId="77777777" w:rsidTr="00325C1E">
        <w:tblPrEx>
          <w:tblW w:w="9360" w:type="dxa"/>
          <w:tblLayout w:type="fixed"/>
          <w:tblLook w:val="0000"/>
        </w:tblPrEx>
        <w:tc>
          <w:tcPr>
            <w:tcW w:w="4320" w:type="dxa"/>
          </w:tcPr>
          <w:p w:rsidR="00927CE7" w:rsidRPr="006009A1" w:rsidP="00927CE7" w14:paraId="0C305DEA" w14:textId="77777777">
            <w:pPr>
              <w:spacing w:after="160" w:line="259" w:lineRule="auto"/>
              <w:ind w:left="0" w:firstLine="0"/>
              <w:rPr>
                <w:rFonts w:cstheme="minorHAnsi"/>
                <w:sz w:val="20"/>
                <w:szCs w:val="20"/>
              </w:rPr>
            </w:pPr>
            <w:r w:rsidRPr="006009A1">
              <w:rPr>
                <w:rFonts w:cstheme="minorHAnsi"/>
                <w:sz w:val="20"/>
                <w:szCs w:val="20"/>
              </w:rPr>
              <w:t>Pulp Mills</w:t>
            </w:r>
          </w:p>
        </w:tc>
        <w:tc>
          <w:tcPr>
            <w:tcW w:w="2610" w:type="dxa"/>
          </w:tcPr>
          <w:p w:rsidR="00927CE7" w:rsidRPr="006009A1" w:rsidP="00927CE7" w14:paraId="368F8DB6" w14:textId="77777777">
            <w:pPr>
              <w:spacing w:after="160" w:line="259" w:lineRule="auto"/>
              <w:ind w:left="0" w:firstLine="0"/>
              <w:rPr>
                <w:rFonts w:cstheme="minorHAnsi"/>
                <w:sz w:val="20"/>
                <w:szCs w:val="20"/>
              </w:rPr>
            </w:pPr>
            <w:r w:rsidRPr="006009A1">
              <w:rPr>
                <w:rFonts w:cstheme="minorHAnsi"/>
                <w:sz w:val="20"/>
                <w:szCs w:val="20"/>
              </w:rPr>
              <w:t>2611</w:t>
            </w:r>
          </w:p>
        </w:tc>
        <w:tc>
          <w:tcPr>
            <w:tcW w:w="2430" w:type="dxa"/>
          </w:tcPr>
          <w:p w:rsidR="00927CE7" w:rsidRPr="006009A1" w:rsidP="00927CE7" w14:paraId="3C3C3F55" w14:textId="77777777">
            <w:pPr>
              <w:spacing w:after="160" w:line="259" w:lineRule="auto"/>
              <w:ind w:left="0" w:firstLine="0"/>
              <w:rPr>
                <w:rFonts w:cstheme="minorHAnsi"/>
                <w:sz w:val="20"/>
                <w:szCs w:val="20"/>
              </w:rPr>
            </w:pPr>
            <w:r w:rsidRPr="006009A1">
              <w:rPr>
                <w:rFonts w:cstheme="minorHAnsi"/>
                <w:sz w:val="20"/>
                <w:szCs w:val="20"/>
              </w:rPr>
              <w:t>32211</w:t>
            </w:r>
          </w:p>
        </w:tc>
      </w:tr>
      <w:tr w14:paraId="53BD43B5" w14:textId="77777777" w:rsidTr="00325C1E">
        <w:tblPrEx>
          <w:tblW w:w="9360" w:type="dxa"/>
          <w:tblLayout w:type="fixed"/>
          <w:tblLook w:val="0000"/>
        </w:tblPrEx>
        <w:tc>
          <w:tcPr>
            <w:tcW w:w="4320" w:type="dxa"/>
          </w:tcPr>
          <w:p w:rsidR="00927CE7" w:rsidRPr="006009A1" w:rsidP="00927CE7" w14:paraId="049CCFA2" w14:textId="77777777">
            <w:pPr>
              <w:spacing w:after="160" w:line="259" w:lineRule="auto"/>
              <w:ind w:left="0" w:firstLine="0"/>
              <w:rPr>
                <w:rFonts w:cstheme="minorHAnsi"/>
                <w:sz w:val="20"/>
                <w:szCs w:val="20"/>
              </w:rPr>
            </w:pPr>
            <w:r w:rsidRPr="006009A1">
              <w:rPr>
                <w:rFonts w:cstheme="minorHAnsi"/>
                <w:sz w:val="20"/>
                <w:szCs w:val="20"/>
              </w:rPr>
              <w:t>Paper Mills</w:t>
            </w:r>
          </w:p>
        </w:tc>
        <w:tc>
          <w:tcPr>
            <w:tcW w:w="2610" w:type="dxa"/>
          </w:tcPr>
          <w:p w:rsidR="00927CE7" w:rsidRPr="006009A1" w:rsidP="00927CE7" w14:paraId="0ED63B1E" w14:textId="77777777">
            <w:pPr>
              <w:spacing w:after="160" w:line="259" w:lineRule="auto"/>
              <w:ind w:left="0" w:firstLine="0"/>
              <w:rPr>
                <w:rFonts w:cstheme="minorHAnsi"/>
                <w:sz w:val="20"/>
                <w:szCs w:val="20"/>
              </w:rPr>
            </w:pPr>
            <w:r w:rsidRPr="006009A1">
              <w:rPr>
                <w:rFonts w:cstheme="minorHAnsi"/>
                <w:sz w:val="20"/>
                <w:szCs w:val="20"/>
              </w:rPr>
              <w:t>2621</w:t>
            </w:r>
          </w:p>
        </w:tc>
        <w:tc>
          <w:tcPr>
            <w:tcW w:w="2430" w:type="dxa"/>
          </w:tcPr>
          <w:p w:rsidR="00927CE7" w:rsidRPr="006009A1" w:rsidP="00927CE7" w14:paraId="4BA6A964" w14:textId="77777777">
            <w:pPr>
              <w:spacing w:after="160" w:line="259" w:lineRule="auto"/>
              <w:ind w:left="0" w:firstLine="0"/>
              <w:rPr>
                <w:rFonts w:cstheme="minorHAnsi"/>
                <w:sz w:val="20"/>
                <w:szCs w:val="20"/>
              </w:rPr>
            </w:pPr>
            <w:r w:rsidRPr="006009A1">
              <w:rPr>
                <w:rFonts w:cstheme="minorHAnsi"/>
                <w:sz w:val="20"/>
                <w:szCs w:val="20"/>
              </w:rPr>
              <w:t>32212</w:t>
            </w:r>
          </w:p>
        </w:tc>
      </w:tr>
      <w:tr w14:paraId="171FD1DF" w14:textId="77777777" w:rsidTr="00325C1E">
        <w:tblPrEx>
          <w:tblW w:w="9360" w:type="dxa"/>
          <w:tblLayout w:type="fixed"/>
          <w:tblLook w:val="0000"/>
        </w:tblPrEx>
        <w:tc>
          <w:tcPr>
            <w:tcW w:w="4320" w:type="dxa"/>
          </w:tcPr>
          <w:p w:rsidR="00927CE7" w:rsidRPr="006009A1" w:rsidP="00927CE7" w14:paraId="1EDB638D" w14:textId="77777777">
            <w:pPr>
              <w:spacing w:after="160" w:line="259" w:lineRule="auto"/>
              <w:ind w:left="0" w:firstLine="0"/>
              <w:rPr>
                <w:rFonts w:cstheme="minorHAnsi"/>
                <w:sz w:val="20"/>
                <w:szCs w:val="20"/>
              </w:rPr>
            </w:pPr>
            <w:r w:rsidRPr="006009A1">
              <w:rPr>
                <w:rFonts w:cstheme="minorHAnsi"/>
                <w:sz w:val="20"/>
                <w:szCs w:val="20"/>
              </w:rPr>
              <w:t>Paperboard Mills</w:t>
            </w:r>
          </w:p>
        </w:tc>
        <w:tc>
          <w:tcPr>
            <w:tcW w:w="2610" w:type="dxa"/>
          </w:tcPr>
          <w:p w:rsidR="00927CE7" w:rsidRPr="006009A1" w:rsidP="00927CE7" w14:paraId="6186E82B" w14:textId="77777777">
            <w:pPr>
              <w:spacing w:after="160" w:line="259" w:lineRule="auto"/>
              <w:ind w:left="0" w:firstLine="0"/>
              <w:rPr>
                <w:rFonts w:cstheme="minorHAnsi"/>
                <w:sz w:val="20"/>
                <w:szCs w:val="20"/>
              </w:rPr>
            </w:pPr>
            <w:r w:rsidRPr="006009A1">
              <w:rPr>
                <w:rFonts w:cstheme="minorHAnsi"/>
                <w:sz w:val="20"/>
                <w:szCs w:val="20"/>
              </w:rPr>
              <w:t>2631</w:t>
            </w:r>
          </w:p>
        </w:tc>
        <w:tc>
          <w:tcPr>
            <w:tcW w:w="2430" w:type="dxa"/>
          </w:tcPr>
          <w:p w:rsidR="00927CE7" w:rsidRPr="006009A1" w:rsidP="00927CE7" w14:paraId="0F85B28F" w14:textId="77777777">
            <w:pPr>
              <w:spacing w:after="160" w:line="259" w:lineRule="auto"/>
              <w:ind w:left="0" w:firstLine="0"/>
              <w:rPr>
                <w:rFonts w:cstheme="minorHAnsi"/>
                <w:sz w:val="20"/>
                <w:szCs w:val="20"/>
              </w:rPr>
            </w:pPr>
            <w:r w:rsidRPr="006009A1">
              <w:rPr>
                <w:rFonts w:cstheme="minorHAnsi"/>
                <w:sz w:val="20"/>
                <w:szCs w:val="20"/>
              </w:rPr>
              <w:t>32213</w:t>
            </w:r>
          </w:p>
        </w:tc>
      </w:tr>
    </w:tbl>
    <w:p w:rsidR="00BB3410" w:rsidP="002943D2" w14:paraId="0DA69975" w14:textId="203B9780">
      <w:pPr>
        <w:spacing w:line="259" w:lineRule="auto"/>
        <w:ind w:left="0" w:firstLine="0"/>
        <w:rPr>
          <w:rFonts w:cstheme="minorHAnsi"/>
        </w:rPr>
      </w:pPr>
    </w:p>
    <w:p w:rsidR="00927CE7" w:rsidRPr="00927CE7" w:rsidP="00927CE7" w14:paraId="47DFFA1E" w14:textId="2DDE6F69">
      <w:pPr>
        <w:spacing w:line="259" w:lineRule="auto"/>
        <w:ind w:left="0" w:firstLine="0"/>
        <w:rPr>
          <w:rFonts w:cstheme="minorHAnsi"/>
        </w:rPr>
      </w:pPr>
      <w:r w:rsidRPr="00927CE7">
        <w:rPr>
          <w:rFonts w:cstheme="minorHAnsi"/>
        </w:rPr>
        <w:t xml:space="preserve">Based on our research for this ICR, on average over the next three years, approximately 96 existing respondents will be subject to the standard. It is estimated that one existing mill per year (for a total of three existing mills) will have new process units that will become subject to these regulations in the next 3 years. The overall average number of respondents, as shown in the table below, is 96 per year. </w:t>
      </w:r>
    </w:p>
    <w:p w:rsidR="00927CE7" w:rsidRPr="00927CE7" w:rsidP="00927CE7" w14:paraId="529795FB" w14:textId="56375F40">
      <w:pPr>
        <w:spacing w:line="259" w:lineRule="auto"/>
        <w:ind w:left="0" w:firstLine="0"/>
        <w:rPr>
          <w:rFonts w:cstheme="minorHAnsi"/>
        </w:rPr>
      </w:pPr>
      <w:r w:rsidRPr="00927CE7">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084DC3E" w14:textId="77777777" w:rsidTr="00325C1E">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927CE7" w:rsidRPr="0015080A" w:rsidP="006009A1" w14:paraId="6700B0A0" w14:textId="77777777">
            <w:pPr>
              <w:spacing w:line="259" w:lineRule="auto"/>
              <w:ind w:left="0" w:firstLine="0"/>
              <w:jc w:val="center"/>
              <w:rPr>
                <w:rFonts w:cstheme="minorHAnsi"/>
                <w:b/>
                <w:bCs/>
                <w:sz w:val="20"/>
                <w:szCs w:val="20"/>
              </w:rPr>
            </w:pPr>
            <w:r w:rsidRPr="0015080A">
              <w:rPr>
                <w:rFonts w:cstheme="minorHAnsi"/>
                <w:b/>
                <w:bCs/>
                <w:sz w:val="20"/>
                <w:szCs w:val="20"/>
              </w:rPr>
              <w:t>Number of Respondents</w:t>
            </w:r>
          </w:p>
        </w:tc>
      </w:tr>
      <w:tr w14:paraId="336BC60E" w14:textId="77777777" w:rsidTr="00325C1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927CE7" w:rsidRPr="0015080A" w:rsidP="00927CE7" w14:paraId="24020281" w14:textId="77777777">
            <w:pPr>
              <w:spacing w:line="259" w:lineRule="auto"/>
              <w:ind w:left="0" w:firstLine="0"/>
              <w:rPr>
                <w:rFonts w:cstheme="minorHAnsi"/>
                <w:b/>
                <w:bCs/>
                <w:sz w:val="20"/>
                <w:szCs w:val="20"/>
              </w:rPr>
            </w:pPr>
          </w:p>
          <w:p w:rsidR="00927CE7" w:rsidRPr="0015080A" w:rsidP="00927CE7" w14:paraId="7C26C961"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927CE7" w:rsidRPr="0015080A" w:rsidP="00927CE7" w14:paraId="1D813FE8" w14:textId="77777777">
            <w:pPr>
              <w:spacing w:line="259" w:lineRule="auto"/>
              <w:ind w:left="0" w:firstLine="0"/>
              <w:rPr>
                <w:rFonts w:cstheme="minorHAnsi"/>
                <w:sz w:val="20"/>
                <w:szCs w:val="20"/>
              </w:rPr>
            </w:pPr>
            <w:r w:rsidRPr="0015080A">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927CE7" w:rsidRPr="0015080A" w:rsidP="00927CE7" w14:paraId="219BED49" w14:textId="77777777">
            <w:pPr>
              <w:spacing w:line="259" w:lineRule="auto"/>
              <w:ind w:left="0" w:firstLine="0"/>
              <w:rPr>
                <w:rFonts w:cstheme="minorHAnsi"/>
                <w:sz w:val="20"/>
                <w:szCs w:val="20"/>
              </w:rPr>
            </w:pPr>
            <w:r w:rsidRPr="0015080A">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927CE7" w:rsidRPr="0015080A" w:rsidP="00927CE7" w14:paraId="75EABEA5" w14:textId="77777777">
            <w:pPr>
              <w:spacing w:line="259" w:lineRule="auto"/>
              <w:ind w:left="0" w:firstLine="0"/>
              <w:rPr>
                <w:rFonts w:cstheme="minorHAnsi"/>
                <w:sz w:val="20"/>
                <w:szCs w:val="20"/>
              </w:rPr>
            </w:pPr>
          </w:p>
          <w:p w:rsidR="00927CE7" w:rsidRPr="0015080A" w:rsidP="00927CE7" w14:paraId="49A0A877" w14:textId="77777777">
            <w:pPr>
              <w:spacing w:line="259" w:lineRule="auto"/>
              <w:ind w:left="0" w:firstLine="0"/>
              <w:rPr>
                <w:rFonts w:cstheme="minorHAnsi"/>
                <w:sz w:val="20"/>
                <w:szCs w:val="20"/>
              </w:rPr>
            </w:pPr>
          </w:p>
        </w:tc>
      </w:tr>
      <w:tr w14:paraId="4FA6C444" w14:textId="77777777" w:rsidTr="00325C1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927CE7" w:rsidRPr="0015080A" w:rsidP="00927CE7" w14:paraId="53004E23" w14:textId="77777777">
            <w:pPr>
              <w:spacing w:line="259" w:lineRule="auto"/>
              <w:ind w:left="0" w:firstLine="0"/>
              <w:rPr>
                <w:rFonts w:cstheme="minorHAnsi"/>
                <w:sz w:val="20"/>
                <w:szCs w:val="20"/>
              </w:rPr>
            </w:pPr>
          </w:p>
          <w:p w:rsidR="00927CE7" w:rsidRPr="0015080A" w:rsidP="00927CE7" w14:paraId="4DC28781" w14:textId="77777777">
            <w:pPr>
              <w:spacing w:line="259" w:lineRule="auto"/>
              <w:ind w:left="0" w:firstLine="0"/>
              <w:rPr>
                <w:rFonts w:cstheme="minorHAnsi"/>
                <w:sz w:val="20"/>
                <w:szCs w:val="20"/>
              </w:rPr>
            </w:pPr>
            <w:r w:rsidRPr="0015080A">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927CE7" w:rsidRPr="0015080A" w:rsidP="00927CE7" w14:paraId="22A5EDF5" w14:textId="77777777">
            <w:pPr>
              <w:spacing w:line="259" w:lineRule="auto"/>
              <w:ind w:left="0" w:firstLine="0"/>
              <w:rPr>
                <w:rFonts w:cstheme="minorHAnsi"/>
                <w:sz w:val="20"/>
                <w:szCs w:val="20"/>
              </w:rPr>
            </w:pPr>
            <w:r w:rsidRPr="0015080A">
              <w:rPr>
                <w:rFonts w:cstheme="minorHAnsi"/>
                <w:sz w:val="20"/>
                <w:szCs w:val="20"/>
              </w:rPr>
              <w:t>(A)</w:t>
            </w:r>
          </w:p>
          <w:p w:rsidR="00927CE7" w:rsidRPr="0015080A" w:rsidP="00927CE7" w14:paraId="52A6A7E5" w14:textId="77777777">
            <w:pPr>
              <w:spacing w:line="259" w:lineRule="auto"/>
              <w:ind w:left="0" w:firstLine="0"/>
              <w:rPr>
                <w:rFonts w:cstheme="minorHAnsi"/>
                <w:sz w:val="20"/>
                <w:szCs w:val="20"/>
              </w:rPr>
            </w:pPr>
            <w:r w:rsidRPr="0015080A">
              <w:rPr>
                <w:rFonts w:cstheme="minorHAnsi"/>
                <w:sz w:val="20"/>
                <w:szCs w:val="20"/>
              </w:rPr>
              <w:t xml:space="preserve">Number of New Respondents </w:t>
            </w:r>
            <w:r w:rsidRPr="0015080A">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927CE7" w:rsidRPr="0015080A" w:rsidP="00927CE7" w14:paraId="03159E50" w14:textId="77777777">
            <w:pPr>
              <w:spacing w:line="259" w:lineRule="auto"/>
              <w:ind w:left="0" w:firstLine="0"/>
              <w:rPr>
                <w:rFonts w:cstheme="minorHAnsi"/>
                <w:sz w:val="20"/>
                <w:szCs w:val="20"/>
              </w:rPr>
            </w:pPr>
            <w:r w:rsidRPr="0015080A">
              <w:rPr>
                <w:rFonts w:cstheme="minorHAnsi"/>
                <w:sz w:val="20"/>
                <w:szCs w:val="20"/>
              </w:rPr>
              <w:t>(B)</w:t>
            </w:r>
          </w:p>
          <w:p w:rsidR="00927CE7" w:rsidRPr="0015080A" w:rsidP="00927CE7" w14:paraId="6F67278B" w14:textId="77777777">
            <w:pPr>
              <w:spacing w:line="259" w:lineRule="auto"/>
              <w:ind w:left="0" w:firstLine="0"/>
              <w:rPr>
                <w:rFonts w:cstheme="minorHAnsi"/>
                <w:sz w:val="20"/>
                <w:szCs w:val="20"/>
              </w:rPr>
            </w:pPr>
            <w:r w:rsidRPr="0015080A">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927CE7" w:rsidRPr="0015080A" w:rsidP="00927CE7" w14:paraId="34CF1D69" w14:textId="77777777">
            <w:pPr>
              <w:spacing w:line="259" w:lineRule="auto"/>
              <w:ind w:left="0" w:firstLine="0"/>
              <w:rPr>
                <w:rFonts w:cstheme="minorHAnsi"/>
                <w:sz w:val="20"/>
                <w:szCs w:val="20"/>
              </w:rPr>
            </w:pPr>
            <w:r w:rsidRPr="0015080A">
              <w:rPr>
                <w:rFonts w:cstheme="minorHAnsi"/>
                <w:sz w:val="20"/>
                <w:szCs w:val="20"/>
              </w:rPr>
              <w:t>(C)</w:t>
            </w:r>
          </w:p>
          <w:p w:rsidR="00927CE7" w:rsidRPr="0015080A" w:rsidP="00927CE7" w14:paraId="08A812A0" w14:textId="77777777">
            <w:pPr>
              <w:spacing w:line="259" w:lineRule="auto"/>
              <w:ind w:left="0" w:firstLine="0"/>
              <w:rPr>
                <w:rFonts w:cstheme="minorHAnsi"/>
                <w:sz w:val="20"/>
                <w:szCs w:val="20"/>
              </w:rPr>
            </w:pPr>
            <w:r w:rsidRPr="0015080A">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927CE7" w:rsidRPr="0015080A" w:rsidP="00927CE7" w14:paraId="3756ACC6" w14:textId="77777777">
            <w:pPr>
              <w:spacing w:line="259" w:lineRule="auto"/>
              <w:ind w:left="0" w:firstLine="0"/>
              <w:rPr>
                <w:rFonts w:cstheme="minorHAnsi"/>
                <w:sz w:val="20"/>
                <w:szCs w:val="20"/>
              </w:rPr>
            </w:pPr>
            <w:r w:rsidRPr="0015080A">
              <w:rPr>
                <w:rFonts w:cstheme="minorHAnsi"/>
                <w:sz w:val="20"/>
                <w:szCs w:val="20"/>
              </w:rPr>
              <w:t>(D)</w:t>
            </w:r>
          </w:p>
          <w:p w:rsidR="00927CE7" w:rsidRPr="0015080A" w:rsidP="00927CE7" w14:paraId="132F0512" w14:textId="77777777">
            <w:pPr>
              <w:spacing w:line="259" w:lineRule="auto"/>
              <w:ind w:left="0" w:firstLine="0"/>
              <w:rPr>
                <w:rFonts w:cstheme="minorHAnsi"/>
                <w:sz w:val="20"/>
                <w:szCs w:val="20"/>
              </w:rPr>
            </w:pPr>
            <w:r w:rsidRPr="0015080A">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927CE7" w:rsidRPr="0015080A" w:rsidP="00927CE7" w14:paraId="392094BD" w14:textId="77777777">
            <w:pPr>
              <w:spacing w:line="259" w:lineRule="auto"/>
              <w:ind w:left="0" w:firstLine="0"/>
              <w:rPr>
                <w:rFonts w:cstheme="minorHAnsi"/>
                <w:sz w:val="20"/>
                <w:szCs w:val="20"/>
              </w:rPr>
            </w:pPr>
            <w:r w:rsidRPr="0015080A">
              <w:rPr>
                <w:rFonts w:cstheme="minorHAnsi"/>
                <w:sz w:val="20"/>
                <w:szCs w:val="20"/>
              </w:rPr>
              <w:t>(E)</w:t>
            </w:r>
          </w:p>
          <w:p w:rsidR="00927CE7" w:rsidRPr="0015080A" w:rsidP="00927CE7" w14:paraId="31F6F55F" w14:textId="77777777">
            <w:pPr>
              <w:spacing w:line="259" w:lineRule="auto"/>
              <w:ind w:left="0" w:firstLine="0"/>
              <w:rPr>
                <w:rFonts w:cstheme="minorHAnsi"/>
                <w:sz w:val="20"/>
                <w:szCs w:val="20"/>
              </w:rPr>
            </w:pPr>
            <w:r w:rsidRPr="0015080A">
              <w:rPr>
                <w:rFonts w:cstheme="minorHAnsi"/>
                <w:sz w:val="20"/>
                <w:szCs w:val="20"/>
              </w:rPr>
              <w:t>Number of Respondents</w:t>
            </w:r>
          </w:p>
          <w:p w:rsidR="00927CE7" w:rsidRPr="0015080A" w:rsidP="00927CE7" w14:paraId="6A3007C3" w14:textId="77777777">
            <w:pPr>
              <w:spacing w:line="259" w:lineRule="auto"/>
              <w:ind w:left="0" w:firstLine="0"/>
              <w:rPr>
                <w:rFonts w:cstheme="minorHAnsi"/>
                <w:sz w:val="20"/>
                <w:szCs w:val="20"/>
              </w:rPr>
            </w:pPr>
            <w:r w:rsidRPr="0015080A">
              <w:rPr>
                <w:rFonts w:cstheme="minorHAnsi"/>
                <w:sz w:val="20"/>
                <w:szCs w:val="20"/>
              </w:rPr>
              <w:t>(E=A+B+C-D)</w:t>
            </w:r>
          </w:p>
        </w:tc>
      </w:tr>
      <w:tr w14:paraId="02CCAE15" w14:textId="77777777" w:rsidTr="00325C1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927CE7" w:rsidRPr="0015080A" w:rsidP="00927CE7" w14:paraId="4BC44B48" w14:textId="77777777">
            <w:pPr>
              <w:spacing w:line="259" w:lineRule="auto"/>
              <w:ind w:left="0" w:firstLine="0"/>
              <w:rPr>
                <w:rFonts w:cstheme="minorHAnsi"/>
                <w:sz w:val="20"/>
                <w:szCs w:val="20"/>
              </w:rPr>
            </w:pPr>
            <w:r w:rsidRPr="0015080A">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927CE7" w:rsidRPr="0015080A" w:rsidP="00927CE7" w14:paraId="4488D62F" w14:textId="77777777">
            <w:pPr>
              <w:spacing w:line="259" w:lineRule="auto"/>
              <w:ind w:left="0" w:firstLine="0"/>
              <w:rPr>
                <w:rFonts w:cstheme="minorHAnsi"/>
                <w:sz w:val="20"/>
                <w:szCs w:val="20"/>
              </w:rPr>
            </w:pPr>
            <w:r w:rsidRPr="0015080A">
              <w:rPr>
                <w:rFonts w:cstheme="minorHAnsi"/>
                <w:sz w:val="20"/>
                <w:szCs w:val="20"/>
              </w:rPr>
              <w:t>1</w:t>
            </w:r>
          </w:p>
        </w:tc>
        <w:tc>
          <w:tcPr>
            <w:tcW w:w="1282" w:type="dxa"/>
            <w:tcBorders>
              <w:top w:val="single" w:sz="4" w:space="0" w:color="auto"/>
              <w:left w:val="nil"/>
              <w:bottom w:val="single" w:sz="4" w:space="0" w:color="auto"/>
              <w:right w:val="single" w:sz="4" w:space="0" w:color="auto"/>
            </w:tcBorders>
            <w:shd w:val="clear" w:color="auto" w:fill="auto"/>
            <w:vAlign w:val="center"/>
          </w:tcPr>
          <w:p w:rsidR="00927CE7" w:rsidRPr="0015080A" w:rsidP="00927CE7" w14:paraId="508D986C" w14:textId="77777777">
            <w:pPr>
              <w:spacing w:line="259" w:lineRule="auto"/>
              <w:ind w:left="0" w:firstLine="0"/>
              <w:rPr>
                <w:rFonts w:cstheme="minorHAnsi"/>
                <w:sz w:val="20"/>
                <w:szCs w:val="20"/>
              </w:rPr>
            </w:pPr>
            <w:r w:rsidRPr="0015080A">
              <w:rPr>
                <w:rFonts w:cstheme="minorHAnsi"/>
                <w:sz w:val="20"/>
                <w:szCs w:val="20"/>
              </w:rPr>
              <w:t>96</w:t>
            </w:r>
          </w:p>
        </w:tc>
        <w:tc>
          <w:tcPr>
            <w:tcW w:w="2070" w:type="dxa"/>
            <w:tcBorders>
              <w:top w:val="single" w:sz="4" w:space="0" w:color="auto"/>
              <w:left w:val="nil"/>
              <w:bottom w:val="single" w:sz="4" w:space="0" w:color="auto"/>
              <w:right w:val="single" w:sz="4" w:space="0" w:color="auto"/>
            </w:tcBorders>
            <w:shd w:val="clear" w:color="auto" w:fill="auto"/>
            <w:vAlign w:val="center"/>
          </w:tcPr>
          <w:p w:rsidR="00927CE7" w:rsidRPr="0015080A" w:rsidP="00927CE7" w14:paraId="631D4EC9" w14:textId="77777777">
            <w:pPr>
              <w:spacing w:line="259" w:lineRule="auto"/>
              <w:ind w:left="0" w:firstLine="0"/>
              <w:rPr>
                <w:rFonts w:cstheme="minorHAnsi"/>
                <w:sz w:val="20"/>
                <w:szCs w:val="20"/>
              </w:rPr>
            </w:pPr>
            <w:r w:rsidRPr="0015080A">
              <w:rPr>
                <w:rFonts w:cstheme="minorHAnsi"/>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927CE7" w:rsidRPr="0015080A" w:rsidP="00927CE7" w14:paraId="76644FE8" w14:textId="77777777">
            <w:pPr>
              <w:spacing w:line="259" w:lineRule="auto"/>
              <w:ind w:left="0" w:firstLine="0"/>
              <w:rPr>
                <w:rFonts w:cstheme="minorHAnsi"/>
                <w:sz w:val="20"/>
                <w:szCs w:val="20"/>
              </w:rPr>
            </w:pPr>
            <w:r w:rsidRPr="0015080A">
              <w:rPr>
                <w:rFonts w:cstheme="minorHAnsi"/>
                <w:sz w:val="20"/>
                <w:szCs w:val="20"/>
              </w:rPr>
              <w:t>1</w:t>
            </w:r>
          </w:p>
        </w:tc>
        <w:tc>
          <w:tcPr>
            <w:tcW w:w="1710" w:type="dxa"/>
            <w:tcBorders>
              <w:top w:val="single" w:sz="4" w:space="0" w:color="auto"/>
              <w:left w:val="nil"/>
              <w:bottom w:val="single" w:sz="4" w:space="0" w:color="auto"/>
              <w:right w:val="single" w:sz="4" w:space="0" w:color="auto"/>
            </w:tcBorders>
            <w:shd w:val="clear" w:color="auto" w:fill="auto"/>
            <w:vAlign w:val="center"/>
          </w:tcPr>
          <w:p w:rsidR="00927CE7" w:rsidRPr="0015080A" w:rsidP="00927CE7" w14:paraId="015A5DCA" w14:textId="77777777">
            <w:pPr>
              <w:spacing w:line="259" w:lineRule="auto"/>
              <w:ind w:left="0" w:firstLine="0"/>
              <w:rPr>
                <w:rFonts w:cstheme="minorHAnsi"/>
                <w:sz w:val="20"/>
                <w:szCs w:val="20"/>
              </w:rPr>
            </w:pPr>
            <w:r w:rsidRPr="0015080A">
              <w:rPr>
                <w:rFonts w:cstheme="minorHAnsi"/>
                <w:sz w:val="20"/>
                <w:szCs w:val="20"/>
              </w:rPr>
              <w:t>96</w:t>
            </w:r>
          </w:p>
        </w:tc>
      </w:tr>
      <w:tr w14:paraId="14A21E7C" w14:textId="77777777" w:rsidTr="00325C1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27CE7" w:rsidRPr="0015080A" w:rsidP="00927CE7" w14:paraId="013F08BE" w14:textId="77777777">
            <w:pPr>
              <w:spacing w:line="259" w:lineRule="auto"/>
              <w:ind w:left="0" w:firstLine="0"/>
              <w:rPr>
                <w:rFonts w:cstheme="minorHAnsi"/>
                <w:sz w:val="20"/>
                <w:szCs w:val="20"/>
              </w:rPr>
            </w:pPr>
            <w:r w:rsidRPr="0015080A">
              <w:rPr>
                <w:rFonts w:cstheme="minorHAnsi"/>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927CE7" w:rsidRPr="0015080A" w:rsidP="00927CE7" w14:paraId="6A3F06F8" w14:textId="77777777">
            <w:pPr>
              <w:spacing w:line="259" w:lineRule="auto"/>
              <w:ind w:left="0" w:firstLine="0"/>
              <w:rPr>
                <w:rFonts w:cstheme="minorHAnsi"/>
                <w:sz w:val="20"/>
                <w:szCs w:val="20"/>
              </w:rPr>
            </w:pPr>
            <w:r w:rsidRPr="0015080A">
              <w:rPr>
                <w:rFonts w:cstheme="minorHAnsi"/>
                <w:sz w:val="20"/>
                <w:szCs w:val="20"/>
              </w:rPr>
              <w:t>1</w:t>
            </w:r>
          </w:p>
        </w:tc>
        <w:tc>
          <w:tcPr>
            <w:tcW w:w="1282" w:type="dxa"/>
            <w:tcBorders>
              <w:top w:val="nil"/>
              <w:left w:val="nil"/>
              <w:bottom w:val="single" w:sz="4" w:space="0" w:color="auto"/>
              <w:right w:val="single" w:sz="4" w:space="0" w:color="auto"/>
            </w:tcBorders>
            <w:shd w:val="clear" w:color="auto" w:fill="auto"/>
            <w:vAlign w:val="center"/>
          </w:tcPr>
          <w:p w:rsidR="00927CE7" w:rsidRPr="0015080A" w:rsidP="00927CE7" w14:paraId="0EFB5486" w14:textId="77777777">
            <w:pPr>
              <w:spacing w:line="259" w:lineRule="auto"/>
              <w:ind w:left="0" w:firstLine="0"/>
              <w:rPr>
                <w:rFonts w:cstheme="minorHAnsi"/>
                <w:sz w:val="20"/>
                <w:szCs w:val="20"/>
              </w:rPr>
            </w:pPr>
            <w:r w:rsidRPr="0015080A">
              <w:rPr>
                <w:rFonts w:cstheme="minorHAnsi"/>
                <w:sz w:val="20"/>
                <w:szCs w:val="20"/>
              </w:rPr>
              <w:t>96</w:t>
            </w:r>
          </w:p>
        </w:tc>
        <w:tc>
          <w:tcPr>
            <w:tcW w:w="2070" w:type="dxa"/>
            <w:tcBorders>
              <w:top w:val="nil"/>
              <w:left w:val="nil"/>
              <w:bottom w:val="single" w:sz="4" w:space="0" w:color="auto"/>
              <w:right w:val="single" w:sz="4" w:space="0" w:color="auto"/>
            </w:tcBorders>
            <w:shd w:val="clear" w:color="auto" w:fill="auto"/>
            <w:vAlign w:val="center"/>
          </w:tcPr>
          <w:p w:rsidR="00927CE7" w:rsidRPr="0015080A" w:rsidP="00927CE7" w14:paraId="5AE65452" w14:textId="77777777">
            <w:pPr>
              <w:spacing w:line="259" w:lineRule="auto"/>
              <w:ind w:left="0" w:firstLine="0"/>
              <w:rPr>
                <w:rFonts w:cstheme="minorHAnsi"/>
                <w:sz w:val="20"/>
                <w:szCs w:val="20"/>
              </w:rPr>
            </w:pPr>
            <w:r w:rsidRPr="0015080A">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927CE7" w:rsidRPr="0015080A" w:rsidP="00927CE7" w14:paraId="513DBE1B" w14:textId="77777777">
            <w:pPr>
              <w:spacing w:line="259" w:lineRule="auto"/>
              <w:ind w:left="0" w:firstLine="0"/>
              <w:rPr>
                <w:rFonts w:cstheme="minorHAnsi"/>
                <w:sz w:val="20"/>
                <w:szCs w:val="20"/>
              </w:rPr>
            </w:pPr>
            <w:r w:rsidRPr="0015080A">
              <w:rPr>
                <w:rFonts w:cstheme="minorHAnsi"/>
                <w:sz w:val="20"/>
                <w:szCs w:val="20"/>
              </w:rPr>
              <w:t>1</w:t>
            </w:r>
          </w:p>
        </w:tc>
        <w:tc>
          <w:tcPr>
            <w:tcW w:w="1710" w:type="dxa"/>
            <w:tcBorders>
              <w:top w:val="nil"/>
              <w:left w:val="nil"/>
              <w:bottom w:val="single" w:sz="4" w:space="0" w:color="auto"/>
              <w:right w:val="single" w:sz="4" w:space="0" w:color="auto"/>
            </w:tcBorders>
            <w:shd w:val="clear" w:color="auto" w:fill="auto"/>
            <w:vAlign w:val="center"/>
          </w:tcPr>
          <w:p w:rsidR="00927CE7" w:rsidRPr="0015080A" w:rsidP="00927CE7" w14:paraId="48B2F65D" w14:textId="77777777">
            <w:pPr>
              <w:spacing w:line="259" w:lineRule="auto"/>
              <w:ind w:left="0" w:firstLine="0"/>
              <w:rPr>
                <w:rFonts w:cstheme="minorHAnsi"/>
                <w:sz w:val="20"/>
                <w:szCs w:val="20"/>
              </w:rPr>
            </w:pPr>
            <w:r w:rsidRPr="0015080A">
              <w:rPr>
                <w:rFonts w:cstheme="minorHAnsi"/>
                <w:sz w:val="20"/>
                <w:szCs w:val="20"/>
              </w:rPr>
              <w:t>96</w:t>
            </w:r>
          </w:p>
        </w:tc>
      </w:tr>
      <w:tr w14:paraId="4371DD36" w14:textId="77777777" w:rsidTr="00325C1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27CE7" w:rsidRPr="0015080A" w:rsidP="00927CE7" w14:paraId="2A784694" w14:textId="77777777">
            <w:pPr>
              <w:spacing w:line="259" w:lineRule="auto"/>
              <w:ind w:left="0" w:firstLine="0"/>
              <w:rPr>
                <w:rFonts w:cstheme="minorHAnsi"/>
                <w:sz w:val="20"/>
                <w:szCs w:val="20"/>
              </w:rPr>
            </w:pPr>
            <w:r w:rsidRPr="0015080A">
              <w:rPr>
                <w:rFonts w:cstheme="minorHAnsi"/>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927CE7" w:rsidRPr="0015080A" w:rsidP="00927CE7" w14:paraId="633852D6" w14:textId="77777777">
            <w:pPr>
              <w:spacing w:line="259" w:lineRule="auto"/>
              <w:ind w:left="0" w:firstLine="0"/>
              <w:rPr>
                <w:rFonts w:cstheme="minorHAnsi"/>
                <w:sz w:val="20"/>
                <w:szCs w:val="20"/>
              </w:rPr>
            </w:pPr>
            <w:r w:rsidRPr="0015080A">
              <w:rPr>
                <w:rFonts w:cstheme="minorHAnsi"/>
                <w:sz w:val="20"/>
                <w:szCs w:val="20"/>
              </w:rPr>
              <w:t>1</w:t>
            </w:r>
          </w:p>
        </w:tc>
        <w:tc>
          <w:tcPr>
            <w:tcW w:w="1282" w:type="dxa"/>
            <w:tcBorders>
              <w:top w:val="nil"/>
              <w:left w:val="nil"/>
              <w:bottom w:val="single" w:sz="4" w:space="0" w:color="auto"/>
              <w:right w:val="single" w:sz="4" w:space="0" w:color="auto"/>
            </w:tcBorders>
            <w:shd w:val="clear" w:color="auto" w:fill="auto"/>
            <w:vAlign w:val="center"/>
          </w:tcPr>
          <w:p w:rsidR="00927CE7" w:rsidRPr="0015080A" w:rsidP="00927CE7" w14:paraId="02CEC8FE" w14:textId="77777777">
            <w:pPr>
              <w:spacing w:line="259" w:lineRule="auto"/>
              <w:ind w:left="0" w:firstLine="0"/>
              <w:rPr>
                <w:rFonts w:cstheme="minorHAnsi"/>
                <w:sz w:val="20"/>
                <w:szCs w:val="20"/>
              </w:rPr>
            </w:pPr>
            <w:r w:rsidRPr="0015080A">
              <w:rPr>
                <w:rFonts w:cstheme="minorHAnsi"/>
                <w:sz w:val="20"/>
                <w:szCs w:val="20"/>
              </w:rPr>
              <w:t>96</w:t>
            </w:r>
          </w:p>
        </w:tc>
        <w:tc>
          <w:tcPr>
            <w:tcW w:w="2070" w:type="dxa"/>
            <w:tcBorders>
              <w:top w:val="nil"/>
              <w:left w:val="nil"/>
              <w:bottom w:val="single" w:sz="4" w:space="0" w:color="auto"/>
              <w:right w:val="single" w:sz="4" w:space="0" w:color="auto"/>
            </w:tcBorders>
            <w:shd w:val="clear" w:color="auto" w:fill="auto"/>
            <w:vAlign w:val="center"/>
          </w:tcPr>
          <w:p w:rsidR="00927CE7" w:rsidRPr="0015080A" w:rsidP="00927CE7" w14:paraId="5201654E" w14:textId="77777777">
            <w:pPr>
              <w:spacing w:line="259" w:lineRule="auto"/>
              <w:ind w:left="0" w:firstLine="0"/>
              <w:rPr>
                <w:rFonts w:cstheme="minorHAnsi"/>
                <w:sz w:val="20"/>
                <w:szCs w:val="20"/>
              </w:rPr>
            </w:pPr>
            <w:r w:rsidRPr="0015080A">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927CE7" w:rsidRPr="0015080A" w:rsidP="00927CE7" w14:paraId="1A98418C" w14:textId="77777777">
            <w:pPr>
              <w:spacing w:line="259" w:lineRule="auto"/>
              <w:ind w:left="0" w:firstLine="0"/>
              <w:rPr>
                <w:rFonts w:cstheme="minorHAnsi"/>
                <w:sz w:val="20"/>
                <w:szCs w:val="20"/>
              </w:rPr>
            </w:pPr>
            <w:r w:rsidRPr="0015080A">
              <w:rPr>
                <w:rFonts w:cstheme="minorHAnsi"/>
                <w:sz w:val="20"/>
                <w:szCs w:val="20"/>
              </w:rPr>
              <w:t>1</w:t>
            </w:r>
          </w:p>
        </w:tc>
        <w:tc>
          <w:tcPr>
            <w:tcW w:w="1710" w:type="dxa"/>
            <w:tcBorders>
              <w:top w:val="nil"/>
              <w:left w:val="nil"/>
              <w:bottom w:val="single" w:sz="4" w:space="0" w:color="auto"/>
              <w:right w:val="single" w:sz="4" w:space="0" w:color="auto"/>
            </w:tcBorders>
            <w:shd w:val="clear" w:color="auto" w:fill="auto"/>
            <w:vAlign w:val="center"/>
          </w:tcPr>
          <w:p w:rsidR="00927CE7" w:rsidRPr="0015080A" w:rsidP="00927CE7" w14:paraId="5E176B07" w14:textId="77777777">
            <w:pPr>
              <w:spacing w:line="259" w:lineRule="auto"/>
              <w:ind w:left="0" w:firstLine="0"/>
              <w:rPr>
                <w:rFonts w:cstheme="minorHAnsi"/>
                <w:sz w:val="20"/>
                <w:szCs w:val="20"/>
              </w:rPr>
            </w:pPr>
            <w:r w:rsidRPr="0015080A">
              <w:rPr>
                <w:rFonts w:cstheme="minorHAnsi"/>
                <w:sz w:val="20"/>
                <w:szCs w:val="20"/>
              </w:rPr>
              <w:t>96</w:t>
            </w:r>
          </w:p>
        </w:tc>
      </w:tr>
      <w:tr w14:paraId="1677E872" w14:textId="77777777" w:rsidTr="00325C1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927CE7" w:rsidRPr="0015080A" w:rsidP="00927CE7" w14:paraId="02402927" w14:textId="77777777">
            <w:pPr>
              <w:spacing w:line="259" w:lineRule="auto"/>
              <w:ind w:left="0" w:firstLine="0"/>
              <w:rPr>
                <w:rFonts w:cstheme="minorHAnsi"/>
                <w:sz w:val="20"/>
                <w:szCs w:val="20"/>
              </w:rPr>
            </w:pPr>
            <w:r w:rsidRPr="0015080A">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927CE7" w:rsidRPr="0015080A" w:rsidP="00927CE7" w14:paraId="72776A0C" w14:textId="77777777">
            <w:pPr>
              <w:spacing w:line="259" w:lineRule="auto"/>
              <w:ind w:left="0" w:firstLine="0"/>
              <w:rPr>
                <w:rFonts w:cstheme="minorHAnsi"/>
                <w:sz w:val="20"/>
                <w:szCs w:val="20"/>
              </w:rPr>
            </w:pPr>
            <w:r w:rsidRPr="0015080A">
              <w:rPr>
                <w:rFonts w:cstheme="minorHAnsi"/>
                <w:sz w:val="20"/>
                <w:szCs w:val="20"/>
              </w:rPr>
              <w:t>1</w:t>
            </w:r>
          </w:p>
        </w:tc>
        <w:tc>
          <w:tcPr>
            <w:tcW w:w="1282" w:type="dxa"/>
            <w:tcBorders>
              <w:top w:val="nil"/>
              <w:left w:val="nil"/>
              <w:bottom w:val="single" w:sz="4" w:space="0" w:color="auto"/>
              <w:right w:val="single" w:sz="4" w:space="0" w:color="auto"/>
            </w:tcBorders>
            <w:shd w:val="clear" w:color="auto" w:fill="auto"/>
            <w:vAlign w:val="center"/>
          </w:tcPr>
          <w:p w:rsidR="00927CE7" w:rsidRPr="0015080A" w:rsidP="00927CE7" w14:paraId="6A2C46FE" w14:textId="77777777">
            <w:pPr>
              <w:spacing w:line="259" w:lineRule="auto"/>
              <w:ind w:left="0" w:firstLine="0"/>
              <w:rPr>
                <w:rFonts w:cstheme="minorHAnsi"/>
                <w:sz w:val="20"/>
                <w:szCs w:val="20"/>
              </w:rPr>
            </w:pPr>
            <w:r w:rsidRPr="0015080A">
              <w:rPr>
                <w:rFonts w:cstheme="minorHAnsi"/>
                <w:sz w:val="20"/>
                <w:szCs w:val="20"/>
              </w:rPr>
              <w:t>96</w:t>
            </w:r>
          </w:p>
        </w:tc>
        <w:tc>
          <w:tcPr>
            <w:tcW w:w="2070" w:type="dxa"/>
            <w:tcBorders>
              <w:top w:val="nil"/>
              <w:left w:val="nil"/>
              <w:bottom w:val="single" w:sz="4" w:space="0" w:color="auto"/>
              <w:right w:val="single" w:sz="4" w:space="0" w:color="auto"/>
            </w:tcBorders>
            <w:shd w:val="clear" w:color="auto" w:fill="auto"/>
            <w:vAlign w:val="center"/>
          </w:tcPr>
          <w:p w:rsidR="00927CE7" w:rsidRPr="0015080A" w:rsidP="00927CE7" w14:paraId="3FAC8020" w14:textId="77777777">
            <w:pPr>
              <w:spacing w:line="259" w:lineRule="auto"/>
              <w:ind w:left="0" w:firstLine="0"/>
              <w:rPr>
                <w:rFonts w:cstheme="minorHAnsi"/>
                <w:sz w:val="20"/>
                <w:szCs w:val="20"/>
              </w:rPr>
            </w:pPr>
            <w:r w:rsidRPr="0015080A">
              <w:rPr>
                <w:rFonts w:cstheme="minorHAnsi"/>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927CE7" w:rsidRPr="0015080A" w:rsidP="00927CE7" w14:paraId="57BC1D25" w14:textId="77777777">
            <w:pPr>
              <w:spacing w:line="259" w:lineRule="auto"/>
              <w:ind w:left="0" w:firstLine="0"/>
              <w:rPr>
                <w:rFonts w:cstheme="minorHAnsi"/>
                <w:sz w:val="20"/>
                <w:szCs w:val="20"/>
              </w:rPr>
            </w:pPr>
            <w:r w:rsidRPr="0015080A">
              <w:rPr>
                <w:rFonts w:cstheme="minorHAnsi"/>
                <w:sz w:val="20"/>
                <w:szCs w:val="20"/>
              </w:rPr>
              <w:t>1</w:t>
            </w:r>
          </w:p>
        </w:tc>
        <w:tc>
          <w:tcPr>
            <w:tcW w:w="1710" w:type="dxa"/>
            <w:tcBorders>
              <w:top w:val="nil"/>
              <w:left w:val="nil"/>
              <w:bottom w:val="single" w:sz="4" w:space="0" w:color="auto"/>
              <w:right w:val="single" w:sz="4" w:space="0" w:color="auto"/>
            </w:tcBorders>
            <w:shd w:val="clear" w:color="auto" w:fill="auto"/>
            <w:vAlign w:val="center"/>
          </w:tcPr>
          <w:p w:rsidR="00927CE7" w:rsidRPr="0015080A" w:rsidP="00927CE7" w14:paraId="66B70641" w14:textId="77777777">
            <w:pPr>
              <w:spacing w:line="259" w:lineRule="auto"/>
              <w:ind w:left="0" w:firstLine="0"/>
              <w:rPr>
                <w:rFonts w:cstheme="minorHAnsi"/>
                <w:sz w:val="20"/>
                <w:szCs w:val="20"/>
              </w:rPr>
            </w:pPr>
            <w:r w:rsidRPr="0015080A">
              <w:rPr>
                <w:rFonts w:cstheme="minorHAnsi"/>
                <w:b/>
                <w:bCs/>
                <w:sz w:val="20"/>
                <w:szCs w:val="20"/>
              </w:rPr>
              <w:t>96</w:t>
            </w:r>
          </w:p>
        </w:tc>
      </w:tr>
    </w:tbl>
    <w:p w:rsidR="00927CE7" w:rsidRPr="00927CE7" w:rsidP="00927CE7" w14:paraId="26A463E5" w14:textId="6EA971C2">
      <w:pPr>
        <w:spacing w:line="259" w:lineRule="auto"/>
        <w:ind w:left="0" w:firstLine="0"/>
        <w:rPr>
          <w:rFonts w:cstheme="minorHAnsi"/>
        </w:rPr>
      </w:pPr>
      <w:r w:rsidRPr="00927CE7">
        <w:rPr>
          <w:rFonts w:cstheme="minorHAnsi"/>
          <w:vertAlign w:val="superscript"/>
        </w:rPr>
        <w:t>1</w:t>
      </w:r>
      <w:r w:rsidRPr="00927CE7">
        <w:rPr>
          <w:rFonts w:cstheme="minorHAnsi"/>
        </w:rPr>
        <w:t xml:space="preserve"> New </w:t>
      </w:r>
      <w:r w:rsidRPr="00927CE7">
        <w:rPr>
          <w:rFonts w:cstheme="minorHAnsi"/>
        </w:rPr>
        <w:t>respondents</w:t>
      </w:r>
      <w:r w:rsidRPr="00927CE7">
        <w:rPr>
          <w:rFonts w:cstheme="minorHAnsi"/>
        </w:rPr>
        <w:t xml:space="preserve"> include sources with constructed, reconstructed and modified affected facilities. </w:t>
      </w:r>
    </w:p>
    <w:p w:rsidR="00927CE7" w:rsidRPr="00927CE7" w:rsidP="00927CE7" w14:paraId="08770FBA" w14:textId="14D2CE18">
      <w:pPr>
        <w:spacing w:line="259" w:lineRule="auto"/>
        <w:ind w:left="0" w:firstLine="0"/>
        <w:rPr>
          <w:rFonts w:cstheme="minorHAnsi"/>
        </w:rPr>
      </w:pPr>
      <w:r w:rsidRPr="00927CE7">
        <w:rPr>
          <w:rFonts w:cstheme="minorHAnsi"/>
        </w:rPr>
        <w:t xml:space="preserve">Column D is subtracted to avoid double-counting respondents. As shown above, the average Number of Respondents over the three-year period of this ICR is 96. </w:t>
      </w:r>
    </w:p>
    <w:p w:rsidR="00927CE7" w:rsidRPr="00927CE7" w:rsidP="00927CE7" w14:paraId="3A1218B5" w14:textId="3A1065A9">
      <w:pPr>
        <w:spacing w:line="259" w:lineRule="auto"/>
        <w:ind w:left="0" w:firstLine="0"/>
        <w:rPr>
          <w:rFonts w:cstheme="minorHAnsi"/>
        </w:rPr>
      </w:pPr>
      <w:r w:rsidRPr="00927CE7">
        <w:rPr>
          <w:rFonts w:cstheme="minorHAnsi"/>
        </w:rPr>
        <w:t xml:space="preserve">The total number of annual responses per year is calculated using the following table: </w:t>
      </w:r>
    </w:p>
    <w:tbl>
      <w:tblPr>
        <w:tblW w:w="0" w:type="auto"/>
        <w:tblInd w:w="-5" w:type="dxa"/>
        <w:tblLayout w:type="fixed"/>
        <w:tblLook w:val="04A0"/>
      </w:tblPr>
      <w:tblGrid>
        <w:gridCol w:w="3154"/>
        <w:gridCol w:w="1497"/>
        <w:gridCol w:w="1297"/>
        <w:gridCol w:w="1760"/>
        <w:gridCol w:w="1618"/>
      </w:tblGrid>
      <w:tr w14:paraId="40C305F7" w14:textId="77777777" w:rsidTr="00325C1E">
        <w:tblPrEx>
          <w:tblW w:w="0" w:type="auto"/>
          <w:tblInd w:w="-5" w:type="dxa"/>
          <w:tblLayout w:type="fixed"/>
          <w:tblLook w:val="04A0"/>
        </w:tblPrEx>
        <w:trPr>
          <w:trHeight w:val="424"/>
        </w:trPr>
        <w:tc>
          <w:tcPr>
            <w:tcW w:w="93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7CE7" w:rsidRPr="0039390C" w:rsidP="006009A1" w14:paraId="634A9F02" w14:textId="77777777">
            <w:pPr>
              <w:spacing w:line="259" w:lineRule="auto"/>
              <w:ind w:left="0" w:firstLine="0"/>
              <w:jc w:val="center"/>
              <w:rPr>
                <w:rFonts w:cstheme="minorHAnsi"/>
                <w:b/>
                <w:bCs/>
                <w:sz w:val="20"/>
                <w:szCs w:val="20"/>
              </w:rPr>
            </w:pPr>
            <w:r w:rsidRPr="0039390C">
              <w:rPr>
                <w:rFonts w:cstheme="minorHAnsi"/>
                <w:b/>
                <w:bCs/>
                <w:sz w:val="20"/>
                <w:szCs w:val="20"/>
              </w:rPr>
              <w:t>Total Annual Responses</w:t>
            </w:r>
          </w:p>
        </w:tc>
      </w:tr>
      <w:tr w14:paraId="66F58BD5"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14C8A056" w14:textId="77777777">
            <w:pPr>
              <w:spacing w:line="259" w:lineRule="auto"/>
              <w:ind w:left="0" w:firstLine="0"/>
              <w:rPr>
                <w:rFonts w:cstheme="minorHAnsi"/>
                <w:sz w:val="20"/>
                <w:szCs w:val="20"/>
              </w:rPr>
            </w:pPr>
            <w:r w:rsidRPr="0039390C">
              <w:rPr>
                <w:rFonts w:cstheme="minorHAnsi"/>
                <w:sz w:val="20"/>
                <w:szCs w:val="20"/>
              </w:rPr>
              <w:t>(A)</w:t>
            </w:r>
          </w:p>
        </w:tc>
        <w:tc>
          <w:tcPr>
            <w:tcW w:w="1497" w:type="dxa"/>
            <w:tcBorders>
              <w:top w:val="nil"/>
              <w:left w:val="nil"/>
              <w:bottom w:val="single" w:sz="4" w:space="0" w:color="000000"/>
              <w:right w:val="single" w:sz="4" w:space="0" w:color="000000"/>
            </w:tcBorders>
            <w:shd w:val="clear" w:color="auto" w:fill="auto"/>
            <w:vAlign w:val="center"/>
            <w:hideMark/>
          </w:tcPr>
          <w:p w:rsidR="00927CE7" w:rsidRPr="0039390C" w:rsidP="00927CE7" w14:paraId="6FBBC148" w14:textId="77777777">
            <w:pPr>
              <w:spacing w:line="259" w:lineRule="auto"/>
              <w:ind w:left="0" w:firstLine="0"/>
              <w:rPr>
                <w:rFonts w:cstheme="minorHAnsi"/>
                <w:sz w:val="20"/>
                <w:szCs w:val="20"/>
              </w:rPr>
            </w:pPr>
            <w:r w:rsidRPr="0039390C">
              <w:rPr>
                <w:rFonts w:cstheme="minorHAnsi"/>
                <w:sz w:val="20"/>
                <w:szCs w:val="20"/>
              </w:rPr>
              <w:t>(B)</w:t>
            </w:r>
          </w:p>
        </w:tc>
        <w:tc>
          <w:tcPr>
            <w:tcW w:w="1297" w:type="dxa"/>
            <w:tcBorders>
              <w:top w:val="nil"/>
              <w:left w:val="nil"/>
              <w:bottom w:val="single" w:sz="4" w:space="0" w:color="000000"/>
              <w:right w:val="single" w:sz="4" w:space="0" w:color="000000"/>
            </w:tcBorders>
            <w:shd w:val="clear" w:color="auto" w:fill="auto"/>
            <w:vAlign w:val="center"/>
            <w:hideMark/>
          </w:tcPr>
          <w:p w:rsidR="00927CE7" w:rsidRPr="0039390C" w:rsidP="00927CE7" w14:paraId="10F2D049" w14:textId="77777777">
            <w:pPr>
              <w:spacing w:line="259" w:lineRule="auto"/>
              <w:ind w:left="0" w:firstLine="0"/>
              <w:rPr>
                <w:rFonts w:cstheme="minorHAnsi"/>
                <w:sz w:val="20"/>
                <w:szCs w:val="20"/>
              </w:rPr>
            </w:pPr>
            <w:r w:rsidRPr="0039390C">
              <w:rPr>
                <w:rFonts w:cstheme="minorHAnsi"/>
                <w:sz w:val="20"/>
                <w:szCs w:val="20"/>
              </w:rPr>
              <w:t>(C)</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4E2D2E00" w14:textId="77777777">
            <w:pPr>
              <w:spacing w:line="259" w:lineRule="auto"/>
              <w:ind w:left="0" w:firstLine="0"/>
              <w:rPr>
                <w:rFonts w:cstheme="minorHAnsi"/>
                <w:sz w:val="20"/>
                <w:szCs w:val="20"/>
              </w:rPr>
            </w:pPr>
            <w:r w:rsidRPr="0039390C">
              <w:rPr>
                <w:rFonts w:cstheme="minorHAnsi"/>
                <w:sz w:val="20"/>
                <w:szCs w:val="20"/>
              </w:rPr>
              <w:t>(D)</w:t>
            </w:r>
          </w:p>
        </w:tc>
        <w:tc>
          <w:tcPr>
            <w:tcW w:w="1618" w:type="dxa"/>
            <w:tcBorders>
              <w:top w:val="nil"/>
              <w:left w:val="nil"/>
              <w:bottom w:val="single" w:sz="4" w:space="0" w:color="000000"/>
              <w:right w:val="single" w:sz="4" w:space="0" w:color="000000"/>
            </w:tcBorders>
            <w:shd w:val="clear" w:color="auto" w:fill="auto"/>
            <w:vAlign w:val="center"/>
            <w:hideMark/>
          </w:tcPr>
          <w:p w:rsidR="00927CE7" w:rsidRPr="0039390C" w:rsidP="00927CE7" w14:paraId="364A99A8" w14:textId="77777777">
            <w:pPr>
              <w:spacing w:line="259" w:lineRule="auto"/>
              <w:ind w:left="0" w:firstLine="0"/>
              <w:rPr>
                <w:rFonts w:cstheme="minorHAnsi"/>
                <w:sz w:val="20"/>
                <w:szCs w:val="20"/>
              </w:rPr>
            </w:pPr>
            <w:r w:rsidRPr="0039390C">
              <w:rPr>
                <w:rFonts w:cstheme="minorHAnsi"/>
                <w:sz w:val="20"/>
                <w:szCs w:val="20"/>
              </w:rPr>
              <w:t>(E)</w:t>
            </w:r>
          </w:p>
        </w:tc>
      </w:tr>
      <w:tr w14:paraId="05898A11" w14:textId="77777777" w:rsidTr="00325C1E">
        <w:tblPrEx>
          <w:tblW w:w="0" w:type="auto"/>
          <w:tblInd w:w="-5" w:type="dxa"/>
          <w:tblLayout w:type="fixed"/>
          <w:tblLook w:val="04A0"/>
        </w:tblPrEx>
        <w:trPr>
          <w:trHeight w:val="2041"/>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7502675B" w14:textId="77777777">
            <w:pPr>
              <w:spacing w:line="259" w:lineRule="auto"/>
              <w:ind w:left="0" w:firstLine="0"/>
              <w:rPr>
                <w:rFonts w:cstheme="minorHAnsi"/>
                <w:sz w:val="20"/>
                <w:szCs w:val="20"/>
              </w:rPr>
            </w:pPr>
            <w:r w:rsidRPr="0039390C">
              <w:rPr>
                <w:rFonts w:cstheme="minorHAnsi"/>
                <w:sz w:val="20"/>
                <w:szCs w:val="20"/>
              </w:rPr>
              <w:t xml:space="preserve">Information Collection Activity </w:t>
            </w:r>
            <w:r w:rsidRPr="0039390C">
              <w:rPr>
                <w:rFonts w:cstheme="minorHAnsi"/>
                <w:sz w:val="20"/>
                <w:szCs w:val="20"/>
                <w:vertAlign w:val="superscript"/>
              </w:rPr>
              <w:t>a</w:t>
            </w:r>
          </w:p>
        </w:tc>
        <w:tc>
          <w:tcPr>
            <w:tcW w:w="1497" w:type="dxa"/>
            <w:tcBorders>
              <w:top w:val="nil"/>
              <w:left w:val="nil"/>
              <w:bottom w:val="single" w:sz="4" w:space="0" w:color="000000"/>
              <w:right w:val="single" w:sz="4" w:space="0" w:color="000000"/>
            </w:tcBorders>
            <w:shd w:val="clear" w:color="auto" w:fill="auto"/>
            <w:vAlign w:val="center"/>
            <w:hideMark/>
          </w:tcPr>
          <w:p w:rsidR="00927CE7" w:rsidRPr="0039390C" w:rsidP="00927CE7" w14:paraId="78440D5C" w14:textId="77777777">
            <w:pPr>
              <w:spacing w:line="259" w:lineRule="auto"/>
              <w:ind w:left="0" w:firstLine="0"/>
              <w:rPr>
                <w:rFonts w:cstheme="minorHAnsi"/>
                <w:sz w:val="20"/>
                <w:szCs w:val="20"/>
              </w:rPr>
            </w:pPr>
            <w:r w:rsidRPr="0039390C">
              <w:rPr>
                <w:rFonts w:cstheme="minorHAnsi"/>
                <w:sz w:val="20"/>
                <w:szCs w:val="20"/>
              </w:rPr>
              <w:t>Number of Respondents</w:t>
            </w:r>
          </w:p>
        </w:tc>
        <w:tc>
          <w:tcPr>
            <w:tcW w:w="1297" w:type="dxa"/>
            <w:tcBorders>
              <w:top w:val="nil"/>
              <w:left w:val="nil"/>
              <w:bottom w:val="single" w:sz="4" w:space="0" w:color="000000"/>
              <w:right w:val="single" w:sz="4" w:space="0" w:color="000000"/>
            </w:tcBorders>
            <w:shd w:val="clear" w:color="auto" w:fill="auto"/>
            <w:vAlign w:val="center"/>
            <w:hideMark/>
          </w:tcPr>
          <w:p w:rsidR="00927CE7" w:rsidRPr="0039390C" w:rsidP="00927CE7" w14:paraId="65C173A3" w14:textId="77777777">
            <w:pPr>
              <w:spacing w:line="259" w:lineRule="auto"/>
              <w:ind w:left="0" w:firstLine="0"/>
              <w:rPr>
                <w:rFonts w:cstheme="minorHAnsi"/>
                <w:sz w:val="20"/>
                <w:szCs w:val="20"/>
              </w:rPr>
            </w:pPr>
            <w:r w:rsidRPr="0039390C">
              <w:rPr>
                <w:rFonts w:cstheme="minorHAnsi"/>
                <w:sz w:val="20"/>
                <w:szCs w:val="20"/>
              </w:rPr>
              <w:t>Number of Responses</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497E1FBD" w14:textId="77777777">
            <w:pPr>
              <w:spacing w:line="259" w:lineRule="auto"/>
              <w:ind w:left="0" w:firstLine="0"/>
              <w:rPr>
                <w:rFonts w:cstheme="minorHAnsi"/>
                <w:sz w:val="20"/>
                <w:szCs w:val="20"/>
              </w:rPr>
            </w:pPr>
            <w:r w:rsidRPr="0039390C">
              <w:rPr>
                <w:rFonts w:cstheme="minorHAnsi"/>
                <w:sz w:val="20"/>
                <w:szCs w:val="20"/>
              </w:rPr>
              <w:t xml:space="preserve">Number of Existing Respondents That Keep Records </w:t>
            </w:r>
            <w:r w:rsidRPr="0039390C">
              <w:rPr>
                <w:rFonts w:cstheme="minorHAnsi"/>
                <w:sz w:val="20"/>
                <w:szCs w:val="20"/>
              </w:rPr>
              <w:t>But</w:t>
            </w:r>
            <w:r w:rsidRPr="0039390C">
              <w:rPr>
                <w:rFonts w:cstheme="minorHAnsi"/>
                <w:sz w:val="20"/>
                <w:szCs w:val="20"/>
              </w:rPr>
              <w:t xml:space="preserve"> Do Not Submit Reports</w:t>
            </w:r>
          </w:p>
        </w:tc>
        <w:tc>
          <w:tcPr>
            <w:tcW w:w="1618" w:type="dxa"/>
            <w:tcBorders>
              <w:top w:val="nil"/>
              <w:left w:val="nil"/>
              <w:bottom w:val="single" w:sz="4" w:space="0" w:color="000000"/>
              <w:right w:val="single" w:sz="4" w:space="0" w:color="000000"/>
            </w:tcBorders>
            <w:shd w:val="clear" w:color="auto" w:fill="auto"/>
            <w:vAlign w:val="center"/>
            <w:hideMark/>
          </w:tcPr>
          <w:p w:rsidR="00927CE7" w:rsidRPr="0039390C" w:rsidP="00927CE7" w14:paraId="0694623E" w14:textId="77777777">
            <w:pPr>
              <w:spacing w:line="259" w:lineRule="auto"/>
              <w:ind w:left="0" w:firstLine="0"/>
              <w:rPr>
                <w:rFonts w:cstheme="minorHAnsi"/>
                <w:sz w:val="20"/>
                <w:szCs w:val="20"/>
              </w:rPr>
            </w:pPr>
            <w:r w:rsidRPr="0039390C">
              <w:rPr>
                <w:rFonts w:cstheme="minorHAnsi"/>
                <w:sz w:val="20"/>
                <w:szCs w:val="20"/>
              </w:rPr>
              <w:t>Total Annual Responses</w:t>
            </w:r>
          </w:p>
        </w:tc>
      </w:tr>
      <w:tr w14:paraId="0CAF4385"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bottom"/>
            <w:hideMark/>
          </w:tcPr>
          <w:p w:rsidR="00927CE7" w:rsidRPr="0039390C" w:rsidP="00927CE7" w14:paraId="088261BB" w14:textId="77777777">
            <w:pPr>
              <w:spacing w:line="259" w:lineRule="auto"/>
              <w:ind w:left="0" w:firstLine="0"/>
              <w:rPr>
                <w:rFonts w:cstheme="minorHAnsi"/>
                <w:sz w:val="20"/>
                <w:szCs w:val="20"/>
              </w:rPr>
            </w:pPr>
            <w:r w:rsidRPr="0039390C">
              <w:rPr>
                <w:rFonts w:cstheme="minorHAnsi"/>
                <w:sz w:val="20"/>
                <w:szCs w:val="20"/>
              </w:rPr>
              <w:t> </w:t>
            </w:r>
          </w:p>
        </w:tc>
        <w:tc>
          <w:tcPr>
            <w:tcW w:w="1497" w:type="dxa"/>
            <w:tcBorders>
              <w:top w:val="nil"/>
              <w:left w:val="nil"/>
              <w:bottom w:val="single" w:sz="4" w:space="0" w:color="000000"/>
              <w:right w:val="single" w:sz="4" w:space="0" w:color="000000"/>
            </w:tcBorders>
            <w:shd w:val="clear" w:color="auto" w:fill="auto"/>
            <w:vAlign w:val="bottom"/>
            <w:hideMark/>
          </w:tcPr>
          <w:p w:rsidR="00927CE7" w:rsidRPr="0039390C" w:rsidP="00927CE7" w14:paraId="0CEBF537" w14:textId="77777777">
            <w:pPr>
              <w:spacing w:line="259" w:lineRule="auto"/>
              <w:ind w:left="0" w:firstLine="0"/>
              <w:rPr>
                <w:rFonts w:cstheme="minorHAnsi"/>
                <w:sz w:val="20"/>
                <w:szCs w:val="20"/>
              </w:rPr>
            </w:pPr>
            <w:r w:rsidRPr="0039390C">
              <w:rPr>
                <w:rFonts w:cstheme="minorHAnsi"/>
                <w:sz w:val="20"/>
                <w:szCs w:val="20"/>
              </w:rPr>
              <w:t> </w:t>
            </w:r>
          </w:p>
        </w:tc>
        <w:tc>
          <w:tcPr>
            <w:tcW w:w="1297" w:type="dxa"/>
            <w:tcBorders>
              <w:top w:val="nil"/>
              <w:left w:val="nil"/>
              <w:bottom w:val="single" w:sz="4" w:space="0" w:color="000000"/>
              <w:right w:val="single" w:sz="4" w:space="0" w:color="000000"/>
            </w:tcBorders>
            <w:shd w:val="clear" w:color="auto" w:fill="auto"/>
            <w:vAlign w:val="bottom"/>
            <w:hideMark/>
          </w:tcPr>
          <w:p w:rsidR="00927CE7" w:rsidRPr="0039390C" w:rsidP="00927CE7" w14:paraId="532AEDE2" w14:textId="77777777">
            <w:pPr>
              <w:spacing w:line="259" w:lineRule="auto"/>
              <w:ind w:left="0" w:firstLine="0"/>
              <w:rPr>
                <w:rFonts w:cstheme="minorHAnsi"/>
                <w:sz w:val="20"/>
                <w:szCs w:val="20"/>
              </w:rPr>
            </w:pPr>
            <w:r w:rsidRPr="0039390C">
              <w:rPr>
                <w:rFonts w:cstheme="minorHAnsi"/>
                <w:sz w:val="20"/>
                <w:szCs w:val="20"/>
              </w:rPr>
              <w:t> </w:t>
            </w:r>
          </w:p>
        </w:tc>
        <w:tc>
          <w:tcPr>
            <w:tcW w:w="1760" w:type="dxa"/>
            <w:tcBorders>
              <w:top w:val="nil"/>
              <w:left w:val="nil"/>
              <w:bottom w:val="single" w:sz="4" w:space="0" w:color="000000"/>
              <w:right w:val="single" w:sz="4" w:space="0" w:color="000000"/>
            </w:tcBorders>
            <w:shd w:val="clear" w:color="auto" w:fill="auto"/>
            <w:vAlign w:val="bottom"/>
            <w:hideMark/>
          </w:tcPr>
          <w:p w:rsidR="00927CE7" w:rsidRPr="0039390C" w:rsidP="00927CE7" w14:paraId="30F4EC11" w14:textId="77777777">
            <w:pPr>
              <w:spacing w:line="259" w:lineRule="auto"/>
              <w:ind w:left="0" w:firstLine="0"/>
              <w:rPr>
                <w:rFonts w:cstheme="minorHAnsi"/>
                <w:sz w:val="20"/>
                <w:szCs w:val="20"/>
              </w:rPr>
            </w:pPr>
            <w:r w:rsidRPr="0039390C">
              <w:rPr>
                <w:rFonts w:cstheme="minorHAnsi"/>
                <w:sz w:val="20"/>
                <w:szCs w:val="20"/>
              </w:rPr>
              <w:t> </w:t>
            </w:r>
          </w:p>
        </w:tc>
        <w:tc>
          <w:tcPr>
            <w:tcW w:w="1618" w:type="dxa"/>
            <w:tcBorders>
              <w:top w:val="nil"/>
              <w:left w:val="nil"/>
              <w:bottom w:val="single" w:sz="4" w:space="0" w:color="000000"/>
              <w:right w:val="single" w:sz="4" w:space="0" w:color="000000"/>
            </w:tcBorders>
            <w:shd w:val="clear" w:color="auto" w:fill="auto"/>
            <w:vAlign w:val="center"/>
            <w:hideMark/>
          </w:tcPr>
          <w:p w:rsidR="00927CE7" w:rsidRPr="0039390C" w:rsidP="00927CE7" w14:paraId="3F111068" w14:textId="77777777">
            <w:pPr>
              <w:spacing w:line="259" w:lineRule="auto"/>
              <w:ind w:left="0" w:firstLine="0"/>
              <w:rPr>
                <w:rFonts w:cstheme="minorHAnsi"/>
                <w:b/>
                <w:bCs/>
                <w:sz w:val="20"/>
                <w:szCs w:val="20"/>
              </w:rPr>
            </w:pPr>
            <w:r w:rsidRPr="0039390C">
              <w:rPr>
                <w:rFonts w:cstheme="minorHAnsi"/>
                <w:b/>
                <w:bCs/>
                <w:sz w:val="20"/>
                <w:szCs w:val="20"/>
              </w:rPr>
              <w:t>E=(</w:t>
            </w:r>
            <w:r w:rsidRPr="0039390C">
              <w:rPr>
                <w:rFonts w:cstheme="minorHAnsi"/>
                <w:b/>
                <w:bCs/>
                <w:sz w:val="20"/>
                <w:szCs w:val="20"/>
              </w:rPr>
              <w:t>BxC</w:t>
            </w:r>
            <w:r w:rsidRPr="0039390C">
              <w:rPr>
                <w:rFonts w:cstheme="minorHAnsi"/>
                <w:b/>
                <w:bCs/>
                <w:sz w:val="20"/>
                <w:szCs w:val="20"/>
              </w:rPr>
              <w:t>)+D</w:t>
            </w:r>
          </w:p>
        </w:tc>
      </w:tr>
      <w:tr w14:paraId="0E7376CF" w14:textId="77777777" w:rsidTr="00325C1E">
        <w:tblPrEx>
          <w:tblW w:w="0" w:type="auto"/>
          <w:tblInd w:w="-5" w:type="dxa"/>
          <w:tblLayout w:type="fixed"/>
          <w:tblLook w:val="04A0"/>
        </w:tblPrEx>
        <w:trPr>
          <w:trHeight w:val="81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3ABE01B6" w14:textId="77777777">
            <w:pPr>
              <w:spacing w:line="259" w:lineRule="auto"/>
              <w:ind w:left="0" w:firstLine="0"/>
              <w:rPr>
                <w:rFonts w:cstheme="minorHAnsi"/>
                <w:sz w:val="20"/>
                <w:szCs w:val="20"/>
              </w:rPr>
            </w:pPr>
            <w:r w:rsidRPr="0039390C">
              <w:rPr>
                <w:rFonts w:cstheme="minorHAnsi"/>
                <w:sz w:val="20"/>
                <w:szCs w:val="20"/>
              </w:rPr>
              <w:t>Notification of construction/ reconstruction</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7CE7" w:rsidRPr="0039390C" w:rsidP="00927CE7" w14:paraId="26546608" w14:textId="77777777">
            <w:pPr>
              <w:spacing w:line="259" w:lineRule="auto"/>
              <w:ind w:left="0" w:firstLine="0"/>
              <w:rPr>
                <w:rFonts w:cstheme="minorHAnsi"/>
                <w:sz w:val="20"/>
                <w:szCs w:val="20"/>
              </w:rPr>
            </w:pPr>
            <w:r w:rsidRPr="0039390C">
              <w:rPr>
                <w:rFonts w:cstheme="minorHAnsi"/>
                <w:sz w:val="20"/>
                <w:szCs w:val="20"/>
              </w:rPr>
              <w:t>1</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7CE7" w:rsidRPr="0039390C" w:rsidP="00927CE7" w14:paraId="0EDAFC41"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single" w:sz="4" w:space="0" w:color="000000"/>
              <w:left w:val="nil"/>
              <w:bottom w:val="single" w:sz="4" w:space="0" w:color="000000"/>
              <w:right w:val="single" w:sz="4" w:space="0" w:color="000000"/>
            </w:tcBorders>
            <w:shd w:val="clear" w:color="auto" w:fill="auto"/>
            <w:vAlign w:val="center"/>
            <w:hideMark/>
          </w:tcPr>
          <w:p w:rsidR="00927CE7" w:rsidRPr="0039390C" w:rsidP="00927CE7" w14:paraId="020BF7B3"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7CE7" w:rsidRPr="0039390C" w:rsidP="00927CE7" w14:paraId="202A3657" w14:textId="77777777">
            <w:pPr>
              <w:spacing w:line="259" w:lineRule="auto"/>
              <w:ind w:left="0" w:firstLine="0"/>
              <w:rPr>
                <w:rFonts w:cstheme="minorHAnsi"/>
                <w:sz w:val="20"/>
                <w:szCs w:val="20"/>
              </w:rPr>
            </w:pPr>
            <w:r w:rsidRPr="0039390C">
              <w:rPr>
                <w:rFonts w:cstheme="minorHAnsi"/>
                <w:sz w:val="20"/>
                <w:szCs w:val="20"/>
              </w:rPr>
              <w:t>1</w:t>
            </w:r>
          </w:p>
        </w:tc>
      </w:tr>
      <w:tr w14:paraId="1A399322"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7EA1AD73" w14:textId="77777777">
            <w:pPr>
              <w:spacing w:line="259" w:lineRule="auto"/>
              <w:ind w:left="0" w:firstLine="0"/>
              <w:rPr>
                <w:rFonts w:cstheme="minorHAnsi"/>
                <w:sz w:val="20"/>
                <w:szCs w:val="20"/>
              </w:rPr>
            </w:pPr>
            <w:r w:rsidRPr="0039390C">
              <w:rPr>
                <w:rFonts w:cstheme="minorHAnsi"/>
                <w:sz w:val="20"/>
                <w:szCs w:val="20"/>
              </w:rPr>
              <w:t>Notification of actual startup</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1B881535" w14:textId="77777777">
            <w:pPr>
              <w:spacing w:line="259" w:lineRule="auto"/>
              <w:ind w:left="0" w:firstLine="0"/>
              <w:rPr>
                <w:rFonts w:cstheme="minorHAnsi"/>
                <w:sz w:val="20"/>
                <w:szCs w:val="20"/>
              </w:rPr>
            </w:pPr>
            <w:r w:rsidRPr="0039390C">
              <w:rPr>
                <w:rFonts w:cstheme="minorHAnsi"/>
                <w:sz w:val="20"/>
                <w:szCs w:val="20"/>
              </w:rPr>
              <w:t>1</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4EA2529E"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4448525D"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58C80E5" w14:textId="77777777">
            <w:pPr>
              <w:spacing w:line="259" w:lineRule="auto"/>
              <w:ind w:left="0" w:firstLine="0"/>
              <w:rPr>
                <w:rFonts w:cstheme="minorHAnsi"/>
                <w:sz w:val="20"/>
                <w:szCs w:val="20"/>
              </w:rPr>
            </w:pPr>
            <w:r w:rsidRPr="0039390C">
              <w:rPr>
                <w:rFonts w:cstheme="minorHAnsi"/>
                <w:sz w:val="20"/>
                <w:szCs w:val="20"/>
              </w:rPr>
              <w:t>1</w:t>
            </w:r>
          </w:p>
        </w:tc>
      </w:tr>
      <w:tr w14:paraId="72B7CAC1"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DCE2CD6" w14:textId="77777777">
            <w:pPr>
              <w:spacing w:line="259" w:lineRule="auto"/>
              <w:ind w:left="0" w:firstLine="0"/>
              <w:rPr>
                <w:rFonts w:cstheme="minorHAnsi"/>
                <w:sz w:val="20"/>
                <w:szCs w:val="20"/>
              </w:rPr>
            </w:pPr>
            <w:r w:rsidRPr="0039390C">
              <w:rPr>
                <w:rFonts w:cstheme="minorHAnsi"/>
                <w:sz w:val="20"/>
                <w:szCs w:val="20"/>
              </w:rPr>
              <w:t>Notification of applicability of standard</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599ACB08" w14:textId="77777777">
            <w:pPr>
              <w:spacing w:line="259" w:lineRule="auto"/>
              <w:ind w:left="0" w:firstLine="0"/>
              <w:rPr>
                <w:rFonts w:cstheme="minorHAnsi"/>
                <w:sz w:val="20"/>
                <w:szCs w:val="20"/>
              </w:rPr>
            </w:pPr>
            <w:r w:rsidRPr="0039390C">
              <w:rPr>
                <w:rFonts w:cstheme="minorHAnsi"/>
                <w:sz w:val="20"/>
                <w:szCs w:val="20"/>
              </w:rPr>
              <w:t>1</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26BE213"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1FCCC986"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0E5BCC42" w14:textId="77777777">
            <w:pPr>
              <w:spacing w:line="259" w:lineRule="auto"/>
              <w:ind w:left="0" w:firstLine="0"/>
              <w:rPr>
                <w:rFonts w:cstheme="minorHAnsi"/>
                <w:sz w:val="20"/>
                <w:szCs w:val="20"/>
              </w:rPr>
            </w:pPr>
            <w:r w:rsidRPr="0039390C">
              <w:rPr>
                <w:rFonts w:cstheme="minorHAnsi"/>
                <w:sz w:val="20"/>
                <w:szCs w:val="20"/>
              </w:rPr>
              <w:t>1</w:t>
            </w:r>
          </w:p>
        </w:tc>
      </w:tr>
      <w:tr w14:paraId="59AEF5D9"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0FEA3298" w14:textId="77777777">
            <w:pPr>
              <w:spacing w:line="259" w:lineRule="auto"/>
              <w:ind w:left="0" w:firstLine="0"/>
              <w:rPr>
                <w:rFonts w:cstheme="minorHAnsi"/>
                <w:sz w:val="20"/>
                <w:szCs w:val="20"/>
              </w:rPr>
            </w:pPr>
            <w:r w:rsidRPr="0039390C">
              <w:rPr>
                <w:rFonts w:cstheme="minorHAnsi"/>
                <w:sz w:val="20"/>
                <w:szCs w:val="20"/>
              </w:rPr>
              <w:t>Notification of performance test/ retest</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6A3BB06" w14:textId="77777777">
            <w:pPr>
              <w:spacing w:line="259" w:lineRule="auto"/>
              <w:ind w:left="0" w:firstLine="0"/>
              <w:rPr>
                <w:rFonts w:cstheme="minorHAnsi"/>
                <w:sz w:val="20"/>
                <w:szCs w:val="20"/>
              </w:rPr>
            </w:pPr>
            <w:r w:rsidRPr="0039390C">
              <w:rPr>
                <w:rFonts w:cstheme="minorHAnsi"/>
                <w:sz w:val="20"/>
                <w:szCs w:val="20"/>
              </w:rPr>
              <w:t>38</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724AABCB"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35AD8A0D"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5D95DF93" w14:textId="77777777">
            <w:pPr>
              <w:spacing w:line="259" w:lineRule="auto"/>
              <w:ind w:left="0" w:firstLine="0"/>
              <w:rPr>
                <w:rFonts w:cstheme="minorHAnsi"/>
                <w:sz w:val="20"/>
                <w:szCs w:val="20"/>
              </w:rPr>
            </w:pPr>
            <w:r w:rsidRPr="0039390C">
              <w:rPr>
                <w:rFonts w:cstheme="minorHAnsi"/>
                <w:sz w:val="20"/>
                <w:szCs w:val="20"/>
              </w:rPr>
              <w:t>38</w:t>
            </w:r>
          </w:p>
        </w:tc>
      </w:tr>
      <w:tr w14:paraId="7F9C1698"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81A71CE" w14:textId="77777777">
            <w:pPr>
              <w:spacing w:line="259" w:lineRule="auto"/>
              <w:ind w:left="0" w:firstLine="0"/>
              <w:rPr>
                <w:rFonts w:cstheme="minorHAnsi"/>
                <w:sz w:val="20"/>
                <w:szCs w:val="20"/>
              </w:rPr>
            </w:pPr>
            <w:r w:rsidRPr="0039390C">
              <w:rPr>
                <w:rFonts w:cstheme="minorHAnsi"/>
                <w:sz w:val="20"/>
                <w:szCs w:val="20"/>
              </w:rPr>
              <w:t>Notification of performance evaluation</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198CBBDD" w14:textId="77777777">
            <w:pPr>
              <w:spacing w:line="259" w:lineRule="auto"/>
              <w:ind w:left="0" w:firstLine="0"/>
              <w:rPr>
                <w:rFonts w:cstheme="minorHAnsi"/>
                <w:sz w:val="20"/>
                <w:szCs w:val="20"/>
              </w:rPr>
            </w:pPr>
            <w:r w:rsidRPr="0039390C">
              <w:rPr>
                <w:rFonts w:cstheme="minorHAnsi"/>
                <w:sz w:val="20"/>
                <w:szCs w:val="20"/>
              </w:rPr>
              <w:t>38</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470FC076"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42574B07"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9E6356B" w14:textId="77777777">
            <w:pPr>
              <w:spacing w:line="259" w:lineRule="auto"/>
              <w:ind w:left="0" w:firstLine="0"/>
              <w:rPr>
                <w:rFonts w:cstheme="minorHAnsi"/>
                <w:sz w:val="20"/>
                <w:szCs w:val="20"/>
              </w:rPr>
            </w:pPr>
            <w:r w:rsidRPr="0039390C">
              <w:rPr>
                <w:rFonts w:cstheme="minorHAnsi"/>
                <w:sz w:val="20"/>
                <w:szCs w:val="20"/>
              </w:rPr>
              <w:t>38</w:t>
            </w:r>
          </w:p>
        </w:tc>
      </w:tr>
      <w:tr w14:paraId="7815E15B"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21BC56C" w14:textId="77777777">
            <w:pPr>
              <w:spacing w:line="259" w:lineRule="auto"/>
              <w:ind w:left="0" w:firstLine="0"/>
              <w:rPr>
                <w:rFonts w:cstheme="minorHAnsi"/>
                <w:sz w:val="20"/>
                <w:szCs w:val="20"/>
              </w:rPr>
            </w:pPr>
            <w:r w:rsidRPr="0039390C">
              <w:rPr>
                <w:rFonts w:cstheme="minorHAnsi"/>
                <w:sz w:val="20"/>
                <w:szCs w:val="20"/>
              </w:rPr>
              <w:t>Notification of compliance status</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1E7191FC" w14:textId="77777777">
            <w:pPr>
              <w:spacing w:line="259" w:lineRule="auto"/>
              <w:ind w:left="0" w:firstLine="0"/>
              <w:rPr>
                <w:rFonts w:cstheme="minorHAnsi"/>
                <w:sz w:val="20"/>
                <w:szCs w:val="20"/>
              </w:rPr>
            </w:pPr>
            <w:r w:rsidRPr="0039390C">
              <w:rPr>
                <w:rFonts w:cstheme="minorHAnsi"/>
                <w:sz w:val="20"/>
                <w:szCs w:val="20"/>
              </w:rPr>
              <w:t>1</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05FA2A8C"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693EE099"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C3B4013" w14:textId="77777777">
            <w:pPr>
              <w:spacing w:line="259" w:lineRule="auto"/>
              <w:ind w:left="0" w:firstLine="0"/>
              <w:rPr>
                <w:rFonts w:cstheme="minorHAnsi"/>
                <w:sz w:val="20"/>
                <w:szCs w:val="20"/>
              </w:rPr>
            </w:pPr>
            <w:r w:rsidRPr="0039390C">
              <w:rPr>
                <w:rFonts w:cstheme="minorHAnsi"/>
                <w:sz w:val="20"/>
                <w:szCs w:val="20"/>
              </w:rPr>
              <w:t>1</w:t>
            </w:r>
          </w:p>
        </w:tc>
      </w:tr>
      <w:tr w14:paraId="45A7F7E8"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7A7352B2" w14:textId="77777777">
            <w:pPr>
              <w:spacing w:line="259" w:lineRule="auto"/>
              <w:ind w:left="0" w:firstLine="0"/>
              <w:rPr>
                <w:rFonts w:cstheme="minorHAnsi"/>
                <w:sz w:val="20"/>
                <w:szCs w:val="20"/>
              </w:rPr>
            </w:pPr>
            <w:r w:rsidRPr="0039390C">
              <w:rPr>
                <w:rFonts w:cstheme="minorHAnsi"/>
                <w:sz w:val="20"/>
                <w:szCs w:val="20"/>
              </w:rPr>
              <w:t>Report of performance test/retest</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35387392" w14:textId="77777777">
            <w:pPr>
              <w:spacing w:line="259" w:lineRule="auto"/>
              <w:ind w:left="0" w:firstLine="0"/>
              <w:rPr>
                <w:rFonts w:cstheme="minorHAnsi"/>
                <w:sz w:val="20"/>
                <w:szCs w:val="20"/>
              </w:rPr>
            </w:pPr>
            <w:r w:rsidRPr="0039390C">
              <w:rPr>
                <w:rFonts w:cstheme="minorHAnsi"/>
                <w:sz w:val="20"/>
                <w:szCs w:val="20"/>
              </w:rPr>
              <w:t>38</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51B67A16" w14:textId="77777777">
            <w:pPr>
              <w:spacing w:line="259" w:lineRule="auto"/>
              <w:ind w:left="0" w:firstLine="0"/>
              <w:rPr>
                <w:rFonts w:cstheme="minorHAnsi"/>
                <w:sz w:val="20"/>
                <w:szCs w:val="20"/>
              </w:rPr>
            </w:pPr>
            <w:r w:rsidRPr="0039390C">
              <w:rPr>
                <w:rFonts w:cstheme="minorHAnsi"/>
                <w:sz w:val="20"/>
                <w:szCs w:val="20"/>
              </w:rPr>
              <w:t>1</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607673DC"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3B479EE8" w14:textId="77777777">
            <w:pPr>
              <w:spacing w:line="259" w:lineRule="auto"/>
              <w:ind w:left="0" w:firstLine="0"/>
              <w:rPr>
                <w:rFonts w:cstheme="minorHAnsi"/>
                <w:sz w:val="20"/>
                <w:szCs w:val="20"/>
              </w:rPr>
            </w:pPr>
            <w:r w:rsidRPr="0039390C">
              <w:rPr>
                <w:rFonts w:cstheme="minorHAnsi"/>
                <w:sz w:val="20"/>
                <w:szCs w:val="20"/>
              </w:rPr>
              <w:t>38</w:t>
            </w:r>
          </w:p>
        </w:tc>
      </w:tr>
      <w:tr w14:paraId="76794618" w14:textId="77777777" w:rsidTr="00325C1E">
        <w:tblPrEx>
          <w:tblW w:w="0" w:type="auto"/>
          <w:tblInd w:w="-5" w:type="dxa"/>
          <w:tblLayout w:type="fixed"/>
          <w:tblLook w:val="04A0"/>
        </w:tblPrEx>
        <w:trPr>
          <w:trHeight w:val="1223"/>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57DE6003" w14:textId="77777777">
            <w:pPr>
              <w:spacing w:line="259" w:lineRule="auto"/>
              <w:ind w:left="0" w:firstLine="0"/>
              <w:rPr>
                <w:rFonts w:cstheme="minorHAnsi"/>
                <w:sz w:val="20"/>
                <w:szCs w:val="20"/>
              </w:rPr>
            </w:pPr>
            <w:r w:rsidRPr="0039390C">
              <w:rPr>
                <w:rFonts w:cstheme="minorHAnsi"/>
                <w:sz w:val="20"/>
                <w:szCs w:val="20"/>
              </w:rPr>
              <w:t>Semiannual report of monitoring exceedances and periods of noncompliance</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0916400A" w14:textId="77777777">
            <w:pPr>
              <w:spacing w:line="259" w:lineRule="auto"/>
              <w:ind w:left="0" w:firstLine="0"/>
              <w:rPr>
                <w:rFonts w:cstheme="minorHAnsi"/>
                <w:sz w:val="20"/>
                <w:szCs w:val="20"/>
              </w:rPr>
            </w:pPr>
            <w:r w:rsidRPr="0039390C">
              <w:rPr>
                <w:rFonts w:cstheme="minorHAnsi"/>
                <w:sz w:val="20"/>
                <w:szCs w:val="20"/>
              </w:rPr>
              <w:t>5</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35A37728" w14:textId="77777777">
            <w:pPr>
              <w:spacing w:line="259" w:lineRule="auto"/>
              <w:ind w:left="0" w:firstLine="0"/>
              <w:rPr>
                <w:rFonts w:cstheme="minorHAnsi"/>
                <w:sz w:val="20"/>
                <w:szCs w:val="20"/>
              </w:rPr>
            </w:pPr>
            <w:r w:rsidRPr="0039390C">
              <w:rPr>
                <w:rFonts w:cstheme="minorHAnsi"/>
                <w:sz w:val="20"/>
                <w:szCs w:val="20"/>
              </w:rPr>
              <w:t>2</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5B1F03DC"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4FE3EFF4" w14:textId="77777777">
            <w:pPr>
              <w:spacing w:line="259" w:lineRule="auto"/>
              <w:ind w:left="0" w:firstLine="0"/>
              <w:rPr>
                <w:rFonts w:cstheme="minorHAnsi"/>
                <w:sz w:val="20"/>
                <w:szCs w:val="20"/>
              </w:rPr>
            </w:pPr>
            <w:r w:rsidRPr="0039390C">
              <w:rPr>
                <w:rFonts w:cstheme="minorHAnsi"/>
                <w:sz w:val="20"/>
                <w:szCs w:val="20"/>
              </w:rPr>
              <w:t>10</w:t>
            </w:r>
          </w:p>
        </w:tc>
      </w:tr>
      <w:tr w14:paraId="0578228B"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582FA7C" w14:textId="77777777">
            <w:pPr>
              <w:spacing w:line="259" w:lineRule="auto"/>
              <w:ind w:left="0" w:firstLine="0"/>
              <w:rPr>
                <w:rFonts w:cstheme="minorHAnsi"/>
                <w:sz w:val="20"/>
                <w:szCs w:val="20"/>
              </w:rPr>
            </w:pPr>
            <w:r w:rsidRPr="0039390C">
              <w:rPr>
                <w:rFonts w:cstheme="minorHAnsi"/>
                <w:sz w:val="20"/>
                <w:szCs w:val="20"/>
              </w:rPr>
              <w:t>Semiannual report of no exceedances</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CD032F3" w14:textId="77777777">
            <w:pPr>
              <w:spacing w:line="259" w:lineRule="auto"/>
              <w:ind w:left="0" w:firstLine="0"/>
              <w:rPr>
                <w:rFonts w:cstheme="minorHAnsi"/>
                <w:sz w:val="20"/>
                <w:szCs w:val="20"/>
              </w:rPr>
            </w:pPr>
            <w:r w:rsidRPr="0039390C">
              <w:rPr>
                <w:rFonts w:cstheme="minorHAnsi"/>
                <w:sz w:val="20"/>
                <w:szCs w:val="20"/>
              </w:rPr>
              <w:t>91</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4A3F6E31" w14:textId="77777777">
            <w:pPr>
              <w:spacing w:line="259" w:lineRule="auto"/>
              <w:ind w:left="0" w:firstLine="0"/>
              <w:rPr>
                <w:rFonts w:cstheme="minorHAnsi"/>
                <w:sz w:val="20"/>
                <w:szCs w:val="20"/>
              </w:rPr>
            </w:pPr>
            <w:r w:rsidRPr="0039390C">
              <w:rPr>
                <w:rFonts w:cstheme="minorHAnsi"/>
                <w:sz w:val="20"/>
                <w:szCs w:val="20"/>
              </w:rPr>
              <w:t>2</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7E732670" w14:textId="77777777">
            <w:pPr>
              <w:spacing w:line="259" w:lineRule="auto"/>
              <w:ind w:left="0" w:firstLine="0"/>
              <w:rPr>
                <w:rFonts w:cstheme="minorHAnsi"/>
                <w:sz w:val="20"/>
                <w:szCs w:val="20"/>
              </w:rPr>
            </w:pPr>
            <w:r w:rsidRPr="0039390C">
              <w:rPr>
                <w:rFonts w:cstheme="minorHAnsi"/>
                <w:sz w:val="20"/>
                <w:szCs w:val="20"/>
              </w:rPr>
              <w:t>0</w:t>
            </w:r>
          </w:p>
        </w:tc>
        <w:tc>
          <w:tcPr>
            <w:tcW w:w="1618"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22969252" w14:textId="77777777">
            <w:pPr>
              <w:spacing w:line="259" w:lineRule="auto"/>
              <w:ind w:left="0" w:firstLine="0"/>
              <w:rPr>
                <w:rFonts w:cstheme="minorHAnsi"/>
                <w:sz w:val="20"/>
                <w:szCs w:val="20"/>
              </w:rPr>
            </w:pPr>
            <w:r w:rsidRPr="0039390C">
              <w:rPr>
                <w:rFonts w:cstheme="minorHAnsi"/>
                <w:sz w:val="20"/>
                <w:szCs w:val="20"/>
              </w:rPr>
              <w:t>182</w:t>
            </w:r>
          </w:p>
        </w:tc>
      </w:tr>
      <w:tr w14:paraId="35948650" w14:textId="77777777" w:rsidTr="00325C1E">
        <w:tblPrEx>
          <w:tblW w:w="0" w:type="auto"/>
          <w:tblInd w:w="-5" w:type="dxa"/>
          <w:tblLayout w:type="fixed"/>
          <w:tblLook w:val="04A0"/>
        </w:tblPrEx>
        <w:trPr>
          <w:trHeight w:val="424"/>
        </w:trPr>
        <w:tc>
          <w:tcPr>
            <w:tcW w:w="3154"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6CD1DE4C" w14:textId="77777777">
            <w:pPr>
              <w:spacing w:line="259" w:lineRule="auto"/>
              <w:ind w:left="0" w:firstLine="0"/>
              <w:rPr>
                <w:rFonts w:cstheme="minorHAnsi"/>
                <w:b/>
                <w:bCs/>
                <w:sz w:val="20"/>
                <w:szCs w:val="20"/>
              </w:rPr>
            </w:pPr>
            <w:r w:rsidRPr="0039390C">
              <w:rPr>
                <w:rFonts w:cstheme="minorHAnsi"/>
                <w:b/>
                <w:bCs/>
                <w:sz w:val="20"/>
                <w:szCs w:val="20"/>
              </w:rPr>
              <w:t> </w:t>
            </w:r>
          </w:p>
        </w:tc>
        <w:tc>
          <w:tcPr>
            <w:tcW w:w="1497" w:type="dxa"/>
            <w:tcBorders>
              <w:top w:val="nil"/>
              <w:left w:val="single" w:sz="4" w:space="0" w:color="000000"/>
              <w:bottom w:val="single" w:sz="4" w:space="0" w:color="000000"/>
              <w:right w:val="single" w:sz="4" w:space="0" w:color="000000"/>
            </w:tcBorders>
            <w:shd w:val="clear" w:color="auto" w:fill="auto"/>
            <w:vAlign w:val="center"/>
            <w:hideMark/>
          </w:tcPr>
          <w:p w:rsidR="00927CE7" w:rsidRPr="0039390C" w:rsidP="00927CE7" w14:paraId="4A4A0577" w14:textId="77777777">
            <w:pPr>
              <w:spacing w:line="259" w:lineRule="auto"/>
              <w:ind w:left="0" w:firstLine="0"/>
              <w:rPr>
                <w:rFonts w:cstheme="minorHAnsi"/>
                <w:b/>
                <w:bCs/>
                <w:sz w:val="20"/>
                <w:szCs w:val="20"/>
              </w:rPr>
            </w:pPr>
            <w:r w:rsidRPr="0039390C">
              <w:rPr>
                <w:rFonts w:cstheme="minorHAnsi"/>
                <w:b/>
                <w:bCs/>
                <w:sz w:val="20"/>
                <w:szCs w:val="20"/>
              </w:rPr>
              <w:t> </w:t>
            </w:r>
          </w:p>
        </w:tc>
        <w:tc>
          <w:tcPr>
            <w:tcW w:w="1297" w:type="dxa"/>
            <w:tcBorders>
              <w:top w:val="nil"/>
              <w:left w:val="nil"/>
              <w:bottom w:val="single" w:sz="4" w:space="0" w:color="000000"/>
              <w:right w:val="single" w:sz="4" w:space="0" w:color="000000"/>
            </w:tcBorders>
            <w:shd w:val="clear" w:color="auto" w:fill="auto"/>
            <w:vAlign w:val="center"/>
            <w:hideMark/>
          </w:tcPr>
          <w:p w:rsidR="00927CE7" w:rsidRPr="0039390C" w:rsidP="00927CE7" w14:paraId="14C089D0" w14:textId="77777777">
            <w:pPr>
              <w:spacing w:line="259" w:lineRule="auto"/>
              <w:ind w:left="0" w:firstLine="0"/>
              <w:rPr>
                <w:rFonts w:cstheme="minorHAnsi"/>
                <w:b/>
                <w:bCs/>
                <w:sz w:val="20"/>
                <w:szCs w:val="20"/>
              </w:rPr>
            </w:pPr>
            <w:r w:rsidRPr="0039390C">
              <w:rPr>
                <w:rFonts w:cstheme="minorHAnsi"/>
                <w:b/>
                <w:bCs/>
                <w:sz w:val="20"/>
                <w:szCs w:val="20"/>
              </w:rPr>
              <w:t> </w:t>
            </w:r>
          </w:p>
        </w:tc>
        <w:tc>
          <w:tcPr>
            <w:tcW w:w="1760" w:type="dxa"/>
            <w:tcBorders>
              <w:top w:val="nil"/>
              <w:left w:val="nil"/>
              <w:bottom w:val="single" w:sz="4" w:space="0" w:color="000000"/>
              <w:right w:val="single" w:sz="4" w:space="0" w:color="000000"/>
            </w:tcBorders>
            <w:shd w:val="clear" w:color="auto" w:fill="auto"/>
            <w:vAlign w:val="center"/>
            <w:hideMark/>
          </w:tcPr>
          <w:p w:rsidR="00927CE7" w:rsidRPr="0039390C" w:rsidP="00927CE7" w14:paraId="3973B366" w14:textId="77777777">
            <w:pPr>
              <w:spacing w:line="259" w:lineRule="auto"/>
              <w:ind w:left="0" w:firstLine="0"/>
              <w:rPr>
                <w:rFonts w:cstheme="minorHAnsi"/>
                <w:b/>
                <w:bCs/>
                <w:sz w:val="20"/>
                <w:szCs w:val="20"/>
              </w:rPr>
            </w:pPr>
            <w:r w:rsidRPr="0039390C">
              <w:rPr>
                <w:rFonts w:cstheme="minorHAnsi"/>
                <w:b/>
                <w:bCs/>
                <w:sz w:val="20"/>
                <w:szCs w:val="20"/>
              </w:rPr>
              <w:t>Total</w:t>
            </w:r>
          </w:p>
        </w:tc>
        <w:tc>
          <w:tcPr>
            <w:tcW w:w="1618" w:type="dxa"/>
            <w:tcBorders>
              <w:top w:val="nil"/>
              <w:left w:val="nil"/>
              <w:bottom w:val="single" w:sz="4" w:space="0" w:color="000000"/>
              <w:right w:val="single" w:sz="4" w:space="0" w:color="000000"/>
            </w:tcBorders>
            <w:shd w:val="clear" w:color="auto" w:fill="auto"/>
            <w:vAlign w:val="center"/>
            <w:hideMark/>
          </w:tcPr>
          <w:p w:rsidR="00927CE7" w:rsidRPr="0039390C" w:rsidP="00927CE7" w14:paraId="26B62ACB" w14:textId="77777777">
            <w:pPr>
              <w:spacing w:line="259" w:lineRule="auto"/>
              <w:ind w:left="0" w:firstLine="0"/>
              <w:rPr>
                <w:rFonts w:cstheme="minorHAnsi"/>
                <w:b/>
                <w:bCs/>
                <w:sz w:val="20"/>
                <w:szCs w:val="20"/>
              </w:rPr>
            </w:pPr>
            <w:r w:rsidRPr="0039390C">
              <w:rPr>
                <w:rFonts w:cstheme="minorHAnsi"/>
                <w:b/>
                <w:bCs/>
                <w:sz w:val="20"/>
                <w:szCs w:val="20"/>
              </w:rPr>
              <w:t>310</w:t>
            </w:r>
          </w:p>
        </w:tc>
      </w:tr>
    </w:tbl>
    <w:p w:rsidR="00927CE7" w:rsidRPr="00927CE7" w:rsidP="00927CE7" w14:paraId="53C9B781" w14:textId="77777777">
      <w:pPr>
        <w:spacing w:line="259" w:lineRule="auto"/>
        <w:ind w:left="0" w:firstLine="0"/>
        <w:rPr>
          <w:rFonts w:cstheme="minorHAnsi"/>
        </w:rPr>
      </w:pPr>
    </w:p>
    <w:p w:rsidR="00927CE7" w:rsidRPr="00927CE7" w:rsidP="00927CE7" w14:paraId="7E360CE2" w14:textId="68CDFEC5">
      <w:pPr>
        <w:spacing w:line="259" w:lineRule="auto"/>
        <w:ind w:left="0" w:firstLine="0"/>
        <w:rPr>
          <w:rFonts w:cstheme="minorHAnsi"/>
        </w:rPr>
      </w:pPr>
      <w:r w:rsidRPr="00927CE7">
        <w:rPr>
          <w:rFonts w:cstheme="minorHAnsi"/>
        </w:rPr>
        <w:t xml:space="preserve">The number of Total Annual Responses is 310. </w:t>
      </w:r>
    </w:p>
    <w:p w:rsidR="00927CE7" w:rsidRPr="00927CE7" w:rsidP="002943D2" w14:paraId="505A14A1" w14:textId="368E6E2B">
      <w:pPr>
        <w:spacing w:line="259" w:lineRule="auto"/>
        <w:ind w:left="0" w:firstLine="0"/>
        <w:rPr>
          <w:rFonts w:cstheme="minorHAnsi"/>
          <w:u w:val="single"/>
        </w:rPr>
      </w:pPr>
      <w:r w:rsidRPr="00927CE7">
        <w:rPr>
          <w:rFonts w:cstheme="minorHAnsi"/>
        </w:rPr>
        <w:t xml:space="preserve">The total annual labor costs are $13,700,000. Details regarding these estimates may be found at the end of this document in Table 1: Annual Respondent Burden and Cost – </w:t>
      </w:r>
      <w:bookmarkStart w:id="18" w:name="_Hlk65506904"/>
      <w:r w:rsidRPr="00927CE7">
        <w:rPr>
          <w:rFonts w:cstheme="minorHAnsi"/>
        </w:rPr>
        <w:t>NESHAP for Chemical Recovery Combustion Sources at Kraft, Soda, Sulfite, and Stand-Alone Semichemical Pulp Mills (40 CFR Part 63, Subpart MM) (Renewal).</w:t>
      </w:r>
      <w:bookmarkEnd w:id="18"/>
      <w:r w:rsidRPr="00927CE7">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9" w:name="_Toc156593384"/>
      <w:bookmarkEnd w:id="17"/>
    </w:p>
    <w:p w:rsidR="00927CE7" w:rsidRPr="00927CE7" w:rsidP="00927CE7" w14:paraId="64EC5D27" w14:textId="5382B424">
      <w:pPr>
        <w:spacing w:line="259" w:lineRule="auto"/>
        <w:ind w:left="0" w:firstLine="0"/>
        <w:rPr>
          <w:rFonts w:cstheme="minorHAnsi"/>
        </w:rPr>
      </w:pPr>
      <w:r w:rsidRPr="00927CE7">
        <w:rPr>
          <w:rFonts w:cstheme="minorHAnsi"/>
        </w:rPr>
        <w:t>In this ICR, all the data that are recorded or reported is required by the NESHAP for Chemical Recovery Combustion Sources at Kraft, Soda, Sulfite, and Stand-Alone Semichemical Pulp Mills (40 CFR Part 63, Subpart MM).</w:t>
      </w:r>
    </w:p>
    <w:p w:rsidR="00927CE7" w:rsidRPr="00927CE7" w:rsidP="00927CE7" w14:paraId="5B16EFA7" w14:textId="22897E8E">
      <w:pPr>
        <w:spacing w:line="259" w:lineRule="auto"/>
        <w:ind w:left="0" w:firstLine="0"/>
        <w:rPr>
          <w:rFonts w:cstheme="minorHAnsi"/>
        </w:rPr>
      </w:pPr>
      <w:r w:rsidRPr="00927CE7">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5F160833" w14:textId="77777777" w:rsidTr="00325C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27CE7" w:rsidRPr="00656CB1" w:rsidP="00656CB1" w14:paraId="5D354146" w14:textId="77777777">
            <w:pPr>
              <w:spacing w:line="259" w:lineRule="auto"/>
              <w:ind w:left="0" w:firstLine="0"/>
              <w:jc w:val="center"/>
              <w:rPr>
                <w:rFonts w:cstheme="minorHAnsi"/>
                <w:b/>
                <w:sz w:val="20"/>
                <w:szCs w:val="20"/>
              </w:rPr>
            </w:pPr>
            <w:r w:rsidRPr="00656CB1">
              <w:rPr>
                <w:rFonts w:cstheme="minorHAnsi"/>
                <w:b/>
                <w:sz w:val="20"/>
                <w:szCs w:val="20"/>
              </w:rPr>
              <w:t>Notifications</w:t>
            </w:r>
          </w:p>
        </w:tc>
      </w:tr>
      <w:tr w14:paraId="569B3EF5"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6B456A56" w14:textId="77777777">
            <w:pPr>
              <w:spacing w:line="259" w:lineRule="auto"/>
              <w:ind w:left="0" w:firstLine="0"/>
              <w:rPr>
                <w:rFonts w:cstheme="minorHAnsi"/>
                <w:b/>
                <w:bCs/>
                <w:sz w:val="20"/>
                <w:szCs w:val="20"/>
              </w:rPr>
            </w:pPr>
            <w:r w:rsidRPr="00656CB1">
              <w:rPr>
                <w:rFonts w:cstheme="minorHAnsi"/>
                <w:sz w:val="20"/>
                <w:szCs w:val="20"/>
              </w:rP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610D4EF7" w14:textId="77777777">
            <w:pPr>
              <w:spacing w:line="259" w:lineRule="auto"/>
              <w:ind w:left="0" w:firstLine="0"/>
              <w:rPr>
                <w:rFonts w:cstheme="minorHAnsi"/>
                <w:b/>
                <w:bCs/>
                <w:sz w:val="20"/>
                <w:szCs w:val="20"/>
              </w:rPr>
            </w:pPr>
            <w:r w:rsidRPr="00656CB1">
              <w:rPr>
                <w:rFonts w:cstheme="minorHAnsi"/>
                <w:sz w:val="20"/>
                <w:szCs w:val="20"/>
              </w:rPr>
              <w:t>§ 63.5(d)</w:t>
            </w:r>
          </w:p>
        </w:tc>
      </w:tr>
      <w:tr w14:paraId="1624EC46"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1CCB260E" w14:textId="77777777">
            <w:pPr>
              <w:spacing w:line="259" w:lineRule="auto"/>
              <w:ind w:left="0" w:firstLine="0"/>
              <w:rPr>
                <w:rFonts w:cstheme="minorHAnsi"/>
                <w:sz w:val="20"/>
                <w:szCs w:val="20"/>
              </w:rPr>
            </w:pPr>
            <w:r w:rsidRPr="00656CB1">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387FB3E3" w14:textId="77777777">
            <w:pPr>
              <w:spacing w:line="259" w:lineRule="auto"/>
              <w:ind w:left="0" w:firstLine="0"/>
              <w:rPr>
                <w:rFonts w:cstheme="minorHAnsi"/>
                <w:sz w:val="20"/>
                <w:szCs w:val="20"/>
              </w:rPr>
            </w:pPr>
            <w:r w:rsidRPr="00656CB1">
              <w:rPr>
                <w:rFonts w:cstheme="minorHAnsi"/>
                <w:sz w:val="20"/>
                <w:szCs w:val="20"/>
              </w:rPr>
              <w:t>§ 63.9(b)(4)(v)</w:t>
            </w:r>
          </w:p>
        </w:tc>
      </w:tr>
      <w:tr w14:paraId="720DC8FA"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218906FC" w14:textId="77777777">
            <w:pPr>
              <w:spacing w:line="259" w:lineRule="auto"/>
              <w:ind w:left="0" w:firstLine="0"/>
              <w:rPr>
                <w:rFonts w:cstheme="minorHAnsi"/>
                <w:sz w:val="20"/>
                <w:szCs w:val="20"/>
              </w:rPr>
            </w:pPr>
            <w:r w:rsidRPr="00656CB1">
              <w:rPr>
                <w:rFonts w:cstheme="minorHAnsi"/>
                <w:sz w:val="20"/>
                <w:szCs w:val="20"/>
              </w:rPr>
              <w:t>Notification of applicability of standard</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20DDA4F3" w14:textId="77777777">
            <w:pPr>
              <w:spacing w:line="259" w:lineRule="auto"/>
              <w:ind w:left="0" w:firstLine="0"/>
              <w:rPr>
                <w:rFonts w:cstheme="minorHAnsi"/>
                <w:sz w:val="20"/>
                <w:szCs w:val="20"/>
              </w:rPr>
            </w:pPr>
            <w:r w:rsidRPr="00656CB1">
              <w:rPr>
                <w:rFonts w:cstheme="minorHAnsi"/>
                <w:sz w:val="20"/>
                <w:szCs w:val="20"/>
              </w:rPr>
              <w:t>§ 63.9(b)(2)</w:t>
            </w:r>
          </w:p>
        </w:tc>
      </w:tr>
      <w:tr w14:paraId="4FCC9B3A"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15E422B2" w14:textId="77777777">
            <w:pPr>
              <w:spacing w:line="259" w:lineRule="auto"/>
              <w:ind w:left="0" w:firstLine="0"/>
              <w:rPr>
                <w:rFonts w:cstheme="minorHAnsi"/>
                <w:sz w:val="20"/>
                <w:szCs w:val="20"/>
              </w:rPr>
            </w:pPr>
            <w:r w:rsidRPr="00656CB1">
              <w:rPr>
                <w:rFonts w:cstheme="minorHAnsi"/>
                <w:sz w:val="20"/>
                <w:szCs w:val="20"/>
              </w:rPr>
              <w:t xml:space="preserve">Notification of performance test </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6C13D483" w14:textId="77777777">
            <w:pPr>
              <w:spacing w:line="259" w:lineRule="auto"/>
              <w:ind w:left="0" w:firstLine="0"/>
              <w:rPr>
                <w:rFonts w:cstheme="minorHAnsi"/>
                <w:sz w:val="20"/>
                <w:szCs w:val="20"/>
              </w:rPr>
            </w:pPr>
            <w:r w:rsidRPr="00656CB1">
              <w:rPr>
                <w:rFonts w:cstheme="minorHAnsi"/>
                <w:sz w:val="20"/>
                <w:szCs w:val="20"/>
              </w:rPr>
              <w:t>§§ 63.7(b), 63.9(e)</w:t>
            </w:r>
          </w:p>
        </w:tc>
      </w:tr>
      <w:tr w14:paraId="7C88B7E7"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776BE0CD" w14:textId="77777777">
            <w:pPr>
              <w:spacing w:line="259" w:lineRule="auto"/>
              <w:ind w:left="0" w:firstLine="0"/>
              <w:rPr>
                <w:rFonts w:cstheme="minorHAnsi"/>
                <w:sz w:val="20"/>
                <w:szCs w:val="20"/>
              </w:rPr>
            </w:pPr>
            <w:r w:rsidRPr="00656CB1">
              <w:rPr>
                <w:rFonts w:cstheme="minorHAnsi"/>
                <w:sz w:val="20"/>
                <w:szCs w:val="20"/>
              </w:rPr>
              <w:t xml:space="preserve">Notification of performance evaluation </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009C056C" w14:textId="77777777">
            <w:pPr>
              <w:spacing w:line="259" w:lineRule="auto"/>
              <w:ind w:left="0" w:firstLine="0"/>
              <w:rPr>
                <w:rFonts w:cstheme="minorHAnsi"/>
                <w:sz w:val="20"/>
                <w:szCs w:val="20"/>
              </w:rPr>
            </w:pPr>
            <w:r w:rsidRPr="00656CB1">
              <w:rPr>
                <w:rFonts w:cstheme="minorHAnsi"/>
                <w:sz w:val="20"/>
                <w:szCs w:val="20"/>
              </w:rPr>
              <w:t>§ 63.9(g)</w:t>
            </w:r>
          </w:p>
        </w:tc>
      </w:tr>
      <w:tr w14:paraId="72AD2597"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2404178D" w14:textId="77777777">
            <w:pPr>
              <w:spacing w:line="259" w:lineRule="auto"/>
              <w:ind w:left="0" w:firstLine="0"/>
              <w:rPr>
                <w:rFonts w:cstheme="minorHAnsi"/>
                <w:sz w:val="20"/>
                <w:szCs w:val="20"/>
              </w:rPr>
            </w:pPr>
            <w:r w:rsidRPr="00656CB1">
              <w:rPr>
                <w:rFonts w:cstheme="minorHAnsi"/>
                <w:sz w:val="20"/>
                <w:szCs w:val="20"/>
              </w:rPr>
              <w:t>Notification of compliance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4C083A30" w14:textId="77777777">
            <w:pPr>
              <w:spacing w:line="259" w:lineRule="auto"/>
              <w:ind w:left="0" w:firstLine="0"/>
              <w:rPr>
                <w:rFonts w:cstheme="minorHAnsi"/>
                <w:sz w:val="20"/>
                <w:szCs w:val="20"/>
              </w:rPr>
            </w:pPr>
            <w:r w:rsidRPr="00656CB1">
              <w:rPr>
                <w:rFonts w:cstheme="minorHAnsi"/>
                <w:sz w:val="20"/>
                <w:szCs w:val="20"/>
              </w:rPr>
              <w:t>§§ 63.9(h), 63.867(b)(1)-(2), 63.867(d)</w:t>
            </w:r>
          </w:p>
        </w:tc>
      </w:tr>
      <w:tr w14:paraId="6C4BF071" w14:textId="77777777" w:rsidTr="00325C1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27CE7" w:rsidRPr="00656CB1" w:rsidP="00927CE7" w14:paraId="7788101B" w14:textId="77777777">
            <w:pPr>
              <w:spacing w:line="259" w:lineRule="auto"/>
              <w:ind w:left="0" w:firstLine="0"/>
              <w:rPr>
                <w:rFonts w:cstheme="minorHAnsi"/>
                <w:sz w:val="20"/>
                <w:szCs w:val="20"/>
              </w:rPr>
            </w:pPr>
          </w:p>
          <w:p w:rsidR="00927CE7" w:rsidRPr="00656CB1" w:rsidP="00927CE7" w14:paraId="39DEDE8F" w14:textId="77777777">
            <w:pPr>
              <w:spacing w:line="259" w:lineRule="auto"/>
              <w:ind w:left="0" w:firstLine="0"/>
              <w:rPr>
                <w:rFonts w:cstheme="minorHAnsi"/>
                <w:sz w:val="20"/>
                <w:szCs w:val="20"/>
              </w:rPr>
            </w:pPr>
            <w:r w:rsidRPr="00656CB1">
              <w:rPr>
                <w:rFonts w:cstheme="minorHAnsi"/>
                <w:sz w:val="20"/>
                <w:szCs w:val="20"/>
              </w:rPr>
              <w:t xml:space="preserve">Notification of reclassification to area source status or to </w:t>
            </w:r>
            <w:r w:rsidRPr="00656CB1">
              <w:rPr>
                <w:rFonts w:cstheme="minorHAnsi"/>
                <w:sz w:val="20"/>
                <w:szCs w:val="20"/>
              </w:rPr>
              <w:t>revert back</w:t>
            </w:r>
            <w:r w:rsidRPr="00656CB1">
              <w:rPr>
                <w:rFonts w:cstheme="minorHAnsi"/>
                <w:sz w:val="20"/>
                <w:szCs w:val="20"/>
              </w:rPr>
              <w:t xml:space="preserve">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927CE7" w:rsidRPr="00656CB1" w:rsidP="00927CE7" w14:paraId="360CEC71" w14:textId="77777777">
            <w:pPr>
              <w:spacing w:line="259" w:lineRule="auto"/>
              <w:ind w:left="0" w:firstLine="0"/>
              <w:rPr>
                <w:rFonts w:cstheme="minorHAnsi"/>
                <w:sz w:val="20"/>
                <w:szCs w:val="20"/>
              </w:rPr>
            </w:pPr>
          </w:p>
          <w:p w:rsidR="00927CE7" w:rsidRPr="00656CB1" w:rsidP="00927CE7" w14:paraId="28D77262" w14:textId="77777777">
            <w:pPr>
              <w:spacing w:line="259" w:lineRule="auto"/>
              <w:ind w:left="0" w:firstLine="0"/>
              <w:rPr>
                <w:rFonts w:cstheme="minorHAnsi"/>
                <w:sz w:val="20"/>
                <w:szCs w:val="20"/>
              </w:rPr>
            </w:pPr>
            <w:r w:rsidRPr="00656CB1">
              <w:rPr>
                <w:rFonts w:cstheme="minorHAnsi"/>
                <w:sz w:val="20"/>
                <w:szCs w:val="20"/>
              </w:rPr>
              <w:t>§§63.9(b), 63.9(j)</w:t>
            </w:r>
          </w:p>
        </w:tc>
      </w:tr>
    </w:tbl>
    <w:p w:rsidR="00927CE7" w:rsidRPr="00927CE7" w:rsidP="00927CE7" w14:paraId="0B7F9220" w14:textId="77777777">
      <w:pPr>
        <w:spacing w:line="259" w:lineRule="auto"/>
        <w:ind w:left="0" w:firstLine="0"/>
        <w:rPr>
          <w:rFonts w:cstheme="minorHAnsi"/>
        </w:rPr>
      </w:pPr>
    </w:p>
    <w:tbl>
      <w:tblPr>
        <w:tblStyle w:val="TableGrid"/>
        <w:tblW w:w="9360" w:type="dxa"/>
        <w:tblLayout w:type="fixed"/>
        <w:tblLook w:val="0000"/>
      </w:tblPr>
      <w:tblGrid>
        <w:gridCol w:w="7290"/>
        <w:gridCol w:w="2070"/>
      </w:tblGrid>
      <w:tr w14:paraId="44DF7CC4" w14:textId="77777777" w:rsidTr="00325C1E">
        <w:tblPrEx>
          <w:tblW w:w="9360" w:type="dxa"/>
          <w:tblLayout w:type="fixed"/>
          <w:tblLook w:val="0000"/>
        </w:tblPrEx>
        <w:tc>
          <w:tcPr>
            <w:tcW w:w="9360" w:type="dxa"/>
            <w:gridSpan w:val="2"/>
          </w:tcPr>
          <w:p w:rsidR="00927CE7" w:rsidRPr="00656CB1" w:rsidP="00656CB1" w14:paraId="2B53B1FA" w14:textId="77777777">
            <w:pPr>
              <w:spacing w:after="160" w:line="259" w:lineRule="auto"/>
              <w:ind w:left="0" w:firstLine="0"/>
              <w:jc w:val="center"/>
              <w:rPr>
                <w:rFonts w:cstheme="minorHAnsi"/>
                <w:b/>
                <w:sz w:val="20"/>
                <w:szCs w:val="20"/>
              </w:rPr>
            </w:pPr>
            <w:r w:rsidRPr="00656CB1">
              <w:rPr>
                <w:rFonts w:cstheme="minorHAnsi"/>
                <w:b/>
                <w:sz w:val="20"/>
                <w:szCs w:val="20"/>
              </w:rPr>
              <w:t>Reports</w:t>
            </w:r>
          </w:p>
        </w:tc>
      </w:tr>
      <w:tr w14:paraId="1824CEE4" w14:textId="77777777" w:rsidTr="00325C1E">
        <w:tblPrEx>
          <w:tblW w:w="9360" w:type="dxa"/>
          <w:tblLayout w:type="fixed"/>
          <w:tblLook w:val="0000"/>
        </w:tblPrEx>
        <w:tc>
          <w:tcPr>
            <w:tcW w:w="7290" w:type="dxa"/>
          </w:tcPr>
          <w:p w:rsidR="00927CE7" w:rsidRPr="00656CB1" w:rsidP="00927CE7" w14:paraId="4CC246D7" w14:textId="77777777">
            <w:pPr>
              <w:spacing w:after="160" w:line="259" w:lineRule="auto"/>
              <w:ind w:left="0" w:firstLine="0"/>
              <w:rPr>
                <w:rFonts w:cstheme="minorHAnsi"/>
                <w:sz w:val="20"/>
                <w:szCs w:val="20"/>
              </w:rPr>
            </w:pPr>
            <w:r w:rsidRPr="00656CB1">
              <w:rPr>
                <w:rFonts w:cstheme="minorHAnsi"/>
                <w:sz w:val="20"/>
                <w:szCs w:val="20"/>
              </w:rPr>
              <w:t>Results of performance test (electronic submission)</w:t>
            </w:r>
          </w:p>
        </w:tc>
        <w:tc>
          <w:tcPr>
            <w:tcW w:w="2070" w:type="dxa"/>
          </w:tcPr>
          <w:p w:rsidR="00927CE7" w:rsidRPr="00656CB1" w:rsidP="00927CE7" w14:paraId="54248590" w14:textId="77777777">
            <w:pPr>
              <w:spacing w:after="160" w:line="259" w:lineRule="auto"/>
              <w:ind w:left="0" w:firstLine="0"/>
              <w:rPr>
                <w:rFonts w:cstheme="minorHAnsi"/>
                <w:sz w:val="20"/>
                <w:szCs w:val="20"/>
              </w:rPr>
            </w:pPr>
            <w:r w:rsidRPr="00656CB1">
              <w:rPr>
                <w:rFonts w:cstheme="minorHAnsi"/>
                <w:sz w:val="20"/>
                <w:szCs w:val="20"/>
              </w:rPr>
              <w:t>§ 63.10(d)(2)</w:t>
            </w:r>
          </w:p>
        </w:tc>
      </w:tr>
      <w:tr w14:paraId="19FA39F2" w14:textId="77777777" w:rsidTr="00325C1E">
        <w:tblPrEx>
          <w:tblW w:w="9360" w:type="dxa"/>
          <w:tblLayout w:type="fixed"/>
          <w:tblLook w:val="0000"/>
        </w:tblPrEx>
        <w:tc>
          <w:tcPr>
            <w:tcW w:w="7290" w:type="dxa"/>
          </w:tcPr>
          <w:p w:rsidR="00927CE7" w:rsidRPr="00656CB1" w:rsidP="00927CE7" w14:paraId="5721B1AE" w14:textId="77777777">
            <w:pPr>
              <w:spacing w:after="160" w:line="259" w:lineRule="auto"/>
              <w:ind w:left="0" w:firstLine="0"/>
              <w:rPr>
                <w:rFonts w:cstheme="minorHAnsi"/>
                <w:sz w:val="20"/>
                <w:szCs w:val="20"/>
              </w:rPr>
            </w:pPr>
            <w:r w:rsidRPr="00656CB1">
              <w:rPr>
                <w:rFonts w:cstheme="minorHAnsi"/>
                <w:sz w:val="20"/>
                <w:szCs w:val="20"/>
              </w:rPr>
              <w:t>Results of performance evaluation</w:t>
            </w:r>
          </w:p>
        </w:tc>
        <w:tc>
          <w:tcPr>
            <w:tcW w:w="2070" w:type="dxa"/>
          </w:tcPr>
          <w:p w:rsidR="00927CE7" w:rsidRPr="00656CB1" w:rsidP="00927CE7" w14:paraId="42AA4A89" w14:textId="77777777">
            <w:pPr>
              <w:spacing w:after="160" w:line="259" w:lineRule="auto"/>
              <w:ind w:left="0" w:firstLine="0"/>
              <w:rPr>
                <w:rFonts w:cstheme="minorHAnsi"/>
                <w:sz w:val="20"/>
                <w:szCs w:val="20"/>
              </w:rPr>
            </w:pPr>
            <w:r w:rsidRPr="00656CB1">
              <w:rPr>
                <w:rFonts w:cstheme="minorHAnsi"/>
                <w:sz w:val="20"/>
                <w:szCs w:val="20"/>
              </w:rPr>
              <w:t>§ 63.10(e)(2)</w:t>
            </w:r>
          </w:p>
        </w:tc>
      </w:tr>
      <w:tr w14:paraId="3D02037E" w14:textId="77777777" w:rsidTr="00325C1E">
        <w:tblPrEx>
          <w:tblW w:w="9360" w:type="dxa"/>
          <w:tblLayout w:type="fixed"/>
          <w:tblLook w:val="0000"/>
        </w:tblPrEx>
        <w:tc>
          <w:tcPr>
            <w:tcW w:w="7290" w:type="dxa"/>
          </w:tcPr>
          <w:p w:rsidR="00927CE7" w:rsidRPr="00656CB1" w:rsidP="00927CE7" w14:paraId="2F8DBA07" w14:textId="77777777">
            <w:pPr>
              <w:spacing w:after="160" w:line="259" w:lineRule="auto"/>
              <w:ind w:left="0" w:firstLine="0"/>
              <w:rPr>
                <w:rFonts w:cstheme="minorHAnsi"/>
                <w:sz w:val="20"/>
                <w:szCs w:val="20"/>
              </w:rPr>
            </w:pPr>
            <w:r w:rsidRPr="00656CB1">
              <w:rPr>
                <w:rFonts w:cstheme="minorHAnsi"/>
                <w:sz w:val="20"/>
                <w:szCs w:val="20"/>
              </w:rPr>
              <w:t>Semiannual excess emission reports and summary reports (electronic submission)</w:t>
            </w:r>
          </w:p>
        </w:tc>
        <w:tc>
          <w:tcPr>
            <w:tcW w:w="2070" w:type="dxa"/>
          </w:tcPr>
          <w:p w:rsidR="00927CE7" w:rsidRPr="00656CB1" w:rsidP="00927CE7" w14:paraId="6B267276" w14:textId="77777777">
            <w:pPr>
              <w:spacing w:after="160" w:line="259" w:lineRule="auto"/>
              <w:ind w:left="0" w:firstLine="0"/>
              <w:rPr>
                <w:rFonts w:cstheme="minorHAnsi"/>
                <w:sz w:val="20"/>
                <w:szCs w:val="20"/>
              </w:rPr>
            </w:pPr>
            <w:r w:rsidRPr="00656CB1">
              <w:rPr>
                <w:rFonts w:cstheme="minorHAnsi"/>
                <w:sz w:val="20"/>
                <w:szCs w:val="20"/>
              </w:rPr>
              <w:t>§§ 63.10(e)(3)(v), 63.867(c) and (d)</w:t>
            </w:r>
          </w:p>
        </w:tc>
      </w:tr>
    </w:tbl>
    <w:p w:rsidR="00927CE7" w:rsidP="00927CE7" w14:paraId="3103E843" w14:textId="77777777">
      <w:pPr>
        <w:spacing w:line="259" w:lineRule="auto"/>
        <w:ind w:left="0" w:firstLine="0"/>
        <w:rPr>
          <w:rFonts w:cstheme="minorHAnsi"/>
        </w:rPr>
      </w:pPr>
    </w:p>
    <w:p w:rsidR="00927CE7" w:rsidRPr="00927CE7" w:rsidP="00927CE7" w14:paraId="650FF872" w14:textId="5685DBDA">
      <w:pPr>
        <w:spacing w:line="259" w:lineRule="auto"/>
        <w:ind w:left="0" w:firstLine="0"/>
        <w:rPr>
          <w:rFonts w:cstheme="minorHAnsi"/>
        </w:rPr>
      </w:pPr>
      <w:r w:rsidRPr="00927CE7">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04CE316E" w14:textId="77777777" w:rsidTr="00325C1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27CE7" w:rsidRPr="00656CB1" w:rsidP="00656CB1" w14:paraId="1287F4FC" w14:textId="77777777">
            <w:pPr>
              <w:spacing w:line="259" w:lineRule="auto"/>
              <w:ind w:left="0" w:firstLine="0"/>
              <w:jc w:val="center"/>
              <w:rPr>
                <w:rFonts w:cstheme="minorHAnsi"/>
                <w:b/>
                <w:sz w:val="20"/>
                <w:szCs w:val="20"/>
              </w:rPr>
            </w:pPr>
            <w:r w:rsidRPr="00656CB1">
              <w:rPr>
                <w:rFonts w:cstheme="minorHAnsi"/>
                <w:b/>
                <w:sz w:val="20"/>
                <w:szCs w:val="20"/>
              </w:rPr>
              <w:t>Recordkeeping</w:t>
            </w:r>
          </w:p>
        </w:tc>
      </w:tr>
      <w:tr w14:paraId="5B641F58"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754B002E" w14:textId="77777777">
            <w:pPr>
              <w:spacing w:line="259" w:lineRule="auto"/>
              <w:ind w:left="0" w:firstLine="0"/>
              <w:rPr>
                <w:rFonts w:cstheme="minorHAnsi"/>
                <w:sz w:val="20"/>
                <w:szCs w:val="20"/>
              </w:rPr>
            </w:pPr>
            <w:r w:rsidRPr="00656CB1">
              <w:rPr>
                <w:rFonts w:cstheme="minorHAnsi"/>
                <w:sz w:val="20"/>
                <w:szCs w:val="20"/>
              </w:rPr>
              <w:t>5 years retention of records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5952DFE4" w14:textId="77777777">
            <w:pPr>
              <w:spacing w:line="259" w:lineRule="auto"/>
              <w:ind w:left="0" w:firstLine="0"/>
              <w:rPr>
                <w:rFonts w:cstheme="minorHAnsi"/>
                <w:sz w:val="20"/>
                <w:szCs w:val="20"/>
              </w:rPr>
            </w:pPr>
            <w:r w:rsidRPr="00656CB1">
              <w:rPr>
                <w:rFonts w:cstheme="minorHAnsi"/>
                <w:sz w:val="20"/>
                <w:szCs w:val="20"/>
              </w:rPr>
              <w:t xml:space="preserve">§ 63.10(b)(1) </w:t>
            </w:r>
          </w:p>
        </w:tc>
      </w:tr>
      <w:tr w14:paraId="2D42FA04"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2B1353ED" w14:textId="77777777">
            <w:pPr>
              <w:spacing w:line="259" w:lineRule="auto"/>
              <w:ind w:left="0" w:firstLine="0"/>
              <w:rPr>
                <w:rFonts w:cstheme="minorHAnsi"/>
                <w:sz w:val="20"/>
                <w:szCs w:val="20"/>
              </w:rPr>
            </w:pPr>
            <w:r w:rsidRPr="00656CB1">
              <w:rPr>
                <w:rFonts w:cstheme="minorHAnsi"/>
                <w:sz w:val="20"/>
                <w:szCs w:val="20"/>
              </w:rPr>
              <w:t>Records of performance tests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1F878696" w14:textId="77777777">
            <w:pPr>
              <w:spacing w:line="259" w:lineRule="auto"/>
              <w:ind w:left="0" w:firstLine="0"/>
              <w:rPr>
                <w:rFonts w:cstheme="minorHAnsi"/>
                <w:sz w:val="20"/>
                <w:szCs w:val="20"/>
              </w:rPr>
            </w:pPr>
            <w:r w:rsidRPr="00656CB1">
              <w:rPr>
                <w:rFonts w:cstheme="minorHAnsi"/>
                <w:sz w:val="20"/>
                <w:szCs w:val="20"/>
              </w:rPr>
              <w:t>§ 63.10(b)(2)(viii)</w:t>
            </w:r>
          </w:p>
        </w:tc>
      </w:tr>
      <w:tr w14:paraId="0C46E8E8"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7D7E36E7" w14:textId="77777777">
            <w:pPr>
              <w:spacing w:line="259" w:lineRule="auto"/>
              <w:ind w:left="0" w:firstLine="0"/>
              <w:rPr>
                <w:rFonts w:cstheme="minorHAnsi"/>
                <w:sz w:val="20"/>
                <w:szCs w:val="20"/>
              </w:rPr>
            </w:pPr>
            <w:r w:rsidRPr="00656CB1">
              <w:rPr>
                <w:rFonts w:cstheme="minorHAnsi"/>
                <w:sz w:val="20"/>
                <w:szCs w:val="20"/>
              </w:rPr>
              <w:t>Documentation supporting initial notifications and notifications of compliance status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6E0D38BF" w14:textId="77777777">
            <w:pPr>
              <w:spacing w:line="259" w:lineRule="auto"/>
              <w:ind w:left="0" w:firstLine="0"/>
              <w:rPr>
                <w:rFonts w:cstheme="minorHAnsi"/>
                <w:sz w:val="20"/>
                <w:szCs w:val="20"/>
              </w:rPr>
            </w:pPr>
            <w:r w:rsidRPr="00656CB1">
              <w:rPr>
                <w:rFonts w:cstheme="minorHAnsi"/>
                <w:sz w:val="20"/>
                <w:szCs w:val="20"/>
              </w:rPr>
              <w:t>§ 63.10(b)(2)(xiv)</w:t>
            </w:r>
          </w:p>
        </w:tc>
      </w:tr>
      <w:tr w14:paraId="124C0BB3"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1761C6F4" w14:textId="77777777">
            <w:pPr>
              <w:spacing w:line="259" w:lineRule="auto"/>
              <w:ind w:left="0" w:firstLine="0"/>
              <w:rPr>
                <w:rFonts w:cstheme="minorHAnsi"/>
                <w:sz w:val="20"/>
                <w:szCs w:val="20"/>
              </w:rPr>
            </w:pPr>
            <w:r w:rsidRPr="00656CB1">
              <w:rPr>
                <w:rFonts w:cstheme="minorHAnsi"/>
                <w:sz w:val="20"/>
                <w:szCs w:val="20"/>
              </w:rPr>
              <w:t>Exceedances under section 63.864(k) requiring corrective action and violations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1D1A3ABC" w14:textId="77777777">
            <w:pPr>
              <w:spacing w:line="259" w:lineRule="auto"/>
              <w:ind w:left="0" w:firstLine="0"/>
              <w:rPr>
                <w:rFonts w:cstheme="minorHAnsi"/>
                <w:sz w:val="20"/>
                <w:szCs w:val="20"/>
              </w:rPr>
            </w:pPr>
            <w:r w:rsidRPr="00656CB1">
              <w:rPr>
                <w:rFonts w:cstheme="minorHAnsi"/>
                <w:sz w:val="20"/>
                <w:szCs w:val="20"/>
              </w:rPr>
              <w:t>§ 63.866(b)</w:t>
            </w:r>
          </w:p>
        </w:tc>
      </w:tr>
      <w:tr w14:paraId="09E20AA1"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0A699DDC" w14:textId="77777777">
            <w:pPr>
              <w:spacing w:line="259" w:lineRule="auto"/>
              <w:ind w:left="0" w:firstLine="0"/>
              <w:rPr>
                <w:rFonts w:cstheme="minorHAnsi"/>
                <w:sz w:val="20"/>
                <w:szCs w:val="20"/>
              </w:rPr>
            </w:pPr>
            <w:r w:rsidRPr="00656CB1">
              <w:rPr>
                <w:rFonts w:cstheme="minorHAnsi"/>
                <w:sz w:val="20"/>
                <w:szCs w:val="20"/>
              </w:rPr>
              <w:t>Black liquor solids firing rates for all recovery furnaces and semichemical combustion units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10D9AD82" w14:textId="77777777">
            <w:pPr>
              <w:spacing w:line="259" w:lineRule="auto"/>
              <w:ind w:left="0" w:firstLine="0"/>
              <w:rPr>
                <w:rFonts w:cstheme="minorHAnsi"/>
                <w:sz w:val="20"/>
                <w:szCs w:val="20"/>
              </w:rPr>
            </w:pPr>
            <w:r w:rsidRPr="00656CB1">
              <w:rPr>
                <w:rFonts w:cstheme="minorHAnsi"/>
                <w:sz w:val="20"/>
                <w:szCs w:val="20"/>
              </w:rPr>
              <w:t>§ 63.866(c)(1)</w:t>
            </w:r>
          </w:p>
        </w:tc>
      </w:tr>
      <w:tr w14:paraId="67983A06"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3FBE7105" w14:textId="77777777">
            <w:pPr>
              <w:spacing w:line="259" w:lineRule="auto"/>
              <w:ind w:left="0" w:firstLine="0"/>
              <w:rPr>
                <w:rFonts w:cstheme="minorHAnsi"/>
                <w:sz w:val="20"/>
                <w:szCs w:val="20"/>
              </w:rPr>
            </w:pPr>
            <w:r w:rsidRPr="00656CB1">
              <w:rPr>
                <w:rFonts w:cstheme="minorHAnsi"/>
                <w:sz w:val="20"/>
                <w:szCs w:val="20"/>
              </w:rPr>
              <w:t>Lime production rates for all lime kilns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08029EF1" w14:textId="77777777">
            <w:pPr>
              <w:spacing w:line="259" w:lineRule="auto"/>
              <w:ind w:left="0" w:firstLine="0"/>
              <w:rPr>
                <w:rFonts w:cstheme="minorHAnsi"/>
                <w:sz w:val="20"/>
                <w:szCs w:val="20"/>
              </w:rPr>
            </w:pPr>
            <w:r w:rsidRPr="00656CB1">
              <w:rPr>
                <w:rFonts w:cstheme="minorHAnsi"/>
                <w:sz w:val="20"/>
                <w:szCs w:val="20"/>
              </w:rPr>
              <w:t>§ 63.866(c)(2)</w:t>
            </w:r>
          </w:p>
        </w:tc>
      </w:tr>
      <w:tr w14:paraId="79D54ED8"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55F6D40A" w14:textId="77777777">
            <w:pPr>
              <w:spacing w:line="259" w:lineRule="auto"/>
              <w:ind w:left="0" w:firstLine="0"/>
              <w:rPr>
                <w:rFonts w:cstheme="minorHAnsi"/>
                <w:sz w:val="20"/>
                <w:szCs w:val="20"/>
              </w:rPr>
            </w:pPr>
            <w:r w:rsidRPr="00656CB1">
              <w:rPr>
                <w:rFonts w:cstheme="minorHAnsi"/>
                <w:sz w:val="20"/>
                <w:szCs w:val="20"/>
              </w:rPr>
              <w:t>All parameter monitoring data required in section 63.864</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793177FE" w14:textId="77777777">
            <w:pPr>
              <w:spacing w:line="259" w:lineRule="auto"/>
              <w:ind w:left="0" w:firstLine="0"/>
              <w:rPr>
                <w:rFonts w:cstheme="minorHAnsi"/>
                <w:sz w:val="20"/>
                <w:szCs w:val="20"/>
              </w:rPr>
            </w:pPr>
            <w:r w:rsidRPr="00656CB1">
              <w:rPr>
                <w:rFonts w:cstheme="minorHAnsi"/>
                <w:sz w:val="20"/>
                <w:szCs w:val="20"/>
              </w:rPr>
              <w:t>§ 63.866(c)(3)</w:t>
            </w:r>
          </w:p>
        </w:tc>
      </w:tr>
      <w:tr w14:paraId="5C49FDF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073EB32D" w14:textId="77777777">
            <w:pPr>
              <w:spacing w:line="259" w:lineRule="auto"/>
              <w:ind w:left="0" w:firstLine="0"/>
              <w:rPr>
                <w:rFonts w:cstheme="minorHAnsi"/>
                <w:sz w:val="20"/>
                <w:szCs w:val="20"/>
              </w:rPr>
            </w:pPr>
            <w:r w:rsidRPr="00656CB1">
              <w:rPr>
                <w:rFonts w:cstheme="minorHAnsi"/>
                <w:sz w:val="20"/>
                <w:szCs w:val="20"/>
              </w:rPr>
              <w:t>Supporting calculations for compliance determinations made under section 63.865(a) through (d)</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0B6C7ED2" w14:textId="77777777">
            <w:pPr>
              <w:spacing w:line="259" w:lineRule="auto"/>
              <w:ind w:left="0" w:firstLine="0"/>
              <w:rPr>
                <w:rFonts w:cstheme="minorHAnsi"/>
                <w:sz w:val="20"/>
                <w:szCs w:val="20"/>
              </w:rPr>
            </w:pPr>
            <w:r w:rsidRPr="00656CB1">
              <w:rPr>
                <w:rFonts w:cstheme="minorHAnsi"/>
                <w:sz w:val="20"/>
                <w:szCs w:val="20"/>
              </w:rPr>
              <w:t>§ 63.866(c)(4)</w:t>
            </w:r>
          </w:p>
        </w:tc>
      </w:tr>
      <w:tr w14:paraId="76A3257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1DA148CC" w14:textId="77777777">
            <w:pPr>
              <w:spacing w:line="259" w:lineRule="auto"/>
              <w:ind w:left="0" w:firstLine="0"/>
              <w:rPr>
                <w:rFonts w:cstheme="minorHAnsi"/>
                <w:sz w:val="20"/>
                <w:szCs w:val="20"/>
              </w:rPr>
            </w:pPr>
            <w:r w:rsidRPr="00656CB1">
              <w:rPr>
                <w:rFonts w:cstheme="minorHAnsi"/>
                <w:sz w:val="20"/>
                <w:szCs w:val="20"/>
              </w:rPr>
              <w:t>Compliant parameter operating limits established for each affected source or process unit</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4F727FF1" w14:textId="77777777">
            <w:pPr>
              <w:spacing w:line="259" w:lineRule="auto"/>
              <w:ind w:left="0" w:firstLine="0"/>
              <w:rPr>
                <w:rFonts w:cstheme="minorHAnsi"/>
                <w:sz w:val="20"/>
                <w:szCs w:val="20"/>
              </w:rPr>
            </w:pPr>
            <w:r w:rsidRPr="00656CB1">
              <w:rPr>
                <w:rFonts w:cstheme="minorHAnsi"/>
                <w:sz w:val="20"/>
                <w:szCs w:val="20"/>
              </w:rPr>
              <w:t>§ 63.866(c)(5)</w:t>
            </w:r>
          </w:p>
        </w:tc>
      </w:tr>
      <w:tr w14:paraId="6C8AFD60"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6BE1ACDB" w14:textId="77777777">
            <w:pPr>
              <w:spacing w:line="259" w:lineRule="auto"/>
              <w:ind w:left="0" w:firstLine="0"/>
              <w:rPr>
                <w:rFonts w:cstheme="minorHAnsi"/>
                <w:sz w:val="20"/>
                <w:szCs w:val="20"/>
              </w:rPr>
            </w:pPr>
            <w:r w:rsidRPr="00656CB1">
              <w:rPr>
                <w:rFonts w:cstheme="minorHAnsi"/>
                <w:sz w:val="20"/>
                <w:szCs w:val="20"/>
              </w:rPr>
              <w:t>Certification that an NDCE recovery furnace equipped with a dry ESP system is used to comply with the gaseous organic HAP standard in section 63.862(c)(1)</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4BB1515B" w14:textId="77777777">
            <w:pPr>
              <w:spacing w:line="259" w:lineRule="auto"/>
              <w:ind w:left="0" w:firstLine="0"/>
              <w:rPr>
                <w:rFonts w:cstheme="minorHAnsi"/>
                <w:sz w:val="20"/>
                <w:szCs w:val="20"/>
              </w:rPr>
            </w:pPr>
            <w:r w:rsidRPr="00656CB1">
              <w:rPr>
                <w:rFonts w:cstheme="minorHAnsi"/>
                <w:sz w:val="20"/>
                <w:szCs w:val="20"/>
              </w:rPr>
              <w:t>§ 63.866(c)(6)</w:t>
            </w:r>
          </w:p>
        </w:tc>
      </w:tr>
      <w:tr w14:paraId="65B8B18D"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2B274C9A" w14:textId="77777777">
            <w:pPr>
              <w:spacing w:line="259" w:lineRule="auto"/>
              <w:ind w:left="0" w:firstLine="0"/>
              <w:rPr>
                <w:rFonts w:cstheme="minorHAnsi"/>
                <w:sz w:val="20"/>
                <w:szCs w:val="20"/>
              </w:rPr>
            </w:pPr>
            <w:r w:rsidRPr="00656CB1">
              <w:rPr>
                <w:rFonts w:cstheme="minorHAnsi"/>
                <w:sz w:val="20"/>
                <w:szCs w:val="20"/>
              </w:rPr>
              <w:t>Bag leak detection system alarms and corrective actions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1DB28C2F" w14:textId="77777777">
            <w:pPr>
              <w:spacing w:line="259" w:lineRule="auto"/>
              <w:ind w:left="0" w:firstLine="0"/>
              <w:rPr>
                <w:rFonts w:cstheme="minorHAnsi"/>
                <w:sz w:val="20"/>
                <w:szCs w:val="20"/>
              </w:rPr>
            </w:pPr>
            <w:r w:rsidRPr="00656CB1">
              <w:rPr>
                <w:rFonts w:cstheme="minorHAnsi"/>
                <w:sz w:val="20"/>
                <w:szCs w:val="20"/>
              </w:rPr>
              <w:t>§ 63.866(c)(7)</w:t>
            </w:r>
          </w:p>
        </w:tc>
      </w:tr>
      <w:tr w14:paraId="7E41969A"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79805D30" w14:textId="77777777">
            <w:pPr>
              <w:spacing w:line="259" w:lineRule="auto"/>
              <w:ind w:left="0" w:firstLine="0"/>
              <w:rPr>
                <w:rFonts w:cstheme="minorHAnsi"/>
                <w:sz w:val="20"/>
                <w:szCs w:val="20"/>
              </w:rPr>
            </w:pPr>
            <w:r w:rsidRPr="00656CB1">
              <w:rPr>
                <w:rFonts w:cstheme="minorHAnsi"/>
                <w:sz w:val="20"/>
                <w:szCs w:val="20"/>
              </w:rPr>
              <w:t>Compliance with requirement in section 63.864(e)(1) to maintain proper operation of ESP’s AVC</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4C83FB04" w14:textId="77777777">
            <w:pPr>
              <w:spacing w:line="259" w:lineRule="auto"/>
              <w:ind w:left="0" w:firstLine="0"/>
              <w:rPr>
                <w:rFonts w:cstheme="minorHAnsi"/>
                <w:sz w:val="20"/>
                <w:szCs w:val="20"/>
              </w:rPr>
            </w:pPr>
            <w:r w:rsidRPr="00656CB1">
              <w:rPr>
                <w:rFonts w:cstheme="minorHAnsi"/>
                <w:sz w:val="20"/>
                <w:szCs w:val="20"/>
              </w:rPr>
              <w:t>§§ 63.866(c)(8), 63.864(e)(1)</w:t>
            </w:r>
          </w:p>
        </w:tc>
      </w:tr>
      <w:tr w14:paraId="5995DF2C"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353B7D18" w14:textId="77777777">
            <w:pPr>
              <w:spacing w:line="259" w:lineRule="auto"/>
              <w:ind w:left="0" w:firstLine="0"/>
              <w:rPr>
                <w:rFonts w:cstheme="minorHAnsi"/>
                <w:sz w:val="20"/>
                <w:szCs w:val="20"/>
              </w:rPr>
            </w:pPr>
            <w:r w:rsidRPr="00656CB1">
              <w:rPr>
                <w:rFonts w:cstheme="minorHAnsi"/>
                <w:sz w:val="20"/>
                <w:szCs w:val="20"/>
              </w:rPr>
              <w:t>Number, timing, and duration of failures to meet applicable standards</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463AD1F8" w14:textId="77777777">
            <w:pPr>
              <w:spacing w:line="259" w:lineRule="auto"/>
              <w:ind w:left="0" w:firstLine="0"/>
              <w:rPr>
                <w:rFonts w:cstheme="minorHAnsi"/>
                <w:sz w:val="20"/>
                <w:szCs w:val="20"/>
              </w:rPr>
            </w:pPr>
            <w:r w:rsidRPr="00656CB1">
              <w:rPr>
                <w:rFonts w:cstheme="minorHAnsi"/>
                <w:sz w:val="20"/>
                <w:szCs w:val="20"/>
              </w:rPr>
              <w:t>§ 63.866(d)(1)</w:t>
            </w:r>
          </w:p>
        </w:tc>
      </w:tr>
      <w:tr w14:paraId="75AC6836"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659F9125" w14:textId="77777777">
            <w:pPr>
              <w:spacing w:line="259" w:lineRule="auto"/>
              <w:ind w:left="0" w:firstLine="0"/>
              <w:rPr>
                <w:rFonts w:cstheme="minorHAnsi"/>
                <w:sz w:val="20"/>
                <w:szCs w:val="20"/>
              </w:rPr>
            </w:pPr>
            <w:r w:rsidRPr="00656CB1">
              <w:rPr>
                <w:rFonts w:cstheme="minorHAnsi"/>
                <w:sz w:val="20"/>
                <w:szCs w:val="20"/>
              </w:rPr>
              <w:t>For each failure, a list of affected sources or equipment, an estimate of the quantity of each regulated pollutant emitted over the emission limit, a description of the method used to estimate emissions, and sufficient information to estimate the quantity of each regulated pollutant emitted over the emission limit</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35902371" w14:textId="77777777">
            <w:pPr>
              <w:spacing w:line="259" w:lineRule="auto"/>
              <w:ind w:left="0" w:firstLine="0"/>
              <w:rPr>
                <w:rFonts w:cstheme="minorHAnsi"/>
                <w:sz w:val="20"/>
                <w:szCs w:val="20"/>
              </w:rPr>
            </w:pPr>
            <w:r w:rsidRPr="00656CB1">
              <w:rPr>
                <w:rFonts w:cstheme="minorHAnsi"/>
                <w:sz w:val="20"/>
                <w:szCs w:val="20"/>
              </w:rPr>
              <w:t>§ 63.866(d)(2)</w:t>
            </w:r>
          </w:p>
        </w:tc>
      </w:tr>
      <w:tr w14:paraId="6D349ACB" w14:textId="77777777" w:rsidTr="00325C1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27CE7" w:rsidRPr="00656CB1" w:rsidP="00927CE7" w14:paraId="7226C85D" w14:textId="77777777">
            <w:pPr>
              <w:spacing w:line="259" w:lineRule="auto"/>
              <w:ind w:left="0" w:firstLine="0"/>
              <w:rPr>
                <w:rFonts w:cstheme="minorHAnsi"/>
                <w:sz w:val="20"/>
                <w:szCs w:val="20"/>
              </w:rPr>
            </w:pPr>
            <w:r w:rsidRPr="00656CB1">
              <w:rPr>
                <w:rFonts w:cstheme="minorHAnsi"/>
                <w:sz w:val="20"/>
                <w:szCs w:val="20"/>
              </w:rPr>
              <w:t>Actions taken to minimize emissions and corrective actions taken to return affected unit to normal operation</w:t>
            </w:r>
          </w:p>
        </w:tc>
        <w:tc>
          <w:tcPr>
            <w:tcW w:w="2250" w:type="dxa"/>
            <w:tcBorders>
              <w:top w:val="single" w:sz="7" w:space="0" w:color="000000"/>
              <w:left w:val="single" w:sz="7" w:space="0" w:color="000000"/>
              <w:bottom w:val="single" w:sz="7" w:space="0" w:color="000000"/>
              <w:right w:val="single" w:sz="7" w:space="0" w:color="000000"/>
            </w:tcBorders>
          </w:tcPr>
          <w:p w:rsidR="00927CE7" w:rsidRPr="00656CB1" w:rsidP="00927CE7" w14:paraId="54E19597" w14:textId="77777777">
            <w:pPr>
              <w:spacing w:line="259" w:lineRule="auto"/>
              <w:ind w:left="0" w:firstLine="0"/>
              <w:rPr>
                <w:rFonts w:cstheme="minorHAnsi"/>
                <w:sz w:val="20"/>
                <w:szCs w:val="20"/>
              </w:rPr>
            </w:pPr>
            <w:r w:rsidRPr="00656CB1">
              <w:rPr>
                <w:rFonts w:cstheme="minorHAnsi"/>
                <w:sz w:val="20"/>
                <w:szCs w:val="20"/>
              </w:rPr>
              <w:t>§ 63.866(d)(3)</w:t>
            </w:r>
          </w:p>
        </w:tc>
      </w:tr>
    </w:tbl>
    <w:p w:rsidR="00BB3410" w:rsidRPr="002943D2" w:rsidP="002943D2" w14:paraId="42074A5E" w14:textId="415BA883">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0" w:name="_Toc156593385"/>
      <w:bookmarkEnd w:id="19"/>
    </w:p>
    <w:tbl>
      <w:tblPr>
        <w:tblStyle w:val="TableGrid"/>
        <w:tblW w:w="9445" w:type="dxa"/>
        <w:tblLook w:val="04A0"/>
      </w:tblPr>
      <w:tblGrid>
        <w:gridCol w:w="9445"/>
      </w:tblGrid>
      <w:tr w14:paraId="1B1F1EE0" w14:textId="77777777" w:rsidTr="00325C1E">
        <w:tblPrEx>
          <w:tblW w:w="9445" w:type="dxa"/>
          <w:tblLook w:val="04A0"/>
        </w:tblPrEx>
        <w:trPr>
          <w:cantSplit/>
          <w:trHeight w:val="521"/>
          <w:tblHeader/>
        </w:trPr>
        <w:tc>
          <w:tcPr>
            <w:tcW w:w="9445" w:type="dxa"/>
          </w:tcPr>
          <w:p w:rsidR="00927CE7" w:rsidRPr="00DE0F1B" w:rsidP="00656CB1" w14:paraId="0E5CD9E0" w14:textId="77777777">
            <w:pPr>
              <w:spacing w:after="160" w:line="259" w:lineRule="auto"/>
              <w:ind w:left="0" w:firstLine="0"/>
              <w:jc w:val="center"/>
              <w:rPr>
                <w:rFonts w:cstheme="minorHAnsi"/>
                <w:b/>
                <w:bCs/>
                <w:sz w:val="20"/>
                <w:szCs w:val="20"/>
              </w:rPr>
            </w:pPr>
            <w:r w:rsidRPr="00DE0F1B">
              <w:rPr>
                <w:rFonts w:cstheme="minorHAnsi"/>
                <w:b/>
                <w:bCs/>
                <w:sz w:val="20"/>
                <w:szCs w:val="20"/>
              </w:rPr>
              <w:t>Respondent Activities</w:t>
            </w:r>
          </w:p>
        </w:tc>
      </w:tr>
      <w:tr w14:paraId="7F6981B5" w14:textId="77777777" w:rsidTr="00325C1E">
        <w:tblPrEx>
          <w:tblW w:w="9445" w:type="dxa"/>
          <w:tblLook w:val="04A0"/>
        </w:tblPrEx>
        <w:trPr>
          <w:trHeight w:val="432"/>
        </w:trPr>
        <w:tc>
          <w:tcPr>
            <w:tcW w:w="9445" w:type="dxa"/>
            <w:vAlign w:val="center"/>
          </w:tcPr>
          <w:p w:rsidR="00927CE7" w:rsidRPr="00DE0F1B" w:rsidP="00927CE7" w14:paraId="13F02935" w14:textId="77777777">
            <w:pPr>
              <w:spacing w:after="160" w:line="259" w:lineRule="auto"/>
              <w:ind w:left="0" w:firstLine="0"/>
              <w:rPr>
                <w:rFonts w:cstheme="minorHAnsi"/>
                <w:sz w:val="20"/>
                <w:szCs w:val="20"/>
              </w:rPr>
            </w:pPr>
            <w:r w:rsidRPr="00DE0F1B">
              <w:rPr>
                <w:rFonts w:cstheme="minorHAnsi"/>
                <w:sz w:val="20"/>
                <w:szCs w:val="20"/>
              </w:rPr>
              <w:t>Familiarization with the regulatory requirements.</w:t>
            </w:r>
          </w:p>
        </w:tc>
      </w:tr>
      <w:tr w14:paraId="1C777D79" w14:textId="77777777" w:rsidTr="00325C1E">
        <w:tblPrEx>
          <w:tblW w:w="9445" w:type="dxa"/>
          <w:tblLook w:val="04A0"/>
        </w:tblPrEx>
        <w:trPr>
          <w:trHeight w:val="719"/>
        </w:trPr>
        <w:tc>
          <w:tcPr>
            <w:tcW w:w="9445" w:type="dxa"/>
            <w:vAlign w:val="center"/>
          </w:tcPr>
          <w:p w:rsidR="00927CE7" w:rsidRPr="00DE0F1B" w:rsidP="00927CE7" w14:paraId="0DA20A72" w14:textId="77777777">
            <w:pPr>
              <w:spacing w:after="160" w:line="259" w:lineRule="auto"/>
              <w:ind w:left="0" w:firstLine="0"/>
              <w:rPr>
                <w:rFonts w:cstheme="minorHAnsi"/>
                <w:sz w:val="20"/>
                <w:szCs w:val="20"/>
              </w:rPr>
            </w:pPr>
            <w:r w:rsidRPr="00DE0F1B">
              <w:rPr>
                <w:rFonts w:cstheme="minorHAnsi"/>
                <w:sz w:val="20"/>
                <w:szCs w:val="20"/>
              </w:rPr>
              <w:t>Install, calibrate, maintain, and operate CMS for opacity and automatic voltage control, pressure drop, liquid flow rate, or fan amperage for each ESP and wet scrubber, temperature for each RTO, or leak detection for fabric filter systems.</w:t>
            </w:r>
          </w:p>
        </w:tc>
      </w:tr>
      <w:tr w14:paraId="61D462C6" w14:textId="77777777" w:rsidTr="00325C1E">
        <w:tblPrEx>
          <w:tblW w:w="9445" w:type="dxa"/>
          <w:tblLook w:val="04A0"/>
        </w:tblPrEx>
        <w:trPr>
          <w:trHeight w:val="701"/>
        </w:trPr>
        <w:tc>
          <w:tcPr>
            <w:tcW w:w="9445" w:type="dxa"/>
            <w:vAlign w:val="center"/>
          </w:tcPr>
          <w:p w:rsidR="00927CE7" w:rsidRPr="00DE0F1B" w:rsidP="00927CE7" w14:paraId="2F155E6E" w14:textId="77777777">
            <w:pPr>
              <w:spacing w:after="160" w:line="259" w:lineRule="auto"/>
              <w:ind w:left="0" w:firstLine="0"/>
              <w:rPr>
                <w:rFonts w:cstheme="minorHAnsi"/>
                <w:sz w:val="20"/>
                <w:szCs w:val="20"/>
              </w:rPr>
            </w:pPr>
            <w:r w:rsidRPr="00DE0F1B">
              <w:rPr>
                <w:rFonts w:cstheme="minorHAnsi"/>
                <w:sz w:val="20"/>
                <w:szCs w:val="20"/>
              </w:rPr>
              <w:t>Perform initial and performance tests using EPA Reference Methods 1, 1A, 2, 2A, 2C, 2D, 2F, 2G, 3, 3A, 3B, 4, 5, 17, 25A, 29, or 308, and repeat performance tests if necessary.</w:t>
            </w:r>
          </w:p>
        </w:tc>
      </w:tr>
      <w:tr w14:paraId="0424F25A" w14:textId="77777777" w:rsidTr="00325C1E">
        <w:tblPrEx>
          <w:tblW w:w="9445" w:type="dxa"/>
          <w:tblLook w:val="04A0"/>
        </w:tblPrEx>
        <w:trPr>
          <w:trHeight w:val="432"/>
        </w:trPr>
        <w:tc>
          <w:tcPr>
            <w:tcW w:w="9445" w:type="dxa"/>
            <w:vAlign w:val="center"/>
          </w:tcPr>
          <w:p w:rsidR="00927CE7" w:rsidRPr="00DE0F1B" w:rsidP="00927CE7" w14:paraId="2BDE2457" w14:textId="77777777">
            <w:pPr>
              <w:spacing w:after="160" w:line="259" w:lineRule="auto"/>
              <w:ind w:left="0" w:firstLine="0"/>
              <w:rPr>
                <w:rFonts w:cstheme="minorHAnsi"/>
                <w:sz w:val="20"/>
                <w:szCs w:val="20"/>
              </w:rPr>
            </w:pPr>
            <w:r w:rsidRPr="00DE0F1B">
              <w:rPr>
                <w:rFonts w:cstheme="minorHAnsi"/>
                <w:sz w:val="20"/>
                <w:szCs w:val="20"/>
              </w:rPr>
              <w:t>Write the notifications and reports listed above.</w:t>
            </w:r>
          </w:p>
        </w:tc>
      </w:tr>
      <w:tr w14:paraId="6EE3DED0" w14:textId="77777777" w:rsidTr="00325C1E">
        <w:tblPrEx>
          <w:tblW w:w="9445" w:type="dxa"/>
          <w:tblLook w:val="04A0"/>
        </w:tblPrEx>
        <w:trPr>
          <w:trHeight w:val="432"/>
        </w:trPr>
        <w:tc>
          <w:tcPr>
            <w:tcW w:w="9445" w:type="dxa"/>
            <w:vAlign w:val="center"/>
          </w:tcPr>
          <w:p w:rsidR="00927CE7" w:rsidRPr="00DE0F1B" w:rsidP="00927CE7" w14:paraId="18722AE2" w14:textId="77777777">
            <w:pPr>
              <w:spacing w:after="160" w:line="259" w:lineRule="auto"/>
              <w:ind w:left="0" w:firstLine="0"/>
              <w:rPr>
                <w:rFonts w:cstheme="minorHAnsi"/>
                <w:sz w:val="20"/>
                <w:szCs w:val="20"/>
              </w:rPr>
            </w:pPr>
            <w:r w:rsidRPr="00DE0F1B">
              <w:rPr>
                <w:rFonts w:cstheme="minorHAnsi"/>
                <w:sz w:val="20"/>
                <w:szCs w:val="20"/>
              </w:rPr>
              <w:t>Enter information required to be recorded above.</w:t>
            </w:r>
          </w:p>
        </w:tc>
      </w:tr>
      <w:tr w14:paraId="7697FBAC" w14:textId="77777777" w:rsidTr="00325C1E">
        <w:tblPrEx>
          <w:tblW w:w="9445" w:type="dxa"/>
          <w:tblLook w:val="04A0"/>
        </w:tblPrEx>
        <w:trPr>
          <w:trHeight w:val="692"/>
        </w:trPr>
        <w:tc>
          <w:tcPr>
            <w:tcW w:w="9445" w:type="dxa"/>
            <w:vAlign w:val="center"/>
          </w:tcPr>
          <w:p w:rsidR="00927CE7" w:rsidRPr="00DE0F1B" w:rsidP="00927CE7" w14:paraId="36E7D30A" w14:textId="77777777">
            <w:pPr>
              <w:spacing w:after="160" w:line="259" w:lineRule="auto"/>
              <w:ind w:left="0" w:firstLine="0"/>
              <w:rPr>
                <w:rFonts w:cstheme="minorHAnsi"/>
                <w:sz w:val="20"/>
                <w:szCs w:val="20"/>
              </w:rPr>
            </w:pPr>
            <w:r w:rsidRPr="00DE0F1B">
              <w:rPr>
                <w:rFonts w:cstheme="minorHAnsi"/>
                <w:sz w:val="20"/>
                <w:szCs w:val="20"/>
              </w:rPr>
              <w:t>Submit the required reports developing, acquiring, installing, and utilizing technology and systems for collecting, validating, and verifying information.</w:t>
            </w:r>
          </w:p>
        </w:tc>
      </w:tr>
      <w:tr w14:paraId="5132C806" w14:textId="77777777" w:rsidTr="00325C1E">
        <w:tblPrEx>
          <w:tblW w:w="9445" w:type="dxa"/>
          <w:tblLook w:val="04A0"/>
        </w:tblPrEx>
        <w:trPr>
          <w:trHeight w:val="764"/>
        </w:trPr>
        <w:tc>
          <w:tcPr>
            <w:tcW w:w="9445" w:type="dxa"/>
            <w:vAlign w:val="center"/>
          </w:tcPr>
          <w:p w:rsidR="00927CE7" w:rsidRPr="00DE0F1B" w:rsidP="00927CE7" w14:paraId="3F9EFBE8" w14:textId="77777777">
            <w:pPr>
              <w:spacing w:after="160" w:line="259" w:lineRule="auto"/>
              <w:ind w:left="0" w:firstLine="0"/>
              <w:rPr>
                <w:rFonts w:cstheme="minorHAnsi"/>
                <w:sz w:val="20"/>
                <w:szCs w:val="20"/>
              </w:rPr>
            </w:pPr>
            <w:r w:rsidRPr="00DE0F1B">
              <w:rPr>
                <w:rFonts w:cstheme="minorHAnsi"/>
                <w:sz w:val="20"/>
                <w:szCs w:val="20"/>
              </w:rPr>
              <w:t>Develop, acquire, install, and utilize technology and systems for processing and maintaining information.</w:t>
            </w:r>
          </w:p>
        </w:tc>
      </w:tr>
      <w:tr w14:paraId="72945CA5" w14:textId="77777777" w:rsidTr="00325C1E">
        <w:tblPrEx>
          <w:tblW w:w="9445" w:type="dxa"/>
          <w:tblLook w:val="04A0"/>
        </w:tblPrEx>
        <w:trPr>
          <w:trHeight w:val="728"/>
        </w:trPr>
        <w:tc>
          <w:tcPr>
            <w:tcW w:w="9445" w:type="dxa"/>
            <w:vAlign w:val="center"/>
          </w:tcPr>
          <w:p w:rsidR="00927CE7" w:rsidRPr="00DE0F1B" w:rsidP="00927CE7" w14:paraId="243078BB" w14:textId="77777777">
            <w:pPr>
              <w:spacing w:after="160" w:line="259" w:lineRule="auto"/>
              <w:ind w:left="0" w:firstLine="0"/>
              <w:rPr>
                <w:rFonts w:cstheme="minorHAnsi"/>
                <w:sz w:val="20"/>
                <w:szCs w:val="20"/>
              </w:rPr>
            </w:pPr>
            <w:r w:rsidRPr="00DE0F1B">
              <w:rPr>
                <w:rFonts w:cstheme="minorHAnsi"/>
                <w:sz w:val="20"/>
                <w:szCs w:val="20"/>
              </w:rPr>
              <w:t>Develop, acquire, install, and utilize technology and systems for disclosing and providing information.</w:t>
            </w:r>
          </w:p>
        </w:tc>
      </w:tr>
      <w:tr w14:paraId="33FC08EA" w14:textId="77777777" w:rsidTr="00325C1E">
        <w:tblPrEx>
          <w:tblW w:w="9445" w:type="dxa"/>
          <w:tblLook w:val="04A0"/>
        </w:tblPrEx>
        <w:trPr>
          <w:trHeight w:val="432"/>
        </w:trPr>
        <w:tc>
          <w:tcPr>
            <w:tcW w:w="9445" w:type="dxa"/>
            <w:vAlign w:val="center"/>
          </w:tcPr>
          <w:p w:rsidR="00927CE7" w:rsidRPr="00DE0F1B" w:rsidP="00927CE7" w14:paraId="40B3276B" w14:textId="77777777">
            <w:pPr>
              <w:spacing w:after="160" w:line="259" w:lineRule="auto"/>
              <w:ind w:left="0" w:firstLine="0"/>
              <w:rPr>
                <w:rFonts w:cstheme="minorHAnsi"/>
                <w:sz w:val="20"/>
                <w:szCs w:val="20"/>
              </w:rPr>
            </w:pPr>
            <w:r w:rsidRPr="00DE0F1B">
              <w:rPr>
                <w:rFonts w:cstheme="minorHAnsi"/>
                <w:sz w:val="20"/>
                <w:szCs w:val="20"/>
              </w:rPr>
              <w:t>Train personnel to be able to respond to a collection of information.</w:t>
            </w:r>
          </w:p>
        </w:tc>
      </w:tr>
      <w:tr w14:paraId="740A35C4" w14:textId="77777777" w:rsidTr="00325C1E">
        <w:tblPrEx>
          <w:tblW w:w="9445" w:type="dxa"/>
          <w:tblLook w:val="04A0"/>
        </w:tblPrEx>
        <w:trPr>
          <w:trHeight w:val="432"/>
        </w:trPr>
        <w:tc>
          <w:tcPr>
            <w:tcW w:w="9445" w:type="dxa"/>
            <w:vAlign w:val="center"/>
          </w:tcPr>
          <w:p w:rsidR="00927CE7" w:rsidRPr="00DE0F1B" w:rsidP="00927CE7" w14:paraId="66EED910" w14:textId="77777777">
            <w:pPr>
              <w:spacing w:after="160" w:line="259" w:lineRule="auto"/>
              <w:ind w:left="0" w:firstLine="0"/>
              <w:rPr>
                <w:rFonts w:cstheme="minorHAnsi"/>
                <w:sz w:val="20"/>
                <w:szCs w:val="20"/>
              </w:rPr>
            </w:pPr>
            <w:r w:rsidRPr="00DE0F1B">
              <w:rPr>
                <w:rFonts w:cstheme="minorHAnsi"/>
                <w:sz w:val="20"/>
                <w:szCs w:val="20"/>
              </w:rPr>
              <w:t>Transmit, or otherwise disclose the information.</w:t>
            </w:r>
          </w:p>
        </w:tc>
      </w:tr>
    </w:tbl>
    <w:p w:rsidR="0015080A" w:rsidP="002943D2" w14:paraId="6ED8A0D6" w14:textId="77777777">
      <w:pPr>
        <w:spacing w:line="259" w:lineRule="auto"/>
        <w:ind w:left="0" w:firstLine="0"/>
        <w:rPr>
          <w:rFonts w:cstheme="minorHAnsi"/>
        </w:rPr>
      </w:pPr>
    </w:p>
    <w:p w:rsidR="00927CE7" w:rsidRPr="00927CE7" w:rsidP="002943D2" w14:paraId="743DC02D" w14:textId="56CC189A">
      <w:pPr>
        <w:spacing w:line="259" w:lineRule="auto"/>
        <w:ind w:left="0" w:firstLine="0"/>
        <w:rPr>
          <w:rFonts w:cstheme="minorHAnsi"/>
          <w:b/>
          <w:bCs/>
        </w:rPr>
      </w:pPr>
      <w:r w:rsidRPr="00927CE7">
        <w:rPr>
          <w:rFonts w:cstheme="minorHAnsi"/>
        </w:rPr>
        <w:t>The specific frequency for each information collection activity within this request is shown at the end of this document in Table 1: Annual Respondent Burden and Cost – NESHAP for Chemical Recovery Combustion Sources at Kraft, Soda, Sulfite, and Stand-Alone Semichemical Pulp Mills (40 CFR Part 63, Subpart MM)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0"/>
      <w:r w:rsidRPr="008B3B3E" w:rsidR="0042474D">
        <w:rPr>
          <w:rFonts w:asciiTheme="minorHAnsi" w:hAnsiTheme="minorHAnsi" w:cstheme="minorHAnsi"/>
          <w:b/>
          <w:bCs/>
          <w:color w:val="000000" w:themeColor="text1"/>
          <w:sz w:val="22"/>
          <w:szCs w:val="22"/>
        </w:rPr>
        <w:t>COSTS</w:t>
      </w:r>
    </w:p>
    <w:p w:rsidR="00927CE7" w:rsidRPr="00927CE7" w:rsidP="00927CE7" w14:paraId="690E362B" w14:textId="77777777">
      <w:pPr>
        <w:spacing w:line="259" w:lineRule="auto"/>
        <w:ind w:left="0" w:firstLine="0"/>
        <w:rPr>
          <w:rFonts w:cstheme="minorHAnsi"/>
        </w:rPr>
      </w:pPr>
      <w:r w:rsidRPr="00927CE7">
        <w:rPr>
          <w:rFonts w:cstheme="minorHAnsi"/>
        </w:rPr>
        <w:t>The average annual burden to industry over the next three years from these recordkeeping and reporting requirements is estimated to be 108,000 (Total Labor Hours from Table 1). These hours are based on Agency studies and background documents from the development of the regulation, Agency knowledge and experience with the NESHAP program, the previously approved ICR, and any comments received.</w:t>
      </w:r>
    </w:p>
    <w:p w:rsidR="00927CE7" w:rsidRPr="00927CE7" w:rsidP="00927CE7" w14:paraId="6C1AB7CD" w14:textId="1B0B536F">
      <w:pPr>
        <w:spacing w:line="259" w:lineRule="auto"/>
        <w:ind w:left="0" w:firstLine="0"/>
        <w:rPr>
          <w:rFonts w:cstheme="minorHAnsi"/>
        </w:rPr>
      </w:pPr>
      <w:r w:rsidRPr="00927CE7">
        <w:rPr>
          <w:rFonts w:cstheme="minorHAnsi"/>
        </w:rPr>
        <w:t xml:space="preserve">This ICR uses the following labor rates: </w:t>
      </w:r>
    </w:p>
    <w:p w:rsidR="00927CE7" w:rsidRPr="00927CE7" w:rsidP="009D7B22" w14:paraId="580A2D9B" w14:textId="77777777">
      <w:pPr>
        <w:spacing w:line="259" w:lineRule="auto"/>
        <w:ind w:firstLine="0"/>
        <w:rPr>
          <w:rFonts w:cstheme="minorHAnsi"/>
        </w:rPr>
      </w:pPr>
      <w:r w:rsidRPr="00927CE7">
        <w:rPr>
          <w:rFonts w:cstheme="minorHAnsi"/>
        </w:rPr>
        <w:t>Managerial</w:t>
      </w:r>
      <w:r w:rsidRPr="00927CE7">
        <w:rPr>
          <w:rFonts w:cstheme="minorHAnsi"/>
        </w:rPr>
        <w:tab/>
        <w:t>$163.17 ($77.70 + 110%)</w:t>
      </w:r>
    </w:p>
    <w:p w:rsidR="00927CE7" w:rsidRPr="00927CE7" w:rsidP="009D7B22" w14:paraId="19847026" w14:textId="77777777">
      <w:pPr>
        <w:spacing w:line="259" w:lineRule="auto"/>
        <w:ind w:firstLine="0"/>
        <w:rPr>
          <w:rFonts w:cstheme="minorHAnsi"/>
        </w:rPr>
      </w:pPr>
      <w:r w:rsidRPr="00927CE7">
        <w:rPr>
          <w:rFonts w:cstheme="minorHAnsi"/>
        </w:rPr>
        <w:t>Technical</w:t>
      </w:r>
      <w:r w:rsidRPr="00927CE7">
        <w:rPr>
          <w:rFonts w:cstheme="minorHAnsi"/>
        </w:rPr>
        <w:tab/>
        <w:t>$130.28 ($62.04 + 110%)</w:t>
      </w:r>
    </w:p>
    <w:p w:rsidR="00927CE7" w:rsidRPr="00927CE7" w:rsidP="009D7B22" w14:paraId="0BBDD957" w14:textId="352336BB">
      <w:pPr>
        <w:spacing w:line="259" w:lineRule="auto"/>
        <w:ind w:firstLine="0"/>
        <w:rPr>
          <w:rFonts w:cstheme="minorHAnsi"/>
        </w:rPr>
      </w:pPr>
      <w:r w:rsidRPr="00927CE7">
        <w:rPr>
          <w:rFonts w:cstheme="minorHAnsi"/>
        </w:rPr>
        <w:t>Clerical</w:t>
      </w:r>
      <w:r w:rsidR="009D7B22">
        <w:rPr>
          <w:rFonts w:cstheme="minorHAnsi"/>
        </w:rPr>
        <w:tab/>
      </w:r>
      <w:r w:rsidR="009D7B22">
        <w:rPr>
          <w:rFonts w:cstheme="minorHAnsi"/>
        </w:rPr>
        <w:tab/>
      </w:r>
      <w:r w:rsidRPr="00927CE7">
        <w:rPr>
          <w:rFonts w:cstheme="minorHAnsi"/>
        </w:rPr>
        <w:t>$65.71 ($31.29 + 110%)</w:t>
      </w:r>
    </w:p>
    <w:p w:rsidR="00927CE7" w:rsidRPr="00927CE7" w:rsidP="00927CE7" w14:paraId="0D479575" w14:textId="77777777">
      <w:pPr>
        <w:spacing w:line="259" w:lineRule="auto"/>
        <w:ind w:left="0" w:firstLine="0"/>
        <w:rPr>
          <w:rFonts w:cstheme="minorHAnsi"/>
        </w:rPr>
      </w:pPr>
      <w:r w:rsidRPr="00927CE7">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9D7B22" w:rsidRPr="009D7B22" w:rsidP="009D7B22" w14:paraId="44F4FBB0" w14:textId="4B58E6B0">
      <w:pPr>
        <w:spacing w:line="259" w:lineRule="auto"/>
        <w:ind w:left="0" w:firstLine="0"/>
        <w:rPr>
          <w:rFonts w:cstheme="minorHAnsi"/>
        </w:rPr>
      </w:pPr>
      <w:r w:rsidRPr="009D7B22">
        <w:rPr>
          <w:rFonts w:cstheme="minorHAnsi"/>
        </w:rPr>
        <w:t>The total annual labor hours are 108,000. Details regarding these estimates may be found in Table 1: Annual Respondent Burden and Cost – NESHAP for Chemical Recovery Combustion Sources at Kraft, Soda, Sulfite, and Stand-Alone Semichemical Pulp Mills (40 CFR Part 63, Subpart MM) (Renewal).</w:t>
      </w:r>
      <w:r w:rsidRPr="009D7B22">
        <w:rPr>
          <w:rFonts w:cstheme="minorHAnsi"/>
        </w:rPr>
        <w:t xml:space="preserve"> </w:t>
      </w:r>
    </w:p>
    <w:p w:rsidR="009D7B22" w:rsidRPr="009D7B22" w:rsidP="009D7B22" w14:paraId="0F9CE215" w14:textId="4897B7D0">
      <w:pPr>
        <w:spacing w:line="259" w:lineRule="auto"/>
        <w:ind w:left="0" w:firstLine="0"/>
        <w:rPr>
          <w:rFonts w:cstheme="minorHAnsi"/>
        </w:rPr>
      </w:pPr>
      <w:r w:rsidRPr="009D7B2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693B7E05">
      <w:pPr>
        <w:spacing w:line="259" w:lineRule="auto"/>
        <w:ind w:left="0" w:firstLine="0"/>
        <w:rPr>
          <w:rFonts w:cstheme="minorHAnsi"/>
        </w:rPr>
      </w:pPr>
      <w:r w:rsidRPr="009D7B22">
        <w:rPr>
          <w:rFonts w:cstheme="minorHAnsi"/>
        </w:rPr>
        <w:t>Furthermore, the annual public reporting and recordkeeping burden for this collection of information is estimated to average 348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1" w:name="_Toc156593386"/>
      <w:r w:rsidRPr="008B3B3E">
        <w:rPr>
          <w:rFonts w:asciiTheme="minorHAnsi" w:hAnsiTheme="minorHAnsi" w:cstheme="minorHAnsi"/>
          <w:b/>
          <w:bCs/>
          <w:color w:val="000000" w:themeColor="text1"/>
          <w:sz w:val="22"/>
          <w:szCs w:val="22"/>
        </w:rPr>
        <w:t>RESPONDENT CAPITAL AND O&amp;M COSTS</w:t>
      </w:r>
      <w:bookmarkEnd w:id="21"/>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D7B22" w:rsidRPr="009D7B22" w:rsidP="009D7B22" w14:paraId="573551D7" w14:textId="5702C7CE">
      <w:pPr>
        <w:spacing w:line="259" w:lineRule="auto"/>
        <w:ind w:left="0" w:firstLine="0"/>
        <w:rPr>
          <w:rFonts w:cstheme="minorHAnsi"/>
        </w:rPr>
      </w:pPr>
      <w:r w:rsidRPr="009D7B22">
        <w:rPr>
          <w:rFonts w:cstheme="minorHAnsi"/>
        </w:rP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5000" w:type="pct"/>
        <w:tblLayout w:type="fixed"/>
        <w:tblLook w:val="0000"/>
      </w:tblPr>
      <w:tblGrid>
        <w:gridCol w:w="1435"/>
        <w:gridCol w:w="1440"/>
        <w:gridCol w:w="1352"/>
        <w:gridCol w:w="1262"/>
        <w:gridCol w:w="1260"/>
        <w:gridCol w:w="1262"/>
        <w:gridCol w:w="1339"/>
      </w:tblGrid>
      <w:tr w14:paraId="71130C53" w14:textId="77777777" w:rsidTr="00325C1E">
        <w:tblPrEx>
          <w:tblW w:w="5000" w:type="pct"/>
          <w:tblLayout w:type="fixed"/>
          <w:tblLook w:val="0000"/>
        </w:tblPrEx>
        <w:tc>
          <w:tcPr>
            <w:tcW w:w="5000" w:type="pct"/>
            <w:gridSpan w:val="7"/>
          </w:tcPr>
          <w:p w:rsidR="009D7B22" w:rsidRPr="0015080A" w:rsidP="00DE0F1B" w14:paraId="339187CA" w14:textId="77777777">
            <w:pPr>
              <w:spacing w:after="160" w:line="259" w:lineRule="auto"/>
              <w:ind w:left="0" w:firstLine="0"/>
              <w:jc w:val="center"/>
              <w:rPr>
                <w:rFonts w:cstheme="minorHAnsi"/>
                <w:b/>
                <w:sz w:val="20"/>
                <w:szCs w:val="20"/>
              </w:rPr>
            </w:pPr>
            <w:r w:rsidRPr="0015080A">
              <w:rPr>
                <w:rFonts w:cstheme="minorHAnsi"/>
                <w:b/>
                <w:sz w:val="20"/>
                <w:szCs w:val="20"/>
              </w:rPr>
              <w:t>Capital/Startup vs. Operation and Maintenance Costs</w:t>
            </w:r>
          </w:p>
        </w:tc>
      </w:tr>
      <w:tr w14:paraId="54634569" w14:textId="77777777" w:rsidTr="00325C1E">
        <w:tblPrEx>
          <w:tblW w:w="5000" w:type="pct"/>
          <w:tblLayout w:type="fixed"/>
          <w:tblLook w:val="0000"/>
        </w:tblPrEx>
        <w:tc>
          <w:tcPr>
            <w:tcW w:w="767" w:type="pct"/>
          </w:tcPr>
          <w:p w:rsidR="009D7B22" w:rsidRPr="0015080A" w:rsidP="009D7B22" w14:paraId="01D4BE55" w14:textId="2612D5DD">
            <w:pPr>
              <w:spacing w:after="160" w:line="259" w:lineRule="auto"/>
              <w:ind w:left="0" w:firstLine="0"/>
              <w:rPr>
                <w:rFonts w:cstheme="minorHAnsi"/>
                <w:sz w:val="20"/>
                <w:szCs w:val="20"/>
              </w:rPr>
            </w:pPr>
            <w:r w:rsidRPr="0015080A">
              <w:rPr>
                <w:rFonts w:cstheme="minorHAnsi"/>
                <w:sz w:val="20"/>
                <w:szCs w:val="20"/>
              </w:rPr>
              <w:t>(A)  Cost Item</w:t>
            </w:r>
          </w:p>
        </w:tc>
        <w:tc>
          <w:tcPr>
            <w:tcW w:w="770" w:type="pct"/>
          </w:tcPr>
          <w:p w:rsidR="009D7B22" w:rsidRPr="0015080A" w:rsidP="009D7B22" w14:paraId="7C2D8AE4" w14:textId="3EA7FFFE">
            <w:pPr>
              <w:spacing w:after="160" w:line="259" w:lineRule="auto"/>
              <w:ind w:left="0" w:firstLine="0"/>
              <w:rPr>
                <w:rFonts w:cstheme="minorHAnsi"/>
                <w:sz w:val="20"/>
                <w:szCs w:val="20"/>
              </w:rPr>
            </w:pPr>
            <w:r w:rsidRPr="0015080A">
              <w:rPr>
                <w:rFonts w:cstheme="minorHAnsi"/>
                <w:sz w:val="20"/>
                <w:szCs w:val="20"/>
              </w:rPr>
              <w:t>(B)  Annualized Capital/Startup Cost for One Respondent</w:t>
            </w:r>
          </w:p>
        </w:tc>
        <w:tc>
          <w:tcPr>
            <w:tcW w:w="723" w:type="pct"/>
          </w:tcPr>
          <w:p w:rsidR="009D7B22" w:rsidRPr="0015080A" w:rsidP="009D7B22" w14:paraId="0D72DD78" w14:textId="5B1E0D11">
            <w:pPr>
              <w:spacing w:after="160" w:line="259" w:lineRule="auto"/>
              <w:ind w:left="0" w:firstLine="0"/>
              <w:rPr>
                <w:rFonts w:cstheme="minorHAnsi"/>
                <w:sz w:val="20"/>
                <w:szCs w:val="20"/>
              </w:rPr>
            </w:pPr>
            <w:r w:rsidRPr="0015080A">
              <w:rPr>
                <w:rFonts w:cstheme="minorHAnsi"/>
                <w:sz w:val="20"/>
                <w:szCs w:val="20"/>
              </w:rPr>
              <w:t>(C) Number of Respondents</w:t>
            </w:r>
          </w:p>
        </w:tc>
        <w:tc>
          <w:tcPr>
            <w:tcW w:w="675" w:type="pct"/>
          </w:tcPr>
          <w:p w:rsidR="009D7B22" w:rsidRPr="0015080A" w:rsidP="0015080A" w14:paraId="37AB2F8D" w14:textId="4189CE33">
            <w:pPr>
              <w:spacing w:after="160" w:line="259" w:lineRule="auto"/>
              <w:ind w:left="0" w:firstLine="0"/>
              <w:rPr>
                <w:rFonts w:cstheme="minorHAnsi"/>
                <w:sz w:val="20"/>
                <w:szCs w:val="20"/>
              </w:rPr>
            </w:pPr>
            <w:r w:rsidRPr="0015080A">
              <w:rPr>
                <w:rFonts w:cstheme="minorHAnsi"/>
                <w:sz w:val="20"/>
                <w:szCs w:val="20"/>
              </w:rPr>
              <w:t>(D) Total Capital/ Startup Cost</w:t>
            </w:r>
            <w:r w:rsidRPr="0015080A" w:rsidR="0015080A">
              <w:rPr>
                <w:rFonts w:cstheme="minorHAnsi"/>
                <w:sz w:val="20"/>
                <w:szCs w:val="20"/>
              </w:rPr>
              <w:t xml:space="preserve"> </w:t>
            </w:r>
            <w:r w:rsidRPr="0015080A">
              <w:rPr>
                <w:rFonts w:cstheme="minorHAnsi"/>
                <w:sz w:val="20"/>
                <w:szCs w:val="20"/>
              </w:rPr>
              <w:t>(B x C)</w:t>
            </w:r>
          </w:p>
        </w:tc>
        <w:tc>
          <w:tcPr>
            <w:tcW w:w="674" w:type="pct"/>
          </w:tcPr>
          <w:p w:rsidR="009D7B22" w:rsidRPr="0015080A" w:rsidP="009D7B22" w14:paraId="1094CF0B" w14:textId="6D97B4DA">
            <w:pPr>
              <w:spacing w:after="160" w:line="259" w:lineRule="auto"/>
              <w:ind w:left="0" w:firstLine="0"/>
              <w:rPr>
                <w:rFonts w:cstheme="minorHAnsi"/>
                <w:b/>
                <w:sz w:val="20"/>
                <w:szCs w:val="20"/>
              </w:rPr>
            </w:pPr>
            <w:r w:rsidRPr="0015080A">
              <w:rPr>
                <w:rFonts w:cstheme="minorHAnsi"/>
                <w:sz w:val="20"/>
                <w:szCs w:val="20"/>
              </w:rPr>
              <w:t>(E) Annual O&amp;M Costs for One Respondent</w:t>
            </w:r>
          </w:p>
        </w:tc>
        <w:tc>
          <w:tcPr>
            <w:tcW w:w="675" w:type="pct"/>
          </w:tcPr>
          <w:p w:rsidR="009D7B22" w:rsidRPr="0015080A" w:rsidP="009D7B22" w14:paraId="0DA8A5E2" w14:textId="167237B5">
            <w:pPr>
              <w:spacing w:after="160" w:line="259" w:lineRule="auto"/>
              <w:ind w:left="0" w:firstLine="0"/>
              <w:rPr>
                <w:rFonts w:cstheme="minorHAnsi"/>
                <w:b/>
                <w:sz w:val="20"/>
                <w:szCs w:val="20"/>
              </w:rPr>
            </w:pPr>
            <w:r w:rsidRPr="0015080A">
              <w:rPr>
                <w:rFonts w:cstheme="minorHAnsi"/>
                <w:sz w:val="20"/>
                <w:szCs w:val="20"/>
              </w:rPr>
              <w:t>(F) Number of Respondents with O&amp;M</w:t>
            </w:r>
          </w:p>
        </w:tc>
        <w:tc>
          <w:tcPr>
            <w:tcW w:w="716" w:type="pct"/>
          </w:tcPr>
          <w:p w:rsidR="009D7B22" w:rsidRPr="0015080A" w:rsidP="0015080A" w14:paraId="6E0F19F2" w14:textId="658D063D">
            <w:pPr>
              <w:spacing w:after="160" w:line="259" w:lineRule="auto"/>
              <w:ind w:left="0" w:firstLine="0"/>
              <w:rPr>
                <w:rFonts w:cstheme="minorHAnsi"/>
                <w:b/>
                <w:sz w:val="20"/>
                <w:szCs w:val="20"/>
              </w:rPr>
            </w:pPr>
            <w:r w:rsidRPr="0015080A">
              <w:rPr>
                <w:rFonts w:cstheme="minorHAnsi"/>
                <w:sz w:val="20"/>
                <w:szCs w:val="20"/>
              </w:rPr>
              <w:t>(G)  Total O&amp;M,</w:t>
            </w:r>
            <w:r w:rsidRPr="0015080A" w:rsidR="0015080A">
              <w:rPr>
                <w:rFonts w:cstheme="minorHAnsi"/>
                <w:sz w:val="20"/>
                <w:szCs w:val="20"/>
              </w:rPr>
              <w:t xml:space="preserve"> </w:t>
            </w:r>
            <w:r w:rsidRPr="0015080A">
              <w:rPr>
                <w:rFonts w:cstheme="minorHAnsi"/>
                <w:sz w:val="20"/>
                <w:szCs w:val="20"/>
              </w:rPr>
              <w:t>(E X F)</w:t>
            </w:r>
          </w:p>
        </w:tc>
      </w:tr>
      <w:tr w14:paraId="12110403" w14:textId="77777777" w:rsidTr="00325C1E">
        <w:tblPrEx>
          <w:tblW w:w="5000" w:type="pct"/>
          <w:tblLayout w:type="fixed"/>
          <w:tblLook w:val="0000"/>
        </w:tblPrEx>
        <w:trPr>
          <w:trHeight w:val="288"/>
        </w:trPr>
        <w:tc>
          <w:tcPr>
            <w:tcW w:w="5000" w:type="pct"/>
            <w:gridSpan w:val="7"/>
          </w:tcPr>
          <w:p w:rsidR="009D7B22" w:rsidRPr="0015080A" w:rsidP="009D7B22" w14:paraId="39ABE22F" w14:textId="77777777">
            <w:pPr>
              <w:spacing w:after="160" w:line="259" w:lineRule="auto"/>
              <w:ind w:left="0" w:firstLine="0"/>
              <w:rPr>
                <w:rFonts w:cstheme="minorHAnsi"/>
                <w:sz w:val="20"/>
                <w:szCs w:val="20"/>
              </w:rPr>
            </w:pPr>
            <w:r w:rsidRPr="0015080A">
              <w:rPr>
                <w:rFonts w:cstheme="minorHAnsi"/>
                <w:sz w:val="20"/>
                <w:szCs w:val="20"/>
              </w:rPr>
              <w:t xml:space="preserve">Continuous Monitoring Device: </w:t>
            </w:r>
          </w:p>
        </w:tc>
      </w:tr>
      <w:tr w14:paraId="13299FCA" w14:textId="77777777" w:rsidTr="00325C1E">
        <w:tblPrEx>
          <w:tblW w:w="5000" w:type="pct"/>
          <w:tblLayout w:type="fixed"/>
          <w:tblLook w:val="0000"/>
        </w:tblPrEx>
        <w:trPr>
          <w:trHeight w:val="288"/>
        </w:trPr>
        <w:tc>
          <w:tcPr>
            <w:tcW w:w="767" w:type="pct"/>
          </w:tcPr>
          <w:p w:rsidR="009D7B22" w:rsidRPr="0015080A" w:rsidP="009D7B22" w14:paraId="31D39FE3" w14:textId="77777777">
            <w:pPr>
              <w:spacing w:after="160" w:line="259" w:lineRule="auto"/>
              <w:ind w:left="0" w:firstLine="0"/>
              <w:rPr>
                <w:rFonts w:cstheme="minorHAnsi"/>
                <w:sz w:val="20"/>
                <w:szCs w:val="20"/>
              </w:rPr>
            </w:pPr>
            <w:r w:rsidRPr="0015080A">
              <w:rPr>
                <w:rFonts w:cstheme="minorHAnsi"/>
                <w:sz w:val="20"/>
                <w:szCs w:val="20"/>
              </w:rPr>
              <w:t>Continuous opacity monitoring system (COMS)</w:t>
            </w:r>
          </w:p>
        </w:tc>
        <w:tc>
          <w:tcPr>
            <w:tcW w:w="770" w:type="pct"/>
            <w:vAlign w:val="center"/>
          </w:tcPr>
          <w:p w:rsidR="009D7B22" w:rsidRPr="0015080A" w:rsidP="009D7B22" w14:paraId="1EA9952B" w14:textId="77777777">
            <w:pPr>
              <w:spacing w:after="160" w:line="259" w:lineRule="auto"/>
              <w:ind w:left="0" w:firstLine="0"/>
              <w:rPr>
                <w:rFonts w:cstheme="minorHAnsi"/>
                <w:sz w:val="20"/>
                <w:szCs w:val="20"/>
              </w:rPr>
            </w:pPr>
            <w:r w:rsidRPr="0015080A">
              <w:rPr>
                <w:rFonts w:cstheme="minorHAnsi"/>
                <w:sz w:val="20"/>
                <w:szCs w:val="20"/>
              </w:rPr>
              <w:t>$41,000</w:t>
            </w:r>
          </w:p>
        </w:tc>
        <w:tc>
          <w:tcPr>
            <w:tcW w:w="723" w:type="pct"/>
            <w:vAlign w:val="center"/>
          </w:tcPr>
          <w:p w:rsidR="009D7B22" w:rsidRPr="0015080A" w:rsidP="009D7B22" w14:paraId="6ACC53F5" w14:textId="77777777">
            <w:pPr>
              <w:spacing w:after="160" w:line="259" w:lineRule="auto"/>
              <w:ind w:left="0" w:firstLine="0"/>
              <w:rPr>
                <w:rFonts w:cstheme="minorHAnsi"/>
                <w:sz w:val="20"/>
                <w:szCs w:val="20"/>
              </w:rPr>
            </w:pPr>
            <w:r w:rsidRPr="0015080A">
              <w:rPr>
                <w:rFonts w:cstheme="minorHAnsi"/>
                <w:sz w:val="20"/>
                <w:szCs w:val="20"/>
              </w:rPr>
              <w:t>0</w:t>
            </w:r>
          </w:p>
        </w:tc>
        <w:tc>
          <w:tcPr>
            <w:tcW w:w="675" w:type="pct"/>
            <w:vAlign w:val="center"/>
          </w:tcPr>
          <w:p w:rsidR="009D7B22" w:rsidRPr="0015080A" w:rsidP="009D7B22" w14:paraId="3BBDC6D4" w14:textId="77777777">
            <w:pPr>
              <w:spacing w:after="160" w:line="259" w:lineRule="auto"/>
              <w:ind w:left="0" w:firstLine="0"/>
              <w:rPr>
                <w:rFonts w:cstheme="minorHAnsi"/>
                <w:sz w:val="20"/>
                <w:szCs w:val="20"/>
              </w:rPr>
            </w:pPr>
            <w:r w:rsidRPr="0015080A">
              <w:rPr>
                <w:rFonts w:cstheme="minorHAnsi"/>
                <w:sz w:val="20"/>
                <w:szCs w:val="20"/>
              </w:rPr>
              <w:t>0</w:t>
            </w:r>
          </w:p>
        </w:tc>
        <w:tc>
          <w:tcPr>
            <w:tcW w:w="674" w:type="pct"/>
            <w:vAlign w:val="center"/>
          </w:tcPr>
          <w:p w:rsidR="009D7B22" w:rsidRPr="0015080A" w:rsidP="009D7B22" w14:paraId="7A819159" w14:textId="77777777">
            <w:pPr>
              <w:spacing w:after="160" w:line="259" w:lineRule="auto"/>
              <w:ind w:left="0" w:firstLine="0"/>
              <w:rPr>
                <w:rFonts w:cstheme="minorHAnsi"/>
                <w:sz w:val="20"/>
                <w:szCs w:val="20"/>
              </w:rPr>
            </w:pPr>
            <w:r w:rsidRPr="0015080A">
              <w:rPr>
                <w:rFonts w:cstheme="minorHAnsi"/>
                <w:sz w:val="20"/>
                <w:szCs w:val="20"/>
              </w:rPr>
              <w:t>$8,000</w:t>
            </w:r>
          </w:p>
        </w:tc>
        <w:tc>
          <w:tcPr>
            <w:tcW w:w="675" w:type="pct"/>
            <w:vAlign w:val="center"/>
          </w:tcPr>
          <w:p w:rsidR="009D7B22" w:rsidRPr="0015080A" w:rsidP="009D7B22" w14:paraId="57B1F778" w14:textId="77777777">
            <w:pPr>
              <w:spacing w:after="160" w:line="259" w:lineRule="auto"/>
              <w:ind w:left="0" w:firstLine="0"/>
              <w:rPr>
                <w:rFonts w:cstheme="minorHAnsi"/>
                <w:sz w:val="20"/>
                <w:szCs w:val="20"/>
              </w:rPr>
            </w:pPr>
            <w:r w:rsidRPr="0015080A">
              <w:rPr>
                <w:rFonts w:cstheme="minorHAnsi"/>
                <w:sz w:val="20"/>
                <w:szCs w:val="20"/>
              </w:rPr>
              <w:t>0</w:t>
            </w:r>
          </w:p>
        </w:tc>
        <w:tc>
          <w:tcPr>
            <w:tcW w:w="716" w:type="pct"/>
            <w:vAlign w:val="center"/>
          </w:tcPr>
          <w:p w:rsidR="009D7B22" w:rsidRPr="0015080A" w:rsidP="009D7B22" w14:paraId="616FA569" w14:textId="77777777">
            <w:pPr>
              <w:spacing w:after="160" w:line="259" w:lineRule="auto"/>
              <w:ind w:left="0" w:firstLine="0"/>
              <w:rPr>
                <w:rFonts w:cstheme="minorHAnsi"/>
                <w:sz w:val="20"/>
                <w:szCs w:val="20"/>
              </w:rPr>
            </w:pPr>
            <w:r w:rsidRPr="0015080A">
              <w:rPr>
                <w:rFonts w:cstheme="minorHAnsi"/>
                <w:sz w:val="20"/>
                <w:szCs w:val="20"/>
              </w:rPr>
              <w:t>$0</w:t>
            </w:r>
          </w:p>
        </w:tc>
      </w:tr>
      <w:tr w14:paraId="7D64C822" w14:textId="77777777" w:rsidTr="00325C1E">
        <w:tblPrEx>
          <w:tblW w:w="5000" w:type="pct"/>
          <w:tblLayout w:type="fixed"/>
          <w:tblLook w:val="0000"/>
        </w:tblPrEx>
        <w:trPr>
          <w:trHeight w:val="288"/>
        </w:trPr>
        <w:tc>
          <w:tcPr>
            <w:tcW w:w="767" w:type="pct"/>
          </w:tcPr>
          <w:p w:rsidR="009D7B22" w:rsidRPr="0015080A" w:rsidP="009D7B22" w14:paraId="3EE3B86A" w14:textId="77777777">
            <w:pPr>
              <w:spacing w:after="160" w:line="259" w:lineRule="auto"/>
              <w:ind w:left="0" w:firstLine="0"/>
              <w:rPr>
                <w:rFonts w:cstheme="minorHAnsi"/>
                <w:sz w:val="20"/>
                <w:szCs w:val="20"/>
              </w:rPr>
            </w:pPr>
            <w:r w:rsidRPr="0015080A">
              <w:rPr>
                <w:rFonts w:cstheme="minorHAnsi"/>
                <w:sz w:val="20"/>
                <w:szCs w:val="20"/>
              </w:rPr>
              <w:t>Continuous parameter monitoring system (CPMS)</w:t>
            </w:r>
          </w:p>
        </w:tc>
        <w:tc>
          <w:tcPr>
            <w:tcW w:w="770" w:type="pct"/>
            <w:vAlign w:val="center"/>
          </w:tcPr>
          <w:p w:rsidR="009D7B22" w:rsidRPr="0015080A" w:rsidP="009D7B22" w14:paraId="41267E8B" w14:textId="77777777">
            <w:pPr>
              <w:spacing w:after="160" w:line="259" w:lineRule="auto"/>
              <w:ind w:left="0" w:firstLine="0"/>
              <w:rPr>
                <w:rFonts w:cstheme="minorHAnsi"/>
                <w:sz w:val="20"/>
                <w:szCs w:val="20"/>
              </w:rPr>
            </w:pPr>
            <w:r w:rsidRPr="0015080A">
              <w:rPr>
                <w:rFonts w:cstheme="minorHAnsi"/>
                <w:sz w:val="20"/>
                <w:szCs w:val="20"/>
              </w:rPr>
              <w:t>$0</w:t>
            </w:r>
          </w:p>
        </w:tc>
        <w:tc>
          <w:tcPr>
            <w:tcW w:w="723" w:type="pct"/>
            <w:vAlign w:val="center"/>
          </w:tcPr>
          <w:p w:rsidR="009D7B22" w:rsidRPr="0015080A" w:rsidP="009D7B22" w14:paraId="7CD171A2" w14:textId="77777777">
            <w:pPr>
              <w:spacing w:after="160" w:line="259" w:lineRule="auto"/>
              <w:ind w:left="0" w:firstLine="0"/>
              <w:rPr>
                <w:rFonts w:cstheme="minorHAnsi"/>
                <w:sz w:val="20"/>
                <w:szCs w:val="20"/>
              </w:rPr>
            </w:pPr>
            <w:r w:rsidRPr="0015080A">
              <w:rPr>
                <w:rFonts w:cstheme="minorHAnsi"/>
                <w:sz w:val="20"/>
                <w:szCs w:val="20"/>
              </w:rPr>
              <w:t>0</w:t>
            </w:r>
          </w:p>
        </w:tc>
        <w:tc>
          <w:tcPr>
            <w:tcW w:w="675" w:type="pct"/>
            <w:vAlign w:val="center"/>
          </w:tcPr>
          <w:p w:rsidR="009D7B22" w:rsidRPr="0015080A" w:rsidP="009D7B22" w14:paraId="0A015D93" w14:textId="77777777">
            <w:pPr>
              <w:spacing w:after="160" w:line="259" w:lineRule="auto"/>
              <w:ind w:left="0" w:firstLine="0"/>
              <w:rPr>
                <w:rFonts w:cstheme="minorHAnsi"/>
                <w:sz w:val="20"/>
                <w:szCs w:val="20"/>
              </w:rPr>
            </w:pPr>
            <w:r w:rsidRPr="0015080A">
              <w:rPr>
                <w:rFonts w:cstheme="minorHAnsi"/>
                <w:sz w:val="20"/>
                <w:szCs w:val="20"/>
              </w:rPr>
              <w:t>0</w:t>
            </w:r>
          </w:p>
        </w:tc>
        <w:tc>
          <w:tcPr>
            <w:tcW w:w="674" w:type="pct"/>
            <w:vAlign w:val="center"/>
          </w:tcPr>
          <w:p w:rsidR="009D7B22" w:rsidRPr="0015080A" w:rsidP="009D7B22" w14:paraId="716F7E7B" w14:textId="77777777">
            <w:pPr>
              <w:spacing w:after="160" w:line="259" w:lineRule="auto"/>
              <w:ind w:left="0" w:firstLine="0"/>
              <w:rPr>
                <w:rFonts w:cstheme="minorHAnsi"/>
                <w:sz w:val="20"/>
                <w:szCs w:val="20"/>
              </w:rPr>
            </w:pPr>
            <w:r w:rsidRPr="0015080A">
              <w:rPr>
                <w:rFonts w:cstheme="minorHAnsi"/>
                <w:sz w:val="20"/>
                <w:szCs w:val="20"/>
              </w:rPr>
              <w:t>$0</w:t>
            </w:r>
          </w:p>
        </w:tc>
        <w:tc>
          <w:tcPr>
            <w:tcW w:w="675" w:type="pct"/>
            <w:vAlign w:val="center"/>
          </w:tcPr>
          <w:p w:rsidR="009D7B22" w:rsidRPr="0015080A" w:rsidP="009D7B22" w14:paraId="5D5429B8" w14:textId="77777777">
            <w:pPr>
              <w:spacing w:after="160" w:line="259" w:lineRule="auto"/>
              <w:ind w:left="0" w:firstLine="0"/>
              <w:rPr>
                <w:rFonts w:cstheme="minorHAnsi"/>
                <w:sz w:val="20"/>
                <w:szCs w:val="20"/>
              </w:rPr>
            </w:pPr>
            <w:r w:rsidRPr="0015080A">
              <w:rPr>
                <w:rFonts w:cstheme="minorHAnsi"/>
                <w:sz w:val="20"/>
                <w:szCs w:val="20"/>
              </w:rPr>
              <w:t>0</w:t>
            </w:r>
          </w:p>
        </w:tc>
        <w:tc>
          <w:tcPr>
            <w:tcW w:w="716" w:type="pct"/>
            <w:vAlign w:val="center"/>
          </w:tcPr>
          <w:p w:rsidR="009D7B22" w:rsidRPr="0015080A" w:rsidP="009D7B22" w14:paraId="00D16D8F" w14:textId="77777777">
            <w:pPr>
              <w:spacing w:after="160" w:line="259" w:lineRule="auto"/>
              <w:ind w:left="0" w:firstLine="0"/>
              <w:rPr>
                <w:rFonts w:cstheme="minorHAnsi"/>
                <w:sz w:val="20"/>
                <w:szCs w:val="20"/>
              </w:rPr>
            </w:pPr>
            <w:r w:rsidRPr="0015080A">
              <w:rPr>
                <w:rFonts w:cstheme="minorHAnsi"/>
                <w:sz w:val="20"/>
                <w:szCs w:val="20"/>
              </w:rPr>
              <w:t>$0</w:t>
            </w:r>
          </w:p>
        </w:tc>
      </w:tr>
      <w:tr w14:paraId="34362310" w14:textId="77777777" w:rsidTr="00325C1E">
        <w:tblPrEx>
          <w:tblW w:w="5000" w:type="pct"/>
          <w:tblLayout w:type="fixed"/>
          <w:tblLook w:val="0000"/>
        </w:tblPrEx>
        <w:trPr>
          <w:trHeight w:val="288"/>
        </w:trPr>
        <w:tc>
          <w:tcPr>
            <w:tcW w:w="5000" w:type="pct"/>
            <w:gridSpan w:val="7"/>
          </w:tcPr>
          <w:p w:rsidR="009D7B22" w:rsidRPr="0015080A" w:rsidP="009D7B22" w14:paraId="1E5EC19B" w14:textId="77777777">
            <w:pPr>
              <w:spacing w:after="160" w:line="259" w:lineRule="auto"/>
              <w:ind w:left="0" w:firstLine="0"/>
              <w:rPr>
                <w:rFonts w:cstheme="minorHAnsi"/>
                <w:sz w:val="20"/>
                <w:szCs w:val="20"/>
              </w:rPr>
            </w:pPr>
            <w:r w:rsidRPr="0015080A">
              <w:rPr>
                <w:rFonts w:cstheme="minorHAnsi"/>
                <w:sz w:val="20"/>
                <w:szCs w:val="20"/>
              </w:rPr>
              <w:t xml:space="preserve">Performance tests: </w:t>
            </w:r>
            <w:r w:rsidRPr="0015080A">
              <w:rPr>
                <w:rFonts w:cstheme="minorHAnsi"/>
                <w:sz w:val="20"/>
                <w:szCs w:val="20"/>
                <w:vertAlign w:val="superscript"/>
              </w:rPr>
              <w:t>a,b</w:t>
            </w:r>
          </w:p>
        </w:tc>
      </w:tr>
      <w:tr w14:paraId="2621CF1D" w14:textId="77777777" w:rsidTr="00325C1E">
        <w:tblPrEx>
          <w:tblW w:w="5000" w:type="pct"/>
          <w:tblLayout w:type="fixed"/>
          <w:tblLook w:val="0000"/>
        </w:tblPrEx>
        <w:trPr>
          <w:trHeight w:val="288"/>
        </w:trPr>
        <w:tc>
          <w:tcPr>
            <w:tcW w:w="767" w:type="pct"/>
          </w:tcPr>
          <w:p w:rsidR="009D7B22" w:rsidRPr="0015080A" w:rsidP="009D7B22" w14:paraId="1BEBE8CB" w14:textId="77777777">
            <w:pPr>
              <w:spacing w:after="160" w:line="259" w:lineRule="auto"/>
              <w:ind w:left="0" w:firstLine="0"/>
              <w:rPr>
                <w:rFonts w:cstheme="minorHAnsi"/>
                <w:sz w:val="20"/>
                <w:szCs w:val="20"/>
              </w:rPr>
            </w:pPr>
            <w:r w:rsidRPr="0015080A">
              <w:rPr>
                <w:rFonts w:cstheme="minorHAnsi"/>
                <w:sz w:val="20"/>
                <w:szCs w:val="20"/>
              </w:rPr>
              <w:t>Method 5 for PM</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9D7B22" w:rsidRPr="0015080A" w:rsidP="009D7B22" w14:paraId="444E6E44" w14:textId="77777777">
            <w:pPr>
              <w:spacing w:after="160" w:line="259" w:lineRule="auto"/>
              <w:ind w:left="0" w:firstLine="0"/>
              <w:rPr>
                <w:rFonts w:cstheme="minorHAnsi"/>
                <w:sz w:val="20"/>
                <w:szCs w:val="20"/>
              </w:rPr>
            </w:pPr>
            <w:r w:rsidRPr="0015080A">
              <w:rPr>
                <w:rFonts w:cstheme="minorHAnsi"/>
                <w:sz w:val="20"/>
                <w:szCs w:val="20"/>
              </w:rPr>
              <w:t xml:space="preserve">$2,439 </w:t>
            </w:r>
          </w:p>
        </w:tc>
        <w:tc>
          <w:tcPr>
            <w:tcW w:w="723" w:type="pct"/>
            <w:tcBorders>
              <w:top w:val="single" w:sz="4" w:space="0" w:color="auto"/>
              <w:left w:val="nil"/>
              <w:bottom w:val="single" w:sz="4" w:space="0" w:color="auto"/>
              <w:right w:val="single" w:sz="4" w:space="0" w:color="auto"/>
            </w:tcBorders>
            <w:shd w:val="clear" w:color="auto" w:fill="auto"/>
            <w:vAlign w:val="center"/>
          </w:tcPr>
          <w:p w:rsidR="009D7B22" w:rsidRPr="0015080A" w:rsidP="009D7B22" w14:paraId="0FE8FB3A" w14:textId="77777777">
            <w:pPr>
              <w:spacing w:after="160" w:line="259" w:lineRule="auto"/>
              <w:ind w:left="0" w:firstLine="0"/>
              <w:rPr>
                <w:rFonts w:cstheme="minorHAnsi"/>
                <w:sz w:val="20"/>
                <w:szCs w:val="20"/>
              </w:rPr>
            </w:pPr>
            <w:r w:rsidRPr="0015080A">
              <w:rPr>
                <w:rFonts w:cstheme="minorHAnsi"/>
                <w:sz w:val="20"/>
                <w:szCs w:val="20"/>
              </w:rPr>
              <w:t>234</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D7B22" w:rsidRPr="0015080A" w:rsidP="009D7B22" w14:paraId="77FA8F59" w14:textId="77777777">
            <w:pPr>
              <w:spacing w:after="160" w:line="259" w:lineRule="auto"/>
              <w:ind w:left="0" w:firstLine="0"/>
              <w:rPr>
                <w:rFonts w:cstheme="minorHAnsi"/>
                <w:sz w:val="20"/>
                <w:szCs w:val="20"/>
              </w:rPr>
            </w:pPr>
            <w:r w:rsidRPr="0015080A">
              <w:rPr>
                <w:rFonts w:cstheme="minorHAnsi"/>
                <w:sz w:val="20"/>
                <w:szCs w:val="20"/>
              </w:rPr>
              <w:t xml:space="preserve">$570,726 </w:t>
            </w:r>
          </w:p>
        </w:tc>
        <w:tc>
          <w:tcPr>
            <w:tcW w:w="674" w:type="pct"/>
            <w:tcBorders>
              <w:top w:val="single" w:sz="4" w:space="0" w:color="auto"/>
              <w:left w:val="nil"/>
              <w:bottom w:val="single" w:sz="4" w:space="0" w:color="auto"/>
              <w:right w:val="single" w:sz="4" w:space="0" w:color="auto"/>
            </w:tcBorders>
            <w:shd w:val="clear" w:color="auto" w:fill="auto"/>
            <w:vAlign w:val="center"/>
          </w:tcPr>
          <w:p w:rsidR="009D7B22" w:rsidRPr="0015080A" w:rsidP="009D7B22" w14:paraId="625A3AC6" w14:textId="77777777">
            <w:pPr>
              <w:spacing w:after="160" w:line="259" w:lineRule="auto"/>
              <w:ind w:left="0" w:firstLine="0"/>
              <w:rPr>
                <w:rFonts w:cstheme="minorHAnsi"/>
                <w:sz w:val="20"/>
                <w:szCs w:val="20"/>
              </w:rPr>
            </w:pPr>
            <w:r w:rsidRPr="0015080A">
              <w:rPr>
                <w:rFonts w:cstheme="minorHAnsi"/>
                <w:sz w:val="20"/>
                <w:szCs w:val="20"/>
              </w:rPr>
              <w:t xml:space="preserve">$0 </w:t>
            </w:r>
          </w:p>
        </w:tc>
        <w:tc>
          <w:tcPr>
            <w:tcW w:w="675" w:type="pct"/>
            <w:tcBorders>
              <w:top w:val="single" w:sz="4" w:space="0" w:color="auto"/>
              <w:left w:val="nil"/>
              <w:bottom w:val="single" w:sz="4" w:space="0" w:color="auto"/>
              <w:right w:val="single" w:sz="4" w:space="0" w:color="auto"/>
            </w:tcBorders>
            <w:shd w:val="clear" w:color="auto" w:fill="auto"/>
            <w:vAlign w:val="center"/>
          </w:tcPr>
          <w:p w:rsidR="009D7B22" w:rsidRPr="0015080A" w:rsidP="009D7B22" w14:paraId="3A8D9812" w14:textId="77777777">
            <w:pPr>
              <w:spacing w:after="160" w:line="259" w:lineRule="auto"/>
              <w:ind w:left="0" w:firstLine="0"/>
              <w:rPr>
                <w:rFonts w:cstheme="minorHAnsi"/>
                <w:sz w:val="20"/>
                <w:szCs w:val="20"/>
              </w:rPr>
            </w:pPr>
            <w:r w:rsidRPr="0015080A">
              <w:rPr>
                <w:rFonts w:cstheme="minorHAnsi"/>
                <w:sz w:val="20"/>
                <w:szCs w:val="20"/>
              </w:rPr>
              <w:t>0</w:t>
            </w:r>
          </w:p>
        </w:tc>
        <w:tc>
          <w:tcPr>
            <w:tcW w:w="716" w:type="pct"/>
            <w:tcBorders>
              <w:top w:val="single" w:sz="4" w:space="0" w:color="auto"/>
              <w:left w:val="nil"/>
              <w:bottom w:val="single" w:sz="4" w:space="0" w:color="auto"/>
              <w:right w:val="single" w:sz="4" w:space="0" w:color="auto"/>
            </w:tcBorders>
            <w:shd w:val="clear" w:color="auto" w:fill="auto"/>
            <w:vAlign w:val="center"/>
          </w:tcPr>
          <w:p w:rsidR="009D7B22" w:rsidRPr="0015080A" w:rsidP="009D7B22" w14:paraId="650FB1B8" w14:textId="77777777">
            <w:pPr>
              <w:spacing w:after="160" w:line="259" w:lineRule="auto"/>
              <w:ind w:left="0" w:firstLine="0"/>
              <w:rPr>
                <w:rFonts w:cstheme="minorHAnsi"/>
                <w:sz w:val="20"/>
                <w:szCs w:val="20"/>
              </w:rPr>
            </w:pPr>
            <w:r w:rsidRPr="0015080A">
              <w:rPr>
                <w:rFonts w:cstheme="minorHAnsi"/>
                <w:sz w:val="20"/>
                <w:szCs w:val="20"/>
              </w:rPr>
              <w:t xml:space="preserve">$0 </w:t>
            </w:r>
          </w:p>
        </w:tc>
      </w:tr>
      <w:tr w14:paraId="1CF23092" w14:textId="77777777" w:rsidTr="00325C1E">
        <w:tblPrEx>
          <w:tblW w:w="5000" w:type="pct"/>
          <w:tblLayout w:type="fixed"/>
          <w:tblLook w:val="0000"/>
        </w:tblPrEx>
        <w:trPr>
          <w:trHeight w:val="288"/>
        </w:trPr>
        <w:tc>
          <w:tcPr>
            <w:tcW w:w="767" w:type="pct"/>
          </w:tcPr>
          <w:p w:rsidR="009D7B22" w:rsidRPr="0015080A" w:rsidP="009D7B22" w14:paraId="7A135B41" w14:textId="77777777">
            <w:pPr>
              <w:spacing w:after="160" w:line="259" w:lineRule="auto"/>
              <w:ind w:left="0" w:firstLine="0"/>
              <w:rPr>
                <w:rFonts w:cstheme="minorHAnsi"/>
                <w:sz w:val="20"/>
                <w:szCs w:val="20"/>
              </w:rPr>
            </w:pPr>
            <w:r w:rsidRPr="0015080A">
              <w:rPr>
                <w:rFonts w:cstheme="minorHAnsi"/>
                <w:sz w:val="20"/>
                <w:szCs w:val="20"/>
              </w:rPr>
              <w:t>Method 25A for THC</w:t>
            </w:r>
          </w:p>
        </w:tc>
        <w:tc>
          <w:tcPr>
            <w:tcW w:w="770"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53A0D701" w14:textId="77777777">
            <w:pPr>
              <w:spacing w:after="160" w:line="259" w:lineRule="auto"/>
              <w:ind w:left="0" w:firstLine="0"/>
              <w:rPr>
                <w:rFonts w:cstheme="minorHAnsi"/>
                <w:sz w:val="20"/>
                <w:szCs w:val="20"/>
              </w:rPr>
            </w:pPr>
            <w:r w:rsidRPr="0015080A">
              <w:rPr>
                <w:rFonts w:cstheme="minorHAnsi"/>
                <w:sz w:val="20"/>
                <w:szCs w:val="20"/>
              </w:rPr>
              <w:t xml:space="preserve">$3,414 </w:t>
            </w:r>
          </w:p>
        </w:tc>
        <w:tc>
          <w:tcPr>
            <w:tcW w:w="723" w:type="pct"/>
            <w:tcBorders>
              <w:top w:val="nil"/>
              <w:left w:val="nil"/>
              <w:bottom w:val="single" w:sz="4" w:space="0" w:color="auto"/>
              <w:right w:val="single" w:sz="4" w:space="0" w:color="auto"/>
            </w:tcBorders>
            <w:shd w:val="clear" w:color="auto" w:fill="auto"/>
            <w:vAlign w:val="center"/>
          </w:tcPr>
          <w:p w:rsidR="009D7B22" w:rsidRPr="0015080A" w:rsidP="009D7B22" w14:paraId="5C652E15" w14:textId="77777777">
            <w:pPr>
              <w:spacing w:after="160" w:line="259" w:lineRule="auto"/>
              <w:ind w:left="0" w:firstLine="0"/>
              <w:rPr>
                <w:rFonts w:cstheme="minorHAnsi"/>
                <w:sz w:val="20"/>
                <w:szCs w:val="20"/>
              </w:rPr>
            </w:pPr>
            <w:r w:rsidRPr="0015080A">
              <w:rPr>
                <w:rFonts w:cstheme="minorHAnsi"/>
                <w:sz w:val="20"/>
                <w:szCs w:val="20"/>
              </w:rPr>
              <w:t>5</w:t>
            </w:r>
          </w:p>
        </w:tc>
        <w:tc>
          <w:tcPr>
            <w:tcW w:w="675"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30A5CAF9" w14:textId="77777777">
            <w:pPr>
              <w:spacing w:after="160" w:line="259" w:lineRule="auto"/>
              <w:ind w:left="0" w:firstLine="0"/>
              <w:rPr>
                <w:rFonts w:cstheme="minorHAnsi"/>
                <w:sz w:val="20"/>
                <w:szCs w:val="20"/>
              </w:rPr>
            </w:pPr>
            <w:r w:rsidRPr="0015080A">
              <w:rPr>
                <w:rFonts w:cstheme="minorHAnsi"/>
                <w:sz w:val="20"/>
                <w:szCs w:val="20"/>
              </w:rPr>
              <w:t xml:space="preserve">$17,070 </w:t>
            </w:r>
          </w:p>
        </w:tc>
        <w:tc>
          <w:tcPr>
            <w:tcW w:w="674" w:type="pct"/>
            <w:tcBorders>
              <w:top w:val="nil"/>
              <w:left w:val="nil"/>
              <w:bottom w:val="single" w:sz="4" w:space="0" w:color="auto"/>
              <w:right w:val="single" w:sz="4" w:space="0" w:color="auto"/>
            </w:tcBorders>
            <w:shd w:val="clear" w:color="auto" w:fill="auto"/>
            <w:vAlign w:val="center"/>
          </w:tcPr>
          <w:p w:rsidR="009D7B22" w:rsidRPr="0015080A" w:rsidP="009D7B22" w14:paraId="63688926" w14:textId="77777777">
            <w:pPr>
              <w:spacing w:after="160" w:line="259" w:lineRule="auto"/>
              <w:ind w:left="0" w:firstLine="0"/>
              <w:rPr>
                <w:rFonts w:cstheme="minorHAnsi"/>
                <w:sz w:val="20"/>
                <w:szCs w:val="20"/>
              </w:rPr>
            </w:pPr>
            <w:r w:rsidRPr="0015080A">
              <w:rPr>
                <w:rFonts w:cstheme="minorHAnsi"/>
                <w:sz w:val="20"/>
                <w:szCs w:val="20"/>
              </w:rPr>
              <w:t xml:space="preserve">$0 </w:t>
            </w:r>
          </w:p>
        </w:tc>
        <w:tc>
          <w:tcPr>
            <w:tcW w:w="675" w:type="pct"/>
            <w:tcBorders>
              <w:top w:val="nil"/>
              <w:left w:val="nil"/>
              <w:bottom w:val="single" w:sz="4" w:space="0" w:color="auto"/>
              <w:right w:val="single" w:sz="4" w:space="0" w:color="auto"/>
            </w:tcBorders>
            <w:shd w:val="clear" w:color="auto" w:fill="auto"/>
            <w:vAlign w:val="center"/>
          </w:tcPr>
          <w:p w:rsidR="009D7B22" w:rsidRPr="0015080A" w:rsidP="009D7B22" w14:paraId="3C6256B7" w14:textId="77777777">
            <w:pPr>
              <w:spacing w:after="160" w:line="259" w:lineRule="auto"/>
              <w:ind w:left="0" w:firstLine="0"/>
              <w:rPr>
                <w:rFonts w:cstheme="minorHAnsi"/>
                <w:sz w:val="20"/>
                <w:szCs w:val="20"/>
              </w:rPr>
            </w:pPr>
            <w:r w:rsidRPr="0015080A">
              <w:rPr>
                <w:rFonts w:cstheme="minorHAnsi"/>
                <w:sz w:val="20"/>
                <w:szCs w:val="20"/>
              </w:rPr>
              <w:t>0</w:t>
            </w:r>
          </w:p>
        </w:tc>
        <w:tc>
          <w:tcPr>
            <w:tcW w:w="716" w:type="pct"/>
            <w:tcBorders>
              <w:top w:val="nil"/>
              <w:left w:val="nil"/>
              <w:bottom w:val="single" w:sz="4" w:space="0" w:color="auto"/>
              <w:right w:val="single" w:sz="4" w:space="0" w:color="auto"/>
            </w:tcBorders>
            <w:shd w:val="clear" w:color="auto" w:fill="auto"/>
            <w:vAlign w:val="center"/>
          </w:tcPr>
          <w:p w:rsidR="009D7B22" w:rsidRPr="0015080A" w:rsidP="009D7B22" w14:paraId="23A57124" w14:textId="77777777">
            <w:pPr>
              <w:spacing w:after="160" w:line="259" w:lineRule="auto"/>
              <w:ind w:left="0" w:firstLine="0"/>
              <w:rPr>
                <w:rFonts w:cstheme="minorHAnsi"/>
                <w:sz w:val="20"/>
                <w:szCs w:val="20"/>
              </w:rPr>
            </w:pPr>
            <w:r w:rsidRPr="0015080A">
              <w:rPr>
                <w:rFonts w:cstheme="minorHAnsi"/>
                <w:sz w:val="20"/>
                <w:szCs w:val="20"/>
              </w:rPr>
              <w:t xml:space="preserve">$0 </w:t>
            </w:r>
          </w:p>
        </w:tc>
      </w:tr>
      <w:tr w14:paraId="365AFE61" w14:textId="77777777" w:rsidTr="00325C1E">
        <w:tblPrEx>
          <w:tblW w:w="5000" w:type="pct"/>
          <w:tblLayout w:type="fixed"/>
          <w:tblLook w:val="0000"/>
        </w:tblPrEx>
        <w:trPr>
          <w:trHeight w:val="288"/>
        </w:trPr>
        <w:tc>
          <w:tcPr>
            <w:tcW w:w="767" w:type="pct"/>
          </w:tcPr>
          <w:p w:rsidR="009D7B22" w:rsidRPr="0015080A" w:rsidP="009D7B22" w14:paraId="123E1740" w14:textId="77777777">
            <w:pPr>
              <w:spacing w:after="160" w:line="259" w:lineRule="auto"/>
              <w:ind w:left="0" w:firstLine="0"/>
              <w:rPr>
                <w:rFonts w:cstheme="minorHAnsi"/>
                <w:sz w:val="20"/>
                <w:szCs w:val="20"/>
              </w:rPr>
            </w:pPr>
            <w:r w:rsidRPr="0015080A">
              <w:rPr>
                <w:rFonts w:cstheme="minorHAnsi"/>
                <w:sz w:val="20"/>
                <w:szCs w:val="20"/>
              </w:rPr>
              <w:t>Method 308 for methanol</w:t>
            </w:r>
          </w:p>
        </w:tc>
        <w:tc>
          <w:tcPr>
            <w:tcW w:w="770"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730EAD4A" w14:textId="77777777">
            <w:pPr>
              <w:spacing w:after="160" w:line="259" w:lineRule="auto"/>
              <w:ind w:left="0" w:firstLine="0"/>
              <w:rPr>
                <w:rFonts w:cstheme="minorHAnsi"/>
                <w:sz w:val="20"/>
                <w:szCs w:val="20"/>
              </w:rPr>
            </w:pPr>
            <w:r w:rsidRPr="0015080A">
              <w:rPr>
                <w:rFonts w:cstheme="minorHAnsi"/>
                <w:sz w:val="20"/>
                <w:szCs w:val="20"/>
              </w:rPr>
              <w:t xml:space="preserve">$3,414 </w:t>
            </w:r>
          </w:p>
        </w:tc>
        <w:tc>
          <w:tcPr>
            <w:tcW w:w="723" w:type="pct"/>
            <w:tcBorders>
              <w:top w:val="nil"/>
              <w:left w:val="nil"/>
              <w:bottom w:val="single" w:sz="4" w:space="0" w:color="auto"/>
              <w:right w:val="single" w:sz="4" w:space="0" w:color="auto"/>
            </w:tcBorders>
            <w:shd w:val="clear" w:color="auto" w:fill="auto"/>
            <w:vAlign w:val="center"/>
          </w:tcPr>
          <w:p w:rsidR="009D7B22" w:rsidRPr="0015080A" w:rsidP="009D7B22" w14:paraId="151AF52F" w14:textId="77777777">
            <w:pPr>
              <w:spacing w:after="160" w:line="259" w:lineRule="auto"/>
              <w:ind w:left="0" w:firstLine="0"/>
              <w:rPr>
                <w:rFonts w:cstheme="minorHAnsi"/>
                <w:sz w:val="20"/>
                <w:szCs w:val="20"/>
              </w:rPr>
            </w:pPr>
            <w:r w:rsidRPr="0015080A">
              <w:rPr>
                <w:rFonts w:cstheme="minorHAnsi"/>
                <w:sz w:val="20"/>
                <w:szCs w:val="20"/>
              </w:rPr>
              <w:t>6</w:t>
            </w:r>
          </w:p>
        </w:tc>
        <w:tc>
          <w:tcPr>
            <w:tcW w:w="675"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463CC4F2" w14:textId="77777777">
            <w:pPr>
              <w:spacing w:after="160" w:line="259" w:lineRule="auto"/>
              <w:ind w:left="0" w:firstLine="0"/>
              <w:rPr>
                <w:rFonts w:cstheme="minorHAnsi"/>
                <w:sz w:val="20"/>
                <w:szCs w:val="20"/>
              </w:rPr>
            </w:pPr>
            <w:r w:rsidRPr="0015080A">
              <w:rPr>
                <w:rFonts w:cstheme="minorHAnsi"/>
                <w:sz w:val="20"/>
                <w:szCs w:val="20"/>
              </w:rPr>
              <w:t xml:space="preserve">$20,484 </w:t>
            </w:r>
          </w:p>
        </w:tc>
        <w:tc>
          <w:tcPr>
            <w:tcW w:w="674" w:type="pct"/>
            <w:tcBorders>
              <w:top w:val="nil"/>
              <w:left w:val="nil"/>
              <w:bottom w:val="single" w:sz="4" w:space="0" w:color="auto"/>
              <w:right w:val="single" w:sz="4" w:space="0" w:color="auto"/>
            </w:tcBorders>
            <w:shd w:val="clear" w:color="auto" w:fill="auto"/>
            <w:vAlign w:val="center"/>
          </w:tcPr>
          <w:p w:rsidR="009D7B22" w:rsidRPr="0015080A" w:rsidP="009D7B22" w14:paraId="245C4C96" w14:textId="77777777">
            <w:pPr>
              <w:spacing w:after="160" w:line="259" w:lineRule="auto"/>
              <w:ind w:left="0" w:firstLine="0"/>
              <w:rPr>
                <w:rFonts w:cstheme="minorHAnsi"/>
                <w:sz w:val="20"/>
                <w:szCs w:val="20"/>
              </w:rPr>
            </w:pPr>
            <w:r w:rsidRPr="0015080A">
              <w:rPr>
                <w:rFonts w:cstheme="minorHAnsi"/>
                <w:sz w:val="20"/>
                <w:szCs w:val="20"/>
              </w:rPr>
              <w:t xml:space="preserve">$0 </w:t>
            </w:r>
          </w:p>
        </w:tc>
        <w:tc>
          <w:tcPr>
            <w:tcW w:w="675" w:type="pct"/>
            <w:tcBorders>
              <w:top w:val="nil"/>
              <w:left w:val="nil"/>
              <w:bottom w:val="single" w:sz="4" w:space="0" w:color="auto"/>
              <w:right w:val="single" w:sz="4" w:space="0" w:color="auto"/>
            </w:tcBorders>
            <w:shd w:val="clear" w:color="auto" w:fill="auto"/>
            <w:vAlign w:val="center"/>
          </w:tcPr>
          <w:p w:rsidR="009D7B22" w:rsidRPr="0015080A" w:rsidP="009D7B22" w14:paraId="03F2D3B6" w14:textId="77777777">
            <w:pPr>
              <w:spacing w:after="160" w:line="259" w:lineRule="auto"/>
              <w:ind w:left="0" w:firstLine="0"/>
              <w:rPr>
                <w:rFonts w:cstheme="minorHAnsi"/>
                <w:sz w:val="20"/>
                <w:szCs w:val="20"/>
              </w:rPr>
            </w:pPr>
            <w:r w:rsidRPr="0015080A">
              <w:rPr>
                <w:rFonts w:cstheme="minorHAnsi"/>
                <w:sz w:val="20"/>
                <w:szCs w:val="20"/>
              </w:rPr>
              <w:t>0</w:t>
            </w:r>
          </w:p>
        </w:tc>
        <w:tc>
          <w:tcPr>
            <w:tcW w:w="716" w:type="pct"/>
            <w:tcBorders>
              <w:top w:val="nil"/>
              <w:left w:val="nil"/>
              <w:bottom w:val="single" w:sz="4" w:space="0" w:color="auto"/>
              <w:right w:val="single" w:sz="4" w:space="0" w:color="auto"/>
            </w:tcBorders>
            <w:shd w:val="clear" w:color="auto" w:fill="auto"/>
            <w:vAlign w:val="center"/>
          </w:tcPr>
          <w:p w:rsidR="009D7B22" w:rsidRPr="0015080A" w:rsidP="009D7B22" w14:paraId="15B0AFF5" w14:textId="77777777">
            <w:pPr>
              <w:spacing w:after="160" w:line="259" w:lineRule="auto"/>
              <w:ind w:left="0" w:firstLine="0"/>
              <w:rPr>
                <w:rFonts w:cstheme="minorHAnsi"/>
                <w:sz w:val="20"/>
                <w:szCs w:val="20"/>
              </w:rPr>
            </w:pPr>
            <w:r w:rsidRPr="0015080A">
              <w:rPr>
                <w:rFonts w:cstheme="minorHAnsi"/>
                <w:sz w:val="20"/>
                <w:szCs w:val="20"/>
              </w:rPr>
              <w:t xml:space="preserve">$0 </w:t>
            </w:r>
          </w:p>
        </w:tc>
      </w:tr>
      <w:tr w14:paraId="0C449C3A" w14:textId="77777777" w:rsidTr="00325C1E">
        <w:tblPrEx>
          <w:tblW w:w="5000" w:type="pct"/>
          <w:tblLayout w:type="fixed"/>
          <w:tblLook w:val="0000"/>
        </w:tblPrEx>
        <w:trPr>
          <w:trHeight w:val="288"/>
        </w:trPr>
        <w:tc>
          <w:tcPr>
            <w:tcW w:w="767" w:type="pct"/>
          </w:tcPr>
          <w:p w:rsidR="009D7B22" w:rsidRPr="0015080A" w:rsidP="009D7B22" w14:paraId="5BDDA7CD" w14:textId="77777777">
            <w:pPr>
              <w:spacing w:after="160" w:line="259" w:lineRule="auto"/>
              <w:ind w:left="0" w:firstLine="0"/>
              <w:rPr>
                <w:rFonts w:cstheme="minorHAnsi"/>
                <w:sz w:val="20"/>
                <w:szCs w:val="20"/>
              </w:rPr>
            </w:pPr>
            <w:r w:rsidRPr="0015080A">
              <w:rPr>
                <w:rFonts w:cstheme="minorHAnsi"/>
                <w:sz w:val="20"/>
                <w:szCs w:val="20"/>
              </w:rPr>
              <w:t xml:space="preserve">Retests </w:t>
            </w:r>
          </w:p>
        </w:tc>
        <w:tc>
          <w:tcPr>
            <w:tcW w:w="770"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617B5822" w14:textId="77777777">
            <w:pPr>
              <w:spacing w:after="160" w:line="259" w:lineRule="auto"/>
              <w:ind w:left="0" w:firstLine="0"/>
              <w:rPr>
                <w:rFonts w:cstheme="minorHAnsi"/>
                <w:sz w:val="20"/>
                <w:szCs w:val="20"/>
              </w:rPr>
            </w:pPr>
            <w:r w:rsidRPr="0015080A">
              <w:rPr>
                <w:rFonts w:cstheme="minorHAnsi"/>
                <w:sz w:val="20"/>
                <w:szCs w:val="20"/>
              </w:rPr>
              <w:t>--</w:t>
            </w:r>
          </w:p>
        </w:tc>
        <w:tc>
          <w:tcPr>
            <w:tcW w:w="723" w:type="pct"/>
            <w:tcBorders>
              <w:top w:val="nil"/>
              <w:left w:val="nil"/>
              <w:bottom w:val="single" w:sz="4" w:space="0" w:color="auto"/>
              <w:right w:val="single" w:sz="4" w:space="0" w:color="auto"/>
            </w:tcBorders>
            <w:shd w:val="clear" w:color="auto" w:fill="auto"/>
            <w:vAlign w:val="center"/>
          </w:tcPr>
          <w:p w:rsidR="009D7B22" w:rsidRPr="0015080A" w:rsidP="009D7B22" w14:paraId="53F1096F" w14:textId="77777777">
            <w:pPr>
              <w:spacing w:after="160" w:line="259" w:lineRule="auto"/>
              <w:ind w:left="0" w:firstLine="0"/>
              <w:rPr>
                <w:rFonts w:cstheme="minorHAnsi"/>
                <w:sz w:val="20"/>
                <w:szCs w:val="20"/>
              </w:rPr>
            </w:pPr>
            <w:r w:rsidRPr="0015080A">
              <w:rPr>
                <w:rFonts w:cstheme="minorHAnsi"/>
                <w:sz w:val="20"/>
                <w:szCs w:val="20"/>
              </w:rPr>
              <w:t>--</w:t>
            </w:r>
          </w:p>
        </w:tc>
        <w:tc>
          <w:tcPr>
            <w:tcW w:w="675"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6103D58B" w14:textId="77777777">
            <w:pPr>
              <w:spacing w:after="160" w:line="259" w:lineRule="auto"/>
              <w:ind w:left="0" w:firstLine="0"/>
              <w:rPr>
                <w:rFonts w:cstheme="minorHAnsi"/>
                <w:sz w:val="20"/>
                <w:szCs w:val="20"/>
              </w:rPr>
            </w:pPr>
            <w:r w:rsidRPr="0015080A">
              <w:rPr>
                <w:rFonts w:cstheme="minorHAnsi"/>
                <w:sz w:val="20"/>
                <w:szCs w:val="20"/>
              </w:rPr>
              <w:t xml:space="preserve">$0 </w:t>
            </w:r>
          </w:p>
        </w:tc>
        <w:tc>
          <w:tcPr>
            <w:tcW w:w="674" w:type="pct"/>
            <w:tcBorders>
              <w:top w:val="nil"/>
              <w:left w:val="nil"/>
              <w:bottom w:val="single" w:sz="4" w:space="0" w:color="auto"/>
              <w:right w:val="single" w:sz="4" w:space="0" w:color="auto"/>
            </w:tcBorders>
            <w:shd w:val="clear" w:color="auto" w:fill="auto"/>
            <w:vAlign w:val="center"/>
          </w:tcPr>
          <w:p w:rsidR="009D7B22" w:rsidRPr="0015080A" w:rsidP="009D7B22" w14:paraId="6B2416C0" w14:textId="77777777">
            <w:pPr>
              <w:spacing w:after="160" w:line="259" w:lineRule="auto"/>
              <w:ind w:left="0" w:firstLine="0"/>
              <w:rPr>
                <w:rFonts w:cstheme="minorHAnsi"/>
                <w:sz w:val="20"/>
                <w:szCs w:val="20"/>
              </w:rPr>
            </w:pPr>
            <w:r w:rsidRPr="0015080A">
              <w:rPr>
                <w:rFonts w:cstheme="minorHAnsi"/>
                <w:sz w:val="20"/>
                <w:szCs w:val="20"/>
              </w:rPr>
              <w:t>--</w:t>
            </w:r>
          </w:p>
        </w:tc>
        <w:tc>
          <w:tcPr>
            <w:tcW w:w="675" w:type="pct"/>
            <w:tcBorders>
              <w:top w:val="nil"/>
              <w:left w:val="nil"/>
              <w:bottom w:val="single" w:sz="4" w:space="0" w:color="auto"/>
              <w:right w:val="single" w:sz="4" w:space="0" w:color="auto"/>
            </w:tcBorders>
            <w:shd w:val="clear" w:color="auto" w:fill="auto"/>
            <w:vAlign w:val="center"/>
          </w:tcPr>
          <w:p w:rsidR="009D7B22" w:rsidRPr="0015080A" w:rsidP="009D7B22" w14:paraId="6289BB1C" w14:textId="77777777">
            <w:pPr>
              <w:spacing w:after="160" w:line="259" w:lineRule="auto"/>
              <w:ind w:left="0" w:firstLine="0"/>
              <w:rPr>
                <w:rFonts w:cstheme="minorHAnsi"/>
                <w:sz w:val="20"/>
                <w:szCs w:val="20"/>
              </w:rPr>
            </w:pPr>
            <w:r w:rsidRPr="0015080A">
              <w:rPr>
                <w:rFonts w:cstheme="minorHAnsi"/>
                <w:sz w:val="20"/>
                <w:szCs w:val="20"/>
              </w:rPr>
              <w:t>--</w:t>
            </w:r>
          </w:p>
        </w:tc>
        <w:tc>
          <w:tcPr>
            <w:tcW w:w="716" w:type="pct"/>
            <w:tcBorders>
              <w:top w:val="nil"/>
              <w:left w:val="nil"/>
              <w:bottom w:val="single" w:sz="4" w:space="0" w:color="auto"/>
              <w:right w:val="single" w:sz="4" w:space="0" w:color="auto"/>
            </w:tcBorders>
            <w:shd w:val="clear" w:color="auto" w:fill="auto"/>
            <w:vAlign w:val="center"/>
          </w:tcPr>
          <w:p w:rsidR="009D7B22" w:rsidRPr="0015080A" w:rsidP="009D7B22" w14:paraId="58DC08A6" w14:textId="77777777">
            <w:pPr>
              <w:spacing w:after="160" w:line="259" w:lineRule="auto"/>
              <w:ind w:left="0" w:firstLine="0"/>
              <w:rPr>
                <w:rFonts w:cstheme="minorHAnsi"/>
                <w:sz w:val="20"/>
                <w:szCs w:val="20"/>
              </w:rPr>
            </w:pPr>
            <w:r w:rsidRPr="0015080A">
              <w:rPr>
                <w:rFonts w:cstheme="minorHAnsi"/>
                <w:sz w:val="20"/>
                <w:szCs w:val="20"/>
              </w:rPr>
              <w:t>--</w:t>
            </w:r>
          </w:p>
        </w:tc>
      </w:tr>
      <w:tr w14:paraId="63360BAA" w14:textId="77777777" w:rsidTr="00325C1E">
        <w:tblPrEx>
          <w:tblW w:w="5000" w:type="pct"/>
          <w:tblLayout w:type="fixed"/>
          <w:tblLook w:val="0000"/>
        </w:tblPrEx>
        <w:trPr>
          <w:trHeight w:val="288"/>
        </w:trPr>
        <w:tc>
          <w:tcPr>
            <w:tcW w:w="767" w:type="pct"/>
          </w:tcPr>
          <w:p w:rsidR="009D7B22" w:rsidRPr="0015080A" w:rsidP="009D7B22" w14:paraId="3F2A2155" w14:textId="77777777">
            <w:pPr>
              <w:spacing w:after="160" w:line="259" w:lineRule="auto"/>
              <w:ind w:left="0" w:firstLine="0"/>
              <w:rPr>
                <w:rFonts w:cstheme="minorHAnsi"/>
                <w:b/>
                <w:sz w:val="20"/>
                <w:szCs w:val="20"/>
              </w:rPr>
            </w:pPr>
            <w:r w:rsidRPr="0015080A">
              <w:rPr>
                <w:rFonts w:cstheme="minorHAnsi"/>
                <w:b/>
                <w:sz w:val="20"/>
                <w:szCs w:val="20"/>
              </w:rPr>
              <w:t xml:space="preserve">Total </w:t>
            </w:r>
          </w:p>
        </w:tc>
        <w:tc>
          <w:tcPr>
            <w:tcW w:w="770"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4E4D7F90" w14:textId="77777777">
            <w:pPr>
              <w:spacing w:after="160" w:line="259" w:lineRule="auto"/>
              <w:ind w:left="0" w:firstLine="0"/>
              <w:rPr>
                <w:rFonts w:cstheme="minorHAnsi"/>
                <w:b/>
                <w:sz w:val="20"/>
                <w:szCs w:val="20"/>
              </w:rPr>
            </w:pPr>
            <w:r w:rsidRPr="0015080A">
              <w:rPr>
                <w:rFonts w:cstheme="minorHAnsi"/>
                <w:b/>
                <w:bCs/>
                <w:sz w:val="20"/>
                <w:szCs w:val="20"/>
              </w:rPr>
              <w:t> </w:t>
            </w:r>
          </w:p>
        </w:tc>
        <w:tc>
          <w:tcPr>
            <w:tcW w:w="723" w:type="pct"/>
            <w:tcBorders>
              <w:top w:val="nil"/>
              <w:left w:val="nil"/>
              <w:bottom w:val="single" w:sz="4" w:space="0" w:color="auto"/>
              <w:right w:val="single" w:sz="4" w:space="0" w:color="auto"/>
            </w:tcBorders>
            <w:shd w:val="clear" w:color="auto" w:fill="auto"/>
            <w:vAlign w:val="center"/>
          </w:tcPr>
          <w:p w:rsidR="009D7B22" w:rsidRPr="0015080A" w:rsidP="009D7B22" w14:paraId="0E238E4F" w14:textId="77777777">
            <w:pPr>
              <w:spacing w:after="160" w:line="259" w:lineRule="auto"/>
              <w:ind w:left="0" w:firstLine="0"/>
              <w:rPr>
                <w:rFonts w:cstheme="minorHAnsi"/>
                <w:b/>
                <w:sz w:val="20"/>
                <w:szCs w:val="20"/>
              </w:rPr>
            </w:pPr>
            <w:r w:rsidRPr="0015080A">
              <w:rPr>
                <w:rFonts w:cstheme="minorHAnsi"/>
                <w:b/>
                <w:bCs/>
                <w:sz w:val="20"/>
                <w:szCs w:val="20"/>
              </w:rPr>
              <w:t> </w:t>
            </w:r>
          </w:p>
        </w:tc>
        <w:tc>
          <w:tcPr>
            <w:tcW w:w="675" w:type="pct"/>
            <w:tcBorders>
              <w:top w:val="nil"/>
              <w:left w:val="single" w:sz="4" w:space="0" w:color="auto"/>
              <w:bottom w:val="single" w:sz="4" w:space="0" w:color="auto"/>
              <w:right w:val="single" w:sz="4" w:space="0" w:color="auto"/>
            </w:tcBorders>
            <w:shd w:val="clear" w:color="auto" w:fill="auto"/>
            <w:vAlign w:val="center"/>
          </w:tcPr>
          <w:p w:rsidR="009D7B22" w:rsidRPr="0015080A" w:rsidP="009D7B22" w14:paraId="05171BC2" w14:textId="77777777">
            <w:pPr>
              <w:spacing w:after="160" w:line="259" w:lineRule="auto"/>
              <w:ind w:left="0" w:firstLine="0"/>
              <w:rPr>
                <w:rFonts w:cstheme="minorHAnsi"/>
                <w:b/>
                <w:sz w:val="20"/>
                <w:szCs w:val="20"/>
              </w:rPr>
            </w:pPr>
            <w:bookmarkStart w:id="22" w:name="RANGE!D13"/>
            <w:r w:rsidRPr="0015080A">
              <w:rPr>
                <w:rFonts w:cstheme="minorHAnsi"/>
                <w:b/>
                <w:bCs/>
                <w:sz w:val="20"/>
                <w:szCs w:val="20"/>
              </w:rPr>
              <w:t xml:space="preserve">$608,000 </w:t>
            </w:r>
            <w:bookmarkEnd w:id="22"/>
          </w:p>
        </w:tc>
        <w:tc>
          <w:tcPr>
            <w:tcW w:w="674" w:type="pct"/>
            <w:tcBorders>
              <w:top w:val="nil"/>
              <w:left w:val="nil"/>
              <w:bottom w:val="single" w:sz="4" w:space="0" w:color="auto"/>
              <w:right w:val="single" w:sz="4" w:space="0" w:color="auto"/>
            </w:tcBorders>
            <w:shd w:val="clear" w:color="auto" w:fill="auto"/>
            <w:vAlign w:val="center"/>
          </w:tcPr>
          <w:p w:rsidR="009D7B22" w:rsidRPr="0015080A" w:rsidP="009D7B22" w14:paraId="629097A6" w14:textId="77777777">
            <w:pPr>
              <w:spacing w:after="160" w:line="259" w:lineRule="auto"/>
              <w:ind w:left="0" w:firstLine="0"/>
              <w:rPr>
                <w:rFonts w:cstheme="minorHAnsi"/>
                <w:b/>
                <w:sz w:val="20"/>
                <w:szCs w:val="20"/>
              </w:rPr>
            </w:pPr>
            <w:r w:rsidRPr="0015080A">
              <w:rPr>
                <w:rFonts w:cstheme="minorHAnsi"/>
                <w:b/>
                <w:bCs/>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9D7B22" w:rsidRPr="0015080A" w:rsidP="009D7B22" w14:paraId="6016A1A8" w14:textId="77777777">
            <w:pPr>
              <w:spacing w:after="160" w:line="259" w:lineRule="auto"/>
              <w:ind w:left="0" w:firstLine="0"/>
              <w:rPr>
                <w:rFonts w:cstheme="minorHAnsi"/>
                <w:b/>
                <w:sz w:val="20"/>
                <w:szCs w:val="20"/>
              </w:rPr>
            </w:pPr>
            <w:r w:rsidRPr="0015080A">
              <w:rPr>
                <w:rFonts w:cstheme="minorHAnsi"/>
                <w:b/>
                <w:bCs/>
                <w:sz w:val="20"/>
                <w:szCs w:val="20"/>
              </w:rPr>
              <w:t> </w:t>
            </w:r>
          </w:p>
        </w:tc>
        <w:tc>
          <w:tcPr>
            <w:tcW w:w="716" w:type="pct"/>
            <w:tcBorders>
              <w:top w:val="nil"/>
              <w:left w:val="nil"/>
              <w:bottom w:val="single" w:sz="4" w:space="0" w:color="auto"/>
              <w:right w:val="single" w:sz="4" w:space="0" w:color="auto"/>
            </w:tcBorders>
            <w:shd w:val="clear" w:color="auto" w:fill="auto"/>
            <w:vAlign w:val="center"/>
          </w:tcPr>
          <w:p w:rsidR="009D7B22" w:rsidRPr="0015080A" w:rsidP="009D7B22" w14:paraId="5F448884" w14:textId="77777777">
            <w:pPr>
              <w:spacing w:after="160" w:line="259" w:lineRule="auto"/>
              <w:ind w:left="0" w:firstLine="0"/>
              <w:rPr>
                <w:rFonts w:cstheme="minorHAnsi"/>
                <w:b/>
                <w:sz w:val="20"/>
                <w:szCs w:val="20"/>
              </w:rPr>
            </w:pPr>
            <w:r w:rsidRPr="0015080A">
              <w:rPr>
                <w:rFonts w:cstheme="minorHAnsi"/>
                <w:b/>
                <w:bCs/>
                <w:sz w:val="20"/>
                <w:szCs w:val="20"/>
              </w:rPr>
              <w:t xml:space="preserve">$0 </w:t>
            </w:r>
          </w:p>
        </w:tc>
      </w:tr>
    </w:tbl>
    <w:p w:rsidR="009D7B22" w:rsidRPr="009D7B22" w:rsidP="009D7B22" w14:paraId="2B6A5F30" w14:textId="77777777">
      <w:pPr>
        <w:spacing w:line="259" w:lineRule="auto"/>
        <w:ind w:left="0" w:firstLine="0"/>
        <w:rPr>
          <w:rFonts w:cstheme="minorHAnsi"/>
        </w:rPr>
      </w:pPr>
      <w:r w:rsidRPr="009D7B22">
        <w:rPr>
          <w:rFonts w:cstheme="minorHAnsi"/>
        </w:rPr>
        <w:t xml:space="preserve"> </w:t>
      </w:r>
      <w:r w:rsidRPr="009D7B22">
        <w:rPr>
          <w:rFonts w:cstheme="minorHAnsi"/>
          <w:vertAlign w:val="superscript"/>
        </w:rPr>
        <w:t>a</w:t>
      </w:r>
      <w:r w:rsidRPr="009D7B22">
        <w:rPr>
          <w:rFonts w:cstheme="minorHAnsi"/>
        </w:rPr>
        <w:t xml:space="preserve"> We estimate that 20% of respondents will repeat the performance test due to failure. Estimate assumes 96 existing facilities with 234 sources, and 6 new sources at 3 existing facilities, 5 of which require THC testing.</w:t>
      </w:r>
    </w:p>
    <w:p w:rsidR="009D7B22" w:rsidRPr="009D7B22" w:rsidP="009D7B22" w14:paraId="66A6D9A2" w14:textId="062C3FF7">
      <w:pPr>
        <w:spacing w:line="259" w:lineRule="auto"/>
        <w:ind w:left="0" w:firstLine="0"/>
        <w:rPr>
          <w:rFonts w:cstheme="minorHAnsi"/>
        </w:rPr>
      </w:pPr>
      <w:r w:rsidRPr="009D7B22">
        <w:rPr>
          <w:rFonts w:cstheme="minorHAnsi"/>
          <w:vertAlign w:val="superscript"/>
        </w:rPr>
        <w:t>b</w:t>
      </w:r>
      <w:r w:rsidRPr="009D7B22">
        <w:rPr>
          <w:rFonts w:cstheme="minorHAnsi"/>
        </w:rPr>
        <w:t xml:space="preserve"> Annualized capital costs were estimated assuming a 5-year payment period at 7% interest for initial performance tests (with a capital recovery factor of 0.244).</w:t>
      </w:r>
      <w:r w:rsidRPr="009D7B22">
        <w:rPr>
          <w:rFonts w:cstheme="minorHAnsi"/>
        </w:rPr>
        <w:t xml:space="preserve"> </w:t>
      </w:r>
    </w:p>
    <w:p w:rsidR="009D7B22" w:rsidRPr="009D7B22" w:rsidP="009D7B22" w14:paraId="2A8AA29A" w14:textId="43160062">
      <w:pPr>
        <w:spacing w:line="259" w:lineRule="auto"/>
        <w:ind w:left="0" w:firstLine="0"/>
        <w:rPr>
          <w:rFonts w:cstheme="minorHAnsi"/>
        </w:rPr>
      </w:pPr>
      <w:r w:rsidRPr="009D7B22">
        <w:rPr>
          <w:rFonts w:cstheme="minorHAnsi"/>
        </w:rPr>
        <w:t xml:space="preserve">The total capital/startup costs for this ICR are $608,000. This is the total of column D in the above table. </w:t>
      </w:r>
    </w:p>
    <w:p w:rsidR="009D7B22" w:rsidRPr="009D7B22" w:rsidP="009D7B22" w14:paraId="676C8322" w14:textId="3E315916">
      <w:pPr>
        <w:spacing w:line="259" w:lineRule="auto"/>
        <w:ind w:left="0" w:firstLine="0"/>
        <w:rPr>
          <w:rFonts w:cstheme="minorHAnsi"/>
        </w:rPr>
      </w:pPr>
      <w:r w:rsidRPr="009D7B22">
        <w:rPr>
          <w:rFonts w:cstheme="minorHAnsi"/>
        </w:rPr>
        <w:t xml:space="preserve">The total operation and maintenance (O&amp;M) costs for this ICR are $0. This is the total of column G. </w:t>
      </w:r>
    </w:p>
    <w:p w:rsidR="009D7B22" w:rsidRPr="009D7B22" w:rsidP="009D7B22" w14:paraId="48EFA60A" w14:textId="77777777">
      <w:pPr>
        <w:spacing w:line="259" w:lineRule="auto"/>
        <w:ind w:left="0" w:firstLine="0"/>
        <w:rPr>
          <w:rFonts w:cstheme="minorHAnsi"/>
        </w:rPr>
      </w:pPr>
      <w:r w:rsidRPr="009D7B22">
        <w:rPr>
          <w:rFonts w:cstheme="minorHAnsi"/>
        </w:rPr>
        <w:t>The average annual cost for capital/startup and operation and maintenance costs to industry over the next three years of the ICR is estimated to be $608,000. These are recordkeeping costs.</w:t>
      </w:r>
    </w:p>
    <w:p w:rsidR="009D7B22" w:rsidRPr="002943D2" w:rsidP="002943D2" w14:paraId="0B20A23C" w14:textId="3CB0128C">
      <w:pPr>
        <w:spacing w:line="259" w:lineRule="auto"/>
        <w:ind w:left="0" w:firstLine="0"/>
        <w:rPr>
          <w:rFonts w:cstheme="minorHAnsi"/>
        </w:rPr>
      </w:pPr>
      <w:r w:rsidRPr="009D7B22">
        <w:rPr>
          <w:rFonts w:cstheme="minorHAnsi"/>
        </w:rPr>
        <w:t>The total annual capital/startup and O&amp;M costs to the regulated entity are $608,000.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3" w:name="_Toc156593387"/>
      <w:r w:rsidRPr="008B3B3E">
        <w:rPr>
          <w:rFonts w:asciiTheme="minorHAnsi" w:hAnsiTheme="minorHAnsi" w:cstheme="minorHAnsi"/>
          <w:b/>
          <w:bCs/>
          <w:color w:val="000000" w:themeColor="text1"/>
          <w:sz w:val="22"/>
          <w:szCs w:val="22"/>
        </w:rPr>
        <w:t xml:space="preserve">AGENCY </w:t>
      </w:r>
      <w:bookmarkStart w:id="24" w:name="_Toc156593388"/>
      <w:bookmarkEnd w:id="23"/>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D7B22" w:rsidRPr="009D7B22" w:rsidP="009D7B22" w14:paraId="0002A1AD" w14:textId="10FB5B40">
      <w:pPr>
        <w:spacing w:line="259" w:lineRule="auto"/>
        <w:ind w:left="0" w:firstLine="0"/>
        <w:rPr>
          <w:rFonts w:cstheme="minorHAnsi"/>
        </w:rPr>
      </w:pPr>
      <w:r w:rsidRPr="009D7B22">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47DFB308" w14:textId="77777777" w:rsidTr="00325C1E">
        <w:tblPrEx>
          <w:tblW w:w="9625" w:type="dxa"/>
          <w:tblLook w:val="04A0"/>
        </w:tblPrEx>
        <w:trPr>
          <w:trHeight w:val="432"/>
        </w:trPr>
        <w:tc>
          <w:tcPr>
            <w:tcW w:w="9625" w:type="dxa"/>
          </w:tcPr>
          <w:p w:rsidR="009D7B22" w:rsidRPr="00DE0F1B" w:rsidP="00DE0F1B" w14:paraId="00012B1D" w14:textId="77777777">
            <w:pPr>
              <w:spacing w:after="160" w:line="259" w:lineRule="auto"/>
              <w:ind w:left="0" w:firstLine="0"/>
              <w:jc w:val="center"/>
              <w:rPr>
                <w:rFonts w:cstheme="minorHAnsi"/>
                <w:b/>
                <w:bCs/>
                <w:sz w:val="20"/>
                <w:szCs w:val="20"/>
              </w:rPr>
            </w:pPr>
            <w:r w:rsidRPr="00DE0F1B">
              <w:rPr>
                <w:rFonts w:cstheme="minorHAnsi"/>
                <w:b/>
                <w:bCs/>
                <w:sz w:val="20"/>
                <w:szCs w:val="20"/>
              </w:rPr>
              <w:t>Agency Activities</w:t>
            </w:r>
          </w:p>
        </w:tc>
      </w:tr>
      <w:tr w14:paraId="25710C3C" w14:textId="77777777" w:rsidTr="00325C1E">
        <w:tblPrEx>
          <w:tblW w:w="9625" w:type="dxa"/>
          <w:tblLook w:val="04A0"/>
        </w:tblPrEx>
        <w:trPr>
          <w:trHeight w:val="701"/>
        </w:trPr>
        <w:tc>
          <w:tcPr>
            <w:tcW w:w="9625" w:type="dxa"/>
            <w:vAlign w:val="center"/>
          </w:tcPr>
          <w:p w:rsidR="009D7B22" w:rsidRPr="00DE0F1B" w:rsidP="009D7B22" w14:paraId="6BE403C2" w14:textId="77777777">
            <w:pPr>
              <w:spacing w:after="160" w:line="259" w:lineRule="auto"/>
              <w:ind w:left="0" w:firstLine="0"/>
              <w:rPr>
                <w:rFonts w:cstheme="minorHAnsi"/>
                <w:sz w:val="20"/>
                <w:szCs w:val="20"/>
              </w:rPr>
            </w:pPr>
            <w:r w:rsidRPr="00DE0F1B">
              <w:rPr>
                <w:rFonts w:cstheme="minorHAnsi"/>
                <w:sz w:val="20"/>
                <w:szCs w:val="20"/>
              </w:rPr>
              <w:t>Review notifications and reports, including performance test reports, and excess emissions reports, required to be submitted by industry.</w:t>
            </w:r>
          </w:p>
        </w:tc>
      </w:tr>
      <w:tr w14:paraId="7C32ED33" w14:textId="77777777" w:rsidTr="00325C1E">
        <w:tblPrEx>
          <w:tblW w:w="9625" w:type="dxa"/>
          <w:tblLook w:val="04A0"/>
        </w:tblPrEx>
        <w:trPr>
          <w:trHeight w:val="432"/>
        </w:trPr>
        <w:tc>
          <w:tcPr>
            <w:tcW w:w="9625" w:type="dxa"/>
            <w:vAlign w:val="center"/>
          </w:tcPr>
          <w:p w:rsidR="009D7B22" w:rsidRPr="00DE0F1B" w:rsidP="009D7B22" w14:paraId="7CEF1CDB" w14:textId="77777777">
            <w:pPr>
              <w:spacing w:after="160" w:line="259" w:lineRule="auto"/>
              <w:ind w:left="0" w:firstLine="0"/>
              <w:rPr>
                <w:rFonts w:cstheme="minorHAnsi"/>
                <w:sz w:val="20"/>
                <w:szCs w:val="20"/>
              </w:rPr>
            </w:pPr>
            <w:r w:rsidRPr="00DE0F1B">
              <w:rPr>
                <w:rFonts w:cstheme="minorHAnsi"/>
                <w:sz w:val="20"/>
                <w:szCs w:val="20"/>
              </w:rPr>
              <w:t>Audit facility records.</w:t>
            </w:r>
          </w:p>
        </w:tc>
      </w:tr>
      <w:tr w14:paraId="6FF017F5" w14:textId="77777777" w:rsidTr="00325C1E">
        <w:tblPrEx>
          <w:tblW w:w="9625" w:type="dxa"/>
          <w:tblLook w:val="04A0"/>
        </w:tblPrEx>
        <w:trPr>
          <w:trHeight w:val="692"/>
        </w:trPr>
        <w:tc>
          <w:tcPr>
            <w:tcW w:w="9625" w:type="dxa"/>
            <w:vAlign w:val="center"/>
          </w:tcPr>
          <w:p w:rsidR="009D7B22" w:rsidRPr="00DE0F1B" w:rsidP="009D7B22" w14:paraId="48C2B03E" w14:textId="77777777">
            <w:pPr>
              <w:spacing w:after="160" w:line="259" w:lineRule="auto"/>
              <w:ind w:left="0" w:firstLine="0"/>
              <w:rPr>
                <w:rFonts w:cstheme="minorHAnsi"/>
                <w:sz w:val="20"/>
                <w:szCs w:val="20"/>
              </w:rPr>
            </w:pPr>
            <w:r w:rsidRPr="00DE0F1B">
              <w:rPr>
                <w:rFonts w:cstheme="minorHAnsi"/>
                <w:sz w:val="20"/>
                <w:szCs w:val="20"/>
              </w:rPr>
              <w:t>Input, analyze, and maintain data in the Enforcement and Compliance History Online (ECHO) and ICIS.</w:t>
            </w:r>
          </w:p>
        </w:tc>
      </w:tr>
    </w:tbl>
    <w:p w:rsidR="009D7B22" w:rsidP="009D7B22" w14:paraId="6CA28E20" w14:textId="77777777">
      <w:pPr>
        <w:spacing w:line="259" w:lineRule="auto"/>
        <w:ind w:left="0" w:firstLine="0"/>
        <w:rPr>
          <w:rFonts w:cstheme="minorHAnsi"/>
          <w:b/>
          <w:bCs/>
        </w:rPr>
      </w:pPr>
    </w:p>
    <w:p w:rsidR="00212B94" w:rsidRPr="009D7B22" w:rsidP="00212B94" w14:paraId="0EB4A4FE" w14:textId="77777777">
      <w:pPr>
        <w:spacing w:line="259" w:lineRule="auto"/>
        <w:ind w:left="0" w:firstLine="0"/>
        <w:rPr>
          <w:rFonts w:cstheme="minorHAnsi"/>
        </w:rPr>
      </w:pPr>
      <w:r w:rsidRPr="009D7B22">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12B94" w:rsidRPr="009D7B22" w:rsidP="00212B94" w14:paraId="432A671C" w14:textId="77777777">
      <w:pPr>
        <w:spacing w:line="259" w:lineRule="auto"/>
        <w:ind w:left="0" w:firstLine="0"/>
        <w:rPr>
          <w:rFonts w:cstheme="minorHAnsi"/>
        </w:rPr>
      </w:pPr>
      <w:r w:rsidRPr="009D7B22">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12B94" w:rsidP="00212B94" w14:paraId="4CC277E9" w14:textId="77777777">
      <w:pPr>
        <w:spacing w:line="259" w:lineRule="auto"/>
        <w:ind w:left="0" w:firstLine="0"/>
        <w:rPr>
          <w:rFonts w:cstheme="minorHAnsi"/>
        </w:rPr>
      </w:pPr>
      <w:r w:rsidRPr="009D7B22">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9D7B22" w:rsidRPr="009D7B22" w:rsidP="009D7B22" w14:paraId="51F27014" w14:textId="77777777">
      <w:pPr>
        <w:spacing w:line="259" w:lineRule="auto"/>
        <w:ind w:left="0" w:firstLine="0"/>
        <w:rPr>
          <w:rFonts w:cstheme="minorHAnsi"/>
        </w:rPr>
      </w:pPr>
      <w:r w:rsidRPr="009D7B22">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D7B22" w:rsidRPr="009D7B22" w:rsidP="009D7B22" w14:paraId="686C0998" w14:textId="0E605627">
      <w:pPr>
        <w:spacing w:line="259" w:lineRule="auto"/>
        <w:ind w:left="0" w:firstLine="0"/>
        <w:rPr>
          <w:rFonts w:cstheme="minorHAnsi"/>
        </w:rPr>
      </w:pPr>
      <w:r w:rsidRPr="009D7B22">
        <w:rPr>
          <w:rFonts w:cstheme="minorHAnsi"/>
        </w:rPr>
        <w:t xml:space="preserve">The average annual Agency cost during the three years of the ICR is estimated to be $44,300. </w:t>
      </w:r>
    </w:p>
    <w:p w:rsidR="009D7B22" w:rsidRPr="009D7B22" w:rsidP="009D7B22" w14:paraId="395E481A" w14:textId="4E40E3AB">
      <w:pPr>
        <w:spacing w:line="259" w:lineRule="auto"/>
        <w:ind w:left="0" w:firstLine="0"/>
        <w:rPr>
          <w:rFonts w:cstheme="minorHAnsi"/>
        </w:rPr>
      </w:pPr>
      <w:r w:rsidRPr="009D7B22">
        <w:rPr>
          <w:rFonts w:cstheme="minorHAnsi"/>
        </w:rPr>
        <w:t>This cost is based on the average hourly labor rate as follows:</w:t>
      </w:r>
    </w:p>
    <w:p w:rsidR="009D7B22" w:rsidRPr="009D7B22" w:rsidP="009D7B22" w14:paraId="7100E230" w14:textId="2C9F613B">
      <w:pPr>
        <w:spacing w:line="259" w:lineRule="auto"/>
        <w:ind w:firstLine="0"/>
        <w:rPr>
          <w:rFonts w:cstheme="minorHAnsi"/>
        </w:rPr>
      </w:pPr>
      <w:r w:rsidRPr="009D7B22">
        <w:rPr>
          <w:rFonts w:cstheme="minorHAnsi"/>
        </w:rPr>
        <w:t xml:space="preserve">Managerial </w:t>
      </w:r>
      <w:r>
        <w:rPr>
          <w:rFonts w:cstheme="minorHAnsi"/>
        </w:rPr>
        <w:tab/>
      </w:r>
      <w:r w:rsidRPr="009D7B22">
        <w:rPr>
          <w:rFonts w:cstheme="minorHAnsi"/>
        </w:rPr>
        <w:t>$73.46 (GS-13, Step 5, $45.91 + 60%)</w:t>
      </w:r>
      <w:r w:rsidRPr="009D7B22">
        <w:rPr>
          <w:rFonts w:cstheme="minorHAnsi"/>
        </w:rPr>
        <w:tab/>
      </w:r>
      <w:r w:rsidRPr="009D7B22">
        <w:rPr>
          <w:rFonts w:cstheme="minorHAnsi"/>
        </w:rPr>
        <w:tab/>
      </w:r>
    </w:p>
    <w:p w:rsidR="009D7B22" w:rsidRPr="009D7B22" w:rsidP="009D7B22" w14:paraId="49F235FC" w14:textId="7D2C6EB0">
      <w:pPr>
        <w:spacing w:line="259" w:lineRule="auto"/>
        <w:ind w:firstLine="0"/>
        <w:rPr>
          <w:rFonts w:cstheme="minorHAnsi"/>
        </w:rPr>
      </w:pPr>
      <w:r w:rsidRPr="009D7B22">
        <w:rPr>
          <w:rFonts w:cstheme="minorHAnsi"/>
        </w:rPr>
        <w:t xml:space="preserve">Technical </w:t>
      </w:r>
      <w:r>
        <w:rPr>
          <w:rFonts w:cstheme="minorHAnsi"/>
        </w:rPr>
        <w:tab/>
      </w:r>
      <w:r w:rsidRPr="009D7B22">
        <w:rPr>
          <w:rFonts w:cstheme="minorHAnsi"/>
        </w:rPr>
        <w:t>$54.51 (GS-12, Step 1, $34.07 + 60%)</w:t>
      </w:r>
    </w:p>
    <w:p w:rsidR="009D7B22" w:rsidRPr="009D7B22" w:rsidP="00E56510" w14:paraId="6CCE39FA" w14:textId="2F3560DF">
      <w:pPr>
        <w:spacing w:line="259" w:lineRule="auto"/>
        <w:ind w:firstLine="0"/>
        <w:rPr>
          <w:rFonts w:cstheme="minorHAnsi"/>
        </w:rPr>
      </w:pPr>
      <w:r w:rsidRPr="009D7B22">
        <w:rPr>
          <w:rFonts w:cstheme="minorHAnsi"/>
        </w:rPr>
        <w:t>Clerical</w:t>
      </w:r>
      <w:r>
        <w:rPr>
          <w:rFonts w:cstheme="minorHAnsi"/>
        </w:rPr>
        <w:tab/>
      </w:r>
      <w:r>
        <w:rPr>
          <w:rFonts w:cstheme="minorHAnsi"/>
        </w:rPr>
        <w:tab/>
      </w:r>
      <w:r w:rsidRPr="009D7B22">
        <w:rPr>
          <w:rFonts w:cstheme="minorHAnsi"/>
        </w:rPr>
        <w:t>$29.50 (GS-6, Step 3, $18.44 + 60%)</w:t>
      </w:r>
    </w:p>
    <w:p w:rsidR="009D7B22" w:rsidRPr="009D7B22" w:rsidP="009D7B22" w14:paraId="3E931F23" w14:textId="77777777">
      <w:pPr>
        <w:spacing w:line="259" w:lineRule="auto"/>
        <w:ind w:left="0" w:firstLine="0"/>
        <w:rPr>
          <w:rFonts w:cstheme="minorHAnsi"/>
        </w:rPr>
      </w:pPr>
      <w:r w:rsidRPr="009D7B22">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Chemical Recovery Combustion Sources at Kraft, Soda, Sulfite, and Stand-Alone Semichemical Pulp Mills (40 CFR Part 63, Subpart MM) (Renewal).</w:t>
      </w:r>
      <w:r w:rsidRPr="009D7B22">
        <w:rPr>
          <w:rFonts w:cstheme="minorHAnsi"/>
        </w:rPr>
        <w:t xml:space="preserve"> </w:t>
      </w:r>
    </w:p>
    <w:p w:rsidR="00E56510" w:rsidRPr="00E56510" w:rsidP="00E56510" w14:paraId="746E9DE0" w14:textId="55F66ED1">
      <w:pPr>
        <w:spacing w:line="259" w:lineRule="auto"/>
        <w:ind w:left="0" w:firstLine="0"/>
        <w:rPr>
          <w:rFonts w:cstheme="minorHAnsi"/>
        </w:rPr>
      </w:pPr>
      <w:r w:rsidRPr="00E56510">
        <w:rPr>
          <w:rFonts w:cstheme="minorHAnsi"/>
        </w:rPr>
        <w:t>The average annual Agency burden and cost over next three years is estimated to be 802 labor hours at a cost of $44,300. See Table 2: Average Annual EPA Burden and Cost – NESHAP for Chemical Recovery Combustion Sources at Kraft, Soda, Sulfite, and Stand-Alone Semichemical Pulp Mills (40 CFR Part 63, Subpart MM) (Renewal).</w:t>
      </w:r>
      <w:r w:rsidRPr="00E56510">
        <w:rPr>
          <w:rFonts w:cstheme="minorHAnsi"/>
        </w:rPr>
        <w:t xml:space="preserve"> </w:t>
      </w:r>
    </w:p>
    <w:p w:rsidR="00BB3410" w:rsidRPr="002943D2" w:rsidP="002943D2" w14:paraId="5BA12778" w14:textId="56E34211">
      <w:pPr>
        <w:spacing w:line="259" w:lineRule="auto"/>
        <w:ind w:left="0" w:firstLine="0"/>
        <w:rPr>
          <w:rFonts w:cstheme="minorHAnsi"/>
        </w:rPr>
      </w:pPr>
      <w:r w:rsidRPr="00E5651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4"/>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56510" w:rsidRPr="00E56510" w:rsidP="00E56510" w14:paraId="6EC31806" w14:textId="77777777">
      <w:pPr>
        <w:spacing w:line="259" w:lineRule="auto"/>
        <w:ind w:left="0" w:firstLine="0"/>
        <w:rPr>
          <w:rFonts w:cstheme="minorHAnsi"/>
        </w:rPr>
      </w:pPr>
      <w:r w:rsidRPr="00E56510">
        <w:rPr>
          <w:rFonts w:cstheme="minorHAnsi"/>
        </w:rPr>
        <w:t xml:space="preserve">The decrease in burden from the most recently approved ICR is due to an adjustment(s). </w:t>
      </w:r>
    </w:p>
    <w:p w:rsidR="00ED57A4" w:rsidRPr="002943D2" w:rsidP="002943D2" w14:paraId="18F76AB6" w14:textId="75E423DF">
      <w:pPr>
        <w:spacing w:line="259" w:lineRule="auto"/>
        <w:ind w:left="0" w:firstLine="0"/>
        <w:rPr>
          <w:rFonts w:cstheme="minorHAnsi"/>
        </w:rPr>
      </w:pPr>
      <w:r w:rsidRPr="00E56510">
        <w:rPr>
          <w:rFonts w:cstheme="minorHAnsi"/>
        </w:rPr>
        <w:t>The adjustment decrease in burden from the most recently approved ICR is due to a decrease in the number of sources. The number of facilities has decreased from 104 to 96. The decrease in respondents also results in a decrease in capital/startup costs. This ICR also corrects a mathematical error in the calculations of the active ICR which applies incorrect labor rates for the management and clerical labor categories.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89"/>
      <w:r w:rsidRPr="008B3B3E">
        <w:rPr>
          <w:rFonts w:asciiTheme="minorHAnsi" w:hAnsiTheme="minorHAnsi" w:cstheme="minorHAnsi"/>
          <w:b/>
          <w:bCs/>
          <w:color w:val="000000" w:themeColor="text1"/>
          <w:sz w:val="22"/>
          <w:szCs w:val="22"/>
        </w:rPr>
        <w:t>PUBLICATION OF DATA</w:t>
      </w:r>
      <w:bookmarkStart w:id="26" w:name="_Toc156593390"/>
      <w:bookmarkEnd w:id="25"/>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6260" w:rsidRPr="00706260" w:rsidP="00706260" w14:paraId="7E6672DD" w14:textId="7A6F2DC0">
      <w:pPr>
        <w:spacing w:line="259" w:lineRule="auto"/>
        <w:ind w:left="0" w:firstLine="0"/>
        <w:rPr>
          <w:rFonts w:cstheme="minorHAnsi"/>
        </w:rPr>
      </w:pPr>
      <w:r w:rsidRPr="001020FD">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1020FD">
        <w:rPr>
          <w:rFonts w:cstheme="minorHAnsi"/>
        </w:rPr>
        <w:t>WebFIRE</w:t>
      </w:r>
      <w:r w:rsidRPr="001020FD">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2" w:tgtFrame="_blank" w:tooltip="https://www.epa.gov/chief/chief-listserv" w:history="1">
        <w:r w:rsidRPr="001020FD">
          <w:rPr>
            <w:rFonts w:cstheme="minorHAnsi"/>
          </w:rPr>
          <w:t>https://www.epa.gov/chief/chief-listserv</w:t>
        </w:r>
      </w:hyperlink>
      <w:r w:rsidRPr="001020FD">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3" w:tgtFrame="_blank" w:tooltip="https://www.regulations.gov/" w:history="1">
        <w:r w:rsidRPr="001020FD">
          <w:rPr>
            <w:rFonts w:cstheme="minorHAnsi"/>
          </w:rPr>
          <w:t>https://www.regulations.gov/</w:t>
        </w:r>
      </w:hyperlink>
      <w:r w:rsidRPr="001020FD">
        <w:rPr>
          <w:rFonts w:cstheme="minorHAnsi"/>
        </w:rPr>
        <w:t xml:space="preserve"> for public review and printing.</w:t>
      </w:r>
      <w:r w:rsidRPr="001020FD">
        <w:rPr>
          <w:rFonts w:ascii="Arial" w:eastAsia="Times New Roman" w:hAnsi="Arial" w:cs="Arial"/>
          <w:sz w:val="18"/>
          <w:szCs w:val="18"/>
        </w:rPr>
        <w:t>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6"/>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91"/>
      <w:r w:rsidRPr="008B3B3E">
        <w:rPr>
          <w:rFonts w:asciiTheme="minorHAnsi" w:hAnsiTheme="minorHAnsi" w:cstheme="minorHAnsi"/>
          <w:b/>
          <w:bCs/>
          <w:color w:val="000000" w:themeColor="text1"/>
          <w:sz w:val="22"/>
          <w:szCs w:val="22"/>
        </w:rPr>
        <w:t>CERTIFICATION STATEMENT</w:t>
      </w:r>
      <w:bookmarkEnd w:id="27"/>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56510" w:rsidRPr="00E56510" w:rsidP="00E56510" w14:paraId="00218F8A" w14:textId="5D625D7F">
      <w:pPr>
        <w:spacing w:line="259" w:lineRule="auto"/>
        <w:ind w:left="0" w:firstLine="0"/>
        <w:rPr>
          <w:rFonts w:cstheme="minorHAnsi"/>
        </w:rPr>
      </w:pPr>
      <w:r w:rsidRPr="00E56510">
        <w:rPr>
          <w:rFonts w:cstheme="minorHAnsi"/>
        </w:rPr>
        <w:t xml:space="preserve">The annual public reporting and recordkeeping burden for this collection of information is estimated to average 348 hours per response. Burden means the total time, effort, or financial resources expended by persons to generate, maintain, retain, or disclose or provide information to or for a </w:t>
      </w:r>
      <w:r w:rsidRPr="00E56510">
        <w:rPr>
          <w:rFonts w:cstheme="minorHAnsi"/>
        </w:rPr>
        <w:t>Federal</w:t>
      </w:r>
      <w:r w:rsidRPr="00E56510">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56510" w:rsidRPr="00E56510" w:rsidP="00E56510" w14:paraId="228C519D" w14:textId="77777777">
      <w:pPr>
        <w:spacing w:line="259" w:lineRule="auto"/>
        <w:ind w:left="0" w:firstLine="0"/>
        <w:rPr>
          <w:rFonts w:cstheme="minorHAnsi"/>
        </w:rPr>
      </w:pPr>
      <w:r w:rsidRPr="00E56510">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2EBAE547">
      <w:pPr>
        <w:spacing w:line="259" w:lineRule="auto"/>
        <w:ind w:left="0" w:firstLine="0"/>
        <w:rPr>
          <w:rFonts w:cstheme="minorHAnsi"/>
        </w:rPr>
      </w:pPr>
      <w:r w:rsidRPr="00E56510">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EPA-HQ-OAR-2020-0624. An electronic version of the public docket is available at </w:t>
      </w:r>
      <w:hyperlink r:id="rId14" w:history="1">
        <w:r w:rsidRPr="00E56510">
          <w:rPr>
            <w:rStyle w:val="Hyperlink"/>
            <w:rFonts w:cstheme="minorHAnsi"/>
            <w:i/>
            <w:iCs/>
          </w:rPr>
          <w:t>http://www.regulations.gov/</w:t>
        </w:r>
      </w:hyperlink>
      <w:r w:rsidRPr="00E56510">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EPA-HQ-OAR-2020-0624 and OMB Control Number 2060-0377 in any correspondence. </w:t>
      </w:r>
    </w:p>
    <w:p w:rsidR="00EB3FEB" w:rsidP="0F393406" w14:paraId="51BEF171" w14:textId="1B34ACC9">
      <w:pPr>
        <w:pStyle w:val="Heading1"/>
        <w:keepNext w:val="0"/>
        <w:pBdr>
          <w:bottom w:val="single" w:sz="4" w:space="1" w:color="auto"/>
        </w:pBdr>
        <w:spacing w:before="0" w:after="160" w:line="259" w:lineRule="auto"/>
        <w:rPr>
          <w:rFonts w:asciiTheme="minorHAnsi" w:hAnsiTheme="minorHAnsi" w:cstheme="minorBidi"/>
          <w:b/>
          <w:bCs/>
          <w:color w:val="000000" w:themeColor="text1"/>
          <w:sz w:val="22"/>
          <w:szCs w:val="22"/>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F393406" w14:paraId="637711AA" w14:textId="7AD59F19">
      <w:pPr>
        <w:spacing w:line="259" w:lineRule="auto"/>
        <w:ind w:left="0" w:firstLine="0"/>
      </w:pPr>
    </w:p>
    <w:p w:rsidR="00E56510" w:rsidP="002943D2" w14:paraId="75AE52A9" w14:textId="77777777">
      <w:pPr>
        <w:spacing w:line="259" w:lineRule="auto"/>
        <w:ind w:left="0" w:firstLine="0"/>
        <w:rPr>
          <w:rFonts w:cstheme="minorHAnsi"/>
        </w:rPr>
      </w:pPr>
    </w:p>
    <w:p w:rsidR="00E56510" w:rsidP="002943D2" w14:paraId="6B7D2E59" w14:textId="77777777">
      <w:pPr>
        <w:spacing w:line="259" w:lineRule="auto"/>
        <w:ind w:left="0" w:firstLine="0"/>
        <w:rPr>
          <w:rFonts w:cstheme="minorHAnsi"/>
        </w:rPr>
      </w:pPr>
    </w:p>
    <w:p w:rsidR="00E56510" w:rsidP="002943D2" w14:paraId="7D48A5DD" w14:textId="77777777">
      <w:pPr>
        <w:spacing w:line="259" w:lineRule="auto"/>
        <w:ind w:left="0" w:firstLine="0"/>
        <w:rPr>
          <w:rFonts w:cstheme="minorHAnsi"/>
        </w:rPr>
      </w:pPr>
    </w:p>
    <w:p w:rsidR="00E56510" w:rsidP="002943D2" w14:paraId="6C0FB8AC" w14:textId="77777777">
      <w:pPr>
        <w:spacing w:line="259" w:lineRule="auto"/>
        <w:ind w:left="0" w:firstLine="0"/>
        <w:rPr>
          <w:rFonts w:cstheme="minorHAnsi"/>
        </w:rPr>
      </w:pPr>
    </w:p>
    <w:p w:rsidR="00E56510" w:rsidP="002943D2" w14:paraId="72D3CEA6" w14:textId="77777777">
      <w:pPr>
        <w:spacing w:line="259" w:lineRule="auto"/>
        <w:ind w:left="0" w:firstLine="0"/>
        <w:rPr>
          <w:rFonts w:cstheme="minorHAnsi"/>
        </w:rPr>
      </w:pPr>
    </w:p>
    <w:p w:rsidR="00E73BF2" w:rsidP="00E56510" w14:paraId="188A1D99" w14:textId="77777777">
      <w:pPr>
        <w:widowControl w:val="0"/>
        <w:autoSpaceDE w:val="0"/>
        <w:autoSpaceDN w:val="0"/>
        <w:adjustRightInd w:val="0"/>
        <w:spacing w:after="0" w:line="240" w:lineRule="auto"/>
        <w:ind w:left="0" w:firstLine="0"/>
        <w:outlineLvl w:val="0"/>
        <w:rPr>
          <w:rFonts w:eastAsia="Times New Roman" w:cstheme="minorHAnsi"/>
          <w:b/>
          <w:bCs/>
          <w:color w:val="000000"/>
          <w:sz w:val="21"/>
          <w:szCs w:val="21"/>
        </w:rPr>
        <w:sectPr w:rsidSect="00E73BF2">
          <w:pgSz w:w="12240" w:h="15840"/>
          <w:pgMar w:top="1440" w:right="1440" w:bottom="1440" w:left="1440" w:header="1354" w:footer="1440" w:gutter="0"/>
          <w:cols w:space="720"/>
          <w:noEndnote/>
          <w:docGrid w:linePitch="326"/>
        </w:sectPr>
      </w:pPr>
    </w:p>
    <w:p w:rsidR="00E73BF2" w:rsidRPr="00E73BF2" w:rsidP="00E73BF2" w14:paraId="4E0D512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Table 1: Annual Respondent Burden and Cost – NESHAP for Chemical Recovery Combustion Sources at Kraft, Soda, Sulfite, and Stand-Alone Semichemical Pulp Mills (40 CFR Part 63, Subpart MM) (Renewal)</w:t>
      </w:r>
    </w:p>
    <w:p w:rsidR="00E73BF2" w:rsidRPr="00E73BF2" w:rsidP="00E73BF2" w14:paraId="6FEFE0FE" w14:textId="77777777">
      <w:pPr>
        <w:widowControl w:val="0"/>
        <w:autoSpaceDE w:val="0"/>
        <w:autoSpaceDN w:val="0"/>
        <w:adjustRightInd w:val="0"/>
        <w:spacing w:after="0" w:line="240" w:lineRule="auto"/>
        <w:ind w:left="0" w:firstLine="0"/>
        <w:rPr>
          <w:rFonts w:eastAsia="Times New Roman" w:cstheme="minorHAnsi"/>
          <w:sz w:val="21"/>
          <w:szCs w:val="21"/>
        </w:rPr>
      </w:pPr>
    </w:p>
    <w:tbl>
      <w:tblPr>
        <w:tblStyle w:val="TableGrid"/>
        <w:tblW w:w="5105" w:type="pct"/>
        <w:tblLook w:val="04A0"/>
      </w:tblPr>
      <w:tblGrid>
        <w:gridCol w:w="2949"/>
        <w:gridCol w:w="1249"/>
        <w:gridCol w:w="1334"/>
        <w:gridCol w:w="1262"/>
        <w:gridCol w:w="1407"/>
        <w:gridCol w:w="1128"/>
        <w:gridCol w:w="1444"/>
        <w:gridCol w:w="1110"/>
        <w:gridCol w:w="1431"/>
      </w:tblGrid>
      <w:tr w14:paraId="21FDF35C" w14:textId="77777777" w:rsidTr="00325C1E">
        <w:tblPrEx>
          <w:tblW w:w="5105" w:type="pct"/>
          <w:tblLook w:val="04A0"/>
        </w:tblPrEx>
        <w:trPr>
          <w:trHeight w:val="1583"/>
        </w:trPr>
        <w:tc>
          <w:tcPr>
            <w:tcW w:w="2965" w:type="dxa"/>
            <w:hideMark/>
          </w:tcPr>
          <w:p w:rsidR="00E73BF2" w:rsidRPr="00E73BF2" w:rsidP="00E73BF2" w14:paraId="6097729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Burden item</w:t>
            </w:r>
          </w:p>
        </w:tc>
        <w:tc>
          <w:tcPr>
            <w:tcW w:w="1256" w:type="dxa"/>
            <w:hideMark/>
          </w:tcPr>
          <w:p w:rsidR="00E73BF2" w:rsidRPr="00E73BF2" w:rsidP="00E73BF2" w14:paraId="2D13467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(A) </w:t>
            </w:r>
            <w:r w:rsidRPr="00E73BF2">
              <w:rPr>
                <w:rFonts w:eastAsia="Times New Roman" w:cstheme="minorHAnsi"/>
                <w:sz w:val="21"/>
                <w:szCs w:val="21"/>
              </w:rPr>
              <w:br/>
              <w:t>Person hours per occurrence</w:t>
            </w:r>
          </w:p>
        </w:tc>
        <w:tc>
          <w:tcPr>
            <w:tcW w:w="1341" w:type="dxa"/>
            <w:hideMark/>
          </w:tcPr>
          <w:p w:rsidR="00E73BF2" w:rsidRPr="00E73BF2" w:rsidP="00E73BF2" w14:paraId="5782637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(B) </w:t>
            </w:r>
            <w:r w:rsidRPr="00E73BF2">
              <w:rPr>
                <w:rFonts w:eastAsia="Times New Roman" w:cstheme="minorHAnsi"/>
                <w:sz w:val="21"/>
                <w:szCs w:val="21"/>
              </w:rPr>
              <w:br/>
              <w:t>No. of occurrences per respondent per year</w:t>
            </w:r>
          </w:p>
        </w:tc>
        <w:tc>
          <w:tcPr>
            <w:tcW w:w="1269" w:type="dxa"/>
            <w:hideMark/>
          </w:tcPr>
          <w:p w:rsidR="00E73BF2" w:rsidRPr="00E73BF2" w:rsidP="00E73BF2" w14:paraId="402EED8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(C) </w:t>
            </w:r>
            <w:r w:rsidRPr="00E73BF2">
              <w:rPr>
                <w:rFonts w:eastAsia="Times New Roman" w:cstheme="minorHAnsi"/>
                <w:sz w:val="21"/>
                <w:szCs w:val="21"/>
              </w:rPr>
              <w:br/>
              <w:t>Person hours per respondent per year (C=</w:t>
            </w:r>
            <w:r w:rsidRPr="00E73BF2">
              <w:rPr>
                <w:rFonts w:eastAsia="Times New Roman" w:cstheme="minorHAnsi"/>
                <w:sz w:val="21"/>
                <w:szCs w:val="21"/>
              </w:rPr>
              <w:t>AxB</w:t>
            </w:r>
            <w:r w:rsidRPr="00E73BF2">
              <w:rPr>
                <w:rFonts w:eastAsia="Times New Roman" w:cstheme="minorHAnsi"/>
                <w:sz w:val="21"/>
                <w:szCs w:val="21"/>
              </w:rPr>
              <w:t>)</w:t>
            </w:r>
          </w:p>
        </w:tc>
        <w:tc>
          <w:tcPr>
            <w:tcW w:w="1415" w:type="dxa"/>
            <w:hideMark/>
          </w:tcPr>
          <w:p w:rsidR="00E73BF2" w:rsidRPr="00E73BF2" w:rsidP="00E73BF2" w14:paraId="635C16D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(D) </w:t>
            </w:r>
            <w:r w:rsidRPr="00E73BF2">
              <w:rPr>
                <w:rFonts w:eastAsia="Times New Roman" w:cstheme="minorHAnsi"/>
                <w:sz w:val="21"/>
                <w:szCs w:val="21"/>
              </w:rPr>
              <w:br/>
              <w:t xml:space="preserve">Respondents per year </w:t>
            </w:r>
            <w:r w:rsidRPr="00E73BF2">
              <w:rPr>
                <w:rFonts w:eastAsia="Times New Roman" w:cstheme="minorHAnsi"/>
                <w:sz w:val="21"/>
                <w:szCs w:val="21"/>
                <w:vertAlign w:val="superscript"/>
              </w:rPr>
              <w:t>a</w:t>
            </w:r>
          </w:p>
        </w:tc>
        <w:tc>
          <w:tcPr>
            <w:tcW w:w="1134" w:type="dxa"/>
            <w:hideMark/>
          </w:tcPr>
          <w:p w:rsidR="00E73BF2" w:rsidRPr="00E73BF2" w:rsidP="00E73BF2" w14:paraId="5EE4D6B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(E) </w:t>
            </w:r>
            <w:r w:rsidRPr="00E73BF2">
              <w:rPr>
                <w:rFonts w:eastAsia="Times New Roman" w:cstheme="minorHAnsi"/>
                <w:sz w:val="21"/>
                <w:szCs w:val="21"/>
              </w:rPr>
              <w:br/>
              <w:t xml:space="preserve">Technical person </w:t>
            </w:r>
            <w:r w:rsidRPr="00E73BF2">
              <w:rPr>
                <w:rFonts w:eastAsia="Times New Roman" w:cstheme="minorHAnsi"/>
                <w:sz w:val="21"/>
                <w:szCs w:val="21"/>
              </w:rPr>
              <w:t>hr</w:t>
            </w:r>
            <w:r w:rsidRPr="00E73BF2">
              <w:rPr>
                <w:rFonts w:eastAsia="Times New Roman" w:cstheme="minorHAnsi"/>
                <w:sz w:val="21"/>
                <w:szCs w:val="21"/>
              </w:rPr>
              <w:t>/yr (E=</w:t>
            </w:r>
            <w:r w:rsidRPr="00E73BF2">
              <w:rPr>
                <w:rFonts w:eastAsia="Times New Roman" w:cstheme="minorHAnsi"/>
                <w:sz w:val="21"/>
                <w:szCs w:val="21"/>
              </w:rPr>
              <w:t>CxD</w:t>
            </w:r>
            <w:r w:rsidRPr="00E73BF2">
              <w:rPr>
                <w:rFonts w:eastAsia="Times New Roman" w:cstheme="minorHAnsi"/>
                <w:sz w:val="21"/>
                <w:szCs w:val="21"/>
              </w:rPr>
              <w:t>)</w:t>
            </w:r>
          </w:p>
        </w:tc>
        <w:tc>
          <w:tcPr>
            <w:tcW w:w="1452" w:type="dxa"/>
            <w:hideMark/>
          </w:tcPr>
          <w:p w:rsidR="00E73BF2" w:rsidRPr="00E73BF2" w:rsidP="00E73BF2" w14:paraId="0C0D6B6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(F)</w:t>
            </w:r>
            <w:r w:rsidRPr="00E73BF2">
              <w:rPr>
                <w:rFonts w:eastAsia="Times New Roman" w:cstheme="minorHAnsi"/>
                <w:sz w:val="21"/>
                <w:szCs w:val="21"/>
              </w:rPr>
              <w:br/>
              <w:t xml:space="preserve">Management person </w:t>
            </w:r>
            <w:r w:rsidRPr="00E73BF2">
              <w:rPr>
                <w:rFonts w:eastAsia="Times New Roman" w:cstheme="minorHAnsi"/>
                <w:sz w:val="21"/>
                <w:szCs w:val="21"/>
              </w:rPr>
              <w:t>hr</w:t>
            </w:r>
            <w:r w:rsidRPr="00E73BF2">
              <w:rPr>
                <w:rFonts w:eastAsia="Times New Roman" w:cstheme="minorHAnsi"/>
                <w:sz w:val="21"/>
                <w:szCs w:val="21"/>
              </w:rPr>
              <w:t>/yr (Ex0.05)</w:t>
            </w:r>
          </w:p>
        </w:tc>
        <w:tc>
          <w:tcPr>
            <w:tcW w:w="1116" w:type="dxa"/>
            <w:hideMark/>
          </w:tcPr>
          <w:p w:rsidR="00E73BF2" w:rsidRPr="00E73BF2" w:rsidP="00E73BF2" w14:paraId="79DDB76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(G) </w:t>
            </w:r>
            <w:r w:rsidRPr="00E73BF2">
              <w:rPr>
                <w:rFonts w:eastAsia="Times New Roman" w:cstheme="minorHAnsi"/>
                <w:sz w:val="21"/>
                <w:szCs w:val="21"/>
              </w:rPr>
              <w:br/>
              <w:t xml:space="preserve">Clerical person </w:t>
            </w:r>
            <w:r w:rsidRPr="00E73BF2">
              <w:rPr>
                <w:rFonts w:eastAsia="Times New Roman" w:cstheme="minorHAnsi"/>
                <w:sz w:val="21"/>
                <w:szCs w:val="21"/>
              </w:rPr>
              <w:t>hr</w:t>
            </w:r>
            <w:r w:rsidRPr="00E73BF2">
              <w:rPr>
                <w:rFonts w:eastAsia="Times New Roman" w:cstheme="minorHAnsi"/>
                <w:sz w:val="21"/>
                <w:szCs w:val="21"/>
              </w:rPr>
              <w:t xml:space="preserve">/yr </w:t>
            </w:r>
            <w:r w:rsidRPr="00E73BF2">
              <w:rPr>
                <w:rFonts w:eastAsia="Times New Roman" w:cstheme="minorHAnsi"/>
                <w:sz w:val="21"/>
                <w:szCs w:val="21"/>
              </w:rPr>
              <w:br/>
              <w:t>(Ex0.1)</w:t>
            </w:r>
          </w:p>
        </w:tc>
        <w:tc>
          <w:tcPr>
            <w:tcW w:w="1366" w:type="dxa"/>
            <w:hideMark/>
          </w:tcPr>
          <w:p w:rsidR="00E73BF2" w:rsidRPr="00E73BF2" w:rsidP="00E73BF2" w14:paraId="49D2406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(H) </w:t>
            </w:r>
            <w:r w:rsidRPr="00E73BF2">
              <w:rPr>
                <w:rFonts w:eastAsia="Times New Roman" w:cstheme="minorHAnsi"/>
                <w:sz w:val="21"/>
                <w:szCs w:val="21"/>
              </w:rPr>
              <w:br/>
              <w:t>Total Cost Per year</w:t>
            </w:r>
            <w:r w:rsidRPr="00E73BF2">
              <w:rPr>
                <w:rFonts w:eastAsia="Times New Roman" w:cstheme="minorHAnsi"/>
                <w:sz w:val="21"/>
                <w:szCs w:val="21"/>
                <w:vertAlign w:val="superscript"/>
              </w:rPr>
              <w:t xml:space="preserve"> b</w:t>
            </w:r>
          </w:p>
        </w:tc>
      </w:tr>
      <w:tr w14:paraId="781E8D9A" w14:textId="77777777" w:rsidTr="00325C1E">
        <w:tblPrEx>
          <w:tblW w:w="5105" w:type="pct"/>
          <w:tblLook w:val="04A0"/>
        </w:tblPrEx>
        <w:trPr>
          <w:trHeight w:val="287"/>
        </w:trPr>
        <w:tc>
          <w:tcPr>
            <w:tcW w:w="2965" w:type="dxa"/>
            <w:noWrap/>
            <w:hideMark/>
          </w:tcPr>
          <w:p w:rsidR="00E73BF2" w:rsidRPr="00E73BF2" w:rsidP="00E73BF2" w14:paraId="266DC38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 Applications</w:t>
            </w:r>
          </w:p>
        </w:tc>
        <w:tc>
          <w:tcPr>
            <w:tcW w:w="1256" w:type="dxa"/>
            <w:hideMark/>
          </w:tcPr>
          <w:p w:rsidR="00E73BF2" w:rsidRPr="00E73BF2" w:rsidP="00E73BF2" w14:paraId="5BF2C0D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N/A</w:t>
            </w:r>
          </w:p>
        </w:tc>
        <w:tc>
          <w:tcPr>
            <w:tcW w:w="1341" w:type="dxa"/>
            <w:hideMark/>
          </w:tcPr>
          <w:p w:rsidR="00E73BF2" w:rsidRPr="00E73BF2" w:rsidP="00E73BF2" w14:paraId="0ADE190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05722E1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085E92A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2F2BEA6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42CC48E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3216D8A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31828B1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2FFC6793" w14:textId="77777777" w:rsidTr="00325C1E">
        <w:tblPrEx>
          <w:tblW w:w="5105" w:type="pct"/>
          <w:tblLook w:val="04A0"/>
        </w:tblPrEx>
        <w:trPr>
          <w:trHeight w:val="287"/>
        </w:trPr>
        <w:tc>
          <w:tcPr>
            <w:tcW w:w="2965" w:type="dxa"/>
            <w:noWrap/>
            <w:hideMark/>
          </w:tcPr>
          <w:p w:rsidR="00E73BF2" w:rsidRPr="00E73BF2" w:rsidP="00E73BF2" w14:paraId="472B392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 Surveys and studies</w:t>
            </w:r>
          </w:p>
        </w:tc>
        <w:tc>
          <w:tcPr>
            <w:tcW w:w="1256" w:type="dxa"/>
            <w:hideMark/>
          </w:tcPr>
          <w:p w:rsidR="00E73BF2" w:rsidRPr="00E73BF2" w:rsidP="00E73BF2" w14:paraId="603BFF0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N/A</w:t>
            </w:r>
          </w:p>
        </w:tc>
        <w:tc>
          <w:tcPr>
            <w:tcW w:w="1341" w:type="dxa"/>
            <w:hideMark/>
          </w:tcPr>
          <w:p w:rsidR="00E73BF2" w:rsidRPr="00E73BF2" w:rsidP="00E73BF2" w14:paraId="78B2BCE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7C05C73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04B7F54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2049611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3A1F517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5E859B2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469DD4E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36D28176" w14:textId="77777777" w:rsidTr="00325C1E">
        <w:tblPrEx>
          <w:tblW w:w="5105" w:type="pct"/>
          <w:tblLook w:val="04A0"/>
        </w:tblPrEx>
        <w:trPr>
          <w:trHeight w:val="287"/>
        </w:trPr>
        <w:tc>
          <w:tcPr>
            <w:tcW w:w="2965" w:type="dxa"/>
            <w:noWrap/>
            <w:hideMark/>
          </w:tcPr>
          <w:p w:rsidR="00E73BF2" w:rsidRPr="00E73BF2" w:rsidP="00E73BF2" w14:paraId="011E2FD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 Reporting requirements</w:t>
            </w:r>
          </w:p>
        </w:tc>
        <w:tc>
          <w:tcPr>
            <w:tcW w:w="1256" w:type="dxa"/>
            <w:hideMark/>
          </w:tcPr>
          <w:p w:rsidR="00E73BF2" w:rsidRPr="00E73BF2" w:rsidP="00E73BF2" w14:paraId="7E1E493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6AEB6AF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6474778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6319529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5D8397E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1C6708E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37CC6DA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3897E90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14D9170D" w14:textId="77777777" w:rsidTr="00325C1E">
        <w:tblPrEx>
          <w:tblW w:w="5105" w:type="pct"/>
          <w:tblLook w:val="04A0"/>
        </w:tblPrEx>
        <w:trPr>
          <w:trHeight w:val="1043"/>
        </w:trPr>
        <w:tc>
          <w:tcPr>
            <w:tcW w:w="2965" w:type="dxa"/>
            <w:noWrap/>
            <w:hideMark/>
          </w:tcPr>
          <w:p w:rsidR="00E73BF2" w:rsidRPr="00E73BF2" w:rsidP="00E73BF2" w14:paraId="44BD6B4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A. Familiarization with the regulatory requirements </w:t>
            </w:r>
            <w:r w:rsidRPr="00E73BF2">
              <w:rPr>
                <w:rFonts w:eastAsia="Times New Roman" w:cstheme="minorHAnsi"/>
                <w:sz w:val="21"/>
                <w:szCs w:val="21"/>
                <w:vertAlign w:val="superscript"/>
              </w:rPr>
              <w:t>c</w:t>
            </w:r>
          </w:p>
        </w:tc>
        <w:tc>
          <w:tcPr>
            <w:tcW w:w="1256" w:type="dxa"/>
            <w:hideMark/>
          </w:tcPr>
          <w:p w:rsidR="00E73BF2" w:rsidRPr="00E73BF2" w:rsidP="00E73BF2" w14:paraId="31C858D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341" w:type="dxa"/>
            <w:hideMark/>
          </w:tcPr>
          <w:p w:rsidR="00E73BF2" w:rsidRPr="00E73BF2" w:rsidP="00E73BF2" w14:paraId="6E05A4E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6993CF2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415" w:type="dxa"/>
            <w:hideMark/>
          </w:tcPr>
          <w:p w:rsidR="00E73BF2" w:rsidRPr="00E73BF2" w:rsidP="00E73BF2" w14:paraId="667E6BE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hideMark/>
          </w:tcPr>
          <w:p w:rsidR="00E73BF2" w:rsidRPr="00E73BF2" w:rsidP="00E73BF2" w14:paraId="1AFF206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452" w:type="dxa"/>
            <w:hideMark/>
          </w:tcPr>
          <w:p w:rsidR="00E73BF2" w:rsidRPr="00E73BF2" w:rsidP="00E73BF2" w14:paraId="488A662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4.8</w:t>
            </w:r>
          </w:p>
        </w:tc>
        <w:tc>
          <w:tcPr>
            <w:tcW w:w="1116" w:type="dxa"/>
            <w:hideMark/>
          </w:tcPr>
          <w:p w:rsidR="00E73BF2" w:rsidRPr="00E73BF2" w:rsidP="00E73BF2" w14:paraId="007CFCF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366" w:type="dxa"/>
            <w:hideMark/>
          </w:tcPr>
          <w:p w:rsidR="00E73BF2" w:rsidRPr="00E73BF2" w:rsidP="00E73BF2" w14:paraId="56018F0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$13,920.91 </w:t>
            </w:r>
          </w:p>
        </w:tc>
      </w:tr>
      <w:tr w14:paraId="1CF315BC" w14:textId="77777777" w:rsidTr="00325C1E">
        <w:tblPrEx>
          <w:tblW w:w="5105" w:type="pct"/>
          <w:tblLook w:val="04A0"/>
        </w:tblPrEx>
        <w:trPr>
          <w:trHeight w:val="914"/>
        </w:trPr>
        <w:tc>
          <w:tcPr>
            <w:tcW w:w="2965" w:type="dxa"/>
            <w:noWrap/>
            <w:hideMark/>
          </w:tcPr>
          <w:p w:rsidR="00E73BF2" w:rsidRPr="00E73BF2" w:rsidP="00E73BF2" w14:paraId="6756174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B. Required activities </w:t>
            </w:r>
            <w:r w:rsidRPr="00E73BF2">
              <w:rPr>
                <w:rFonts w:eastAsia="Times New Roman" w:cstheme="minorHAnsi"/>
                <w:sz w:val="21"/>
                <w:szCs w:val="21"/>
                <w:vertAlign w:val="superscript"/>
              </w:rPr>
              <w:t>d</w:t>
            </w:r>
          </w:p>
        </w:tc>
        <w:tc>
          <w:tcPr>
            <w:tcW w:w="1256" w:type="dxa"/>
            <w:hideMark/>
          </w:tcPr>
          <w:p w:rsidR="00E73BF2" w:rsidRPr="00E73BF2" w:rsidP="00E73BF2" w14:paraId="6CC8CD0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6E6F2AA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39C4856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433EFC4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62607E7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2AE16DA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2539981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2D8D333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6531D37A" w14:textId="77777777" w:rsidTr="00325C1E">
        <w:tblPrEx>
          <w:tblW w:w="5105" w:type="pct"/>
          <w:tblLook w:val="04A0"/>
        </w:tblPrEx>
        <w:trPr>
          <w:trHeight w:val="791"/>
        </w:trPr>
        <w:tc>
          <w:tcPr>
            <w:tcW w:w="2965" w:type="dxa"/>
            <w:noWrap/>
            <w:hideMark/>
          </w:tcPr>
          <w:p w:rsidR="00E73BF2" w:rsidRPr="00E73BF2" w:rsidP="00E73BF2" w14:paraId="349582B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Prepare for initial/periodic performance test</w:t>
            </w:r>
          </w:p>
        </w:tc>
        <w:tc>
          <w:tcPr>
            <w:tcW w:w="1256" w:type="dxa"/>
            <w:hideMark/>
          </w:tcPr>
          <w:p w:rsidR="00E73BF2" w:rsidRPr="00E73BF2" w:rsidP="00E73BF2" w14:paraId="66C4BA3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341" w:type="dxa"/>
            <w:hideMark/>
          </w:tcPr>
          <w:p w:rsidR="00E73BF2" w:rsidRPr="00E73BF2" w:rsidP="00E73BF2" w14:paraId="2429977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6AA594B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415" w:type="dxa"/>
            <w:hideMark/>
          </w:tcPr>
          <w:p w:rsidR="00E73BF2" w:rsidRPr="00E73BF2" w:rsidP="00E73BF2" w14:paraId="6D47F9F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23</w:t>
            </w:r>
          </w:p>
        </w:tc>
        <w:tc>
          <w:tcPr>
            <w:tcW w:w="1134" w:type="dxa"/>
            <w:hideMark/>
          </w:tcPr>
          <w:p w:rsidR="00E73BF2" w:rsidRPr="00E73BF2" w:rsidP="00E73BF2" w14:paraId="7D4C5FE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552</w:t>
            </w:r>
          </w:p>
        </w:tc>
        <w:tc>
          <w:tcPr>
            <w:tcW w:w="1452" w:type="dxa"/>
            <w:hideMark/>
          </w:tcPr>
          <w:p w:rsidR="00E73BF2" w:rsidRPr="00E73BF2" w:rsidP="00E73BF2" w14:paraId="7606FF9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27.6</w:t>
            </w:r>
          </w:p>
        </w:tc>
        <w:tc>
          <w:tcPr>
            <w:tcW w:w="1116" w:type="dxa"/>
            <w:hideMark/>
          </w:tcPr>
          <w:p w:rsidR="00E73BF2" w:rsidRPr="00E73BF2" w:rsidP="00E73BF2" w14:paraId="058867B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55.2</w:t>
            </w:r>
          </w:p>
        </w:tc>
        <w:tc>
          <w:tcPr>
            <w:tcW w:w="1366" w:type="dxa"/>
            <w:hideMark/>
          </w:tcPr>
          <w:p w:rsidR="00E73BF2" w:rsidRPr="00E73BF2" w:rsidP="00E73BF2" w14:paraId="5D0007A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$80,045.24 </w:t>
            </w:r>
          </w:p>
        </w:tc>
      </w:tr>
      <w:tr w14:paraId="39DBC196" w14:textId="77777777" w:rsidTr="00325C1E">
        <w:tblPrEx>
          <w:tblW w:w="5105" w:type="pct"/>
          <w:tblLook w:val="04A0"/>
        </w:tblPrEx>
        <w:trPr>
          <w:trHeight w:val="287"/>
        </w:trPr>
        <w:tc>
          <w:tcPr>
            <w:tcW w:w="2965" w:type="dxa"/>
            <w:noWrap/>
            <w:hideMark/>
          </w:tcPr>
          <w:p w:rsidR="00E73BF2" w:rsidRPr="00E73BF2" w:rsidP="00E73BF2" w14:paraId="438AD24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Attend initial/periodic performance test</w:t>
            </w:r>
          </w:p>
        </w:tc>
        <w:tc>
          <w:tcPr>
            <w:tcW w:w="1256" w:type="dxa"/>
            <w:hideMark/>
          </w:tcPr>
          <w:p w:rsidR="00E73BF2" w:rsidRPr="00E73BF2" w:rsidP="00E73BF2" w14:paraId="3FB2ABC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341" w:type="dxa"/>
            <w:hideMark/>
          </w:tcPr>
          <w:p w:rsidR="00E73BF2" w:rsidRPr="00E73BF2" w:rsidP="00E73BF2" w14:paraId="447539B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hideMark/>
          </w:tcPr>
          <w:p w:rsidR="00E73BF2" w:rsidRPr="00E73BF2" w:rsidP="00E73BF2" w14:paraId="60346A2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48</w:t>
            </w:r>
          </w:p>
        </w:tc>
        <w:tc>
          <w:tcPr>
            <w:tcW w:w="1415" w:type="dxa"/>
            <w:hideMark/>
          </w:tcPr>
          <w:p w:rsidR="00E73BF2" w:rsidRPr="00E73BF2" w:rsidP="00E73BF2" w14:paraId="55D8AB3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23</w:t>
            </w:r>
          </w:p>
        </w:tc>
        <w:tc>
          <w:tcPr>
            <w:tcW w:w="1134" w:type="dxa"/>
            <w:hideMark/>
          </w:tcPr>
          <w:p w:rsidR="00E73BF2" w:rsidRPr="00E73BF2" w:rsidP="00E73BF2" w14:paraId="742C2E8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1,104</w:t>
            </w:r>
          </w:p>
        </w:tc>
        <w:tc>
          <w:tcPr>
            <w:tcW w:w="1452" w:type="dxa"/>
            <w:hideMark/>
          </w:tcPr>
          <w:p w:rsidR="00E73BF2" w:rsidRPr="00E73BF2" w:rsidP="00E73BF2" w14:paraId="5E02901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55.2</w:t>
            </w:r>
          </w:p>
        </w:tc>
        <w:tc>
          <w:tcPr>
            <w:tcW w:w="1116" w:type="dxa"/>
            <w:hideMark/>
          </w:tcPr>
          <w:p w:rsidR="00E73BF2" w:rsidRPr="00E73BF2" w:rsidP="00E73BF2" w14:paraId="235EBD7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110.4</w:t>
            </w:r>
          </w:p>
        </w:tc>
        <w:tc>
          <w:tcPr>
            <w:tcW w:w="1366" w:type="dxa"/>
            <w:hideMark/>
          </w:tcPr>
          <w:p w:rsidR="00E73BF2" w:rsidRPr="00E73BF2" w:rsidP="00E73BF2" w14:paraId="0497426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$160,090.49 </w:t>
            </w:r>
          </w:p>
        </w:tc>
      </w:tr>
      <w:tr w14:paraId="01C5B744" w14:textId="77777777" w:rsidTr="00325C1E">
        <w:tblPrEx>
          <w:tblW w:w="5105" w:type="pct"/>
          <w:tblLook w:val="04A0"/>
        </w:tblPrEx>
        <w:trPr>
          <w:trHeight w:val="287"/>
        </w:trPr>
        <w:tc>
          <w:tcPr>
            <w:tcW w:w="2965" w:type="dxa"/>
            <w:noWrap/>
            <w:hideMark/>
          </w:tcPr>
          <w:p w:rsidR="00E73BF2" w:rsidRPr="00E73BF2" w:rsidP="00E73BF2" w14:paraId="3E9E729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Prepare for retest</w:t>
            </w:r>
          </w:p>
        </w:tc>
        <w:tc>
          <w:tcPr>
            <w:tcW w:w="1256" w:type="dxa"/>
            <w:hideMark/>
          </w:tcPr>
          <w:p w:rsidR="00E73BF2" w:rsidRPr="00E73BF2" w:rsidP="00E73BF2" w14:paraId="5F9F795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341" w:type="dxa"/>
            <w:hideMark/>
          </w:tcPr>
          <w:p w:rsidR="00E73BF2" w:rsidRPr="00E73BF2" w:rsidP="00E73BF2" w14:paraId="03FF51C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74F02DB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415" w:type="dxa"/>
            <w:hideMark/>
          </w:tcPr>
          <w:p w:rsidR="00E73BF2" w:rsidRPr="00E73BF2" w:rsidP="00E73BF2" w14:paraId="3D1655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w:t>
            </w:r>
          </w:p>
        </w:tc>
        <w:tc>
          <w:tcPr>
            <w:tcW w:w="1134" w:type="dxa"/>
            <w:hideMark/>
          </w:tcPr>
          <w:p w:rsidR="00E73BF2" w:rsidRPr="00E73BF2" w:rsidP="00E73BF2" w14:paraId="1CD5BE1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120</w:t>
            </w:r>
          </w:p>
        </w:tc>
        <w:tc>
          <w:tcPr>
            <w:tcW w:w="1452" w:type="dxa"/>
            <w:hideMark/>
          </w:tcPr>
          <w:p w:rsidR="00E73BF2" w:rsidRPr="00E73BF2" w:rsidP="00E73BF2" w14:paraId="4EEAEC2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6</w:t>
            </w:r>
          </w:p>
        </w:tc>
        <w:tc>
          <w:tcPr>
            <w:tcW w:w="1116" w:type="dxa"/>
            <w:hideMark/>
          </w:tcPr>
          <w:p w:rsidR="00E73BF2" w:rsidRPr="00E73BF2" w:rsidP="00E73BF2" w14:paraId="2573301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w:t>
            </w:r>
          </w:p>
        </w:tc>
        <w:tc>
          <w:tcPr>
            <w:tcW w:w="1366" w:type="dxa"/>
            <w:hideMark/>
          </w:tcPr>
          <w:p w:rsidR="00E73BF2" w:rsidRPr="00E73BF2" w:rsidP="00E73BF2" w14:paraId="4F08057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$17,401.14 </w:t>
            </w:r>
          </w:p>
        </w:tc>
      </w:tr>
      <w:tr w14:paraId="7BD5E90B" w14:textId="77777777" w:rsidTr="00325C1E">
        <w:tblPrEx>
          <w:tblW w:w="5105" w:type="pct"/>
          <w:tblLook w:val="04A0"/>
        </w:tblPrEx>
        <w:trPr>
          <w:trHeight w:val="287"/>
        </w:trPr>
        <w:tc>
          <w:tcPr>
            <w:tcW w:w="2965" w:type="dxa"/>
            <w:noWrap/>
            <w:hideMark/>
          </w:tcPr>
          <w:p w:rsidR="00E73BF2" w:rsidRPr="00E73BF2" w:rsidP="00E73BF2" w14:paraId="19145EC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Attend retest</w:t>
            </w:r>
          </w:p>
        </w:tc>
        <w:tc>
          <w:tcPr>
            <w:tcW w:w="1256" w:type="dxa"/>
            <w:hideMark/>
          </w:tcPr>
          <w:p w:rsidR="00E73BF2" w:rsidRPr="00E73BF2" w:rsidP="00E73BF2" w14:paraId="3D85DA0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341" w:type="dxa"/>
            <w:hideMark/>
          </w:tcPr>
          <w:p w:rsidR="00E73BF2" w:rsidRPr="00E73BF2" w:rsidP="00E73BF2" w14:paraId="530A438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hideMark/>
          </w:tcPr>
          <w:p w:rsidR="00E73BF2" w:rsidRPr="00E73BF2" w:rsidP="00E73BF2" w14:paraId="4BCDEEC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48</w:t>
            </w:r>
          </w:p>
        </w:tc>
        <w:tc>
          <w:tcPr>
            <w:tcW w:w="1415" w:type="dxa"/>
            <w:hideMark/>
          </w:tcPr>
          <w:p w:rsidR="00E73BF2" w:rsidRPr="00E73BF2" w:rsidP="00E73BF2" w14:paraId="364E4CD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w:t>
            </w:r>
          </w:p>
        </w:tc>
        <w:tc>
          <w:tcPr>
            <w:tcW w:w="1134" w:type="dxa"/>
            <w:hideMark/>
          </w:tcPr>
          <w:p w:rsidR="00E73BF2" w:rsidRPr="00E73BF2" w:rsidP="00E73BF2" w14:paraId="74E6BA4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240</w:t>
            </w:r>
          </w:p>
        </w:tc>
        <w:tc>
          <w:tcPr>
            <w:tcW w:w="1452" w:type="dxa"/>
            <w:hideMark/>
          </w:tcPr>
          <w:p w:rsidR="00E73BF2" w:rsidRPr="00E73BF2" w:rsidP="00E73BF2" w14:paraId="5286393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w:t>
            </w:r>
          </w:p>
        </w:tc>
        <w:tc>
          <w:tcPr>
            <w:tcW w:w="1116" w:type="dxa"/>
            <w:hideMark/>
          </w:tcPr>
          <w:p w:rsidR="00E73BF2" w:rsidRPr="00E73BF2" w:rsidP="00E73BF2" w14:paraId="024F09E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366" w:type="dxa"/>
            <w:hideMark/>
          </w:tcPr>
          <w:p w:rsidR="00E73BF2" w:rsidRPr="00E73BF2" w:rsidP="00E73BF2" w14:paraId="2D3C42A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$34,802.28 </w:t>
            </w:r>
          </w:p>
        </w:tc>
      </w:tr>
      <w:tr w14:paraId="1ECFDF19" w14:textId="77777777" w:rsidTr="00325C1E">
        <w:tblPrEx>
          <w:tblW w:w="5105" w:type="pct"/>
          <w:tblLook w:val="04A0"/>
        </w:tblPrEx>
        <w:trPr>
          <w:trHeight w:val="287"/>
        </w:trPr>
        <w:tc>
          <w:tcPr>
            <w:tcW w:w="2965" w:type="dxa"/>
            <w:noWrap/>
            <w:hideMark/>
          </w:tcPr>
          <w:p w:rsidR="00E73BF2" w:rsidRPr="00E73BF2" w:rsidP="00E73BF2" w14:paraId="585A3CD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C. Create information</w:t>
            </w:r>
          </w:p>
        </w:tc>
        <w:tc>
          <w:tcPr>
            <w:tcW w:w="1256" w:type="dxa"/>
            <w:hideMark/>
          </w:tcPr>
          <w:p w:rsidR="00E73BF2" w:rsidRPr="00E73BF2" w:rsidP="00E73BF2" w14:paraId="18DBCE1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See 3B</w:t>
            </w:r>
          </w:p>
        </w:tc>
        <w:tc>
          <w:tcPr>
            <w:tcW w:w="1341" w:type="dxa"/>
            <w:hideMark/>
          </w:tcPr>
          <w:p w:rsidR="00E73BF2" w:rsidRPr="00E73BF2" w:rsidP="00E73BF2" w14:paraId="437EB3C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6EC3CE8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68D801B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41C5B08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5812F57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6A60248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05656B3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5049AC02" w14:textId="77777777" w:rsidTr="00325C1E">
        <w:tblPrEx>
          <w:tblW w:w="5105" w:type="pct"/>
          <w:tblLook w:val="04A0"/>
        </w:tblPrEx>
        <w:trPr>
          <w:trHeight w:val="287"/>
        </w:trPr>
        <w:tc>
          <w:tcPr>
            <w:tcW w:w="2965" w:type="dxa"/>
            <w:noWrap/>
            <w:hideMark/>
          </w:tcPr>
          <w:p w:rsidR="00E73BF2" w:rsidRPr="00E73BF2" w:rsidP="00E73BF2" w14:paraId="27AE970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D. Gather existing information</w:t>
            </w:r>
          </w:p>
        </w:tc>
        <w:tc>
          <w:tcPr>
            <w:tcW w:w="1256" w:type="dxa"/>
            <w:hideMark/>
          </w:tcPr>
          <w:p w:rsidR="00E73BF2" w:rsidRPr="00E73BF2" w:rsidP="00E73BF2" w14:paraId="6FE5A6C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See 3B</w:t>
            </w:r>
          </w:p>
        </w:tc>
        <w:tc>
          <w:tcPr>
            <w:tcW w:w="1341" w:type="dxa"/>
            <w:hideMark/>
          </w:tcPr>
          <w:p w:rsidR="00E73BF2" w:rsidRPr="00E73BF2" w:rsidP="00E73BF2" w14:paraId="583D524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438A4A0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2B46DF6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58F4A19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3BE7384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3065E3C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4FDF9AF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0450E3CB" w14:textId="77777777" w:rsidTr="00325C1E">
        <w:tblPrEx>
          <w:tblW w:w="5105" w:type="pct"/>
          <w:tblLook w:val="04A0"/>
        </w:tblPrEx>
        <w:trPr>
          <w:trHeight w:val="287"/>
        </w:trPr>
        <w:tc>
          <w:tcPr>
            <w:tcW w:w="2965" w:type="dxa"/>
            <w:noWrap/>
            <w:hideMark/>
          </w:tcPr>
          <w:p w:rsidR="00E73BF2" w:rsidRPr="00E73BF2" w:rsidP="00E73BF2" w14:paraId="3558A93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E. Write reports</w:t>
            </w:r>
          </w:p>
        </w:tc>
        <w:tc>
          <w:tcPr>
            <w:tcW w:w="1256" w:type="dxa"/>
            <w:hideMark/>
          </w:tcPr>
          <w:p w:rsidR="00E73BF2" w:rsidRPr="00E73BF2" w:rsidP="00E73BF2" w14:paraId="25613AD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1E1B0DF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0EF4927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57A43DE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52E833E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311C862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2E53607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4FA83D9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213B9265" w14:textId="77777777" w:rsidTr="00325C1E">
        <w:tblPrEx>
          <w:tblW w:w="5105" w:type="pct"/>
          <w:tblLook w:val="04A0"/>
        </w:tblPrEx>
        <w:trPr>
          <w:trHeight w:val="311"/>
        </w:trPr>
        <w:tc>
          <w:tcPr>
            <w:tcW w:w="2965" w:type="dxa"/>
            <w:hideMark/>
          </w:tcPr>
          <w:p w:rsidR="00E73BF2" w:rsidRPr="00E73BF2" w:rsidP="00E73BF2" w14:paraId="2E3F8CD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Notifications</w:t>
            </w:r>
          </w:p>
        </w:tc>
        <w:tc>
          <w:tcPr>
            <w:tcW w:w="1256" w:type="dxa"/>
            <w:hideMark/>
          </w:tcPr>
          <w:p w:rsidR="00E73BF2" w:rsidRPr="00E73BF2" w:rsidP="00E73BF2" w14:paraId="570B8A8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70CEE04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4B7F89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76C5B92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1A5E185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26D89A8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5EADB7A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496ACCB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60D1A46D" w14:textId="77777777" w:rsidTr="00325C1E">
        <w:tblPrEx>
          <w:tblW w:w="5105" w:type="pct"/>
          <w:tblLook w:val="04A0"/>
        </w:tblPrEx>
        <w:trPr>
          <w:trHeight w:val="287"/>
        </w:trPr>
        <w:tc>
          <w:tcPr>
            <w:tcW w:w="2965" w:type="dxa"/>
            <w:hideMark/>
          </w:tcPr>
          <w:p w:rsidR="00E73BF2" w:rsidRPr="00E73BF2" w:rsidP="00E73BF2" w14:paraId="056BFC5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Notification of construction/reconstruction</w:t>
            </w:r>
          </w:p>
        </w:tc>
        <w:tc>
          <w:tcPr>
            <w:tcW w:w="1256" w:type="dxa"/>
            <w:hideMark/>
          </w:tcPr>
          <w:p w:rsidR="00E73BF2" w:rsidRPr="00E73BF2" w:rsidP="00E73BF2" w14:paraId="1ABC72A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hideMark/>
          </w:tcPr>
          <w:p w:rsidR="00E73BF2" w:rsidRPr="00E73BF2" w:rsidP="00E73BF2" w14:paraId="4A87D48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57F100A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hideMark/>
          </w:tcPr>
          <w:p w:rsidR="00E73BF2" w:rsidRPr="00E73BF2" w:rsidP="00E73BF2" w14:paraId="53B3F18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hideMark/>
          </w:tcPr>
          <w:p w:rsidR="00E73BF2" w:rsidRPr="00E73BF2" w:rsidP="00E73BF2" w14:paraId="394655A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52" w:type="dxa"/>
            <w:hideMark/>
          </w:tcPr>
          <w:p w:rsidR="00E73BF2" w:rsidRPr="00E73BF2" w:rsidP="00E73BF2" w14:paraId="5A50168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0.10</w:t>
            </w:r>
          </w:p>
        </w:tc>
        <w:tc>
          <w:tcPr>
            <w:tcW w:w="1116" w:type="dxa"/>
            <w:hideMark/>
          </w:tcPr>
          <w:p w:rsidR="00E73BF2" w:rsidRPr="00E73BF2" w:rsidP="00E73BF2" w14:paraId="4D7CD10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0.20</w:t>
            </w:r>
          </w:p>
        </w:tc>
        <w:tc>
          <w:tcPr>
            <w:tcW w:w="1366" w:type="dxa"/>
            <w:hideMark/>
          </w:tcPr>
          <w:p w:rsidR="00E73BF2" w:rsidRPr="00E73BF2" w:rsidP="00E73BF2" w14:paraId="486B8B7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$290.02 </w:t>
            </w:r>
          </w:p>
        </w:tc>
      </w:tr>
      <w:tr w14:paraId="7CE535F5" w14:textId="77777777" w:rsidTr="00325C1E">
        <w:tblPrEx>
          <w:tblW w:w="5105" w:type="pct"/>
          <w:tblLook w:val="04A0"/>
        </w:tblPrEx>
        <w:trPr>
          <w:trHeight w:val="287"/>
        </w:trPr>
        <w:tc>
          <w:tcPr>
            <w:tcW w:w="2965" w:type="dxa"/>
            <w:hideMark/>
          </w:tcPr>
          <w:p w:rsidR="00E73BF2" w:rsidRPr="00E73BF2" w:rsidP="00E73BF2" w14:paraId="659DC7C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Notification of actual startup</w:t>
            </w:r>
          </w:p>
        </w:tc>
        <w:tc>
          <w:tcPr>
            <w:tcW w:w="1256" w:type="dxa"/>
            <w:hideMark/>
          </w:tcPr>
          <w:p w:rsidR="00E73BF2" w:rsidRPr="00E73BF2" w:rsidP="00E73BF2" w14:paraId="710629D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hideMark/>
          </w:tcPr>
          <w:p w:rsidR="00E73BF2" w:rsidRPr="00E73BF2" w:rsidP="00E73BF2" w14:paraId="1480AD7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278BB8A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hideMark/>
          </w:tcPr>
          <w:p w:rsidR="00E73BF2" w:rsidRPr="00E73BF2" w:rsidP="00E73BF2" w14:paraId="3636986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hideMark/>
          </w:tcPr>
          <w:p w:rsidR="00E73BF2" w:rsidRPr="00E73BF2" w:rsidP="00E73BF2" w14:paraId="6781B62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52" w:type="dxa"/>
            <w:hideMark/>
          </w:tcPr>
          <w:p w:rsidR="00E73BF2" w:rsidRPr="00E73BF2" w:rsidP="00E73BF2" w14:paraId="7635F75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0.10</w:t>
            </w:r>
          </w:p>
        </w:tc>
        <w:tc>
          <w:tcPr>
            <w:tcW w:w="1116" w:type="dxa"/>
            <w:hideMark/>
          </w:tcPr>
          <w:p w:rsidR="00E73BF2" w:rsidRPr="00E73BF2" w:rsidP="00E73BF2" w14:paraId="0F5ECA8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0.20</w:t>
            </w:r>
          </w:p>
        </w:tc>
        <w:tc>
          <w:tcPr>
            <w:tcW w:w="1366" w:type="dxa"/>
            <w:hideMark/>
          </w:tcPr>
          <w:p w:rsidR="00E73BF2" w:rsidRPr="00E73BF2" w:rsidP="00E73BF2" w14:paraId="428B811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$290.02 </w:t>
            </w:r>
          </w:p>
        </w:tc>
      </w:tr>
      <w:tr w14:paraId="0967CAD5" w14:textId="77777777" w:rsidTr="00325C1E">
        <w:tblPrEx>
          <w:tblW w:w="5105" w:type="pct"/>
          <w:tblLook w:val="04A0"/>
        </w:tblPrEx>
        <w:trPr>
          <w:trHeight w:val="287"/>
        </w:trPr>
        <w:tc>
          <w:tcPr>
            <w:tcW w:w="2965" w:type="dxa"/>
            <w:hideMark/>
          </w:tcPr>
          <w:p w:rsidR="00E73BF2" w:rsidRPr="00E73BF2" w:rsidP="00E73BF2" w14:paraId="005404F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Notification of applicability of standard</w:t>
            </w:r>
          </w:p>
        </w:tc>
        <w:tc>
          <w:tcPr>
            <w:tcW w:w="1256" w:type="dxa"/>
            <w:hideMark/>
          </w:tcPr>
          <w:p w:rsidR="00E73BF2" w:rsidRPr="00E73BF2" w:rsidP="00E73BF2" w14:paraId="324E850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hideMark/>
          </w:tcPr>
          <w:p w:rsidR="00E73BF2" w:rsidRPr="00E73BF2" w:rsidP="00E73BF2" w14:paraId="0951C0C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205D376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hideMark/>
          </w:tcPr>
          <w:p w:rsidR="00E73BF2" w:rsidRPr="00E73BF2" w:rsidP="00E73BF2" w14:paraId="3322811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hideMark/>
          </w:tcPr>
          <w:p w:rsidR="00E73BF2" w:rsidRPr="00E73BF2" w:rsidP="00E73BF2" w14:paraId="4DBE5A8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52" w:type="dxa"/>
            <w:hideMark/>
          </w:tcPr>
          <w:p w:rsidR="00E73BF2" w:rsidRPr="00E73BF2" w:rsidP="00E73BF2" w14:paraId="1AA4598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0.10</w:t>
            </w:r>
          </w:p>
        </w:tc>
        <w:tc>
          <w:tcPr>
            <w:tcW w:w="1116" w:type="dxa"/>
            <w:hideMark/>
          </w:tcPr>
          <w:p w:rsidR="00E73BF2" w:rsidRPr="00E73BF2" w:rsidP="00E73BF2" w14:paraId="2E0B00A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0.20</w:t>
            </w:r>
          </w:p>
        </w:tc>
        <w:tc>
          <w:tcPr>
            <w:tcW w:w="1366" w:type="dxa"/>
            <w:hideMark/>
          </w:tcPr>
          <w:p w:rsidR="00E73BF2" w:rsidRPr="00E73BF2" w:rsidP="00E73BF2" w14:paraId="77260A5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$290.02 </w:t>
            </w:r>
          </w:p>
        </w:tc>
      </w:tr>
      <w:tr w14:paraId="250BFCC2" w14:textId="77777777" w:rsidTr="00325C1E">
        <w:tblPrEx>
          <w:tblW w:w="5105" w:type="pct"/>
          <w:tblLook w:val="04A0"/>
        </w:tblPrEx>
        <w:trPr>
          <w:trHeight w:val="287"/>
        </w:trPr>
        <w:tc>
          <w:tcPr>
            <w:tcW w:w="2965" w:type="dxa"/>
            <w:hideMark/>
          </w:tcPr>
          <w:p w:rsidR="00E73BF2" w:rsidRPr="00E73BF2" w:rsidP="00E73BF2" w14:paraId="6DDD006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Notification of compliance status </w:t>
            </w:r>
            <w:r w:rsidRPr="00E73BF2">
              <w:rPr>
                <w:rFonts w:eastAsia="Times New Roman" w:cstheme="minorHAnsi"/>
                <w:sz w:val="21"/>
                <w:szCs w:val="21"/>
                <w:vertAlign w:val="superscript"/>
              </w:rPr>
              <w:t>e,f</w:t>
            </w:r>
          </w:p>
        </w:tc>
        <w:tc>
          <w:tcPr>
            <w:tcW w:w="1256" w:type="dxa"/>
            <w:hideMark/>
          </w:tcPr>
          <w:p w:rsidR="00E73BF2" w:rsidRPr="00E73BF2" w:rsidP="00E73BF2" w14:paraId="5265640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80</w:t>
            </w:r>
          </w:p>
        </w:tc>
        <w:tc>
          <w:tcPr>
            <w:tcW w:w="1341" w:type="dxa"/>
            <w:hideMark/>
          </w:tcPr>
          <w:p w:rsidR="00E73BF2" w:rsidRPr="00E73BF2" w:rsidP="00E73BF2" w14:paraId="16BA6C7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08E076A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80</w:t>
            </w:r>
          </w:p>
        </w:tc>
        <w:tc>
          <w:tcPr>
            <w:tcW w:w="1415" w:type="dxa"/>
            <w:hideMark/>
          </w:tcPr>
          <w:p w:rsidR="00E73BF2" w:rsidRPr="00E73BF2" w:rsidP="00E73BF2" w14:paraId="2635124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hideMark/>
          </w:tcPr>
          <w:p w:rsidR="00E73BF2" w:rsidRPr="00E73BF2" w:rsidP="00E73BF2" w14:paraId="5D0B025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80</w:t>
            </w:r>
          </w:p>
        </w:tc>
        <w:tc>
          <w:tcPr>
            <w:tcW w:w="1452" w:type="dxa"/>
            <w:hideMark/>
          </w:tcPr>
          <w:p w:rsidR="00E73BF2" w:rsidRPr="00E73BF2" w:rsidP="00E73BF2" w14:paraId="0A648CB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4.00</w:t>
            </w:r>
          </w:p>
        </w:tc>
        <w:tc>
          <w:tcPr>
            <w:tcW w:w="1116" w:type="dxa"/>
            <w:hideMark/>
          </w:tcPr>
          <w:p w:rsidR="00E73BF2" w:rsidRPr="00E73BF2" w:rsidP="00E73BF2" w14:paraId="4E76C6D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8.00</w:t>
            </w:r>
          </w:p>
        </w:tc>
        <w:tc>
          <w:tcPr>
            <w:tcW w:w="1366" w:type="dxa"/>
            <w:hideMark/>
          </w:tcPr>
          <w:p w:rsidR="00E73BF2" w:rsidRPr="00E73BF2" w:rsidP="00E73BF2" w14:paraId="3DB6B3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$11,600.76 </w:t>
            </w:r>
          </w:p>
        </w:tc>
      </w:tr>
      <w:tr w14:paraId="23EDEEF9" w14:textId="77777777" w:rsidTr="00325C1E">
        <w:tblPrEx>
          <w:tblW w:w="5105" w:type="pct"/>
          <w:tblLook w:val="04A0"/>
        </w:tblPrEx>
        <w:trPr>
          <w:trHeight w:val="287"/>
        </w:trPr>
        <w:tc>
          <w:tcPr>
            <w:tcW w:w="2965" w:type="dxa"/>
            <w:hideMark/>
          </w:tcPr>
          <w:p w:rsidR="00E73BF2" w:rsidRPr="00E73BF2" w:rsidP="00E73BF2" w14:paraId="57EC6F9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Notification of performance test/retest </w:t>
            </w:r>
            <w:r w:rsidRPr="00E73BF2">
              <w:rPr>
                <w:rFonts w:eastAsia="Times New Roman" w:cstheme="minorHAnsi"/>
                <w:sz w:val="21"/>
                <w:szCs w:val="21"/>
                <w:vertAlign w:val="superscript"/>
              </w:rPr>
              <w:t>g</w:t>
            </w:r>
          </w:p>
        </w:tc>
        <w:tc>
          <w:tcPr>
            <w:tcW w:w="1256" w:type="dxa"/>
            <w:hideMark/>
          </w:tcPr>
          <w:p w:rsidR="00E73BF2" w:rsidRPr="00E73BF2" w:rsidP="00E73BF2" w14:paraId="24831C1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hideMark/>
          </w:tcPr>
          <w:p w:rsidR="00E73BF2" w:rsidRPr="00E73BF2" w:rsidP="00E73BF2" w14:paraId="54D9D62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43F985A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hideMark/>
          </w:tcPr>
          <w:p w:rsidR="00E73BF2" w:rsidRPr="00E73BF2" w:rsidP="00E73BF2" w14:paraId="5689890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34" w:type="dxa"/>
            <w:hideMark/>
          </w:tcPr>
          <w:p w:rsidR="00E73BF2" w:rsidRPr="00E73BF2" w:rsidP="00E73BF2" w14:paraId="755A82D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452" w:type="dxa"/>
            <w:hideMark/>
          </w:tcPr>
          <w:p w:rsidR="00E73BF2" w:rsidRPr="00E73BF2" w:rsidP="00E73BF2" w14:paraId="2C5A863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16" w:type="dxa"/>
            <w:hideMark/>
          </w:tcPr>
          <w:p w:rsidR="00E73BF2" w:rsidRPr="00E73BF2" w:rsidP="00E73BF2" w14:paraId="27DCB00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366" w:type="dxa"/>
            <w:hideMark/>
          </w:tcPr>
          <w:p w:rsidR="00E73BF2" w:rsidRPr="00E73BF2" w:rsidP="00E73BF2" w14:paraId="585A86B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$11,020.72 </w:t>
            </w:r>
          </w:p>
        </w:tc>
      </w:tr>
      <w:tr w14:paraId="04C9994B" w14:textId="77777777" w:rsidTr="00325C1E">
        <w:tblPrEx>
          <w:tblW w:w="5105" w:type="pct"/>
          <w:tblLook w:val="04A0"/>
        </w:tblPrEx>
        <w:trPr>
          <w:trHeight w:val="287"/>
        </w:trPr>
        <w:tc>
          <w:tcPr>
            <w:tcW w:w="2965" w:type="dxa"/>
            <w:hideMark/>
          </w:tcPr>
          <w:p w:rsidR="00E73BF2" w:rsidRPr="00E73BF2" w:rsidP="00E73BF2" w14:paraId="79F5828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Notification of performance evaluation </w:t>
            </w:r>
            <w:r w:rsidRPr="00E73BF2">
              <w:rPr>
                <w:rFonts w:eastAsia="Times New Roman" w:cstheme="minorHAnsi"/>
                <w:sz w:val="21"/>
                <w:szCs w:val="21"/>
                <w:vertAlign w:val="superscript"/>
              </w:rPr>
              <w:t>g</w:t>
            </w:r>
          </w:p>
        </w:tc>
        <w:tc>
          <w:tcPr>
            <w:tcW w:w="1256" w:type="dxa"/>
            <w:hideMark/>
          </w:tcPr>
          <w:p w:rsidR="00E73BF2" w:rsidRPr="00E73BF2" w:rsidP="00E73BF2" w14:paraId="5A9E289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hideMark/>
          </w:tcPr>
          <w:p w:rsidR="00E73BF2" w:rsidRPr="00E73BF2" w:rsidP="00E73BF2" w14:paraId="00894E0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2E833C7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hideMark/>
          </w:tcPr>
          <w:p w:rsidR="00E73BF2" w:rsidRPr="00E73BF2" w:rsidP="00E73BF2" w14:paraId="7BB32D2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34" w:type="dxa"/>
            <w:hideMark/>
          </w:tcPr>
          <w:p w:rsidR="00E73BF2" w:rsidRPr="00E73BF2" w:rsidP="00E73BF2" w14:paraId="23D7C53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452" w:type="dxa"/>
            <w:hideMark/>
          </w:tcPr>
          <w:p w:rsidR="00E73BF2" w:rsidRPr="00E73BF2" w:rsidP="00E73BF2" w14:paraId="27B585E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16" w:type="dxa"/>
            <w:hideMark/>
          </w:tcPr>
          <w:p w:rsidR="00E73BF2" w:rsidRPr="00E73BF2" w:rsidP="00E73BF2" w14:paraId="79DECE3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366" w:type="dxa"/>
            <w:hideMark/>
          </w:tcPr>
          <w:p w:rsidR="00E73BF2" w:rsidRPr="00E73BF2" w:rsidP="00E73BF2" w14:paraId="739A62B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$11,020.72 </w:t>
            </w:r>
          </w:p>
        </w:tc>
      </w:tr>
      <w:tr w14:paraId="3BC4551F" w14:textId="77777777" w:rsidTr="00325C1E">
        <w:tblPrEx>
          <w:tblW w:w="5105" w:type="pct"/>
          <w:tblLook w:val="04A0"/>
        </w:tblPrEx>
        <w:trPr>
          <w:trHeight w:val="575"/>
        </w:trPr>
        <w:tc>
          <w:tcPr>
            <w:tcW w:w="2965" w:type="dxa"/>
            <w:hideMark/>
          </w:tcPr>
          <w:p w:rsidR="00E73BF2" w:rsidRPr="00E73BF2" w:rsidP="00E73BF2" w14:paraId="450A762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 Report of performance test/retest (through CEDRI using ERT) </w:t>
            </w:r>
            <w:r w:rsidRPr="00E73BF2">
              <w:rPr>
                <w:rFonts w:eastAsia="Times New Roman" w:cstheme="minorHAnsi"/>
                <w:sz w:val="21"/>
                <w:szCs w:val="21"/>
                <w:vertAlign w:val="superscript"/>
              </w:rPr>
              <w:t>g</w:t>
            </w:r>
          </w:p>
        </w:tc>
        <w:tc>
          <w:tcPr>
            <w:tcW w:w="1256" w:type="dxa"/>
            <w:hideMark/>
          </w:tcPr>
          <w:p w:rsidR="00E73BF2" w:rsidRPr="00E73BF2" w:rsidP="00E73BF2" w14:paraId="3D62F6C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341" w:type="dxa"/>
            <w:hideMark/>
          </w:tcPr>
          <w:p w:rsidR="00E73BF2" w:rsidRPr="00E73BF2" w:rsidP="00E73BF2" w14:paraId="18A216D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hideMark/>
          </w:tcPr>
          <w:p w:rsidR="00E73BF2" w:rsidRPr="00E73BF2" w:rsidP="00E73BF2" w14:paraId="1D54360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415" w:type="dxa"/>
            <w:hideMark/>
          </w:tcPr>
          <w:p w:rsidR="00E73BF2" w:rsidRPr="00E73BF2" w:rsidP="00E73BF2" w14:paraId="42A9ECF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34" w:type="dxa"/>
            <w:hideMark/>
          </w:tcPr>
          <w:p w:rsidR="00E73BF2" w:rsidRPr="00E73BF2" w:rsidP="00E73BF2" w14:paraId="0BF540B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304</w:t>
            </w:r>
          </w:p>
        </w:tc>
        <w:tc>
          <w:tcPr>
            <w:tcW w:w="1452" w:type="dxa"/>
            <w:hideMark/>
          </w:tcPr>
          <w:p w:rsidR="00E73BF2" w:rsidRPr="00E73BF2" w:rsidP="00E73BF2" w14:paraId="5AC1472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15.2</w:t>
            </w:r>
          </w:p>
        </w:tc>
        <w:tc>
          <w:tcPr>
            <w:tcW w:w="1116" w:type="dxa"/>
            <w:hideMark/>
          </w:tcPr>
          <w:p w:rsidR="00E73BF2" w:rsidRPr="00E73BF2" w:rsidP="00E73BF2" w14:paraId="43D4BC9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30.4</w:t>
            </w:r>
          </w:p>
        </w:tc>
        <w:tc>
          <w:tcPr>
            <w:tcW w:w="1366" w:type="dxa"/>
            <w:hideMark/>
          </w:tcPr>
          <w:p w:rsidR="00E73BF2" w:rsidRPr="00E73BF2" w:rsidP="00E73BF2" w14:paraId="53533FD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$44,082.89 </w:t>
            </w:r>
          </w:p>
        </w:tc>
      </w:tr>
      <w:tr w14:paraId="23C8DDFF" w14:textId="77777777" w:rsidTr="00325C1E">
        <w:tblPrEx>
          <w:tblW w:w="5105" w:type="pct"/>
          <w:tblLook w:val="04A0"/>
        </w:tblPrEx>
        <w:trPr>
          <w:trHeight w:val="311"/>
        </w:trPr>
        <w:tc>
          <w:tcPr>
            <w:tcW w:w="2965" w:type="dxa"/>
            <w:noWrap/>
            <w:hideMark/>
          </w:tcPr>
          <w:p w:rsidR="00E73BF2" w:rsidRPr="00E73BF2" w:rsidP="00E73BF2" w14:paraId="76026D6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 Excess emissions report (through CEDRI) </w:t>
            </w:r>
            <w:r w:rsidRPr="00E73BF2">
              <w:rPr>
                <w:rFonts w:eastAsia="Times New Roman" w:cstheme="minorHAnsi"/>
                <w:sz w:val="21"/>
                <w:szCs w:val="21"/>
                <w:vertAlign w:val="superscript"/>
              </w:rPr>
              <w:t>h</w:t>
            </w:r>
          </w:p>
        </w:tc>
        <w:tc>
          <w:tcPr>
            <w:tcW w:w="1256" w:type="dxa"/>
            <w:hideMark/>
          </w:tcPr>
          <w:p w:rsidR="00E73BF2" w:rsidRPr="00E73BF2" w:rsidP="00E73BF2" w14:paraId="562D401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2100D3D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37CB303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0904F99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1EE88A6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5A13264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2BB051D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2640ECC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62205EA8" w14:textId="77777777" w:rsidTr="00325C1E">
        <w:tblPrEx>
          <w:tblW w:w="5105" w:type="pct"/>
          <w:tblLook w:val="04A0"/>
        </w:tblPrEx>
        <w:trPr>
          <w:trHeight w:val="527"/>
        </w:trPr>
        <w:tc>
          <w:tcPr>
            <w:tcW w:w="2965" w:type="dxa"/>
            <w:hideMark/>
          </w:tcPr>
          <w:p w:rsidR="00E73BF2" w:rsidRPr="00E73BF2" w:rsidP="00E73BF2" w14:paraId="6BF9469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 Semiannual reports of monitoring exceedances and periods of noncompliance</w:t>
            </w:r>
          </w:p>
        </w:tc>
        <w:tc>
          <w:tcPr>
            <w:tcW w:w="1256" w:type="dxa"/>
            <w:hideMark/>
          </w:tcPr>
          <w:p w:rsidR="00E73BF2" w:rsidRPr="00E73BF2" w:rsidP="00E73BF2" w14:paraId="55160F9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341" w:type="dxa"/>
            <w:hideMark/>
          </w:tcPr>
          <w:p w:rsidR="00E73BF2" w:rsidRPr="00E73BF2" w:rsidP="00E73BF2" w14:paraId="4A60A3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hideMark/>
          </w:tcPr>
          <w:p w:rsidR="00E73BF2" w:rsidRPr="00E73BF2" w:rsidP="00E73BF2" w14:paraId="786817A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32</w:t>
            </w:r>
          </w:p>
        </w:tc>
        <w:tc>
          <w:tcPr>
            <w:tcW w:w="1415" w:type="dxa"/>
            <w:hideMark/>
          </w:tcPr>
          <w:p w:rsidR="00E73BF2" w:rsidRPr="00E73BF2" w:rsidP="00E73BF2" w14:paraId="4C5F441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w:t>
            </w:r>
          </w:p>
        </w:tc>
        <w:tc>
          <w:tcPr>
            <w:tcW w:w="1134" w:type="dxa"/>
            <w:hideMark/>
          </w:tcPr>
          <w:p w:rsidR="00E73BF2" w:rsidRPr="00E73BF2" w:rsidP="00E73BF2" w14:paraId="7DC4270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160</w:t>
            </w:r>
          </w:p>
        </w:tc>
        <w:tc>
          <w:tcPr>
            <w:tcW w:w="1452" w:type="dxa"/>
            <w:hideMark/>
          </w:tcPr>
          <w:p w:rsidR="00E73BF2" w:rsidRPr="00E73BF2" w:rsidP="00E73BF2" w14:paraId="69194CD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116" w:type="dxa"/>
            <w:hideMark/>
          </w:tcPr>
          <w:p w:rsidR="00E73BF2" w:rsidRPr="00E73BF2" w:rsidP="00E73BF2" w14:paraId="0AA5E18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366" w:type="dxa"/>
            <w:hideMark/>
          </w:tcPr>
          <w:p w:rsidR="00E73BF2" w:rsidRPr="00E73BF2" w:rsidP="00E73BF2" w14:paraId="18C8959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$23,201.52 </w:t>
            </w:r>
          </w:p>
        </w:tc>
      </w:tr>
      <w:tr w14:paraId="3BFDA6B2" w14:textId="77777777" w:rsidTr="00325C1E">
        <w:tblPrEx>
          <w:tblW w:w="5105" w:type="pct"/>
          <w:tblLook w:val="04A0"/>
        </w:tblPrEx>
        <w:trPr>
          <w:trHeight w:val="287"/>
        </w:trPr>
        <w:tc>
          <w:tcPr>
            <w:tcW w:w="2965" w:type="dxa"/>
            <w:noWrap/>
            <w:hideMark/>
          </w:tcPr>
          <w:p w:rsidR="00E73BF2" w:rsidRPr="00E73BF2" w:rsidP="00E73BF2" w14:paraId="0EDC3CD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 Semiannual reports of no exceedances</w:t>
            </w:r>
          </w:p>
        </w:tc>
        <w:tc>
          <w:tcPr>
            <w:tcW w:w="1256" w:type="dxa"/>
            <w:hideMark/>
          </w:tcPr>
          <w:p w:rsidR="00E73BF2" w:rsidRPr="00E73BF2" w:rsidP="00E73BF2" w14:paraId="32167D2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341" w:type="dxa"/>
            <w:hideMark/>
          </w:tcPr>
          <w:p w:rsidR="00E73BF2" w:rsidRPr="00E73BF2" w:rsidP="00E73BF2" w14:paraId="23CB85A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hideMark/>
          </w:tcPr>
          <w:p w:rsidR="00E73BF2" w:rsidRPr="00E73BF2" w:rsidP="00E73BF2" w14:paraId="51D40F2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415" w:type="dxa"/>
            <w:hideMark/>
          </w:tcPr>
          <w:p w:rsidR="00E73BF2" w:rsidRPr="00E73BF2" w:rsidP="00E73BF2" w14:paraId="4F55DB5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91</w:t>
            </w:r>
          </w:p>
        </w:tc>
        <w:tc>
          <w:tcPr>
            <w:tcW w:w="1134" w:type="dxa"/>
            <w:hideMark/>
          </w:tcPr>
          <w:p w:rsidR="00E73BF2" w:rsidRPr="00E73BF2" w:rsidP="00E73BF2" w14:paraId="2BCCEE8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1,456</w:t>
            </w:r>
          </w:p>
        </w:tc>
        <w:tc>
          <w:tcPr>
            <w:tcW w:w="1452" w:type="dxa"/>
            <w:hideMark/>
          </w:tcPr>
          <w:p w:rsidR="00E73BF2" w:rsidRPr="00E73BF2" w:rsidP="00E73BF2" w14:paraId="6FE77AE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72.8</w:t>
            </w:r>
          </w:p>
        </w:tc>
        <w:tc>
          <w:tcPr>
            <w:tcW w:w="1116" w:type="dxa"/>
            <w:hideMark/>
          </w:tcPr>
          <w:p w:rsidR="00E73BF2" w:rsidRPr="00E73BF2" w:rsidP="00E73BF2" w14:paraId="1E638D5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145.6</w:t>
            </w:r>
          </w:p>
        </w:tc>
        <w:tc>
          <w:tcPr>
            <w:tcW w:w="1366" w:type="dxa"/>
            <w:hideMark/>
          </w:tcPr>
          <w:p w:rsidR="00E73BF2" w:rsidRPr="00E73BF2" w:rsidP="00E73BF2" w14:paraId="6C3157A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$211,133.83 </w:t>
            </w:r>
          </w:p>
        </w:tc>
      </w:tr>
      <w:tr w14:paraId="167679AC" w14:textId="77777777" w:rsidTr="00325C1E">
        <w:tblPrEx>
          <w:tblW w:w="5105" w:type="pct"/>
          <w:tblLook w:val="04A0"/>
        </w:tblPrEx>
        <w:trPr>
          <w:trHeight w:val="287"/>
        </w:trPr>
        <w:tc>
          <w:tcPr>
            <w:tcW w:w="2965" w:type="dxa"/>
            <w:noWrap/>
            <w:hideMark/>
          </w:tcPr>
          <w:p w:rsidR="00E73BF2" w:rsidRPr="00E73BF2" w:rsidP="00E73BF2" w14:paraId="0CF0D781" w14:textId="77777777">
            <w:pPr>
              <w:widowControl w:val="0"/>
              <w:autoSpaceDE w:val="0"/>
              <w:autoSpaceDN w:val="0"/>
              <w:adjustRightInd w:val="0"/>
              <w:ind w:left="0" w:firstLine="0"/>
              <w:rPr>
                <w:rFonts w:eastAsia="Times New Roman" w:cstheme="minorHAnsi"/>
                <w:i/>
                <w:iCs/>
                <w:sz w:val="21"/>
                <w:szCs w:val="21"/>
              </w:rPr>
            </w:pPr>
            <w:r w:rsidRPr="00E73BF2">
              <w:rPr>
                <w:rFonts w:eastAsia="Times New Roman" w:cstheme="minorHAnsi"/>
                <w:i/>
                <w:iCs/>
                <w:sz w:val="21"/>
                <w:szCs w:val="21"/>
              </w:rPr>
              <w:t>Subtotal for Reporting Requirements</w:t>
            </w:r>
          </w:p>
        </w:tc>
        <w:tc>
          <w:tcPr>
            <w:tcW w:w="1256" w:type="dxa"/>
            <w:hideMark/>
          </w:tcPr>
          <w:p w:rsidR="00E73BF2" w:rsidRPr="00E73BF2" w:rsidP="00E73BF2" w14:paraId="0E8825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180E2EC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7325B23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083359C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3702" w:type="dxa"/>
            <w:gridSpan w:val="3"/>
            <w:hideMark/>
          </w:tcPr>
          <w:p w:rsidR="00E73BF2" w:rsidRPr="00E73BF2" w:rsidP="00E73BF2" w14:paraId="3507E0C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4,911</w:t>
            </w:r>
          </w:p>
        </w:tc>
        <w:tc>
          <w:tcPr>
            <w:tcW w:w="1366" w:type="dxa"/>
            <w:hideMark/>
          </w:tcPr>
          <w:p w:rsidR="00E73BF2" w:rsidRPr="00E73BF2" w:rsidP="00E73BF2" w14:paraId="0A467EE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$619,191 </w:t>
            </w:r>
          </w:p>
          <w:p w:rsidR="00E73BF2" w:rsidRPr="00E73BF2" w:rsidP="00E73BF2" w14:paraId="4D7ED9CD" w14:textId="77777777">
            <w:pPr>
              <w:widowControl w:val="0"/>
              <w:autoSpaceDE w:val="0"/>
              <w:autoSpaceDN w:val="0"/>
              <w:adjustRightInd w:val="0"/>
              <w:ind w:left="0" w:firstLine="0"/>
              <w:rPr>
                <w:rFonts w:eastAsia="Times New Roman" w:cstheme="minorHAnsi"/>
                <w:sz w:val="21"/>
                <w:szCs w:val="21"/>
              </w:rPr>
            </w:pPr>
          </w:p>
        </w:tc>
      </w:tr>
      <w:tr w14:paraId="09816990" w14:textId="77777777" w:rsidTr="00325C1E">
        <w:tblPrEx>
          <w:tblW w:w="5105" w:type="pct"/>
          <w:tblLook w:val="04A0"/>
        </w:tblPrEx>
        <w:trPr>
          <w:trHeight w:val="287"/>
        </w:trPr>
        <w:tc>
          <w:tcPr>
            <w:tcW w:w="2965" w:type="dxa"/>
            <w:noWrap/>
            <w:hideMark/>
          </w:tcPr>
          <w:p w:rsidR="00E73BF2" w:rsidRPr="00E73BF2" w:rsidP="00E73BF2" w14:paraId="5A267A0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 Recordkeeping requirements</w:t>
            </w:r>
          </w:p>
        </w:tc>
        <w:tc>
          <w:tcPr>
            <w:tcW w:w="1256" w:type="dxa"/>
            <w:hideMark/>
          </w:tcPr>
          <w:p w:rsidR="00E73BF2" w:rsidRPr="00E73BF2" w:rsidP="00E73BF2" w14:paraId="112511E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562C81D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047DF46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6F16622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48C004E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0988D54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616AE9F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5D9DCAF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17F6AD26" w14:textId="77777777" w:rsidTr="00325C1E">
        <w:tblPrEx>
          <w:tblW w:w="5105" w:type="pct"/>
          <w:tblLook w:val="04A0"/>
        </w:tblPrEx>
        <w:trPr>
          <w:trHeight w:val="287"/>
        </w:trPr>
        <w:tc>
          <w:tcPr>
            <w:tcW w:w="2965" w:type="dxa"/>
            <w:noWrap/>
            <w:hideMark/>
          </w:tcPr>
          <w:p w:rsidR="00E73BF2" w:rsidRPr="00E73BF2" w:rsidP="00E73BF2" w14:paraId="44BB736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A. Read instructions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664647A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See 3A</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31387FD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F8DBD6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BA76E1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413703C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698D59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045E13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3DD9DA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6FAEBACD" w14:textId="77777777" w:rsidTr="00325C1E">
        <w:tblPrEx>
          <w:tblW w:w="5105" w:type="pct"/>
          <w:tblLook w:val="04A0"/>
        </w:tblPrEx>
        <w:trPr>
          <w:trHeight w:val="287"/>
        </w:trPr>
        <w:tc>
          <w:tcPr>
            <w:tcW w:w="2965" w:type="dxa"/>
            <w:noWrap/>
            <w:hideMark/>
          </w:tcPr>
          <w:p w:rsidR="00E73BF2" w:rsidRPr="00E73BF2" w:rsidP="00E73BF2" w14:paraId="6D5D406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B. Plan activities</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2D7B9E3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See 3B</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A71307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635E386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30A781B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25292F3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3804241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11EA916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6ED8011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05C8598A" w14:textId="77777777" w:rsidTr="00325C1E">
        <w:tblPrEx>
          <w:tblW w:w="5105" w:type="pct"/>
          <w:tblLook w:val="04A0"/>
        </w:tblPrEx>
        <w:trPr>
          <w:trHeight w:val="287"/>
        </w:trPr>
        <w:tc>
          <w:tcPr>
            <w:tcW w:w="2965" w:type="dxa"/>
            <w:noWrap/>
            <w:hideMark/>
          </w:tcPr>
          <w:p w:rsidR="00E73BF2" w:rsidRPr="00E73BF2" w:rsidP="00E73BF2" w14:paraId="1D41369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C. Implement activities</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9D8434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See 3B</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2898ECE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DC44C8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3EB8BA4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4FCDEF9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2A6DFCA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5882695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1E10CE5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280135A8" w14:textId="77777777" w:rsidTr="00325C1E">
        <w:tblPrEx>
          <w:tblW w:w="5105" w:type="pct"/>
          <w:tblLook w:val="04A0"/>
        </w:tblPrEx>
        <w:trPr>
          <w:trHeight w:val="311"/>
        </w:trPr>
        <w:tc>
          <w:tcPr>
            <w:tcW w:w="2965" w:type="dxa"/>
            <w:noWrap/>
            <w:hideMark/>
          </w:tcPr>
          <w:p w:rsidR="00E73BF2" w:rsidRPr="00E73BF2" w:rsidP="00E73BF2" w14:paraId="721FC19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D. Develop record system </w:t>
            </w:r>
            <w:r w:rsidRPr="00E73BF2">
              <w:rPr>
                <w:rFonts w:eastAsia="Times New Roman" w:cstheme="minorHAnsi"/>
                <w:sz w:val="21"/>
                <w:szCs w:val="21"/>
                <w:vertAlign w:val="superscript"/>
              </w:rPr>
              <w:t>i</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4753DD5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75EE75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EDE9A5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0CD33D3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1EDF4EE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77E1CB8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2C4ADAC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4.00</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4EB8F0F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$5,800.38 </w:t>
            </w:r>
          </w:p>
        </w:tc>
      </w:tr>
      <w:tr w14:paraId="19073FA0" w14:textId="77777777" w:rsidTr="00325C1E">
        <w:tblPrEx>
          <w:tblW w:w="5105" w:type="pct"/>
          <w:tblLook w:val="04A0"/>
        </w:tblPrEx>
        <w:trPr>
          <w:trHeight w:val="287"/>
        </w:trPr>
        <w:tc>
          <w:tcPr>
            <w:tcW w:w="2965" w:type="dxa"/>
            <w:noWrap/>
            <w:hideMark/>
          </w:tcPr>
          <w:p w:rsidR="00E73BF2" w:rsidRPr="00E73BF2" w:rsidP="00E73BF2" w14:paraId="5174468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E. Time to enter information</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74C24A0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5C9E2BE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3B08376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45416FF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7A71F80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01450A7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50AE927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54353A3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32CEF7D2" w14:textId="77777777" w:rsidTr="00325C1E">
        <w:tblPrEx>
          <w:tblW w:w="5105" w:type="pct"/>
          <w:tblLook w:val="04A0"/>
        </w:tblPrEx>
        <w:trPr>
          <w:trHeight w:val="575"/>
        </w:trPr>
        <w:tc>
          <w:tcPr>
            <w:tcW w:w="2965" w:type="dxa"/>
            <w:hideMark/>
          </w:tcPr>
          <w:p w:rsidR="00E73BF2" w:rsidRPr="00E73BF2" w:rsidP="00E73BF2" w14:paraId="4620A95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and documentation of supporting calculations for compliance determinations </w:t>
            </w:r>
            <w:r w:rsidRPr="00E73BF2">
              <w:rPr>
                <w:rFonts w:eastAsia="Times New Roman" w:cstheme="minorHAnsi"/>
                <w:sz w:val="21"/>
                <w:szCs w:val="21"/>
                <w:vertAlign w:val="superscript"/>
              </w:rPr>
              <w:t>j</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E0CCAF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BD247B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4D15C19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56B0D22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587A747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304</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6CD2B45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17</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6A5DA03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30.4</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24D8F8D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$44,376.59 </w:t>
            </w:r>
          </w:p>
        </w:tc>
      </w:tr>
      <w:tr w14:paraId="4BFF8BB0" w14:textId="77777777" w:rsidTr="00325C1E">
        <w:tblPrEx>
          <w:tblW w:w="5105" w:type="pct"/>
          <w:tblLook w:val="04A0"/>
        </w:tblPrEx>
        <w:trPr>
          <w:trHeight w:val="287"/>
        </w:trPr>
        <w:tc>
          <w:tcPr>
            <w:tcW w:w="2965" w:type="dxa"/>
            <w:hideMark/>
          </w:tcPr>
          <w:p w:rsidR="00E73BF2" w:rsidRPr="00E73BF2" w:rsidP="00E73BF2" w14:paraId="4905F11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Record of compliant monitoring parameter ranges</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03FF6D0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90685A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A43196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4B32A9C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71A8594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62763A7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4.3</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6CAE6F5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7.6</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7AF2B46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$11,102.31 </w:t>
            </w:r>
          </w:p>
        </w:tc>
      </w:tr>
      <w:tr w14:paraId="57C7E200" w14:textId="77777777" w:rsidTr="00325C1E">
        <w:tblPrEx>
          <w:tblW w:w="5105" w:type="pct"/>
          <w:tblLook w:val="04A0"/>
        </w:tblPrEx>
        <w:trPr>
          <w:trHeight w:val="1244"/>
        </w:trPr>
        <w:tc>
          <w:tcPr>
            <w:tcW w:w="2965" w:type="dxa"/>
            <w:hideMark/>
          </w:tcPr>
          <w:p w:rsidR="00E73BF2" w:rsidRPr="00E73BF2" w:rsidP="00E73BF2" w14:paraId="259EC8A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certifying that an NDCE recovery furnace equipped with a dry ESP system is used to comply with the gaseous organic HAP standard for kraft and soda recovery furnaces </w:t>
            </w:r>
            <w:r w:rsidRPr="00E73BF2">
              <w:rPr>
                <w:rFonts w:eastAsia="Times New Roman" w:cstheme="minorHAnsi"/>
                <w:sz w:val="21"/>
                <w:szCs w:val="21"/>
                <w:vertAlign w:val="superscript"/>
              </w:rPr>
              <w:t>k</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5784E08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1FA73CF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6DD9BA7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54D3946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53F0917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2.0</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4F09C44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0.07</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44BC5C5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0.2</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092E7EE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$285.12 </w:t>
            </w:r>
          </w:p>
        </w:tc>
      </w:tr>
      <w:tr w14:paraId="4CDBFD25" w14:textId="77777777" w:rsidTr="00325C1E">
        <w:tblPrEx>
          <w:tblW w:w="5105" w:type="pct"/>
          <w:tblLook w:val="04A0"/>
        </w:tblPrEx>
        <w:trPr>
          <w:trHeight w:val="794"/>
        </w:trPr>
        <w:tc>
          <w:tcPr>
            <w:tcW w:w="2965" w:type="dxa"/>
            <w:hideMark/>
          </w:tcPr>
          <w:p w:rsidR="00E73BF2" w:rsidRPr="00E73BF2" w:rsidP="00E73BF2" w14:paraId="2A35F1A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demonstrating compliance with requirement to maintain proper operation of ESP’s AVC </w:t>
            </w:r>
            <w:r w:rsidRPr="00E73BF2">
              <w:rPr>
                <w:rFonts w:eastAsia="Times New Roman" w:cstheme="minorHAnsi"/>
                <w:sz w:val="21"/>
                <w:szCs w:val="21"/>
                <w:vertAlign w:val="superscript"/>
              </w:rPr>
              <w:t>l</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7284F48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1A5BCD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7E4AE0E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19A37C9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164</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2FEFE2B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2,624</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20D90D8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146</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41E8AA5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262.4</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15DCA61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$382,919.84 </w:t>
            </w:r>
          </w:p>
        </w:tc>
      </w:tr>
      <w:tr w14:paraId="2E04F136" w14:textId="77777777" w:rsidTr="00325C1E">
        <w:tblPrEx>
          <w:tblW w:w="5105" w:type="pct"/>
          <w:tblLook w:val="04A0"/>
        </w:tblPrEx>
        <w:trPr>
          <w:trHeight w:val="311"/>
        </w:trPr>
        <w:tc>
          <w:tcPr>
            <w:tcW w:w="2965" w:type="dxa"/>
            <w:noWrap/>
            <w:hideMark/>
          </w:tcPr>
          <w:p w:rsidR="00E73BF2" w:rsidRPr="00E73BF2" w:rsidP="00E73BF2" w14:paraId="2E8B50E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of failures to meet standards </w:t>
            </w:r>
            <w:r w:rsidRPr="00E73BF2">
              <w:rPr>
                <w:rFonts w:eastAsia="Times New Roman" w:cstheme="minorHAnsi"/>
                <w:sz w:val="21"/>
                <w:szCs w:val="21"/>
                <w:vertAlign w:val="superscript"/>
              </w:rPr>
              <w:t>m</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31AB8D4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1D58A59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6CD4FA1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24</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418BA16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24BB738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120</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464C326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6</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7437496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12</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0807CB0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$17,401.14 </w:t>
            </w:r>
          </w:p>
        </w:tc>
      </w:tr>
      <w:tr w14:paraId="6025789E" w14:textId="77777777" w:rsidTr="00325C1E">
        <w:tblPrEx>
          <w:tblW w:w="5105" w:type="pct"/>
          <w:tblLook w:val="04A0"/>
        </w:tblPrEx>
        <w:trPr>
          <w:trHeight w:val="575"/>
        </w:trPr>
        <w:tc>
          <w:tcPr>
            <w:tcW w:w="2965" w:type="dxa"/>
            <w:hideMark/>
          </w:tcPr>
          <w:p w:rsidR="00E73BF2" w:rsidRPr="00E73BF2" w:rsidP="00E73BF2" w14:paraId="0EA66F6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of black liquor solids firing rates for recovery furnaces and semichemical combustion units </w:t>
            </w:r>
            <w:r w:rsidRPr="00E73BF2">
              <w:rPr>
                <w:rFonts w:eastAsia="Times New Roman" w:cstheme="minorHAnsi"/>
                <w:sz w:val="21"/>
                <w:szCs w:val="21"/>
                <w:vertAlign w:val="superscript"/>
              </w:rPr>
              <w:t>n</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220C5A2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4EEC13B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51BD232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78</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5FF9860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02986B2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7,488</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2C5292A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406</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76CFE27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748.8</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202FADA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$1,090,987.31 </w:t>
            </w:r>
          </w:p>
        </w:tc>
      </w:tr>
      <w:tr w14:paraId="0733DE17" w14:textId="77777777" w:rsidTr="00325C1E">
        <w:tblPrEx>
          <w:tblW w:w="5105" w:type="pct"/>
          <w:tblLook w:val="04A0"/>
        </w:tblPrEx>
        <w:trPr>
          <w:trHeight w:val="311"/>
        </w:trPr>
        <w:tc>
          <w:tcPr>
            <w:tcW w:w="2965" w:type="dxa"/>
            <w:noWrap/>
            <w:hideMark/>
          </w:tcPr>
          <w:p w:rsidR="00E73BF2" w:rsidRPr="00E73BF2" w:rsidP="00E73BF2" w14:paraId="189131E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of lime production for lime kilns </w:t>
            </w:r>
            <w:r w:rsidRPr="00E73BF2">
              <w:rPr>
                <w:rFonts w:eastAsia="Times New Roman" w:cstheme="minorHAnsi"/>
                <w:sz w:val="21"/>
                <w:szCs w:val="21"/>
                <w:vertAlign w:val="superscript"/>
              </w:rPr>
              <w:t>o</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1533F8A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05D61B8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1EB824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78</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42F1D56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87</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5293C02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6,786</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0940A2A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382</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0FAD3A9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678.6</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03AC61E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$991,001.83 </w:t>
            </w:r>
          </w:p>
        </w:tc>
      </w:tr>
      <w:tr w14:paraId="1F7339F8" w14:textId="77777777" w:rsidTr="00325C1E">
        <w:tblPrEx>
          <w:tblW w:w="5105" w:type="pct"/>
          <w:tblLook w:val="04A0"/>
        </w:tblPrEx>
        <w:trPr>
          <w:trHeight w:val="311"/>
        </w:trPr>
        <w:tc>
          <w:tcPr>
            <w:tcW w:w="2965" w:type="dxa"/>
            <w:noWrap/>
            <w:hideMark/>
          </w:tcPr>
          <w:p w:rsidR="00E73BF2" w:rsidRPr="00E73BF2" w:rsidP="00E73BF2" w14:paraId="6BDBDAA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Records of CMS data </w:t>
            </w:r>
            <w:r w:rsidRPr="00E73BF2">
              <w:rPr>
                <w:rFonts w:eastAsia="Times New Roman" w:cstheme="minorHAnsi"/>
                <w:sz w:val="21"/>
                <w:szCs w:val="21"/>
                <w:vertAlign w:val="superscript"/>
              </w:rPr>
              <w:t>p</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C60A27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0.5</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5244BE7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1,050</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324BA6F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525</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1B51DD8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2EAC3E9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50,400</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20E8EED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2,809</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231F370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5040</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7F8EAC4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$7,355,634.93 </w:t>
            </w:r>
          </w:p>
        </w:tc>
      </w:tr>
      <w:tr w14:paraId="56C59A49" w14:textId="77777777" w:rsidTr="00325C1E">
        <w:tblPrEx>
          <w:tblW w:w="5105" w:type="pct"/>
          <w:tblLook w:val="04A0"/>
        </w:tblPrEx>
        <w:trPr>
          <w:trHeight w:val="287"/>
        </w:trPr>
        <w:tc>
          <w:tcPr>
            <w:tcW w:w="2965" w:type="dxa"/>
            <w:hideMark/>
          </w:tcPr>
          <w:p w:rsidR="00E73BF2" w:rsidRPr="00E73BF2" w:rsidP="00E73BF2" w14:paraId="2283986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F. Time to train personnel</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2D7AF2A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60BAAEF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74D7984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0DF954A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313240F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6FF2646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41035B4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38D176C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18F523A5" w14:textId="77777777" w:rsidTr="00325C1E">
        <w:tblPrEx>
          <w:tblW w:w="5105" w:type="pct"/>
          <w:tblLook w:val="04A0"/>
        </w:tblPrEx>
        <w:trPr>
          <w:trHeight w:val="311"/>
        </w:trPr>
        <w:tc>
          <w:tcPr>
            <w:tcW w:w="2965" w:type="dxa"/>
            <w:tcBorders>
              <w:bottom w:val="single" w:sz="4" w:space="0" w:color="auto"/>
            </w:tcBorders>
            <w:hideMark/>
          </w:tcPr>
          <w:p w:rsidR="00E73BF2" w:rsidRPr="00E73BF2" w:rsidP="00E73BF2" w14:paraId="75BCC9F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Initial training </w:t>
            </w:r>
            <w:r w:rsidRPr="00E73BF2">
              <w:rPr>
                <w:rFonts w:eastAsia="Times New Roman" w:cstheme="minorHAnsi"/>
                <w:sz w:val="21"/>
                <w:szCs w:val="21"/>
                <w:vertAlign w:val="superscript"/>
              </w:rPr>
              <w:t>q</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69E0F8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58C7A53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7E19CE4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3F0C36F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52A5773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30DBA93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75F75ED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4.00</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2DFE89B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$5,800.38 </w:t>
            </w:r>
          </w:p>
        </w:tc>
      </w:tr>
      <w:tr w14:paraId="04CDBE7C" w14:textId="77777777" w:rsidTr="00325C1E">
        <w:tblPrEx>
          <w:tblW w:w="5105" w:type="pct"/>
          <w:tblLook w:val="04A0"/>
        </w:tblPrEx>
        <w:trPr>
          <w:trHeight w:val="311"/>
        </w:trPr>
        <w:tc>
          <w:tcPr>
            <w:tcW w:w="2965" w:type="dxa"/>
            <w:tcBorders>
              <w:top w:val="single" w:sz="4" w:space="0" w:color="auto"/>
              <w:bottom w:val="single" w:sz="4" w:space="0" w:color="auto"/>
            </w:tcBorders>
            <w:noWrap/>
            <w:hideMark/>
          </w:tcPr>
          <w:p w:rsidR="00E73BF2" w:rsidRPr="00E73BF2" w:rsidP="00E73BF2" w14:paraId="0F652A5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Refresher training </w:t>
            </w:r>
            <w:r w:rsidRPr="00E73BF2">
              <w:rPr>
                <w:rFonts w:eastAsia="Times New Roman" w:cstheme="minorHAnsi"/>
                <w:sz w:val="21"/>
                <w:szCs w:val="21"/>
                <w:vertAlign w:val="superscript"/>
              </w:rPr>
              <w:t>r</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3716045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2B0D13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345849B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3A108D3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2805E5A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1,536</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0548D2E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5CF8C1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153.6</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163EDDC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$224,235.76 </w:t>
            </w:r>
          </w:p>
        </w:tc>
      </w:tr>
      <w:tr w14:paraId="44D08030" w14:textId="77777777" w:rsidTr="00325C1E">
        <w:tblPrEx>
          <w:tblW w:w="5105" w:type="pct"/>
          <w:tblLook w:val="04A0"/>
        </w:tblPrEx>
        <w:trPr>
          <w:trHeight w:val="1664"/>
        </w:trPr>
        <w:tc>
          <w:tcPr>
            <w:tcW w:w="2965" w:type="dxa"/>
            <w:tcBorders>
              <w:top w:val="single" w:sz="4" w:space="0" w:color="auto"/>
            </w:tcBorders>
            <w:hideMark/>
          </w:tcPr>
          <w:p w:rsidR="00E73BF2" w:rsidRPr="00E73BF2" w:rsidP="00E73BF2" w14:paraId="6411433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G. Time to adjust existing ways to comply with previously applicable requirements </w:t>
            </w:r>
            <w:r w:rsidRPr="00E73BF2">
              <w:rPr>
                <w:rFonts w:eastAsia="Times New Roman" w:cstheme="minorHAnsi"/>
                <w:sz w:val="21"/>
                <w:szCs w:val="21"/>
                <w:vertAlign w:val="superscript"/>
              </w:rPr>
              <w:t>s</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054C2FE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17.8</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6D5AC9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E4B259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17.8</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03EE4B6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7CE982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BB13C0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144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957F90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1EF8AB4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$23,496.48 </w:t>
            </w:r>
          </w:p>
        </w:tc>
      </w:tr>
      <w:tr w14:paraId="01CF3703" w14:textId="77777777" w:rsidTr="00325C1E">
        <w:tblPrEx>
          <w:tblW w:w="5105" w:type="pct"/>
          <w:tblLook w:val="04A0"/>
        </w:tblPrEx>
        <w:trPr>
          <w:trHeight w:val="287"/>
        </w:trPr>
        <w:tc>
          <w:tcPr>
            <w:tcW w:w="2965" w:type="dxa"/>
            <w:noWrap/>
            <w:hideMark/>
          </w:tcPr>
          <w:p w:rsidR="00E73BF2" w:rsidRPr="00E73BF2" w:rsidP="00E73BF2" w14:paraId="0DD29BC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H. Time to transmit or disclose information</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3AE580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3273529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D33589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05DAA9D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30B2892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4C44742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79291E4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397CBF9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$0.00 </w:t>
            </w:r>
          </w:p>
        </w:tc>
      </w:tr>
      <w:tr w14:paraId="00961742" w14:textId="77777777" w:rsidTr="00325C1E">
        <w:tblPrEx>
          <w:tblW w:w="5105" w:type="pct"/>
          <w:tblLook w:val="04A0"/>
        </w:tblPrEx>
        <w:trPr>
          <w:trHeight w:val="311"/>
        </w:trPr>
        <w:tc>
          <w:tcPr>
            <w:tcW w:w="2965" w:type="dxa"/>
            <w:noWrap/>
            <w:hideMark/>
          </w:tcPr>
          <w:p w:rsidR="00E73BF2" w:rsidRPr="00E73BF2" w:rsidP="00E73BF2" w14:paraId="057E2D2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Compile data for semiannual periods </w:t>
            </w:r>
            <w:r w:rsidRPr="00E73BF2">
              <w:rPr>
                <w:rFonts w:eastAsia="Times New Roman" w:cstheme="minorHAnsi"/>
                <w:sz w:val="21"/>
                <w:szCs w:val="21"/>
                <w:vertAlign w:val="superscript"/>
              </w:rPr>
              <w:t>t</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5498154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697628C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7506D72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192</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22788E8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0600435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18,432</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5323E48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1,027</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2301ED6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1843.2</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1BFE29C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$2,690,013.22 </w:t>
            </w:r>
          </w:p>
        </w:tc>
      </w:tr>
      <w:tr w14:paraId="2A534065" w14:textId="77777777" w:rsidTr="00325C1E">
        <w:tblPrEx>
          <w:tblW w:w="5105" w:type="pct"/>
          <w:tblLook w:val="04A0"/>
        </w:tblPrEx>
        <w:trPr>
          <w:trHeight w:val="311"/>
        </w:trPr>
        <w:tc>
          <w:tcPr>
            <w:tcW w:w="2965" w:type="dxa"/>
            <w:noWrap/>
            <w:hideMark/>
          </w:tcPr>
          <w:p w:rsidR="00E73BF2" w:rsidRPr="00E73BF2" w:rsidP="00E73BF2" w14:paraId="1906EF8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Enter/verify information for semiannual reports </w:t>
            </w:r>
            <w:r w:rsidRPr="00E73BF2">
              <w:rPr>
                <w:rFonts w:eastAsia="Times New Roman" w:cstheme="minorHAnsi"/>
                <w:sz w:val="21"/>
                <w:szCs w:val="21"/>
                <w:vertAlign w:val="superscript"/>
              </w:rPr>
              <w:t>u</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3A2002D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w:t>
            </w:r>
          </w:p>
        </w:tc>
        <w:tc>
          <w:tcPr>
            <w:tcW w:w="1341" w:type="dxa"/>
            <w:tcBorders>
              <w:top w:val="nil"/>
              <w:left w:val="nil"/>
              <w:bottom w:val="single" w:sz="4" w:space="0" w:color="auto"/>
              <w:right w:val="single" w:sz="4" w:space="0" w:color="auto"/>
            </w:tcBorders>
            <w:shd w:val="clear" w:color="auto" w:fill="auto"/>
            <w:vAlign w:val="center"/>
            <w:hideMark/>
          </w:tcPr>
          <w:p w:rsidR="00E73BF2" w:rsidRPr="00E73BF2" w:rsidP="00E73BF2" w14:paraId="791A77B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2</w:t>
            </w:r>
          </w:p>
        </w:tc>
        <w:tc>
          <w:tcPr>
            <w:tcW w:w="1269" w:type="dxa"/>
            <w:tcBorders>
              <w:top w:val="nil"/>
              <w:left w:val="nil"/>
              <w:bottom w:val="single" w:sz="4" w:space="0" w:color="auto"/>
              <w:right w:val="single" w:sz="4" w:space="0" w:color="auto"/>
            </w:tcBorders>
            <w:shd w:val="clear" w:color="auto" w:fill="auto"/>
            <w:vAlign w:val="center"/>
            <w:hideMark/>
          </w:tcPr>
          <w:p w:rsidR="00E73BF2" w:rsidRPr="00E73BF2" w:rsidP="00E73BF2" w14:paraId="076F9C1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16</w:t>
            </w:r>
          </w:p>
        </w:tc>
        <w:tc>
          <w:tcPr>
            <w:tcW w:w="1415" w:type="dxa"/>
            <w:tcBorders>
              <w:top w:val="nil"/>
              <w:left w:val="nil"/>
              <w:bottom w:val="single" w:sz="4" w:space="0" w:color="auto"/>
              <w:right w:val="single" w:sz="4" w:space="0" w:color="auto"/>
            </w:tcBorders>
            <w:shd w:val="clear" w:color="auto" w:fill="auto"/>
            <w:vAlign w:val="center"/>
            <w:hideMark/>
          </w:tcPr>
          <w:p w:rsidR="00E73BF2" w:rsidRPr="00E73BF2" w:rsidP="00E73BF2" w14:paraId="5FC32A4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96</w:t>
            </w:r>
          </w:p>
        </w:tc>
        <w:tc>
          <w:tcPr>
            <w:tcW w:w="1134" w:type="dxa"/>
            <w:tcBorders>
              <w:top w:val="nil"/>
              <w:left w:val="nil"/>
              <w:bottom w:val="single" w:sz="4" w:space="0" w:color="auto"/>
              <w:right w:val="single" w:sz="4" w:space="0" w:color="auto"/>
            </w:tcBorders>
            <w:shd w:val="clear" w:color="auto" w:fill="auto"/>
            <w:vAlign w:val="center"/>
            <w:hideMark/>
          </w:tcPr>
          <w:p w:rsidR="00E73BF2" w:rsidRPr="00E73BF2" w:rsidP="00E73BF2" w14:paraId="5D3A4B3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1,536</w:t>
            </w:r>
          </w:p>
        </w:tc>
        <w:tc>
          <w:tcPr>
            <w:tcW w:w="1452" w:type="dxa"/>
            <w:tcBorders>
              <w:top w:val="nil"/>
              <w:left w:val="nil"/>
              <w:bottom w:val="single" w:sz="4" w:space="0" w:color="auto"/>
              <w:right w:val="single" w:sz="4" w:space="0" w:color="auto"/>
            </w:tcBorders>
            <w:shd w:val="clear" w:color="auto" w:fill="auto"/>
            <w:vAlign w:val="center"/>
            <w:hideMark/>
          </w:tcPr>
          <w:p w:rsidR="00E73BF2" w:rsidRPr="00E73BF2" w:rsidP="00E73BF2" w14:paraId="2064AA9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86</w:t>
            </w:r>
          </w:p>
        </w:tc>
        <w:tc>
          <w:tcPr>
            <w:tcW w:w="1116" w:type="dxa"/>
            <w:tcBorders>
              <w:top w:val="nil"/>
              <w:left w:val="nil"/>
              <w:bottom w:val="single" w:sz="4" w:space="0" w:color="auto"/>
              <w:right w:val="single" w:sz="4" w:space="0" w:color="auto"/>
            </w:tcBorders>
            <w:shd w:val="clear" w:color="auto" w:fill="auto"/>
            <w:vAlign w:val="center"/>
            <w:hideMark/>
          </w:tcPr>
          <w:p w:rsidR="00E73BF2" w:rsidRPr="00E73BF2" w:rsidP="00E73BF2" w14:paraId="50F1376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153.60</w:t>
            </w:r>
          </w:p>
        </w:tc>
        <w:tc>
          <w:tcPr>
            <w:tcW w:w="1366" w:type="dxa"/>
            <w:tcBorders>
              <w:top w:val="nil"/>
              <w:left w:val="nil"/>
              <w:bottom w:val="single" w:sz="4" w:space="0" w:color="auto"/>
              <w:right w:val="single" w:sz="4" w:space="0" w:color="auto"/>
            </w:tcBorders>
            <w:shd w:val="clear" w:color="auto" w:fill="auto"/>
            <w:vAlign w:val="center"/>
            <w:hideMark/>
          </w:tcPr>
          <w:p w:rsidR="00E73BF2" w:rsidRPr="00E73BF2" w:rsidP="00E73BF2" w14:paraId="50E6338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$224,235.76 </w:t>
            </w:r>
          </w:p>
        </w:tc>
      </w:tr>
      <w:tr w14:paraId="3A2E3C1C" w14:textId="77777777" w:rsidTr="00325C1E">
        <w:tblPrEx>
          <w:tblW w:w="5105" w:type="pct"/>
          <w:tblLook w:val="04A0"/>
        </w:tblPrEx>
        <w:trPr>
          <w:trHeight w:val="287"/>
        </w:trPr>
        <w:tc>
          <w:tcPr>
            <w:tcW w:w="2965" w:type="dxa"/>
            <w:noWrap/>
            <w:hideMark/>
          </w:tcPr>
          <w:p w:rsidR="00E73BF2" w:rsidRPr="00E73BF2" w:rsidP="00E73BF2" w14:paraId="56DA3CA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I. Time for audits</w:t>
            </w:r>
          </w:p>
        </w:tc>
        <w:tc>
          <w:tcPr>
            <w:tcW w:w="1256" w:type="dxa"/>
            <w:hideMark/>
          </w:tcPr>
          <w:p w:rsidR="00E73BF2" w:rsidRPr="00E73BF2" w:rsidP="00E73BF2" w14:paraId="0D56BED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N/A</w:t>
            </w:r>
          </w:p>
        </w:tc>
        <w:tc>
          <w:tcPr>
            <w:tcW w:w="1341" w:type="dxa"/>
            <w:hideMark/>
          </w:tcPr>
          <w:p w:rsidR="00E73BF2" w:rsidRPr="00E73BF2" w:rsidP="00E73BF2" w14:paraId="53E34F6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526B4AA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791C207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hideMark/>
          </w:tcPr>
          <w:p w:rsidR="00E73BF2" w:rsidRPr="00E73BF2" w:rsidP="00E73BF2" w14:paraId="471664B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hideMark/>
          </w:tcPr>
          <w:p w:rsidR="00E73BF2" w:rsidRPr="00E73BF2" w:rsidP="00E73BF2" w14:paraId="4122F1D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hideMark/>
          </w:tcPr>
          <w:p w:rsidR="00E73BF2" w:rsidRPr="00E73BF2" w:rsidP="00E73BF2" w14:paraId="74A47668"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645F618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r>
      <w:tr w14:paraId="1591FF93" w14:textId="77777777" w:rsidTr="00325C1E">
        <w:tblPrEx>
          <w:tblW w:w="5105" w:type="pct"/>
          <w:tblLook w:val="04A0"/>
        </w:tblPrEx>
        <w:trPr>
          <w:trHeight w:val="287"/>
        </w:trPr>
        <w:tc>
          <w:tcPr>
            <w:tcW w:w="2965" w:type="dxa"/>
            <w:noWrap/>
            <w:hideMark/>
          </w:tcPr>
          <w:p w:rsidR="00E73BF2" w:rsidRPr="00E73BF2" w:rsidP="00E73BF2" w14:paraId="1AC4C881" w14:textId="77777777">
            <w:pPr>
              <w:widowControl w:val="0"/>
              <w:autoSpaceDE w:val="0"/>
              <w:autoSpaceDN w:val="0"/>
              <w:adjustRightInd w:val="0"/>
              <w:ind w:left="0" w:firstLine="0"/>
              <w:rPr>
                <w:rFonts w:eastAsia="Times New Roman" w:cstheme="minorHAnsi"/>
                <w:i/>
                <w:iCs/>
                <w:sz w:val="21"/>
                <w:szCs w:val="21"/>
              </w:rPr>
            </w:pPr>
            <w:r w:rsidRPr="00E73BF2">
              <w:rPr>
                <w:rFonts w:eastAsia="Times New Roman" w:cstheme="minorHAnsi"/>
                <w:i/>
                <w:iCs/>
                <w:sz w:val="21"/>
                <w:szCs w:val="21"/>
              </w:rPr>
              <w:t>Subtotal for Recordkeeping Requirements</w:t>
            </w:r>
          </w:p>
        </w:tc>
        <w:tc>
          <w:tcPr>
            <w:tcW w:w="1256" w:type="dxa"/>
            <w:hideMark/>
          </w:tcPr>
          <w:p w:rsidR="00E73BF2" w:rsidRPr="00E73BF2" w:rsidP="00E73BF2" w14:paraId="0A4CB789"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3C29BEDD"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288BF1B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1BC3B8C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3702" w:type="dxa"/>
            <w:gridSpan w:val="3"/>
            <w:hideMark/>
          </w:tcPr>
          <w:p w:rsidR="00E73BF2" w:rsidRPr="00E73BF2" w:rsidP="00E73BF2" w14:paraId="3E940A26"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103,440</w:t>
            </w:r>
          </w:p>
        </w:tc>
        <w:tc>
          <w:tcPr>
            <w:tcW w:w="1366" w:type="dxa"/>
            <w:hideMark/>
          </w:tcPr>
          <w:p w:rsidR="00E73BF2" w:rsidRPr="00E73BF2" w:rsidP="00E73BF2" w14:paraId="5056309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$13,067,291 </w:t>
            </w:r>
          </w:p>
        </w:tc>
      </w:tr>
      <w:tr w14:paraId="78A29CA7" w14:textId="77777777" w:rsidTr="00325C1E">
        <w:tblPrEx>
          <w:tblW w:w="5105" w:type="pct"/>
          <w:tblLook w:val="04A0"/>
        </w:tblPrEx>
        <w:trPr>
          <w:trHeight w:val="548"/>
        </w:trPr>
        <w:tc>
          <w:tcPr>
            <w:tcW w:w="2965" w:type="dxa"/>
            <w:hideMark/>
          </w:tcPr>
          <w:p w:rsidR="00E73BF2" w:rsidRPr="00E73BF2" w:rsidP="00E73BF2" w14:paraId="1D06562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TOTAL LABOR BURDEN AND COSTS (rounded) </w:t>
            </w:r>
            <w:r w:rsidRPr="00E73BF2">
              <w:rPr>
                <w:rFonts w:eastAsia="Times New Roman" w:cstheme="minorHAnsi"/>
                <w:sz w:val="21"/>
                <w:szCs w:val="21"/>
                <w:vertAlign w:val="superscript"/>
              </w:rPr>
              <w:t>v</w:t>
            </w:r>
          </w:p>
        </w:tc>
        <w:tc>
          <w:tcPr>
            <w:tcW w:w="1256" w:type="dxa"/>
            <w:hideMark/>
          </w:tcPr>
          <w:p w:rsidR="00E73BF2" w:rsidRPr="00E73BF2" w:rsidP="00E73BF2" w14:paraId="17243FB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hideMark/>
          </w:tcPr>
          <w:p w:rsidR="00E73BF2" w:rsidRPr="00E73BF2" w:rsidP="00E73BF2" w14:paraId="64ADC4C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hideMark/>
          </w:tcPr>
          <w:p w:rsidR="00E73BF2" w:rsidRPr="00E73BF2" w:rsidP="00E73BF2" w14:paraId="7963941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hideMark/>
          </w:tcPr>
          <w:p w:rsidR="00E73BF2" w:rsidRPr="00E73BF2" w:rsidP="00E73BF2" w14:paraId="7C35D36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3702" w:type="dxa"/>
            <w:gridSpan w:val="3"/>
            <w:hideMark/>
          </w:tcPr>
          <w:p w:rsidR="00E73BF2" w:rsidRPr="00E73BF2" w:rsidP="00E73BF2" w14:paraId="37FB2EF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108,000</w:t>
            </w:r>
          </w:p>
        </w:tc>
        <w:tc>
          <w:tcPr>
            <w:tcW w:w="1366" w:type="dxa"/>
            <w:hideMark/>
          </w:tcPr>
          <w:p w:rsidR="00E73BF2" w:rsidRPr="00E73BF2" w:rsidP="00E73BF2" w14:paraId="3A44B36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$13,700,000 </w:t>
            </w:r>
          </w:p>
        </w:tc>
      </w:tr>
      <w:tr w14:paraId="3E925DFC" w14:textId="77777777" w:rsidTr="00325C1E">
        <w:tblPrEx>
          <w:tblW w:w="5105" w:type="pct"/>
          <w:tblLook w:val="04A0"/>
        </w:tblPrEx>
        <w:trPr>
          <w:trHeight w:val="311"/>
        </w:trPr>
        <w:tc>
          <w:tcPr>
            <w:tcW w:w="2965" w:type="dxa"/>
            <w:hideMark/>
          </w:tcPr>
          <w:p w:rsidR="00E73BF2" w:rsidRPr="00E73BF2" w:rsidP="00E73BF2" w14:paraId="11609BA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TOTAL CAPITAL AND O&amp;M COST (rounded) </w:t>
            </w:r>
            <w:r w:rsidRPr="00E73BF2">
              <w:rPr>
                <w:rFonts w:eastAsia="Times New Roman" w:cstheme="minorHAnsi"/>
                <w:sz w:val="21"/>
                <w:szCs w:val="21"/>
                <w:vertAlign w:val="superscript"/>
              </w:rPr>
              <w:t>v</w:t>
            </w:r>
          </w:p>
        </w:tc>
        <w:tc>
          <w:tcPr>
            <w:tcW w:w="1256" w:type="dxa"/>
            <w:noWrap/>
            <w:hideMark/>
          </w:tcPr>
          <w:p w:rsidR="00E73BF2" w:rsidRPr="00E73BF2" w:rsidP="00E73BF2" w14:paraId="423FCEDA"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noWrap/>
            <w:hideMark/>
          </w:tcPr>
          <w:p w:rsidR="00E73BF2" w:rsidRPr="00E73BF2" w:rsidP="00E73BF2" w14:paraId="24EF46B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noWrap/>
            <w:hideMark/>
          </w:tcPr>
          <w:p w:rsidR="00E73BF2" w:rsidRPr="00E73BF2" w:rsidP="00E73BF2" w14:paraId="0A793CFE"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noWrap/>
            <w:hideMark/>
          </w:tcPr>
          <w:p w:rsidR="00E73BF2" w:rsidRPr="00E73BF2" w:rsidP="00E73BF2" w14:paraId="6825939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noWrap/>
            <w:hideMark/>
          </w:tcPr>
          <w:p w:rsidR="00E73BF2" w:rsidRPr="00E73BF2" w:rsidP="00E73BF2" w14:paraId="049B23D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noWrap/>
            <w:hideMark/>
          </w:tcPr>
          <w:p w:rsidR="00E73BF2" w:rsidRPr="00E73BF2" w:rsidP="00E73BF2" w14:paraId="4EBA430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noWrap/>
            <w:hideMark/>
          </w:tcPr>
          <w:p w:rsidR="00E73BF2" w:rsidRPr="00E73BF2" w:rsidP="00E73BF2" w14:paraId="5AAB04B1"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hideMark/>
          </w:tcPr>
          <w:p w:rsidR="00E73BF2" w:rsidRPr="00E73BF2" w:rsidP="00E73BF2" w14:paraId="6DDFD244"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$608,000 </w:t>
            </w:r>
          </w:p>
        </w:tc>
      </w:tr>
      <w:tr w14:paraId="6B918418" w14:textId="77777777" w:rsidTr="00325C1E">
        <w:tblPrEx>
          <w:tblW w:w="5105" w:type="pct"/>
          <w:tblLook w:val="04A0"/>
        </w:tblPrEx>
        <w:trPr>
          <w:trHeight w:val="311"/>
        </w:trPr>
        <w:tc>
          <w:tcPr>
            <w:tcW w:w="2965" w:type="dxa"/>
            <w:noWrap/>
            <w:hideMark/>
          </w:tcPr>
          <w:p w:rsidR="00E73BF2" w:rsidRPr="00E73BF2" w:rsidP="00E73BF2" w14:paraId="102C59F3"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GRAND TOTAL (rounded) </w:t>
            </w:r>
            <w:r w:rsidRPr="00E73BF2">
              <w:rPr>
                <w:rFonts w:eastAsia="Times New Roman" w:cstheme="minorHAnsi"/>
                <w:sz w:val="21"/>
                <w:szCs w:val="21"/>
                <w:vertAlign w:val="superscript"/>
              </w:rPr>
              <w:t>v</w:t>
            </w:r>
          </w:p>
        </w:tc>
        <w:tc>
          <w:tcPr>
            <w:tcW w:w="1256" w:type="dxa"/>
            <w:noWrap/>
            <w:hideMark/>
          </w:tcPr>
          <w:p w:rsidR="00E73BF2" w:rsidRPr="00E73BF2" w:rsidP="00E73BF2" w14:paraId="10838B1C"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41" w:type="dxa"/>
            <w:noWrap/>
            <w:hideMark/>
          </w:tcPr>
          <w:p w:rsidR="00E73BF2" w:rsidRPr="00E73BF2" w:rsidP="00E73BF2" w14:paraId="217C5DC2"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269" w:type="dxa"/>
            <w:noWrap/>
            <w:hideMark/>
          </w:tcPr>
          <w:p w:rsidR="00E73BF2" w:rsidRPr="00E73BF2" w:rsidP="00E73BF2" w14:paraId="3B2591E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15" w:type="dxa"/>
            <w:noWrap/>
            <w:hideMark/>
          </w:tcPr>
          <w:p w:rsidR="00E73BF2" w:rsidRPr="00E73BF2" w:rsidP="00E73BF2" w14:paraId="2B5A1345"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34" w:type="dxa"/>
            <w:noWrap/>
            <w:hideMark/>
          </w:tcPr>
          <w:p w:rsidR="00E73BF2" w:rsidRPr="00E73BF2" w:rsidP="00E73BF2" w14:paraId="39A21030"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452" w:type="dxa"/>
            <w:noWrap/>
            <w:hideMark/>
          </w:tcPr>
          <w:p w:rsidR="00E73BF2" w:rsidRPr="00E73BF2" w:rsidP="00E73BF2" w14:paraId="1953DE47"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116" w:type="dxa"/>
            <w:noWrap/>
            <w:hideMark/>
          </w:tcPr>
          <w:p w:rsidR="00E73BF2" w:rsidRPr="00E73BF2" w:rsidP="00E73BF2" w14:paraId="4182FF4B"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w:t>
            </w:r>
          </w:p>
        </w:tc>
        <w:tc>
          <w:tcPr>
            <w:tcW w:w="1366" w:type="dxa"/>
            <w:noWrap/>
            <w:hideMark/>
          </w:tcPr>
          <w:p w:rsidR="00E73BF2" w:rsidRPr="00E73BF2" w:rsidP="00E73BF2" w14:paraId="5988AE3F" w14:textId="77777777">
            <w:pPr>
              <w:widowControl w:val="0"/>
              <w:autoSpaceDE w:val="0"/>
              <w:autoSpaceDN w:val="0"/>
              <w:adjustRightInd w:val="0"/>
              <w:ind w:left="0" w:firstLine="0"/>
              <w:rPr>
                <w:rFonts w:eastAsia="Times New Roman" w:cstheme="minorHAnsi"/>
                <w:sz w:val="21"/>
                <w:szCs w:val="21"/>
              </w:rPr>
            </w:pPr>
            <w:r w:rsidRPr="00E73BF2">
              <w:rPr>
                <w:rFonts w:eastAsia="Times New Roman" w:cstheme="minorHAnsi"/>
                <w:sz w:val="21"/>
                <w:szCs w:val="21"/>
              </w:rPr>
              <w:t xml:space="preserve">$14,300,000 </w:t>
            </w:r>
          </w:p>
        </w:tc>
      </w:tr>
    </w:tbl>
    <w:p w:rsidR="00E73BF2" w:rsidRPr="00E73BF2" w:rsidP="00E73BF2" w14:paraId="48858B6C"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a</w:t>
      </w:r>
      <w:r w:rsidRPr="00E73BF2">
        <w:rPr>
          <w:rFonts w:eastAsia="Times New Roman" w:cstheme="minorHAnsi"/>
          <w:sz w:val="21"/>
          <w:szCs w:val="21"/>
        </w:rPr>
        <w:t xml:space="preserve"> We estimate that the number of existing sources subject to the rule is 96 pulp mills. We also estimate that new equipment will be installed at three existing pulp mills and become subject to the rule over the 3 years of this ICR (two new recovery furnaces, two new SDTs, and one new lime kiln). Based on these estimates, over the 3 years of this ICR, there will be an average of 96 pulp mills per year and new source requirements for an average of 1 pulp mills per year.</w:t>
      </w:r>
      <w:r w:rsidRPr="00E73BF2">
        <w:rPr>
          <w:rFonts w:eastAsia="Times New Roman" w:cstheme="minorHAnsi"/>
          <w:sz w:val="21"/>
          <w:szCs w:val="21"/>
        </w:rPr>
        <w:tab/>
      </w:r>
    </w:p>
    <w:p w:rsidR="00E73BF2" w:rsidRPr="00E73BF2" w:rsidP="00E73BF2" w14:paraId="46428E11"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b</w:t>
      </w:r>
      <w:r w:rsidRPr="00E73BF2">
        <w:rPr>
          <w:rFonts w:eastAsia="Times New Roman" w:cstheme="minorHAnsi"/>
          <w:sz w:val="21"/>
          <w:szCs w:val="21"/>
        </w:rPr>
        <w:t xml:space="preserve"> This ICR uses the following labor rates: $163.17 ($77.70 + 110%) per hour for Executive, Administrative, and Managerial labor; $130.28 ($62.04 + 110%) per hour for </w:t>
      </w:r>
      <w:r w:rsidRPr="00E73BF2">
        <w:rPr>
          <w:rFonts w:eastAsia="Times New Roman" w:cstheme="minorHAnsi"/>
          <w:sz w:val="21"/>
          <w:szCs w:val="21"/>
        </w:rPr>
        <w:t>Technical</w:t>
      </w:r>
      <w:r w:rsidRPr="00E73BF2">
        <w:rPr>
          <w:rFonts w:eastAsia="Times New Roman" w:cstheme="minorHAnsi"/>
          <w:sz w:val="21"/>
          <w:szCs w:val="21"/>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E73BF2" w:rsidRPr="00E73BF2" w:rsidP="00E73BF2" w14:paraId="0251083B"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c</w:t>
      </w:r>
      <w:r w:rsidRPr="00E73BF2">
        <w:rPr>
          <w:rFonts w:eastAsia="Times New Roman" w:cstheme="minorHAnsi"/>
          <w:sz w:val="21"/>
          <w:szCs w:val="21"/>
        </w:rPr>
        <w:t xml:space="preserve"> We have assumed that it will take 1 hour each year for existing respondents to refamiliarize themselves with rule requirements.</w:t>
      </w:r>
    </w:p>
    <w:p w:rsidR="00E73BF2" w:rsidRPr="00E73BF2" w:rsidP="00E73BF2" w14:paraId="79B5820B"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d</w:t>
      </w:r>
      <w:r w:rsidRPr="00E73BF2">
        <w:rPr>
          <w:rFonts w:eastAsia="Times New Roman" w:cstheme="minorHAnsi"/>
          <w:sz w:val="21"/>
          <w:szCs w:val="21"/>
        </w:rPr>
        <w:t xml:space="preserve"> We estimate that it will take the respondent 24 hours to prepare for initial/periodic performance test (e.g., prepare test plan) and 24 hours to attend the test. We also estimate 2 plant personnel will attend the test. We estimate that 74 mills will need to conduct a test (the rest of the 104 existing mills are already required under existing state rules to conduct tests); this will occur once during the 3-year ICR period (74 respondents/3 years = 25). In addition, we estimate that 20% of respondents (20% x 25 respondents =5) will repeat performance test due to failure.</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434ACC32"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e</w:t>
      </w:r>
      <w:r w:rsidRPr="00E73BF2">
        <w:rPr>
          <w:rFonts w:eastAsia="Times New Roman" w:cstheme="minorHAnsi"/>
          <w:sz w:val="21"/>
          <w:szCs w:val="21"/>
        </w:rPr>
        <w:t xml:space="preserve"> </w:t>
      </w:r>
      <w:r w:rsidRPr="00E73BF2">
        <w:rPr>
          <w:rFonts w:eastAsia="Times New Roman" w:cstheme="minorHAnsi"/>
          <w:sz w:val="21"/>
          <w:szCs w:val="21"/>
        </w:rPr>
        <w:t>With</w:t>
      </w:r>
      <w:r w:rsidRPr="00E73BF2">
        <w:rPr>
          <w:rFonts w:eastAsia="Times New Roman" w:cstheme="minorHAnsi"/>
          <w:sz w:val="21"/>
          <w:szCs w:val="21"/>
        </w:rPr>
        <w:t xml:space="preserve"> the exception of the notification of compliance status, we estimate that it will take the respondent 2 hours once per year to complete the notifications and submit selected ones through the EPA's CEDRI.</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27886FCF"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f</w:t>
      </w:r>
      <w:r w:rsidRPr="00E73BF2">
        <w:rPr>
          <w:rFonts w:eastAsia="Times New Roman" w:cstheme="minorHAnsi"/>
          <w:sz w:val="21"/>
          <w:szCs w:val="21"/>
        </w:rPr>
        <w:t xml:space="preserve"> We estimate that it will take the respondent 80 hours once in the initial year to prepare the notification of compliance status and submit it through the EPA's CEDRI.</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38362347"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g</w:t>
      </w:r>
      <w:r w:rsidRPr="00E73BF2">
        <w:rPr>
          <w:rFonts w:eastAsia="Times New Roman" w:cstheme="minorHAnsi"/>
          <w:sz w:val="21"/>
          <w:szCs w:val="21"/>
        </w:rPr>
        <w:t xml:space="preserve"> Hard copy report of performance test/retest is included in capital/startup costs. Submittal of performance test/retest data through the EPA's CEDRI in ERT format is estimated to require 8 hours for 38 mills (see respondent calculation in footnote f of Table 2).</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0FF434C9"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h</w:t>
      </w:r>
      <w:r w:rsidRPr="00E73BF2">
        <w:rPr>
          <w:rFonts w:eastAsia="Times New Roman" w:cstheme="minorHAnsi"/>
          <w:sz w:val="21"/>
          <w:szCs w:val="21"/>
        </w:rPr>
        <w:t xml:space="preserve"> We estimate that 5% of respondents (5% x 96 respondents = 5) will each take 16 hours two times per year to complete reports of monitoring </w:t>
      </w:r>
      <w:r w:rsidRPr="00E73BF2">
        <w:rPr>
          <w:rFonts w:eastAsia="Times New Roman" w:cstheme="minorHAnsi"/>
          <w:sz w:val="21"/>
          <w:szCs w:val="21"/>
        </w:rPr>
        <w:t>exceedances and periods of noncompliance and submit them through the EPA's CEDRI. We estimate that 95% of respondents (95% x 96 respondents = 91) will each take 8 hours two times per year to write reports of no exceedances and submit them through the EPA's CEDRI.</w:t>
      </w:r>
    </w:p>
    <w:p w:rsidR="00E73BF2" w:rsidRPr="00E73BF2" w:rsidP="00E73BF2" w14:paraId="2699BC44"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i</w:t>
      </w:r>
      <w:r w:rsidRPr="00E73BF2">
        <w:rPr>
          <w:rFonts w:eastAsia="Times New Roman" w:cstheme="minorHAnsi"/>
          <w:sz w:val="21"/>
          <w:szCs w:val="21"/>
        </w:rPr>
        <w:t xml:space="preserve"> We estimate that it will take one respondent 40 hours to develop a record system to comply with monitoring requirements. </w:t>
      </w:r>
    </w:p>
    <w:p w:rsidR="00E73BF2" w:rsidRPr="00E73BF2" w:rsidP="00E73BF2" w14:paraId="72D84DD9"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j</w:t>
      </w:r>
      <w:r w:rsidRPr="00E73BF2">
        <w:rPr>
          <w:rFonts w:eastAsia="Times New Roman" w:cstheme="minorHAnsi"/>
          <w:sz w:val="21"/>
          <w:szCs w:val="21"/>
        </w:rPr>
        <w:t xml:space="preserve"> We estimate that it will take the respondent 8 hours (1 day) each year to enter records and documentation of supporting calculation for compliance determinations and 2 hours to enter a record of compliant monitoring parameter ranges. We estimate that 38 mills (see footnote g) will enter this information (includes initial test and retest, for mills required to retest).</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6F2F732B"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k</w:t>
      </w:r>
      <w:r w:rsidRPr="00E73BF2">
        <w:rPr>
          <w:rFonts w:eastAsia="Times New Roman" w:cstheme="minorHAnsi"/>
          <w:sz w:val="21"/>
          <w:szCs w:val="21"/>
        </w:rPr>
        <w:t xml:space="preserve"> We estimate that 2 existing mills will install new recovery furnaces over 3 years, for an average of 1 mill with new recovery furnaces per year over the ICR period (2 mills/3 years= 0.67, or 1, rounded). Based on current industry trends, the new furnaces are expected to be a non-direct contact evaporator (NDCE) recovery furnace equipped with a dry ESP system. We estimate that it will take the respondent 2 hours to record this information.</w:t>
      </w:r>
      <w:r w:rsidRPr="00E73BF2">
        <w:rPr>
          <w:rFonts w:eastAsia="Times New Roman" w:cstheme="minorHAnsi"/>
          <w:sz w:val="21"/>
          <w:szCs w:val="21"/>
        </w:rPr>
        <w:tab/>
      </w:r>
    </w:p>
    <w:p w:rsidR="00E73BF2" w:rsidRPr="00E73BF2" w:rsidP="00E73BF2" w14:paraId="0A6223D9"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l</w:t>
      </w:r>
      <w:r w:rsidRPr="00E73BF2">
        <w:rPr>
          <w:rFonts w:eastAsia="Times New Roman" w:cstheme="minorHAnsi"/>
          <w:sz w:val="21"/>
          <w:szCs w:val="21"/>
        </w:rPr>
        <w:t xml:space="preserve"> We estimate that it will take 8 hours per semiannual period each year to keep records demonstrating compliance with the requirement to maintain proper operation of the ESP AVC for 164 recovery furnace and lime kiln ESPs.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7205EC9C"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m</w:t>
      </w:r>
      <w:r w:rsidRPr="00E73BF2">
        <w:rPr>
          <w:rFonts w:eastAsia="Times New Roman" w:cstheme="minorHAnsi"/>
          <w:sz w:val="21"/>
          <w:szCs w:val="21"/>
        </w:rPr>
        <w:t xml:space="preserve"> We estimate that 5% of respondents (5% x 104 respondents = 5) will fail to meet standards each year. We estimate that each respondent will take 2 hours 12 times per year to keep records of failures to meet the standards.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68530006"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n</w:t>
      </w:r>
      <w:r w:rsidRPr="00E73BF2">
        <w:rPr>
          <w:rFonts w:eastAsia="Times New Roman" w:cstheme="minorHAnsi"/>
          <w:sz w:val="21"/>
          <w:szCs w:val="21"/>
        </w:rPr>
        <w:t xml:space="preserve"> We estimate 96 existing kraft, soda, and stand-alone semichemical pulp mills have recovery furnaces or other chemical recovery combustion units that will need to keep records of black liquor solids firing rate. We estimate that each respondent will take 1.5 hours 52 times per year to keep these records.</w:t>
      </w:r>
    </w:p>
    <w:p w:rsidR="00E73BF2" w:rsidRPr="00E73BF2" w:rsidP="00E73BF2" w14:paraId="5334E0FC"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o</w:t>
      </w:r>
      <w:r w:rsidRPr="00E73BF2">
        <w:rPr>
          <w:rFonts w:eastAsia="Times New Roman" w:cstheme="minorHAnsi"/>
          <w:sz w:val="21"/>
          <w:szCs w:val="21"/>
        </w:rPr>
        <w:t xml:space="preserve"> We estimate 87 existing kraft and soda pulp mills have lime kilns that will need to keep records of lime production rate. We estimate that each respondent will take 1.5 hours 52 times per year to keep these records.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2EA81896"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p</w:t>
      </w:r>
      <w:r w:rsidRPr="00E73BF2">
        <w:rPr>
          <w:rFonts w:eastAsia="Times New Roman" w:cstheme="minorHAnsi"/>
          <w:sz w:val="21"/>
          <w:szCs w:val="21"/>
        </w:rPr>
        <w:t xml:space="preserve"> We estimate that each respondent will take 0.5 hours 1,050 times per year to record wet scrubber and regenerative thermal oxidizer (RTO) parameters at all existing 96 mills.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01C401B2"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q</w:t>
      </w:r>
      <w:r w:rsidRPr="00E73BF2">
        <w:rPr>
          <w:rFonts w:eastAsia="Times New Roman" w:cstheme="minorHAnsi"/>
          <w:sz w:val="21"/>
          <w:szCs w:val="21"/>
        </w:rPr>
        <w:t xml:space="preserve"> We estimate that it will take the respondent 40 hours (1 week) once per year for initial training of personnel with new sources (3 new respondents/3 years = 1). </w:t>
      </w:r>
      <w:r w:rsidRPr="00E73BF2">
        <w:rPr>
          <w:rFonts w:eastAsia="Times New Roman" w:cstheme="minorHAnsi"/>
          <w:sz w:val="21"/>
          <w:szCs w:val="21"/>
        </w:rPr>
        <w:tab/>
      </w:r>
    </w:p>
    <w:p w:rsidR="00E73BF2" w:rsidRPr="00E73BF2" w:rsidP="00E73BF2" w14:paraId="5781BCEA"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r</w:t>
      </w:r>
      <w:r w:rsidRPr="00E73BF2">
        <w:rPr>
          <w:rFonts w:eastAsia="Times New Roman" w:cstheme="minorHAnsi"/>
          <w:sz w:val="21"/>
          <w:szCs w:val="21"/>
        </w:rPr>
        <w:t xml:space="preserve"> We estimate that it will take each respondent 16 hours to provide refresher training each year for personnel at all 96 existing mills.</w:t>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27394024"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s</w:t>
      </w:r>
      <w:r w:rsidRPr="00E73BF2">
        <w:rPr>
          <w:rFonts w:eastAsia="Times New Roman" w:cstheme="minorHAnsi"/>
          <w:sz w:val="21"/>
          <w:szCs w:val="21"/>
        </w:rPr>
        <w:t xml:space="preserve"> Over the period October 11, </w:t>
      </w:r>
      <w:r w:rsidRPr="00E73BF2">
        <w:rPr>
          <w:rFonts w:eastAsia="Times New Roman" w:cstheme="minorHAnsi"/>
          <w:sz w:val="21"/>
          <w:szCs w:val="21"/>
        </w:rPr>
        <w:t>2017</w:t>
      </w:r>
      <w:r w:rsidRPr="00E73BF2">
        <w:rPr>
          <w:rFonts w:eastAsia="Times New Roman" w:cstheme="minorHAnsi"/>
          <w:sz w:val="21"/>
          <w:szCs w:val="21"/>
        </w:rPr>
        <w:t xml:space="preserve"> through October 11, 2020, due to the RTR amendments published on October 11, 2017, we estimated that it would take each respondent 80 hours to make a one-time adjustment to existing data acquisition systems to include startup and shutdown periods and the revised opacity monitoring allowances, and to transition to electronic excess emissions reporting. This ICR includes the burden for the period January 1, </w:t>
      </w:r>
      <w:r w:rsidRPr="00E73BF2">
        <w:rPr>
          <w:rFonts w:eastAsia="Times New Roman" w:cstheme="minorHAnsi"/>
          <w:sz w:val="21"/>
          <w:szCs w:val="21"/>
        </w:rPr>
        <w:t>2022</w:t>
      </w:r>
      <w:r w:rsidRPr="00E73BF2">
        <w:rPr>
          <w:rFonts w:eastAsia="Times New Roman" w:cstheme="minorHAnsi"/>
          <w:sz w:val="21"/>
          <w:szCs w:val="21"/>
        </w:rPr>
        <w:t xml:space="preserve"> through December 31, 2024 and assumes that existing sources are no longer performing this one-time implementation activity.</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5A5E7B78"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t</w:t>
      </w:r>
      <w:r w:rsidRPr="00E73BF2">
        <w:rPr>
          <w:rFonts w:eastAsia="Times New Roman" w:cstheme="minorHAnsi"/>
          <w:sz w:val="21"/>
          <w:szCs w:val="21"/>
        </w:rPr>
        <w:t xml:space="preserve"> We estimate that each respondent will take 96 hours per semiannual period to compile data for all 96 mills.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75B394FD"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u</w:t>
      </w:r>
      <w:r w:rsidRPr="00E73BF2">
        <w:rPr>
          <w:rFonts w:eastAsia="Times New Roman" w:cstheme="minorHAnsi"/>
          <w:sz w:val="21"/>
          <w:szCs w:val="21"/>
        </w:rPr>
        <w:t xml:space="preserve"> We estimate that each respondent will take 8 hours two times per year to verify information for reports for all 96 mills.</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0567AB6B" w14:textId="77777777">
      <w:pPr>
        <w:widowControl w:val="0"/>
        <w:autoSpaceDE w:val="0"/>
        <w:autoSpaceDN w:val="0"/>
        <w:adjustRightInd w:val="0"/>
        <w:spacing w:line="259" w:lineRule="auto"/>
        <w:ind w:left="0" w:firstLine="0"/>
        <w:rPr>
          <w:rFonts w:eastAsia="Times New Roman" w:cstheme="minorHAnsi"/>
          <w:sz w:val="21"/>
          <w:szCs w:val="21"/>
        </w:rPr>
      </w:pPr>
      <w:r w:rsidRPr="00E73BF2">
        <w:rPr>
          <w:rFonts w:eastAsia="Times New Roman" w:cstheme="minorHAnsi"/>
          <w:sz w:val="21"/>
          <w:szCs w:val="21"/>
          <w:vertAlign w:val="superscript"/>
        </w:rPr>
        <w:t>v</w:t>
      </w:r>
      <w:r w:rsidRPr="00E73BF2">
        <w:rPr>
          <w:rFonts w:eastAsia="Times New Roman" w:cstheme="minorHAnsi"/>
          <w:sz w:val="21"/>
          <w:szCs w:val="21"/>
        </w:rPr>
        <w:t xml:space="preserve"> Totals have been rounded to 3 significant figures. Figures may not add exactly due to rounding.</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7527E4E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br w:type="page"/>
      </w:r>
    </w:p>
    <w:p w:rsidR="00E73BF2" w:rsidRPr="00E73BF2" w:rsidP="00E73BF2" w14:paraId="1686A67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Table 2: Average Annual EPA Burden and Cost – NESHAP for Chemical Recovery Combustion Sources at Kraft, Soda, Sulfite, and Stand-Alone Semichemical Pulp Mills (40 CFR Part 63, Subpart MM) (Renewal)</w:t>
      </w:r>
    </w:p>
    <w:tbl>
      <w:tblPr>
        <w:tblW w:w="13268" w:type="dxa"/>
        <w:tblLook w:val="04A0"/>
      </w:tblPr>
      <w:tblGrid>
        <w:gridCol w:w="3775"/>
        <w:gridCol w:w="1255"/>
        <w:gridCol w:w="1340"/>
        <w:gridCol w:w="1123"/>
        <w:gridCol w:w="803"/>
        <w:gridCol w:w="1133"/>
        <w:gridCol w:w="1451"/>
        <w:gridCol w:w="962"/>
        <w:gridCol w:w="1426"/>
      </w:tblGrid>
      <w:tr w14:paraId="121A1301" w14:textId="77777777" w:rsidTr="00325C1E">
        <w:tblPrEx>
          <w:tblW w:w="13268" w:type="dxa"/>
          <w:tblLook w:val="04A0"/>
        </w:tblPrEx>
        <w:trPr>
          <w:trHeight w:val="1848"/>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46AC6CE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Activity</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FDAE60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(A) </w:t>
            </w:r>
            <w:r w:rsidRPr="00E73BF2">
              <w:rPr>
                <w:rFonts w:eastAsia="Times New Roman" w:cstheme="minorHAnsi"/>
                <w:sz w:val="21"/>
                <w:szCs w:val="21"/>
              </w:rPr>
              <w:br/>
              <w:t>EPA person- hours per occurrence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BB7B45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(B) </w:t>
            </w:r>
            <w:r w:rsidRPr="00E73BF2">
              <w:rPr>
                <w:rFonts w:eastAsia="Times New Roman" w:cstheme="minorHAnsi"/>
                <w:sz w:val="21"/>
                <w:szCs w:val="21"/>
              </w:rPr>
              <w:br/>
              <w:t>No. of occurrences per plant per year</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018F76D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(C) </w:t>
            </w:r>
            <w:r w:rsidRPr="00E73BF2">
              <w:rPr>
                <w:rFonts w:eastAsia="Times New Roman" w:cstheme="minorHAnsi"/>
                <w:sz w:val="21"/>
                <w:szCs w:val="21"/>
              </w:rPr>
              <w:br/>
              <w:t>EPA person- hours per plant per year (C=</w:t>
            </w:r>
            <w:r w:rsidRPr="00E73BF2">
              <w:rPr>
                <w:rFonts w:eastAsia="Times New Roman" w:cstheme="minorHAnsi"/>
                <w:sz w:val="21"/>
                <w:szCs w:val="21"/>
              </w:rPr>
              <w:t>AxB</w:t>
            </w:r>
            <w:r w:rsidRPr="00E73BF2">
              <w:rPr>
                <w:rFonts w:eastAsia="Times New Roman" w:cstheme="minorHAnsi"/>
                <w:sz w:val="21"/>
                <w:szCs w:val="21"/>
              </w:rPr>
              <w: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7CE867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(D) </w:t>
            </w:r>
            <w:r w:rsidRPr="00E73BF2">
              <w:rPr>
                <w:rFonts w:eastAsia="Times New Roman" w:cstheme="minorHAnsi"/>
                <w:sz w:val="21"/>
                <w:szCs w:val="21"/>
              </w:rPr>
              <w:br/>
              <w:t xml:space="preserve">Plants per year </w:t>
            </w:r>
            <w:r w:rsidRPr="00E73BF2">
              <w:rPr>
                <w:rFonts w:eastAsia="Times New Roman" w:cstheme="minorHAnsi"/>
                <w:sz w:val="21"/>
                <w:szCs w:val="21"/>
                <w:vertAlign w:val="superscript"/>
              </w:rPr>
              <w:t>a</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49089EA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(E) </w:t>
            </w:r>
            <w:r w:rsidRPr="00E73BF2">
              <w:rPr>
                <w:rFonts w:eastAsia="Times New Roman" w:cstheme="minorHAnsi"/>
                <w:sz w:val="21"/>
                <w:szCs w:val="21"/>
              </w:rPr>
              <w:br/>
              <w:t xml:space="preserve">Technical person </w:t>
            </w:r>
            <w:r w:rsidRPr="00E73BF2">
              <w:rPr>
                <w:rFonts w:eastAsia="Times New Roman" w:cstheme="minorHAnsi"/>
                <w:sz w:val="21"/>
                <w:szCs w:val="21"/>
              </w:rPr>
              <w:t>hr</w:t>
            </w:r>
            <w:r w:rsidRPr="00E73BF2">
              <w:rPr>
                <w:rFonts w:eastAsia="Times New Roman" w:cstheme="minorHAnsi"/>
                <w:sz w:val="21"/>
                <w:szCs w:val="21"/>
              </w:rPr>
              <w:t>/yr (E=</w:t>
            </w:r>
            <w:r w:rsidRPr="00E73BF2">
              <w:rPr>
                <w:rFonts w:eastAsia="Times New Roman" w:cstheme="minorHAnsi"/>
                <w:sz w:val="21"/>
                <w:szCs w:val="21"/>
              </w:rPr>
              <w:t>CxD</w:t>
            </w:r>
            <w:r w:rsidRPr="00E73BF2">
              <w:rPr>
                <w:rFonts w:eastAsia="Times New Roman" w:cstheme="minorHAnsi"/>
                <w:sz w:val="21"/>
                <w:szCs w:val="21"/>
              </w:rPr>
              <w:t>)</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ABC415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(F) </w:t>
            </w:r>
            <w:r w:rsidRPr="00E73BF2">
              <w:rPr>
                <w:rFonts w:eastAsia="Times New Roman" w:cstheme="minorHAnsi"/>
                <w:sz w:val="21"/>
                <w:szCs w:val="21"/>
              </w:rPr>
              <w:br/>
              <w:t xml:space="preserve">Management person </w:t>
            </w:r>
            <w:r w:rsidRPr="00E73BF2">
              <w:rPr>
                <w:rFonts w:eastAsia="Times New Roman" w:cstheme="minorHAnsi"/>
                <w:sz w:val="21"/>
                <w:szCs w:val="21"/>
              </w:rPr>
              <w:t>hr</w:t>
            </w:r>
            <w:r w:rsidRPr="00E73BF2">
              <w:rPr>
                <w:rFonts w:eastAsia="Times New Roman" w:cstheme="minorHAnsi"/>
                <w:sz w:val="21"/>
                <w:szCs w:val="21"/>
              </w:rPr>
              <w:t>/yr (Ex0.05)</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532489E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(G) </w:t>
            </w:r>
            <w:r w:rsidRPr="00E73BF2">
              <w:rPr>
                <w:rFonts w:eastAsia="Times New Roman" w:cstheme="minorHAnsi"/>
                <w:sz w:val="21"/>
                <w:szCs w:val="21"/>
              </w:rPr>
              <w:br/>
              <w:t xml:space="preserve">Clerical person </w:t>
            </w:r>
            <w:r w:rsidRPr="00E73BF2">
              <w:rPr>
                <w:rFonts w:eastAsia="Times New Roman" w:cstheme="minorHAnsi"/>
                <w:sz w:val="21"/>
                <w:szCs w:val="21"/>
              </w:rPr>
              <w:t>hr</w:t>
            </w:r>
            <w:r w:rsidRPr="00E73BF2">
              <w:rPr>
                <w:rFonts w:eastAsia="Times New Roman" w:cstheme="minorHAnsi"/>
                <w:sz w:val="21"/>
                <w:szCs w:val="21"/>
              </w:rPr>
              <w:t>/yr (Ex0.1)</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3BCBBCE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(H) </w:t>
            </w:r>
            <w:r w:rsidRPr="00E73BF2">
              <w:rPr>
                <w:rFonts w:eastAsia="Times New Roman" w:cstheme="minorHAnsi"/>
                <w:sz w:val="21"/>
                <w:szCs w:val="21"/>
              </w:rPr>
              <w:br/>
              <w:t xml:space="preserve">Cost, $ </w:t>
            </w:r>
            <w:r w:rsidRPr="00E73BF2">
              <w:rPr>
                <w:rFonts w:eastAsia="Times New Roman" w:cstheme="minorHAnsi"/>
                <w:sz w:val="21"/>
                <w:szCs w:val="21"/>
                <w:vertAlign w:val="superscript"/>
              </w:rPr>
              <w:t>b</w:t>
            </w:r>
          </w:p>
        </w:tc>
      </w:tr>
      <w:tr w14:paraId="5ED69E59"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0D57CC3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1. Attend initial/periodic performance test </w:t>
            </w:r>
            <w:r w:rsidRPr="00E73BF2">
              <w:rPr>
                <w:rFonts w:eastAsia="Times New Roman" w:cstheme="minorHAnsi"/>
                <w:sz w:val="21"/>
                <w:szCs w:val="21"/>
                <w:vertAlign w:val="superscript"/>
              </w:rPr>
              <w:t>c</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7C42B61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2651901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221096B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24</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171FF2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3.2</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3D5783B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76.8</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6164F4F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3.84</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7917BB9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7.68</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1E8491B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$4,695.18 </w:t>
            </w:r>
          </w:p>
        </w:tc>
      </w:tr>
      <w:tr w14:paraId="3CFFA881"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A85B51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2. Attend retest </w:t>
            </w:r>
            <w:r w:rsidRPr="00E73BF2">
              <w:rPr>
                <w:rFonts w:eastAsia="Times New Roman" w:cstheme="minorHAnsi"/>
                <w:sz w:val="21"/>
                <w:szCs w:val="21"/>
                <w:vertAlign w:val="superscript"/>
              </w:rPr>
              <w:t>c,d</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2682123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24</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6702C64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707CEE3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24</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03CB100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0.6</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20323C1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14.4</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4238725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0.72</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0A870C4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1.44</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79EE109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$880.35 </w:t>
            </w:r>
          </w:p>
        </w:tc>
      </w:tr>
      <w:tr w14:paraId="0B18A72A" w14:textId="77777777" w:rsidTr="00325C1E">
        <w:tblPrEx>
          <w:tblW w:w="13268"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36F03E7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 Report review</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399A5B9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71B968D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70F7823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624AE20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6DCDF7F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11AF8FC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172AE03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62E8768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r>
      <w:tr w14:paraId="55C8F44F"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4BD1A29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Notification of construction/reconstruction </w:t>
            </w:r>
            <w:r w:rsidRPr="00E73BF2">
              <w:rPr>
                <w:rFonts w:eastAsia="Times New Roman" w:cstheme="minorHAnsi"/>
                <w:sz w:val="21"/>
                <w:szCs w:val="21"/>
                <w:vertAlign w:val="superscript"/>
              </w:rPr>
              <w:t>e</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44584F4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0AE551E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1A82A90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219A992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42F153F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2.00</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3F2E0CE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0.10</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64B2F22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0.20</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3FFFDCD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$122.27 </w:t>
            </w:r>
          </w:p>
        </w:tc>
      </w:tr>
      <w:tr w14:paraId="22E6554A" w14:textId="77777777" w:rsidTr="00325C1E">
        <w:tblPrEx>
          <w:tblW w:w="13268" w:type="dxa"/>
          <w:tblLook w:val="04A0"/>
        </w:tblPrEx>
        <w:trPr>
          <w:trHeight w:val="126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1951555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Notification of actual startup </w:t>
            </w:r>
            <w:r w:rsidRPr="00E73BF2">
              <w:rPr>
                <w:rFonts w:eastAsia="Times New Roman" w:cstheme="minorHAnsi"/>
                <w:sz w:val="21"/>
                <w:szCs w:val="21"/>
                <w:vertAlign w:val="superscript"/>
              </w:rPr>
              <w:t>e</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044A26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44165C0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28D5248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13E71A6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23ED70B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2.00</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670AAB6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0.10</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1F5F20E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0.20</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1F7D3EF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$122.27 </w:t>
            </w:r>
          </w:p>
        </w:tc>
      </w:tr>
      <w:tr w14:paraId="2F0C0276" w14:textId="77777777" w:rsidTr="00325C1E">
        <w:tblPrEx>
          <w:tblW w:w="13268" w:type="dxa"/>
          <w:tblLook w:val="04A0"/>
        </w:tblPrEx>
        <w:trPr>
          <w:trHeight w:val="804"/>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7962C88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Notification of applicability of standard </w:t>
            </w:r>
            <w:r w:rsidRPr="00E73BF2">
              <w:rPr>
                <w:rFonts w:eastAsia="Times New Roman" w:cstheme="minorHAnsi"/>
                <w:sz w:val="21"/>
                <w:szCs w:val="21"/>
                <w:vertAlign w:val="superscript"/>
              </w:rPr>
              <w:t>e</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5DB2E7C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3372EBA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5AC7332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2701E53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0EC423F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2.00</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15A557B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0.10</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0321A5F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0.20</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3CE818C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$122.27 </w:t>
            </w:r>
          </w:p>
        </w:tc>
      </w:tr>
      <w:tr w14:paraId="1B9BCC1E"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7AC723C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Notification of initial/periodic performance test </w:t>
            </w:r>
            <w:r w:rsidRPr="00E73BF2">
              <w:rPr>
                <w:rFonts w:eastAsia="Times New Roman" w:cstheme="minorHAnsi"/>
                <w:sz w:val="21"/>
                <w:szCs w:val="21"/>
                <w:vertAlign w:val="superscript"/>
              </w:rPr>
              <w:t>f</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44B3C0D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3EF9B93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0D436D4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6EC38DF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38</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5F2A026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69AB73A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3.8</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71808AA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6B5449B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$4,646.28 </w:t>
            </w:r>
          </w:p>
        </w:tc>
      </w:tr>
      <w:tr w14:paraId="609988EA"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42F2530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Notification of performance evaluation </w:t>
            </w:r>
            <w:r w:rsidRPr="00E73BF2">
              <w:rPr>
                <w:rFonts w:eastAsia="Times New Roman" w:cstheme="minorHAnsi"/>
                <w:sz w:val="21"/>
                <w:szCs w:val="21"/>
                <w:vertAlign w:val="superscript"/>
              </w:rPr>
              <w:t>f</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6567C28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589E9B7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57BF300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5CA313F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38</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7741381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1C11393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3.8</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5BCC1C9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7.6</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4071962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$4,646.28 </w:t>
            </w:r>
          </w:p>
        </w:tc>
      </w:tr>
      <w:tr w14:paraId="22566275"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7D266EC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Review of notification of compliance status </w:t>
            </w:r>
            <w:r w:rsidRPr="00E73BF2">
              <w:rPr>
                <w:rFonts w:eastAsia="Times New Roman" w:cstheme="minorHAnsi"/>
                <w:sz w:val="21"/>
                <w:szCs w:val="21"/>
                <w:vertAlign w:val="superscript"/>
              </w:rPr>
              <w:t>e</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4675504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4</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1D95178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7BB51D5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4</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6E33776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4777D04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4.00</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5A7E205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0.20</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33AC713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0.40</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797F43B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$244.54 </w:t>
            </w:r>
          </w:p>
        </w:tc>
      </w:tr>
      <w:tr w14:paraId="6534FF94" w14:textId="77777777" w:rsidTr="00325C1E">
        <w:tblPrEx>
          <w:tblW w:w="13268"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670BF05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Review of excess emissions report </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5010A25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2930777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4363C8E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661E1F8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2CAB617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45C6142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5AFEF4E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0207181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r>
      <w:tr w14:paraId="429DC129" w14:textId="77777777" w:rsidTr="00325C1E">
        <w:tblPrEx>
          <w:tblW w:w="13268" w:type="dxa"/>
          <w:tblLook w:val="04A0"/>
        </w:tblPrEx>
        <w:trPr>
          <w:trHeight w:val="888"/>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3D3DB1F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Semiannual reports of monitoring exceedances and periods of noncompliance</w:t>
            </w:r>
            <w:r w:rsidRPr="00E73BF2">
              <w:rPr>
                <w:rFonts w:eastAsia="Times New Roman" w:cstheme="minorHAnsi"/>
                <w:sz w:val="21"/>
                <w:szCs w:val="21"/>
                <w:vertAlign w:val="superscript"/>
              </w:rPr>
              <w:t xml:space="preserve"> g</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02E0985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8</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7D3FF12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191358F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16</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1647ABA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5</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569115E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80</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1702693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4</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528BD14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8</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58E775C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$4,890.82 </w:t>
            </w:r>
          </w:p>
        </w:tc>
      </w:tr>
      <w:tr w14:paraId="4C3181FC"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39081D6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Semiannual reports of no exceedances </w:t>
            </w:r>
            <w:r w:rsidRPr="00E73BF2">
              <w:rPr>
                <w:rFonts w:eastAsia="Times New Roman" w:cstheme="minorHAnsi"/>
                <w:sz w:val="21"/>
                <w:szCs w:val="21"/>
                <w:vertAlign w:val="superscript"/>
              </w:rPr>
              <w:t>h</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075C0A2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340" w:type="dxa"/>
            <w:tcBorders>
              <w:top w:val="nil"/>
              <w:left w:val="nil"/>
              <w:bottom w:val="single" w:sz="4" w:space="0" w:color="auto"/>
              <w:right w:val="single" w:sz="4" w:space="0" w:color="auto"/>
            </w:tcBorders>
            <w:shd w:val="clear" w:color="auto" w:fill="auto"/>
            <w:vAlign w:val="center"/>
            <w:hideMark/>
          </w:tcPr>
          <w:p w:rsidR="00E73BF2" w:rsidRPr="00E73BF2" w:rsidP="00E73BF2" w14:paraId="70FD391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2</w:t>
            </w:r>
          </w:p>
        </w:tc>
        <w:tc>
          <w:tcPr>
            <w:tcW w:w="1123" w:type="dxa"/>
            <w:tcBorders>
              <w:top w:val="nil"/>
              <w:left w:val="nil"/>
              <w:bottom w:val="single" w:sz="4" w:space="0" w:color="auto"/>
              <w:right w:val="single" w:sz="4" w:space="0" w:color="auto"/>
            </w:tcBorders>
            <w:shd w:val="clear" w:color="auto" w:fill="auto"/>
            <w:vAlign w:val="center"/>
            <w:hideMark/>
          </w:tcPr>
          <w:p w:rsidR="00E73BF2" w:rsidRPr="00E73BF2" w:rsidP="00E73BF2" w14:paraId="3D838AB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4</w:t>
            </w:r>
          </w:p>
        </w:tc>
        <w:tc>
          <w:tcPr>
            <w:tcW w:w="803" w:type="dxa"/>
            <w:tcBorders>
              <w:top w:val="nil"/>
              <w:left w:val="nil"/>
              <w:bottom w:val="single" w:sz="4" w:space="0" w:color="auto"/>
              <w:right w:val="single" w:sz="4" w:space="0" w:color="auto"/>
            </w:tcBorders>
            <w:shd w:val="clear" w:color="auto" w:fill="auto"/>
            <w:vAlign w:val="center"/>
            <w:hideMark/>
          </w:tcPr>
          <w:p w:rsidR="00E73BF2" w:rsidRPr="00E73BF2" w:rsidP="00E73BF2" w14:paraId="7A6E197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91</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6CD331B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364</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7D27D4E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18.2</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7C20B45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36.4</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0DB3F7A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$22,253.21 </w:t>
            </w:r>
          </w:p>
        </w:tc>
      </w:tr>
      <w:tr w14:paraId="663D6B4D" w14:textId="77777777" w:rsidTr="00325C1E">
        <w:tblPrEx>
          <w:tblW w:w="13268" w:type="dxa"/>
          <w:tblLook w:val="04A0"/>
        </w:tblPrEx>
        <w:trPr>
          <w:trHeight w:val="288"/>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22548E18" w14:textId="77777777">
            <w:pPr>
              <w:widowControl w:val="0"/>
              <w:autoSpaceDE w:val="0"/>
              <w:autoSpaceDN w:val="0"/>
              <w:adjustRightInd w:val="0"/>
              <w:spacing w:after="0" w:line="240" w:lineRule="auto"/>
              <w:ind w:left="0" w:firstLine="0"/>
              <w:rPr>
                <w:rFonts w:eastAsia="Times New Roman" w:cstheme="minorHAnsi"/>
                <w:i/>
                <w:iCs/>
                <w:sz w:val="21"/>
                <w:szCs w:val="21"/>
              </w:rPr>
            </w:pPr>
            <w:r w:rsidRPr="00E73BF2">
              <w:rPr>
                <w:rFonts w:eastAsia="Times New Roman" w:cstheme="minorHAnsi"/>
                <w:i/>
                <w:iCs/>
                <w:sz w:val="21"/>
                <w:szCs w:val="21"/>
              </w:rPr>
              <w:t>Subtotal for Burden and Cost - Salary</w:t>
            </w:r>
          </w:p>
        </w:tc>
        <w:tc>
          <w:tcPr>
            <w:tcW w:w="1255"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20DBF7A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340"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31B784D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2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68705CD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80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39A75092"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3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73BF2" w:rsidRPr="00E73BF2" w:rsidP="00E73BF2" w14:paraId="62CAB30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802</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E73BF2" w:rsidRPr="00E73BF2" w:rsidP="00E73BF2" w14:paraId="1543D48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$42,623 </w:t>
            </w:r>
          </w:p>
        </w:tc>
      </w:tr>
      <w:tr w14:paraId="0F237871"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rsidR="00E73BF2" w:rsidRPr="00E73BF2" w:rsidP="00E73BF2" w14:paraId="5D4A5983"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 Travel Expenses for Tests Attended </w:t>
            </w:r>
            <w:r w:rsidRPr="00E73BF2">
              <w:rPr>
                <w:rFonts w:eastAsia="Times New Roman" w:cstheme="minorHAnsi"/>
                <w:sz w:val="21"/>
                <w:szCs w:val="21"/>
                <w:vertAlign w:val="superscript"/>
              </w:rPr>
              <w:t>i</w:t>
            </w:r>
          </w:p>
        </w:tc>
        <w:tc>
          <w:tcPr>
            <w:tcW w:w="1255"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0858F00D"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340"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56FDE70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2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6595F71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80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4535735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2E95C03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41FBFD5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7B33842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026245FC"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$1,710 </w:t>
            </w:r>
          </w:p>
        </w:tc>
      </w:tr>
      <w:tr w14:paraId="32A7CA1C" w14:textId="77777777" w:rsidTr="00325C1E">
        <w:tblPrEx>
          <w:tblW w:w="13268" w:type="dxa"/>
          <w:tblLook w:val="04A0"/>
        </w:tblPrEx>
        <w:trPr>
          <w:trHeight w:val="312"/>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E73BF2" w:rsidRPr="00E73BF2" w:rsidP="00E73BF2" w14:paraId="5ED03AC1"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TOTAL ANNUAL BURDEN AND COST </w:t>
            </w:r>
            <w:r w:rsidRPr="00E73BF2">
              <w:rPr>
                <w:rFonts w:eastAsia="Times New Roman" w:cstheme="minorHAnsi"/>
                <w:sz w:val="21"/>
                <w:szCs w:val="21"/>
                <w:vertAlign w:val="superscript"/>
              </w:rPr>
              <w:t>j</w:t>
            </w:r>
          </w:p>
        </w:tc>
        <w:tc>
          <w:tcPr>
            <w:tcW w:w="1255"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756AD554"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340"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1E86E1D7"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2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3792C55B"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803" w:type="dxa"/>
            <w:tcBorders>
              <w:top w:val="nil"/>
              <w:left w:val="nil"/>
              <w:bottom w:val="single" w:sz="4" w:space="0" w:color="auto"/>
              <w:right w:val="single" w:sz="4" w:space="0" w:color="auto"/>
            </w:tcBorders>
            <w:shd w:val="clear" w:color="auto" w:fill="auto"/>
            <w:noWrap/>
            <w:vAlign w:val="center"/>
            <w:hideMark/>
          </w:tcPr>
          <w:p w:rsidR="00E73BF2" w:rsidRPr="00E73BF2" w:rsidP="00E73BF2" w14:paraId="14A9FC2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133" w:type="dxa"/>
            <w:tcBorders>
              <w:top w:val="nil"/>
              <w:left w:val="nil"/>
              <w:bottom w:val="single" w:sz="4" w:space="0" w:color="auto"/>
              <w:right w:val="single" w:sz="4" w:space="0" w:color="auto"/>
            </w:tcBorders>
            <w:shd w:val="clear" w:color="auto" w:fill="auto"/>
            <w:vAlign w:val="center"/>
            <w:hideMark/>
          </w:tcPr>
          <w:p w:rsidR="00E73BF2" w:rsidRPr="00E73BF2" w:rsidP="00E73BF2" w14:paraId="583AC0E0"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51" w:type="dxa"/>
            <w:tcBorders>
              <w:top w:val="nil"/>
              <w:left w:val="nil"/>
              <w:bottom w:val="single" w:sz="4" w:space="0" w:color="auto"/>
              <w:right w:val="single" w:sz="4" w:space="0" w:color="auto"/>
            </w:tcBorders>
            <w:shd w:val="clear" w:color="auto" w:fill="auto"/>
            <w:vAlign w:val="center"/>
            <w:hideMark/>
          </w:tcPr>
          <w:p w:rsidR="00E73BF2" w:rsidRPr="00E73BF2" w:rsidP="00E73BF2" w14:paraId="61063C5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962" w:type="dxa"/>
            <w:tcBorders>
              <w:top w:val="nil"/>
              <w:left w:val="nil"/>
              <w:bottom w:val="single" w:sz="4" w:space="0" w:color="auto"/>
              <w:right w:val="single" w:sz="4" w:space="0" w:color="auto"/>
            </w:tcBorders>
            <w:shd w:val="clear" w:color="auto" w:fill="auto"/>
            <w:vAlign w:val="center"/>
            <w:hideMark/>
          </w:tcPr>
          <w:p w:rsidR="00E73BF2" w:rsidRPr="00E73BF2" w:rsidP="00E73BF2" w14:paraId="4746F10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w:t>
            </w:r>
          </w:p>
        </w:tc>
        <w:tc>
          <w:tcPr>
            <w:tcW w:w="1426" w:type="dxa"/>
            <w:tcBorders>
              <w:top w:val="nil"/>
              <w:left w:val="nil"/>
              <w:bottom w:val="single" w:sz="4" w:space="0" w:color="auto"/>
              <w:right w:val="single" w:sz="4" w:space="0" w:color="auto"/>
            </w:tcBorders>
            <w:shd w:val="clear" w:color="auto" w:fill="auto"/>
            <w:vAlign w:val="center"/>
            <w:hideMark/>
          </w:tcPr>
          <w:p w:rsidR="00E73BF2" w:rsidRPr="00E73BF2" w:rsidP="00E73BF2" w14:paraId="0799CF0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rPr>
              <w:t xml:space="preserve">$44,300 </w:t>
            </w:r>
          </w:p>
        </w:tc>
      </w:tr>
    </w:tbl>
    <w:p w:rsidR="00E73BF2" w:rsidRPr="00E73BF2" w:rsidP="00E73BF2" w14:paraId="6A015F19"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a</w:t>
      </w:r>
      <w:r w:rsidRPr="00E73BF2">
        <w:rPr>
          <w:rFonts w:eastAsia="Times New Roman" w:cstheme="minorHAnsi"/>
          <w:sz w:val="21"/>
          <w:szCs w:val="21"/>
        </w:rPr>
        <w:t xml:space="preserve"> We estimate that the number of existing sources subject to the rule is 96 pulp mills. We also estimate that new equipment will be installed at three existing pulp mills and become subject to the rule over the 3 years of this ICR (two new recovery furnaces, two new SDTs, and one new lime kiln). Based on these estimates, over the 3 years of this ICR, there will be an average of 96 pulp mills per year and new source requirements for an average of 1 pulp mills per year.</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51AA347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b</w:t>
      </w:r>
      <w:r w:rsidRPr="00E73BF2">
        <w:rPr>
          <w:rFonts w:eastAsia="Times New Roman" w:cstheme="minorHAnsi"/>
          <w:sz w:val="21"/>
          <w:szCs w:val="21"/>
        </w:rPr>
        <w:t xml:space="preserve"> </w:t>
      </w:r>
      <w:r w:rsidRPr="00E73BF2">
        <w:rPr>
          <w:rFonts w:eastAsia="Times New Roman" w:cstheme="minorHAnsi"/>
          <w:sz w:val="21"/>
          <w:szCs w:val="21"/>
        </w:rPr>
        <w:t>The</w:t>
      </w:r>
      <w:r w:rsidRPr="00E73BF2">
        <w:rPr>
          <w:rFonts w:eastAsia="Times New Roman" w:cstheme="minorHAnsi"/>
          <w:sz w:val="21"/>
          <w:szCs w:val="21"/>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w:t>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09ACD3F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c</w:t>
      </w:r>
      <w:r w:rsidRPr="00E73BF2">
        <w:rPr>
          <w:rFonts w:eastAsia="Times New Roman" w:cstheme="minorHAnsi"/>
          <w:sz w:val="21"/>
          <w:szCs w:val="21"/>
        </w:rPr>
        <w:t xml:space="preserve"> Assume EPA will attend tests at 3.2 plants per year. We estimate that it will take EPA personnel 24 hours once per year to attend initial and periodic performance tests at 10% of plants (0.10 x 96/3 years = 3.2), assuming 96 existing plants will test.</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464D614F"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d</w:t>
      </w:r>
      <w:r w:rsidRPr="00E73BF2">
        <w:rPr>
          <w:rFonts w:eastAsia="Times New Roman" w:cstheme="minorHAnsi"/>
          <w:sz w:val="21"/>
          <w:szCs w:val="21"/>
        </w:rPr>
        <w:t xml:space="preserve"> Assume EPA will attend retests at 0.6 plants per year. We estimate that 20% of respondents will repeat performance test due to failure and that EPA personnel will attend 10% of retests (0.20 x 0.10 x 96/3 years = 0.64), assuming 96 existing plants and 1 new plant will test.</w:t>
      </w:r>
      <w:r w:rsidRPr="00E73BF2">
        <w:rPr>
          <w:rFonts w:eastAsia="Times New Roman" w:cstheme="minorHAnsi"/>
          <w:sz w:val="21"/>
          <w:szCs w:val="21"/>
        </w:rPr>
        <w:tab/>
      </w:r>
    </w:p>
    <w:p w:rsidR="00E73BF2" w:rsidRPr="00E73BF2" w:rsidP="00E73BF2" w14:paraId="219AE9B8"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e</w:t>
      </w:r>
      <w:r w:rsidRPr="00E73BF2">
        <w:rPr>
          <w:rFonts w:eastAsia="Times New Roman" w:cstheme="minorHAnsi"/>
          <w:sz w:val="21"/>
          <w:szCs w:val="21"/>
        </w:rPr>
        <w:t xml:space="preserve"> We estimate that it will take EPA personnel 2 hours once per year to complete review of the initial notifications (construction/reconstruction, actual startup, applicability of standard) and 4 hours once per year to review the notification of compliance status for new process units (3 mills with new process units/3 years = 1).</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4F04FF66"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f</w:t>
      </w:r>
      <w:r w:rsidRPr="00E73BF2">
        <w:rPr>
          <w:rFonts w:eastAsia="Times New Roman" w:cstheme="minorHAnsi"/>
          <w:sz w:val="21"/>
          <w:szCs w:val="21"/>
        </w:rPr>
        <w:t xml:space="preserve"> We estimate that it will take EPA personnel 2 hours once per year to complete review of the initial and periodic notifications of performance test/retest and performance evaluation. We estimate that 38 mills will submit notifications of initial/periodic performance test/retest and performance evaluation over the 3-year ICR period (test: 96 existing respondents/3 years = 32; retest: 20% x 35 = 6; total: 32 + 6 = 38).</w:t>
      </w:r>
      <w:r w:rsidRPr="00E73BF2">
        <w:rPr>
          <w:rFonts w:eastAsia="Times New Roman" w:cstheme="minorHAnsi"/>
          <w:sz w:val="21"/>
          <w:szCs w:val="21"/>
        </w:rPr>
        <w:tab/>
      </w:r>
    </w:p>
    <w:p w:rsidR="00E73BF2" w:rsidRPr="00E73BF2" w:rsidP="00E73BF2" w14:paraId="0DC6D7CE"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g</w:t>
      </w:r>
      <w:r w:rsidRPr="00E73BF2">
        <w:rPr>
          <w:rFonts w:eastAsia="Times New Roman" w:cstheme="minorHAnsi"/>
          <w:sz w:val="21"/>
          <w:szCs w:val="21"/>
        </w:rPr>
        <w:t xml:space="preserve"> We estimate that it will take EPA personnel 8 hours two times per year to review the monitoring exceedances and periods of noncompliance in the excess emissions report for 5% of respondents (5% x 104 = 5).</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2051B4F5"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 xml:space="preserve">h </w:t>
      </w:r>
      <w:r w:rsidRPr="00E73BF2">
        <w:rPr>
          <w:rFonts w:eastAsia="Times New Roman" w:cstheme="minorHAnsi"/>
          <w:sz w:val="21"/>
          <w:szCs w:val="21"/>
        </w:rPr>
        <w:t>We estimate that it will take EPA personnel 2 hours two times per year to review the no exceedances report for 95% of respondents (95% x 96 = 91.2).</w:t>
      </w:r>
      <w:r w:rsidRPr="00E73BF2">
        <w:rPr>
          <w:rFonts w:eastAsia="Times New Roman" w:cstheme="minorHAnsi"/>
          <w:sz w:val="21"/>
          <w:szCs w:val="21"/>
        </w:rPr>
        <w:tab/>
      </w:r>
    </w:p>
    <w:p w:rsidR="00E73BF2" w:rsidRPr="00E73BF2" w:rsidP="00E73BF2" w14:paraId="7997DA8A" w14:textId="77777777">
      <w:pPr>
        <w:widowControl w:val="0"/>
        <w:autoSpaceDE w:val="0"/>
        <w:autoSpaceDN w:val="0"/>
        <w:adjustRightInd w:val="0"/>
        <w:spacing w:after="0" w:line="240" w:lineRule="auto"/>
        <w:ind w:left="0" w:firstLine="0"/>
        <w:rPr>
          <w:rFonts w:eastAsia="Times New Roman" w:cstheme="minorHAnsi"/>
          <w:sz w:val="21"/>
          <w:szCs w:val="21"/>
        </w:rPr>
      </w:pPr>
      <w:r w:rsidRPr="00E73BF2">
        <w:rPr>
          <w:rFonts w:eastAsia="Times New Roman" w:cstheme="minorHAnsi"/>
          <w:sz w:val="21"/>
          <w:szCs w:val="21"/>
          <w:vertAlign w:val="superscript"/>
        </w:rPr>
        <w:t>i</w:t>
      </w:r>
      <w:r w:rsidRPr="00E73BF2">
        <w:rPr>
          <w:rFonts w:eastAsia="Times New Roman" w:cstheme="minorHAnsi"/>
          <w:sz w:val="21"/>
          <w:szCs w:val="21"/>
        </w:rPr>
        <w:t xml:space="preserve"> We estimate that it will take EPA personnel 1 day per plant plus time for travel, at $50 per diem per day, and $400 transportation expense per round trip. Assuming an average of 4.3 tests/retests each year (3.2 tests + 0.6 retests = 3.8)(see footnotes c and d), the annual cost for travel expenses is $1,890 (3.8 tests/retests*($400+$50) = $1,710).</w:t>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r w:rsidRPr="00E73BF2">
        <w:rPr>
          <w:rFonts w:eastAsia="Times New Roman" w:cstheme="minorHAnsi"/>
          <w:sz w:val="21"/>
          <w:szCs w:val="21"/>
        </w:rPr>
        <w:tab/>
      </w:r>
    </w:p>
    <w:p w:rsidR="00E73BF2" w:rsidRPr="00E73BF2" w:rsidP="00E73BF2" w14:paraId="51A7E189" w14:textId="77777777">
      <w:pPr>
        <w:widowControl w:val="0"/>
        <w:autoSpaceDE w:val="0"/>
        <w:autoSpaceDN w:val="0"/>
        <w:adjustRightInd w:val="0"/>
        <w:spacing w:after="0" w:line="240" w:lineRule="auto"/>
        <w:ind w:left="0" w:firstLine="0"/>
        <w:rPr>
          <w:rFonts w:eastAsia="Times New Roman" w:cstheme="minorHAnsi"/>
          <w:sz w:val="21"/>
          <w:szCs w:val="21"/>
        </w:rPr>
        <w:sectPr w:rsidSect="00E73BF2">
          <w:pgSz w:w="15840" w:h="12240" w:orient="landscape"/>
          <w:pgMar w:top="1440" w:right="1350" w:bottom="1440" w:left="1440" w:header="1350" w:footer="1440" w:gutter="0"/>
          <w:cols w:space="720"/>
          <w:noEndnote/>
          <w:docGrid w:linePitch="326"/>
        </w:sectPr>
      </w:pPr>
      <w:r w:rsidRPr="00E73BF2">
        <w:rPr>
          <w:rFonts w:eastAsia="Times New Roman" w:cstheme="minorHAnsi"/>
          <w:sz w:val="21"/>
          <w:szCs w:val="21"/>
          <w:vertAlign w:val="superscript"/>
        </w:rPr>
        <w:t>j</w:t>
      </w:r>
      <w:r w:rsidRPr="00E73BF2">
        <w:rPr>
          <w:rFonts w:eastAsia="Times New Roman" w:cstheme="minorHAnsi"/>
          <w:sz w:val="21"/>
          <w:szCs w:val="21"/>
        </w:rPr>
        <w:t xml:space="preserve"> Sum of labor and expenses. Total has been rounded to 3 significant figures. Figure may not add exactly due to rounding.</w:t>
      </w:r>
    </w:p>
    <w:p w:rsidR="00E56510" w:rsidRPr="00E56510" w:rsidP="00E56510" w14:paraId="2A00271C"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62E938BC"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28325CCA"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2F1E78B7"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3F09DB53"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782FC6A1"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5BE419A1"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56510" w:rsidP="00E56510" w14:paraId="58B81B2A" w14:textId="77777777">
      <w:pPr>
        <w:widowControl w:val="0"/>
        <w:autoSpaceDE w:val="0"/>
        <w:autoSpaceDN w:val="0"/>
        <w:adjustRightInd w:val="0"/>
        <w:spacing w:after="0" w:line="240" w:lineRule="auto"/>
        <w:ind w:left="0" w:firstLine="0"/>
        <w:jc w:val="center"/>
        <w:rPr>
          <w:rFonts w:eastAsia="Times New Roman" w:cstheme="minorHAnsi"/>
          <w:sz w:val="21"/>
          <w:szCs w:val="21"/>
        </w:rPr>
      </w:pPr>
    </w:p>
    <w:p w:rsidR="00E56510" w:rsidRPr="00E56510" w:rsidP="00E56510" w14:paraId="29F706C1" w14:textId="77777777">
      <w:pPr>
        <w:widowControl w:val="0"/>
        <w:autoSpaceDE w:val="0"/>
        <w:autoSpaceDN w:val="0"/>
        <w:adjustRightInd w:val="0"/>
        <w:spacing w:after="0" w:line="240" w:lineRule="auto"/>
        <w:ind w:left="0" w:firstLine="0"/>
        <w:jc w:val="center"/>
        <w:rPr>
          <w:rFonts w:eastAsia="Times New Roman" w:cstheme="minorHAnsi"/>
          <w:sz w:val="21"/>
          <w:szCs w:val="21"/>
        </w:rPr>
      </w:pPr>
      <w:r w:rsidRPr="00E56510">
        <w:rPr>
          <w:rFonts w:eastAsia="Times New Roman" w:cstheme="minorHAnsi"/>
          <w:sz w:val="21"/>
          <w:szCs w:val="21"/>
        </w:rPr>
        <w:t xml:space="preserve">Appendix A – Draft Electronic Reporting Template </w:t>
      </w:r>
    </w:p>
    <w:p w:rsidR="00E56510" w:rsidRPr="00E56510" w:rsidP="00E56510" w14:paraId="04CAF48E" w14:textId="77777777">
      <w:pPr>
        <w:widowControl w:val="0"/>
        <w:autoSpaceDE w:val="0"/>
        <w:autoSpaceDN w:val="0"/>
        <w:adjustRightInd w:val="0"/>
        <w:spacing w:after="0" w:line="240" w:lineRule="auto"/>
        <w:ind w:left="0" w:firstLine="0"/>
        <w:jc w:val="center"/>
        <w:rPr>
          <w:rFonts w:eastAsia="Times New Roman" w:cstheme="minorHAnsi"/>
          <w:sz w:val="21"/>
          <w:szCs w:val="21"/>
        </w:rPr>
      </w:pPr>
      <w:r w:rsidRPr="00E56510">
        <w:rPr>
          <w:rFonts w:eastAsia="Times New Roman" w:cstheme="minorHAnsi"/>
          <w:sz w:val="21"/>
          <w:szCs w:val="21"/>
        </w:rPr>
        <w:t>(see Docket ID Number EPA-HQ-OAR-2020-0624)</w:t>
      </w:r>
    </w:p>
    <w:p w:rsidR="00E56510" w:rsidRPr="00E56510" w:rsidP="00E56510" w14:paraId="7914A846" w14:textId="77777777">
      <w:pPr>
        <w:widowControl w:val="0"/>
        <w:autoSpaceDE w:val="0"/>
        <w:autoSpaceDN w:val="0"/>
        <w:adjustRightInd w:val="0"/>
        <w:spacing w:after="0" w:line="240" w:lineRule="auto"/>
        <w:ind w:left="0" w:firstLine="0"/>
        <w:rPr>
          <w:rFonts w:eastAsia="Times New Roman" w:cstheme="minorHAnsi"/>
          <w:sz w:val="21"/>
          <w:szCs w:val="21"/>
        </w:rPr>
      </w:pPr>
    </w:p>
    <w:p w:rsidR="00E56510" w:rsidRPr="00E73BF2" w:rsidP="002943D2" w14:paraId="7AB7E20B" w14:textId="77777777">
      <w:pPr>
        <w:spacing w:line="259" w:lineRule="auto"/>
        <w:ind w:left="0" w:firstLine="0"/>
        <w:rPr>
          <w:rFonts w:cstheme="minorHAnsi"/>
          <w:sz w:val="21"/>
          <w:szCs w:val="21"/>
        </w:rPr>
      </w:pPr>
    </w:p>
    <w:sectPr w:rsidSect="00E56510">
      <w:footerReference w:type="default" r:id="rId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p w:rsidR="00B96971" w14:paraId="743CF3F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31"/>
  </w:num>
  <w:num w:numId="5" w16cid:durableId="2055687918">
    <w:abstractNumId w:val="20"/>
  </w:num>
  <w:num w:numId="6" w16cid:durableId="1603025219">
    <w:abstractNumId w:val="28"/>
  </w:num>
  <w:num w:numId="7" w16cid:durableId="423957196">
    <w:abstractNumId w:val="17"/>
  </w:num>
  <w:num w:numId="8" w16cid:durableId="2031829208">
    <w:abstractNumId w:val="24"/>
  </w:num>
  <w:num w:numId="9" w16cid:durableId="218439549">
    <w:abstractNumId w:val="10"/>
  </w:num>
  <w:num w:numId="10" w16cid:durableId="1285231924">
    <w:abstractNumId w:val="5"/>
  </w:num>
  <w:num w:numId="11" w16cid:durableId="327370686">
    <w:abstractNumId w:val="9"/>
  </w:num>
  <w:num w:numId="12" w16cid:durableId="1802993385">
    <w:abstractNumId w:val="12"/>
  </w:num>
  <w:num w:numId="13" w16cid:durableId="1792938267">
    <w:abstractNumId w:val="32"/>
  </w:num>
  <w:num w:numId="14" w16cid:durableId="239490726">
    <w:abstractNumId w:val="7"/>
  </w:num>
  <w:num w:numId="15" w16cid:durableId="1395350314">
    <w:abstractNumId w:val="11"/>
  </w:num>
  <w:num w:numId="16" w16cid:durableId="441535906">
    <w:abstractNumId w:val="15"/>
  </w:num>
  <w:num w:numId="17" w16cid:durableId="2008243381">
    <w:abstractNumId w:val="25"/>
  </w:num>
  <w:num w:numId="18" w16cid:durableId="840463183">
    <w:abstractNumId w:val="23"/>
  </w:num>
  <w:num w:numId="19" w16cid:durableId="469980091">
    <w:abstractNumId w:val="27"/>
  </w:num>
  <w:num w:numId="20" w16cid:durableId="2126730031">
    <w:abstractNumId w:val="13"/>
  </w:num>
  <w:num w:numId="21" w16cid:durableId="106124704">
    <w:abstractNumId w:val="2"/>
  </w:num>
  <w:num w:numId="22" w16cid:durableId="1552418013">
    <w:abstractNumId w:val="16"/>
  </w:num>
  <w:num w:numId="23" w16cid:durableId="1598828334">
    <w:abstractNumId w:val="29"/>
  </w:num>
  <w:num w:numId="24" w16cid:durableId="2051031068">
    <w:abstractNumId w:val="1"/>
  </w:num>
  <w:num w:numId="25" w16cid:durableId="258569098">
    <w:abstractNumId w:val="18"/>
  </w:num>
  <w:num w:numId="26" w16cid:durableId="331181582">
    <w:abstractNumId w:val="22"/>
  </w:num>
  <w:num w:numId="27" w16cid:durableId="1015961391">
    <w:abstractNumId w:val="26"/>
  </w:num>
  <w:num w:numId="28" w16cid:durableId="1315645907">
    <w:abstractNumId w:val="19"/>
  </w:num>
  <w:num w:numId="29" w16cid:durableId="1456172683">
    <w:abstractNumId w:val="30"/>
  </w:num>
  <w:num w:numId="30"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1" w16cid:durableId="419524645">
    <w:abstractNumId w:val="21"/>
  </w:num>
  <w:num w:numId="32" w16cid:durableId="188103146">
    <w:abstractNumId w:val="4"/>
  </w:num>
  <w:num w:numId="33" w16cid:durableId="4889061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0FD"/>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0A"/>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2DCD"/>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3E3E"/>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2B94"/>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390C"/>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67C34"/>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09A1"/>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56CB1"/>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260"/>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4C8"/>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CE7"/>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B22"/>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96971"/>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0F1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D41"/>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56510"/>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BF2"/>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393406"/>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numbering" w:customStyle="1" w:styleId="NoList1">
    <w:name w:val="No List1"/>
    <w:next w:val="NoList"/>
    <w:uiPriority w:val="99"/>
    <w:semiHidden/>
    <w:unhideWhenUsed/>
    <w:rsid w:val="00E56510"/>
  </w:style>
  <w:style w:type="character" w:customStyle="1" w:styleId="Hypertext">
    <w:name w:val="Hypertext"/>
    <w:rsid w:val="00E56510"/>
    <w:rPr>
      <w:color w:val="0000FF"/>
      <w:u w:val="single"/>
    </w:rPr>
  </w:style>
  <w:style w:type="paragraph" w:customStyle="1" w:styleId="Level1">
    <w:name w:val="Level 1"/>
    <w:basedOn w:val="Normal"/>
    <w:rsid w:val="00E56510"/>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E56510"/>
  </w:style>
  <w:style w:type="paragraph" w:styleId="DocumentMap">
    <w:name w:val="Document Map"/>
    <w:basedOn w:val="Normal"/>
    <w:link w:val="DocumentMapChar"/>
    <w:rsid w:val="00E56510"/>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E56510"/>
    <w:rPr>
      <w:rFonts w:ascii="Tahoma" w:eastAsia="Times New Roman" w:hAnsi="Tahoma" w:cs="Tahoma"/>
      <w:sz w:val="16"/>
      <w:szCs w:val="16"/>
    </w:rPr>
  </w:style>
  <w:style w:type="table" w:customStyle="1" w:styleId="TableGrid1">
    <w:name w:val="Table Grid1"/>
    <w:basedOn w:val="TableNormal"/>
    <w:next w:val="TableGrid"/>
    <w:rsid w:val="00E56510"/>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E56510"/>
  </w:style>
  <w:style w:type="character" w:customStyle="1" w:styleId="contentpasted0">
    <w:name w:val="contentpasted0"/>
    <w:basedOn w:val="DefaultParagraphFont"/>
    <w:rsid w:val="00E5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s://www.epa.gov/chief/chief-listserv" TargetMode="External" /><Relationship Id="rId13"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4" Type="http://schemas.openxmlformats.org/officeDocument/2006/relationships/hyperlink" Target="http://www.regulations.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2024-11-12T18:18:41+00:00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www.w3.org/XML/1998/namespace"/>
    <ds:schemaRef ds:uri="http://schemas.openxmlformats.org/package/2006/metadata/core-properties"/>
    <ds:schemaRef ds:uri="http://schemas.microsoft.com/office/infopath/2007/PartnerControls"/>
    <ds:schemaRef ds:uri="http://purl.org/dc/elements/1.1/"/>
    <ds:schemaRef ds:uri="96fc5250-dc30-4f01-945b-7e46a880eeb3"/>
    <ds:schemaRef ds:uri="http://schemas.microsoft.com/office/2006/metadata/properties"/>
    <ds:schemaRef ds:uri="02fe02c4-dc41-46ff-9d52-90c0a1b1f611"/>
    <ds:schemaRef ds:uri="http://schemas.microsoft.com/sharepoint/v3/fields"/>
    <ds:schemaRef ds:uri="http://purl.org/dc/dcmitype/"/>
    <ds:schemaRef ds:uri="http://schemas.microsoft.com/sharepoint.v3"/>
    <ds:schemaRef ds:uri="http://schemas.microsoft.com/office/2006/documentManagement/types"/>
    <ds:schemaRef ds:uri="4ffa91fb-a0ff-4ac5-b2db-65c790d184a4"/>
    <ds:schemaRef ds:uri="http://schemas.microsoft.com/sharepoint/v3"/>
    <ds:schemaRef ds:uri="http://purl.org/dc/te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E3480F49-1D61-4C86-ABC2-CEEFCF2C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D92270-3C32-45C5-AD26-0EA9636D47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9808</Words>
  <Characters>52969</Characters>
  <Application>Microsoft Office Word</Application>
  <DocSecurity>0</DocSecurity>
  <Lines>1708</Lines>
  <Paragraphs>1012</Paragraphs>
  <ScaleCrop>false</ScaleCrop>
  <Company/>
  <LinksUpToDate>false</LinksUpToDate>
  <CharactersWithSpaces>61765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2025-02-28T21:57:00Z</dcterms:created>
  <dcterms:modified xsi:type="dcterms:W3CDTF">2025-02-28T21:57:00Z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