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4CEAD7F7">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601D0B" w:rsidR="00601D0B">
        <w:rPr>
          <w:rFonts w:cstheme="minorHAnsi"/>
        </w:rPr>
        <w:t>2022 National Pollutant Discharge Elimination System General Permit for Stormwater Discharges from Construction Activities</w:t>
      </w:r>
      <w:r w:rsidR="006B56C6">
        <w:rPr>
          <w:rFonts w:cstheme="minorHAnsi"/>
        </w:rPr>
        <w:t xml:space="preserve"> (Renewal)</w:t>
      </w:r>
    </w:p>
    <w:p w:rsidR="00EE2403" w:rsidRPr="00537878" w:rsidP="00BB432F" w14:paraId="71D5121E" w14:textId="13081E6B">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537878" w:rsidR="00601D0B">
        <w:rPr>
          <w:rFonts w:cstheme="minorHAnsi"/>
        </w:rPr>
        <w:t>2040-</w:t>
      </w:r>
      <w:r w:rsidRPr="00537878" w:rsidR="007A73BA">
        <w:rPr>
          <w:rFonts w:cstheme="minorHAnsi"/>
        </w:rPr>
        <w:t>0</w:t>
      </w:r>
      <w:r w:rsidRPr="00537878" w:rsidR="00537878">
        <w:rPr>
          <w:rFonts w:cstheme="minorHAnsi"/>
        </w:rPr>
        <w:t>305</w:t>
      </w:r>
    </w:p>
    <w:p w:rsidR="00EE2403" w:rsidRPr="00BB3410" w:rsidP="00ED57A4" w14:paraId="4FB77BCA" w14:textId="3983A173">
      <w:pPr>
        <w:spacing w:before="240" w:line="240" w:lineRule="auto"/>
        <w:rPr>
          <w:rFonts w:cstheme="minorHAnsi"/>
        </w:rPr>
      </w:pPr>
      <w:r w:rsidRPr="00537878">
        <w:rPr>
          <w:rFonts w:cstheme="minorHAnsi"/>
          <w:b/>
          <w:bCs/>
        </w:rPr>
        <w:t>EPA ICR Number:</w:t>
      </w:r>
      <w:r w:rsidRPr="00537878" w:rsidR="00BB432F">
        <w:rPr>
          <w:rFonts w:cstheme="minorHAnsi"/>
        </w:rPr>
        <w:t xml:space="preserve"> </w:t>
      </w:r>
      <w:r w:rsidRPr="00537878" w:rsidR="00601D0B">
        <w:rPr>
          <w:rFonts w:cstheme="minorHAnsi"/>
        </w:rPr>
        <w:t>2686.0</w:t>
      </w:r>
      <w:r w:rsidRPr="00537878" w:rsidR="00537878">
        <w:rPr>
          <w:rFonts w:cstheme="minorHAnsi"/>
        </w:rPr>
        <w:t>3</w:t>
      </w:r>
    </w:p>
    <w:p w:rsidR="00601D0B" w:rsidRPr="004A0DDE" w:rsidP="00601D0B" w14:paraId="64B5197A" w14:textId="77777777">
      <w:pPr>
        <w:spacing w:after="100" w:afterAutospacing="1" w:line="240" w:lineRule="auto"/>
        <w:contextualSpacing/>
        <w:rPr>
          <w:rFonts w:ascii="Calibri" w:hAnsi="Calibri" w:cs="Calibri"/>
        </w:rPr>
      </w:pPr>
      <w:r w:rsidRPr="4BDBF0A0">
        <w:rPr>
          <w:b/>
          <w:bCs/>
        </w:rPr>
        <w:t>Abstract:</w:t>
      </w:r>
      <w:r w:rsidRPr="4BDBF0A0" w:rsidR="00BB432F">
        <w:t xml:space="preserve"> </w:t>
      </w:r>
      <w:r w:rsidRPr="004A0DDE">
        <w:rPr>
          <w:rFonts w:ascii="Calibri" w:hAnsi="Calibri" w:cs="Calibri"/>
        </w:rPr>
        <w:t xml:space="preserve">This Information Collection Request (ICR) calculates the burden and costs associated with information collection and reporting activities from the 2022 U.S. Environmental Protection Agency (EPA) National Pollutant Discharge Elimination System (NPDES) General Permit for </w:t>
      </w:r>
      <w:r>
        <w:rPr>
          <w:rFonts w:ascii="Calibri" w:hAnsi="Calibri" w:cs="Calibri"/>
        </w:rPr>
        <w:t xml:space="preserve">Stormwater </w:t>
      </w:r>
      <w:r w:rsidRPr="004A0DDE">
        <w:rPr>
          <w:rFonts w:ascii="Calibri" w:hAnsi="Calibri" w:cs="Calibri"/>
        </w:rPr>
        <w:t>Discharges from Construction Activities, hereinafter referred to as the 2022 Construction General Permit (</w:t>
      </w:r>
      <w:r>
        <w:rPr>
          <w:rFonts w:ascii="Calibri" w:hAnsi="Calibri" w:cs="Calibri"/>
        </w:rPr>
        <w:t xml:space="preserve">“2022 </w:t>
      </w:r>
      <w:r w:rsidRPr="004A0DDE">
        <w:rPr>
          <w:rFonts w:ascii="Calibri" w:hAnsi="Calibri" w:cs="Calibri"/>
        </w:rPr>
        <w:t>CGP</w:t>
      </w:r>
      <w:r>
        <w:rPr>
          <w:rFonts w:ascii="Calibri" w:hAnsi="Calibri" w:cs="Calibri"/>
        </w:rPr>
        <w:t>”</w:t>
      </w:r>
      <w:r w:rsidRPr="004A0DDE">
        <w:rPr>
          <w:rFonts w:ascii="Calibri" w:hAnsi="Calibri" w:cs="Calibri"/>
        </w:rPr>
        <w:t xml:space="preserve">). </w:t>
      </w:r>
    </w:p>
    <w:p w:rsidR="00601D0B" w:rsidRPr="00862405" w:rsidP="00601D0B" w14:paraId="129F54D6" w14:textId="45C8003C">
      <w:pPr>
        <w:pStyle w:val="BodyText"/>
        <w:spacing w:after="100" w:afterAutospacing="1"/>
        <w:contextualSpacing/>
        <w:rPr>
          <w:rFonts w:ascii="Calibri" w:eastAsia="MS Mincho" w:hAnsi="Calibri" w:cs="Calibri"/>
          <w:sz w:val="22"/>
          <w:szCs w:val="22"/>
          <w:lang w:eastAsia="ja-JP"/>
        </w:rPr>
      </w:pPr>
      <w:r w:rsidRPr="00C83F0B">
        <w:rPr>
          <w:rFonts w:ascii="Calibri" w:eastAsia="MS Mincho" w:hAnsi="Calibri" w:cs="Calibri"/>
          <w:sz w:val="22"/>
          <w:szCs w:val="22"/>
          <w:lang w:eastAsia="ja-JP"/>
        </w:rPr>
        <w:t>The burden and costs associated with the entire NPDES program</w:t>
      </w:r>
      <w:r>
        <w:rPr>
          <w:rFonts w:ascii="Calibri" w:eastAsia="MS Mincho" w:hAnsi="Calibri" w:cs="Calibri"/>
          <w:sz w:val="22"/>
          <w:szCs w:val="22"/>
          <w:lang w:eastAsia="ja-JP"/>
        </w:rPr>
        <w:t xml:space="preserve">, including the administration of the 2017 CGP, </w:t>
      </w:r>
      <w:r w:rsidRPr="00C83F0B">
        <w:rPr>
          <w:rFonts w:ascii="Calibri" w:eastAsia="MS Mincho" w:hAnsi="Calibri" w:cs="Calibri"/>
          <w:sz w:val="22"/>
          <w:szCs w:val="22"/>
          <w:lang w:eastAsia="ja-JP"/>
        </w:rPr>
        <w:t xml:space="preserve">are accounted </w:t>
      </w:r>
      <w:r>
        <w:rPr>
          <w:rFonts w:ascii="Calibri" w:eastAsia="MS Mincho" w:hAnsi="Calibri" w:cs="Calibri"/>
          <w:sz w:val="22"/>
          <w:szCs w:val="22"/>
          <w:lang w:eastAsia="ja-JP"/>
        </w:rPr>
        <w:t xml:space="preserve">for in the 2017 </w:t>
      </w:r>
      <w:r w:rsidRPr="00BA0F73">
        <w:rPr>
          <w:rFonts w:ascii="Calibri" w:eastAsia="MS Mincho" w:hAnsi="Calibri" w:cs="Calibri"/>
          <w:sz w:val="22"/>
          <w:szCs w:val="22"/>
          <w:lang w:eastAsia="ja-JP"/>
        </w:rPr>
        <w:t>N</w:t>
      </w:r>
      <w:r>
        <w:rPr>
          <w:rFonts w:ascii="Calibri" w:eastAsia="MS Mincho" w:hAnsi="Calibri" w:cs="Calibri"/>
          <w:sz w:val="22"/>
          <w:szCs w:val="22"/>
          <w:lang w:eastAsia="ja-JP"/>
        </w:rPr>
        <w:t>PDES</w:t>
      </w:r>
      <w:r w:rsidRPr="00BA0F73">
        <w:rPr>
          <w:rFonts w:ascii="Calibri" w:eastAsia="MS Mincho" w:hAnsi="Calibri" w:cs="Calibri"/>
          <w:sz w:val="22"/>
          <w:szCs w:val="22"/>
          <w:lang w:eastAsia="ja-JP"/>
        </w:rPr>
        <w:t xml:space="preserve"> Program ICR</w:t>
      </w:r>
      <w:r w:rsidRPr="00BA0F73">
        <w:rPr>
          <w:rFonts w:ascii="Calibri" w:eastAsia="MS Mincho" w:hAnsi="Calibri" w:cs="Calibri"/>
          <w:sz w:val="22"/>
          <w:szCs w:val="22"/>
          <w:lang w:eastAsia="ja-JP"/>
        </w:rPr>
        <w:t xml:space="preserve"> </w:t>
      </w:r>
      <w:r w:rsidRPr="00C83F0B">
        <w:rPr>
          <w:rFonts w:ascii="Calibri" w:eastAsia="MS Mincho" w:hAnsi="Calibri" w:cs="Calibri"/>
          <w:sz w:val="22"/>
          <w:szCs w:val="22"/>
          <w:lang w:eastAsia="ja-JP"/>
        </w:rPr>
        <w:t>(EPA ICR number 0229.2</w:t>
      </w:r>
      <w:r>
        <w:rPr>
          <w:rFonts w:ascii="Calibri" w:eastAsia="MS Mincho" w:hAnsi="Calibri" w:cs="Calibri"/>
          <w:sz w:val="22"/>
          <w:szCs w:val="22"/>
          <w:lang w:eastAsia="ja-JP"/>
        </w:rPr>
        <w:t>3</w:t>
      </w:r>
      <w:r w:rsidRPr="00C83F0B">
        <w:rPr>
          <w:rFonts w:ascii="Calibri" w:eastAsia="MS Mincho" w:hAnsi="Calibri" w:cs="Calibri"/>
          <w:sz w:val="22"/>
          <w:szCs w:val="22"/>
          <w:lang w:eastAsia="ja-JP"/>
        </w:rPr>
        <w:t xml:space="preserve"> OMB control no. 2040-0004)</w:t>
      </w:r>
      <w:r w:rsidR="00577C11">
        <w:rPr>
          <w:rFonts w:ascii="Calibri" w:eastAsia="MS Mincho" w:hAnsi="Calibri" w:cs="Calibri"/>
          <w:sz w:val="22"/>
          <w:szCs w:val="22"/>
          <w:lang w:eastAsia="ja-JP"/>
        </w:rPr>
        <w:t>,</w:t>
      </w:r>
      <w:r w:rsidR="00937CC7">
        <w:rPr>
          <w:rFonts w:ascii="Calibri" w:eastAsia="MS Mincho" w:hAnsi="Calibri" w:cs="Calibri"/>
          <w:sz w:val="22"/>
          <w:szCs w:val="22"/>
          <w:lang w:eastAsia="ja-JP"/>
        </w:rPr>
        <w:t xml:space="preserve"> which was approved by OMB on </w:t>
      </w:r>
      <w:r w:rsidR="00712F29">
        <w:rPr>
          <w:rFonts w:ascii="Calibri" w:eastAsia="MS Mincho" w:hAnsi="Calibri" w:cs="Calibri"/>
          <w:sz w:val="22"/>
          <w:szCs w:val="22"/>
          <w:lang w:eastAsia="ja-JP"/>
        </w:rPr>
        <w:t>February 28, 2022</w:t>
      </w:r>
      <w:r w:rsidR="00937CC7">
        <w:rPr>
          <w:rFonts w:ascii="Calibri" w:eastAsia="MS Mincho" w:hAnsi="Calibri" w:cs="Calibri"/>
          <w:sz w:val="22"/>
          <w:szCs w:val="22"/>
          <w:lang w:eastAsia="ja-JP"/>
        </w:rPr>
        <w:t>;</w:t>
      </w:r>
      <w:r w:rsidR="00577C11">
        <w:rPr>
          <w:rFonts w:ascii="Calibri" w:eastAsia="MS Mincho" w:hAnsi="Calibri" w:cs="Calibri"/>
          <w:sz w:val="22"/>
          <w:szCs w:val="22"/>
          <w:lang w:eastAsia="ja-JP"/>
        </w:rPr>
        <w:t xml:space="preserve"> however, the changes </w:t>
      </w:r>
      <w:r w:rsidR="002F44F1">
        <w:rPr>
          <w:rFonts w:ascii="Calibri" w:eastAsia="MS Mincho" w:hAnsi="Calibri" w:cs="Calibri"/>
          <w:sz w:val="22"/>
          <w:szCs w:val="22"/>
          <w:lang w:eastAsia="ja-JP"/>
        </w:rPr>
        <w:t xml:space="preserve">made in the 2022 CGP have not yet been included into this consolidated ICR. </w:t>
      </w:r>
      <w:r w:rsidR="00A25F77">
        <w:rPr>
          <w:rFonts w:ascii="Calibri" w:eastAsia="MS Mincho" w:hAnsi="Calibri" w:cs="Calibri"/>
          <w:sz w:val="22"/>
          <w:szCs w:val="22"/>
          <w:lang w:eastAsia="ja-JP"/>
        </w:rPr>
        <w:t xml:space="preserve">Therefore, this ICR continues to reflect the </w:t>
      </w:r>
      <w:r w:rsidRPr="00862405">
        <w:rPr>
          <w:rFonts w:ascii="Calibri" w:eastAsia="MS Mincho" w:hAnsi="Calibri" w:cs="Calibri"/>
          <w:sz w:val="22"/>
          <w:szCs w:val="22"/>
          <w:lang w:eastAsia="ja-JP"/>
        </w:rPr>
        <w:t xml:space="preserve">paperwork burden and costs associated </w:t>
      </w:r>
      <w:r w:rsidRPr="00862405">
        <w:rPr>
          <w:rFonts w:ascii="Calibri" w:eastAsia="MS Mincho" w:hAnsi="Calibri" w:cs="Calibri"/>
          <w:sz w:val="22"/>
          <w:szCs w:val="22"/>
          <w:lang w:eastAsia="ja-JP"/>
        </w:rPr>
        <w:t xml:space="preserve">with </w:t>
      </w:r>
      <w:r w:rsidRPr="00862405">
        <w:rPr>
          <w:rFonts w:ascii="Calibri" w:eastAsia="MS Mincho" w:hAnsi="Calibri" w:cs="Calibri"/>
          <w:sz w:val="22"/>
          <w:szCs w:val="22"/>
          <w:lang w:eastAsia="ja-JP"/>
        </w:rPr>
        <w:t xml:space="preserve">the </w:t>
      </w:r>
      <w:r>
        <w:rPr>
          <w:rFonts w:ascii="Calibri" w:eastAsia="MS Mincho" w:hAnsi="Calibri" w:cs="Calibri"/>
          <w:sz w:val="22"/>
          <w:szCs w:val="22"/>
          <w:lang w:eastAsia="ja-JP"/>
        </w:rPr>
        <w:t>difference between the 2022</w:t>
      </w:r>
      <w:r w:rsidRPr="0022278D">
        <w:rPr>
          <w:rFonts w:ascii="Calibri" w:eastAsia="MS Mincho" w:hAnsi="Calibri" w:cs="Calibri"/>
          <w:sz w:val="22"/>
          <w:szCs w:val="22"/>
          <w:lang w:eastAsia="ja-JP"/>
        </w:rPr>
        <w:t xml:space="preserve"> </w:t>
      </w:r>
      <w:r w:rsidRPr="00862405">
        <w:rPr>
          <w:rFonts w:ascii="Calibri" w:eastAsia="MS Mincho" w:hAnsi="Calibri" w:cs="Calibri"/>
          <w:sz w:val="22"/>
          <w:szCs w:val="22"/>
          <w:lang w:eastAsia="ja-JP"/>
        </w:rPr>
        <w:t xml:space="preserve">CGP </w:t>
      </w:r>
      <w:r>
        <w:rPr>
          <w:rFonts w:ascii="Calibri" w:eastAsia="MS Mincho" w:hAnsi="Calibri" w:cs="Calibri"/>
          <w:sz w:val="22"/>
          <w:szCs w:val="22"/>
          <w:lang w:eastAsia="ja-JP"/>
        </w:rPr>
        <w:t>and the 2017 CGP</w:t>
      </w:r>
      <w:r w:rsidRPr="00862405">
        <w:rPr>
          <w:rFonts w:ascii="Calibri" w:eastAsia="MS Mincho" w:hAnsi="Calibri" w:cs="Calibri"/>
          <w:sz w:val="22"/>
          <w:szCs w:val="22"/>
          <w:lang w:eastAsia="ja-JP"/>
        </w:rPr>
        <w:t xml:space="preserve">. </w:t>
      </w:r>
      <w:r w:rsidR="007A22EE">
        <w:rPr>
          <w:rFonts w:ascii="Calibri" w:eastAsia="MS Mincho" w:hAnsi="Calibri" w:cs="Calibri"/>
          <w:sz w:val="22"/>
          <w:szCs w:val="22"/>
          <w:lang w:eastAsia="ja-JP"/>
        </w:rPr>
        <w:t xml:space="preserve">The NPDES Program ICR expires in July of </w:t>
      </w:r>
      <w:r w:rsidR="00DC14DC">
        <w:rPr>
          <w:rFonts w:ascii="Calibri" w:eastAsia="MS Mincho" w:hAnsi="Calibri" w:cs="Calibri"/>
          <w:sz w:val="22"/>
          <w:szCs w:val="22"/>
          <w:lang w:eastAsia="ja-JP"/>
        </w:rPr>
        <w:t>2026</w:t>
      </w:r>
      <w:r w:rsidR="00361D7C">
        <w:rPr>
          <w:rFonts w:ascii="Calibri" w:eastAsia="MS Mincho" w:hAnsi="Calibri" w:cs="Calibri"/>
          <w:sz w:val="22"/>
          <w:szCs w:val="22"/>
          <w:lang w:eastAsia="ja-JP"/>
        </w:rPr>
        <w:t xml:space="preserve">, therefore, it is likely that </w:t>
      </w:r>
      <w:r w:rsidRPr="00862405">
        <w:rPr>
          <w:rFonts w:ascii="Calibri" w:eastAsia="MS Mincho" w:hAnsi="Calibri" w:cs="Calibri"/>
          <w:sz w:val="22"/>
          <w:szCs w:val="22"/>
          <w:lang w:eastAsia="ja-JP"/>
        </w:rPr>
        <w:t xml:space="preserve">EPA </w:t>
      </w:r>
      <w:r>
        <w:rPr>
          <w:rFonts w:ascii="Calibri" w:eastAsia="MS Mincho" w:hAnsi="Calibri" w:cs="Calibri"/>
          <w:sz w:val="22"/>
          <w:szCs w:val="22"/>
          <w:lang w:eastAsia="ja-JP"/>
        </w:rPr>
        <w:t xml:space="preserve">will </w:t>
      </w:r>
      <w:r w:rsidRPr="00862405">
        <w:rPr>
          <w:rFonts w:ascii="Calibri" w:eastAsia="MS Mincho" w:hAnsi="Calibri" w:cs="Calibri"/>
          <w:sz w:val="22"/>
          <w:szCs w:val="22"/>
          <w:lang w:eastAsia="ja-JP"/>
        </w:rPr>
        <w:t xml:space="preserve">consolidate the burden and costs </w:t>
      </w:r>
      <w:r w:rsidR="00361D7C">
        <w:rPr>
          <w:rFonts w:ascii="Calibri" w:eastAsia="MS Mincho" w:hAnsi="Calibri" w:cs="Calibri"/>
          <w:sz w:val="22"/>
          <w:szCs w:val="22"/>
          <w:lang w:eastAsia="ja-JP"/>
        </w:rPr>
        <w:t xml:space="preserve">of this ICR </w:t>
      </w:r>
      <w:r w:rsidRPr="00862405">
        <w:rPr>
          <w:rFonts w:ascii="Calibri" w:eastAsia="MS Mincho" w:hAnsi="Calibri" w:cs="Calibri"/>
          <w:sz w:val="22"/>
          <w:szCs w:val="22"/>
          <w:lang w:eastAsia="ja-JP"/>
        </w:rPr>
        <w:t xml:space="preserve">into the NPDES Program ICR </w:t>
      </w:r>
      <w:r>
        <w:rPr>
          <w:rFonts w:ascii="Calibri" w:eastAsia="MS Mincho" w:hAnsi="Calibri" w:cs="Calibri"/>
          <w:sz w:val="22"/>
          <w:szCs w:val="22"/>
          <w:lang w:eastAsia="ja-JP"/>
        </w:rPr>
        <w:t xml:space="preserve">(and discontinue this ICR) </w:t>
      </w:r>
      <w:r w:rsidR="00361D7C">
        <w:rPr>
          <w:rFonts w:ascii="Calibri" w:eastAsia="MS Mincho" w:hAnsi="Calibri" w:cs="Calibri"/>
          <w:sz w:val="22"/>
          <w:szCs w:val="22"/>
          <w:lang w:eastAsia="ja-JP"/>
        </w:rPr>
        <w:t>at that time</w:t>
      </w:r>
      <w:r w:rsidRPr="00862405">
        <w:rPr>
          <w:rFonts w:ascii="Calibri" w:eastAsia="MS Mincho" w:hAnsi="Calibri" w:cs="Calibri"/>
          <w:sz w:val="22"/>
          <w:szCs w:val="22"/>
          <w:lang w:eastAsia="ja-JP"/>
        </w:rPr>
        <w:t xml:space="preserve">. </w:t>
      </w:r>
    </w:p>
    <w:p w:rsidR="00601D0B" w:rsidRPr="0022278D" w:rsidP="00601D0B" w14:paraId="05863E5B" w14:textId="77777777">
      <w:pPr>
        <w:pStyle w:val="BodyText"/>
        <w:spacing w:after="100" w:afterAutospacing="1"/>
        <w:contextualSpacing/>
        <w:rPr>
          <w:rFonts w:ascii="Calibri" w:eastAsia="MS Mincho" w:hAnsi="Calibri" w:cs="Calibri"/>
          <w:sz w:val="22"/>
          <w:szCs w:val="22"/>
          <w:lang w:eastAsia="ja-JP"/>
        </w:rPr>
      </w:pPr>
      <w:r w:rsidRPr="00862405">
        <w:rPr>
          <w:rFonts w:ascii="Calibri" w:eastAsia="MS Mincho" w:hAnsi="Calibri" w:cs="Calibri"/>
          <w:sz w:val="22"/>
          <w:szCs w:val="22"/>
          <w:lang w:eastAsia="ja-JP"/>
        </w:rPr>
        <w:br/>
      </w:r>
      <w:r w:rsidRPr="0022278D">
        <w:rPr>
          <w:rFonts w:ascii="Calibri" w:eastAsia="MS Mincho" w:hAnsi="Calibri" w:cs="Calibri"/>
          <w:sz w:val="22"/>
          <w:szCs w:val="22"/>
          <w:lang w:eastAsia="ja-JP"/>
        </w:rPr>
        <w:t>The information collection changes between the 2017</w:t>
      </w:r>
      <w:r w:rsidRPr="00B225EF">
        <w:rPr>
          <w:rFonts w:ascii="Calibri" w:eastAsia="MS Mincho" w:hAnsi="Calibri" w:cs="Calibri"/>
          <w:sz w:val="22"/>
          <w:szCs w:val="22"/>
          <w:lang w:eastAsia="ja-JP"/>
        </w:rPr>
        <w:t xml:space="preserve"> CGP</w:t>
      </w:r>
      <w:r w:rsidRPr="0022278D">
        <w:rPr>
          <w:rFonts w:ascii="Calibri" w:eastAsia="MS Mincho" w:hAnsi="Calibri" w:cs="Calibri"/>
          <w:sz w:val="22"/>
          <w:szCs w:val="22"/>
          <w:lang w:eastAsia="ja-JP"/>
        </w:rPr>
        <w:t xml:space="preserve"> and the </w:t>
      </w:r>
      <w:r>
        <w:rPr>
          <w:rFonts w:ascii="Calibri" w:eastAsia="MS Mincho" w:hAnsi="Calibri" w:cs="Calibri"/>
          <w:sz w:val="22"/>
          <w:szCs w:val="22"/>
          <w:lang w:eastAsia="ja-JP"/>
        </w:rPr>
        <w:t>2022</w:t>
      </w:r>
      <w:r w:rsidRPr="0022278D">
        <w:rPr>
          <w:rFonts w:ascii="Calibri" w:eastAsia="MS Mincho" w:hAnsi="Calibri" w:cs="Calibri"/>
          <w:sz w:val="22"/>
          <w:szCs w:val="22"/>
          <w:lang w:eastAsia="ja-JP"/>
        </w:rPr>
        <w:t xml:space="preserve"> CGP are associated with the following: </w:t>
      </w:r>
    </w:p>
    <w:p w:rsidR="00601D0B" w:rsidP="00601D0B" w14:paraId="0A12EDC5"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New notice of intent (NOI) questions;</w:t>
      </w:r>
    </w:p>
    <w:p w:rsidR="00601D0B" w:rsidP="00601D0B" w14:paraId="133867B3"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New notice of termination (NOT) documentation requirements;</w:t>
      </w:r>
    </w:p>
    <w:p w:rsidR="00601D0B" w:rsidP="00601D0B" w14:paraId="75EEFC4A"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New d</w:t>
      </w:r>
      <w:r w:rsidRPr="0022278D">
        <w:rPr>
          <w:rFonts w:ascii="Calibri" w:hAnsi="Calibri" w:cs="Calibri"/>
        </w:rPr>
        <w:t xml:space="preserve">ewatering </w:t>
      </w:r>
      <w:r>
        <w:rPr>
          <w:rFonts w:ascii="Calibri" w:hAnsi="Calibri" w:cs="Calibri"/>
        </w:rPr>
        <w:t>inspection requirements;</w:t>
      </w:r>
    </w:p>
    <w:p w:rsidR="00601D0B" w:rsidP="00601D0B" w14:paraId="6C51A0E9"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New turbidity benchmark monitoring requirements for sites discharging dewatering water to sensitive waters; and</w:t>
      </w:r>
    </w:p>
    <w:p w:rsidR="00601D0B" w:rsidRPr="00B73772" w:rsidP="00601D0B" w14:paraId="1296F891"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 xml:space="preserve">Changes to </w:t>
      </w:r>
      <w:r w:rsidRPr="00B73772">
        <w:rPr>
          <w:rFonts w:ascii="Calibri" w:hAnsi="Calibri" w:cs="Calibri"/>
        </w:rPr>
        <w:t>Stormwater Pollution Prevention Plan</w:t>
      </w:r>
      <w:r>
        <w:rPr>
          <w:rFonts w:ascii="Calibri" w:hAnsi="Calibri" w:cs="Calibri"/>
        </w:rPr>
        <w:t xml:space="preserve"> </w:t>
      </w:r>
      <w:r w:rsidRPr="00B73772">
        <w:rPr>
          <w:rFonts w:ascii="Calibri" w:hAnsi="Calibri" w:cs="Calibri"/>
        </w:rPr>
        <w:t xml:space="preserve">(SWPPP) </w:t>
      </w:r>
      <w:r>
        <w:rPr>
          <w:rFonts w:ascii="Calibri" w:hAnsi="Calibri" w:cs="Calibri"/>
        </w:rPr>
        <w:t xml:space="preserve">requirements, </w:t>
      </w:r>
      <w:r w:rsidRPr="00B73772">
        <w:rPr>
          <w:rFonts w:ascii="Calibri" w:hAnsi="Calibri" w:cs="Calibri"/>
        </w:rPr>
        <w:t xml:space="preserve">related to </w:t>
      </w:r>
      <w:r>
        <w:rPr>
          <w:rFonts w:ascii="Calibri" w:hAnsi="Calibri" w:cs="Calibri"/>
        </w:rPr>
        <w:t xml:space="preserve">new and modified permit </w:t>
      </w:r>
      <w:r w:rsidRPr="00B73772">
        <w:rPr>
          <w:rFonts w:ascii="Calibri" w:hAnsi="Calibri" w:cs="Calibri"/>
        </w:rPr>
        <w:t>requirements</w:t>
      </w:r>
      <w:r>
        <w:rPr>
          <w:rFonts w:ascii="Calibri" w:hAnsi="Calibri" w:cs="Calibri"/>
        </w:rPr>
        <w:t>.</w:t>
      </w:r>
    </w:p>
    <w:p w:rsidR="00601D0B" w:rsidRPr="00B31C39" w:rsidP="707669C1" w14:paraId="44CA9822" w14:textId="6FFE99C0">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b/>
          <w:bCs/>
        </w:rPr>
      </w:pPr>
      <w:r>
        <w:rPr>
          <w:rFonts w:ascii="Calibri" w:hAnsi="Calibri" w:cs="Calibri"/>
        </w:rPr>
        <w:t xml:space="preserve">This ICR estimates the incremental change in recordkeeping and reporting burden for the 2022 CGP, compared to the total EPA CGP burden accounted for in the </w:t>
      </w:r>
      <w:r w:rsidR="00937CC7">
        <w:rPr>
          <w:rFonts w:ascii="Calibri" w:hAnsi="Calibri" w:cs="Calibri"/>
        </w:rPr>
        <w:t xml:space="preserve">2017 </w:t>
      </w:r>
      <w:r>
        <w:rPr>
          <w:rFonts w:ascii="Calibri" w:hAnsi="Calibri" w:cs="Calibri"/>
        </w:rPr>
        <w:t xml:space="preserve">NPDES Program ICR. </w:t>
      </w:r>
      <w:r w:rsidRPr="007B104E">
        <w:rPr>
          <w:rFonts w:ascii="Calibri" w:hAnsi="Calibri" w:cs="Calibri"/>
        </w:rPr>
        <w:t>For respondents, the</w:t>
      </w:r>
      <w:r w:rsidR="00937CC7">
        <w:rPr>
          <w:rFonts w:ascii="Calibri" w:hAnsi="Calibri" w:cs="Calibri"/>
        </w:rPr>
        <w:t xml:space="preserve"> 2022 CGP resulted in </w:t>
      </w:r>
      <w:r w:rsidRPr="007B104E">
        <w:rPr>
          <w:rFonts w:ascii="Calibri" w:hAnsi="Calibri" w:cs="Calibri"/>
        </w:rPr>
        <w:t xml:space="preserve">an incremental increase in annual </w:t>
      </w:r>
      <w:r w:rsidRPr="00C1518C">
        <w:rPr>
          <w:rFonts w:ascii="Calibri" w:hAnsi="Calibri" w:cs="Calibri"/>
        </w:rPr>
        <w:t xml:space="preserve">labor burden of </w:t>
      </w:r>
      <w:r w:rsidRPr="707669C1" w:rsidR="007D2DBA">
        <w:rPr>
          <w:rFonts w:ascii="Calibri" w:hAnsi="Calibri" w:cs="Calibri"/>
        </w:rPr>
        <w:t>45,367</w:t>
      </w:r>
      <w:r w:rsidRPr="00C1518C">
        <w:rPr>
          <w:rFonts w:ascii="Calibri" w:hAnsi="Calibri" w:cs="Calibri"/>
        </w:rPr>
        <w:t xml:space="preserve"> hours and an incremental increase in total cost of $</w:t>
      </w:r>
      <w:r w:rsidRPr="707669C1" w:rsidR="000B4FEB">
        <w:rPr>
          <w:rFonts w:ascii="Calibri" w:hAnsi="Calibri" w:cs="Calibri"/>
        </w:rPr>
        <w:t>4,221,554</w:t>
      </w:r>
      <w:r w:rsidRPr="00C1518C">
        <w:rPr>
          <w:rFonts w:ascii="Calibri" w:hAnsi="Calibri" w:cs="Calibri"/>
        </w:rPr>
        <w:t xml:space="preserve"> for </w:t>
      </w:r>
      <w:r w:rsidRPr="707669C1" w:rsidR="009B0EA3">
        <w:rPr>
          <w:rFonts w:ascii="Calibri" w:hAnsi="Calibri" w:cs="Calibri"/>
        </w:rPr>
        <w:t>3,</w:t>
      </w:r>
      <w:r w:rsidRPr="707669C1" w:rsidR="00222736">
        <w:rPr>
          <w:rFonts w:ascii="Calibri" w:hAnsi="Calibri" w:cs="Calibri"/>
        </w:rPr>
        <w:t>631</w:t>
      </w:r>
      <w:r w:rsidRPr="707669C1" w:rsidR="5923D570">
        <w:rPr>
          <w:rFonts w:ascii="Calibri" w:hAnsi="Calibri" w:cs="Calibri"/>
        </w:rPr>
        <w:t xml:space="preserve"> </w:t>
      </w:r>
      <w:r w:rsidRPr="00C1518C">
        <w:rPr>
          <w:rFonts w:ascii="Calibri" w:hAnsi="Calibri" w:cs="Calibri"/>
        </w:rPr>
        <w:t>respondents. The incremental increase in cost consists of $</w:t>
      </w:r>
      <w:r w:rsidRPr="707669C1" w:rsidR="00C74457">
        <w:rPr>
          <w:rFonts w:ascii="Calibri" w:hAnsi="Calibri" w:cs="Calibri"/>
        </w:rPr>
        <w:t>3,333,114</w:t>
      </w:r>
      <w:r w:rsidRPr="00C1518C">
        <w:rPr>
          <w:rFonts w:ascii="Calibri" w:hAnsi="Calibri" w:cs="Calibri"/>
        </w:rPr>
        <w:t xml:space="preserve"> in labor cost, and $</w:t>
      </w:r>
      <w:r w:rsidRPr="707669C1" w:rsidR="00C74457">
        <w:rPr>
          <w:rFonts w:ascii="Calibri" w:hAnsi="Calibri" w:cs="Calibri"/>
        </w:rPr>
        <w:t>888,440</w:t>
      </w:r>
      <w:r w:rsidRPr="00C1518C">
        <w:rPr>
          <w:rFonts w:ascii="Calibri" w:hAnsi="Calibri" w:cs="Calibri"/>
        </w:rPr>
        <w:t xml:space="preserve"> in capital cost. The incremental change in annual agency burden is an increase in labor burden of </w:t>
      </w:r>
      <w:r w:rsidRPr="707669C1" w:rsidR="00C74457">
        <w:rPr>
          <w:rFonts w:ascii="Calibri" w:hAnsi="Calibri" w:cs="Calibri"/>
        </w:rPr>
        <w:t>217</w:t>
      </w:r>
      <w:r w:rsidRPr="00C1518C">
        <w:rPr>
          <w:rFonts w:ascii="Calibri" w:hAnsi="Calibri" w:cs="Calibri"/>
        </w:rPr>
        <w:t xml:space="preserve"> hours and an increase in labor cost of $</w:t>
      </w:r>
      <w:r w:rsidRPr="707669C1" w:rsidR="00C74457">
        <w:rPr>
          <w:rFonts w:ascii="Calibri" w:hAnsi="Calibri" w:cs="Calibri"/>
        </w:rPr>
        <w:t>11,105</w:t>
      </w:r>
      <w:r w:rsidRPr="00C1518C">
        <w:rPr>
          <w:rFonts w:ascii="Calibri" w:hAnsi="Calibri" w:cs="Calibri"/>
        </w:rPr>
        <w:t xml:space="preserve">. </w:t>
      </w:r>
      <w:r w:rsidRPr="00C1518C">
        <w:rPr>
          <w:rFonts w:ascii="Calibri" w:hAnsi="Calibri" w:cs="Calibri"/>
        </w:rPr>
        <w:fldChar w:fldCharType="begin"/>
      </w:r>
      <w:r w:rsidRPr="00C1518C">
        <w:rPr>
          <w:rFonts w:ascii="Calibri" w:hAnsi="Calibri" w:cs="Calibri"/>
        </w:rPr>
        <w:instrText xml:space="preserve"> REF _Ref63629561 \h  \* MERGEFORMAT </w:instrText>
      </w:r>
      <w:r w:rsidRPr="00C1518C">
        <w:rPr>
          <w:rFonts w:ascii="Calibri" w:hAnsi="Calibri" w:cs="Calibri"/>
        </w:rPr>
        <w:fldChar w:fldCharType="separate"/>
      </w:r>
      <w:r w:rsidRPr="00C1518C">
        <w:rPr>
          <w:b/>
          <w:bCs/>
        </w:rPr>
        <w:t xml:space="preserve">Table </w:t>
      </w:r>
      <w:r w:rsidRPr="00C1518C">
        <w:rPr>
          <w:b/>
          <w:bCs/>
          <w:noProof/>
        </w:rPr>
        <w:t>1</w:t>
      </w:r>
      <w:r w:rsidRPr="00C1518C">
        <w:rPr>
          <w:rFonts w:ascii="Calibri" w:hAnsi="Calibri" w:cs="Calibri"/>
        </w:rPr>
        <w:fldChar w:fldCharType="end"/>
      </w:r>
      <w:r w:rsidRPr="00C1518C">
        <w:rPr>
          <w:rFonts w:ascii="Calibri" w:hAnsi="Calibri" w:cs="Calibri"/>
        </w:rPr>
        <w:t xml:space="preserve"> summarizes the total and incremental change in the recordkeeping and reporting burden for the</w:t>
      </w:r>
      <w:r w:rsidRPr="00862405">
        <w:rPr>
          <w:rFonts w:ascii="Calibri" w:hAnsi="Calibri" w:cs="Calibri"/>
        </w:rPr>
        <w:t xml:space="preserve"> </w:t>
      </w:r>
      <w:r>
        <w:rPr>
          <w:rFonts w:ascii="Calibri" w:hAnsi="Calibri" w:cs="Calibri"/>
        </w:rPr>
        <w:t>2022</w:t>
      </w:r>
      <w:r w:rsidRPr="00862405">
        <w:rPr>
          <w:rFonts w:ascii="Calibri" w:hAnsi="Calibri" w:cs="Calibri"/>
        </w:rPr>
        <w:t xml:space="preserve"> </w:t>
      </w:r>
      <w:r w:rsidRPr="0022278D">
        <w:rPr>
          <w:rFonts w:ascii="Calibri" w:hAnsi="Calibri" w:cs="Calibri"/>
        </w:rPr>
        <w:t>C</w:t>
      </w:r>
      <w:r w:rsidRPr="00862405">
        <w:rPr>
          <w:rFonts w:ascii="Calibri" w:hAnsi="Calibri" w:cs="Calibri"/>
        </w:rPr>
        <w:t>GP.</w:t>
      </w:r>
      <w:r>
        <w:rPr>
          <w:rFonts w:ascii="Calibri" w:hAnsi="Calibri" w:cs="Calibri"/>
        </w:rPr>
        <w:t xml:space="preserve"> The incremental increase in burden is due to new and modified permit requirements, primarily the new dewatering inspection and turbidity benchmark monitoring requirements. </w:t>
      </w:r>
    </w:p>
    <w:p w:rsidR="00601D0B" w:rsidRPr="00B31C39" w:rsidP="00601D0B" w14:paraId="2B3B38CE" w14:textId="77777777">
      <w:pPr>
        <w:keepNext/>
        <w:keepLines/>
        <w:spacing w:after="0"/>
        <w:jc w:val="center"/>
        <w:rPr>
          <w:b/>
          <w:bCs/>
        </w:rPr>
      </w:pPr>
      <w:r w:rsidRPr="00B31C39">
        <w:rPr>
          <w:b/>
          <w:bCs/>
        </w:rPr>
        <w:t xml:space="preserve">Table </w:t>
      </w:r>
      <w:r w:rsidRPr="00B31C39">
        <w:rPr>
          <w:b/>
          <w:bCs/>
        </w:rPr>
        <w:fldChar w:fldCharType="begin"/>
      </w:r>
      <w:r w:rsidRPr="00B31C39">
        <w:rPr>
          <w:b/>
          <w:bCs/>
        </w:rPr>
        <w:instrText xml:space="preserve"> SEQ Table \* ARABIC </w:instrText>
      </w:r>
      <w:r w:rsidRPr="00B31C39">
        <w:rPr>
          <w:b/>
          <w:bCs/>
        </w:rPr>
        <w:fldChar w:fldCharType="separate"/>
      </w:r>
      <w:r>
        <w:rPr>
          <w:b/>
          <w:bCs/>
          <w:noProof/>
        </w:rPr>
        <w:t>1</w:t>
      </w:r>
      <w:r w:rsidRPr="00B31C39">
        <w:rPr>
          <w:b/>
          <w:bCs/>
        </w:rPr>
        <w:fldChar w:fldCharType="end"/>
      </w:r>
      <w:r w:rsidRPr="00B31C39">
        <w:rPr>
          <w:b/>
          <w:bCs/>
          <w:noProof/>
        </w:rPr>
        <w:t xml:space="preserve"> – </w:t>
      </w:r>
      <w:r>
        <w:rPr>
          <w:b/>
          <w:bCs/>
          <w:noProof/>
        </w:rPr>
        <w:t xml:space="preserve">Total and Incremental Change in </w:t>
      </w:r>
      <w:r w:rsidRPr="00B31C39">
        <w:rPr>
          <w:b/>
          <w:bCs/>
          <w:noProof/>
        </w:rPr>
        <w:t>Annual Burden for the 2022 CGP</w:t>
      </w:r>
    </w:p>
    <w:tbl>
      <w:tblPr>
        <w:tblStyle w:val="TableGrid"/>
        <w:tblW w:w="0" w:type="auto"/>
        <w:jc w:val="center"/>
        <w:tblLayout w:type="fixed"/>
        <w:tblLook w:val="04A0"/>
      </w:tblPr>
      <w:tblGrid>
        <w:gridCol w:w="1795"/>
        <w:gridCol w:w="1170"/>
        <w:gridCol w:w="1530"/>
        <w:gridCol w:w="1170"/>
        <w:gridCol w:w="1535"/>
      </w:tblGrid>
      <w:tr w14:paraId="3CBF84A8" w14:textId="77777777" w:rsidTr="00A3008A">
        <w:tblPrEx>
          <w:tblW w:w="0" w:type="auto"/>
          <w:jc w:val="center"/>
          <w:tblLayout w:type="fixed"/>
          <w:tblLook w:val="04A0"/>
        </w:tblPrEx>
        <w:trPr>
          <w:trHeight w:val="58"/>
          <w:jc w:val="center"/>
        </w:trPr>
        <w:tc>
          <w:tcPr>
            <w:tcW w:w="1795" w:type="dxa"/>
            <w:vMerge w:val="restart"/>
            <w:tcBorders>
              <w:top w:val="single" w:sz="4" w:space="0" w:color="auto"/>
            </w:tcBorders>
            <w:shd w:val="clear" w:color="auto" w:fill="D9D9D9" w:themeFill="background1" w:themeFillShade="D9"/>
            <w:vAlign w:val="bottom"/>
            <w:hideMark/>
          </w:tcPr>
          <w:p w:rsidR="00601D0B" w:rsidRPr="00DE5D26" w:rsidP="00A3008A" w14:paraId="19FEF242" w14:textId="77777777">
            <w:pPr>
              <w:keepNext/>
              <w:keepLines/>
              <w:spacing w:after="100" w:afterAutospacing="1"/>
              <w:contextualSpacing/>
              <w:jc w:val="center"/>
              <w:rPr>
                <w:rFonts w:ascii="Calibri" w:hAnsi="Calibri" w:cs="Calibri"/>
                <w:b/>
                <w:bCs/>
              </w:rPr>
            </w:pPr>
            <w:bookmarkStart w:id="1" w:name="RANGE!A2"/>
            <w:r w:rsidRPr="00DE5D26">
              <w:rPr>
                <w:rFonts w:ascii="Calibri" w:hAnsi="Calibri" w:cs="Calibri"/>
                <w:b/>
                <w:bCs/>
              </w:rPr>
              <w:t>Burden Category</w:t>
            </w:r>
            <w:bookmarkEnd w:id="1"/>
          </w:p>
        </w:tc>
        <w:tc>
          <w:tcPr>
            <w:tcW w:w="2700" w:type="dxa"/>
            <w:gridSpan w:val="2"/>
            <w:tcBorders>
              <w:top w:val="single" w:sz="4" w:space="0" w:color="auto"/>
            </w:tcBorders>
            <w:shd w:val="clear" w:color="auto" w:fill="D9D9D9" w:themeFill="background1" w:themeFillShade="D9"/>
            <w:vAlign w:val="bottom"/>
            <w:hideMark/>
          </w:tcPr>
          <w:p w:rsidR="00601D0B" w:rsidRPr="00DE5D26" w:rsidP="00A3008A" w14:paraId="64A08306" w14:textId="77777777">
            <w:pPr>
              <w:keepNext/>
              <w:keepLines/>
              <w:spacing w:after="100" w:afterAutospacing="1"/>
              <w:contextualSpacing/>
              <w:jc w:val="center"/>
              <w:rPr>
                <w:rFonts w:ascii="Calibri" w:hAnsi="Calibri" w:cs="Calibri"/>
                <w:b/>
                <w:bCs/>
              </w:rPr>
            </w:pPr>
            <w:r w:rsidRPr="00DE5D26">
              <w:rPr>
                <w:rFonts w:ascii="Calibri" w:hAnsi="Calibri" w:cs="Calibri"/>
                <w:b/>
                <w:bCs/>
              </w:rPr>
              <w:t>Incremental Change in Burden</w:t>
            </w:r>
          </w:p>
        </w:tc>
        <w:tc>
          <w:tcPr>
            <w:tcW w:w="2705" w:type="dxa"/>
            <w:gridSpan w:val="2"/>
            <w:tcBorders>
              <w:top w:val="single" w:sz="4" w:space="0" w:color="auto"/>
            </w:tcBorders>
            <w:shd w:val="clear" w:color="auto" w:fill="D9D9D9" w:themeFill="background1" w:themeFillShade="D9"/>
            <w:vAlign w:val="bottom"/>
            <w:hideMark/>
          </w:tcPr>
          <w:p w:rsidR="00601D0B" w:rsidRPr="00DE5D26" w:rsidP="00A3008A" w14:paraId="7CCF6E18" w14:textId="77777777">
            <w:pPr>
              <w:keepNext/>
              <w:keepLines/>
              <w:spacing w:after="100" w:afterAutospacing="1"/>
              <w:contextualSpacing/>
              <w:jc w:val="center"/>
              <w:rPr>
                <w:rFonts w:ascii="Calibri" w:hAnsi="Calibri" w:cs="Calibri"/>
                <w:b/>
                <w:bCs/>
              </w:rPr>
            </w:pPr>
            <w:r w:rsidRPr="00DE5D26">
              <w:rPr>
                <w:rFonts w:ascii="Calibri" w:hAnsi="Calibri" w:cs="Calibri"/>
                <w:b/>
                <w:bCs/>
              </w:rPr>
              <w:t>Total Burden</w:t>
            </w:r>
          </w:p>
        </w:tc>
      </w:tr>
      <w:tr w14:paraId="41F56DF2" w14:textId="77777777" w:rsidTr="00A3008A">
        <w:tblPrEx>
          <w:tblW w:w="0" w:type="auto"/>
          <w:jc w:val="center"/>
          <w:tblLayout w:type="fixed"/>
          <w:tblLook w:val="04A0"/>
        </w:tblPrEx>
        <w:trPr>
          <w:trHeight w:val="418"/>
          <w:jc w:val="center"/>
        </w:trPr>
        <w:tc>
          <w:tcPr>
            <w:tcW w:w="1795" w:type="dxa"/>
            <w:vMerge/>
            <w:shd w:val="clear" w:color="auto" w:fill="D9D9D9" w:themeFill="background1" w:themeFillShade="D9"/>
            <w:hideMark/>
          </w:tcPr>
          <w:p w:rsidR="00601D0B" w:rsidRPr="00DE5D26" w:rsidP="00A3008A" w14:paraId="1A50F747" w14:textId="77777777">
            <w:pPr>
              <w:keepNext/>
              <w:keepLines/>
              <w:spacing w:after="100" w:afterAutospacing="1"/>
              <w:contextualSpacing/>
              <w:rPr>
                <w:rFonts w:ascii="Calibri" w:hAnsi="Calibri" w:cs="Calibri"/>
                <w:b/>
                <w:bCs/>
              </w:rPr>
            </w:pPr>
          </w:p>
        </w:tc>
        <w:tc>
          <w:tcPr>
            <w:tcW w:w="1170" w:type="dxa"/>
            <w:shd w:val="clear" w:color="auto" w:fill="D9D9D9" w:themeFill="background1" w:themeFillShade="D9"/>
            <w:vAlign w:val="bottom"/>
            <w:hideMark/>
          </w:tcPr>
          <w:p w:rsidR="00601D0B" w:rsidRPr="00DE5D26" w:rsidP="00A3008A" w14:paraId="2F2B14E4" w14:textId="77777777">
            <w:pPr>
              <w:keepNext/>
              <w:keepLines/>
              <w:spacing w:after="100" w:afterAutospacing="1"/>
              <w:contextualSpacing/>
              <w:jc w:val="center"/>
              <w:rPr>
                <w:rFonts w:ascii="Calibri" w:hAnsi="Calibri" w:cs="Calibri"/>
                <w:b/>
                <w:bCs/>
              </w:rPr>
            </w:pPr>
            <w:r w:rsidRPr="00DE5D26">
              <w:rPr>
                <w:rFonts w:ascii="Calibri" w:hAnsi="Calibri" w:cs="Calibri"/>
                <w:b/>
                <w:bCs/>
              </w:rPr>
              <w:t>Labor</w:t>
            </w:r>
            <w:r>
              <w:rPr>
                <w:rFonts w:ascii="Calibri" w:hAnsi="Calibri" w:cs="Calibri"/>
                <w:b/>
                <w:bCs/>
              </w:rPr>
              <w:t xml:space="preserve"> </w:t>
            </w:r>
            <w:r w:rsidRPr="00DE5D26">
              <w:rPr>
                <w:rFonts w:ascii="Calibri" w:hAnsi="Calibri" w:cs="Calibri"/>
                <w:b/>
                <w:bCs/>
              </w:rPr>
              <w:t>(hours)</w:t>
            </w:r>
          </w:p>
        </w:tc>
        <w:tc>
          <w:tcPr>
            <w:tcW w:w="1530" w:type="dxa"/>
            <w:shd w:val="clear" w:color="auto" w:fill="D9D9D9" w:themeFill="background1" w:themeFillShade="D9"/>
            <w:vAlign w:val="bottom"/>
            <w:hideMark/>
          </w:tcPr>
          <w:p w:rsidR="00601D0B" w:rsidRPr="0083541F" w:rsidP="00A3008A" w14:paraId="22CD4E37" w14:textId="77777777">
            <w:pPr>
              <w:keepNext/>
              <w:keepLines/>
              <w:spacing w:after="100" w:afterAutospacing="1"/>
              <w:contextualSpacing/>
              <w:jc w:val="center"/>
              <w:rPr>
                <w:rFonts w:ascii="Calibri" w:hAnsi="Calibri" w:cs="Calibri"/>
                <w:i/>
                <w:iCs/>
              </w:rPr>
            </w:pPr>
            <w:r w:rsidRPr="00DE5D26">
              <w:rPr>
                <w:rFonts w:ascii="Calibri" w:hAnsi="Calibri" w:cs="Calibri"/>
                <w:b/>
                <w:bCs/>
              </w:rPr>
              <w:t>Cost ($)</w:t>
            </w:r>
          </w:p>
        </w:tc>
        <w:tc>
          <w:tcPr>
            <w:tcW w:w="1170" w:type="dxa"/>
            <w:shd w:val="clear" w:color="auto" w:fill="D9D9D9" w:themeFill="background1" w:themeFillShade="D9"/>
            <w:vAlign w:val="bottom"/>
            <w:hideMark/>
          </w:tcPr>
          <w:p w:rsidR="00601D0B" w:rsidRPr="00DE5D26" w:rsidP="00A3008A" w14:paraId="393E5039" w14:textId="77777777">
            <w:pPr>
              <w:keepNext/>
              <w:keepLines/>
              <w:spacing w:after="100" w:afterAutospacing="1"/>
              <w:contextualSpacing/>
              <w:jc w:val="center"/>
              <w:rPr>
                <w:rFonts w:ascii="Calibri" w:hAnsi="Calibri" w:cs="Calibri"/>
                <w:b/>
                <w:bCs/>
              </w:rPr>
            </w:pPr>
            <w:r w:rsidRPr="00DE5D26">
              <w:rPr>
                <w:rFonts w:ascii="Calibri" w:hAnsi="Calibri" w:cs="Calibri"/>
                <w:b/>
                <w:bCs/>
              </w:rPr>
              <w:t>Labor (hours)</w:t>
            </w:r>
          </w:p>
        </w:tc>
        <w:tc>
          <w:tcPr>
            <w:tcW w:w="1535" w:type="dxa"/>
            <w:shd w:val="clear" w:color="auto" w:fill="D9D9D9" w:themeFill="background1" w:themeFillShade="D9"/>
            <w:vAlign w:val="bottom"/>
            <w:hideMark/>
          </w:tcPr>
          <w:p w:rsidR="00601D0B" w:rsidRPr="00DE5D26" w:rsidP="00A3008A" w14:paraId="2698760C" w14:textId="77777777">
            <w:pPr>
              <w:keepNext/>
              <w:keepLines/>
              <w:spacing w:after="100" w:afterAutospacing="1"/>
              <w:contextualSpacing/>
              <w:jc w:val="center"/>
              <w:rPr>
                <w:rFonts w:ascii="Calibri" w:hAnsi="Calibri" w:cs="Calibri"/>
                <w:b/>
                <w:bCs/>
              </w:rPr>
            </w:pPr>
            <w:r w:rsidRPr="00DE5D26">
              <w:rPr>
                <w:rFonts w:ascii="Calibri" w:hAnsi="Calibri" w:cs="Calibri"/>
                <w:b/>
                <w:bCs/>
              </w:rPr>
              <w:t>Cost ($)</w:t>
            </w:r>
          </w:p>
        </w:tc>
      </w:tr>
      <w:tr w14:paraId="1FA8332C" w14:textId="77777777" w:rsidTr="00A3008A">
        <w:tblPrEx>
          <w:tblW w:w="0" w:type="auto"/>
          <w:jc w:val="center"/>
          <w:tblLayout w:type="fixed"/>
          <w:tblLook w:val="04A0"/>
        </w:tblPrEx>
        <w:trPr>
          <w:trHeight w:val="315"/>
          <w:jc w:val="center"/>
        </w:trPr>
        <w:tc>
          <w:tcPr>
            <w:tcW w:w="1795" w:type="dxa"/>
            <w:hideMark/>
          </w:tcPr>
          <w:p w:rsidR="00601D0B" w:rsidRPr="00C1518C" w:rsidP="00A3008A" w14:paraId="7F87B09B" w14:textId="77777777">
            <w:pPr>
              <w:keepNext/>
              <w:keepLines/>
              <w:spacing w:after="100" w:afterAutospacing="1"/>
              <w:contextualSpacing/>
              <w:rPr>
                <w:rFonts w:ascii="Calibri" w:hAnsi="Calibri" w:cs="Calibri"/>
                <w:bCs/>
              </w:rPr>
            </w:pPr>
            <w:r w:rsidRPr="00C1518C">
              <w:rPr>
                <w:rFonts w:ascii="Calibri" w:hAnsi="Calibri" w:cs="Calibri"/>
                <w:bCs/>
              </w:rPr>
              <w:t xml:space="preserve">Respondents </w:t>
            </w:r>
            <w:r w:rsidRPr="00C1518C">
              <w:rPr>
                <w:rFonts w:ascii="Calibri" w:hAnsi="Calibri" w:cs="Calibri"/>
                <w:bCs/>
                <w:vertAlign w:val="superscript"/>
              </w:rPr>
              <w:t>1</w:t>
            </w:r>
          </w:p>
        </w:tc>
        <w:tc>
          <w:tcPr>
            <w:tcW w:w="1170" w:type="dxa"/>
            <w:vAlign w:val="center"/>
          </w:tcPr>
          <w:p w:rsidR="00601D0B" w:rsidRPr="00C1518C" w:rsidP="00A3008A" w14:paraId="138F2665" w14:textId="16EEAFFC">
            <w:pPr>
              <w:keepNext/>
              <w:keepLines/>
              <w:spacing w:after="100" w:afterAutospacing="1"/>
              <w:contextualSpacing/>
              <w:jc w:val="center"/>
              <w:rPr>
                <w:rFonts w:ascii="Calibri" w:hAnsi="Calibri" w:cs="Calibri"/>
              </w:rPr>
            </w:pPr>
            <w:r>
              <w:rPr>
                <w:rFonts w:ascii="Calibri" w:hAnsi="Calibri" w:cs="Calibri"/>
              </w:rPr>
              <w:t>45,367</w:t>
            </w:r>
          </w:p>
        </w:tc>
        <w:tc>
          <w:tcPr>
            <w:tcW w:w="1530" w:type="dxa"/>
            <w:vAlign w:val="center"/>
          </w:tcPr>
          <w:p w:rsidR="00601D0B" w:rsidRPr="00C1518C" w:rsidP="00A3008A" w14:paraId="75C09C5F" w14:textId="77E76519">
            <w:pPr>
              <w:keepNext/>
              <w:keepLines/>
              <w:spacing w:after="100" w:afterAutospacing="1"/>
              <w:contextualSpacing/>
              <w:jc w:val="center"/>
              <w:rPr>
                <w:rFonts w:ascii="Calibri" w:hAnsi="Calibri" w:cs="Calibri"/>
              </w:rPr>
            </w:pPr>
            <w:r w:rsidRPr="00C1518C">
              <w:rPr>
                <w:rFonts w:ascii="Calibri" w:hAnsi="Calibri" w:cs="Calibri"/>
              </w:rPr>
              <w:t>$</w:t>
            </w:r>
            <w:r w:rsidR="00F06498">
              <w:rPr>
                <w:rFonts w:ascii="Calibri" w:hAnsi="Calibri" w:cs="Calibri"/>
              </w:rPr>
              <w:t>4,221,554</w:t>
            </w:r>
          </w:p>
        </w:tc>
        <w:tc>
          <w:tcPr>
            <w:tcW w:w="1170" w:type="dxa"/>
            <w:vAlign w:val="center"/>
          </w:tcPr>
          <w:p w:rsidR="00601D0B" w:rsidRPr="00C1518C" w:rsidP="00A3008A" w14:paraId="793BE4BD" w14:textId="51C15AF4">
            <w:pPr>
              <w:keepNext/>
              <w:keepLines/>
              <w:spacing w:after="100" w:afterAutospacing="1"/>
              <w:contextualSpacing/>
              <w:jc w:val="center"/>
              <w:rPr>
                <w:rFonts w:ascii="Calibri" w:hAnsi="Calibri" w:cs="Calibri"/>
              </w:rPr>
            </w:pPr>
            <w:r>
              <w:rPr>
                <w:rFonts w:ascii="Calibri" w:hAnsi="Calibri" w:cs="Calibri"/>
              </w:rPr>
              <w:t>200,383</w:t>
            </w:r>
          </w:p>
        </w:tc>
        <w:tc>
          <w:tcPr>
            <w:tcW w:w="1535" w:type="dxa"/>
            <w:vAlign w:val="center"/>
          </w:tcPr>
          <w:p w:rsidR="00601D0B" w:rsidRPr="00C1518C" w:rsidP="00A3008A" w14:paraId="09C32D29" w14:textId="1B5DE420">
            <w:pPr>
              <w:keepNext/>
              <w:keepLines/>
              <w:spacing w:after="100" w:afterAutospacing="1"/>
              <w:contextualSpacing/>
              <w:jc w:val="center"/>
              <w:rPr>
                <w:rFonts w:ascii="Calibri" w:hAnsi="Calibri" w:cs="Calibri"/>
              </w:rPr>
            </w:pPr>
            <w:r w:rsidRPr="00C1518C">
              <w:rPr>
                <w:rFonts w:ascii="Calibri" w:hAnsi="Calibri" w:cs="Calibri"/>
              </w:rPr>
              <w:t>$</w:t>
            </w:r>
            <w:r w:rsidR="00F06498">
              <w:rPr>
                <w:rFonts w:ascii="Calibri" w:hAnsi="Calibri" w:cs="Calibri"/>
              </w:rPr>
              <w:t>15,610,581</w:t>
            </w:r>
          </w:p>
        </w:tc>
      </w:tr>
      <w:tr w14:paraId="4FAA0E3B" w14:textId="77777777" w:rsidTr="00A3008A">
        <w:tblPrEx>
          <w:tblW w:w="0" w:type="auto"/>
          <w:jc w:val="center"/>
          <w:tblLayout w:type="fixed"/>
          <w:tblLook w:val="04A0"/>
        </w:tblPrEx>
        <w:trPr>
          <w:trHeight w:val="315"/>
          <w:jc w:val="center"/>
        </w:trPr>
        <w:tc>
          <w:tcPr>
            <w:tcW w:w="1795" w:type="dxa"/>
            <w:hideMark/>
          </w:tcPr>
          <w:p w:rsidR="00601D0B" w:rsidRPr="00C1518C" w:rsidP="00A3008A" w14:paraId="12BFD815" w14:textId="77777777">
            <w:pPr>
              <w:keepNext/>
              <w:keepLines/>
              <w:spacing w:after="100" w:afterAutospacing="1"/>
              <w:contextualSpacing/>
              <w:rPr>
                <w:rFonts w:ascii="Calibri" w:hAnsi="Calibri" w:cs="Calibri"/>
                <w:bCs/>
              </w:rPr>
            </w:pPr>
            <w:r w:rsidRPr="00C1518C">
              <w:rPr>
                <w:rFonts w:ascii="Calibri" w:hAnsi="Calibri" w:cs="Calibri"/>
                <w:bCs/>
              </w:rPr>
              <w:t xml:space="preserve">Agency </w:t>
            </w:r>
            <w:r w:rsidRPr="00C1518C">
              <w:rPr>
                <w:rFonts w:ascii="Calibri" w:hAnsi="Calibri" w:cs="Calibri"/>
                <w:bCs/>
                <w:vertAlign w:val="superscript"/>
              </w:rPr>
              <w:t>2</w:t>
            </w:r>
          </w:p>
        </w:tc>
        <w:tc>
          <w:tcPr>
            <w:tcW w:w="1170" w:type="dxa"/>
            <w:vAlign w:val="center"/>
          </w:tcPr>
          <w:p w:rsidR="00601D0B" w:rsidRPr="00C1518C" w:rsidP="00A3008A" w14:paraId="64D160D6" w14:textId="46C346E6">
            <w:pPr>
              <w:keepNext/>
              <w:keepLines/>
              <w:spacing w:after="100" w:afterAutospacing="1"/>
              <w:contextualSpacing/>
              <w:jc w:val="center"/>
              <w:rPr>
                <w:rFonts w:ascii="Calibri" w:hAnsi="Calibri" w:cs="Calibri"/>
              </w:rPr>
            </w:pPr>
            <w:r>
              <w:rPr>
                <w:rFonts w:ascii="Calibri" w:hAnsi="Calibri" w:cs="Calibri"/>
              </w:rPr>
              <w:t>217</w:t>
            </w:r>
          </w:p>
        </w:tc>
        <w:tc>
          <w:tcPr>
            <w:tcW w:w="1530" w:type="dxa"/>
            <w:vAlign w:val="center"/>
          </w:tcPr>
          <w:p w:rsidR="00601D0B" w:rsidRPr="00C1518C" w:rsidP="00A3008A" w14:paraId="4F7CEF52" w14:textId="3E6D1413">
            <w:pPr>
              <w:keepNext/>
              <w:keepLines/>
              <w:spacing w:after="100" w:afterAutospacing="1"/>
              <w:contextualSpacing/>
              <w:jc w:val="center"/>
              <w:rPr>
                <w:rFonts w:ascii="Calibri" w:hAnsi="Calibri" w:cs="Calibri"/>
              </w:rPr>
            </w:pPr>
            <w:r w:rsidRPr="00C1518C">
              <w:rPr>
                <w:rFonts w:ascii="Calibri" w:hAnsi="Calibri" w:cs="Calibri"/>
              </w:rPr>
              <w:t>$</w:t>
            </w:r>
            <w:r w:rsidR="004C147A">
              <w:rPr>
                <w:rFonts w:ascii="Calibri" w:hAnsi="Calibri" w:cs="Calibri"/>
              </w:rPr>
              <w:t>11,105</w:t>
            </w:r>
          </w:p>
        </w:tc>
        <w:tc>
          <w:tcPr>
            <w:tcW w:w="1170" w:type="dxa"/>
            <w:vAlign w:val="center"/>
          </w:tcPr>
          <w:p w:rsidR="00601D0B" w:rsidRPr="00C1518C" w:rsidP="00A3008A" w14:paraId="06F6071E" w14:textId="4C8A87C1">
            <w:pPr>
              <w:keepNext/>
              <w:keepLines/>
              <w:spacing w:after="100" w:afterAutospacing="1"/>
              <w:contextualSpacing/>
              <w:jc w:val="center"/>
              <w:rPr>
                <w:rFonts w:ascii="Calibri" w:hAnsi="Calibri" w:cs="Calibri"/>
              </w:rPr>
            </w:pPr>
            <w:r>
              <w:rPr>
                <w:rFonts w:ascii="Calibri" w:hAnsi="Calibri" w:cs="Calibri"/>
              </w:rPr>
              <w:t>10,680</w:t>
            </w:r>
          </w:p>
        </w:tc>
        <w:tc>
          <w:tcPr>
            <w:tcW w:w="1535" w:type="dxa"/>
            <w:vAlign w:val="center"/>
          </w:tcPr>
          <w:p w:rsidR="00601D0B" w:rsidRPr="00C1518C" w:rsidP="00A3008A" w14:paraId="277BB3B6" w14:textId="4BF99731">
            <w:pPr>
              <w:keepNext/>
              <w:keepLines/>
              <w:spacing w:after="100" w:afterAutospacing="1"/>
              <w:contextualSpacing/>
              <w:jc w:val="center"/>
              <w:rPr>
                <w:rFonts w:ascii="Calibri" w:hAnsi="Calibri" w:cs="Calibri"/>
              </w:rPr>
            </w:pPr>
            <w:r w:rsidRPr="00C1518C">
              <w:rPr>
                <w:rFonts w:ascii="Calibri" w:hAnsi="Calibri" w:cs="Calibri"/>
              </w:rPr>
              <w:t>$</w:t>
            </w:r>
            <w:r w:rsidR="004C147A">
              <w:rPr>
                <w:rFonts w:ascii="Calibri" w:hAnsi="Calibri" w:cs="Calibri"/>
              </w:rPr>
              <w:t>546,275</w:t>
            </w:r>
          </w:p>
        </w:tc>
      </w:tr>
    </w:tbl>
    <w:p w:rsidR="00601D0B" w:rsidP="00601D0B" w14:paraId="49F0C15A" w14:textId="77777777">
      <w:pPr>
        <w:keepNext/>
        <w:keepLines/>
        <w:spacing w:after="100" w:afterAutospacing="1" w:line="240" w:lineRule="auto"/>
        <w:ind w:left="1170"/>
        <w:contextualSpacing/>
        <w:rPr>
          <w:rFonts w:ascii="Calibri" w:hAnsi="Calibri" w:cs="Calibri"/>
          <w:sz w:val="18"/>
          <w:szCs w:val="18"/>
        </w:rPr>
      </w:pPr>
      <w:r w:rsidRPr="005567A1">
        <w:rPr>
          <w:rFonts w:ascii="Calibri" w:hAnsi="Calibri" w:cs="Calibri"/>
          <w:sz w:val="18"/>
          <w:szCs w:val="18"/>
          <w:vertAlign w:val="superscript"/>
        </w:rPr>
        <w:t>1</w:t>
      </w:r>
      <w:r w:rsidRPr="005567A1">
        <w:rPr>
          <w:rFonts w:ascii="Calibri" w:hAnsi="Calibri" w:cs="Calibri"/>
          <w:sz w:val="18"/>
          <w:szCs w:val="18"/>
        </w:rPr>
        <w:t xml:space="preserve"> T</w:t>
      </w:r>
      <w:r>
        <w:rPr>
          <w:rFonts w:ascii="Calibri" w:hAnsi="Calibri" w:cs="Calibri"/>
          <w:sz w:val="18"/>
          <w:szCs w:val="18"/>
        </w:rPr>
        <w:t>he c</w:t>
      </w:r>
      <w:r w:rsidRPr="005567A1">
        <w:rPr>
          <w:rFonts w:ascii="Calibri" w:hAnsi="Calibri" w:cs="Calibri"/>
          <w:sz w:val="18"/>
          <w:szCs w:val="18"/>
        </w:rPr>
        <w:t xml:space="preserve">ost for </w:t>
      </w:r>
      <w:r>
        <w:rPr>
          <w:rFonts w:ascii="Calibri" w:hAnsi="Calibri" w:cs="Calibri"/>
          <w:sz w:val="18"/>
          <w:szCs w:val="18"/>
        </w:rPr>
        <w:t xml:space="preserve">Respondents </w:t>
      </w:r>
      <w:r w:rsidRPr="005567A1">
        <w:rPr>
          <w:rFonts w:ascii="Calibri" w:hAnsi="Calibri" w:cs="Calibri"/>
          <w:sz w:val="18"/>
          <w:szCs w:val="18"/>
        </w:rPr>
        <w:t>includes labor</w:t>
      </w:r>
      <w:r>
        <w:rPr>
          <w:rFonts w:ascii="Calibri" w:hAnsi="Calibri" w:cs="Calibri"/>
          <w:sz w:val="18"/>
          <w:szCs w:val="18"/>
        </w:rPr>
        <w:t>, c</w:t>
      </w:r>
      <w:r w:rsidRPr="005567A1">
        <w:rPr>
          <w:rFonts w:ascii="Calibri" w:hAnsi="Calibri" w:cs="Calibri"/>
          <w:sz w:val="18"/>
          <w:szCs w:val="18"/>
        </w:rPr>
        <w:t xml:space="preserve">apital </w:t>
      </w:r>
      <w:r>
        <w:rPr>
          <w:rFonts w:ascii="Calibri" w:hAnsi="Calibri" w:cs="Calibri"/>
          <w:sz w:val="18"/>
          <w:szCs w:val="18"/>
        </w:rPr>
        <w:t>and operations and maintenance (O&amp;M)</w:t>
      </w:r>
      <w:r w:rsidRPr="005567A1">
        <w:rPr>
          <w:rFonts w:ascii="Calibri" w:hAnsi="Calibri" w:cs="Calibri"/>
          <w:sz w:val="18"/>
          <w:szCs w:val="18"/>
        </w:rPr>
        <w:t xml:space="preserve"> costs.</w:t>
      </w:r>
      <w:r>
        <w:rPr>
          <w:rFonts w:ascii="Calibri" w:hAnsi="Calibri" w:cs="Calibri"/>
          <w:sz w:val="18"/>
          <w:szCs w:val="18"/>
        </w:rPr>
        <w:t xml:space="preserve"> </w:t>
      </w:r>
    </w:p>
    <w:p w:rsidR="00601D0B" w:rsidRPr="005567A1" w:rsidP="00601D0B" w14:paraId="34368452" w14:textId="77777777">
      <w:pPr>
        <w:keepNext/>
        <w:keepLines/>
        <w:spacing w:after="100" w:afterAutospacing="1" w:line="240" w:lineRule="auto"/>
        <w:ind w:left="1170"/>
        <w:contextualSpacing/>
        <w:rPr>
          <w:rFonts w:ascii="Calibri" w:hAnsi="Calibri" w:cs="Calibri"/>
          <w:sz w:val="18"/>
          <w:szCs w:val="18"/>
        </w:rPr>
      </w:pPr>
      <w:r w:rsidRPr="00563413">
        <w:rPr>
          <w:rFonts w:ascii="Calibri" w:hAnsi="Calibri" w:cs="Calibri"/>
          <w:sz w:val="18"/>
          <w:szCs w:val="18"/>
          <w:vertAlign w:val="superscript"/>
        </w:rPr>
        <w:t>2</w:t>
      </w:r>
      <w:r>
        <w:rPr>
          <w:rFonts w:ascii="Calibri" w:hAnsi="Calibri" w:cs="Calibri"/>
          <w:sz w:val="18"/>
          <w:szCs w:val="18"/>
          <w:vertAlign w:val="superscript"/>
        </w:rPr>
        <w:t xml:space="preserve"> </w:t>
      </w:r>
      <w:r>
        <w:rPr>
          <w:rFonts w:ascii="Calibri" w:hAnsi="Calibri" w:cs="Calibri"/>
          <w:sz w:val="18"/>
          <w:szCs w:val="18"/>
        </w:rPr>
        <w:t>The cost for Agency includes labor only (no capital/O&amp;M costs).</w:t>
      </w:r>
    </w:p>
    <w:p w:rsidR="00BB432F" w:rsidRPr="00BB3410" w:rsidP="4BDBF0A0" w14:paraId="6A3E928D" w14:textId="2A7F0379">
      <w:pPr>
        <w:spacing w:before="240"/>
        <w:rPr>
          <w:color w:val="000000"/>
        </w:rPr>
      </w:pPr>
    </w:p>
    <w:p w:rsidR="00DE4E0C" w:rsidRPr="00BB3410" w:rsidP="4BDBF0A0" w14:paraId="12DA0580" w14:textId="3A9EBC77">
      <w:pPr>
        <w:rPr>
          <w:b/>
          <w:bCs/>
          <w:u w:val="single"/>
        </w:rPr>
      </w:pPr>
      <w:r w:rsidRPr="4BDBF0A0">
        <w:rPr>
          <w:b/>
          <w:bCs/>
          <w:u w:val="single"/>
        </w:rPr>
        <w:t>Supporting Statement A</w:t>
      </w:r>
      <w:bookmarkEnd w:id="0"/>
    </w:p>
    <w:p w:rsidR="00D47CB3" w:rsidRPr="00E3122D" w:rsidP="00CC4667" w14:paraId="73FF37C3" w14:textId="77C3FA07">
      <w:pPr>
        <w:pStyle w:val="ListParagraph"/>
        <w:numPr>
          <w:ilvl w:val="0"/>
          <w:numId w:val="25"/>
        </w:numPr>
        <w:spacing w:before="240" w:after="0"/>
        <w:rPr>
          <w:rFonts w:cstheme="minorHAnsi"/>
          <w:b/>
          <w:bCs/>
        </w:rPr>
      </w:pPr>
      <w:bookmarkStart w:id="2" w:name="_Toc156593368"/>
      <w:r w:rsidRPr="00E3122D">
        <w:rPr>
          <w:rFonts w:cstheme="minorHAnsi"/>
          <w:b/>
          <w:bCs/>
        </w:rPr>
        <w:t>NEED AND AUTHORITY FOR THE COLLECTION</w:t>
      </w:r>
      <w:bookmarkEnd w:id="2"/>
    </w:p>
    <w:p w:rsidR="00601D0B" w:rsidRPr="00257EF5" w:rsidP="00601D0B" w14:paraId="40345782" w14:textId="77777777">
      <w:pPr>
        <w:spacing w:after="100" w:afterAutospacing="1" w:line="240" w:lineRule="auto"/>
        <w:contextualSpacing/>
        <w:rPr>
          <w:rFonts w:ascii="Calibri" w:hAnsi="Calibri" w:cs="Calibri"/>
        </w:rPr>
      </w:pPr>
      <w:r w:rsidRPr="00257EF5">
        <w:rPr>
          <w:rFonts w:ascii="Calibri" w:hAnsi="Calibri" w:cs="Calibri"/>
        </w:rPr>
        <w:t xml:space="preserve">Congress passed the Federal Water Pollution Control Act of 1972 (Public Law 92-500, October 18, 1972) (hereinafter the </w:t>
      </w:r>
      <w:r>
        <w:rPr>
          <w:rFonts w:ascii="Calibri" w:hAnsi="Calibri" w:cs="Calibri"/>
        </w:rPr>
        <w:t>“</w:t>
      </w:r>
      <w:r w:rsidRPr="00257EF5">
        <w:rPr>
          <w:rFonts w:ascii="Calibri" w:hAnsi="Calibri" w:cs="Calibri"/>
        </w:rPr>
        <w:t>Clean Water Act</w:t>
      </w:r>
      <w:r>
        <w:rPr>
          <w:rFonts w:ascii="Calibri" w:hAnsi="Calibri" w:cs="Calibri"/>
        </w:rPr>
        <w:t>”</w:t>
      </w:r>
      <w:r w:rsidRPr="00257EF5">
        <w:rPr>
          <w:rFonts w:ascii="Calibri" w:hAnsi="Calibri" w:cs="Calibri"/>
        </w:rPr>
        <w:t xml:space="preserve"> or </w:t>
      </w:r>
      <w:r>
        <w:rPr>
          <w:rFonts w:ascii="Calibri" w:hAnsi="Calibri" w:cs="Calibri"/>
        </w:rPr>
        <w:t>“</w:t>
      </w:r>
      <w:r w:rsidRPr="00257EF5">
        <w:rPr>
          <w:rFonts w:ascii="Calibri" w:hAnsi="Calibri" w:cs="Calibri"/>
        </w:rPr>
        <w:t>CWA</w:t>
      </w:r>
      <w:r>
        <w:rPr>
          <w:rFonts w:ascii="Calibri" w:hAnsi="Calibri" w:cs="Calibri"/>
        </w:rPr>
        <w:t>”</w:t>
      </w:r>
      <w:r w:rsidRPr="00257EF5">
        <w:rPr>
          <w:rFonts w:ascii="Calibri" w:hAnsi="Calibri" w:cs="Calibri"/>
        </w:rPr>
        <w:t xml:space="preserve">), 33 U.S.C. 1251 et seq., with the stated objectives to "restore and maintain the chemical, physical, and biological integrity of the Nation's waters" (Section 101(a), 33 U.S.C. 1251(a)). To achieve this goal, the CWA provides that “the discharge of any pollutant by any person shall be unlawful” except in compliance with other provisions of the statute (CWA section 301(a), 33 U.S.C. 1311). The CWA defines “discharge of a pollutant” broadly to include “any addition of any pollutant to navigable waters from any point source” (CWA section 502(12), 33 U.S.C. 1362(12)). EPA is authorized under CWA section 402(a) to issue an NPDES permit for the discharge of any pollutant from a point source. These NPDES permits are issued by EPA or NPDES-authorized state or tribal agencies. The Water Quality Act (WQA) of 1987 (Public Law 100-4, February 4, 1987) amended the CWA, adding CWA section 402(p), requiring implementation of a comprehensive program for addressing stormwater discharges (33 U.S.C. 1342(p)). </w:t>
      </w:r>
    </w:p>
    <w:p w:rsidR="00601D0B" w:rsidP="00601D0B" w14:paraId="330DE760" w14:textId="77777777">
      <w:pPr>
        <w:spacing w:after="100" w:afterAutospacing="1" w:line="240" w:lineRule="auto"/>
        <w:contextualSpacing/>
        <w:rPr>
          <w:rFonts w:ascii="Calibri" w:hAnsi="Calibri" w:cs="Calibri"/>
        </w:rPr>
      </w:pPr>
    </w:p>
    <w:p w:rsidR="00601D0B" w:rsidP="00601D0B" w14:paraId="37721CDA" w14:textId="77777777">
      <w:pPr>
        <w:spacing w:after="0" w:line="240" w:lineRule="auto"/>
        <w:contextualSpacing/>
        <w:rPr>
          <w:rFonts w:ascii="Calibri" w:hAnsi="Calibri" w:cs="Calibri"/>
        </w:rPr>
      </w:pPr>
      <w:r w:rsidRPr="00CD2B10">
        <w:rPr>
          <w:rFonts w:ascii="Calibri" w:hAnsi="Calibri" w:cs="Calibri"/>
        </w:rPr>
        <w:t xml:space="preserve">EPA published the Phase I regulations on November 16, 1990, establishing NPDES permit coverage requirements for discharges associated with industrial activity and from “large” and “medium” municipal separate storm sewer systems (MS4s) </w:t>
      </w:r>
      <w:r>
        <w:rPr>
          <w:rFonts w:ascii="Calibri" w:hAnsi="Calibri" w:cs="Calibri"/>
        </w:rPr>
        <w:t>(</w:t>
      </w:r>
      <w:r w:rsidRPr="00CD2B10">
        <w:rPr>
          <w:rFonts w:ascii="Calibri" w:hAnsi="Calibri" w:cs="Calibri"/>
        </w:rPr>
        <w:t>CWA section 402(p)(2)</w:t>
      </w:r>
      <w:r>
        <w:rPr>
          <w:rFonts w:ascii="Calibri" w:hAnsi="Calibri" w:cs="Calibri"/>
        </w:rPr>
        <w:t>)</w:t>
      </w:r>
      <w:r w:rsidRPr="00CD2B10">
        <w:rPr>
          <w:rFonts w:ascii="Calibri" w:hAnsi="Calibri" w:cs="Calibri"/>
        </w:rPr>
        <w:t>. As part of that rulemaking, EPA interpreted stormwater “discharges associated with industrial activity” to include stormwater discharges associated with “construction activity” as defined at 40 CFR 122.26(b)(14)(x). As described in the Phase I regulations, dischargers must obtain authorization to discharge (or “permit coverage”), including discharges associated with construction activity, including clearing, grading, and excavation, if the construction activity</w:t>
      </w:r>
      <w:r>
        <w:rPr>
          <w:rFonts w:ascii="Calibri" w:hAnsi="Calibri" w:cs="Calibri"/>
        </w:rPr>
        <w:t xml:space="preserve"> will result in the disturbance of</w:t>
      </w:r>
      <w:r w:rsidRPr="00CD2B10">
        <w:rPr>
          <w:rFonts w:ascii="Calibri" w:hAnsi="Calibri" w:cs="Calibri"/>
        </w:rPr>
        <w:t>:</w:t>
      </w:r>
    </w:p>
    <w:p w:rsidR="00601D0B" w:rsidRPr="00CD2B10" w:rsidP="00601D0B" w14:paraId="2FC99BE8" w14:textId="77777777">
      <w:pPr>
        <w:pStyle w:val="ListParagraph"/>
        <w:numPr>
          <w:ilvl w:val="0"/>
          <w:numId w:val="31"/>
        </w:numPr>
        <w:spacing w:before="120" w:after="0" w:line="240" w:lineRule="auto"/>
        <w:rPr>
          <w:rFonts w:ascii="Calibri" w:hAnsi="Calibri" w:cs="Calibri"/>
        </w:rPr>
      </w:pPr>
      <w:r w:rsidRPr="00CD2B10">
        <w:rPr>
          <w:rFonts w:ascii="Calibri" w:hAnsi="Calibri" w:cs="Calibri"/>
        </w:rPr>
        <w:t>five acres or greater; or</w:t>
      </w:r>
    </w:p>
    <w:p w:rsidR="00601D0B" w:rsidRPr="00221A83" w:rsidP="00601D0B" w14:paraId="646EDC69" w14:textId="77777777">
      <w:pPr>
        <w:pStyle w:val="ListParagraph"/>
        <w:numPr>
          <w:ilvl w:val="0"/>
          <w:numId w:val="31"/>
        </w:numPr>
        <w:spacing w:after="120" w:line="240" w:lineRule="auto"/>
        <w:rPr>
          <w:rFonts w:ascii="Calibri" w:hAnsi="Calibri" w:cs="Calibri"/>
        </w:rPr>
      </w:pPr>
      <w:r w:rsidRPr="00CD2B10">
        <w:rPr>
          <w:rFonts w:ascii="Calibri" w:hAnsi="Calibri" w:cs="Calibri"/>
        </w:rPr>
        <w:t>less than five acres of total land area that is part of a larger common plan of development or sale if the larger common plan will ultimately disturb five acres or greater.</w:t>
      </w:r>
    </w:p>
    <w:p w:rsidR="00601D0B" w:rsidRPr="00CD2B10" w:rsidP="00601D0B" w14:paraId="0C0A8CC7" w14:textId="77777777">
      <w:pPr>
        <w:spacing w:after="0" w:line="240" w:lineRule="auto"/>
        <w:contextualSpacing/>
        <w:rPr>
          <w:rFonts w:ascii="Calibri" w:hAnsi="Calibri" w:cs="Calibri"/>
        </w:rPr>
      </w:pPr>
      <w:r w:rsidRPr="38E11087">
        <w:rPr>
          <w:rFonts w:ascii="Calibri" w:hAnsi="Calibri" w:cs="Calibri"/>
        </w:rPr>
        <w:t xml:space="preserve">Section 402(p)(5) and (6) establishes a process for EPA to evaluate potential sources of stormwater discharges not included in the Phase I regulations and to designate discharges for regulation to protect water quality. Section 402(p)(6) instructs EPA to “issue regulations…which designate stormwater discharges, other than those discharges described in [section 402(p)(2)], to be regulated to protect water quality and shall establish a comprehensive program to regulate such designated sources.” In 1999, pursuant to the broad discretion granted to the agency under section 402(p)(6), EPA promulgated the Phase II stormwater regulations that designated discharges associated with “small” construction </w:t>
      </w:r>
      <w:r w:rsidRPr="38E11087">
        <w:rPr>
          <w:rFonts w:ascii="Calibri" w:hAnsi="Calibri" w:cs="Calibri"/>
        </w:rPr>
        <w:t>activity and “small” MS4s. 64 FR 68722 (December 8, 1999). NPDES permit coverage is required for discharges associated with “small” construction activity, including clearing, grading, and excavation, if the construction activity will result in:</w:t>
      </w:r>
    </w:p>
    <w:p w:rsidR="00601D0B" w:rsidRPr="00CD2B10" w:rsidP="00601D0B" w14:paraId="0BC75F99" w14:textId="77777777">
      <w:pPr>
        <w:pStyle w:val="ListParagraph"/>
        <w:numPr>
          <w:ilvl w:val="0"/>
          <w:numId w:val="30"/>
        </w:numPr>
        <w:spacing w:before="120" w:after="0"/>
      </w:pPr>
      <w:r>
        <w:t>land disturbance of equal to or greater than one acre and less than five acres; or</w:t>
      </w:r>
    </w:p>
    <w:p w:rsidR="00601D0B" w:rsidRPr="00CD2B10" w:rsidP="00601D0B" w14:paraId="7AAB37FC" w14:textId="77777777">
      <w:pPr>
        <w:pStyle w:val="ListParagraph"/>
        <w:numPr>
          <w:ilvl w:val="0"/>
          <w:numId w:val="30"/>
        </w:numPr>
        <w:spacing w:after="120"/>
      </w:pPr>
      <w:r>
        <w:t>disturbance of less than one acre of total land area that is part of a larger common plan of development or sale if the larger common plan will ultimately disturb equal to or greater than one and less than five acres.</w:t>
      </w:r>
    </w:p>
    <w:p w:rsidR="00601D0B" w:rsidRPr="001E010D" w:rsidP="00601D0B" w14:paraId="158FC2B9" w14:textId="77777777">
      <w:pPr>
        <w:spacing w:after="100" w:afterAutospacing="1" w:line="240" w:lineRule="auto"/>
        <w:contextualSpacing/>
        <w:rPr>
          <w:rFonts w:ascii="Calibri" w:hAnsi="Calibri" w:cs="Calibri"/>
        </w:rPr>
      </w:pPr>
      <w:r w:rsidRPr="001E010D">
        <w:rPr>
          <w:rFonts w:ascii="Calibri" w:hAnsi="Calibri" w:cs="Calibri"/>
        </w:rPr>
        <w:t xml:space="preserve">While the regulations establish </w:t>
      </w:r>
      <w:r>
        <w:rPr>
          <w:rFonts w:ascii="Calibri" w:hAnsi="Calibri" w:cs="Calibri"/>
        </w:rPr>
        <w:t>EPA</w:t>
      </w:r>
      <w:r w:rsidRPr="001E010D">
        <w:rPr>
          <w:rFonts w:ascii="Calibri" w:hAnsi="Calibri" w:cs="Calibri"/>
        </w:rPr>
        <w:t xml:space="preserve">’s authority and requirement to collect information under the </w:t>
      </w:r>
      <w:r w:rsidRPr="0022278D">
        <w:rPr>
          <w:rFonts w:ascii="Calibri" w:hAnsi="Calibri" w:cs="Calibri"/>
        </w:rPr>
        <w:t>CGP</w:t>
      </w:r>
      <w:r w:rsidRPr="001E010D">
        <w:rPr>
          <w:rFonts w:ascii="Calibri" w:hAnsi="Calibri" w:cs="Calibri"/>
        </w:rPr>
        <w:t xml:space="preserve">, </w:t>
      </w:r>
      <w:r>
        <w:rPr>
          <w:rFonts w:ascii="Calibri" w:hAnsi="Calibri" w:cs="Calibri"/>
        </w:rPr>
        <w:t>EPA</w:t>
      </w:r>
      <w:r w:rsidRPr="001E010D">
        <w:rPr>
          <w:rFonts w:ascii="Calibri" w:hAnsi="Calibri" w:cs="Calibri"/>
        </w:rPr>
        <w:t xml:space="preserve"> has specific needs for collecting the data, which include:</w:t>
      </w:r>
    </w:p>
    <w:p w:rsidR="00601D0B" w:rsidP="00601D0B" w14:paraId="472DF691" w14:textId="77777777">
      <w:pPr>
        <w:pStyle w:val="ListParagraph"/>
        <w:numPr>
          <w:ilvl w:val="0"/>
          <w:numId w:val="29"/>
        </w:numPr>
        <w:spacing w:after="100" w:afterAutospacing="1" w:line="240" w:lineRule="auto"/>
        <w:rPr>
          <w:rFonts w:ascii="Calibri" w:hAnsi="Calibri" w:cs="Calibri"/>
        </w:rPr>
      </w:pPr>
      <w:r>
        <w:rPr>
          <w:rFonts w:ascii="Calibri" w:hAnsi="Calibri" w:cs="Calibri"/>
        </w:rPr>
        <w:t>To provide information supporting operator eligibility to be covered by the permit;</w:t>
      </w:r>
    </w:p>
    <w:p w:rsidR="00601D0B" w:rsidP="00601D0B" w14:paraId="4958FDD4" w14:textId="77777777">
      <w:pPr>
        <w:pStyle w:val="ListParagraph"/>
        <w:numPr>
          <w:ilvl w:val="0"/>
          <w:numId w:val="29"/>
        </w:numPr>
        <w:spacing w:after="100" w:afterAutospacing="1" w:line="240" w:lineRule="auto"/>
        <w:rPr>
          <w:rFonts w:ascii="Calibri" w:hAnsi="Calibri" w:cs="Calibri"/>
        </w:rPr>
      </w:pPr>
      <w:r w:rsidRPr="001E010D">
        <w:rPr>
          <w:rFonts w:ascii="Calibri" w:hAnsi="Calibri" w:cs="Calibri"/>
        </w:rPr>
        <w:t xml:space="preserve">To provide information to </w:t>
      </w:r>
      <w:r>
        <w:rPr>
          <w:rFonts w:ascii="Calibri" w:hAnsi="Calibri" w:cs="Calibri"/>
        </w:rPr>
        <w:t>EPA</w:t>
      </w:r>
      <w:r w:rsidRPr="001E010D">
        <w:rPr>
          <w:rFonts w:ascii="Calibri" w:hAnsi="Calibri" w:cs="Calibri"/>
        </w:rPr>
        <w:t xml:space="preserve"> </w:t>
      </w:r>
      <w:r w:rsidRPr="0022278D">
        <w:rPr>
          <w:rFonts w:ascii="Calibri" w:hAnsi="Calibri" w:cs="Calibri"/>
        </w:rPr>
        <w:t>and states</w:t>
      </w:r>
      <w:r w:rsidRPr="001E010D">
        <w:rPr>
          <w:rFonts w:ascii="Calibri" w:hAnsi="Calibri" w:cs="Calibri"/>
        </w:rPr>
        <w:t xml:space="preserve"> to prioritize permit activities;</w:t>
      </w:r>
    </w:p>
    <w:p w:rsidR="00601D0B" w:rsidRPr="001E010D" w:rsidP="00601D0B" w14:paraId="760E9018" w14:textId="77777777">
      <w:pPr>
        <w:pStyle w:val="ListParagraph"/>
        <w:numPr>
          <w:ilvl w:val="0"/>
          <w:numId w:val="29"/>
        </w:numPr>
        <w:spacing w:after="100" w:afterAutospacing="1" w:line="240" w:lineRule="auto"/>
        <w:rPr>
          <w:rFonts w:ascii="Calibri" w:hAnsi="Calibri" w:cs="Calibri"/>
        </w:rPr>
      </w:pPr>
      <w:r w:rsidRPr="001E010D">
        <w:rPr>
          <w:rFonts w:ascii="Calibri" w:hAnsi="Calibri" w:cs="Calibri"/>
        </w:rPr>
        <w:t xml:space="preserve">To provide information on </w:t>
      </w:r>
      <w:r>
        <w:rPr>
          <w:rFonts w:ascii="Calibri" w:hAnsi="Calibri" w:cs="Calibri"/>
        </w:rPr>
        <w:t>the quality of dewatering discharges to sensitive waters</w:t>
      </w:r>
      <w:r w:rsidRPr="001E010D">
        <w:rPr>
          <w:rFonts w:ascii="Calibri" w:hAnsi="Calibri" w:cs="Calibri"/>
        </w:rPr>
        <w:t>;</w:t>
      </w:r>
    </w:p>
    <w:p w:rsidR="00601D0B" w:rsidRPr="001E010D" w:rsidP="00601D0B" w14:paraId="27BAE002" w14:textId="77777777">
      <w:pPr>
        <w:pStyle w:val="ListParagraph"/>
        <w:numPr>
          <w:ilvl w:val="0"/>
          <w:numId w:val="29"/>
        </w:numPr>
        <w:spacing w:after="100" w:afterAutospacing="1" w:line="240" w:lineRule="auto"/>
        <w:rPr>
          <w:rFonts w:ascii="Calibri" w:hAnsi="Calibri" w:cs="Calibri"/>
        </w:rPr>
      </w:pPr>
      <w:r w:rsidRPr="001E010D">
        <w:rPr>
          <w:rFonts w:ascii="Calibri" w:hAnsi="Calibri" w:cs="Calibri"/>
        </w:rPr>
        <w:t xml:space="preserve">To determine whether </w:t>
      </w:r>
      <w:r w:rsidRPr="0022278D">
        <w:rPr>
          <w:rFonts w:ascii="Calibri" w:hAnsi="Calibri" w:cs="Calibri"/>
        </w:rPr>
        <w:t>operators</w:t>
      </w:r>
      <w:r w:rsidRPr="001E010D">
        <w:rPr>
          <w:rFonts w:ascii="Calibri" w:hAnsi="Calibri" w:cs="Calibri"/>
        </w:rPr>
        <w:t xml:space="preserve"> are in compliance with permit conditions; and</w:t>
      </w:r>
    </w:p>
    <w:p w:rsidR="00601D0B" w:rsidRPr="0022278D" w:rsidP="00601D0B" w14:paraId="473066CC" w14:textId="77777777">
      <w:pPr>
        <w:pStyle w:val="ListParagraph"/>
        <w:numPr>
          <w:ilvl w:val="0"/>
          <w:numId w:val="29"/>
        </w:numPr>
        <w:spacing w:after="100" w:afterAutospacing="1" w:line="240" w:lineRule="auto"/>
        <w:rPr>
          <w:rFonts w:ascii="Calibri" w:hAnsi="Calibri" w:cs="Calibri"/>
        </w:rPr>
      </w:pPr>
      <w:r w:rsidRPr="0022278D">
        <w:rPr>
          <w:rFonts w:ascii="Calibri" w:hAnsi="Calibri" w:cs="Calibri"/>
        </w:rPr>
        <w:t>To provide information to EPA to determine the need for and deve</w:t>
      </w:r>
      <w:r w:rsidRPr="001B65FF">
        <w:rPr>
          <w:rFonts w:ascii="Calibri" w:hAnsi="Calibri" w:cs="Calibri"/>
        </w:rPr>
        <w:t xml:space="preserve">lop permit </w:t>
      </w:r>
      <w:r w:rsidRPr="00436388">
        <w:rPr>
          <w:rFonts w:ascii="Calibri" w:hAnsi="Calibri" w:cs="Calibri"/>
        </w:rPr>
        <w:t>conditions</w:t>
      </w:r>
      <w:r w:rsidRPr="001B65FF">
        <w:rPr>
          <w:rFonts w:ascii="Calibri" w:hAnsi="Calibri" w:cs="Calibri"/>
        </w:rPr>
        <w:t>.</w:t>
      </w:r>
      <w:r w:rsidRPr="0022278D">
        <w:rPr>
          <w:rFonts w:ascii="Calibri" w:hAnsi="Calibri" w:cs="Calibri"/>
        </w:rPr>
        <w:t xml:space="preserve"> </w:t>
      </w:r>
    </w:p>
    <w:p w:rsidR="00601D0B" w:rsidP="00CC4667" w14:paraId="12890E31" w14:textId="77777777">
      <w:pPr>
        <w:pStyle w:val="ListParagraph"/>
        <w:spacing w:before="240" w:after="0"/>
        <w:ind w:left="360"/>
        <w:rPr>
          <w:rFonts w:cstheme="minorHAnsi"/>
          <w:b/>
          <w:bCs/>
        </w:rPr>
      </w:pPr>
      <w:bookmarkStart w:id="3" w:name="_Toc156593369"/>
    </w:p>
    <w:p w:rsidR="00D47CB3" w:rsidRPr="00E3122D" w:rsidP="00CC4667" w14:paraId="24F38A28" w14:textId="322D6504">
      <w:pPr>
        <w:pStyle w:val="ListParagraph"/>
        <w:numPr>
          <w:ilvl w:val="0"/>
          <w:numId w:val="25"/>
        </w:numPr>
        <w:spacing w:before="240" w:after="0"/>
        <w:rPr>
          <w:rFonts w:cstheme="minorHAnsi"/>
          <w:b/>
          <w:bCs/>
        </w:rPr>
      </w:pPr>
      <w:r w:rsidRPr="00E3122D">
        <w:rPr>
          <w:rFonts w:cstheme="minorHAnsi"/>
          <w:b/>
          <w:bCs/>
        </w:rPr>
        <w:t>PRACTICAL UTILITY/USERS OF THE DATA</w:t>
      </w:r>
      <w:bookmarkEnd w:id="3"/>
    </w:p>
    <w:p w:rsidR="00601D0B" w:rsidRPr="00CC4667" w:rsidP="00CC4667" w14:paraId="1BDB9C95" w14:textId="77777777">
      <w:pPr>
        <w:spacing w:after="100" w:afterAutospacing="1" w:line="240" w:lineRule="auto"/>
        <w:rPr>
          <w:rFonts w:ascii="Calibri" w:hAnsi="Calibri" w:cs="Calibri"/>
          <w:b/>
        </w:rPr>
      </w:pPr>
      <w:r w:rsidRPr="00CC4667">
        <w:rPr>
          <w:rFonts w:ascii="Calibri" w:hAnsi="Calibri" w:cs="Calibri"/>
        </w:rPr>
        <w:t>This ICR includes information used primarily by respondents and EPA. EPA anticipates that other government agencies (both state and federal), as well as public interest groups, private companies, and individuals, will also use the data. Some of these data must be submitted to EPA, while much of the information must be maintained on-site by the operator.</w:t>
      </w:r>
    </w:p>
    <w:p w:rsidR="00074917" w:rsidRPr="00E3122D" w:rsidP="00CC4667" w14:paraId="1522D565" w14:textId="553E3A2D">
      <w:pPr>
        <w:pStyle w:val="ListParagraph"/>
        <w:numPr>
          <w:ilvl w:val="0"/>
          <w:numId w:val="25"/>
        </w:numPr>
        <w:spacing w:before="240" w:after="0"/>
        <w:rPr>
          <w:rFonts w:cstheme="minorHAnsi"/>
          <w:b/>
          <w:bCs/>
        </w:rPr>
      </w:pPr>
      <w:bookmarkStart w:id="4" w:name="_Toc156593370"/>
      <w:r w:rsidRPr="00E3122D">
        <w:rPr>
          <w:rFonts w:cstheme="minorHAnsi"/>
          <w:b/>
          <w:bCs/>
        </w:rPr>
        <w:t>USE OF TECHNOLOGY</w:t>
      </w:r>
      <w:bookmarkEnd w:id="4"/>
    </w:p>
    <w:p w:rsidR="00CC4667" w:rsidRPr="00672858" w:rsidP="00CC4667" w14:paraId="49BA9179" w14:textId="0FA6DD4A">
      <w:pPr>
        <w:spacing w:after="100" w:afterAutospacing="1" w:line="240" w:lineRule="auto"/>
        <w:contextualSpacing/>
        <w:rPr>
          <w:rFonts w:ascii="Calibri" w:hAnsi="Calibri" w:cs="Calibri"/>
        </w:rPr>
      </w:pPr>
      <w:r w:rsidRPr="001E010D">
        <w:rPr>
          <w:rFonts w:ascii="Calibri" w:hAnsi="Calibri" w:cs="Calibri"/>
        </w:rPr>
        <w:t>EPA collects most information genera</w:t>
      </w:r>
      <w:r w:rsidRPr="00672858">
        <w:rPr>
          <w:rFonts w:ascii="Calibri" w:hAnsi="Calibri" w:cs="Calibri"/>
        </w:rPr>
        <w:t xml:space="preserve">ted under the CGP through the Integrated Compliance Information System (ICIS-NPDES) database via </w:t>
      </w:r>
      <w:r>
        <w:rPr>
          <w:rFonts w:ascii="Calibri" w:hAnsi="Calibri" w:cs="Calibri"/>
        </w:rPr>
        <w:t xml:space="preserve">EPA’s </w:t>
      </w:r>
      <w:r w:rsidR="005B43F3">
        <w:rPr>
          <w:rFonts w:ascii="Calibri" w:hAnsi="Calibri" w:cs="Calibri"/>
        </w:rPr>
        <w:t>NPDES eReporting Tool (</w:t>
      </w:r>
      <w:r w:rsidRPr="0022278D" w:rsidR="005B43F3">
        <w:t>NeT</w:t>
      </w:r>
      <w:r w:rsidR="005B43F3">
        <w:t>-CGP)</w:t>
      </w:r>
      <w:r>
        <w:rPr>
          <w:rFonts w:ascii="Calibri" w:hAnsi="Calibri" w:cs="Calibri"/>
        </w:rPr>
        <w:t>.</w:t>
      </w:r>
      <w:r w:rsidRPr="00672858">
        <w:rPr>
          <w:rFonts w:ascii="Calibri" w:hAnsi="Calibri" w:cs="Calibri"/>
        </w:rPr>
        <w:t xml:space="preserve"> EPA uses this information to assess permit compliance and trends. This technology also reduces the burden to EPA and the states for gathering and analyzing national permit and water quality data. </w:t>
      </w:r>
    </w:p>
    <w:p w:rsidR="00CC4667" w:rsidRPr="00672858" w:rsidP="00CC4667" w14:paraId="156BB77C" w14:textId="77777777">
      <w:pPr>
        <w:spacing w:after="100" w:afterAutospacing="1" w:line="240" w:lineRule="auto"/>
        <w:contextualSpacing/>
        <w:rPr>
          <w:rFonts w:ascii="Calibri" w:hAnsi="Calibri" w:cs="Calibri"/>
        </w:rPr>
      </w:pPr>
    </w:p>
    <w:p w:rsidR="009F1E00" w:rsidRPr="00CC4667" w:rsidP="00CC4667" w14:paraId="7B30150C" w14:textId="0947904E">
      <w:pPr>
        <w:spacing w:after="100" w:afterAutospacing="1" w:line="240" w:lineRule="auto"/>
        <w:contextualSpacing/>
        <w:rPr>
          <w:rFonts w:ascii="Calibri" w:hAnsi="Calibri" w:cs="Calibri"/>
        </w:rPr>
      </w:pPr>
      <w:r w:rsidRPr="00672858">
        <w:rPr>
          <w:rFonts w:ascii="Calibri" w:hAnsi="Calibri" w:cs="Calibri"/>
        </w:rPr>
        <w:t>The public may access much of the information generated under the permit via EPA</w:t>
      </w:r>
      <w:r>
        <w:rPr>
          <w:rFonts w:ascii="Calibri" w:hAnsi="Calibri" w:cs="Calibri"/>
        </w:rPr>
        <w:t>’s</w:t>
      </w:r>
      <w:r w:rsidRPr="00672858">
        <w:rPr>
          <w:rFonts w:ascii="Calibri" w:hAnsi="Calibri" w:cs="Calibri"/>
        </w:rPr>
        <w:t xml:space="preserve"> Enforcement and Compliance History Online (ECHO)</w:t>
      </w:r>
      <w:r>
        <w:rPr>
          <w:rFonts w:ascii="Calibri" w:hAnsi="Calibri" w:cs="Calibri"/>
        </w:rPr>
        <w:t xml:space="preserve"> tool</w:t>
      </w:r>
      <w:r w:rsidRPr="00672858">
        <w:rPr>
          <w:rFonts w:ascii="Calibri" w:hAnsi="Calibri" w:cs="Calibri"/>
        </w:rPr>
        <w:t xml:space="preserve"> and through the E-Enterprise Permit</w:t>
      </w:r>
      <w:r>
        <w:rPr>
          <w:rFonts w:ascii="Calibri" w:hAnsi="Calibri" w:cs="Calibri"/>
        </w:rPr>
        <w:t xml:space="preserve"> Lookup</w:t>
      </w:r>
      <w:r w:rsidRPr="001E010D">
        <w:rPr>
          <w:rFonts w:ascii="Calibri" w:hAnsi="Calibri" w:cs="Calibri"/>
        </w:rPr>
        <w:t xml:space="preserve">. </w:t>
      </w:r>
    </w:p>
    <w:p w:rsidR="005263EC" w:rsidRPr="00E3122D" w:rsidP="00CC4667" w14:paraId="2CB3B868" w14:textId="58CBB947">
      <w:pPr>
        <w:pStyle w:val="ListParagraph"/>
        <w:numPr>
          <w:ilvl w:val="0"/>
          <w:numId w:val="25"/>
        </w:numPr>
        <w:spacing w:before="240" w:after="0"/>
        <w:rPr>
          <w:rFonts w:cstheme="minorHAnsi"/>
          <w:b/>
          <w:bCs/>
        </w:rPr>
      </w:pPr>
      <w:bookmarkStart w:id="5" w:name="_Toc156593371"/>
      <w:r w:rsidRPr="00E3122D">
        <w:rPr>
          <w:rFonts w:cstheme="minorHAnsi"/>
          <w:b/>
          <w:bCs/>
        </w:rPr>
        <w:t>EFFORTS TO IDENTIFY DUPLICATION</w:t>
      </w:r>
      <w:bookmarkEnd w:id="5"/>
    </w:p>
    <w:p w:rsidR="00ED57A4" w:rsidRPr="00CC4667" w:rsidP="00CC4667" w14:paraId="0E470EF3" w14:textId="309E40C0">
      <w:pPr>
        <w:spacing w:after="100" w:afterAutospacing="1" w:line="240" w:lineRule="auto"/>
        <w:contextualSpacing/>
        <w:rPr>
          <w:rFonts w:ascii="Calibri" w:hAnsi="Calibri" w:cs="Calibri"/>
          <w:b/>
        </w:rPr>
      </w:pPr>
      <w:r>
        <w:rPr>
          <w:rFonts w:ascii="Calibri" w:hAnsi="Calibri" w:cs="Calibri"/>
        </w:rPr>
        <w:t>All</w:t>
      </w:r>
      <w:r w:rsidRPr="001E010D">
        <w:rPr>
          <w:rFonts w:ascii="Calibri" w:hAnsi="Calibri" w:cs="Calibri"/>
        </w:rPr>
        <w:t xml:space="preserve"> information requested from respondents under this ICR is required to comply with the permit and is not available from other sources.</w:t>
      </w:r>
    </w:p>
    <w:p w:rsidR="00251151" w:rsidRPr="00E3122D" w:rsidP="00CC4667" w14:paraId="79D36B3F" w14:textId="440DD77F">
      <w:pPr>
        <w:pStyle w:val="ListParagraph"/>
        <w:numPr>
          <w:ilvl w:val="0"/>
          <w:numId w:val="25"/>
        </w:numP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ED57A4" w:rsidRPr="00CC4667" w:rsidP="00CC4667" w14:paraId="518B46AB" w14:textId="0EE0281D">
      <w:pPr>
        <w:pStyle w:val="Default"/>
        <w:spacing w:after="100" w:afterAutospacing="1"/>
        <w:contextualSpacing/>
        <w:rPr>
          <w:rFonts w:ascii="Calibri" w:hAnsi="Calibri" w:cs="Calibri"/>
          <w:sz w:val="22"/>
          <w:szCs w:val="22"/>
        </w:rPr>
      </w:pPr>
      <w:r>
        <w:rPr>
          <w:rFonts w:ascii="Calibri" w:hAnsi="Calibri" w:cs="Calibri"/>
          <w:sz w:val="22"/>
          <w:szCs w:val="22"/>
        </w:rPr>
        <w:t>It is EPA’s view that</w:t>
      </w:r>
      <w:r w:rsidRPr="001E010D">
        <w:rPr>
          <w:rFonts w:ascii="Calibri" w:hAnsi="Calibri" w:cs="Calibri"/>
          <w:sz w:val="22"/>
          <w:szCs w:val="22"/>
        </w:rPr>
        <w:t xml:space="preserve"> the reporting requirements discussed in this ICR do not place an unreasonable burden on small business. </w:t>
      </w:r>
      <w:r>
        <w:rPr>
          <w:rFonts w:ascii="Calibri" w:hAnsi="Calibri" w:cs="Calibri"/>
          <w:sz w:val="22"/>
          <w:szCs w:val="22"/>
        </w:rPr>
        <w:t>EPA</w:t>
      </w:r>
      <w:r w:rsidRPr="001E010D">
        <w:rPr>
          <w:rFonts w:ascii="Calibri" w:hAnsi="Calibri" w:cs="Calibri"/>
          <w:sz w:val="22"/>
          <w:szCs w:val="22"/>
        </w:rPr>
        <w:t xml:space="preserve"> and states have made extensive use of general permits</w:t>
      </w:r>
      <w:r>
        <w:rPr>
          <w:rFonts w:ascii="Calibri" w:hAnsi="Calibri" w:cs="Calibri"/>
          <w:sz w:val="22"/>
          <w:szCs w:val="22"/>
        </w:rPr>
        <w:t xml:space="preserve"> to streamline the permitting process for both the operator and EPA.</w:t>
      </w:r>
      <w:r w:rsidRPr="001E010D">
        <w:rPr>
          <w:rFonts w:ascii="Calibri" w:hAnsi="Calibri" w:cs="Calibri"/>
          <w:sz w:val="22"/>
          <w:szCs w:val="22"/>
        </w:rPr>
        <w:t xml:space="preserve"> </w:t>
      </w:r>
      <w:r>
        <w:rPr>
          <w:rFonts w:ascii="Calibri" w:hAnsi="Calibri" w:cs="Calibri"/>
          <w:sz w:val="22"/>
          <w:szCs w:val="22"/>
        </w:rPr>
        <w:t>T</w:t>
      </w:r>
      <w:r w:rsidRPr="001E010D">
        <w:rPr>
          <w:rFonts w:ascii="Calibri" w:hAnsi="Calibri" w:cs="Calibri"/>
          <w:sz w:val="22"/>
          <w:szCs w:val="22"/>
        </w:rPr>
        <w:t xml:space="preserve">he majority of </w:t>
      </w:r>
      <w:r w:rsidRPr="0022278D">
        <w:rPr>
          <w:rFonts w:ascii="Calibri" w:hAnsi="Calibri" w:cs="Calibri"/>
          <w:sz w:val="22"/>
          <w:szCs w:val="22"/>
        </w:rPr>
        <w:t>stormwater operators</w:t>
      </w:r>
      <w:r w:rsidRPr="008C4999">
        <w:rPr>
          <w:rFonts w:ascii="Calibri" w:hAnsi="Calibri" w:cs="Calibri"/>
          <w:sz w:val="22"/>
          <w:szCs w:val="22"/>
        </w:rPr>
        <w:t>, which compose</w:t>
      </w:r>
      <w:r w:rsidRPr="001E010D">
        <w:rPr>
          <w:rFonts w:ascii="Calibri" w:hAnsi="Calibri" w:cs="Calibri"/>
          <w:sz w:val="22"/>
          <w:szCs w:val="22"/>
        </w:rPr>
        <w:t xml:space="preserve"> more than three quarters of all NPDES permittees, are covered under general permits.</w:t>
      </w:r>
      <w:r>
        <w:rPr>
          <w:rFonts w:ascii="Calibri" w:hAnsi="Calibri" w:cs="Calibri"/>
          <w:sz w:val="22"/>
          <w:szCs w:val="22"/>
        </w:rPr>
        <w:t xml:space="preserve"> General permit procedures reduce burden associated with the application process and information submittals for construction stormwater facilities. </w:t>
      </w:r>
    </w:p>
    <w:p w:rsidR="004252C1" w:rsidRPr="00E3122D" w:rsidP="00CC4667" w14:paraId="1FF5A778" w14:textId="02F91DFF">
      <w:pPr>
        <w:pStyle w:val="ListParagraph"/>
        <w:numPr>
          <w:ilvl w:val="0"/>
          <w:numId w:val="25"/>
        </w:numP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CC4667" w:rsidRPr="001E010D" w:rsidP="00CC4667" w14:paraId="364A20E6" w14:textId="03703199">
      <w:pPr>
        <w:spacing w:after="100" w:afterAutospacing="1" w:line="240" w:lineRule="auto"/>
        <w:contextualSpacing/>
        <w:rPr>
          <w:rFonts w:ascii="Calibri" w:hAnsi="Calibri" w:cs="Calibri"/>
        </w:rPr>
      </w:pPr>
      <w:r w:rsidRPr="17EF4160">
        <w:rPr>
          <w:rFonts w:ascii="Calibri" w:hAnsi="Calibri" w:cs="Calibri"/>
        </w:rPr>
        <w:t>EPA recognizes the importance of balancing the need for data collection efforts against respondent burden and costs. From the inception of the NPDES program, cost has been one of the major factors considered in establishing application requirements (or NOI requirements for general permits), monitoring conditions, and report content and frequencies. EPA regularly seeks new opportunities to reduce burden on the regulated community.</w:t>
      </w:r>
    </w:p>
    <w:p w:rsidR="00CC4667" w:rsidRPr="001E010D" w:rsidP="00CC4667" w14:paraId="54DCD897" w14:textId="77777777">
      <w:pPr>
        <w:spacing w:after="100" w:afterAutospacing="1" w:line="240" w:lineRule="auto"/>
        <w:contextualSpacing/>
        <w:rPr>
          <w:rFonts w:ascii="Calibri" w:hAnsi="Calibri" w:cs="Calibri"/>
        </w:rPr>
      </w:pPr>
    </w:p>
    <w:p w:rsidR="00ED57A4" w:rsidRPr="00CC4667" w:rsidP="00CC4667" w14:paraId="5934FB28" w14:textId="022B5E8D">
      <w:pPr>
        <w:spacing w:after="100" w:afterAutospacing="1" w:line="240" w:lineRule="auto"/>
        <w:contextualSpacing/>
        <w:rPr>
          <w:rFonts w:ascii="Calibri" w:hAnsi="Calibri" w:cs="Calibri"/>
        </w:rPr>
      </w:pPr>
      <w:r w:rsidRPr="001E010D">
        <w:rPr>
          <w:rFonts w:ascii="Calibri" w:hAnsi="Calibri" w:cs="Calibri"/>
        </w:rPr>
        <w:t xml:space="preserve">EPA and other stakeholders need current information about </w:t>
      </w:r>
      <w:r>
        <w:rPr>
          <w:rFonts w:ascii="Calibri" w:hAnsi="Calibri" w:cs="Calibri"/>
        </w:rPr>
        <w:t>respondents</w:t>
      </w:r>
      <w:r w:rsidRPr="001E010D">
        <w:rPr>
          <w:rFonts w:ascii="Calibri" w:hAnsi="Calibri" w:cs="Calibri"/>
        </w:rPr>
        <w:t xml:space="preserve"> and discharge characteristics to fulfill oversight responsibilities. The burden described in this ICR identifies the burden that EPA has determined </w:t>
      </w:r>
      <w:r>
        <w:rPr>
          <w:rFonts w:ascii="Calibri" w:hAnsi="Calibri" w:cs="Calibri"/>
        </w:rPr>
        <w:t>i</w:t>
      </w:r>
      <w:r w:rsidRPr="001E010D">
        <w:rPr>
          <w:rFonts w:ascii="Calibri" w:hAnsi="Calibri" w:cs="Calibri"/>
        </w:rPr>
        <w:t>s necessary.</w:t>
      </w:r>
      <w:r>
        <w:rPr>
          <w:rFonts w:ascii="Calibri" w:hAnsi="Calibri" w:cs="Calibri"/>
        </w:rPr>
        <w:t xml:space="preserve"> </w:t>
      </w:r>
      <w:r w:rsidRPr="001E010D">
        <w:rPr>
          <w:rFonts w:ascii="Calibri" w:hAnsi="Calibri" w:cs="Calibri"/>
        </w:rPr>
        <w:t>The burden described in this ICR is</w:t>
      </w:r>
      <w:r>
        <w:rPr>
          <w:rFonts w:ascii="Calibri" w:hAnsi="Calibri" w:cs="Calibri"/>
        </w:rPr>
        <w:t xml:space="preserve"> reflective of</w:t>
      </w:r>
      <w:r w:rsidRPr="001E010D">
        <w:rPr>
          <w:rFonts w:ascii="Calibri" w:hAnsi="Calibri" w:cs="Calibri"/>
        </w:rPr>
        <w:t xml:space="preserve"> the minimum </w:t>
      </w:r>
      <w:r>
        <w:rPr>
          <w:rFonts w:ascii="Calibri" w:hAnsi="Calibri" w:cs="Calibri"/>
        </w:rPr>
        <w:t xml:space="preserve">information </w:t>
      </w:r>
      <w:r w:rsidRPr="001E010D">
        <w:rPr>
          <w:rFonts w:ascii="Calibri" w:hAnsi="Calibri" w:cs="Calibri"/>
        </w:rPr>
        <w:t>that is necessary to adequately evaluate compliance.</w:t>
      </w:r>
    </w:p>
    <w:p w:rsidR="00A233E0" w:rsidRPr="00E3122D" w:rsidP="00CC4667" w14:paraId="27596CC0" w14:textId="77777777">
      <w:pPr>
        <w:pStyle w:val="ListParagraph"/>
        <w:numPr>
          <w:ilvl w:val="0"/>
          <w:numId w:val="25"/>
        </w:numPr>
        <w:spacing w:before="240" w:after="0"/>
        <w:rPr>
          <w:rFonts w:cstheme="minorHAnsi"/>
          <w:b/>
          <w:bCs/>
        </w:rPr>
      </w:pPr>
      <w:bookmarkStart w:id="8" w:name="_Toc156593374"/>
      <w:r w:rsidRPr="00E3122D">
        <w:rPr>
          <w:rFonts w:cstheme="minorHAnsi"/>
          <w:b/>
          <w:bCs/>
        </w:rPr>
        <w:t>GENERAL GUIDELINES</w:t>
      </w:r>
      <w:bookmarkEnd w:id="8"/>
    </w:p>
    <w:p w:rsidR="00111663" w:rsidRPr="00CC4667" w:rsidP="00CC4667" w14:paraId="775EDF16" w14:textId="217FC25F">
      <w:pPr>
        <w:spacing w:after="100" w:afterAutospacing="1" w:line="240" w:lineRule="auto"/>
        <w:contextualSpacing/>
        <w:rPr>
          <w:rFonts w:ascii="Calibri" w:hAnsi="Calibri" w:cs="Calibri"/>
        </w:rPr>
      </w:pPr>
      <w:r w:rsidRPr="001E010D">
        <w:rPr>
          <w:rFonts w:ascii="Calibri" w:hAnsi="Calibri" w:cs="Calibri"/>
        </w:rPr>
        <w:t xml:space="preserve">This information collection is consistent with </w:t>
      </w:r>
      <w:r w:rsidRPr="00C11C4E">
        <w:rPr>
          <w:rFonts w:ascii="Calibri" w:hAnsi="Calibri" w:cs="Calibri"/>
        </w:rPr>
        <w:t xml:space="preserve">Office of Management and Budget </w:t>
      </w:r>
      <w:r>
        <w:rPr>
          <w:rFonts w:ascii="Calibri" w:hAnsi="Calibri" w:cs="Calibri"/>
        </w:rPr>
        <w:t>(</w:t>
      </w:r>
      <w:r w:rsidRPr="001E010D">
        <w:rPr>
          <w:rFonts w:ascii="Calibri" w:hAnsi="Calibri" w:cs="Calibri"/>
        </w:rPr>
        <w:t>OMB</w:t>
      </w:r>
      <w:r>
        <w:rPr>
          <w:rFonts w:ascii="Calibri" w:hAnsi="Calibri" w:cs="Calibri"/>
        </w:rPr>
        <w:t>)</w:t>
      </w:r>
      <w:r w:rsidRPr="001E010D">
        <w:rPr>
          <w:rFonts w:ascii="Calibri" w:hAnsi="Calibri" w:cs="Calibri"/>
        </w:rPr>
        <w:t xml:space="preserve"> guidelines contained in 5 CFR 1320.5(d)(2). Requests for supplemental information for the purposes of emergency response or enforcement activities are exempt from the Paperwork Reduction Act requirements.</w:t>
      </w:r>
    </w:p>
    <w:p w:rsidR="006036CD" w:rsidRPr="00E3122D" w:rsidP="00392BDD" w14:paraId="02EE9B8D" w14:textId="77777777">
      <w:pPr>
        <w:pStyle w:val="ListParagraph"/>
        <w:numPr>
          <w:ilvl w:val="0"/>
          <w:numId w:val="25"/>
        </w:numP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787191" w:rsidP="00854AAE" w14:paraId="077342E7" w14:textId="1E4B5662">
      <w:pPr>
        <w:spacing w:before="120" w:after="0"/>
        <w:rPr>
          <w:rFonts w:ascii="Calibri" w:hAnsi="Calibri" w:cs="Calibri"/>
        </w:rPr>
      </w:pPr>
      <w:r w:rsidRPr="00A35A6E">
        <w:rPr>
          <w:rFonts w:ascii="Calibri" w:hAnsi="Calibri" w:cs="Calibri"/>
        </w:rPr>
        <w:t xml:space="preserve">In compliance with the Paperwork Reduction Act, EPA </w:t>
      </w:r>
      <w:r w:rsidR="004B1F30">
        <w:rPr>
          <w:rFonts w:ascii="Calibri" w:hAnsi="Calibri" w:cs="Calibri"/>
        </w:rPr>
        <w:t>is soliciting</w:t>
      </w:r>
      <w:r w:rsidRPr="00A35A6E">
        <w:rPr>
          <w:rFonts w:ascii="Calibri" w:hAnsi="Calibri" w:cs="Calibri"/>
        </w:rPr>
        <w:t xml:space="preserve"> public comments on this ICR through a notice in the Federal Register.</w:t>
      </w:r>
      <w:r w:rsidR="005E2429">
        <w:rPr>
          <w:rFonts w:ascii="Calibri" w:hAnsi="Calibri" w:cs="Calibri"/>
        </w:rPr>
        <w:t xml:space="preserve"> No substantive comments were received. </w:t>
      </w:r>
    </w:p>
    <w:p w:rsidR="00DB7775" w:rsidRPr="00E3122D" w:rsidP="00854AAE" w14:paraId="71A9B3CC" w14:textId="2715B952">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CC4667" w:rsidP="00CC4667" w14:paraId="6F74E543" w14:textId="7875F0DC">
      <w:pPr>
        <w:spacing w:after="100" w:afterAutospacing="1" w:line="240" w:lineRule="auto"/>
        <w:contextualSpacing/>
        <w:rPr>
          <w:rFonts w:ascii="Calibri" w:hAnsi="Calibri" w:cs="Calibri"/>
        </w:rPr>
      </w:pPr>
      <w:r>
        <w:t xml:space="preserve">Changes included as part of the 2022 CGP reflect the significant amount of outreach EPA conducted with groups representing the construction industry, environmental interests, and state permitting authorities. As an initial step in the development of the proposed permit, EPA met multiple times with these outside stakeholders to help identify areas of the 2017 CGP that, in the view of these groups, require further clarification or modification to more effectively achieve the pollutant reduction objectives of the permit. The feedback obtained from these meetings directly informed the types of clarifications and other changes EPA </w:t>
      </w:r>
      <w:r w:rsidR="00937CC7">
        <w:t>included in the final 2022 CGP</w:t>
      </w:r>
      <w:r>
        <w:t xml:space="preserve">. EPA also consulted with tribal officials between August 13 and October 27, 2020, to gain an understanding of and, where necessary, to address the tribal implications of the proposed permit. </w:t>
      </w:r>
      <w:r w:rsidRPr="17EF4160">
        <w:rPr>
          <w:rFonts w:ascii="Calibri" w:hAnsi="Calibri" w:cs="Calibri"/>
        </w:rPr>
        <w:t>EPA engaged with stakeholders after the proposal of the permit and before permit finalization by holding two informational webcasts on June 17 and June 24, 2021. In addition, EPA received public comments via a public notice process. Public commenters expressed concern that EPA underestimated the burden to take and submit photographs for the NOT. In response, EPA increased the estimated burden for submitting NOT documentation. In addition, commenters expressed concern that the burden of turbidity benchmark monitoring was not included in the Proposed 2022 CGP ICR. EPA did not include this burden item in the Proposed 2022 CGP ICR because the Agency had not yet decided whether to include a turbidity monitoring requirement in the permit, or, if so, which type of monitoring approach to use, choosing instead to seek public comment on these issues as part of its decision-making process. Now that EPA has finalized the turbidity monitoring requirement, EPA added burden for turbidity benchmark monitoring in this Final 2022 CGP ICR.</w:t>
      </w:r>
    </w:p>
    <w:p w:rsidR="00223F03" w:rsidP="00CC4667" w14:paraId="049938B3" w14:textId="77777777">
      <w:pPr>
        <w:spacing w:after="100" w:afterAutospacing="1" w:line="240" w:lineRule="auto"/>
        <w:contextualSpacing/>
        <w:rPr>
          <w:rFonts w:ascii="Calibri" w:hAnsi="Calibri" w:cs="Calibri"/>
        </w:rPr>
      </w:pPr>
    </w:p>
    <w:p w:rsidR="00223F03" w:rsidRPr="0022278D" w:rsidP="00CC4667" w14:paraId="56F10476" w14:textId="36C2763B">
      <w:pPr>
        <w:spacing w:after="100" w:afterAutospacing="1" w:line="240" w:lineRule="auto"/>
        <w:contextualSpacing/>
        <w:rPr>
          <w:shd w:val="clear" w:color="auto" w:fill="FFFFFF"/>
        </w:rPr>
      </w:pPr>
      <w:r>
        <w:rPr>
          <w:rFonts w:ascii="Calibri" w:hAnsi="Calibri" w:cs="Calibri"/>
        </w:rPr>
        <w:t xml:space="preserve">During the development of this ICR renewal, EPA met with many of the same </w:t>
      </w:r>
      <w:r w:rsidR="0011198A">
        <w:rPr>
          <w:rFonts w:ascii="Calibri" w:hAnsi="Calibri" w:cs="Calibri"/>
        </w:rPr>
        <w:t xml:space="preserve">groups </w:t>
      </w:r>
      <w:r w:rsidR="008E7885">
        <w:rPr>
          <w:rFonts w:ascii="Calibri" w:hAnsi="Calibri" w:cs="Calibri"/>
        </w:rPr>
        <w:t xml:space="preserve">to gauge whether they had any issues or concerns with </w:t>
      </w:r>
      <w:r w:rsidR="009E4599">
        <w:rPr>
          <w:rFonts w:ascii="Calibri" w:hAnsi="Calibri" w:cs="Calibri"/>
        </w:rPr>
        <w:t xml:space="preserve">the agency’s </w:t>
      </w:r>
      <w:r w:rsidR="00C70535">
        <w:rPr>
          <w:rFonts w:ascii="Calibri" w:hAnsi="Calibri" w:cs="Calibri"/>
        </w:rPr>
        <w:t>renewal of th</w:t>
      </w:r>
      <w:r w:rsidR="00F91A63">
        <w:rPr>
          <w:rFonts w:ascii="Calibri" w:hAnsi="Calibri" w:cs="Calibri"/>
        </w:rPr>
        <w:t xml:space="preserve">e 2022 CGP ICR. </w:t>
      </w:r>
      <w:r w:rsidR="00547676">
        <w:rPr>
          <w:rFonts w:ascii="Calibri" w:hAnsi="Calibri" w:cs="Calibri"/>
        </w:rPr>
        <w:t xml:space="preserve">These groups </w:t>
      </w:r>
      <w:r w:rsidR="009D2677">
        <w:rPr>
          <w:rFonts w:ascii="Calibri" w:hAnsi="Calibri" w:cs="Calibri"/>
        </w:rPr>
        <w:t>understood</w:t>
      </w:r>
      <w:r w:rsidR="00547676">
        <w:rPr>
          <w:rFonts w:ascii="Calibri" w:hAnsi="Calibri" w:cs="Calibri"/>
        </w:rPr>
        <w:t xml:space="preserve"> the </w:t>
      </w:r>
      <w:r w:rsidR="009D2677">
        <w:rPr>
          <w:rFonts w:ascii="Calibri" w:hAnsi="Calibri" w:cs="Calibri"/>
        </w:rPr>
        <w:t xml:space="preserve">need for the </w:t>
      </w:r>
      <w:r w:rsidR="00547676">
        <w:rPr>
          <w:rFonts w:ascii="Calibri" w:hAnsi="Calibri" w:cs="Calibri"/>
        </w:rPr>
        <w:t xml:space="preserve">renewal </w:t>
      </w:r>
      <w:r w:rsidR="009D2677">
        <w:rPr>
          <w:rFonts w:ascii="Calibri" w:hAnsi="Calibri" w:cs="Calibri"/>
        </w:rPr>
        <w:t>and did not express any immediate</w:t>
      </w:r>
      <w:r w:rsidR="00242B11">
        <w:rPr>
          <w:rFonts w:ascii="Calibri" w:hAnsi="Calibri" w:cs="Calibri"/>
        </w:rPr>
        <w:t xml:space="preserve"> concerns. EPA also explained that the proposed renewal would be published in the Federal Register</w:t>
      </w:r>
      <w:r w:rsidR="003A5037">
        <w:rPr>
          <w:rFonts w:ascii="Calibri" w:hAnsi="Calibri" w:cs="Calibri"/>
        </w:rPr>
        <w:t xml:space="preserve"> and that </w:t>
      </w:r>
      <w:r w:rsidR="00177786">
        <w:rPr>
          <w:rFonts w:ascii="Calibri" w:hAnsi="Calibri" w:cs="Calibri"/>
        </w:rPr>
        <w:t xml:space="preserve">they were welcome to </w:t>
      </w:r>
      <w:r w:rsidR="003A5037">
        <w:rPr>
          <w:rFonts w:ascii="Calibri" w:hAnsi="Calibri" w:cs="Calibri"/>
        </w:rPr>
        <w:t xml:space="preserve">submit </w:t>
      </w:r>
      <w:r w:rsidR="00276F95">
        <w:rPr>
          <w:rFonts w:ascii="Calibri" w:hAnsi="Calibri" w:cs="Calibri"/>
        </w:rPr>
        <w:t>any comments during the 60-day public comment period</w:t>
      </w:r>
      <w:r w:rsidR="003A5037">
        <w:rPr>
          <w:rFonts w:ascii="Calibri" w:hAnsi="Calibri" w:cs="Calibri"/>
        </w:rPr>
        <w:t xml:space="preserve">. </w:t>
      </w:r>
    </w:p>
    <w:p w:rsidR="00A233E0" w:rsidRPr="00E3122D" w:rsidP="00CC4667" w14:paraId="191560B2" w14:textId="77777777">
      <w:pPr>
        <w:pStyle w:val="ListParagraph"/>
        <w:numPr>
          <w:ilvl w:val="0"/>
          <w:numId w:val="25"/>
        </w:numPr>
        <w:spacing w:before="240" w:after="0"/>
        <w:rPr>
          <w:rFonts w:cstheme="minorHAnsi"/>
          <w:b/>
          <w:bCs/>
        </w:rPr>
      </w:pPr>
      <w:bookmarkStart w:id="12" w:name="_Toc156593378"/>
      <w:r w:rsidRPr="00E3122D">
        <w:rPr>
          <w:rFonts w:cstheme="minorHAnsi"/>
          <w:b/>
          <w:bCs/>
        </w:rPr>
        <w:t>PAYMENTS OR GIFTS TO RESPONDENTS</w:t>
      </w:r>
      <w:bookmarkEnd w:id="12"/>
    </w:p>
    <w:p w:rsidR="00ED57A4" w:rsidRPr="009136C6" w:rsidP="707669C1" w14:paraId="0D75D3D3" w14:textId="2B7227E4">
      <w:pPr>
        <w:spacing w:before="60"/>
      </w:pPr>
      <w:r w:rsidRPr="707669C1">
        <w:t>The Agency does not intend to provide payments or gifts to respondents as part of this collection.</w:t>
      </w:r>
    </w:p>
    <w:p w:rsidR="4C04BBF2" w:rsidP="00CC4667" w14:paraId="333FE36D" w14:textId="45DEA41F">
      <w:pPr>
        <w:pStyle w:val="ListParagraph"/>
        <w:numPr>
          <w:ilvl w:val="0"/>
          <w:numId w:val="25"/>
        </w:numPr>
        <w:spacing w:before="240" w:after="0"/>
        <w:rPr>
          <w:b/>
          <w:bCs/>
        </w:rPr>
      </w:pPr>
      <w:r w:rsidRPr="4BDBF0A0">
        <w:rPr>
          <w:b/>
          <w:bCs/>
        </w:rPr>
        <w:t>ASSURANCE OF CONFIDENTIALITY</w:t>
      </w:r>
    </w:p>
    <w:p w:rsidR="009F1E00" w:rsidRPr="00CC4667" w:rsidP="00CC4667" w14:paraId="3676EBC5" w14:textId="36BFCC9A">
      <w:pPr>
        <w:spacing w:after="0" w:line="240" w:lineRule="auto"/>
        <w:contextualSpacing/>
        <w:rPr>
          <w:rFonts w:ascii="Calibri" w:hAnsi="Calibri" w:cs="Calibri"/>
        </w:rPr>
      </w:pPr>
      <w:bookmarkStart w:id="13" w:name="_Hlk64624844"/>
      <w:r w:rsidRPr="001E010D">
        <w:rPr>
          <w:rFonts w:ascii="Calibri" w:hAnsi="Calibri" w:cs="Calibri"/>
        </w:rPr>
        <w:t xml:space="preserve">Respondent reports </w:t>
      </w:r>
      <w:r>
        <w:rPr>
          <w:rFonts w:ascii="Calibri" w:hAnsi="Calibri" w:cs="Calibri"/>
        </w:rPr>
        <w:t>may</w:t>
      </w:r>
      <w:r w:rsidRPr="001E010D">
        <w:rPr>
          <w:rFonts w:ascii="Calibri" w:hAnsi="Calibri" w:cs="Calibri"/>
        </w:rPr>
        <w:t xml:space="preserve"> contain confidential business information</w:t>
      </w:r>
      <w:r>
        <w:rPr>
          <w:rFonts w:ascii="Calibri" w:hAnsi="Calibri" w:cs="Calibri"/>
        </w:rPr>
        <w:t xml:space="preserve"> (CBI)</w:t>
      </w:r>
      <w:r w:rsidRPr="001E010D">
        <w:rPr>
          <w:rFonts w:ascii="Calibri" w:hAnsi="Calibri" w:cs="Calibri"/>
        </w:rPr>
        <w:t xml:space="preserve">. If this is the case, the respondent may request that such information </w:t>
      </w:r>
      <w:r>
        <w:rPr>
          <w:rFonts w:ascii="Calibri" w:hAnsi="Calibri" w:cs="Calibri"/>
        </w:rPr>
        <w:t>receive confidential treatment</w:t>
      </w:r>
      <w:r w:rsidRPr="001E010D">
        <w:rPr>
          <w:rFonts w:ascii="Calibri" w:hAnsi="Calibri" w:cs="Calibri"/>
        </w:rPr>
        <w:t xml:space="preserve">. All </w:t>
      </w:r>
      <w:r>
        <w:rPr>
          <w:rFonts w:ascii="Calibri" w:hAnsi="Calibri" w:cs="Calibri"/>
        </w:rPr>
        <w:t>information claimed as CBI</w:t>
      </w:r>
      <w:r w:rsidRPr="001E010D">
        <w:rPr>
          <w:rFonts w:ascii="Calibri" w:hAnsi="Calibri" w:cs="Calibri"/>
        </w:rPr>
        <w:t xml:space="preserve"> will be handled in accordance with 40 CFR 122.7, 40 CFR Part 2, and</w:t>
      </w:r>
      <w:r>
        <w:rPr>
          <w:rFonts w:ascii="Calibri" w:hAnsi="Calibri" w:cs="Calibri"/>
        </w:rPr>
        <w:t xml:space="preserve"> other relevant laws or EPA policies or procedures</w:t>
      </w:r>
      <w:r w:rsidRPr="001E010D">
        <w:rPr>
          <w:rFonts w:ascii="Calibri" w:hAnsi="Calibri" w:cs="Calibri"/>
        </w:rPr>
        <w:t xml:space="preserve">. Any </w:t>
      </w:r>
      <w:r>
        <w:rPr>
          <w:rFonts w:ascii="Calibri" w:hAnsi="Calibri" w:cs="Calibri"/>
        </w:rPr>
        <w:t>CBI claim</w:t>
      </w:r>
      <w:r w:rsidRPr="001E010D">
        <w:rPr>
          <w:rFonts w:ascii="Calibri" w:hAnsi="Calibri" w:cs="Calibri"/>
        </w:rPr>
        <w:t xml:space="preserve"> must be asserted at the time of submission. However, CWA section 308(b) specifically states that effluent data may not be treated as confidential.</w:t>
      </w:r>
      <w:bookmarkEnd w:id="13"/>
    </w:p>
    <w:p w:rsidR="00A233E0" w:rsidRPr="00E3122D" w:rsidP="00CC4667" w14:paraId="36FBAEFB" w14:textId="77777777">
      <w:pPr>
        <w:pStyle w:val="ListParagraph"/>
        <w:numPr>
          <w:ilvl w:val="0"/>
          <w:numId w:val="25"/>
        </w:numPr>
        <w:spacing w:before="240" w:after="0"/>
        <w:rPr>
          <w:rFonts w:cstheme="minorHAnsi"/>
          <w:b/>
          <w:bCs/>
        </w:rPr>
      </w:pPr>
      <w:bookmarkStart w:id="14" w:name="_Toc156593380"/>
      <w:r w:rsidRPr="4BDBF0A0">
        <w:rPr>
          <w:b/>
          <w:bCs/>
        </w:rPr>
        <w:t>JUSTIFICATION FOR SENSITIVE QUESTIONS</w:t>
      </w:r>
      <w:bookmarkEnd w:id="14"/>
    </w:p>
    <w:p w:rsidR="009F1E00" w:rsidRPr="00CC4667" w:rsidP="00CC4667" w14:paraId="77467D05" w14:textId="27F77078">
      <w:pPr>
        <w:spacing w:after="100" w:afterAutospacing="1" w:line="240" w:lineRule="auto"/>
        <w:contextualSpacing/>
        <w:rPr>
          <w:rFonts w:ascii="Calibri" w:hAnsi="Calibri" w:cs="Calibri"/>
          <w:b/>
        </w:rPr>
      </w:pPr>
      <w:r w:rsidRPr="001E010D">
        <w:rPr>
          <w:rFonts w:ascii="Calibri" w:hAnsi="Calibri" w:cs="Calibri"/>
        </w:rPr>
        <w:t>Sensitive questions are defined in EPA’s ICR Handbook, Guide to Writing Information Collection Requests Under the Paperwork Reduction Act of 1995 as “questions concerning sexual behavior or attitudes, religious beliefs, or other matters usually considered private.” The requirements addressed in this ICR do not include sensitive questions.</w:t>
      </w:r>
    </w:p>
    <w:p w:rsidR="001172FE" w:rsidRPr="00DA14B8" w:rsidP="00854AAE" w14:paraId="637A8E82" w14:textId="77777777">
      <w:pPr>
        <w:pStyle w:val="ListParagraph"/>
        <w:numPr>
          <w:ilvl w:val="0"/>
          <w:numId w:val="25"/>
        </w:numPr>
        <w:spacing w:before="240" w:after="0"/>
        <w:rPr>
          <w:rFonts w:cstheme="minorHAnsi"/>
          <w:b/>
          <w:bCs/>
        </w:rPr>
      </w:pPr>
      <w:bookmarkStart w:id="15" w:name="_Toc156593381"/>
      <w:r w:rsidRPr="4BDBF0A0">
        <w:rPr>
          <w:b/>
          <w:bCs/>
        </w:rPr>
        <w:t>RESPONDENT BURDEN HOURS</w:t>
      </w:r>
      <w:r w:rsidRPr="4BDBF0A0" w:rsidR="00DB799B">
        <w:rPr>
          <w:b/>
          <w:bCs/>
        </w:rPr>
        <w:t xml:space="preserve"> &amp; LABOR COSTS</w:t>
      </w:r>
      <w:bookmarkStart w:id="16" w:name="_Toc156593382"/>
      <w:bookmarkEnd w:id="15"/>
    </w:p>
    <w:p w:rsidR="00DA14B8" w:rsidRPr="00DA14B8" w:rsidP="00DA14B8" w14:paraId="25093C92" w14:textId="182F08A2">
      <w:pPr>
        <w:spacing w:before="240" w:after="0"/>
        <w:rPr>
          <w:rFonts w:cstheme="minorHAnsi"/>
        </w:rPr>
      </w:pPr>
      <w:r w:rsidRPr="00DA14B8">
        <w:rPr>
          <w:rFonts w:cstheme="minorHAnsi"/>
        </w:rPr>
        <w:t xml:space="preserve">This section provides estimates of the hour burden of the collection of information for changes associated with the </w:t>
      </w:r>
      <w:r>
        <w:rPr>
          <w:rFonts w:cstheme="minorHAnsi"/>
        </w:rPr>
        <w:t>2022</w:t>
      </w:r>
      <w:r w:rsidRPr="00DA14B8">
        <w:rPr>
          <w:rFonts w:cstheme="minorHAnsi"/>
        </w:rPr>
        <w:t xml:space="preserve"> CGP. </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7" w:name="_Toc156593383"/>
      <w:bookmarkEnd w:id="16"/>
    </w:p>
    <w:p w:rsidR="009136C6" w:rsidRPr="0022278D" w:rsidP="009136C6" w14:paraId="73371A05" w14:textId="5176B887">
      <w:pPr>
        <w:numPr>
          <w:ilvl w:val="12"/>
          <w:numId w:val="0"/>
        </w:numPr>
        <w:spacing w:after="100" w:afterAutospacing="1" w:line="240" w:lineRule="auto"/>
        <w:contextualSpacing/>
        <w:rPr>
          <w:rFonts w:ascii="Calibri" w:hAnsi="Calibri" w:cs="Calibri"/>
        </w:rPr>
      </w:pPr>
      <w:r w:rsidRPr="17EF4160">
        <w:rPr>
          <w:rFonts w:ascii="Calibri" w:hAnsi="Calibri" w:cs="Calibri"/>
        </w:rPr>
        <w:t>Coverage under the 2022 CGP is available to “operators” of construction activities in areas where EPA is the permitting authority and where the general permit is available for use. A list of eligible areas is included in Appendix B of the 2022 CGP. The majority of construction activities will be carried out by builders, local developers, and contractors. Relevant Standard Industrial Classification (SIC) codes include the following: 1531, 1541, 1542, 1611, 1622, 1623, and 1629.</w:t>
      </w:r>
    </w:p>
    <w:p w:rsidR="009136C6" w:rsidRPr="001E010D" w:rsidP="009136C6" w14:paraId="23EE31A5" w14:textId="77777777">
      <w:pPr>
        <w:numPr>
          <w:ilvl w:val="12"/>
          <w:numId w:val="0"/>
        </w:numPr>
        <w:spacing w:after="100" w:afterAutospacing="1" w:line="240" w:lineRule="auto"/>
        <w:contextualSpacing/>
        <w:rPr>
          <w:rFonts w:ascii="Calibri" w:hAnsi="Calibri" w:cs="Calibri"/>
        </w:rPr>
      </w:pPr>
      <w:r w:rsidRPr="001E010D">
        <w:rPr>
          <w:rFonts w:ascii="Calibri" w:hAnsi="Calibri" w:cs="Calibri"/>
        </w:rPr>
        <w:t xml:space="preserve"> </w:t>
      </w:r>
    </w:p>
    <w:p w:rsidR="009136C6" w:rsidP="641D45CE" w14:paraId="03F35C4A" w14:textId="56F03B2E">
      <w:pPr>
        <w:spacing w:after="100" w:afterAutospacing="1" w:line="252" w:lineRule="auto"/>
        <w:contextualSpacing/>
        <w:rPr>
          <w:rFonts w:eastAsia="Times New Roman"/>
        </w:rPr>
      </w:pPr>
      <w:r w:rsidRPr="641D45CE">
        <w:rPr>
          <w:rFonts w:ascii="Calibri" w:hAnsi="Calibri" w:cs="Calibri"/>
        </w:rPr>
        <w:t xml:space="preserve">This ICR has been updated with </w:t>
      </w:r>
      <w:r w:rsidRPr="641D45CE" w:rsidR="001E7305">
        <w:rPr>
          <w:rFonts w:ascii="Calibri" w:hAnsi="Calibri" w:cs="Calibri"/>
        </w:rPr>
        <w:t xml:space="preserve">years one and two of </w:t>
      </w:r>
      <w:r w:rsidRPr="641D45CE">
        <w:rPr>
          <w:rFonts w:ascii="Calibri" w:hAnsi="Calibri" w:cs="Calibri"/>
        </w:rPr>
        <w:t xml:space="preserve">the </w:t>
      </w:r>
      <w:r w:rsidRPr="641D45CE" w:rsidR="001E7305">
        <w:rPr>
          <w:rFonts w:ascii="Calibri" w:hAnsi="Calibri" w:cs="Calibri"/>
        </w:rPr>
        <w:t>2022</w:t>
      </w:r>
      <w:r w:rsidRPr="641D45CE">
        <w:rPr>
          <w:rFonts w:ascii="Calibri" w:hAnsi="Calibri" w:cs="Calibri"/>
        </w:rPr>
        <w:t xml:space="preserve"> </w:t>
      </w:r>
      <w:r w:rsidRPr="641D45CE">
        <w:rPr>
          <w:rFonts w:ascii="Calibri" w:hAnsi="Calibri" w:cs="Calibri"/>
        </w:rPr>
        <w:t>CGP NOI data</w:t>
      </w:r>
      <w:r w:rsidR="00C41780">
        <w:rPr>
          <w:rFonts w:ascii="Calibri" w:hAnsi="Calibri" w:cs="Calibri"/>
        </w:rPr>
        <w:t>.</w:t>
      </w:r>
      <w:r w:rsidR="00C104C6">
        <w:rPr>
          <w:rFonts w:ascii="Calibri" w:hAnsi="Calibri" w:cs="Calibri"/>
        </w:rPr>
        <w:t xml:space="preserve"> An analysis of NOI data in EPA’s NeT system shows </w:t>
      </w:r>
      <w:r w:rsidRPr="641D45CE">
        <w:rPr>
          <w:rFonts w:ascii="Calibri" w:hAnsi="Calibri" w:cs="Calibri"/>
        </w:rPr>
        <w:t xml:space="preserve">that approximately </w:t>
      </w:r>
      <w:r w:rsidRPr="641D45CE" w:rsidR="001E7305">
        <w:rPr>
          <w:rFonts w:ascii="Calibri" w:hAnsi="Calibri" w:cs="Calibri"/>
        </w:rPr>
        <w:t xml:space="preserve">3,880 eligible </w:t>
      </w:r>
      <w:r w:rsidRPr="641D45CE">
        <w:rPr>
          <w:rFonts w:ascii="Calibri" w:hAnsi="Calibri" w:cs="Calibri"/>
        </w:rPr>
        <w:t xml:space="preserve">operators were covered </w:t>
      </w:r>
      <w:r w:rsidRPr="641D45CE" w:rsidR="001E7305">
        <w:rPr>
          <w:rFonts w:ascii="Calibri" w:hAnsi="Calibri" w:cs="Calibri"/>
        </w:rPr>
        <w:t xml:space="preserve">in year 1, and 3,382 eligible operators were covered in year 2. This </w:t>
      </w:r>
      <w:r w:rsidRPr="641D45CE" w:rsidR="6C9023DA">
        <w:rPr>
          <w:rFonts w:ascii="Calibri" w:hAnsi="Calibri" w:cs="Calibri"/>
        </w:rPr>
        <w:t>two-year</w:t>
      </w:r>
      <w:r w:rsidRPr="641D45CE" w:rsidR="001E7305">
        <w:rPr>
          <w:rFonts w:ascii="Calibri" w:hAnsi="Calibri" w:cs="Calibri"/>
        </w:rPr>
        <w:t xml:space="preserve"> range starts </w:t>
      </w:r>
      <w:r w:rsidRPr="641D45CE" w:rsidR="0F6E66E5">
        <w:rPr>
          <w:rFonts w:ascii="Calibri" w:hAnsi="Calibri" w:cs="Calibri"/>
        </w:rPr>
        <w:t>on</w:t>
      </w:r>
      <w:r w:rsidRPr="641D45CE">
        <w:rPr>
          <w:rFonts w:ascii="Calibri" w:hAnsi="Calibri" w:cs="Calibri"/>
        </w:rPr>
        <w:t xml:space="preserve"> </w:t>
      </w:r>
      <w:r w:rsidRPr="641D45CE" w:rsidR="001E7305">
        <w:rPr>
          <w:rFonts w:ascii="Calibri" w:hAnsi="Calibri" w:cs="Calibri"/>
        </w:rPr>
        <w:t xml:space="preserve">February </w:t>
      </w:r>
      <w:r w:rsidRPr="641D45CE">
        <w:rPr>
          <w:rFonts w:ascii="Calibri" w:hAnsi="Calibri" w:cs="Calibri"/>
        </w:rPr>
        <w:t>1</w:t>
      </w:r>
      <w:r w:rsidRPr="641D45CE" w:rsidR="001E7305">
        <w:rPr>
          <w:rFonts w:ascii="Calibri" w:hAnsi="Calibri" w:cs="Calibri"/>
        </w:rPr>
        <w:t>7</w:t>
      </w:r>
      <w:r w:rsidRPr="641D45CE">
        <w:rPr>
          <w:rFonts w:ascii="Calibri" w:hAnsi="Calibri" w:cs="Calibri"/>
        </w:rPr>
        <w:t xml:space="preserve">, </w:t>
      </w:r>
      <w:r w:rsidRPr="641D45CE">
        <w:rPr>
          <w:rFonts w:ascii="Calibri" w:hAnsi="Calibri" w:cs="Calibri"/>
        </w:rPr>
        <w:t>202</w:t>
      </w:r>
      <w:r w:rsidRPr="641D45CE" w:rsidR="00200B93">
        <w:rPr>
          <w:rFonts w:ascii="Calibri" w:hAnsi="Calibri" w:cs="Calibri"/>
        </w:rPr>
        <w:t>2</w:t>
      </w:r>
      <w:r w:rsidRPr="641D45CE" w:rsidR="001E7305">
        <w:rPr>
          <w:rFonts w:ascii="Calibri" w:hAnsi="Calibri" w:cs="Calibri"/>
        </w:rPr>
        <w:t xml:space="preserve"> and ends </w:t>
      </w:r>
      <w:r w:rsidRPr="641D45CE" w:rsidR="000E5723">
        <w:rPr>
          <w:rFonts w:ascii="Calibri" w:hAnsi="Calibri" w:cs="Calibri"/>
        </w:rPr>
        <w:t>o</w:t>
      </w:r>
      <w:r w:rsidRPr="641D45CE" w:rsidR="001E7305">
        <w:rPr>
          <w:rFonts w:ascii="Calibri" w:hAnsi="Calibri" w:cs="Calibri"/>
        </w:rPr>
        <w:t>n</w:t>
      </w:r>
      <w:r w:rsidRPr="641D45CE">
        <w:rPr>
          <w:rFonts w:ascii="Calibri" w:hAnsi="Calibri" w:cs="Calibri"/>
        </w:rPr>
        <w:t xml:space="preserve"> </w:t>
      </w:r>
      <w:r w:rsidRPr="641D45CE" w:rsidR="001E7305">
        <w:rPr>
          <w:rFonts w:ascii="Calibri" w:hAnsi="Calibri" w:cs="Calibri"/>
        </w:rPr>
        <w:t xml:space="preserve">February </w:t>
      </w:r>
      <w:r w:rsidRPr="641D45CE">
        <w:rPr>
          <w:rFonts w:ascii="Calibri" w:hAnsi="Calibri" w:cs="Calibri"/>
        </w:rPr>
        <w:t>1</w:t>
      </w:r>
      <w:r w:rsidRPr="641D45CE" w:rsidR="001E7305">
        <w:rPr>
          <w:rFonts w:ascii="Calibri" w:hAnsi="Calibri" w:cs="Calibri"/>
        </w:rPr>
        <w:t>6</w:t>
      </w:r>
      <w:r w:rsidRPr="641D45CE">
        <w:rPr>
          <w:rFonts w:ascii="Calibri" w:hAnsi="Calibri" w:cs="Calibri"/>
        </w:rPr>
        <w:t xml:space="preserve">, </w:t>
      </w:r>
      <w:r w:rsidRPr="641D45CE">
        <w:rPr>
          <w:rFonts w:ascii="Calibri" w:hAnsi="Calibri" w:cs="Calibri"/>
        </w:rPr>
        <w:t>2023</w:t>
      </w:r>
      <w:r w:rsidRPr="641D45CE" w:rsidR="001E7305">
        <w:rPr>
          <w:rFonts w:ascii="Calibri" w:hAnsi="Calibri" w:cs="Calibri"/>
        </w:rPr>
        <w:t xml:space="preserve">. </w:t>
      </w:r>
      <w:r w:rsidRPr="641D45CE">
        <w:rPr>
          <w:rFonts w:ascii="Calibri" w:hAnsi="Calibri" w:cs="Calibri"/>
        </w:rPr>
        <w:t xml:space="preserve">EPA </w:t>
      </w:r>
      <w:r w:rsidRPr="641D45CE" w:rsidR="001E7305">
        <w:rPr>
          <w:rFonts w:ascii="Calibri" w:hAnsi="Calibri" w:cs="Calibri"/>
        </w:rPr>
        <w:t xml:space="preserve">averaged these two numbers together to </w:t>
      </w:r>
      <w:r w:rsidRPr="641D45CE">
        <w:rPr>
          <w:rFonts w:ascii="Calibri" w:hAnsi="Calibri" w:cs="Calibri"/>
        </w:rPr>
        <w:t xml:space="preserve">estimate that </w:t>
      </w:r>
      <w:r w:rsidRPr="641D45CE">
        <w:rPr>
          <w:rFonts w:eastAsia="Times New Roman"/>
        </w:rPr>
        <w:t xml:space="preserve">approximately </w:t>
      </w:r>
      <w:r w:rsidRPr="641D45CE" w:rsidR="001E7305">
        <w:rPr>
          <w:rFonts w:eastAsia="Times New Roman"/>
        </w:rPr>
        <w:t>3,631</w:t>
      </w:r>
      <w:r w:rsidRPr="641D45CE">
        <w:rPr>
          <w:rFonts w:eastAsia="Times New Roman"/>
        </w:rPr>
        <w:t xml:space="preserve"> operators will obtain permit coverage every year for the duration of the three-year ICR period. </w:t>
      </w:r>
    </w:p>
    <w:p w:rsidR="009136C6" w:rsidP="009136C6" w14:paraId="2A283217" w14:textId="77777777">
      <w:pPr>
        <w:numPr>
          <w:ilvl w:val="12"/>
          <w:numId w:val="0"/>
        </w:numPr>
        <w:spacing w:after="100" w:afterAutospacing="1" w:line="252" w:lineRule="auto"/>
        <w:contextualSpacing/>
        <w:rPr>
          <w:rFonts w:eastAsia="Times New Roman"/>
        </w:rPr>
      </w:pPr>
    </w:p>
    <w:p w:rsidR="009136C6" w:rsidP="009136C6" w14:paraId="63166077" w14:textId="16E99DB1">
      <w:pPr>
        <w:numPr>
          <w:ilvl w:val="12"/>
          <w:numId w:val="0"/>
        </w:numPr>
        <w:spacing w:after="100" w:afterAutospacing="1" w:line="252" w:lineRule="auto"/>
        <w:contextualSpacing/>
        <w:rPr>
          <w:rFonts w:eastAsia="Times New Roman"/>
        </w:rPr>
      </w:pPr>
      <w:r w:rsidRPr="17EF4160">
        <w:rPr>
          <w:rFonts w:eastAsia="Times New Roman"/>
        </w:rPr>
        <w:t xml:space="preserve">Based on analysis of </w:t>
      </w:r>
      <w:r w:rsidR="00C77E5D">
        <w:rPr>
          <w:rFonts w:eastAsia="Times New Roman"/>
        </w:rPr>
        <w:t>2022</w:t>
      </w:r>
      <w:r w:rsidRPr="17EF4160" w:rsidR="00C77E5D">
        <w:rPr>
          <w:rFonts w:eastAsia="Times New Roman"/>
        </w:rPr>
        <w:t xml:space="preserve"> </w:t>
      </w:r>
      <w:r w:rsidRPr="17EF4160">
        <w:rPr>
          <w:rFonts w:eastAsia="Times New Roman"/>
        </w:rPr>
        <w:t xml:space="preserve">CGP NOI data between </w:t>
      </w:r>
      <w:r w:rsidR="00C77E5D">
        <w:rPr>
          <w:rFonts w:eastAsia="Times New Roman"/>
        </w:rPr>
        <w:t>2022</w:t>
      </w:r>
      <w:r w:rsidRPr="17EF4160" w:rsidR="00C77E5D">
        <w:rPr>
          <w:rFonts w:eastAsia="Times New Roman"/>
        </w:rPr>
        <w:t xml:space="preserve"> </w:t>
      </w:r>
      <w:r w:rsidRPr="17EF4160">
        <w:rPr>
          <w:rFonts w:eastAsia="Times New Roman"/>
        </w:rPr>
        <w:t xml:space="preserve">and </w:t>
      </w:r>
      <w:r w:rsidR="00C77E5D">
        <w:rPr>
          <w:rFonts w:eastAsia="Times New Roman"/>
        </w:rPr>
        <w:t>2023</w:t>
      </w:r>
      <w:r w:rsidRPr="17EF4160">
        <w:rPr>
          <w:rFonts w:eastAsia="Times New Roman"/>
        </w:rPr>
        <w:t>, EPA makes the following assumptions:</w:t>
      </w:r>
    </w:p>
    <w:p w:rsidR="009136C6" w:rsidP="009136C6" w14:paraId="6C7F9357" w14:textId="6093514E">
      <w:pPr>
        <w:numPr>
          <w:ilvl w:val="0"/>
          <w:numId w:val="32"/>
        </w:numPr>
        <w:spacing w:after="100" w:afterAutospacing="1" w:line="252" w:lineRule="auto"/>
        <w:contextualSpacing/>
        <w:rPr>
          <w:rFonts w:eastAsia="Times New Roman"/>
        </w:rPr>
      </w:pPr>
      <w:r>
        <w:rPr>
          <w:rFonts w:eastAsia="Times New Roman"/>
        </w:rPr>
        <w:t xml:space="preserve">EPA </w:t>
      </w:r>
      <w:r w:rsidRPr="009620ED">
        <w:rPr>
          <w:rFonts w:eastAsia="Times New Roman"/>
        </w:rPr>
        <w:t xml:space="preserve">estimates </w:t>
      </w:r>
      <w:r>
        <w:rPr>
          <w:rFonts w:eastAsia="Times New Roman"/>
        </w:rPr>
        <w:t xml:space="preserve">that </w:t>
      </w:r>
      <w:r w:rsidRPr="009620ED">
        <w:rPr>
          <w:rFonts w:eastAsia="Times New Roman"/>
        </w:rPr>
        <w:t>5</w:t>
      </w:r>
      <w:r w:rsidR="00902DD8">
        <w:rPr>
          <w:rFonts w:eastAsia="Times New Roman"/>
        </w:rPr>
        <w:t>5</w:t>
      </w:r>
      <w:r w:rsidRPr="009620ED">
        <w:rPr>
          <w:rFonts w:eastAsia="Times New Roman"/>
        </w:rPr>
        <w:t xml:space="preserve">% </w:t>
      </w:r>
      <w:r>
        <w:rPr>
          <w:rFonts w:eastAsia="Times New Roman"/>
        </w:rPr>
        <w:t xml:space="preserve">of respondents </w:t>
      </w:r>
      <w:r w:rsidRPr="009620ED">
        <w:rPr>
          <w:rFonts w:eastAsia="Times New Roman"/>
        </w:rPr>
        <w:t xml:space="preserve">are </w:t>
      </w:r>
      <w:r w:rsidRPr="006B313E">
        <w:t>small sites</w:t>
      </w:r>
      <w:r>
        <w:t xml:space="preserve"> (1-5 acres)</w:t>
      </w:r>
      <w:r w:rsidRPr="006B313E">
        <w:t xml:space="preserve"> and </w:t>
      </w:r>
      <w:r w:rsidRPr="009620ED">
        <w:rPr>
          <w:rFonts w:eastAsia="Times New Roman"/>
        </w:rPr>
        <w:t>4</w:t>
      </w:r>
      <w:r w:rsidR="00902DD8">
        <w:rPr>
          <w:rFonts w:eastAsia="Times New Roman"/>
        </w:rPr>
        <w:t>5</w:t>
      </w:r>
      <w:r w:rsidRPr="009620ED">
        <w:rPr>
          <w:rFonts w:eastAsia="Times New Roman"/>
        </w:rPr>
        <w:t xml:space="preserve">% </w:t>
      </w:r>
      <w:r>
        <w:rPr>
          <w:rFonts w:eastAsia="Times New Roman"/>
        </w:rPr>
        <w:t xml:space="preserve">of respondents are </w:t>
      </w:r>
      <w:r w:rsidRPr="006B313E">
        <w:t>large sites</w:t>
      </w:r>
      <w:r>
        <w:t xml:space="preserve"> (</w:t>
      </w:r>
      <w:r>
        <w:rPr>
          <w:rFonts w:cstheme="minorHAnsi"/>
        </w:rPr>
        <w:t>&gt;</w:t>
      </w:r>
      <w:r>
        <w:t xml:space="preserve"> 5 acres)</w:t>
      </w:r>
      <w:r w:rsidRPr="009620ED">
        <w:rPr>
          <w:rFonts w:eastAsia="Times New Roman"/>
        </w:rPr>
        <w:t xml:space="preserve">. </w:t>
      </w:r>
    </w:p>
    <w:p w:rsidR="009136C6" w:rsidRPr="009620ED" w:rsidP="009136C6" w14:paraId="75444FD6" w14:textId="77777777">
      <w:pPr>
        <w:numPr>
          <w:ilvl w:val="0"/>
          <w:numId w:val="32"/>
        </w:numPr>
        <w:spacing w:after="100" w:afterAutospacing="1" w:line="252" w:lineRule="auto"/>
        <w:contextualSpacing/>
        <w:rPr>
          <w:rFonts w:eastAsia="Times New Roman"/>
        </w:rPr>
      </w:pPr>
      <w:r w:rsidRPr="009620ED">
        <w:rPr>
          <w:rFonts w:ascii="Calibri" w:hAnsi="Calibri" w:cs="Calibri"/>
        </w:rPr>
        <w:t xml:space="preserve">EPA found that the median project duration was 366 days. For the purpose of this ICR, EPA assumes that each permitted construction project is completed within one year and the </w:t>
      </w:r>
      <w:r>
        <w:rPr>
          <w:rFonts w:ascii="Calibri" w:hAnsi="Calibri" w:cs="Calibri"/>
        </w:rPr>
        <w:t xml:space="preserve">number of </w:t>
      </w:r>
      <w:r w:rsidRPr="009620ED">
        <w:rPr>
          <w:rFonts w:ascii="Calibri" w:hAnsi="Calibri" w:cs="Calibri"/>
        </w:rPr>
        <w:t>NOT</w:t>
      </w:r>
      <w:r>
        <w:rPr>
          <w:rFonts w:ascii="Calibri" w:hAnsi="Calibri" w:cs="Calibri"/>
        </w:rPr>
        <w:t>s</w:t>
      </w:r>
      <w:r w:rsidRPr="009620ED">
        <w:rPr>
          <w:rFonts w:ascii="Calibri" w:hAnsi="Calibri" w:cs="Calibri"/>
        </w:rPr>
        <w:t xml:space="preserve"> submitted annually is equal to the number of NOIs submitted annually.</w:t>
      </w:r>
    </w:p>
    <w:p w:rsidR="007937F6" w:rsidRPr="007937F6" w:rsidP="007937F6" w14:paraId="78F707CD" w14:textId="71D886EC">
      <w:pPr>
        <w:numPr>
          <w:ilvl w:val="0"/>
          <w:numId w:val="32"/>
        </w:numPr>
        <w:spacing w:after="100" w:afterAutospacing="1" w:line="252" w:lineRule="auto"/>
        <w:contextualSpacing/>
        <w:rPr>
          <w:rFonts w:eastAsia="Times New Roman"/>
        </w:rPr>
      </w:pPr>
      <w:r w:rsidRPr="17EF4160">
        <w:rPr>
          <w:rFonts w:eastAsia="Times New Roman"/>
        </w:rPr>
        <w:t xml:space="preserve">For the purpose of this ICR, </w:t>
      </w:r>
      <w:r w:rsidR="00E20849">
        <w:rPr>
          <w:rFonts w:eastAsia="Times New Roman"/>
        </w:rPr>
        <w:t xml:space="preserve">based </w:t>
      </w:r>
      <w:r w:rsidR="00402AE7">
        <w:rPr>
          <w:rFonts w:eastAsia="Times New Roman"/>
        </w:rPr>
        <w:t xml:space="preserve">on NOI data from years 1 and 2 of the permit, </w:t>
      </w:r>
      <w:r>
        <w:t xml:space="preserve">EPA assumes there is one operator per site. </w:t>
      </w:r>
    </w:p>
    <w:p w:rsidR="009136C6" w:rsidRPr="00B1060A" w:rsidP="009136C6" w14:paraId="1C47D275" w14:textId="77777777">
      <w:pPr>
        <w:spacing w:after="100" w:afterAutospacing="1" w:line="252" w:lineRule="auto"/>
        <w:contextualSpacing/>
        <w:rPr>
          <w:rFonts w:eastAsia="Times New Roman"/>
        </w:rPr>
      </w:pPr>
    </w:p>
    <w:p w:rsidR="00DA14B8" w:rsidP="009136C6" w14:paraId="414F6216" w14:textId="616A39CF">
      <w:pPr>
        <w:spacing w:after="100" w:afterAutospacing="1" w:line="252" w:lineRule="auto"/>
        <w:contextualSpacing/>
        <w:rPr>
          <w:rFonts w:ascii="Calibri" w:hAnsi="Calibri" w:cs="Calibri"/>
        </w:rPr>
      </w:pPr>
      <w:r w:rsidRPr="17EF4160">
        <w:rPr>
          <w:rFonts w:ascii="Calibri" w:hAnsi="Calibri" w:cs="Calibri"/>
        </w:rPr>
        <w:t xml:space="preserve">EPA expects that individual sites may be shown to have multiple operators in the future. The permit specifies that all operators associated with a project must obtain permit coverage, and the permit defines “operator” as any party with (1) operational control over construction plans and specifications; or (2) has day-to-day operational control of the activities at a project necessary to ensure compliance with the permit. While this is the same permit definition as </w:t>
      </w:r>
      <w:r w:rsidR="00A4371B">
        <w:rPr>
          <w:rFonts w:ascii="Calibri" w:hAnsi="Calibri" w:cs="Calibri"/>
        </w:rPr>
        <w:t>was</w:t>
      </w:r>
      <w:r w:rsidRPr="17EF4160" w:rsidR="00A4371B">
        <w:rPr>
          <w:rFonts w:ascii="Calibri" w:hAnsi="Calibri" w:cs="Calibri"/>
        </w:rPr>
        <w:t xml:space="preserve"> </w:t>
      </w:r>
      <w:r w:rsidRPr="17EF4160">
        <w:rPr>
          <w:rFonts w:ascii="Calibri" w:hAnsi="Calibri" w:cs="Calibri"/>
        </w:rPr>
        <w:t>included in the 2017 CGP, EPA revised the 2022 CGP to emphasize this definition and expects that individual sites may be shown to have</w:t>
      </w:r>
      <w:r>
        <w:rPr>
          <w:rFonts w:ascii="Calibri" w:hAnsi="Calibri" w:cs="Calibri"/>
        </w:rPr>
        <w:t xml:space="preserve"> </w:t>
      </w:r>
      <w:r w:rsidRPr="17EF4160">
        <w:rPr>
          <w:rFonts w:ascii="Calibri" w:hAnsi="Calibri" w:cs="Calibri"/>
        </w:rPr>
        <w:t xml:space="preserve">multiple operators in the future. </w:t>
      </w:r>
      <w:r w:rsidRPr="005F11BB" w:rsidR="005F11BB">
        <w:rPr>
          <w:rFonts w:ascii="Calibri" w:hAnsi="Calibri" w:cs="Calibri"/>
        </w:rPr>
        <w:t>EPA will review future permit data and adjust the assumption of one operator per site in the ICR renewal as appropriate.</w:t>
      </w:r>
    </w:p>
    <w:p w:rsidR="00DA14B8" w:rsidRPr="00070870" w:rsidP="009136C6" w14:paraId="174442F4" w14:textId="77777777">
      <w:pPr>
        <w:spacing w:after="100" w:afterAutospacing="1" w:line="252" w:lineRule="auto"/>
        <w:contextualSpacing/>
        <w:rPr>
          <w:rFonts w:ascii="Calibri" w:hAnsi="Calibri" w:cs="Calibri"/>
        </w:rPr>
      </w:pP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7"/>
    </w:p>
    <w:p w:rsidR="009136C6" w:rsidRPr="001E010D" w:rsidP="009136C6" w14:paraId="23CDDC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t>This section presents the data items, including record-keeping requirements, and required respondent activities involved in preparing and submitting those data items.</w:t>
      </w:r>
      <w:r>
        <w:rPr>
          <w:rFonts w:ascii="Calibri" w:hAnsi="Calibri" w:cs="Calibri"/>
        </w:rPr>
        <w:t xml:space="preserve"> </w:t>
      </w:r>
      <w:r w:rsidRPr="001E010D">
        <w:rPr>
          <w:rFonts w:ascii="Calibri" w:hAnsi="Calibri" w:cs="Calibri"/>
        </w:rPr>
        <w:t xml:space="preserve">Data items related to the </w:t>
      </w:r>
      <w:r w:rsidRPr="0022278D">
        <w:rPr>
          <w:rFonts w:ascii="Calibri" w:hAnsi="Calibri" w:cs="Calibri"/>
        </w:rPr>
        <w:t>C</w:t>
      </w:r>
      <w:r w:rsidRPr="001E010D">
        <w:rPr>
          <w:rFonts w:ascii="Calibri" w:hAnsi="Calibri" w:cs="Calibri"/>
        </w:rPr>
        <w:t>GP include:</w:t>
      </w:r>
    </w:p>
    <w:p w:rsidR="009136C6" w:rsidRPr="000E451B" w:rsidP="009136C6" w14:paraId="2B812FA7"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0E451B">
        <w:rPr>
          <w:rFonts w:ascii="Calibri" w:hAnsi="Calibri" w:cs="Calibri"/>
        </w:rPr>
        <w:t xml:space="preserve">NOI and NOT forms; </w:t>
      </w:r>
    </w:p>
    <w:p w:rsidR="009136C6" w:rsidRPr="000E451B" w:rsidP="009136C6" w14:paraId="160DF695"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0E451B">
        <w:rPr>
          <w:rFonts w:ascii="Calibri" w:hAnsi="Calibri" w:cs="Calibri"/>
        </w:rPr>
        <w:t xml:space="preserve">SWPPP development and </w:t>
      </w:r>
      <w:r>
        <w:rPr>
          <w:rFonts w:ascii="Calibri" w:hAnsi="Calibri" w:cs="Calibri"/>
        </w:rPr>
        <w:t>updates</w:t>
      </w:r>
      <w:r w:rsidRPr="000E451B">
        <w:rPr>
          <w:rFonts w:ascii="Calibri" w:hAnsi="Calibri" w:cs="Calibri"/>
        </w:rPr>
        <w:t>;</w:t>
      </w:r>
    </w:p>
    <w:p w:rsidR="009136C6" w:rsidP="009136C6" w14:paraId="30B96E99"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0E451B">
        <w:rPr>
          <w:rFonts w:ascii="Calibri" w:hAnsi="Calibri" w:cs="Calibri"/>
        </w:rPr>
        <w:t>Inspection reports and corrective action documentation;</w:t>
      </w:r>
    </w:p>
    <w:p w:rsidR="009136C6" w:rsidRPr="000E451B" w:rsidP="009136C6" w14:paraId="54D4AD76"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9543E">
        <w:rPr>
          <w:rFonts w:ascii="Calibri" w:hAnsi="Calibri" w:cs="Calibri"/>
        </w:rPr>
        <w:t xml:space="preserve">Turbidity benchmark monitoring </w:t>
      </w:r>
      <w:r>
        <w:rPr>
          <w:rFonts w:ascii="Calibri" w:hAnsi="Calibri" w:cs="Calibri"/>
        </w:rPr>
        <w:t xml:space="preserve">reports </w:t>
      </w:r>
      <w:r w:rsidRPr="004E1BAC">
        <w:rPr>
          <w:rFonts w:ascii="Calibri" w:hAnsi="Calibri" w:cs="Calibri"/>
        </w:rPr>
        <w:t>for sites discharging dewatering</w:t>
      </w:r>
      <w:r>
        <w:rPr>
          <w:rFonts w:ascii="Calibri" w:hAnsi="Calibri" w:cs="Calibri"/>
        </w:rPr>
        <w:t xml:space="preserve"> water</w:t>
      </w:r>
      <w:r w:rsidRPr="004E1BAC">
        <w:rPr>
          <w:rFonts w:ascii="Calibri" w:hAnsi="Calibri" w:cs="Calibri"/>
        </w:rPr>
        <w:t xml:space="preserve"> to sensitive waters; </w:t>
      </w:r>
    </w:p>
    <w:p w:rsidR="009136C6" w:rsidRPr="00453E7E" w:rsidP="009136C6" w14:paraId="7E0F6573"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0E451B">
        <w:rPr>
          <w:rFonts w:ascii="Calibri" w:hAnsi="Calibri" w:cs="Calibri"/>
        </w:rPr>
        <w:t>Standard</w:t>
      </w:r>
      <w:r w:rsidRPr="00453E7E">
        <w:rPr>
          <w:rFonts w:ascii="Calibri" w:hAnsi="Calibri" w:cs="Calibri"/>
        </w:rPr>
        <w:t xml:space="preserve"> </w:t>
      </w:r>
      <w:r>
        <w:rPr>
          <w:rFonts w:ascii="Calibri" w:hAnsi="Calibri" w:cs="Calibri"/>
        </w:rPr>
        <w:t>r</w:t>
      </w:r>
      <w:r w:rsidRPr="00453E7E">
        <w:rPr>
          <w:rFonts w:ascii="Calibri" w:hAnsi="Calibri" w:cs="Calibri"/>
        </w:rPr>
        <w:t>eporting;</w:t>
      </w:r>
      <w:r>
        <w:rPr>
          <w:rFonts w:ascii="Calibri" w:hAnsi="Calibri" w:cs="Calibri"/>
        </w:rPr>
        <w:t xml:space="preserve"> and</w:t>
      </w:r>
    </w:p>
    <w:p w:rsidR="009136C6" w:rsidRPr="00941084" w:rsidP="009136C6" w14:paraId="2FB3E7F6"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941084">
        <w:t xml:space="preserve">Other </w:t>
      </w:r>
      <w:r>
        <w:t>i</w:t>
      </w:r>
      <w:r w:rsidRPr="00941084">
        <w:t>nformati</w:t>
      </w:r>
      <w:r w:rsidRPr="00941084">
        <w:t>on.</w:t>
      </w:r>
    </w:p>
    <w:p w:rsidR="009136C6" w:rsidRPr="00453E7E" w:rsidP="009136C6" w14:paraId="23D69386" w14:textId="41E4DE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rPr>
          <w:rFonts w:ascii="Calibri" w:hAnsi="Calibri" w:cs="Calibri"/>
        </w:rPr>
        <w:t xml:space="preserve">Each of these, including respondent activities, are summarized below. </w:t>
      </w:r>
      <w:r>
        <w:rPr>
          <w:rFonts w:ascii="Calibri" w:hAnsi="Calibri" w:cs="Calibri"/>
        </w:rPr>
        <w:t>An indication of whether EPA chang</w:t>
      </w:r>
      <w:r w:rsidR="007C0B89">
        <w:rPr>
          <w:rFonts w:ascii="Calibri" w:hAnsi="Calibri" w:cs="Calibri"/>
        </w:rPr>
        <w:t>e</w:t>
      </w:r>
      <w:r w:rsidR="00EB1FA3">
        <w:rPr>
          <w:rFonts w:ascii="Calibri" w:hAnsi="Calibri" w:cs="Calibri"/>
        </w:rPr>
        <w:t>s</w:t>
      </w:r>
      <w:r>
        <w:rPr>
          <w:rFonts w:ascii="Calibri" w:hAnsi="Calibri" w:cs="Calibri"/>
        </w:rPr>
        <w:t xml:space="preserve"> the data item from what was required in </w:t>
      </w:r>
      <w:r w:rsidRPr="006B6B1B">
        <w:rPr>
          <w:rFonts w:ascii="Calibri" w:hAnsi="Calibri" w:cs="Calibri"/>
        </w:rPr>
        <w:t>the 201</w:t>
      </w:r>
      <w:r w:rsidRPr="0022278D">
        <w:rPr>
          <w:rFonts w:ascii="Calibri" w:hAnsi="Calibri" w:cs="Calibri"/>
        </w:rPr>
        <w:t>7</w:t>
      </w:r>
      <w:r w:rsidRPr="006B6B1B">
        <w:rPr>
          <w:rFonts w:ascii="Calibri" w:hAnsi="Calibri" w:cs="Calibri"/>
        </w:rPr>
        <w:t xml:space="preserve"> </w:t>
      </w:r>
      <w:r w:rsidRPr="0022278D">
        <w:rPr>
          <w:rFonts w:ascii="Calibri" w:hAnsi="Calibri" w:cs="Calibri"/>
        </w:rPr>
        <w:t>C</w:t>
      </w:r>
      <w:r w:rsidRPr="006B6B1B">
        <w:rPr>
          <w:rFonts w:ascii="Calibri" w:hAnsi="Calibri" w:cs="Calibri"/>
        </w:rPr>
        <w:t>GP</w:t>
      </w:r>
      <w:r w:rsidRPr="00A03204">
        <w:rPr>
          <w:rFonts w:ascii="Calibri" w:hAnsi="Calibri" w:cs="Calibri"/>
        </w:rPr>
        <w:t xml:space="preserve"> is</w:t>
      </w:r>
      <w:r>
        <w:rPr>
          <w:rFonts w:ascii="Calibri" w:hAnsi="Calibri" w:cs="Calibri"/>
        </w:rPr>
        <w:t xml:space="preserve"> also included. </w:t>
      </w:r>
    </w:p>
    <w:p w:rsidR="009136C6" w:rsidRPr="00EB1A1B" w:rsidP="009136C6" w14:paraId="79E636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009136C6" w:rsidP="009136C6" w14:paraId="5F5966F7" w14:textId="25E6D60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A03204">
        <w:rPr>
          <w:b/>
        </w:rPr>
        <w:t xml:space="preserve">NOI </w:t>
      </w:r>
      <w:r>
        <w:rPr>
          <w:b/>
        </w:rPr>
        <w:t>F</w:t>
      </w:r>
      <w:r w:rsidRPr="00A03204">
        <w:rPr>
          <w:b/>
        </w:rPr>
        <w:t>orms</w:t>
      </w:r>
      <w:r>
        <w:rPr>
          <w:b/>
        </w:rPr>
        <w:t xml:space="preserve"> </w:t>
      </w:r>
      <w:r>
        <w:t xml:space="preserve">Like </w:t>
      </w:r>
      <w:r w:rsidRPr="00A03204">
        <w:t xml:space="preserve">the </w:t>
      </w:r>
      <w:r w:rsidRPr="00693397">
        <w:t>201</w:t>
      </w:r>
      <w:r w:rsidRPr="0022278D">
        <w:t>7</w:t>
      </w:r>
      <w:r w:rsidRPr="00A03204">
        <w:t xml:space="preserve"> </w:t>
      </w:r>
      <w:r w:rsidRPr="0022278D">
        <w:t>C</w:t>
      </w:r>
      <w:r w:rsidRPr="00693397">
        <w:t xml:space="preserve">GP, EPA’s </w:t>
      </w:r>
      <w:r>
        <w:t>2022</w:t>
      </w:r>
      <w:r w:rsidRPr="00693397">
        <w:t xml:space="preserve"> </w:t>
      </w:r>
      <w:r w:rsidRPr="0022278D">
        <w:t>C</w:t>
      </w:r>
      <w:r w:rsidRPr="00A03204">
        <w:t xml:space="preserve">GP </w:t>
      </w:r>
      <w:r w:rsidRPr="00693397">
        <w:t>requires</w:t>
      </w:r>
      <w:r>
        <w:t xml:space="preserve"> respondents to submit an electronic NOI </w:t>
      </w:r>
      <w:r w:rsidRPr="0022278D">
        <w:t xml:space="preserve">via </w:t>
      </w:r>
      <w:r>
        <w:rPr>
          <w:rFonts w:ascii="Calibri" w:hAnsi="Calibri" w:cs="Calibri"/>
        </w:rPr>
        <w:t xml:space="preserve">EPA’s </w:t>
      </w:r>
      <w:r w:rsidRPr="0022278D">
        <w:t>NeT</w:t>
      </w:r>
      <w:r>
        <w:t>-CGP</w:t>
      </w:r>
      <w:r w:rsidRPr="0022278D">
        <w:t xml:space="preserve"> </w:t>
      </w:r>
      <w:r>
        <w:t xml:space="preserve">to obtain coverage under the permit. If a permittee is granted a waiver from e-reporting, permittees can submit Appendix H, which is the hard-copy NOI form. </w:t>
      </w:r>
      <w:r w:rsidRPr="00A03204">
        <w:t xml:space="preserve">The NOI requests basic operator </w:t>
      </w:r>
      <w:r w:rsidRPr="00BD7AD1">
        <w:t xml:space="preserve">and </w:t>
      </w:r>
      <w:r>
        <w:t>site</w:t>
      </w:r>
      <w:r w:rsidRPr="00A03204">
        <w:t xml:space="preserve"> informatio</w:t>
      </w:r>
      <w:r w:rsidRPr="001620E9">
        <w:t xml:space="preserve">n, as well </w:t>
      </w:r>
      <w:r>
        <w:t xml:space="preserve">as </w:t>
      </w:r>
      <w:r w:rsidRPr="001620E9">
        <w:t>discharge location(s), receiving water information,</w:t>
      </w:r>
      <w:r>
        <w:t xml:space="preserve"> chemical treatment information, information about the </w:t>
      </w:r>
      <w:r w:rsidRPr="00A03204">
        <w:t xml:space="preserve">SWPPP, a summary of </w:t>
      </w:r>
      <w:r>
        <w:t xml:space="preserve">threatened and </w:t>
      </w:r>
      <w:r w:rsidRPr="001620E9">
        <w:t>endangered species</w:t>
      </w:r>
      <w:r>
        <w:t xml:space="preserve"> </w:t>
      </w:r>
      <w:r w:rsidRPr="001620E9">
        <w:t>eligibility information, historic preservation eligibility information, and other information.</w:t>
      </w:r>
      <w:r w:rsidR="007D0EFA">
        <w:t xml:space="preserve"> There are new NOI questions described in 12.c.</w:t>
      </w:r>
      <w:r w:rsidRPr="001620E9">
        <w:t xml:space="preserve"> </w:t>
      </w:r>
    </w:p>
    <w:p w:rsidR="009136C6" w:rsidP="009136C6" w14:paraId="03D00A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9136C6" w:rsidRPr="00CA5B98" w:rsidP="009136C6" w14:paraId="25EB11F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A03204">
        <w:rPr>
          <w:b/>
        </w:rPr>
        <w:t xml:space="preserve">NOT </w:t>
      </w:r>
      <w:r>
        <w:rPr>
          <w:b/>
        </w:rPr>
        <w:t>F</w:t>
      </w:r>
      <w:r w:rsidRPr="00CA5B98">
        <w:rPr>
          <w:b/>
        </w:rPr>
        <w:t>orms</w:t>
      </w:r>
    </w:p>
    <w:p w:rsidR="009136C6" w:rsidRPr="00CA5B98" w:rsidP="009136C6" w14:paraId="461BD976" w14:textId="23ACECC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CA5B98">
        <w:t xml:space="preserve">As in the 2017 CGP, EPA’s </w:t>
      </w:r>
      <w:r>
        <w:t>2022</w:t>
      </w:r>
      <w:r w:rsidRPr="00CA5B98">
        <w:t xml:space="preserve"> CGP requires respondents to submit an electronic NOT via NeT-CGP to terminate coverage under the permit.</w:t>
      </w:r>
      <w:r>
        <w:t xml:space="preserve"> If a permittee is granted a waiver from e-reporting, permittees would submit Appendix I, which is the hard-copy NOT form. T</w:t>
      </w:r>
      <w:r w:rsidRPr="00CA5B98">
        <w:t>he NOT requests basic operator and site information. An NOT form is</w:t>
      </w:r>
      <w:r w:rsidRPr="00CA5B98">
        <w:t xml:space="preserve"> </w:t>
      </w:r>
      <w:r w:rsidRPr="00CA5B98">
        <w:t>submitted when applicable activities at the site are completed; the work area has been transferred to another permitted operator; or the site is covered under a different NPDES permit for the same discharges.</w:t>
      </w:r>
      <w:r w:rsidR="004465ED">
        <w:t xml:space="preserve"> There is a new addition to the 2022 CCP described in 12.c.</w:t>
      </w:r>
      <w:r w:rsidRPr="00CA5B98">
        <w:t xml:space="preserve"> </w:t>
      </w:r>
    </w:p>
    <w:p w:rsidR="009136C6" w:rsidRPr="00CA5B98" w:rsidP="009136C6" w14:paraId="3572635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9136C6" w:rsidRPr="0022278D" w:rsidP="009136C6" w14:paraId="005950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highlight w:val="yellow"/>
        </w:rPr>
      </w:pPr>
      <w:r w:rsidRPr="00CA5B98">
        <w:rPr>
          <w:b/>
        </w:rPr>
        <w:t>SWPPPs</w:t>
      </w:r>
    </w:p>
    <w:p w:rsidR="00902DD8" w:rsidP="00902DD8" w14:paraId="474A504A" w14:textId="03922FC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0"/>
      </w:pPr>
      <w:r>
        <w:t xml:space="preserve">As in the 2017 CGP, </w:t>
      </w:r>
      <w:r w:rsidRPr="00590DF0">
        <w:t xml:space="preserve">EPA’s </w:t>
      </w:r>
      <w:r>
        <w:t>2022</w:t>
      </w:r>
      <w:r w:rsidRPr="00D748D8">
        <w:t xml:space="preserve"> C</w:t>
      </w:r>
      <w:r w:rsidRPr="00590DF0">
        <w:t>GP requires all respondents to develop and maintain an updated SWPPP</w:t>
      </w:r>
      <w:r>
        <w:t xml:space="preserve">. </w:t>
      </w:r>
      <w:r>
        <w:t>There are changes to the following required SWPPP elements (described in Section 12.c):</w:t>
      </w:r>
    </w:p>
    <w:p w:rsidR="00902DD8" w:rsidP="00902DD8" w14:paraId="013DC762" w14:textId="25A7FD22">
      <w:pPr>
        <w:pStyle w:val="ListParagraph"/>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t>Site Maps</w:t>
      </w:r>
    </w:p>
    <w:p w:rsidR="00902DD8" w:rsidP="00070870" w14:paraId="0F3BB2E2" w14:textId="071E1746">
      <w:pPr>
        <w:pStyle w:val="ListParagraph"/>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t>New monitoring requirements</w:t>
      </w:r>
    </w:p>
    <w:p w:rsidR="009136C6" w:rsidRPr="007C6A32" w:rsidP="009136C6" w14:paraId="21B06E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r w:rsidRPr="00044DBB">
        <w:rPr>
          <w:b/>
        </w:rPr>
        <w:t>Si</w:t>
      </w:r>
      <w:r>
        <w:rPr>
          <w:b/>
        </w:rPr>
        <w:t xml:space="preserve">te </w:t>
      </w:r>
      <w:r w:rsidRPr="007C6A32">
        <w:rPr>
          <w:b/>
        </w:rPr>
        <w:t>Inspection Reports and Corrective Action Documentation</w:t>
      </w:r>
    </w:p>
    <w:p w:rsidR="009136C6" w:rsidP="009136C6" w14:paraId="088AA5AC" w14:textId="368D7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C00000"/>
          <w:szCs w:val="18"/>
          <w:u w:val="single"/>
        </w:rPr>
      </w:pPr>
      <w:r w:rsidRPr="00CA5B98">
        <w:t xml:space="preserve">As in the 2017 CGP, EPA’s </w:t>
      </w:r>
      <w:r>
        <w:t>2022</w:t>
      </w:r>
      <w:r w:rsidRPr="00CA5B98">
        <w:t xml:space="preserve"> CGP requires respondents to</w:t>
      </w:r>
      <w:r>
        <w:t xml:space="preserve"> conduct site inspections and prepare i</w:t>
      </w:r>
      <w:r w:rsidRPr="00E96A6A">
        <w:t xml:space="preserve">nspection </w:t>
      </w:r>
      <w:r w:rsidRPr="00F81DB6">
        <w:t xml:space="preserve">reports </w:t>
      </w:r>
      <w:r>
        <w:t xml:space="preserve">that </w:t>
      </w:r>
      <w:r w:rsidRPr="00F81DB6">
        <w:t>include the inspection date and time; the name</w:t>
      </w:r>
      <w:r w:rsidRPr="0022278D">
        <w:t>, title,</w:t>
      </w:r>
      <w:r w:rsidRPr="00F81DB6">
        <w:t xml:space="preserve"> and signature of the inspector</w:t>
      </w:r>
      <w:r w:rsidRPr="004F399F">
        <w:t xml:space="preserve">; weather information; </w:t>
      </w:r>
      <w:r w:rsidRPr="0022278D">
        <w:t>a summary of findings</w:t>
      </w:r>
      <w:r w:rsidRPr="000F6C60">
        <w:t>;</w:t>
      </w:r>
      <w:r w:rsidRPr="0022278D">
        <w:t xml:space="preserve"> any maintenance or corrective actions;</w:t>
      </w:r>
      <w:r w:rsidRPr="000F6C60">
        <w:t xml:space="preserve"> </w:t>
      </w:r>
      <w:r w:rsidRPr="0022278D">
        <w:t>any areas that could not be safe</w:t>
      </w:r>
      <w:r>
        <w:t>l</w:t>
      </w:r>
      <w:r w:rsidRPr="0022278D">
        <w:t xml:space="preserve">y inspected; </w:t>
      </w:r>
      <w:r w:rsidRPr="000F6C60">
        <w:t xml:space="preserve">and any incidents of noncompliance. </w:t>
      </w:r>
      <w:r>
        <w:t>EPA also clarified in the 2022 CGP that all i</w:t>
      </w:r>
      <w:r w:rsidRPr="00272EE9">
        <w:rPr>
          <w:szCs w:val="18"/>
        </w:rPr>
        <w:t>nspection reports may be prepared, signed, and kept electronically, rather than in paper form provided certain conditions are met.</w:t>
      </w:r>
      <w:r w:rsidR="00A10B3F">
        <w:rPr>
          <w:szCs w:val="18"/>
        </w:rPr>
        <w:t xml:space="preserve"> </w:t>
      </w:r>
      <w:r w:rsidR="0003678E">
        <w:t xml:space="preserve">There are no changes to the documentation requirements for this activity but rather clarified elements from the 2017 CGP. </w:t>
      </w:r>
      <w:r w:rsidR="00A10B3F">
        <w:rPr>
          <w:szCs w:val="18"/>
        </w:rPr>
        <w:t>There is no</w:t>
      </w:r>
      <w:r w:rsidR="002F34E4">
        <w:rPr>
          <w:szCs w:val="18"/>
        </w:rPr>
        <w:t xml:space="preserve"> incremental</w:t>
      </w:r>
      <w:r w:rsidR="00A10B3F">
        <w:rPr>
          <w:szCs w:val="18"/>
        </w:rPr>
        <w:t xml:space="preserve"> </w:t>
      </w:r>
      <w:r w:rsidR="000831D8">
        <w:rPr>
          <w:szCs w:val="18"/>
        </w:rPr>
        <w:t xml:space="preserve">change in </w:t>
      </w:r>
      <w:r w:rsidR="00A10B3F">
        <w:rPr>
          <w:szCs w:val="18"/>
        </w:rPr>
        <w:t>burden associated with this item.</w:t>
      </w:r>
    </w:p>
    <w:p w:rsidR="009136C6" w:rsidP="009136C6" w14:paraId="4A0274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Cs/>
        </w:rPr>
      </w:pPr>
      <w:r>
        <w:rPr>
          <w:b/>
        </w:rPr>
        <w:t xml:space="preserve">Dewatering Inspection Reports and Corrective Action Documentation </w:t>
      </w:r>
    </w:p>
    <w:p w:rsidR="009136C6" w:rsidRPr="007C6A32" w:rsidP="009136C6" w14:paraId="5B2FC121" w14:textId="407C2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r w:rsidRPr="00591C87">
        <w:rPr>
          <w:i/>
          <w:iCs/>
        </w:rPr>
        <w:t>New information collection requirement</w:t>
      </w:r>
    </w:p>
    <w:p w:rsidR="009136C6" w:rsidP="009136C6" w14:paraId="52110693" w14:textId="227384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t xml:space="preserve">In the 2022 CGP, </w:t>
      </w:r>
      <w:r w:rsidRPr="00436388">
        <w:t xml:space="preserve">EPA </w:t>
      </w:r>
      <w:r w:rsidR="00012AA4">
        <w:t>included</w:t>
      </w:r>
      <w:r>
        <w:t xml:space="preserve"> new</w:t>
      </w:r>
      <w:r w:rsidRPr="00436388">
        <w:t xml:space="preserve"> </w:t>
      </w:r>
      <w:r>
        <w:t xml:space="preserve">dewatering </w:t>
      </w:r>
      <w:r w:rsidRPr="00436388">
        <w:t>inspection requirements.</w:t>
      </w:r>
      <w:r>
        <w:t xml:space="preserve"> I</w:t>
      </w:r>
      <w:r w:rsidRPr="00721BE3">
        <w:t xml:space="preserve">n </w:t>
      </w:r>
      <w:r>
        <w:t>addition to site inspections,</w:t>
      </w:r>
      <w:r w:rsidRPr="00721BE3">
        <w:t xml:space="preserve"> operators</w:t>
      </w:r>
      <w:r>
        <w:t xml:space="preserve"> conducting dewatering activities</w:t>
      </w:r>
      <w:r w:rsidRPr="00721BE3">
        <w:t xml:space="preserve"> </w:t>
      </w:r>
      <w:r>
        <w:t xml:space="preserve">must perform a daily inspection of all areas where construction dewatering water is being discharged, including stormwater controls to treat the dewatering discharge. </w:t>
      </w:r>
    </w:p>
    <w:p w:rsidR="009136C6" w:rsidRPr="0022278D" w:rsidP="009136C6" w14:paraId="72360B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highlight w:val="yellow"/>
        </w:rPr>
      </w:pPr>
    </w:p>
    <w:p w:rsidR="009136C6" w:rsidP="009136C6" w14:paraId="1E5E15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r>
        <w:rPr>
          <w:b/>
        </w:rPr>
        <w:t xml:space="preserve">Turbidity Benchmark Monitoring for Sites Discharging Dewatering Water to Protect the Water Quality of Sensitive Waters </w:t>
      </w:r>
    </w:p>
    <w:p w:rsidR="009136C6" w:rsidRPr="002701E5" w:rsidP="009136C6" w14:paraId="1A7BC8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r w:rsidRPr="00591C87">
        <w:rPr>
          <w:i/>
          <w:iCs/>
        </w:rPr>
        <w:t>New information collection requirement</w:t>
      </w:r>
    </w:p>
    <w:p w:rsidR="009136C6" w:rsidP="009136C6" w14:paraId="19C36D03" w14:textId="44B73526">
      <w:pPr>
        <w:spacing w:line="240" w:lineRule="auto"/>
      </w:pPr>
      <w:r>
        <w:t xml:space="preserve">In the 2022 CGP, EPA </w:t>
      </w:r>
      <w:r w:rsidR="00012AA4">
        <w:t>requires</w:t>
      </w:r>
      <w:r>
        <w:t xml:space="preserve"> operators discharging dewatering water to “sensitive waters” to conduct turbidity benchmark monitoring.</w:t>
      </w:r>
      <w:r>
        <w:rPr>
          <w:rStyle w:val="FootnoteReference"/>
        </w:rPr>
        <w:footnoteReference w:id="3"/>
      </w:r>
      <w:r>
        <w:t xml:space="preserve"> </w:t>
      </w: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CC73CD" w:rsidRPr="001E010D" w:rsidP="009136C6" w14:paraId="75021FED" w14:textId="2FBFC901">
      <w:pPr>
        <w:spacing w:after="100" w:afterAutospacing="1" w:line="240" w:lineRule="auto"/>
        <w:contextualSpacing/>
        <w:rPr>
          <w:rFonts w:ascii="Calibri" w:hAnsi="Calibri" w:cs="Calibri"/>
        </w:rPr>
      </w:pPr>
      <w:r w:rsidRPr="001E010D">
        <w:rPr>
          <w:rFonts w:ascii="Calibri" w:hAnsi="Calibri" w:cs="Calibri"/>
        </w:rPr>
        <w:t xml:space="preserve">The following is a summary of the collection schedule for various data items under the </w:t>
      </w:r>
      <w:r>
        <w:rPr>
          <w:rFonts w:ascii="Calibri" w:hAnsi="Calibri" w:cs="Calibri"/>
        </w:rPr>
        <w:t>C</w:t>
      </w:r>
      <w:r w:rsidRPr="001E010D">
        <w:rPr>
          <w:rFonts w:ascii="Calibri" w:hAnsi="Calibri" w:cs="Calibri"/>
        </w:rPr>
        <w:t xml:space="preserve">GP: </w:t>
      </w:r>
    </w:p>
    <w:p w:rsidR="009136C6" w:rsidRPr="005E5519" w:rsidP="009136C6" w14:paraId="75430ACD" w14:textId="755B1EF2">
      <w:pPr>
        <w:pStyle w:val="BulletLevel1Header"/>
        <w:spacing w:after="0" w:afterAutospacing="0"/>
      </w:pPr>
      <w:r w:rsidRPr="005E5519">
        <w:t xml:space="preserve">NOI </w:t>
      </w:r>
      <w:r>
        <w:t>F</w:t>
      </w:r>
      <w:r w:rsidRPr="005E5519">
        <w:t>orm</w:t>
      </w:r>
      <w:r>
        <w:t xml:space="preserve"> </w:t>
      </w:r>
      <w:r>
        <w:rPr>
          <w:b w:val="0"/>
          <w:bCs/>
        </w:rPr>
        <w:t>[No changes to the collection schedule]</w:t>
      </w:r>
    </w:p>
    <w:p w:rsidR="009136C6" w:rsidP="009136C6" w14:paraId="28025475" w14:textId="6B8EE940">
      <w:pPr>
        <w:pStyle w:val="BulletLevel1"/>
      </w:pPr>
      <w:r w:rsidRPr="0073399C">
        <w:t xml:space="preserve">EPA is collecting </w:t>
      </w:r>
      <w:r>
        <w:t xml:space="preserve">the following </w:t>
      </w:r>
      <w:r w:rsidRPr="0073399C">
        <w:t xml:space="preserve">new information </w:t>
      </w:r>
      <w:r>
        <w:t xml:space="preserve">for </w:t>
      </w:r>
      <w:r w:rsidRPr="0073399C">
        <w:t xml:space="preserve">the 2022 CGP: </w:t>
      </w:r>
      <w:r>
        <w:t xml:space="preserve">whether the operator will be discharging </w:t>
      </w:r>
      <w:r w:rsidRPr="0073399C">
        <w:t>dewatering</w:t>
      </w:r>
      <w:r>
        <w:t xml:space="preserve"> water and whether the dewatering discharge is from a location that is a current or former federal or state remediation site;</w:t>
      </w:r>
      <w:r w:rsidRPr="0073399C">
        <w:t xml:space="preserve"> </w:t>
      </w:r>
      <w:r>
        <w:t xml:space="preserve">information on </w:t>
      </w:r>
      <w:r w:rsidRPr="0073399C">
        <w:t>other operators</w:t>
      </w:r>
      <w:r>
        <w:t xml:space="preserve"> that</w:t>
      </w:r>
      <w:r w:rsidRPr="0073399C">
        <w:t xml:space="preserve"> </w:t>
      </w:r>
      <w:r>
        <w:t xml:space="preserve">are </w:t>
      </w:r>
      <w:r w:rsidRPr="0073399C">
        <w:t>submitting NOIs for the same project</w:t>
      </w:r>
      <w:r>
        <w:t xml:space="preserve">; and confirmation that the operator has completed the required </w:t>
      </w:r>
      <w:r w:rsidRPr="0073399C">
        <w:t>inspector training.</w:t>
      </w:r>
      <w:r>
        <w:t xml:space="preserve"> </w:t>
      </w:r>
      <w:r>
        <w:t xml:space="preserve">There are no changes to the collection schedule for this activity. </w:t>
      </w:r>
      <w:r w:rsidRPr="005E5519">
        <w:t xml:space="preserve">Based on experience implementing the permit and </w:t>
      </w:r>
      <w:r>
        <w:t xml:space="preserve">2017 </w:t>
      </w:r>
      <w:r w:rsidRPr="005E5519">
        <w:t xml:space="preserve">CGP NOI data, EPA assumes that all operators covered under the CGP will operate projects that conclude in one year or less. Thus, EPA assumes all respondents </w:t>
      </w:r>
      <w:r>
        <w:t xml:space="preserve">will </w:t>
      </w:r>
      <w:r w:rsidRPr="005E5519">
        <w:t>submit an NOI once per year. As part of the NOI form, respondents may also be required to prepare information</w:t>
      </w:r>
      <w:r>
        <w:t xml:space="preserve"> related to </w:t>
      </w:r>
      <w:r w:rsidRPr="00436388">
        <w:t>threatened and endangered species protection, historic properties screening, and cationic treatment chemicals</w:t>
      </w:r>
      <w:r w:rsidRPr="0025722D">
        <w:t>.</w:t>
      </w:r>
    </w:p>
    <w:p w:rsidR="00BF7004" w:rsidRPr="00CA5B98" w:rsidP="00070870" w14:paraId="6B1B76C9" w14:textId="5638B27C">
      <w:pPr>
        <w:pStyle w:val="BulletLevel2Header"/>
      </w:pPr>
      <w:r w:rsidRPr="00CA5B98">
        <w:t xml:space="preserve">Threatened </w:t>
      </w:r>
      <w:r>
        <w:t>and</w:t>
      </w:r>
      <w:r w:rsidRPr="00CA5B98">
        <w:t xml:space="preserve"> Endangered Species Protection </w:t>
      </w:r>
    </w:p>
    <w:p w:rsidR="00BF7004" w:rsidRPr="00CA5B98" w:rsidP="00070870" w14:paraId="17A8E4B9" w14:textId="6413DF84">
      <w:pPr>
        <w:pStyle w:val="BulletLevel1"/>
        <w:ind w:left="1080"/>
      </w:pPr>
      <w:r>
        <w:t>EPA’s 2022 CGP requires respondents to confirm CGP eligibility with regards to the protection of threatened and endangered species and critical habitat. The 2022 CGP requires respondents to indicate their criterion selection on the NOI form to EPA and include any associated documentation. The Eligibility Procedures Relating to Threatened and Endangered Species Protection are in Appendix D of the 2022 CGP. The eligibility determination process is integrated into the electronic NOI submission through NeT-CGP. If a permittee is granted a waiver from e-reporting, Appendix D would be submitted with the hard-copy NOI. The eligibility process requires an evaluation of the project’s action area and presence of threatened and endangered species and critical habitat. If there are threatened or endangered species or critical habitat in the action area, the permit requires the operator to complete an informal or formal consultation with and receive concurrence from, the U.S. Fish and Wildlife Service (USFWS) or the National Marine Fisheries Service (NMFS). The burden for this activity is included in the overall NOI burden estimate.</w:t>
      </w:r>
    </w:p>
    <w:p w:rsidR="00BF7004" w:rsidRPr="00CA5B98" w:rsidP="00070870" w14:paraId="455B4FAB" w14:textId="72FCD9CE">
      <w:pPr>
        <w:pStyle w:val="BulletLevel2Header"/>
      </w:pPr>
      <w:r w:rsidRPr="00CA5B98">
        <w:t xml:space="preserve">Historic Properties Preservation </w:t>
      </w:r>
    </w:p>
    <w:p w:rsidR="00BF7004" w:rsidRPr="00CA5B98" w:rsidP="00070870" w14:paraId="5B0C3161" w14:textId="2A57C5F1">
      <w:pPr>
        <w:pStyle w:val="BulletLevel1"/>
        <w:ind w:left="1080"/>
      </w:pPr>
      <w:r>
        <w:t>EPA’s 2022 CGP requires respondents to submit eligibility information concerning the possibility of impacts to historic properties. The 2022 CGP requires respondents to indicate their historic properties criterion selection on the NOI form to EPA and include any associated documentation. The procedures for the Historic Property Screening Process are in Appendix E of the 2022 CGP. Respondents are required to contact the relevant State or Tribal Historic Preservation Office (SHPO/THPO) in writing only where historic properties potentially exist and where there will be installation of control measures associated with the permit</w:t>
      </w:r>
      <w:r w:rsidR="00925A02">
        <w:t xml:space="preserve"> that may impact such </w:t>
      </w:r>
      <w:r w:rsidR="001A6055">
        <w:t>properties</w:t>
      </w:r>
      <w:r>
        <w:t>. The letter must describe the project, the U.S. Geological Survey (USGS) map location of activities, and the site map with stormwater controls and associated and subsurface earth disturbances. The burden for this activity is included in the overall NOI burden estimate.</w:t>
      </w:r>
    </w:p>
    <w:p w:rsidR="00BF7004" w:rsidRPr="00CA5B98" w:rsidP="00070870" w14:paraId="7DCF4368" w14:textId="3F8822B1">
      <w:pPr>
        <w:pStyle w:val="BulletLevel2Header"/>
      </w:pPr>
      <w:r w:rsidRPr="00C975DC">
        <w:t>Request for Chemical Treatment</w:t>
      </w:r>
    </w:p>
    <w:p w:rsidR="00BF7004" w:rsidRPr="003450A1" w:rsidP="00070870" w14:paraId="691B2265" w14:textId="07FFF364">
      <w:pPr>
        <w:pStyle w:val="BulletLevel1"/>
        <w:ind w:left="1080"/>
      </w:pPr>
      <w:r>
        <w:t>EPA’s 2022 CGP requires respondents to submit eligibility information with regards to the use of cationic treatment chemicals. The CGP requires respondents to indicate their cationic treatment authorization status on the NOI form to EPA and include any associated documentation. Respondents will be required to notify the EPA in advance of NOI submittal, and EPA provides a Suggested Format for Request for Chemical Treatment in Appendix J of the 2022 CGP. The burden for this activity is included in the overall NOI burden estimate.</w:t>
      </w:r>
    </w:p>
    <w:p w:rsidR="009136C6" w:rsidRPr="005E5519" w:rsidP="009136C6" w14:paraId="7C6EDB40" w14:textId="35A40575">
      <w:pPr>
        <w:pStyle w:val="BulletLevel1Header"/>
        <w:spacing w:after="0" w:afterAutospacing="0"/>
      </w:pPr>
      <w:r w:rsidRPr="005E5519">
        <w:t xml:space="preserve">NOT </w:t>
      </w:r>
      <w:r>
        <w:t>F</w:t>
      </w:r>
      <w:r w:rsidRPr="005E5519">
        <w:t>orm</w:t>
      </w:r>
      <w:r>
        <w:t xml:space="preserve"> </w:t>
      </w:r>
      <w:r>
        <w:rPr>
          <w:b w:val="0"/>
          <w:bCs/>
        </w:rPr>
        <w:t>[No changes to the collection schedule]</w:t>
      </w:r>
    </w:p>
    <w:p w:rsidR="009136C6" w:rsidRPr="005E5519" w:rsidP="009136C6" w14:paraId="43DE22C8" w14:textId="63234FE4">
      <w:pPr>
        <w:pStyle w:val="BulletLevel1"/>
      </w:pPr>
      <w:r w:rsidRPr="00CB33C0">
        <w:t>In the 2022 CGP, operators are now required to submit photographs documenting site stabilization with their NOT submittal.</w:t>
      </w:r>
      <w:r>
        <w:t xml:space="preserve"> </w:t>
      </w:r>
      <w:r>
        <w:t xml:space="preserve">There are no changes to the collection schedule for this activity. </w:t>
      </w:r>
      <w:r w:rsidRPr="005E5519">
        <w:t>The NOT is submitted only when permit coverage is no longer needed. Based on experience implementing the permit and CGP NOI data, EPA assumes that all operators covered under the CGP will operate projects that conclude in one year or less. Therefore, EPA assumes respondents will submit NOTs once per year.</w:t>
      </w:r>
    </w:p>
    <w:p w:rsidR="009136C6" w:rsidRPr="005E5519" w:rsidP="009136C6" w14:paraId="3BE9284D" w14:textId="2A97B42E">
      <w:pPr>
        <w:pStyle w:val="BulletLevel1Header"/>
        <w:spacing w:after="0" w:afterAutospacing="0"/>
      </w:pPr>
      <w:r w:rsidRPr="005E5519">
        <w:t xml:space="preserve">SWPPPs </w:t>
      </w:r>
      <w:r>
        <w:rPr>
          <w:b w:val="0"/>
          <w:bCs/>
        </w:rPr>
        <w:t>[No changes to the collection schedule]</w:t>
      </w:r>
    </w:p>
    <w:p w:rsidR="009136C6" w:rsidRPr="0022278D" w:rsidP="009136C6" w14:paraId="7ABBDD0C" w14:textId="5D79825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highlight w:val="yellow"/>
        </w:rPr>
      </w:pPr>
      <w:r w:rsidRPr="001E7305">
        <w:t>Changes to the SWPPP requirements in the 2022 CGP include</w:t>
      </w:r>
      <w:r w:rsidR="00017949">
        <w:t>d</w:t>
      </w:r>
      <w:r w:rsidRPr="001E7305">
        <w:t xml:space="preserve"> modified requirements for site map notations and descriptions of stormwater controls, and new requirements for respondents subject to the turbidity benchmark monitoring requirements to document their procedures, including procedures to collect and evaluate samples, report results, maintain records, and take corrective action.</w:t>
      </w:r>
      <w:r>
        <w:t xml:space="preserve"> </w:t>
      </w:r>
      <w:r>
        <w:t xml:space="preserve">There are no changes to the collection schedule for this activity. </w:t>
      </w:r>
      <w:r w:rsidRPr="005E5519">
        <w:rPr>
          <w:rFonts w:ascii="Calibri" w:hAnsi="Calibri" w:cs="Calibri"/>
        </w:rPr>
        <w:t>Respondents must develop a SWPPP prior to submitting an</w:t>
      </w:r>
      <w:r w:rsidRPr="0022278D">
        <w:rPr>
          <w:rFonts w:ascii="Calibri" w:hAnsi="Calibri" w:cs="Calibri"/>
        </w:rPr>
        <w:t xml:space="preserve"> NOI for permit coverage. The SWPPP must be updated within 7 days of any changes to operators, construction plans, stormwater controls, operational control areas, </w:t>
      </w:r>
      <w:r>
        <w:rPr>
          <w:rFonts w:ascii="Calibri" w:hAnsi="Calibri" w:cs="Calibri"/>
        </w:rPr>
        <w:t xml:space="preserve">chemical treatment, local or tribal requirements, </w:t>
      </w:r>
      <w:r w:rsidRPr="0022278D">
        <w:rPr>
          <w:rFonts w:ascii="Calibri" w:hAnsi="Calibri" w:cs="Calibri"/>
        </w:rPr>
        <w:t xml:space="preserve">or other updates as needed to reflect site conditions or as required by EPA. </w:t>
      </w:r>
    </w:p>
    <w:p w:rsidR="009136C6" w:rsidRPr="000221C6" w:rsidP="009136C6" w14:paraId="1ECC7E97" w14:textId="49AD29E3">
      <w:pPr>
        <w:pStyle w:val="BulletLevel1Header"/>
        <w:spacing w:after="0" w:afterAutospacing="0"/>
      </w:pPr>
      <w:r>
        <w:t>Dewatering</w:t>
      </w:r>
      <w:r w:rsidRPr="000221C6">
        <w:t xml:space="preserve"> Inspection</w:t>
      </w:r>
      <w:r>
        <w:t>s</w:t>
      </w:r>
      <w:r w:rsidRPr="000221C6">
        <w:t xml:space="preserve"> Reports and Corrective Action Documentation </w:t>
      </w:r>
      <w:r w:rsidRPr="000221C6">
        <w:rPr>
          <w:b w:val="0"/>
        </w:rPr>
        <w:t>[New collection schedule]</w:t>
      </w:r>
    </w:p>
    <w:p w:rsidR="009136C6" w:rsidP="009136C6" w14:paraId="262131B6" w14:textId="3C05921F">
      <w:pPr>
        <w:pStyle w:val="BulletLevel1"/>
        <w:rPr>
          <w:bCs/>
        </w:rPr>
      </w:pPr>
      <w:r w:rsidRPr="000221C6">
        <w:t>T</w:t>
      </w:r>
      <w:r w:rsidRPr="000221C6">
        <w:rPr>
          <w:rFonts w:asciiTheme="minorHAnsi" w:hAnsiTheme="minorHAnsi" w:cstheme="minorBidi"/>
        </w:rPr>
        <w:t>he 2022 CGP includes new inspection requirements for dewatering discharge activities.</w:t>
      </w:r>
      <w:r>
        <w:rPr>
          <w:rFonts w:asciiTheme="minorHAnsi" w:hAnsiTheme="minorHAnsi" w:cstheme="minorBidi"/>
        </w:rPr>
        <w:t xml:space="preserve"> </w:t>
      </w:r>
      <w:r>
        <w:t xml:space="preserve">As part of the inspection, operators must record the following information: dewatering </w:t>
      </w:r>
      <w:r w:rsidRPr="00CE1F25">
        <w:t>discharge start and end times</w:t>
      </w:r>
      <w:r>
        <w:t>;</w:t>
      </w:r>
      <w:r w:rsidRPr="00CE1F25">
        <w:t xml:space="preserve"> </w:t>
      </w:r>
      <w:r>
        <w:t xml:space="preserve">estimated </w:t>
      </w:r>
      <w:r w:rsidRPr="00CE1F25">
        <w:t>rate of discharge</w:t>
      </w:r>
      <w:r>
        <w:t xml:space="preserve"> on the day of inspection (gallons per day);</w:t>
      </w:r>
      <w:r w:rsidRPr="00CE1F25">
        <w:t xml:space="preserve"> </w:t>
      </w:r>
      <w:r>
        <w:t xml:space="preserve">visual </w:t>
      </w:r>
      <w:r w:rsidRPr="00CE1F25">
        <w:t>observations</w:t>
      </w:r>
      <w:r>
        <w:t xml:space="preserve"> about the quality of the discharge; and </w:t>
      </w:r>
      <w:r w:rsidRPr="00CE1F25">
        <w:t xml:space="preserve">photographs of the </w:t>
      </w:r>
      <w:r>
        <w:t xml:space="preserve">dewatering </w:t>
      </w:r>
      <w:r w:rsidRPr="00CE1F25">
        <w:t>water before</w:t>
      </w:r>
      <w:r>
        <w:t xml:space="preserve"> </w:t>
      </w:r>
      <w:r w:rsidRPr="00CE1F25">
        <w:t xml:space="preserve">and after treatment, of the control method, and of the discharge point. </w:t>
      </w:r>
      <w:r>
        <w:t xml:space="preserve">Similar to site inspections, operators who observe a sediment plume, sheen, and/or other evidence of pollutants at the point of discharge to receiving waters or other drainage features are required to take and document corrective actions as outlined in the permit. All </w:t>
      </w:r>
      <w:r w:rsidRPr="00BC1F17">
        <w:t>i</w:t>
      </w:r>
      <w:r w:rsidRPr="00272EE9">
        <w:rPr>
          <w:szCs w:val="18"/>
        </w:rPr>
        <w:t>nspection reports may be prepared, signed, and kept electronically, rather than in paper form provided certain conditions are met.</w:t>
      </w:r>
      <w:r>
        <w:rPr>
          <w:rFonts w:asciiTheme="minorHAnsi" w:hAnsiTheme="minorHAnsi" w:cstheme="minorBidi"/>
        </w:rPr>
        <w:t xml:space="preserve"> </w:t>
      </w:r>
      <w:r w:rsidRPr="000221C6">
        <w:t>EPA is requiring operators to inspect the dewatering operation and discharge once per day while dewatering water is being discharged and record specific information during each inspection. These inspections must be performed in addition to site inspections.</w:t>
      </w:r>
      <w:r>
        <w:rPr>
          <w:bCs/>
        </w:rPr>
        <w:t xml:space="preserve"> </w:t>
      </w:r>
      <w:r>
        <w:t>The 2022 CGP also requires respondents to take corrective actions and generate corrective action records if an inspector observes evidence of a sediment plume, sheen, and/or other evidence of pollutants during dewatering inspections.</w:t>
      </w:r>
    </w:p>
    <w:p w:rsidR="009136C6" w:rsidP="009136C6" w14:paraId="627CD833" w14:textId="35E71C75">
      <w:pPr>
        <w:pStyle w:val="BulletLevel1"/>
        <w:numPr>
          <w:ilvl w:val="0"/>
          <w:numId w:val="40"/>
        </w:numPr>
        <w:spacing w:after="0" w:afterAutospacing="0"/>
        <w:rPr>
          <w:bCs/>
        </w:rPr>
      </w:pPr>
      <w:r w:rsidRPr="00A02BDF">
        <w:rPr>
          <w:b/>
        </w:rPr>
        <w:t>Turbidity Benchmark Monitoring</w:t>
      </w:r>
      <w:r>
        <w:rPr>
          <w:bCs/>
        </w:rPr>
        <w:t xml:space="preserve"> </w:t>
      </w:r>
      <w:r>
        <w:rPr>
          <w:b/>
        </w:rPr>
        <w:t xml:space="preserve">and Corrective Action Documentation </w:t>
      </w:r>
      <w:r>
        <w:rPr>
          <w:bCs/>
        </w:rPr>
        <w:t>[New collection schedule]</w:t>
      </w:r>
    </w:p>
    <w:p w:rsidR="009136C6" w:rsidP="009136C6" w14:paraId="6A7F087F" w14:textId="184A0E74">
      <w:pPr>
        <w:pStyle w:val="BulletLevel1"/>
        <w:rPr>
          <w:bCs/>
        </w:rPr>
      </w:pPr>
      <w:r>
        <w:t>The 2022 CGP includes new turbidity benchmark monitoring requirements for operators discharging dewatering water to sensitive waters.</w:t>
      </w:r>
      <w:r w:rsidRPr="00484E52" w:rsidR="00484E52">
        <w:t xml:space="preserve"> </w:t>
      </w:r>
      <w:r w:rsidR="00484E52">
        <w:t>EPA requires operators to collect and analyze at least one turbidity sample per day while dewatering discharges occur and report the weekly average value on a quarterly basis via</w:t>
      </w:r>
      <w:r w:rsidRPr="004F7D2F" w:rsidR="00484E52">
        <w:t xml:space="preserve"> </w:t>
      </w:r>
      <w:r w:rsidR="00484E52">
        <w:t>NeT-CGP</w:t>
      </w:r>
      <w:r w:rsidRPr="004F7D2F" w:rsidR="00484E52">
        <w:t>, unless granted a waiver</w:t>
      </w:r>
      <w:r w:rsidR="00484E52">
        <w:t xml:space="preserve"> to submit a paper form</w:t>
      </w:r>
      <w:r w:rsidRPr="004F7D2F" w:rsidR="00484E52">
        <w:t>.</w:t>
      </w:r>
      <w:r w:rsidR="00484E52">
        <w:t xml:space="preserve"> Operators with weekly average results exceeding the standard 50 nephelometric turbidity unit (NTU) benchmark, or alternative benchmark when applicable, are required to take and document corrective actions as outlined in the permit.</w:t>
      </w:r>
      <w:r>
        <w:t xml:space="preserve"> </w:t>
      </w:r>
      <w:r w:rsidRPr="00736123">
        <w:t xml:space="preserve">EPA requires affected respondents to collect and analyze at least one turbidity sample from the discharge on </w:t>
      </w:r>
      <w:r>
        <w:t>each</w:t>
      </w:r>
      <w:r w:rsidRPr="00736123">
        <w:t xml:space="preserve"> day in which dewatering</w:t>
      </w:r>
      <w:r>
        <w:t xml:space="preserve"> water is being discharged</w:t>
      </w:r>
      <w:r w:rsidRPr="00736123">
        <w:t xml:space="preserve"> and report the weekly average </w:t>
      </w:r>
      <w:r>
        <w:t xml:space="preserve">turbidity </w:t>
      </w:r>
      <w:r w:rsidRPr="00736123">
        <w:t>value on a quarterly monitoring report.</w:t>
      </w:r>
      <w:r>
        <w:t xml:space="preserve"> If the weekly average of a respondent’s turbidity monitoring results exceeds the 50 NTU benchmark, or alternate benchmark if approved by EPA, the respondent must take and document corrective action.</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C93404" w:rsidP="00C93404" w14:paraId="7565C4B0" w14:textId="597C9B85">
      <w:pPr>
        <w:spacing w:after="100" w:afterAutospacing="1" w:line="240" w:lineRule="auto"/>
        <w:contextualSpacing/>
        <w:rPr>
          <w:rStyle w:val="normaltextrun"/>
          <w:rFonts w:ascii="Calibri" w:hAnsi="Calibri" w:cs="Calibri"/>
        </w:rPr>
      </w:pPr>
      <w:r>
        <w:rPr>
          <w:rFonts w:ascii="Calibri" w:hAnsi="Calibri" w:cs="Calibri"/>
          <w:bCs/>
        </w:rPr>
        <w:t>As part of this supporting state</w:t>
      </w:r>
      <w:r w:rsidRPr="00151856">
        <w:rPr>
          <w:rFonts w:ascii="Calibri" w:hAnsi="Calibri" w:cs="Calibri"/>
          <w:bCs/>
        </w:rPr>
        <w:t xml:space="preserve">ment, </w:t>
      </w:r>
      <w:r w:rsidRPr="004652B3">
        <w:rPr>
          <w:rFonts w:ascii="Calibri" w:hAnsi="Calibri" w:cs="Calibri"/>
        </w:rPr>
        <w:t>EPA has re</w:t>
      </w:r>
      <w:r w:rsidRPr="00A20CDB">
        <w:rPr>
          <w:rFonts w:ascii="Calibri" w:hAnsi="Calibri" w:cs="Calibri"/>
        </w:rPr>
        <w:t xml:space="preserve">viewed the estimated burden for each information request in the </w:t>
      </w:r>
      <w:r>
        <w:rPr>
          <w:rFonts w:ascii="Calibri" w:hAnsi="Calibri" w:cs="Calibri"/>
        </w:rPr>
        <w:t>2022</w:t>
      </w:r>
      <w:r w:rsidRPr="004652B3">
        <w:rPr>
          <w:rFonts w:ascii="Calibri" w:hAnsi="Calibri" w:cs="Calibri"/>
        </w:rPr>
        <w:t xml:space="preserve"> </w:t>
      </w:r>
      <w:r w:rsidRPr="00AA646F">
        <w:rPr>
          <w:rFonts w:ascii="Calibri" w:hAnsi="Calibri" w:cs="Calibri"/>
        </w:rPr>
        <w:t>CGP</w:t>
      </w:r>
      <w:r w:rsidRPr="00A20CDB">
        <w:rPr>
          <w:rFonts w:ascii="Calibri" w:hAnsi="Calibri" w:cs="Calibri"/>
        </w:rPr>
        <w:t xml:space="preserve">. Revisions were made to reflect changes in the requirements of the </w:t>
      </w:r>
      <w:r w:rsidRPr="00AA646F">
        <w:rPr>
          <w:rFonts w:ascii="Calibri" w:hAnsi="Calibri" w:cs="Calibri"/>
        </w:rPr>
        <w:t>CGP</w:t>
      </w:r>
      <w:r w:rsidRPr="00367E4A">
        <w:rPr>
          <w:rFonts w:ascii="Calibri" w:hAnsi="Calibri" w:cs="Calibri"/>
        </w:rPr>
        <w:t>.</w:t>
      </w:r>
    </w:p>
    <w:p w:rsidR="00C93404" w:rsidRPr="002523D7" w:rsidP="00C93404" w14:paraId="5C377917" w14:textId="77777777">
      <w:pPr>
        <w:pStyle w:val="BulletLevel1Header"/>
        <w:spacing w:after="0" w:afterAutospacing="0"/>
        <w:rPr>
          <w:b w:val="0"/>
          <w:bCs/>
        </w:rPr>
      </w:pPr>
      <w:r w:rsidRPr="001E010D">
        <w:t xml:space="preserve">NOI </w:t>
      </w:r>
      <w:r w:rsidRPr="006B313E">
        <w:t>Forms</w:t>
      </w:r>
      <w:r>
        <w:t xml:space="preserve"> </w:t>
      </w:r>
      <w:r w:rsidRPr="00270644">
        <w:rPr>
          <w:b w:val="0"/>
          <w:bCs/>
        </w:rPr>
        <w:t>[</w:t>
      </w:r>
      <w:r>
        <w:rPr>
          <w:b w:val="0"/>
          <w:bCs/>
        </w:rPr>
        <w:t>Changes</w:t>
      </w:r>
      <w:r w:rsidRPr="00270644">
        <w:rPr>
          <w:b w:val="0"/>
          <w:bCs/>
        </w:rPr>
        <w:t xml:space="preserve"> to the </w:t>
      </w:r>
      <w:r>
        <w:rPr>
          <w:b w:val="0"/>
          <w:bCs/>
        </w:rPr>
        <w:t xml:space="preserve">information </w:t>
      </w:r>
      <w:r w:rsidRPr="00270644">
        <w:rPr>
          <w:b w:val="0"/>
          <w:bCs/>
        </w:rPr>
        <w:t xml:space="preserve">collection </w:t>
      </w:r>
      <w:r>
        <w:rPr>
          <w:b w:val="0"/>
          <w:bCs/>
        </w:rPr>
        <w:t>burden</w:t>
      </w:r>
      <w:r w:rsidRPr="00270644">
        <w:rPr>
          <w:b w:val="0"/>
          <w:bCs/>
        </w:rPr>
        <w:t>]</w:t>
      </w:r>
    </w:p>
    <w:p w:rsidR="00C93404" w:rsidP="00C93404" w14:paraId="572D4996" w14:textId="26A1CBDE">
      <w:pPr>
        <w:pStyle w:val="BulletLevel1"/>
      </w:pPr>
      <w:r>
        <w:t xml:space="preserve">There are minor changes to the requirements and estimated burden for this activity. Consistent with assumptions made in the NPDES Program ICR, </w:t>
      </w:r>
      <w:r w:rsidRPr="0022278D">
        <w:t xml:space="preserve">EPA assumes that all respondents will submit one NOI and each </w:t>
      </w:r>
      <w:r>
        <w:t>project</w:t>
      </w:r>
      <w:r w:rsidRPr="0022278D">
        <w:t xml:space="preserve"> will last approximately one year</w:t>
      </w:r>
      <w:r>
        <w:t xml:space="preserve"> (i.e., </w:t>
      </w:r>
      <w:r w:rsidRPr="006B313E">
        <w:t>all respondents will submit an NOI to the EPA annually</w:t>
      </w:r>
      <w:r>
        <w:t>)</w:t>
      </w:r>
      <w:r w:rsidRPr="006B313E">
        <w:t xml:space="preserve">. </w:t>
      </w:r>
      <w:r>
        <w:t xml:space="preserve">Using </w:t>
      </w:r>
      <w:r w:rsidR="00E265C7">
        <w:t xml:space="preserve">the first two years of the 2022 </w:t>
      </w:r>
      <w:r>
        <w:t>CGP NOI data, EPA estimated that 5</w:t>
      </w:r>
      <w:r w:rsidR="00484E52">
        <w:t>5</w:t>
      </w:r>
      <w:r>
        <w:t>% of respondents will correspond to small sites and 4</w:t>
      </w:r>
      <w:r w:rsidR="00484E52">
        <w:t>5</w:t>
      </w:r>
      <w:r>
        <w:t>% will correspond to large sites. B</w:t>
      </w:r>
      <w:r w:rsidRPr="006B313E">
        <w:t xml:space="preserve">ased on information provided by </w:t>
      </w:r>
      <w:r>
        <w:t>US</w:t>
      </w:r>
      <w:r w:rsidRPr="006B313E">
        <w:t>FWS</w:t>
      </w:r>
      <w:r>
        <w:t xml:space="preserve">, </w:t>
      </w:r>
      <w:r w:rsidRPr="006B313E">
        <w:t>EPA estimate</w:t>
      </w:r>
      <w:r>
        <w:t>d</w:t>
      </w:r>
      <w:r w:rsidRPr="006B313E">
        <w:t xml:space="preserve"> that</w:t>
      </w:r>
      <w:r>
        <w:t>:</w:t>
      </w:r>
    </w:p>
    <w:p w:rsidR="00C93404" w:rsidP="00C93404" w14:paraId="7F6CDE59" w14:textId="77777777">
      <w:pPr>
        <w:pStyle w:val="BulletLevel1"/>
        <w:numPr>
          <w:ilvl w:val="0"/>
          <w:numId w:val="39"/>
        </w:numPr>
      </w:pPr>
      <w:r>
        <w:t>S</w:t>
      </w:r>
      <w:r w:rsidRPr="006B313E">
        <w:t>mall site respondents will each spend 3.7 hours preparing and submitting an NOI</w:t>
      </w:r>
      <w:r>
        <w:t xml:space="preserve">, which includes performing a </w:t>
      </w:r>
      <w:r w:rsidRPr="006B313E">
        <w:t>threatened and endangered species protection evaluation</w:t>
      </w:r>
      <w:r>
        <w:t xml:space="preserve"> and any resulting consultation</w:t>
      </w:r>
      <w:r w:rsidRPr="006B313E">
        <w:t xml:space="preserve">. </w:t>
      </w:r>
    </w:p>
    <w:p w:rsidR="00C93404" w:rsidP="00C93404" w14:paraId="0E9AFAE4" w14:textId="77777777">
      <w:pPr>
        <w:pStyle w:val="BulletLevel1"/>
        <w:numPr>
          <w:ilvl w:val="0"/>
          <w:numId w:val="39"/>
        </w:numPr>
      </w:pPr>
      <w:r w:rsidRPr="006B313E">
        <w:t>60% of large site respondents will spend 1.5 hours to prepare an NOI</w:t>
      </w:r>
      <w:r>
        <w:t xml:space="preserve">, which includes performing a </w:t>
      </w:r>
      <w:r w:rsidRPr="006B313E">
        <w:t>threatened and endangered species protection evaluation</w:t>
      </w:r>
      <w:r>
        <w:t xml:space="preserve"> that indicates no consultation</w:t>
      </w:r>
      <w:r w:rsidRPr="006B313E">
        <w:t xml:space="preserve"> </w:t>
      </w:r>
      <w:r>
        <w:t>is necessary.</w:t>
      </w:r>
    </w:p>
    <w:p w:rsidR="00C93404" w:rsidP="00C93404" w14:paraId="6A97A85C" w14:textId="77777777">
      <w:pPr>
        <w:pStyle w:val="BulletLevel1"/>
        <w:numPr>
          <w:ilvl w:val="0"/>
          <w:numId w:val="39"/>
        </w:numPr>
      </w:pPr>
      <w:r w:rsidRPr="006B313E">
        <w:t>37.3% of large sites will spend 6 hours to prepare an NOI</w:t>
      </w:r>
      <w:r>
        <w:t xml:space="preserve">, which includes performing a </w:t>
      </w:r>
      <w:r w:rsidRPr="006B313E">
        <w:t>threatened and endangered species protection evaluation</w:t>
      </w:r>
      <w:r>
        <w:t xml:space="preserve"> and </w:t>
      </w:r>
      <w:r w:rsidRPr="006B313E">
        <w:t>informal consult</w:t>
      </w:r>
      <w:r>
        <w:t>ation</w:t>
      </w:r>
      <w:r w:rsidRPr="006B313E">
        <w:t xml:space="preserve"> with the USFWS or NMFS to determine if species or critical habitat may be present and if an adverse impact is likely to occur</w:t>
      </w:r>
      <w:r>
        <w:t>.</w:t>
      </w:r>
    </w:p>
    <w:p w:rsidR="00C93404" w:rsidP="00C93404" w14:paraId="5722BFB7" w14:textId="77777777">
      <w:pPr>
        <w:pStyle w:val="BulletLevel1"/>
        <w:numPr>
          <w:ilvl w:val="0"/>
          <w:numId w:val="39"/>
        </w:numPr>
      </w:pPr>
      <w:r w:rsidRPr="006B313E">
        <w:t>2.7% of large sites will spend approximately 20 hours to prepare an NOI</w:t>
      </w:r>
      <w:r>
        <w:t xml:space="preserve">, which includes performing a </w:t>
      </w:r>
      <w:r w:rsidRPr="006B313E">
        <w:t>threatened and endangered species protection evaluation</w:t>
      </w:r>
      <w:r>
        <w:t xml:space="preserve"> and</w:t>
      </w:r>
      <w:r w:rsidRPr="006B313E">
        <w:t xml:space="preserve"> conduct</w:t>
      </w:r>
      <w:r>
        <w:t>ing</w:t>
      </w:r>
      <w:r w:rsidRPr="006B313E">
        <w:t xml:space="preserve"> </w:t>
      </w:r>
      <w:r>
        <w:t xml:space="preserve">a </w:t>
      </w:r>
      <w:r w:rsidRPr="006B313E">
        <w:t>formal consultation</w:t>
      </w:r>
      <w:r>
        <w:t xml:space="preserve"> with the services</w:t>
      </w:r>
      <w:r w:rsidRPr="006B313E">
        <w:t xml:space="preserve"> for actions that are likely to adversely affect species or critical habitat.</w:t>
      </w:r>
    </w:p>
    <w:p w:rsidR="00C93404" w:rsidP="00C93404" w14:paraId="6B21B7B4" w14:textId="7497945F">
      <w:pPr>
        <w:pStyle w:val="BulletLevel1"/>
      </w:pPr>
      <w:r>
        <w:t>For t</w:t>
      </w:r>
      <w:r w:rsidRPr="00DE479D">
        <w:t>he 202</w:t>
      </w:r>
      <w:r>
        <w:t>2</w:t>
      </w:r>
      <w:r w:rsidRPr="00DE479D">
        <w:t xml:space="preserve"> </w:t>
      </w:r>
      <w:r>
        <w:t xml:space="preserve">CGP, EPA </w:t>
      </w:r>
      <w:r w:rsidR="00833571">
        <w:t>integrated</w:t>
      </w:r>
      <w:r>
        <w:t xml:space="preserve"> the CGP’s instructions and procedures for determining ESA eligibility criterion into NeT-CGP through a series of “smart” questions that are based on Appendix D and presented in a dynamic way that helps the operator narrow down their correct criterion selection. This change streamline</w:t>
      </w:r>
      <w:r w:rsidR="00833571">
        <w:t>s</w:t>
      </w:r>
      <w:r>
        <w:t xml:space="preserve"> the NOI process and reduce the number of documents and processes operators need to consult. EPA estimates that this reduce</w:t>
      </w:r>
      <w:r w:rsidR="00833571">
        <w:t>s</w:t>
      </w:r>
      <w:r>
        <w:t xml:space="preserve"> the burden to determine endangered species eligibility criterion by 0.5 hours for each NOI.</w:t>
      </w:r>
    </w:p>
    <w:p w:rsidR="00C93404" w:rsidP="00C93404" w14:paraId="079167A2" w14:textId="36A5D3EA">
      <w:pPr>
        <w:pStyle w:val="BulletLevel1"/>
      </w:pPr>
      <w:r>
        <w:t xml:space="preserve">In addition, </w:t>
      </w:r>
      <w:r w:rsidRPr="00AC20D0">
        <w:t>EPA is collecting new information as part of the 2022 CGP</w:t>
      </w:r>
      <w:r w:rsidR="00AE19B9">
        <w:t xml:space="preserve"> NOI</w:t>
      </w:r>
      <w:r w:rsidRPr="00AC20D0">
        <w:t xml:space="preserve">. The NOI form was updated to collect new information related to the following: </w:t>
      </w:r>
      <w:r>
        <w:t xml:space="preserve">whether the operator will be discharging </w:t>
      </w:r>
      <w:r w:rsidRPr="0073399C">
        <w:t>dewatering</w:t>
      </w:r>
      <w:r>
        <w:t xml:space="preserve"> water</w:t>
      </w:r>
      <w:r w:rsidRPr="00A17E7C">
        <w:t xml:space="preserve"> </w:t>
      </w:r>
      <w:r>
        <w:t>and whether the dewatering discharge is from a location that is a current or former federal or state remediation site;</w:t>
      </w:r>
      <w:r w:rsidRPr="0073399C">
        <w:t xml:space="preserve"> </w:t>
      </w:r>
      <w:r>
        <w:t xml:space="preserve">whether there are </w:t>
      </w:r>
      <w:r w:rsidRPr="0073399C">
        <w:t>other operators submitting NOIs for the same project</w:t>
      </w:r>
      <w:r>
        <w:t xml:space="preserve">; and confirmation that the operator completed the required </w:t>
      </w:r>
      <w:r w:rsidRPr="0073399C">
        <w:t>inspector training.</w:t>
      </w:r>
      <w:r>
        <w:t xml:space="preserve"> EPA estimates that each respondent will need an additional 10 minutes, or 0.1 hours, to answer the new NOI questions. </w:t>
      </w:r>
    </w:p>
    <w:p w:rsidR="00C93404" w:rsidRPr="003223D9" w:rsidP="00C93404" w14:paraId="70417369" w14:textId="77777777">
      <w:pPr>
        <w:pStyle w:val="BulletLevel1"/>
      </w:pPr>
      <w:r w:rsidRPr="006B313E">
        <w:t xml:space="preserve">See </w:t>
      </w:r>
      <w:r w:rsidRPr="00D4285F">
        <w:rPr>
          <w:b/>
          <w:bCs/>
        </w:rPr>
        <w:t>Table 2</w:t>
      </w:r>
      <w:r w:rsidRPr="006B313E">
        <w:t xml:space="preserve"> for a </w:t>
      </w:r>
      <w:r>
        <w:t>summary</w:t>
      </w:r>
      <w:r w:rsidRPr="006B313E">
        <w:t xml:space="preserve"> of NOI burden by respondent category</w:t>
      </w:r>
      <w:r>
        <w:t xml:space="preserve"> for the 2022 CGP</w:t>
      </w:r>
      <w:r w:rsidRPr="006B313E">
        <w:t>. All of these NOI estimates include the burden to determine</w:t>
      </w:r>
      <w:r>
        <w:t xml:space="preserve"> eligibility procedures relating to threatened and endangered species protection,</w:t>
      </w:r>
      <w:r w:rsidRPr="006B313E">
        <w:t xml:space="preserve"> historic properties eligibility (including contacting the SHPO/THPO, if applicable) and the burden to notify the Regional EPA Office about cationic treatment chemical use</w:t>
      </w:r>
      <w:r>
        <w:t>,</w:t>
      </w:r>
      <w:r w:rsidRPr="006B313E">
        <w:t xml:space="preserve"> if applicable.</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
        <w:gridCol w:w="4714"/>
        <w:gridCol w:w="1440"/>
        <w:gridCol w:w="1620"/>
        <w:gridCol w:w="1486"/>
        <w:gridCol w:w="8"/>
      </w:tblGrid>
      <w:tr w14:paraId="7EEA7C19" w14:textId="77777777" w:rsidTr="00A3008A">
        <w:tblPrEx>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
          <w:jc w:val="center"/>
        </w:trPr>
        <w:tc>
          <w:tcPr>
            <w:tcW w:w="236" w:type="dxa"/>
            <w:tcBorders>
              <w:top w:val="nil"/>
              <w:left w:val="nil"/>
              <w:bottom w:val="single" w:sz="4" w:space="0" w:color="auto"/>
              <w:right w:val="nil"/>
            </w:tcBorders>
            <w:shd w:val="clear" w:color="000000" w:fill="auto"/>
          </w:tcPr>
          <w:p w:rsidR="00C93404" w:rsidRPr="00CA39B8" w:rsidP="00A3008A" w14:paraId="19F580E0" w14:textId="77777777">
            <w:pPr>
              <w:keepNext/>
              <w:keepLines/>
              <w:spacing w:after="0" w:line="240" w:lineRule="auto"/>
              <w:jc w:val="center"/>
              <w:rPr>
                <w:b/>
                <w:bCs/>
              </w:rPr>
            </w:pPr>
          </w:p>
        </w:tc>
        <w:tc>
          <w:tcPr>
            <w:tcW w:w="9268" w:type="dxa"/>
            <w:gridSpan w:val="5"/>
            <w:tcBorders>
              <w:top w:val="nil"/>
              <w:left w:val="nil"/>
              <w:bottom w:val="single" w:sz="4" w:space="0" w:color="auto"/>
              <w:right w:val="nil"/>
            </w:tcBorders>
            <w:shd w:val="clear" w:color="000000" w:fill="auto"/>
          </w:tcPr>
          <w:p w:rsidR="00C93404" w:rsidRPr="00D83958" w:rsidP="00A3008A" w14:paraId="7A5DE36B" w14:textId="77777777">
            <w:pPr>
              <w:keepNext/>
              <w:keepLines/>
              <w:spacing w:after="0" w:line="240" w:lineRule="auto"/>
              <w:jc w:val="center"/>
              <w:rPr>
                <w:rFonts w:ascii="Calibri" w:eastAsia="Times New Roman" w:hAnsi="Calibri" w:cs="Calibri"/>
                <w:b/>
                <w:bCs/>
                <w:color w:val="000000"/>
              </w:rPr>
            </w:pPr>
            <w:r w:rsidRPr="00CA39B8">
              <w:rPr>
                <w:b/>
                <w:bCs/>
              </w:rPr>
              <w:t xml:space="preserve">Table </w:t>
            </w:r>
            <w:r w:rsidRPr="00CA39B8">
              <w:rPr>
                <w:b/>
                <w:bCs/>
              </w:rPr>
              <w:fldChar w:fldCharType="begin"/>
            </w:r>
            <w:r w:rsidRPr="00CA39B8">
              <w:rPr>
                <w:b/>
                <w:bCs/>
              </w:rPr>
              <w:instrText xml:space="preserve"> SEQ Table \* ARABIC </w:instrText>
            </w:r>
            <w:r w:rsidRPr="00CA39B8">
              <w:rPr>
                <w:b/>
                <w:bCs/>
              </w:rPr>
              <w:fldChar w:fldCharType="separate"/>
            </w:r>
            <w:r>
              <w:rPr>
                <w:b/>
                <w:bCs/>
                <w:noProof/>
              </w:rPr>
              <w:t>2</w:t>
            </w:r>
            <w:r w:rsidRPr="00CA39B8">
              <w:rPr>
                <w:b/>
                <w:bCs/>
              </w:rPr>
              <w:fldChar w:fldCharType="end"/>
            </w:r>
            <w:r w:rsidRPr="00CA39B8">
              <w:rPr>
                <w:b/>
                <w:bCs/>
              </w:rPr>
              <w:t xml:space="preserve"> </w:t>
            </w:r>
            <w:r>
              <w:rPr>
                <w:b/>
                <w:bCs/>
              </w:rPr>
              <w:t>–</w:t>
            </w:r>
            <w:r w:rsidRPr="00CA39B8">
              <w:rPr>
                <w:b/>
                <w:bCs/>
              </w:rPr>
              <w:t xml:space="preserve"> </w:t>
            </w:r>
            <w:r>
              <w:rPr>
                <w:b/>
                <w:bCs/>
              </w:rPr>
              <w:t xml:space="preserve">2022 CGP </w:t>
            </w:r>
            <w:r w:rsidRPr="00CA39B8">
              <w:rPr>
                <w:b/>
                <w:bCs/>
              </w:rPr>
              <w:t xml:space="preserve">NOI Burden </w:t>
            </w:r>
            <w:r>
              <w:rPr>
                <w:b/>
                <w:bCs/>
              </w:rPr>
              <w:t>Summary</w:t>
            </w:r>
          </w:p>
        </w:tc>
      </w:tr>
      <w:tr w14:paraId="263CACE1" w14:textId="77777777" w:rsidTr="00A3008A">
        <w:tblPrEx>
          <w:tblW w:w="9504" w:type="dxa"/>
          <w:jc w:val="center"/>
          <w:tblLayout w:type="fixed"/>
          <w:tblLook w:val="04A0"/>
        </w:tblPrEx>
        <w:trPr>
          <w:trHeight w:val="71"/>
          <w:jc w:val="center"/>
        </w:trPr>
        <w:tc>
          <w:tcPr>
            <w:tcW w:w="4950" w:type="dxa"/>
            <w:gridSpan w:val="2"/>
            <w:vMerge w:val="restart"/>
            <w:shd w:val="pct12" w:color="000000" w:fill="auto"/>
            <w:vAlign w:val="bottom"/>
          </w:tcPr>
          <w:p w:rsidR="00C93404" w:rsidRPr="00D83958" w:rsidP="00A3008A" w14:paraId="04A7D195" w14:textId="77777777">
            <w:pPr>
              <w:keepNext/>
              <w:keepLines/>
              <w:spacing w:after="0" w:line="240" w:lineRule="auto"/>
              <w:jc w:val="center"/>
              <w:rPr>
                <w:rFonts w:ascii="Calibri" w:eastAsia="Times New Roman" w:hAnsi="Calibri" w:cs="Calibri"/>
                <w:b/>
                <w:bCs/>
                <w:color w:val="000000"/>
              </w:rPr>
            </w:pPr>
            <w:r w:rsidRPr="00D83958">
              <w:rPr>
                <w:rFonts w:ascii="Calibri" w:eastAsia="Times New Roman" w:hAnsi="Calibri" w:cs="Calibri"/>
                <w:b/>
                <w:bCs/>
                <w:color w:val="000000"/>
              </w:rPr>
              <w:t>Activity</w:t>
            </w:r>
          </w:p>
        </w:tc>
        <w:tc>
          <w:tcPr>
            <w:tcW w:w="4554" w:type="dxa"/>
            <w:gridSpan w:val="4"/>
            <w:shd w:val="pct12" w:color="000000" w:fill="auto"/>
            <w:vAlign w:val="bottom"/>
          </w:tcPr>
          <w:p w:rsidR="00C93404" w:rsidRPr="00D83958" w:rsidP="00A3008A" w14:paraId="351FF667" w14:textId="77777777">
            <w:pPr>
              <w:keepNext/>
              <w:keepLines/>
              <w:spacing w:after="0" w:line="240" w:lineRule="auto"/>
              <w:jc w:val="center"/>
              <w:rPr>
                <w:rFonts w:ascii="Calibri" w:eastAsia="Times New Roman" w:hAnsi="Calibri" w:cs="Calibri"/>
                <w:b/>
                <w:bCs/>
                <w:color w:val="000000"/>
              </w:rPr>
            </w:pPr>
            <w:r w:rsidRPr="00D83958">
              <w:rPr>
                <w:rFonts w:ascii="Calibri" w:eastAsia="Times New Roman" w:hAnsi="Calibri" w:cs="Calibri"/>
                <w:b/>
                <w:bCs/>
                <w:color w:val="000000"/>
              </w:rPr>
              <w:t>Hours Per Response</w:t>
            </w:r>
          </w:p>
        </w:tc>
      </w:tr>
      <w:tr w14:paraId="76E1ED44" w14:textId="77777777" w:rsidTr="00A3008A">
        <w:tblPrEx>
          <w:tblW w:w="9504" w:type="dxa"/>
          <w:jc w:val="center"/>
          <w:tblLayout w:type="fixed"/>
          <w:tblLook w:val="04A0"/>
        </w:tblPrEx>
        <w:trPr>
          <w:gridAfter w:val="1"/>
          <w:wAfter w:w="8" w:type="dxa"/>
          <w:trHeight w:val="557"/>
          <w:jc w:val="center"/>
        </w:trPr>
        <w:tc>
          <w:tcPr>
            <w:tcW w:w="4950" w:type="dxa"/>
            <w:gridSpan w:val="2"/>
            <w:vMerge/>
            <w:shd w:val="pct12" w:color="000000" w:fill="auto"/>
            <w:vAlign w:val="bottom"/>
            <w:hideMark/>
          </w:tcPr>
          <w:p w:rsidR="00C93404" w:rsidRPr="00D83958" w:rsidP="00A3008A" w14:paraId="00C0F6F4" w14:textId="77777777">
            <w:pPr>
              <w:keepNext/>
              <w:keepLines/>
              <w:spacing w:after="0" w:line="240" w:lineRule="auto"/>
              <w:jc w:val="center"/>
              <w:rPr>
                <w:rFonts w:ascii="Calibri" w:eastAsia="Times New Roman" w:hAnsi="Calibri" w:cs="Calibri"/>
                <w:b/>
                <w:bCs/>
                <w:color w:val="000000"/>
              </w:rPr>
            </w:pPr>
          </w:p>
        </w:tc>
        <w:tc>
          <w:tcPr>
            <w:tcW w:w="1440" w:type="dxa"/>
            <w:shd w:val="pct12" w:color="000000" w:fill="auto"/>
            <w:vAlign w:val="center"/>
          </w:tcPr>
          <w:p w:rsidR="00C93404" w:rsidRPr="00D83958" w:rsidP="00A3008A" w14:paraId="05CE9F7F" w14:textId="77777777">
            <w:pPr>
              <w:keepNext/>
              <w:keepLines/>
              <w:spacing w:after="0" w:line="240" w:lineRule="auto"/>
              <w:jc w:val="center"/>
              <w:rPr>
                <w:rFonts w:ascii="Calibri" w:eastAsia="Times New Roman" w:hAnsi="Calibri" w:cs="Calibri"/>
                <w:b/>
                <w:bCs/>
                <w:color w:val="000000"/>
              </w:rPr>
            </w:pPr>
            <w:r>
              <w:rPr>
                <w:rFonts w:ascii="Calibri" w:hAnsi="Calibri" w:cs="Calibri"/>
                <w:b/>
                <w:bCs/>
                <w:color w:val="000000"/>
                <w:sz w:val="18"/>
                <w:szCs w:val="18"/>
              </w:rPr>
              <w:t>2017 NPDES Program ICR</w:t>
            </w:r>
          </w:p>
        </w:tc>
        <w:tc>
          <w:tcPr>
            <w:tcW w:w="1620" w:type="dxa"/>
            <w:shd w:val="pct12" w:color="000000" w:fill="auto"/>
            <w:vAlign w:val="center"/>
          </w:tcPr>
          <w:p w:rsidR="00C93404" w:rsidRPr="00D83958" w:rsidP="00A3008A" w14:paraId="62C98F19" w14:textId="77777777">
            <w:pPr>
              <w:keepNext/>
              <w:keepLines/>
              <w:spacing w:after="0" w:line="240" w:lineRule="auto"/>
              <w:jc w:val="center"/>
              <w:rPr>
                <w:rFonts w:ascii="Calibri" w:eastAsia="Times New Roman" w:hAnsi="Calibri" w:cs="Calibri"/>
                <w:b/>
                <w:bCs/>
                <w:color w:val="000000"/>
              </w:rPr>
            </w:pPr>
            <w:r>
              <w:rPr>
                <w:rFonts w:ascii="Calibri" w:hAnsi="Calibri" w:cs="Calibri"/>
                <w:b/>
                <w:bCs/>
                <w:color w:val="000000"/>
                <w:sz w:val="18"/>
                <w:szCs w:val="18"/>
              </w:rPr>
              <w:t xml:space="preserve"> 2022 CGP Incremental Change </w:t>
            </w:r>
            <w:r w:rsidRPr="00270644">
              <w:rPr>
                <w:rFonts w:ascii="Calibri" w:hAnsi="Calibri" w:cs="Calibri"/>
                <w:b/>
                <w:bCs/>
                <w:color w:val="000000"/>
                <w:sz w:val="18"/>
                <w:szCs w:val="18"/>
                <w:vertAlign w:val="superscript"/>
              </w:rPr>
              <w:t>1</w:t>
            </w:r>
          </w:p>
        </w:tc>
        <w:tc>
          <w:tcPr>
            <w:tcW w:w="1486" w:type="dxa"/>
            <w:shd w:val="pct12" w:color="000000" w:fill="auto"/>
            <w:vAlign w:val="center"/>
          </w:tcPr>
          <w:p w:rsidR="00C93404" w:rsidRPr="00D83958" w:rsidP="00A3008A" w14:paraId="69838DC0" w14:textId="77777777">
            <w:pPr>
              <w:keepNext/>
              <w:keepLines/>
              <w:spacing w:after="0" w:line="240" w:lineRule="auto"/>
              <w:jc w:val="center"/>
              <w:rPr>
                <w:rFonts w:ascii="Calibri" w:eastAsia="Times New Roman" w:hAnsi="Calibri" w:cs="Calibri"/>
                <w:b/>
                <w:bCs/>
                <w:color w:val="000000"/>
              </w:rPr>
            </w:pPr>
            <w:r>
              <w:rPr>
                <w:rFonts w:ascii="Calibri" w:hAnsi="Calibri" w:cs="Calibri"/>
                <w:b/>
                <w:bCs/>
                <w:color w:val="000000"/>
                <w:sz w:val="18"/>
                <w:szCs w:val="18"/>
              </w:rPr>
              <w:t xml:space="preserve"> 2022 CGP Total</w:t>
            </w:r>
          </w:p>
        </w:tc>
      </w:tr>
      <w:tr w14:paraId="69FB1F61" w14:textId="77777777" w:rsidTr="00A3008A">
        <w:tblPrEx>
          <w:tblW w:w="9504" w:type="dxa"/>
          <w:jc w:val="center"/>
          <w:tblLayout w:type="fixed"/>
          <w:tblLook w:val="04A0"/>
        </w:tblPrEx>
        <w:trPr>
          <w:gridAfter w:val="1"/>
          <w:wAfter w:w="8" w:type="dxa"/>
          <w:trHeight w:val="300"/>
          <w:jc w:val="center"/>
        </w:trPr>
        <w:tc>
          <w:tcPr>
            <w:tcW w:w="4950" w:type="dxa"/>
            <w:gridSpan w:val="2"/>
            <w:shd w:val="clear" w:color="auto" w:fill="auto"/>
            <w:noWrap/>
            <w:vAlign w:val="center"/>
            <w:hideMark/>
          </w:tcPr>
          <w:p w:rsidR="00C93404" w:rsidRPr="00D83958" w:rsidP="00A3008A" w14:paraId="545846D5" w14:textId="77777777">
            <w:pPr>
              <w:keepNext/>
              <w:keepLines/>
              <w:spacing w:after="0" w:line="240" w:lineRule="auto"/>
              <w:ind w:left="1152" w:hanging="1152"/>
              <w:rPr>
                <w:rFonts w:ascii="Calibri" w:eastAsia="Times New Roman" w:hAnsi="Calibri" w:cs="Calibri"/>
                <w:color w:val="000000"/>
              </w:rPr>
            </w:pPr>
            <w:r>
              <w:rPr>
                <w:rFonts w:ascii="Calibri" w:eastAsia="Times New Roman" w:hAnsi="Calibri" w:cs="Calibri"/>
                <w:color w:val="000000"/>
              </w:rPr>
              <w:t xml:space="preserve">Small sites – Includes </w:t>
            </w:r>
            <w:r>
              <w:t>e</w:t>
            </w:r>
            <w:r w:rsidRPr="00330B92">
              <w:t xml:space="preserve">ndangered </w:t>
            </w:r>
            <w:r>
              <w:t>s</w:t>
            </w:r>
            <w:r w:rsidRPr="00330B92">
              <w:t xml:space="preserve">pecies </w:t>
            </w:r>
            <w:r>
              <w:t>evaluation and any consultation</w:t>
            </w:r>
          </w:p>
        </w:tc>
        <w:tc>
          <w:tcPr>
            <w:tcW w:w="1440" w:type="dxa"/>
            <w:vAlign w:val="center"/>
          </w:tcPr>
          <w:p w:rsidR="00C93404" w:rsidP="00A3008A" w14:paraId="59A24067" w14:textId="77777777">
            <w:pPr>
              <w:keepNext/>
              <w:keepLines/>
              <w:spacing w:after="0" w:line="240" w:lineRule="auto"/>
              <w:jc w:val="center"/>
              <w:rPr>
                <w:rFonts w:ascii="Calibri" w:eastAsia="Times New Roman" w:hAnsi="Calibri" w:cs="Calibri"/>
                <w:color w:val="000000"/>
              </w:rPr>
            </w:pPr>
            <w:r>
              <w:rPr>
                <w:rFonts w:ascii="Calibri" w:hAnsi="Calibri" w:cs="Calibri"/>
                <w:color w:val="000000"/>
              </w:rPr>
              <w:t>3.7</w:t>
            </w:r>
          </w:p>
        </w:tc>
        <w:tc>
          <w:tcPr>
            <w:tcW w:w="1620" w:type="dxa"/>
            <w:vAlign w:val="center"/>
          </w:tcPr>
          <w:p w:rsidR="00C93404" w:rsidP="00A3008A" w14:paraId="408DA641" w14:textId="77777777">
            <w:pPr>
              <w:keepNext/>
              <w:keepLines/>
              <w:spacing w:after="0" w:line="240" w:lineRule="auto"/>
              <w:jc w:val="center"/>
              <w:rPr>
                <w:rFonts w:ascii="Calibri" w:eastAsia="Times New Roman" w:hAnsi="Calibri" w:cs="Calibri"/>
                <w:color w:val="000000"/>
              </w:rPr>
            </w:pPr>
            <w:r>
              <w:rPr>
                <w:rFonts w:ascii="Calibri" w:hAnsi="Calibri" w:cs="Calibri"/>
              </w:rPr>
              <w:t>-0.4</w:t>
            </w:r>
          </w:p>
        </w:tc>
        <w:tc>
          <w:tcPr>
            <w:tcW w:w="1486" w:type="dxa"/>
            <w:shd w:val="clear" w:color="auto" w:fill="auto"/>
            <w:noWrap/>
            <w:vAlign w:val="center"/>
            <w:hideMark/>
          </w:tcPr>
          <w:p w:rsidR="00C93404" w:rsidRPr="00D83958" w:rsidP="00A3008A" w14:paraId="152FE89A" w14:textId="77777777">
            <w:pPr>
              <w:keepNext/>
              <w:keepLines/>
              <w:spacing w:after="0" w:line="240" w:lineRule="auto"/>
              <w:jc w:val="center"/>
              <w:rPr>
                <w:rFonts w:ascii="Calibri" w:eastAsia="Times New Roman" w:hAnsi="Calibri" w:cs="Calibri"/>
                <w:color w:val="000000"/>
              </w:rPr>
            </w:pPr>
            <w:r>
              <w:rPr>
                <w:rFonts w:ascii="Calibri" w:eastAsia="Times New Roman" w:hAnsi="Calibri" w:cs="Calibri"/>
                <w:color w:val="000000"/>
              </w:rPr>
              <w:t>3.3</w:t>
            </w:r>
          </w:p>
        </w:tc>
      </w:tr>
      <w:tr w14:paraId="7E9A370F" w14:textId="77777777" w:rsidTr="00A3008A">
        <w:tblPrEx>
          <w:tblW w:w="9504" w:type="dxa"/>
          <w:jc w:val="center"/>
          <w:tblLayout w:type="fixed"/>
          <w:tblLook w:val="04A0"/>
        </w:tblPrEx>
        <w:trPr>
          <w:gridAfter w:val="1"/>
          <w:wAfter w:w="8" w:type="dxa"/>
          <w:trHeight w:val="300"/>
          <w:jc w:val="center"/>
        </w:trPr>
        <w:tc>
          <w:tcPr>
            <w:tcW w:w="4950" w:type="dxa"/>
            <w:gridSpan w:val="2"/>
            <w:shd w:val="clear" w:color="auto" w:fill="auto"/>
            <w:noWrap/>
            <w:vAlign w:val="center"/>
            <w:hideMark/>
          </w:tcPr>
          <w:p w:rsidR="00C93404" w:rsidRPr="00D83958" w:rsidP="00A3008A" w14:paraId="61EFB85C" w14:textId="77777777">
            <w:pPr>
              <w:keepNext/>
              <w:keepLines/>
              <w:spacing w:after="0" w:line="240" w:lineRule="auto"/>
              <w:ind w:left="1152" w:hanging="1152"/>
              <w:rPr>
                <w:rFonts w:ascii="Calibri" w:eastAsia="Times New Roman" w:hAnsi="Calibri" w:cs="Calibri"/>
                <w:color w:val="000000"/>
              </w:rPr>
            </w:pPr>
            <w:r>
              <w:rPr>
                <w:rFonts w:ascii="Calibri" w:eastAsia="Times New Roman" w:hAnsi="Calibri" w:cs="Calibri"/>
                <w:color w:val="000000"/>
              </w:rPr>
              <w:t xml:space="preserve">Large sites – Initial </w:t>
            </w:r>
            <w:r>
              <w:t>e</w:t>
            </w:r>
            <w:r w:rsidRPr="00330B92">
              <w:t xml:space="preserve">ndangered </w:t>
            </w:r>
            <w:r>
              <w:t>s</w:t>
            </w:r>
            <w:r w:rsidRPr="00330B92">
              <w:t xml:space="preserve">pecies </w:t>
            </w:r>
            <w:r>
              <w:t>evaluation and no consultation</w:t>
            </w:r>
            <w:r>
              <w:rPr>
                <w:rFonts w:ascii="Calibri" w:eastAsia="Times New Roman" w:hAnsi="Calibri" w:cs="Calibri"/>
                <w:color w:val="000000"/>
              </w:rPr>
              <w:t xml:space="preserve"> (60% of large sites)</w:t>
            </w:r>
            <w:r>
              <w:rPr>
                <w:rFonts w:ascii="Calibri" w:eastAsia="Times New Roman" w:hAnsi="Calibri" w:cs="Calibri"/>
                <w:color w:val="000000"/>
              </w:rPr>
              <w:t xml:space="preserve"> </w:t>
            </w:r>
          </w:p>
        </w:tc>
        <w:tc>
          <w:tcPr>
            <w:tcW w:w="1440" w:type="dxa"/>
            <w:vAlign w:val="center"/>
          </w:tcPr>
          <w:p w:rsidR="00C93404" w:rsidP="00A3008A" w14:paraId="44807F62" w14:textId="77777777">
            <w:pPr>
              <w:keepNext/>
              <w:keepLines/>
              <w:spacing w:after="0" w:line="240" w:lineRule="auto"/>
              <w:jc w:val="center"/>
              <w:rPr>
                <w:rFonts w:ascii="Calibri" w:eastAsia="Times New Roman" w:hAnsi="Calibri" w:cs="Calibri"/>
                <w:color w:val="000000"/>
              </w:rPr>
            </w:pPr>
            <w:r>
              <w:rPr>
                <w:rFonts w:ascii="Calibri" w:hAnsi="Calibri" w:cs="Calibri"/>
              </w:rPr>
              <w:t>1.5</w:t>
            </w:r>
          </w:p>
        </w:tc>
        <w:tc>
          <w:tcPr>
            <w:tcW w:w="1620" w:type="dxa"/>
            <w:vAlign w:val="center"/>
          </w:tcPr>
          <w:p w:rsidR="00C93404" w:rsidP="00A3008A" w14:paraId="10A3A3E7" w14:textId="77777777">
            <w:pPr>
              <w:keepNext/>
              <w:keepLines/>
              <w:spacing w:after="0" w:line="240" w:lineRule="auto"/>
              <w:jc w:val="center"/>
              <w:rPr>
                <w:rFonts w:ascii="Calibri" w:eastAsia="Times New Roman" w:hAnsi="Calibri" w:cs="Calibri"/>
                <w:color w:val="000000"/>
              </w:rPr>
            </w:pPr>
            <w:r>
              <w:rPr>
                <w:rFonts w:ascii="Calibri" w:hAnsi="Calibri" w:cs="Calibri"/>
              </w:rPr>
              <w:t>-0.4</w:t>
            </w:r>
          </w:p>
        </w:tc>
        <w:tc>
          <w:tcPr>
            <w:tcW w:w="1486" w:type="dxa"/>
            <w:shd w:val="clear" w:color="auto" w:fill="auto"/>
            <w:noWrap/>
            <w:vAlign w:val="center"/>
            <w:hideMark/>
          </w:tcPr>
          <w:p w:rsidR="00C93404" w:rsidRPr="00D83958" w:rsidP="00A3008A" w14:paraId="70D38B77" w14:textId="77777777">
            <w:pPr>
              <w:keepNext/>
              <w:keepLines/>
              <w:spacing w:after="0" w:line="240" w:lineRule="auto"/>
              <w:jc w:val="center"/>
              <w:rPr>
                <w:rFonts w:ascii="Calibri" w:eastAsia="Times New Roman" w:hAnsi="Calibri" w:cs="Calibri"/>
                <w:color w:val="000000"/>
              </w:rPr>
            </w:pPr>
            <w:r>
              <w:rPr>
                <w:rFonts w:ascii="Calibri" w:eastAsia="Times New Roman" w:hAnsi="Calibri" w:cs="Calibri"/>
                <w:color w:val="000000"/>
              </w:rPr>
              <w:t>1.1</w:t>
            </w:r>
          </w:p>
        </w:tc>
      </w:tr>
      <w:tr w14:paraId="164FA1C7" w14:textId="77777777" w:rsidTr="00A3008A">
        <w:tblPrEx>
          <w:tblW w:w="9504" w:type="dxa"/>
          <w:jc w:val="center"/>
          <w:tblLayout w:type="fixed"/>
          <w:tblLook w:val="04A0"/>
        </w:tblPrEx>
        <w:trPr>
          <w:gridAfter w:val="1"/>
          <w:wAfter w:w="8" w:type="dxa"/>
          <w:trHeight w:val="300"/>
          <w:jc w:val="center"/>
        </w:trPr>
        <w:tc>
          <w:tcPr>
            <w:tcW w:w="4950" w:type="dxa"/>
            <w:gridSpan w:val="2"/>
            <w:shd w:val="clear" w:color="auto" w:fill="auto"/>
            <w:noWrap/>
            <w:vAlign w:val="center"/>
            <w:hideMark/>
          </w:tcPr>
          <w:p w:rsidR="00C93404" w:rsidRPr="00D83958" w:rsidP="00A3008A" w14:paraId="7D3F2AC3" w14:textId="77777777">
            <w:pPr>
              <w:keepNext/>
              <w:keepLines/>
              <w:spacing w:after="0" w:line="240" w:lineRule="auto"/>
              <w:ind w:left="1152" w:hanging="1152"/>
              <w:rPr>
                <w:rFonts w:ascii="Calibri" w:eastAsia="Times New Roman" w:hAnsi="Calibri" w:cs="Calibri"/>
                <w:color w:val="000000"/>
              </w:rPr>
            </w:pPr>
            <w:r>
              <w:rPr>
                <w:rFonts w:ascii="Calibri" w:eastAsia="Times New Roman" w:hAnsi="Calibri" w:cs="Calibri"/>
                <w:color w:val="000000"/>
              </w:rPr>
              <w:t xml:space="preserve">Large sites – Initial </w:t>
            </w:r>
            <w:r>
              <w:t>e</w:t>
            </w:r>
            <w:r w:rsidRPr="00330B92">
              <w:t xml:space="preserve">ndangered </w:t>
            </w:r>
            <w:r>
              <w:t>s</w:t>
            </w:r>
            <w:r w:rsidRPr="00330B92">
              <w:t xml:space="preserve">pecies </w:t>
            </w:r>
            <w:r>
              <w:t>evaluation and informal consultation</w:t>
            </w:r>
            <w:r>
              <w:rPr>
                <w:rFonts w:ascii="Calibri" w:eastAsia="Times New Roman" w:hAnsi="Calibri" w:cs="Calibri"/>
                <w:color w:val="000000"/>
              </w:rPr>
              <w:t xml:space="preserve"> (37.3% of large sites)</w:t>
            </w:r>
          </w:p>
        </w:tc>
        <w:tc>
          <w:tcPr>
            <w:tcW w:w="1440" w:type="dxa"/>
            <w:vAlign w:val="center"/>
          </w:tcPr>
          <w:p w:rsidR="00C93404" w:rsidP="00A3008A" w14:paraId="7B5885D4" w14:textId="77777777">
            <w:pPr>
              <w:keepNext/>
              <w:keepLines/>
              <w:spacing w:after="0" w:line="240" w:lineRule="auto"/>
              <w:jc w:val="center"/>
              <w:rPr>
                <w:rFonts w:ascii="Calibri" w:eastAsia="Times New Roman" w:hAnsi="Calibri" w:cs="Calibri"/>
                <w:color w:val="000000"/>
              </w:rPr>
            </w:pPr>
            <w:r>
              <w:rPr>
                <w:rFonts w:ascii="Calibri" w:hAnsi="Calibri" w:cs="Calibri"/>
              </w:rPr>
              <w:t>6</w:t>
            </w:r>
          </w:p>
        </w:tc>
        <w:tc>
          <w:tcPr>
            <w:tcW w:w="1620" w:type="dxa"/>
            <w:vAlign w:val="center"/>
          </w:tcPr>
          <w:p w:rsidR="00C93404" w:rsidP="00A3008A" w14:paraId="0E131420" w14:textId="77777777">
            <w:pPr>
              <w:keepNext/>
              <w:keepLines/>
              <w:spacing w:after="0" w:line="240" w:lineRule="auto"/>
              <w:jc w:val="center"/>
              <w:rPr>
                <w:rFonts w:ascii="Calibri" w:eastAsia="Times New Roman" w:hAnsi="Calibri" w:cs="Calibri"/>
                <w:color w:val="000000"/>
              </w:rPr>
            </w:pPr>
            <w:r>
              <w:rPr>
                <w:rFonts w:ascii="Calibri" w:hAnsi="Calibri" w:cs="Calibri"/>
              </w:rPr>
              <w:t>-0.4</w:t>
            </w:r>
          </w:p>
        </w:tc>
        <w:tc>
          <w:tcPr>
            <w:tcW w:w="1486" w:type="dxa"/>
            <w:shd w:val="clear" w:color="auto" w:fill="auto"/>
            <w:noWrap/>
            <w:vAlign w:val="center"/>
            <w:hideMark/>
          </w:tcPr>
          <w:p w:rsidR="00C93404" w:rsidRPr="00D83958" w:rsidP="00A3008A" w14:paraId="0CF7B7B7" w14:textId="77777777">
            <w:pPr>
              <w:keepNext/>
              <w:keepLines/>
              <w:spacing w:after="0" w:line="240" w:lineRule="auto"/>
              <w:jc w:val="center"/>
              <w:rPr>
                <w:rFonts w:ascii="Calibri" w:eastAsia="Times New Roman" w:hAnsi="Calibri" w:cs="Calibri"/>
                <w:color w:val="000000"/>
              </w:rPr>
            </w:pPr>
            <w:r>
              <w:rPr>
                <w:rFonts w:ascii="Calibri" w:eastAsia="Times New Roman" w:hAnsi="Calibri" w:cs="Calibri"/>
                <w:color w:val="000000"/>
              </w:rPr>
              <w:t>5.6</w:t>
            </w:r>
          </w:p>
        </w:tc>
      </w:tr>
      <w:tr w14:paraId="3EBA1E4F" w14:textId="77777777" w:rsidTr="00A3008A">
        <w:tblPrEx>
          <w:tblW w:w="9504" w:type="dxa"/>
          <w:jc w:val="center"/>
          <w:tblLayout w:type="fixed"/>
          <w:tblLook w:val="04A0"/>
        </w:tblPrEx>
        <w:trPr>
          <w:gridAfter w:val="1"/>
          <w:wAfter w:w="8" w:type="dxa"/>
          <w:trHeight w:val="300"/>
          <w:jc w:val="center"/>
        </w:trPr>
        <w:tc>
          <w:tcPr>
            <w:tcW w:w="4950" w:type="dxa"/>
            <w:gridSpan w:val="2"/>
            <w:shd w:val="clear" w:color="auto" w:fill="auto"/>
            <w:noWrap/>
            <w:vAlign w:val="center"/>
          </w:tcPr>
          <w:p w:rsidR="00C93404" w:rsidP="00A3008A" w14:paraId="07FE0EE9" w14:textId="77777777">
            <w:pPr>
              <w:keepNext/>
              <w:keepLines/>
              <w:spacing w:after="0" w:line="240" w:lineRule="auto"/>
              <w:ind w:left="1152" w:hanging="1152"/>
              <w:rPr>
                <w:rFonts w:ascii="Calibri" w:eastAsia="Times New Roman" w:hAnsi="Calibri" w:cs="Calibri"/>
                <w:color w:val="000000"/>
              </w:rPr>
            </w:pPr>
            <w:r>
              <w:rPr>
                <w:rFonts w:ascii="Calibri" w:eastAsia="Times New Roman" w:hAnsi="Calibri" w:cs="Calibri"/>
                <w:color w:val="000000"/>
              </w:rPr>
              <w:t xml:space="preserve">Large sites – Initial </w:t>
            </w:r>
            <w:r>
              <w:t>e</w:t>
            </w:r>
            <w:r w:rsidRPr="00330B92">
              <w:t xml:space="preserve">ndangered </w:t>
            </w:r>
            <w:r>
              <w:t>s</w:t>
            </w:r>
            <w:r w:rsidRPr="00330B92">
              <w:t xml:space="preserve">pecies </w:t>
            </w:r>
            <w:r>
              <w:t>evaluation</w:t>
            </w:r>
            <w:r>
              <w:rPr>
                <w:rFonts w:ascii="Calibri" w:eastAsia="Times New Roman" w:hAnsi="Calibri" w:cs="Calibri"/>
                <w:color w:val="000000"/>
              </w:rPr>
              <w:t xml:space="preserve"> and formal consultation (2.7% of large sites)</w:t>
            </w:r>
          </w:p>
        </w:tc>
        <w:tc>
          <w:tcPr>
            <w:tcW w:w="1440" w:type="dxa"/>
            <w:vAlign w:val="center"/>
          </w:tcPr>
          <w:p w:rsidR="00C93404" w:rsidP="00A3008A" w14:paraId="388EBC4A" w14:textId="77777777">
            <w:pPr>
              <w:keepNext/>
              <w:keepLines/>
              <w:spacing w:after="0" w:line="240" w:lineRule="auto"/>
              <w:jc w:val="center"/>
              <w:rPr>
                <w:rFonts w:ascii="Calibri" w:eastAsia="Times New Roman" w:hAnsi="Calibri" w:cs="Calibri"/>
                <w:color w:val="000000"/>
              </w:rPr>
            </w:pPr>
            <w:r>
              <w:rPr>
                <w:rFonts w:ascii="Calibri" w:hAnsi="Calibri" w:cs="Calibri"/>
              </w:rPr>
              <w:t>20</w:t>
            </w:r>
          </w:p>
        </w:tc>
        <w:tc>
          <w:tcPr>
            <w:tcW w:w="1620" w:type="dxa"/>
            <w:vAlign w:val="center"/>
          </w:tcPr>
          <w:p w:rsidR="00C93404" w:rsidP="00A3008A" w14:paraId="56DA2CD6" w14:textId="77777777">
            <w:pPr>
              <w:keepNext/>
              <w:keepLines/>
              <w:spacing w:after="0" w:line="240" w:lineRule="auto"/>
              <w:jc w:val="center"/>
              <w:rPr>
                <w:rFonts w:ascii="Calibri" w:eastAsia="Times New Roman" w:hAnsi="Calibri" w:cs="Calibri"/>
                <w:color w:val="000000"/>
              </w:rPr>
            </w:pPr>
            <w:r>
              <w:rPr>
                <w:rFonts w:ascii="Calibri" w:hAnsi="Calibri" w:cs="Calibri"/>
              </w:rPr>
              <w:t>-0.4</w:t>
            </w:r>
          </w:p>
        </w:tc>
        <w:tc>
          <w:tcPr>
            <w:tcW w:w="1486" w:type="dxa"/>
            <w:shd w:val="clear" w:color="auto" w:fill="auto"/>
            <w:noWrap/>
            <w:vAlign w:val="center"/>
          </w:tcPr>
          <w:p w:rsidR="00C93404" w:rsidP="00A3008A" w14:paraId="0AF6F24D" w14:textId="77777777">
            <w:pPr>
              <w:keepNext/>
              <w:keepLines/>
              <w:spacing w:after="0" w:line="240" w:lineRule="auto"/>
              <w:jc w:val="center"/>
              <w:rPr>
                <w:rFonts w:ascii="Calibri" w:eastAsia="Times New Roman" w:hAnsi="Calibri" w:cs="Calibri"/>
                <w:color w:val="000000"/>
              </w:rPr>
            </w:pPr>
            <w:r>
              <w:rPr>
                <w:rFonts w:ascii="Calibri" w:eastAsia="Times New Roman" w:hAnsi="Calibri" w:cs="Calibri"/>
                <w:color w:val="000000"/>
              </w:rPr>
              <w:t>19.6</w:t>
            </w:r>
          </w:p>
        </w:tc>
      </w:tr>
    </w:tbl>
    <w:p w:rsidR="00C93404" w:rsidRPr="003A7F21" w:rsidP="00C93404" w14:paraId="0529883B"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0"/>
        <w:jc w:val="center"/>
      </w:pPr>
      <w:r w:rsidRPr="00644115">
        <w:rPr>
          <w:rFonts w:ascii="Calibri" w:hAnsi="Calibri" w:cs="Calibri"/>
          <w:sz w:val="18"/>
          <w:szCs w:val="18"/>
          <w:vertAlign w:val="superscript"/>
        </w:rPr>
        <w:t>1</w:t>
      </w:r>
      <w:r w:rsidRPr="00644115">
        <w:rPr>
          <w:rFonts w:ascii="Calibri" w:hAnsi="Calibri" w:cs="Calibri"/>
          <w:sz w:val="18"/>
          <w:szCs w:val="18"/>
        </w:rPr>
        <w:t xml:space="preserve"> Decrease by 0.5 hours due to NeT-CGP streamlining plus increase by 0.1 hours due to new NOI questions. </w:t>
      </w:r>
      <w:r>
        <w:rPr>
          <w:rFonts w:ascii="Calibri" w:hAnsi="Calibri" w:cs="Calibri"/>
          <w:sz w:val="18"/>
          <w:szCs w:val="18"/>
        </w:rPr>
        <w:br/>
      </w:r>
      <w:r w:rsidRPr="00644115">
        <w:rPr>
          <w:rFonts w:ascii="Calibri" w:hAnsi="Calibri" w:cs="Calibri"/>
          <w:sz w:val="18"/>
          <w:szCs w:val="18"/>
        </w:rPr>
        <w:t>[-0.5</w:t>
      </w:r>
      <w:r>
        <w:rPr>
          <w:rFonts w:ascii="Calibri" w:hAnsi="Calibri" w:cs="Calibri"/>
          <w:sz w:val="18"/>
          <w:szCs w:val="18"/>
        </w:rPr>
        <w:t xml:space="preserve"> hours</w:t>
      </w:r>
      <w:r w:rsidRPr="00644115">
        <w:rPr>
          <w:rFonts w:ascii="Calibri" w:hAnsi="Calibri" w:cs="Calibri"/>
          <w:sz w:val="18"/>
          <w:szCs w:val="18"/>
        </w:rPr>
        <w:t xml:space="preserve"> + 0.1 </w:t>
      </w:r>
      <w:r>
        <w:rPr>
          <w:rFonts w:ascii="Calibri" w:hAnsi="Calibri" w:cs="Calibri"/>
          <w:sz w:val="18"/>
          <w:szCs w:val="18"/>
        </w:rPr>
        <w:t xml:space="preserve">hours </w:t>
      </w:r>
      <w:r w:rsidRPr="00644115">
        <w:rPr>
          <w:rFonts w:ascii="Calibri" w:hAnsi="Calibri" w:cs="Calibri"/>
          <w:sz w:val="18"/>
          <w:szCs w:val="18"/>
        </w:rPr>
        <w:t>= -0.4</w:t>
      </w:r>
      <w:r>
        <w:rPr>
          <w:rFonts w:ascii="Calibri" w:hAnsi="Calibri" w:cs="Calibri"/>
          <w:sz w:val="18"/>
          <w:szCs w:val="18"/>
        </w:rPr>
        <w:t xml:space="preserve"> hours</w:t>
      </w:r>
      <w:r w:rsidRPr="00644115">
        <w:rPr>
          <w:rFonts w:ascii="Calibri" w:hAnsi="Calibri" w:cs="Calibri"/>
          <w:sz w:val="18"/>
          <w:szCs w:val="18"/>
        </w:rPr>
        <w:t>]</w:t>
      </w:r>
    </w:p>
    <w:p w:rsidR="00C93404" w:rsidRPr="00D5013A" w:rsidP="00C93404" w14:paraId="255BF682" w14:textId="77777777">
      <w:pPr>
        <w:pStyle w:val="BulletLevel1Header"/>
        <w:keepNext/>
        <w:keepLines/>
        <w:spacing w:after="0" w:afterAutospacing="0"/>
      </w:pPr>
      <w:r w:rsidRPr="00D5013A">
        <w:t>NOT</w:t>
      </w:r>
      <w:r w:rsidRPr="00D5013A">
        <w:t xml:space="preserve"> Forms</w:t>
      </w:r>
      <w:r>
        <w:t xml:space="preserve"> </w:t>
      </w:r>
      <w:r w:rsidRPr="00376E1C">
        <w:rPr>
          <w:b w:val="0"/>
          <w:bCs/>
        </w:rPr>
        <w:t>[</w:t>
      </w:r>
      <w:r>
        <w:rPr>
          <w:b w:val="0"/>
          <w:bCs/>
        </w:rPr>
        <w:t>Changes</w:t>
      </w:r>
      <w:r w:rsidRPr="00376E1C">
        <w:rPr>
          <w:b w:val="0"/>
          <w:bCs/>
        </w:rPr>
        <w:t xml:space="preserve"> to the </w:t>
      </w:r>
      <w:r>
        <w:rPr>
          <w:b w:val="0"/>
          <w:bCs/>
        </w:rPr>
        <w:t xml:space="preserve">information </w:t>
      </w:r>
      <w:r w:rsidRPr="00376E1C">
        <w:rPr>
          <w:b w:val="0"/>
          <w:bCs/>
        </w:rPr>
        <w:t xml:space="preserve">collection </w:t>
      </w:r>
      <w:r>
        <w:rPr>
          <w:b w:val="0"/>
          <w:bCs/>
        </w:rPr>
        <w:t>burden</w:t>
      </w:r>
      <w:r w:rsidRPr="00376E1C">
        <w:rPr>
          <w:b w:val="0"/>
          <w:bCs/>
        </w:rPr>
        <w:t>]</w:t>
      </w:r>
    </w:p>
    <w:p w:rsidR="00C93404" w:rsidP="00C93404" w14:paraId="540CA01C" w14:textId="46235B31">
      <w:pPr>
        <w:pStyle w:val="BulletLevel1"/>
        <w:keepNext/>
        <w:keepLines/>
      </w:pPr>
      <w:r>
        <w:t xml:space="preserve">There are changes </w:t>
      </w:r>
      <w:r w:rsidR="00F3079F">
        <w:t xml:space="preserve">in the 2022 CGP </w:t>
      </w:r>
      <w:r>
        <w:t xml:space="preserve">to the requirements and the estimated burden for this activity. </w:t>
      </w:r>
      <w:r w:rsidRPr="0022278D">
        <w:t>EPA assumes that all respondents will submit one NO</w:t>
      </w:r>
      <w:r>
        <w:t>T</w:t>
      </w:r>
      <w:r w:rsidRPr="0022278D">
        <w:t xml:space="preserve"> and each </w:t>
      </w:r>
      <w:r>
        <w:t>project</w:t>
      </w:r>
      <w:r w:rsidRPr="0022278D">
        <w:t xml:space="preserve"> will last approximately one year</w:t>
      </w:r>
      <w:r>
        <w:t xml:space="preserve">. </w:t>
      </w:r>
      <w:r w:rsidRPr="001D45A3">
        <w:t>EPA estimate</w:t>
      </w:r>
      <w:r>
        <w:t>d</w:t>
      </w:r>
      <w:r w:rsidRPr="001D45A3">
        <w:t xml:space="preserve"> that </w:t>
      </w:r>
      <w:r>
        <w:t xml:space="preserve">all </w:t>
      </w:r>
      <w:r w:rsidRPr="001D45A3">
        <w:t>respondents</w:t>
      </w:r>
      <w:r>
        <w:t xml:space="preserve"> </w:t>
      </w:r>
      <w:r w:rsidRPr="001D45A3">
        <w:t xml:space="preserve">will spend </w:t>
      </w:r>
      <w:r>
        <w:t>0.5</w:t>
      </w:r>
      <w:r w:rsidRPr="001D45A3">
        <w:t xml:space="preserve"> hours preparing and submitting an NO</w:t>
      </w:r>
      <w:r>
        <w:t xml:space="preserve">T, with no difference in hours between large and small sites. </w:t>
      </w:r>
    </w:p>
    <w:p w:rsidR="00C93404" w:rsidP="00C93404" w14:paraId="03672592" w14:textId="77E6EA2A">
      <w:pPr>
        <w:pStyle w:val="BulletLevel1"/>
        <w:keepNext/>
        <w:keepLines/>
      </w:pPr>
      <w:r>
        <w:t>For the 2022 CGP, EPA is requiring that respondents submit new documentation with the NOT. Along with the NOT form, operators must provide representative photographs documenting that the site</w:t>
      </w:r>
      <w:r w:rsidRPr="00684426">
        <w:t xml:space="preserve"> </w:t>
      </w:r>
      <w:r>
        <w:t>is in compliance</w:t>
      </w:r>
      <w:r w:rsidRPr="00684426">
        <w:t xml:space="preserve"> </w:t>
      </w:r>
      <w:r>
        <w:t xml:space="preserve">with </w:t>
      </w:r>
      <w:r w:rsidRPr="00684426">
        <w:t>the requirements for final vegetative or non-vegetative stabilization</w:t>
      </w:r>
      <w:r>
        <w:t>. Photographs must capture areas disturbed during construction and not covered by permanent structures, taken both before and after the site has met the final stabilization criteria. EPA estimates that each respondent from small sites will need an additional 0.5 hours, to collect and attach photographs. EPA estimates that larger sites will need a total of 1 hour to collect and attach photographs. Assuming that</w:t>
      </w:r>
      <w:r w:rsidRPr="001F1BC1">
        <w:t xml:space="preserve"> </w:t>
      </w:r>
      <w:r>
        <w:t>5</w:t>
      </w:r>
      <w:r w:rsidR="00484E52">
        <w:t>5</w:t>
      </w:r>
      <w:r w:rsidRPr="006B313E">
        <w:t xml:space="preserve">% of respondents will be small sites and </w:t>
      </w:r>
      <w:r>
        <w:t>4</w:t>
      </w:r>
      <w:r w:rsidR="00484E52">
        <w:t>5</w:t>
      </w:r>
      <w:r w:rsidRPr="006B313E">
        <w:t xml:space="preserve">% will be large </w:t>
      </w:r>
      <w:r w:rsidRPr="00C1518C">
        <w:t>sites, the average incremental change in burden for each respondent is 0.7 hours</w:t>
      </w:r>
      <w:r>
        <w:rPr>
          <w:rStyle w:val="FootnoteReference"/>
        </w:rPr>
        <w:footnoteReference w:id="4"/>
      </w:r>
      <w:r w:rsidRPr="00C1518C">
        <w:t>.</w:t>
      </w:r>
      <w:r>
        <w:t xml:space="preserve"> </w:t>
      </w:r>
    </w:p>
    <w:p w:rsidR="00C93404" w:rsidRPr="002523D7" w:rsidP="00C93404" w14:paraId="27190BE3" w14:textId="77777777">
      <w:pPr>
        <w:pStyle w:val="BulletLevel1Header"/>
        <w:spacing w:after="0" w:afterAutospacing="0"/>
        <w:rPr>
          <w:b w:val="0"/>
          <w:bCs/>
        </w:rPr>
      </w:pPr>
      <w:r w:rsidRPr="006B313E">
        <w:t>SWPPPs</w:t>
      </w:r>
      <w:r>
        <w:t xml:space="preserve"> </w:t>
      </w:r>
      <w:r w:rsidRPr="00376E1C">
        <w:rPr>
          <w:b w:val="0"/>
          <w:bCs/>
        </w:rPr>
        <w:t>[</w:t>
      </w:r>
      <w:r>
        <w:rPr>
          <w:b w:val="0"/>
          <w:bCs/>
        </w:rPr>
        <w:t>Changes</w:t>
      </w:r>
      <w:r w:rsidRPr="00376E1C">
        <w:rPr>
          <w:b w:val="0"/>
          <w:bCs/>
        </w:rPr>
        <w:t xml:space="preserve"> to the </w:t>
      </w:r>
      <w:r>
        <w:rPr>
          <w:b w:val="0"/>
          <w:bCs/>
        </w:rPr>
        <w:t xml:space="preserve">information </w:t>
      </w:r>
      <w:r w:rsidRPr="00376E1C">
        <w:rPr>
          <w:b w:val="0"/>
          <w:bCs/>
        </w:rPr>
        <w:t xml:space="preserve">collection </w:t>
      </w:r>
      <w:r>
        <w:rPr>
          <w:b w:val="0"/>
          <w:bCs/>
        </w:rPr>
        <w:t>burden</w:t>
      </w:r>
      <w:r w:rsidRPr="00376E1C">
        <w:rPr>
          <w:b w:val="0"/>
          <w:bCs/>
        </w:rPr>
        <w:t>]</w:t>
      </w:r>
    </w:p>
    <w:p w:rsidR="00C93404" w:rsidP="00C93404" w14:paraId="06E9BFA3" w14:textId="5979F0FB">
      <w:pPr>
        <w:pStyle w:val="BulletLevel1"/>
      </w:pPr>
      <w:r>
        <w:t>There are changes</w:t>
      </w:r>
      <w:r w:rsidR="00E23B89">
        <w:t xml:space="preserve"> in the 2022 CGP</w:t>
      </w:r>
      <w:r>
        <w:t xml:space="preserve"> to the requirements and estimated burden for this activity. </w:t>
      </w:r>
      <w:r w:rsidRPr="006B313E">
        <w:t xml:space="preserve">All respondents are required to prepare a SWPPP prior to submitting an NOI. EPA estimates that small site respondents will spend an average of 22.7 hours and large site respondents </w:t>
      </w:r>
      <w:r w:rsidRPr="006B313E">
        <w:t xml:space="preserve">will </w:t>
      </w:r>
      <w:r w:rsidRPr="006B313E">
        <w:t>spend an average of 36.4 hours preparing and maintaining a</w:t>
      </w:r>
      <w:r w:rsidRPr="006B313E">
        <w:t xml:space="preserve"> </w:t>
      </w:r>
      <w:r w:rsidRPr="006B313E">
        <w:t xml:space="preserve">SWPPP. This burden estimate includes the labor to maintain and update the SWPPP throughout the life of the construction project. </w:t>
      </w:r>
    </w:p>
    <w:p w:rsidR="00C93404" w:rsidP="00C93404" w14:paraId="50697E38" w14:textId="77777777">
      <w:pPr>
        <w:pStyle w:val="BulletLevel1"/>
      </w:pPr>
      <w:r>
        <w:t xml:space="preserve">The 2022 CGP includes a new SWPPP documentation requirement related to turbidity benchmark monitoring. Sites subject to dewatering turbidity benchmark monitoring requirements must document their monitoring procedures in the SWPPP and identify on the site map where samples will be taken. EPA estimates that applicable sites will need 4 hours to develop and maintain this documentation. There are a few other minor changes to the SWPPP document requirements, including requirements for site map notations and stormwater control descriptions, for which EPA estimates no change in burden. Therefore, there is an </w:t>
      </w:r>
      <w:r w:rsidRPr="006B313E">
        <w:t xml:space="preserve">incremental </w:t>
      </w:r>
      <w:r>
        <w:t xml:space="preserve">change in </w:t>
      </w:r>
      <w:r w:rsidRPr="006B313E">
        <w:t>burden</w:t>
      </w:r>
      <w:r>
        <w:t xml:space="preserve"> of 4 hours</w:t>
      </w:r>
      <w:r w:rsidRPr="006B313E">
        <w:t xml:space="preserve"> </w:t>
      </w:r>
      <w:r>
        <w:t xml:space="preserve">for </w:t>
      </w:r>
      <w:r w:rsidRPr="006B313E">
        <w:t xml:space="preserve">this activity. </w:t>
      </w:r>
    </w:p>
    <w:p w:rsidR="00C93404" w:rsidP="00C93404" w14:paraId="3D3F3741" w14:textId="77777777">
      <w:pPr>
        <w:pStyle w:val="BulletLevel1Header"/>
        <w:spacing w:after="0" w:afterAutospacing="0"/>
      </w:pPr>
      <w:r>
        <w:t xml:space="preserve">Dewatering Inspection Reports and Corrective Actions </w:t>
      </w:r>
      <w:r>
        <w:rPr>
          <w:b w:val="0"/>
          <w:bCs/>
        </w:rPr>
        <w:t>[New information collection burden]</w:t>
      </w:r>
    </w:p>
    <w:p w:rsidR="00C93404" w:rsidP="00C93404" w14:paraId="3D379F44" w14:textId="77777777">
      <w:pPr>
        <w:pStyle w:val="BulletLevel1"/>
      </w:pPr>
      <w:r>
        <w:t>The 2022 CGP includes new dewatering inspection requirements.</w:t>
      </w:r>
      <w:r w:rsidRPr="009D001D">
        <w:t xml:space="preserve"> In addition to site inspections, operators conducting dewatering activities must perform a daily inspection of all areas where construction dewatering </w:t>
      </w:r>
      <w:r>
        <w:t>water is being discharged</w:t>
      </w:r>
      <w:r w:rsidRPr="009D001D">
        <w:t xml:space="preserve">, including stormwater controls to treat the dewatering discharge. </w:t>
      </w:r>
      <w:r>
        <w:t xml:space="preserve">EPA estimates that complying with the new dewatering inspection and recordkeeping requirements will take respondents </w:t>
      </w:r>
      <w:r w:rsidRPr="0076625E">
        <w:t>approximately 0.25 hours</w:t>
      </w:r>
      <w:r>
        <w:t xml:space="preserve"> per dewatering event. The 2022 CGP also requires respondents to take corrective actions and generate corrective action records if an inspector observes evidence of a sediment plume, sheen, and/or other evidence of pollutants during dewatering inspections. For the purpose of the ICR, </w:t>
      </w:r>
      <w:r w:rsidRPr="00990A54">
        <w:t xml:space="preserve">EPA </w:t>
      </w:r>
      <w:r>
        <w:t xml:space="preserve">makes the following </w:t>
      </w:r>
      <w:r w:rsidRPr="00990A54">
        <w:t>assum</w:t>
      </w:r>
      <w:r>
        <w:t>ptions:</w:t>
      </w:r>
    </w:p>
    <w:p w:rsidR="00C93404" w:rsidP="00C93404" w14:paraId="19E5C7B3" w14:textId="77777777">
      <w:pPr>
        <w:pStyle w:val="BulletLevel1"/>
        <w:numPr>
          <w:ilvl w:val="0"/>
          <w:numId w:val="37"/>
        </w:numPr>
        <w:tabs>
          <w:tab w:val="clear" w:pos="720"/>
        </w:tabs>
        <w:ind w:left="1440"/>
      </w:pPr>
      <w:r>
        <w:t>The entire</w:t>
      </w:r>
      <w:r w:rsidRPr="00990A54">
        <w:t xml:space="preserve"> respondent </w:t>
      </w:r>
      <w:r>
        <w:t xml:space="preserve">population </w:t>
      </w:r>
      <w:r w:rsidRPr="00990A54">
        <w:t>will dewater accumulated stormwater or groundwater during their project</w:t>
      </w:r>
      <w:r>
        <w:t>.</w:t>
      </w:r>
    </w:p>
    <w:p w:rsidR="00C93404" w:rsidP="00C93404" w14:paraId="1F2AE942" w14:textId="77777777">
      <w:pPr>
        <w:pStyle w:val="BulletLevel1"/>
        <w:numPr>
          <w:ilvl w:val="0"/>
          <w:numId w:val="37"/>
        </w:numPr>
        <w:tabs>
          <w:tab w:val="clear" w:pos="720"/>
        </w:tabs>
        <w:ind w:left="1440"/>
      </w:pPr>
      <w:r>
        <w:t>E</w:t>
      </w:r>
      <w:r w:rsidRPr="00E460E4">
        <w:t xml:space="preserve">ach respondent has an average of </w:t>
      </w:r>
      <w:r>
        <w:t>one</w:t>
      </w:r>
      <w:r w:rsidRPr="00E460E4">
        <w:t xml:space="preserve"> dewatering discharge point</w:t>
      </w:r>
      <w:r>
        <w:t>.</w:t>
      </w:r>
    </w:p>
    <w:p w:rsidR="00C93404" w:rsidP="00C93404" w14:paraId="4C434A8A" w14:textId="77777777">
      <w:pPr>
        <w:pStyle w:val="BulletLevel1"/>
        <w:numPr>
          <w:ilvl w:val="0"/>
          <w:numId w:val="37"/>
        </w:numPr>
        <w:tabs>
          <w:tab w:val="clear" w:pos="720"/>
        </w:tabs>
        <w:ind w:left="1440"/>
      </w:pPr>
      <w:r>
        <w:t xml:space="preserve">Each respondent will have a total of 29 dewatering events per year. </w:t>
      </w:r>
    </w:p>
    <w:p w:rsidR="00C93404" w:rsidP="00C93404" w14:paraId="4C8F6780" w14:textId="77777777">
      <w:pPr>
        <w:pStyle w:val="BulletLevel1"/>
        <w:numPr>
          <w:ilvl w:val="0"/>
          <w:numId w:val="37"/>
        </w:numPr>
        <w:tabs>
          <w:tab w:val="clear" w:pos="720"/>
        </w:tabs>
        <w:ind w:left="1440"/>
      </w:pPr>
      <w:r>
        <w:t>The time to document corrective actions is included in the overall burden estimate for this activity.</w:t>
      </w:r>
    </w:p>
    <w:p w:rsidR="00C93404" w:rsidP="00C93404" w14:paraId="34826B66" w14:textId="77777777">
      <w:pPr>
        <w:pStyle w:val="BulletLevel1"/>
        <w:tabs>
          <w:tab w:val="clear" w:pos="0"/>
        </w:tabs>
      </w:pPr>
      <w:r>
        <w:t>This total number of dewatering events per year is based on the assumption that each respondent will dewater g</w:t>
      </w:r>
      <w:r w:rsidRPr="00E36521">
        <w:t>roundwater</w:t>
      </w:r>
      <w:r>
        <w:t xml:space="preserve"> for </w:t>
      </w:r>
      <w:r w:rsidRPr="00E36521">
        <w:t xml:space="preserve">7 days </w:t>
      </w:r>
      <w:r>
        <w:t xml:space="preserve">over the </w:t>
      </w:r>
      <w:r w:rsidRPr="00E36521">
        <w:t xml:space="preserve">project </w:t>
      </w:r>
      <w:r>
        <w:t xml:space="preserve">life </w:t>
      </w:r>
      <w:r w:rsidRPr="00E36521">
        <w:t>(probably early on while foundations are excavated and set)</w:t>
      </w:r>
      <w:r>
        <w:t xml:space="preserve">; and dewater accumulated stormwater on </w:t>
      </w:r>
      <w:r w:rsidRPr="00347897">
        <w:t xml:space="preserve">22 days over </w:t>
      </w:r>
      <w:r>
        <w:t xml:space="preserve">the </w:t>
      </w:r>
      <w:r w:rsidRPr="00347897">
        <w:t>project life</w:t>
      </w:r>
      <w:r>
        <w:t>. The assumption of 22 days of stormwater dewatering is b</w:t>
      </w:r>
      <w:r w:rsidRPr="00723465">
        <w:t xml:space="preserve">ased on </w:t>
      </w:r>
      <w:r>
        <w:t xml:space="preserve">an analysis of NOAA climate data that reports an </w:t>
      </w:r>
      <w:r w:rsidRPr="00723465">
        <w:t xml:space="preserve">average of 1.8 days per month with rainfall </w:t>
      </w:r>
      <w:r>
        <w:t xml:space="preserve">greater than </w:t>
      </w:r>
      <w:r w:rsidRPr="00723465">
        <w:t>0.5 inches.</w:t>
      </w:r>
      <w:r>
        <w:t xml:space="preserve"> </w:t>
      </w:r>
    </w:p>
    <w:p w:rsidR="00C93404" w:rsidRPr="00436388" w:rsidP="00C93404" w14:paraId="0A5EEFFD" w14:textId="77777777">
      <w:pPr>
        <w:pStyle w:val="BulletLevel1Header"/>
        <w:numPr>
          <w:ilvl w:val="0"/>
          <w:numId w:val="38"/>
        </w:numPr>
        <w:spacing w:after="0" w:afterAutospacing="0"/>
        <w:rPr>
          <w:b w:val="0"/>
          <w:bCs/>
        </w:rPr>
      </w:pPr>
      <w:r w:rsidRPr="00436388">
        <w:t xml:space="preserve">Dewatering Turbidity </w:t>
      </w:r>
      <w:r>
        <w:t xml:space="preserve">Benchmark </w:t>
      </w:r>
      <w:r w:rsidRPr="00436388">
        <w:t>Monitoring</w:t>
      </w:r>
      <w:r>
        <w:t>: Sample Collection, Reporting, and Corrective Actions</w:t>
      </w:r>
      <w:r w:rsidRPr="00436388">
        <w:rPr>
          <w:b w:val="0"/>
          <w:bCs/>
        </w:rPr>
        <w:t xml:space="preserve"> </w:t>
      </w:r>
      <w:r>
        <w:rPr>
          <w:b w:val="0"/>
          <w:bCs/>
        </w:rPr>
        <w:t>[New</w:t>
      </w:r>
      <w:r w:rsidRPr="00376E1C">
        <w:rPr>
          <w:b w:val="0"/>
          <w:bCs/>
        </w:rPr>
        <w:t xml:space="preserve"> </w:t>
      </w:r>
      <w:r>
        <w:rPr>
          <w:b w:val="0"/>
          <w:bCs/>
        </w:rPr>
        <w:t xml:space="preserve">information </w:t>
      </w:r>
      <w:r w:rsidRPr="00376E1C">
        <w:rPr>
          <w:b w:val="0"/>
          <w:bCs/>
        </w:rPr>
        <w:t xml:space="preserve">collection </w:t>
      </w:r>
      <w:r>
        <w:rPr>
          <w:b w:val="0"/>
          <w:bCs/>
        </w:rPr>
        <w:t>burden as applicable for certain respondents</w:t>
      </w:r>
      <w:r w:rsidRPr="00376E1C">
        <w:rPr>
          <w:b w:val="0"/>
          <w:bCs/>
        </w:rPr>
        <w:t>]</w:t>
      </w:r>
    </w:p>
    <w:p w:rsidR="00C93404" w:rsidP="00C93404" w14:paraId="77297EC5" w14:textId="6035D7B8">
      <w:pPr>
        <w:pStyle w:val="BulletLevel1"/>
        <w:rPr>
          <w:rFonts w:eastAsia="Times New Roman"/>
        </w:rPr>
      </w:pPr>
      <w:r>
        <w:t xml:space="preserve">The 2022 CGP adds a new turbidity benchmark monitoring requirement with associated reporting and corrective action requirements, only applicable to respondents discharging dewatering water to sensitive waters. Based on an analysis of </w:t>
      </w:r>
      <w:r w:rsidR="00E265C7">
        <w:t>the first two years of the</w:t>
      </w:r>
      <w:r w:rsidR="00EE2A7E">
        <w:t xml:space="preserve"> </w:t>
      </w:r>
      <w:r w:rsidR="00E265C7">
        <w:t xml:space="preserve">2022 </w:t>
      </w:r>
      <w:r>
        <w:t>CGP NOI data, EPA estimates that 25% of respondents are discharging to sensitive waters</w:t>
      </w:r>
      <w:r>
        <w:rPr>
          <w:rFonts w:eastAsia="Times New Roman"/>
        </w:rPr>
        <w:t xml:space="preserve"> and will be required to comply with turbidity benchmark monitoring</w:t>
      </w:r>
      <w:r w:rsidRPr="005C79D0">
        <w:rPr>
          <w:rFonts w:eastAsia="Times New Roman"/>
        </w:rPr>
        <w:t>.</w:t>
      </w:r>
    </w:p>
    <w:p w:rsidR="00C93404" w:rsidP="00C93404" w14:paraId="0DF13ECF" w14:textId="77777777">
      <w:pPr>
        <w:pStyle w:val="BulletLevel1"/>
      </w:pPr>
      <w:r>
        <w:t xml:space="preserve">The affected operator is required to conduct turbidity monitoring from the dewatering discharge point. </w:t>
      </w:r>
      <w:r w:rsidRPr="00736123">
        <w:t xml:space="preserve">EPA requires affected respondents to collect and analyze at least one turbidity sample from the discharge on </w:t>
      </w:r>
      <w:r>
        <w:t>each</w:t>
      </w:r>
      <w:r w:rsidRPr="00736123">
        <w:t xml:space="preserve"> day in which dewatering</w:t>
      </w:r>
      <w:r>
        <w:t xml:space="preserve"> water is being discharged</w:t>
      </w:r>
      <w:r w:rsidRPr="00736123">
        <w:t xml:space="preserve"> and report the weekly average value on a quarterly turbidity monitoring report. </w:t>
      </w:r>
      <w:r>
        <w:rPr>
          <w:rFonts w:eastAsia="Times New Roman"/>
        </w:rPr>
        <w:t xml:space="preserve">EPA assumes that </w:t>
      </w:r>
      <w:r>
        <w:t>all</w:t>
      </w:r>
      <w:r w:rsidRPr="00990A54">
        <w:t xml:space="preserve"> </w:t>
      </w:r>
      <w:r>
        <w:t xml:space="preserve">affected </w:t>
      </w:r>
      <w:r w:rsidRPr="00990A54">
        <w:t>respondents will dewater accumulated stormwater or groundwater during their project</w:t>
      </w:r>
      <w:r>
        <w:t>, e</w:t>
      </w:r>
      <w:r w:rsidRPr="00E460E4">
        <w:t xml:space="preserve">ach respondent has an average of </w:t>
      </w:r>
      <w:r>
        <w:t>one</w:t>
      </w:r>
      <w:r w:rsidRPr="00E460E4">
        <w:t xml:space="preserve"> dewatering discharge point</w:t>
      </w:r>
      <w:r>
        <w:t>, and</w:t>
      </w:r>
      <w:r>
        <w:rPr>
          <w:rFonts w:eastAsia="Times New Roman"/>
        </w:rPr>
        <w:t xml:space="preserve"> </w:t>
      </w:r>
      <w:r>
        <w:t xml:space="preserve">each respondent will have a total of 29 dewatering events per year. </w:t>
      </w:r>
      <w:r>
        <w:rPr>
          <w:rFonts w:eastAsia="Times New Roman"/>
        </w:rPr>
        <w:t>These assumptions are consistent with those described above for dewatering inspections.</w:t>
      </w:r>
    </w:p>
    <w:p w:rsidR="00C93404" w:rsidP="00C93404" w14:paraId="7B034CC2" w14:textId="77777777">
      <w:pPr>
        <w:pStyle w:val="BulletLevel1"/>
        <w:spacing w:after="0"/>
      </w:pPr>
      <w:r>
        <w:rPr>
          <w:bCs/>
        </w:rPr>
        <w:t xml:space="preserve">Based on EPA’s experience administering other stormwater permits with sampling requirements, </w:t>
      </w:r>
      <w:r>
        <w:t xml:space="preserve">EPA estimates respondents will need 0.5 hours per sampling event to conduct sampling, including required calibration checks. EPA also estimates that respondents will need 0.75 hours to complete and submit each quarterly turbidity monitoring report. The burden for turbidity monitoring reporting is consistent with assumptions made in the ICR for EPA’s 2021 Multi-Sector General Permit for electronic DMR reporting. EPA estimates that it will take each respondent an average of 3.6 minutes to fill out the required data for each parameter. This burden estimate is an average of the “Batch” and “Hybrid” methods, as discussed in </w:t>
      </w:r>
      <w:r w:rsidRPr="009D21D1">
        <w:t xml:space="preserve">the </w:t>
      </w:r>
      <w:r>
        <w:t>September </w:t>
      </w:r>
      <w:r w:rsidRPr="009D21D1">
        <w:t>2015</w:t>
      </w:r>
      <w:r>
        <w:t xml:space="preserve"> </w:t>
      </w:r>
      <w:r w:rsidRPr="009D21D1">
        <w:t>Economic Analysis of the National Pollutant Discharge Elimination System Electronic Reporting Final Rule (</w:t>
      </w:r>
      <w:r>
        <w:t>Page 4-14 Table 4-9</w:t>
      </w:r>
      <w:r w:rsidRPr="009D21D1">
        <w:t xml:space="preserve">, </w:t>
      </w:r>
      <w:hyperlink r:id="rId10" w:history="1">
        <w:r w:rsidRPr="00886286">
          <w:rPr>
            <w:rStyle w:val="Hyperlink"/>
          </w:rPr>
          <w:t>https://www.epa.gov/sites/production/files/2015-09/documents/npdesea.pdf</w:t>
        </w:r>
      </w:hyperlink>
      <w:r>
        <w:t>). The turbidity monitoring report has 13 data elements, so using this assumption, it will take 0.75 hours to complete each report. All respondents are required to fill out the 13 data elements (i.e., for each quarter, there are potentially 13 separate turbidity values that must be reported for each week). Respondents either input the weekly average turbidity value or indicate that no dewatering activities occurred.</w:t>
      </w:r>
    </w:p>
    <w:p w:rsidR="00C93404" w:rsidP="00C93404" w14:paraId="48A4AC35" w14:textId="77777777">
      <w:pPr>
        <w:pStyle w:val="BulletLevel1"/>
      </w:pPr>
      <w:r>
        <w:t xml:space="preserve">If the weekly average of a respondent’s turbidity monitoring results exceeds the 50 NTU benchmark, or alternate benchmark if approved by EPA, the respondent must take corrective action. The time to document corrective actions is included in the overall burden estimate for this activity. </w:t>
      </w:r>
    </w:p>
    <w:p w:rsidR="006C68A6" w:rsidRPr="001E010D" w:rsidP="006C68A6" w14:paraId="1A202DB4" w14:textId="77777777">
      <w:pPr>
        <w:pStyle w:val="Default"/>
        <w:spacing w:after="100" w:afterAutospacing="1"/>
        <w:contextualSpacing/>
        <w:rPr>
          <w:rFonts w:ascii="Calibri" w:hAnsi="Calibri" w:cs="Calibri"/>
          <w:sz w:val="22"/>
          <w:szCs w:val="22"/>
        </w:rPr>
      </w:pPr>
      <w:r w:rsidRPr="001E010D">
        <w:rPr>
          <w:rFonts w:ascii="Calibri" w:hAnsi="Calibri" w:cs="Calibri"/>
          <w:sz w:val="22"/>
          <w:szCs w:val="22"/>
        </w:rPr>
        <w:t xml:space="preserve">With burden hour estimates </w:t>
      </w:r>
      <w:r>
        <w:rPr>
          <w:rFonts w:ascii="Calibri" w:hAnsi="Calibri" w:cs="Calibri"/>
          <w:sz w:val="22"/>
          <w:szCs w:val="22"/>
        </w:rPr>
        <w:t xml:space="preserve">included in </w:t>
      </w:r>
      <w:r w:rsidRPr="001E010D">
        <w:rPr>
          <w:rFonts w:ascii="Calibri" w:hAnsi="Calibri" w:cs="Calibri"/>
          <w:sz w:val="22"/>
          <w:szCs w:val="22"/>
        </w:rPr>
        <w:t>Section</w:t>
      </w:r>
      <w:r>
        <w:rPr>
          <w:rFonts w:ascii="Calibri" w:hAnsi="Calibri" w:cs="Calibri"/>
          <w:sz w:val="22"/>
          <w:szCs w:val="22"/>
        </w:rPr>
        <w:t xml:space="preserve"> VI.A</w:t>
      </w:r>
      <w:r w:rsidRPr="001E010D">
        <w:rPr>
          <w:rFonts w:ascii="Calibri" w:hAnsi="Calibri" w:cs="Calibri"/>
          <w:sz w:val="22"/>
          <w:szCs w:val="22"/>
        </w:rPr>
        <w:t>, the next step is to estimate the labor cost per respondent and the capital costs required to complete each activity</w:t>
      </w:r>
      <w:r>
        <w:rPr>
          <w:rFonts w:ascii="Calibri" w:hAnsi="Calibri" w:cs="Calibri"/>
          <w:sz w:val="22"/>
          <w:szCs w:val="22"/>
        </w:rPr>
        <w:t xml:space="preserve"> that would be required under the 2022</w:t>
      </w:r>
      <w:r w:rsidRPr="00380A0B">
        <w:rPr>
          <w:rFonts w:ascii="Calibri" w:hAnsi="Calibri" w:cs="Calibri"/>
          <w:sz w:val="22"/>
          <w:szCs w:val="22"/>
        </w:rPr>
        <w:t xml:space="preserve"> </w:t>
      </w:r>
      <w:r w:rsidRPr="0022278D">
        <w:rPr>
          <w:rFonts w:ascii="Calibri" w:hAnsi="Calibri" w:cs="Calibri"/>
          <w:sz w:val="22"/>
          <w:szCs w:val="22"/>
        </w:rPr>
        <w:t>C</w:t>
      </w:r>
      <w:r w:rsidRPr="00380A0B">
        <w:rPr>
          <w:rFonts w:ascii="Calibri" w:hAnsi="Calibri" w:cs="Calibri"/>
          <w:sz w:val="22"/>
          <w:szCs w:val="22"/>
        </w:rPr>
        <w:t>GP. The</w:t>
      </w:r>
      <w:r w:rsidRPr="001E010D">
        <w:rPr>
          <w:rFonts w:ascii="Calibri" w:hAnsi="Calibri" w:cs="Calibri"/>
          <w:sz w:val="22"/>
          <w:szCs w:val="22"/>
        </w:rPr>
        <w:t xml:space="preserve"> total cost for each respondent activity is composed of the following: </w:t>
      </w:r>
    </w:p>
    <w:p w:rsidR="006C68A6" w:rsidRPr="001E010D" w:rsidP="006C68A6" w14:paraId="5F860AF6" w14:textId="77777777">
      <w:pPr>
        <w:pStyle w:val="Default"/>
        <w:numPr>
          <w:ilvl w:val="0"/>
          <w:numId w:val="43"/>
        </w:numPr>
        <w:spacing w:after="100" w:afterAutospacing="1"/>
        <w:contextualSpacing/>
        <w:rPr>
          <w:rFonts w:ascii="Calibri" w:hAnsi="Calibri" w:cs="Calibri"/>
          <w:sz w:val="22"/>
          <w:szCs w:val="22"/>
        </w:rPr>
      </w:pPr>
      <w:r w:rsidRPr="001E010D">
        <w:rPr>
          <w:rFonts w:ascii="Calibri" w:hAnsi="Calibri" w:cs="Calibri"/>
          <w:sz w:val="22"/>
          <w:szCs w:val="22"/>
        </w:rPr>
        <w:t xml:space="preserve">Labor </w:t>
      </w:r>
      <w:r>
        <w:rPr>
          <w:rFonts w:ascii="Calibri" w:hAnsi="Calibri" w:cs="Calibri"/>
          <w:sz w:val="22"/>
          <w:szCs w:val="22"/>
        </w:rPr>
        <w:t>c</w:t>
      </w:r>
      <w:r w:rsidRPr="001E010D">
        <w:rPr>
          <w:rFonts w:ascii="Calibri" w:hAnsi="Calibri" w:cs="Calibri"/>
          <w:sz w:val="22"/>
          <w:szCs w:val="22"/>
        </w:rPr>
        <w:t>ost;</w:t>
      </w:r>
    </w:p>
    <w:p w:rsidR="006C68A6" w:rsidRPr="001E010D" w:rsidP="006C68A6" w14:paraId="345F5E87" w14:textId="77777777">
      <w:pPr>
        <w:pStyle w:val="Default"/>
        <w:numPr>
          <w:ilvl w:val="0"/>
          <w:numId w:val="43"/>
        </w:numPr>
        <w:spacing w:after="100" w:afterAutospacing="1"/>
        <w:contextualSpacing/>
        <w:rPr>
          <w:rFonts w:ascii="Calibri" w:hAnsi="Calibri" w:cs="Calibri"/>
          <w:sz w:val="22"/>
          <w:szCs w:val="22"/>
        </w:rPr>
      </w:pPr>
      <w:r>
        <w:rPr>
          <w:rFonts w:ascii="Calibri" w:hAnsi="Calibri" w:cs="Calibri"/>
          <w:sz w:val="22"/>
          <w:szCs w:val="22"/>
        </w:rPr>
        <w:t>Operations and maintenance (</w:t>
      </w:r>
      <w:r w:rsidRPr="001E010D">
        <w:rPr>
          <w:rFonts w:ascii="Calibri" w:hAnsi="Calibri" w:cs="Calibri"/>
          <w:sz w:val="22"/>
          <w:szCs w:val="22"/>
        </w:rPr>
        <w:t>O&amp;</w:t>
      </w:r>
      <w:r>
        <w:rPr>
          <w:rFonts w:ascii="Calibri" w:hAnsi="Calibri" w:cs="Calibri"/>
          <w:sz w:val="22"/>
          <w:szCs w:val="22"/>
        </w:rPr>
        <w:t>M)</w:t>
      </w:r>
      <w:r w:rsidRPr="001E010D">
        <w:rPr>
          <w:rFonts w:ascii="Calibri" w:hAnsi="Calibri" w:cs="Calibri"/>
          <w:sz w:val="22"/>
          <w:szCs w:val="22"/>
        </w:rPr>
        <w:t xml:space="preserve"> </w:t>
      </w:r>
      <w:r>
        <w:rPr>
          <w:rFonts w:ascii="Calibri" w:hAnsi="Calibri" w:cs="Calibri"/>
          <w:sz w:val="22"/>
          <w:szCs w:val="22"/>
        </w:rPr>
        <w:t>c</w:t>
      </w:r>
      <w:r w:rsidRPr="001E010D">
        <w:rPr>
          <w:rFonts w:ascii="Calibri" w:hAnsi="Calibri" w:cs="Calibri"/>
          <w:sz w:val="22"/>
          <w:szCs w:val="22"/>
        </w:rPr>
        <w:t xml:space="preserve">ost; and </w:t>
      </w:r>
    </w:p>
    <w:p w:rsidR="006C68A6" w:rsidRPr="006C68A6" w:rsidP="006C68A6" w14:paraId="4D60E46B" w14:textId="189E03D8">
      <w:pPr>
        <w:pStyle w:val="Default"/>
        <w:numPr>
          <w:ilvl w:val="0"/>
          <w:numId w:val="43"/>
        </w:numPr>
        <w:spacing w:after="100" w:afterAutospacing="1"/>
        <w:contextualSpacing/>
        <w:rPr>
          <w:rFonts w:ascii="Calibri" w:hAnsi="Calibri" w:cs="Calibri"/>
          <w:sz w:val="22"/>
          <w:szCs w:val="22"/>
        </w:rPr>
      </w:pPr>
      <w:r w:rsidRPr="001E010D">
        <w:rPr>
          <w:rFonts w:ascii="Calibri" w:hAnsi="Calibri" w:cs="Calibri"/>
          <w:sz w:val="22"/>
          <w:szCs w:val="22"/>
        </w:rPr>
        <w:t>Capital/</w:t>
      </w:r>
      <w:r>
        <w:rPr>
          <w:rFonts w:ascii="Calibri" w:hAnsi="Calibri" w:cs="Calibri"/>
          <w:sz w:val="22"/>
          <w:szCs w:val="22"/>
        </w:rPr>
        <w:t>s</w:t>
      </w:r>
      <w:r w:rsidRPr="001E010D">
        <w:rPr>
          <w:rFonts w:ascii="Calibri" w:hAnsi="Calibri" w:cs="Calibri"/>
          <w:sz w:val="22"/>
          <w:szCs w:val="22"/>
        </w:rPr>
        <w:t xml:space="preserve">tart-up </w:t>
      </w:r>
      <w:r>
        <w:rPr>
          <w:rFonts w:ascii="Calibri" w:hAnsi="Calibri" w:cs="Calibri"/>
          <w:sz w:val="22"/>
          <w:szCs w:val="22"/>
        </w:rPr>
        <w:t>c</w:t>
      </w:r>
      <w:r w:rsidRPr="001E010D">
        <w:rPr>
          <w:rFonts w:ascii="Calibri" w:hAnsi="Calibri" w:cs="Calibri"/>
          <w:sz w:val="22"/>
          <w:szCs w:val="22"/>
        </w:rPr>
        <w:t xml:space="preserve">ost. </w:t>
      </w:r>
    </w:p>
    <w:p w:rsidR="00C906EE" w:rsidRPr="003B078C" w:rsidP="00C906EE" w14:paraId="33E4B8C6" w14:textId="00F3171A">
      <w:pPr>
        <w:spacing w:after="100" w:afterAutospacing="1" w:line="240" w:lineRule="auto"/>
        <w:contextualSpacing/>
      </w:pPr>
      <w:r>
        <w:rPr>
          <w:rFonts w:ascii="Calibri" w:hAnsi="Calibri" w:cs="Calibri"/>
        </w:rPr>
        <w:t>EPA</w:t>
      </w:r>
      <w:r w:rsidRPr="001E010D">
        <w:rPr>
          <w:rFonts w:ascii="Calibri" w:hAnsi="Calibri" w:cs="Calibri"/>
        </w:rPr>
        <w:t xml:space="preserve"> determined the hourly employment cost of employees using methodology established in previous ICRs. When calculating respondent labor costs, </w:t>
      </w:r>
      <w:r>
        <w:rPr>
          <w:rFonts w:ascii="Calibri" w:hAnsi="Calibri" w:cs="Calibri"/>
        </w:rPr>
        <w:t>EPA</w:t>
      </w:r>
      <w:r w:rsidRPr="001E010D">
        <w:rPr>
          <w:rFonts w:ascii="Calibri" w:hAnsi="Calibri" w:cs="Calibri"/>
        </w:rPr>
        <w:t xml:space="preserve"> assumes the average </w:t>
      </w:r>
      <w:r>
        <w:rPr>
          <w:rFonts w:ascii="Calibri" w:hAnsi="Calibri" w:cs="Calibri"/>
        </w:rPr>
        <w:t xml:space="preserve">loaded </w:t>
      </w:r>
      <w:r w:rsidRPr="001E010D">
        <w:rPr>
          <w:rFonts w:ascii="Calibri" w:hAnsi="Calibri" w:cs="Calibri"/>
        </w:rPr>
        <w:t xml:space="preserve">hourly rate </w:t>
      </w:r>
      <w:r w:rsidRPr="003408D9">
        <w:rPr>
          <w:rFonts w:ascii="Calibri" w:hAnsi="Calibri" w:cs="Calibri"/>
        </w:rPr>
        <w:t>for</w:t>
      </w:r>
      <w:r w:rsidRPr="001E010D">
        <w:rPr>
          <w:rFonts w:ascii="Calibri" w:hAnsi="Calibri" w:cs="Calibri"/>
        </w:rPr>
        <w:t xml:space="preserve"> private sector </w:t>
      </w:r>
      <w:r w:rsidRPr="00361ABB">
        <w:rPr>
          <w:rFonts w:ascii="Calibri" w:hAnsi="Calibri" w:cs="Calibri"/>
        </w:rPr>
        <w:t>is $</w:t>
      </w:r>
      <w:r w:rsidR="006420BA">
        <w:rPr>
          <w:rFonts w:ascii="Calibri" w:hAnsi="Calibri" w:cs="Calibri"/>
        </w:rPr>
        <w:t>73.47</w:t>
      </w:r>
      <w:r w:rsidRPr="00026571">
        <w:rPr>
          <w:rFonts w:ascii="Calibri" w:hAnsi="Calibri" w:cs="Calibri"/>
        </w:rPr>
        <w:t xml:space="preserve"> </w:t>
      </w:r>
      <w:r w:rsidRPr="0075395F">
        <w:rPr>
          <w:rFonts w:ascii="Calibri" w:hAnsi="Calibri" w:cs="Calibri"/>
        </w:rPr>
        <w:t xml:space="preserve">(source: </w:t>
      </w:r>
      <w:r w:rsidRPr="003408D9">
        <w:t xml:space="preserve">https://www.bls.gov/bls/news-release/ecec.htm, </w:t>
      </w:r>
      <w:r>
        <w:t xml:space="preserve">June </w:t>
      </w:r>
      <w:r w:rsidR="006420BA">
        <w:t>2024</w:t>
      </w:r>
      <w:r w:rsidRPr="00891B10">
        <w:t xml:space="preserve">, Table 2, Total Compensation for “Management, professional, and related,” </w:t>
      </w:r>
      <w:r w:rsidR="006420BA">
        <w:rPr>
          <w:rFonts w:ascii="Calibri" w:hAnsi="Calibri" w:cs="Calibri"/>
        </w:rPr>
        <w:t>September 23</w:t>
      </w:r>
      <w:r>
        <w:rPr>
          <w:rFonts w:ascii="Calibri" w:hAnsi="Calibri" w:cs="Calibri"/>
        </w:rPr>
        <w:t>, 202</w:t>
      </w:r>
      <w:r w:rsidR="006420BA">
        <w:rPr>
          <w:rFonts w:ascii="Calibri" w:hAnsi="Calibri" w:cs="Calibri"/>
        </w:rPr>
        <w:t>4</w:t>
      </w:r>
      <w:r w:rsidRPr="0075395F">
        <w:rPr>
          <w:rFonts w:ascii="Calibri" w:hAnsi="Calibri" w:cs="Calibri"/>
        </w:rPr>
        <w:t>).</w:t>
      </w:r>
      <w:r w:rsidRPr="003408D9">
        <w:t xml:space="preserve"> </w:t>
      </w:r>
    </w:p>
    <w:p w:rsidR="00C906EE" w:rsidRPr="005A232A" w:rsidP="00C906EE" w14:paraId="68915021" w14:textId="77777777">
      <w:pPr>
        <w:spacing w:after="100" w:afterAutospacing="1" w:line="240" w:lineRule="auto"/>
        <w:contextualSpacing/>
        <w:rPr>
          <w:rFonts w:ascii="Calibri" w:hAnsi="Calibri" w:cs="Calibri"/>
          <w:b/>
        </w:rPr>
      </w:pPr>
    </w:p>
    <w:p w:rsidR="00ED57A4" w:rsidRPr="00C906EE" w:rsidP="00C906EE" w14:paraId="68F435BE" w14:textId="06ACD772">
      <w:pPr>
        <w:spacing w:after="100" w:afterAutospacing="1" w:line="240" w:lineRule="auto"/>
        <w:contextualSpacing/>
        <w:rPr>
          <w:rFonts w:ascii="Calibri" w:hAnsi="Calibri" w:cs="Calibri"/>
          <w:b/>
        </w:rPr>
      </w:pPr>
      <w:r w:rsidRPr="00C1518C">
        <w:rPr>
          <w:rFonts w:ascii="Calibri" w:hAnsi="Calibri" w:cs="Calibri"/>
        </w:rPr>
        <w:t xml:space="preserve">This ICR estimates an incremental increase of </w:t>
      </w:r>
      <w:r w:rsidR="009222F8">
        <w:rPr>
          <w:rFonts w:ascii="Calibri" w:hAnsi="Calibri" w:cs="Calibri"/>
        </w:rPr>
        <w:t>45,367</w:t>
      </w:r>
      <w:r w:rsidRPr="00C1518C">
        <w:rPr>
          <w:rFonts w:ascii="Calibri" w:hAnsi="Calibri" w:cs="Calibri"/>
        </w:rPr>
        <w:t xml:space="preserve"> hours per year, which equates to an incremental increase of </w:t>
      </w:r>
      <w:r w:rsidRPr="00C1518C">
        <w:rPr>
          <w:rFonts w:ascii="Calibri" w:eastAsia="Times New Roman" w:hAnsi="Calibri" w:cs="Calibri"/>
          <w:color w:val="000000"/>
        </w:rPr>
        <w:t>$</w:t>
      </w:r>
      <w:r w:rsidR="008033E6">
        <w:rPr>
          <w:rFonts w:ascii="Calibri" w:hAnsi="Calibri" w:cs="Calibri"/>
        </w:rPr>
        <w:t>3,333,114</w:t>
      </w:r>
      <w:r w:rsidRPr="00C1518C">
        <w:rPr>
          <w:rFonts w:ascii="Calibri" w:eastAsia="Times New Roman" w:hAnsi="Calibri" w:cs="Calibri"/>
          <w:bCs/>
          <w:color w:val="000000"/>
        </w:rPr>
        <w:t xml:space="preserve"> </w:t>
      </w:r>
      <w:r w:rsidRPr="00C1518C">
        <w:rPr>
          <w:rFonts w:ascii="Calibri" w:hAnsi="Calibri" w:cs="Calibri"/>
        </w:rPr>
        <w:t>annually in labor costs associated with respondent burden. The increase</w:t>
      </w:r>
      <w:r>
        <w:rPr>
          <w:rFonts w:ascii="Calibri" w:hAnsi="Calibri" w:cs="Calibri"/>
        </w:rPr>
        <w:t xml:space="preserve"> in costs is primarily attributed to the new dewatering inspections and turbidity benchmark monitoring requirements.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BB3410" w:rsidP="00C93404" w14:paraId="678BA42F" w14:textId="5D726556">
      <w:pPr>
        <w:spacing w:after="100" w:afterAutospacing="1" w:line="240" w:lineRule="auto"/>
        <w:contextualSpacing/>
        <w:rPr>
          <w:rFonts w:ascii="Calibri" w:hAnsi="Calibri" w:cs="Calibri"/>
        </w:rPr>
      </w:pPr>
      <w:r>
        <w:rPr>
          <w:rFonts w:ascii="Calibri" w:hAnsi="Calibri" w:cs="Calibri"/>
        </w:rPr>
        <w:t xml:space="preserve">There are new capital costs associated with the 2022 CGP turbidity benchmark </w:t>
      </w:r>
      <w:r w:rsidRPr="0022278D">
        <w:rPr>
          <w:rFonts w:ascii="Calibri" w:hAnsi="Calibri" w:cs="Calibri"/>
        </w:rPr>
        <w:t>monitoring</w:t>
      </w:r>
      <w:r>
        <w:rPr>
          <w:rFonts w:ascii="Calibri" w:hAnsi="Calibri" w:cs="Calibri"/>
        </w:rPr>
        <w:t xml:space="preserve"> requirement for sites discharging dewatering water </w:t>
      </w:r>
      <w:r>
        <w:t>to sensitive waters</w:t>
      </w:r>
      <w:r>
        <w:rPr>
          <w:rFonts w:ascii="Calibri" w:hAnsi="Calibri" w:cs="Calibri"/>
        </w:rPr>
        <w:t>.</w:t>
      </w:r>
      <w:r>
        <w:rPr>
          <w:rFonts w:ascii="Calibri" w:hAnsi="Calibri" w:cs="Calibri"/>
          <w:bCs/>
        </w:rPr>
        <w:t xml:space="preserve"> EPA estimates the activity will require </w:t>
      </w:r>
      <w:r>
        <w:rPr>
          <w:rFonts w:ascii="Calibri" w:hAnsi="Calibri" w:cs="Calibri"/>
        </w:rPr>
        <w:t xml:space="preserve">a one-time </w:t>
      </w:r>
      <w:r w:rsidRPr="002A46DE">
        <w:rPr>
          <w:rFonts w:ascii="Calibri" w:hAnsi="Calibri" w:cs="Calibri"/>
        </w:rPr>
        <w:t>capital</w:t>
      </w:r>
      <w:r>
        <w:rPr>
          <w:rFonts w:ascii="Calibri" w:hAnsi="Calibri" w:cs="Calibri"/>
        </w:rPr>
        <w:t xml:space="preserve"> cost to purchase a turbidity meter. EPA assumes the only associated O&amp;M</w:t>
      </w:r>
      <w:r w:rsidRPr="002A46DE">
        <w:rPr>
          <w:rFonts w:ascii="Calibri" w:hAnsi="Calibri" w:cs="Calibri"/>
        </w:rPr>
        <w:t xml:space="preserve"> costs</w:t>
      </w:r>
      <w:r>
        <w:rPr>
          <w:rFonts w:ascii="Calibri" w:hAnsi="Calibri" w:cs="Calibri"/>
        </w:rPr>
        <w:t xml:space="preserve"> are labor costs to </w:t>
      </w:r>
      <w:r>
        <w:t>conduct daily calibration verifications prior to using the meter, consistent with the manufacturer’s instructions</w:t>
      </w:r>
      <w:r>
        <w:rPr>
          <w:rFonts w:ascii="Calibri" w:hAnsi="Calibri" w:cs="Calibri"/>
        </w:rPr>
        <w:t>. Labor burden estimates are addressed elsewhere in this ICR</w:t>
      </w:r>
      <w:r w:rsidRPr="002A46DE">
        <w:rPr>
          <w:rFonts w:ascii="Calibri" w:hAnsi="Calibri" w:cs="Calibri"/>
        </w:rPr>
        <w:t>.</w:t>
      </w:r>
      <w:r>
        <w:rPr>
          <w:rFonts w:ascii="Calibri" w:hAnsi="Calibri" w:cs="Calibri"/>
        </w:rPr>
        <w:t xml:space="preserve"> </w:t>
      </w:r>
    </w:p>
    <w:p w:rsidR="00C93404" w:rsidRPr="00C93404" w:rsidP="00C93404" w14:paraId="386DF056" w14:textId="77777777">
      <w:pPr>
        <w:spacing w:after="100" w:afterAutospacing="1" w:line="240" w:lineRule="auto"/>
        <w:contextualSpacing/>
        <w:rPr>
          <w:rFonts w:ascii="Calibri" w:hAnsi="Calibri" w:cs="Calibri"/>
        </w:rPr>
      </w:pPr>
    </w:p>
    <w:p w:rsidR="00C93404" w:rsidP="00C93404" w14:paraId="2BF8464E" w14:textId="77777777">
      <w:r>
        <w:t xml:space="preserve">EPA estimates that respondents will purchase a turbidity meter at the beginning of each project and </w:t>
      </w:r>
      <w:r>
        <w:rPr>
          <w:rFonts w:ascii="Calibri" w:hAnsi="Calibri" w:cs="Calibri"/>
        </w:rPr>
        <w:t xml:space="preserve">then </w:t>
      </w:r>
      <w:r>
        <w:t xml:space="preserve">conduct daily calibration verifications, consistent with the manufacturer’s instructions. EPA notes that this requirement only applies to a subset of those respondents that conduct dewatering at their site and that discharge dewatering water into sensitive waters. EPA surveyed publicly available price information from a variety of analytical instrument retailers for prices and instrument information. Of the instruments with publicly available prices that were advertised as able to comply with EPA analytical method standards for turbidity, prices ranged from $970 - $1,870 with a median price of $1,064. Further information on this survey can be found in Section IV.D.2 of the </w:t>
      </w:r>
      <w:r w:rsidRPr="00EB5959">
        <w:rPr>
          <w:i/>
          <w:iCs/>
        </w:rPr>
        <w:t xml:space="preserve">Incremental Cost Impact Analysis for the </w:t>
      </w:r>
      <w:r w:rsidRPr="00376E1C">
        <w:rPr>
          <w:i/>
          <w:iCs/>
        </w:rPr>
        <w:t>2022 CGP</w:t>
      </w:r>
      <w:r>
        <w:t>.</w:t>
      </w:r>
    </w:p>
    <w:p w:rsidR="00C93404" w:rsidP="00C93404" w14:paraId="6EADDC86" w14:textId="77777777">
      <w:pPr>
        <w:spacing w:after="100" w:afterAutospacing="1" w:line="240" w:lineRule="auto"/>
        <w:contextualSpacing/>
        <w:rPr>
          <w:rFonts w:ascii="Calibri" w:hAnsi="Calibri" w:cs="Calibri"/>
        </w:rPr>
      </w:pPr>
      <w:r>
        <w:rPr>
          <w:rFonts w:ascii="Calibri" w:hAnsi="Calibri" w:cs="Calibri"/>
        </w:rPr>
        <w:t>Respondents will need to keep the turbidity meter calibrated. However, EPA assumes that calibration standards are included with the purchase of a turbidity meter and are thus accounted for in the estimate for capital cost. In addition, the labor cost to calibrate the meter is already accounted for in the labor burden estimates for turbidity benchmark monitoring. Thus, there are no estimated O&amp;M costs associated with the dewatering turbidity benchmark monitoring requirement.</w:t>
      </w:r>
    </w:p>
    <w:p w:rsidR="00C93404" w:rsidP="00C93404" w14:paraId="1EF1F7BE" w14:textId="77777777">
      <w:pPr>
        <w:spacing w:after="100" w:afterAutospacing="1" w:line="240" w:lineRule="auto"/>
        <w:contextualSpacing/>
        <w:rPr>
          <w:rFonts w:ascii="Calibri" w:hAnsi="Calibri" w:cs="Calibri"/>
        </w:rPr>
      </w:pPr>
    </w:p>
    <w:tbl>
      <w:tblPr>
        <w:tblW w:w="5000" w:type="pct"/>
        <w:tblLayout w:type="fixed"/>
        <w:tblLook w:val="04A0"/>
      </w:tblPr>
      <w:tblGrid>
        <w:gridCol w:w="1745"/>
        <w:gridCol w:w="1993"/>
        <w:gridCol w:w="1871"/>
        <w:gridCol w:w="1493"/>
        <w:gridCol w:w="1993"/>
        <w:gridCol w:w="1996"/>
        <w:gridCol w:w="1869"/>
      </w:tblGrid>
      <w:tr w14:paraId="51908187" w14:textId="77777777" w:rsidTr="00A3008A">
        <w:tblPrEx>
          <w:tblW w:w="5000" w:type="pct"/>
          <w:tblLayout w:type="fixed"/>
          <w:tblLook w:val="04A0"/>
        </w:tblPrEx>
        <w:trPr>
          <w:cantSplit/>
          <w:trHeight w:val="81"/>
        </w:trPr>
        <w:tc>
          <w:tcPr>
            <w:tcW w:w="5000" w:type="pct"/>
            <w:gridSpan w:val="7"/>
            <w:tcBorders>
              <w:bottom w:val="single" w:sz="4" w:space="0" w:color="auto"/>
            </w:tcBorders>
            <w:shd w:val="clear" w:color="000000" w:fill="auto"/>
            <w:vAlign w:val="center"/>
          </w:tcPr>
          <w:p w:rsidR="00C93404" w:rsidRPr="00210728" w:rsidP="00A3008A" w14:paraId="43B9FFA0" w14:textId="77777777">
            <w:pPr>
              <w:spacing w:after="0" w:line="240" w:lineRule="auto"/>
              <w:jc w:val="center"/>
              <w:rPr>
                <w:rFonts w:ascii="Calibri" w:eastAsia="Times New Roman" w:hAnsi="Calibri" w:cs="Calibri"/>
                <w:b/>
                <w:bCs/>
                <w:color w:val="000000"/>
              </w:rPr>
            </w:pPr>
            <w:r w:rsidRPr="005C4263">
              <w:rPr>
                <w:b/>
                <w:bCs/>
              </w:rPr>
              <w:t xml:space="preserve">Table </w:t>
            </w:r>
            <w:r w:rsidRPr="005C4263">
              <w:rPr>
                <w:b/>
                <w:bCs/>
              </w:rPr>
              <w:fldChar w:fldCharType="begin"/>
            </w:r>
            <w:r w:rsidRPr="005C4263">
              <w:rPr>
                <w:b/>
                <w:bCs/>
              </w:rPr>
              <w:instrText xml:space="preserve"> SEQ Table \* ARABIC </w:instrText>
            </w:r>
            <w:r w:rsidRPr="005C4263">
              <w:rPr>
                <w:b/>
                <w:bCs/>
              </w:rPr>
              <w:fldChar w:fldCharType="separate"/>
            </w:r>
            <w:r w:rsidRPr="005C4263">
              <w:rPr>
                <w:b/>
                <w:bCs/>
                <w:noProof/>
              </w:rPr>
              <w:t>3</w:t>
            </w:r>
            <w:r w:rsidRPr="005C4263">
              <w:rPr>
                <w:b/>
                <w:bCs/>
              </w:rPr>
              <w:fldChar w:fldCharType="end"/>
            </w:r>
            <w:r w:rsidRPr="005C4263">
              <w:rPr>
                <w:b/>
                <w:bCs/>
              </w:rPr>
              <w:t xml:space="preserve"> -</w:t>
            </w:r>
            <w:r>
              <w:t xml:space="preserve"> </w:t>
            </w:r>
            <w:r w:rsidRPr="004B02E2">
              <w:rPr>
                <w:b/>
                <w:bCs/>
              </w:rPr>
              <w:t>Turbidity Meter Capital and O&amp;M Costs</w:t>
            </w:r>
          </w:p>
        </w:tc>
      </w:tr>
      <w:tr w14:paraId="505AB7CC" w14:textId="77777777" w:rsidTr="00A3008A">
        <w:tblPrEx>
          <w:tblW w:w="5000" w:type="pct"/>
          <w:tblLayout w:type="fixed"/>
          <w:tblLook w:val="04A0"/>
        </w:tblPrEx>
        <w:trPr>
          <w:cantSplit/>
          <w:trHeight w:val="1500"/>
        </w:trPr>
        <w:tc>
          <w:tcPr>
            <w:tcW w:w="673" w:type="pct"/>
            <w:tcBorders>
              <w:top w:val="single" w:sz="4" w:space="0" w:color="auto"/>
              <w:left w:val="single" w:sz="4" w:space="0" w:color="auto"/>
              <w:bottom w:val="single" w:sz="4" w:space="0" w:color="auto"/>
              <w:right w:val="single" w:sz="4" w:space="0" w:color="auto"/>
            </w:tcBorders>
            <w:shd w:val="pct12" w:color="000000" w:fill="auto"/>
            <w:vAlign w:val="center"/>
            <w:hideMark/>
          </w:tcPr>
          <w:p w:rsidR="00C93404" w:rsidRPr="00210728" w:rsidP="00A3008A" w14:paraId="2FC6012B" w14:textId="77777777">
            <w:pPr>
              <w:spacing w:after="0" w:line="240" w:lineRule="auto"/>
              <w:jc w:val="center"/>
              <w:rPr>
                <w:rFonts w:ascii="Calibri" w:eastAsia="Times New Roman" w:hAnsi="Calibri" w:cs="Calibri"/>
                <w:b/>
                <w:bCs/>
                <w:color w:val="000000"/>
              </w:rPr>
            </w:pPr>
            <w:r w:rsidRPr="00210728">
              <w:rPr>
                <w:rFonts w:ascii="Calibri" w:eastAsia="Times New Roman" w:hAnsi="Calibri" w:cs="Calibri"/>
                <w:b/>
                <w:bCs/>
                <w:color w:val="000000"/>
              </w:rPr>
              <w:t>Monitoring Device</w:t>
            </w:r>
          </w:p>
        </w:tc>
        <w:tc>
          <w:tcPr>
            <w:tcW w:w="769" w:type="pct"/>
            <w:tcBorders>
              <w:top w:val="single" w:sz="4" w:space="0" w:color="auto"/>
              <w:left w:val="nil"/>
              <w:bottom w:val="single" w:sz="4" w:space="0" w:color="auto"/>
              <w:right w:val="single" w:sz="4" w:space="0" w:color="auto"/>
            </w:tcBorders>
            <w:shd w:val="pct12" w:color="000000" w:fill="auto"/>
            <w:vAlign w:val="center"/>
            <w:hideMark/>
          </w:tcPr>
          <w:p w:rsidR="00C93404" w:rsidRPr="00137DAD" w:rsidP="00A3008A" w14:paraId="5A27A264" w14:textId="77777777">
            <w:pPr>
              <w:spacing w:after="0" w:line="240" w:lineRule="auto"/>
              <w:jc w:val="center"/>
              <w:rPr>
                <w:rFonts w:ascii="Calibri" w:eastAsia="Times New Roman" w:hAnsi="Calibri" w:cs="Calibri"/>
                <w:b/>
                <w:bCs/>
                <w:color w:val="000000"/>
              </w:rPr>
            </w:pPr>
            <w:r w:rsidRPr="00137DAD">
              <w:rPr>
                <w:rFonts w:ascii="Calibri" w:hAnsi="Calibri" w:cs="Calibri"/>
                <w:b/>
                <w:bCs/>
                <w:color w:val="000000"/>
                <w:sz w:val="20"/>
                <w:szCs w:val="20"/>
              </w:rPr>
              <w:t xml:space="preserve">Capital/ Startup Cost for One Respondent </w:t>
            </w:r>
            <w:r w:rsidRPr="00137DAD">
              <w:rPr>
                <w:rFonts w:ascii="Calibri" w:hAnsi="Calibri" w:cs="Calibri"/>
                <w:b/>
                <w:bCs/>
                <w:color w:val="000000"/>
                <w:sz w:val="20"/>
                <w:szCs w:val="20"/>
                <w:vertAlign w:val="superscript"/>
              </w:rPr>
              <w:t>1</w:t>
            </w:r>
          </w:p>
        </w:tc>
        <w:tc>
          <w:tcPr>
            <w:tcW w:w="722" w:type="pct"/>
            <w:tcBorders>
              <w:top w:val="single" w:sz="4" w:space="0" w:color="auto"/>
              <w:left w:val="nil"/>
              <w:bottom w:val="single" w:sz="4" w:space="0" w:color="auto"/>
              <w:right w:val="single" w:sz="4" w:space="0" w:color="auto"/>
            </w:tcBorders>
            <w:shd w:val="pct12" w:color="000000" w:fill="auto"/>
            <w:vAlign w:val="center"/>
            <w:hideMark/>
          </w:tcPr>
          <w:p w:rsidR="00C93404" w:rsidRPr="00137DAD" w:rsidP="00A3008A" w14:paraId="3D8DB304" w14:textId="77777777">
            <w:pPr>
              <w:spacing w:after="0" w:line="240" w:lineRule="auto"/>
              <w:jc w:val="center"/>
              <w:rPr>
                <w:rFonts w:ascii="Calibri" w:eastAsia="Times New Roman" w:hAnsi="Calibri" w:cs="Calibri"/>
                <w:b/>
                <w:bCs/>
                <w:color w:val="000000"/>
              </w:rPr>
            </w:pPr>
            <w:r w:rsidRPr="00137DAD">
              <w:rPr>
                <w:rFonts w:ascii="Calibri" w:hAnsi="Calibri" w:cs="Calibri"/>
                <w:b/>
                <w:bCs/>
                <w:color w:val="000000"/>
                <w:sz w:val="20"/>
                <w:szCs w:val="20"/>
              </w:rPr>
              <w:t xml:space="preserve">Number of Respondents </w:t>
            </w:r>
          </w:p>
        </w:tc>
        <w:tc>
          <w:tcPr>
            <w:tcW w:w="576" w:type="pct"/>
            <w:tcBorders>
              <w:top w:val="single" w:sz="4" w:space="0" w:color="auto"/>
              <w:left w:val="nil"/>
              <w:bottom w:val="single" w:sz="4" w:space="0" w:color="auto"/>
              <w:right w:val="single" w:sz="4" w:space="0" w:color="auto"/>
            </w:tcBorders>
            <w:shd w:val="pct12" w:color="000000" w:fill="auto"/>
            <w:vAlign w:val="center"/>
            <w:hideMark/>
          </w:tcPr>
          <w:p w:rsidR="00C93404" w:rsidRPr="00137DAD" w:rsidP="00A3008A" w14:paraId="00196E62" w14:textId="77777777">
            <w:pPr>
              <w:spacing w:after="0" w:line="240" w:lineRule="auto"/>
              <w:jc w:val="center"/>
              <w:rPr>
                <w:rFonts w:ascii="Calibri" w:eastAsia="Times New Roman" w:hAnsi="Calibri" w:cs="Calibri"/>
                <w:b/>
                <w:bCs/>
                <w:color w:val="000000"/>
              </w:rPr>
            </w:pPr>
            <w:r w:rsidRPr="00137DAD">
              <w:rPr>
                <w:rFonts w:ascii="Calibri" w:hAnsi="Calibri" w:cs="Calibri"/>
                <w:b/>
                <w:bCs/>
                <w:color w:val="000000"/>
                <w:sz w:val="20"/>
                <w:szCs w:val="20"/>
              </w:rPr>
              <w:t xml:space="preserve">Total Capital/ Startup Cost </w:t>
            </w:r>
          </w:p>
        </w:tc>
        <w:tc>
          <w:tcPr>
            <w:tcW w:w="769" w:type="pct"/>
            <w:tcBorders>
              <w:top w:val="single" w:sz="4" w:space="0" w:color="auto"/>
              <w:left w:val="nil"/>
              <w:bottom w:val="single" w:sz="4" w:space="0" w:color="auto"/>
              <w:right w:val="single" w:sz="4" w:space="0" w:color="auto"/>
            </w:tcBorders>
            <w:shd w:val="pct12" w:color="000000" w:fill="auto"/>
            <w:vAlign w:val="center"/>
            <w:hideMark/>
          </w:tcPr>
          <w:p w:rsidR="00C93404" w:rsidRPr="00137DAD" w:rsidP="00A3008A" w14:paraId="6AAC557A" w14:textId="77777777">
            <w:pPr>
              <w:spacing w:after="0" w:line="240" w:lineRule="auto"/>
              <w:jc w:val="center"/>
              <w:rPr>
                <w:rFonts w:ascii="Calibri" w:eastAsia="Times New Roman" w:hAnsi="Calibri" w:cs="Calibri"/>
                <w:b/>
                <w:bCs/>
                <w:color w:val="000000"/>
              </w:rPr>
            </w:pPr>
            <w:r w:rsidRPr="00137DAD">
              <w:rPr>
                <w:rFonts w:ascii="Calibri" w:hAnsi="Calibri" w:cs="Calibri"/>
                <w:b/>
                <w:bCs/>
                <w:color w:val="000000"/>
                <w:sz w:val="20"/>
                <w:szCs w:val="20"/>
              </w:rPr>
              <w:t>Annual O&amp;M Costs for One Respondent</w:t>
            </w:r>
            <w:r>
              <w:rPr>
                <w:rFonts w:ascii="Calibri" w:hAnsi="Calibri" w:cs="Calibri"/>
                <w:b/>
                <w:bCs/>
                <w:color w:val="000000"/>
                <w:sz w:val="20"/>
                <w:szCs w:val="20"/>
              </w:rPr>
              <w:t xml:space="preserve"> </w:t>
            </w:r>
            <w:r w:rsidRPr="006D74D4">
              <w:rPr>
                <w:rFonts w:ascii="Calibri" w:hAnsi="Calibri" w:cs="Calibri"/>
                <w:b/>
                <w:bCs/>
                <w:color w:val="000000"/>
                <w:sz w:val="20"/>
                <w:szCs w:val="20"/>
                <w:vertAlign w:val="superscript"/>
              </w:rPr>
              <w:t>2</w:t>
            </w:r>
          </w:p>
        </w:tc>
        <w:tc>
          <w:tcPr>
            <w:tcW w:w="770" w:type="pct"/>
            <w:tcBorders>
              <w:top w:val="single" w:sz="4" w:space="0" w:color="auto"/>
              <w:left w:val="nil"/>
              <w:bottom w:val="single" w:sz="4" w:space="0" w:color="auto"/>
              <w:right w:val="single" w:sz="4" w:space="0" w:color="auto"/>
            </w:tcBorders>
            <w:shd w:val="pct12" w:color="000000" w:fill="auto"/>
            <w:vAlign w:val="center"/>
            <w:hideMark/>
          </w:tcPr>
          <w:p w:rsidR="00C93404" w:rsidRPr="00137DAD" w:rsidP="00A3008A" w14:paraId="70582C25" w14:textId="77777777">
            <w:pPr>
              <w:spacing w:after="0" w:line="240" w:lineRule="auto"/>
              <w:jc w:val="center"/>
              <w:rPr>
                <w:rFonts w:ascii="Calibri" w:eastAsia="Times New Roman" w:hAnsi="Calibri" w:cs="Calibri"/>
                <w:b/>
                <w:bCs/>
                <w:color w:val="000000"/>
              </w:rPr>
            </w:pPr>
            <w:r w:rsidRPr="00137DAD">
              <w:rPr>
                <w:rFonts w:ascii="Calibri" w:hAnsi="Calibri" w:cs="Calibri"/>
                <w:b/>
                <w:bCs/>
                <w:color w:val="000000"/>
                <w:sz w:val="20"/>
                <w:szCs w:val="20"/>
              </w:rPr>
              <w:t>Number of Respondents with O&amp;M</w:t>
            </w:r>
          </w:p>
        </w:tc>
        <w:tc>
          <w:tcPr>
            <w:tcW w:w="721" w:type="pct"/>
            <w:tcBorders>
              <w:top w:val="single" w:sz="4" w:space="0" w:color="auto"/>
              <w:left w:val="nil"/>
              <w:bottom w:val="single" w:sz="4" w:space="0" w:color="auto"/>
              <w:right w:val="single" w:sz="4" w:space="0" w:color="auto"/>
            </w:tcBorders>
            <w:shd w:val="pct12" w:color="000000" w:fill="auto"/>
            <w:vAlign w:val="center"/>
            <w:hideMark/>
          </w:tcPr>
          <w:p w:rsidR="00C93404" w:rsidRPr="00137DAD" w:rsidP="00A3008A" w14:paraId="01A27477" w14:textId="77777777">
            <w:pPr>
              <w:spacing w:after="0" w:line="240" w:lineRule="auto"/>
              <w:jc w:val="center"/>
              <w:rPr>
                <w:rFonts w:ascii="Calibri" w:eastAsia="Times New Roman" w:hAnsi="Calibri" w:cs="Calibri"/>
                <w:b/>
                <w:bCs/>
                <w:color w:val="000000"/>
              </w:rPr>
            </w:pPr>
            <w:r w:rsidRPr="00137DAD">
              <w:rPr>
                <w:rFonts w:ascii="Calibri" w:hAnsi="Calibri" w:cs="Calibri"/>
                <w:b/>
                <w:bCs/>
                <w:color w:val="000000"/>
                <w:sz w:val="20"/>
                <w:szCs w:val="20"/>
              </w:rPr>
              <w:t>Total O&amp;M</w:t>
            </w:r>
            <w:r w:rsidRPr="00D84397">
              <w:rPr>
                <w:rFonts w:ascii="Calibri" w:hAnsi="Calibri" w:cs="Calibri"/>
                <w:b/>
                <w:bCs/>
                <w:color w:val="000000"/>
                <w:sz w:val="20"/>
                <w:szCs w:val="20"/>
                <w:vertAlign w:val="superscript"/>
              </w:rPr>
              <w:t>3</w:t>
            </w:r>
          </w:p>
        </w:tc>
      </w:tr>
      <w:tr w14:paraId="0BA34A6C" w14:textId="77777777" w:rsidTr="00A3008A">
        <w:tblPrEx>
          <w:tblW w:w="5000" w:type="pct"/>
          <w:tblLayout w:type="fixed"/>
          <w:tblLook w:val="04A0"/>
        </w:tblPrEx>
        <w:trPr>
          <w:cantSplit/>
          <w:trHeight w:val="300"/>
        </w:trPr>
        <w:tc>
          <w:tcPr>
            <w:tcW w:w="673" w:type="pct"/>
            <w:tcBorders>
              <w:top w:val="nil"/>
              <w:left w:val="single" w:sz="4" w:space="0" w:color="auto"/>
              <w:bottom w:val="single" w:sz="4" w:space="0" w:color="auto"/>
              <w:right w:val="single" w:sz="4" w:space="0" w:color="auto"/>
            </w:tcBorders>
            <w:shd w:val="clear" w:color="auto" w:fill="auto"/>
            <w:noWrap/>
            <w:vAlign w:val="bottom"/>
            <w:hideMark/>
          </w:tcPr>
          <w:p w:rsidR="00C93404" w:rsidRPr="00210728" w:rsidP="00A3008A" w14:paraId="4349DA49" w14:textId="77777777">
            <w:pPr>
              <w:spacing w:after="0" w:line="240" w:lineRule="auto"/>
              <w:rPr>
                <w:rFonts w:ascii="Calibri" w:eastAsia="Times New Roman" w:hAnsi="Calibri" w:cs="Calibri"/>
                <w:color w:val="000000"/>
              </w:rPr>
            </w:pPr>
            <w:r>
              <w:rPr>
                <w:rFonts w:ascii="Calibri" w:eastAsia="Times New Roman" w:hAnsi="Calibri" w:cs="Calibri"/>
                <w:color w:val="000000"/>
              </w:rPr>
              <w:t>Turbidity Meter</w:t>
            </w:r>
          </w:p>
        </w:tc>
        <w:tc>
          <w:tcPr>
            <w:tcW w:w="769" w:type="pct"/>
            <w:tcBorders>
              <w:top w:val="nil"/>
              <w:left w:val="nil"/>
              <w:bottom w:val="single" w:sz="4" w:space="0" w:color="auto"/>
              <w:right w:val="single" w:sz="4" w:space="0" w:color="auto"/>
            </w:tcBorders>
            <w:shd w:val="clear" w:color="auto" w:fill="auto"/>
            <w:noWrap/>
            <w:vAlign w:val="center"/>
            <w:hideMark/>
          </w:tcPr>
          <w:p w:rsidR="00C93404" w:rsidRPr="00210728" w:rsidP="00A3008A" w14:paraId="03480B46" w14:textId="77777777">
            <w:pPr>
              <w:spacing w:after="0" w:line="240" w:lineRule="auto"/>
              <w:jc w:val="center"/>
              <w:rPr>
                <w:rFonts w:ascii="Calibri" w:eastAsia="Times New Roman" w:hAnsi="Calibri" w:cs="Calibri"/>
                <w:color w:val="000000"/>
              </w:rPr>
            </w:pPr>
            <w:r w:rsidRPr="00210728">
              <w:rPr>
                <w:rFonts w:ascii="Calibri" w:eastAsia="Times New Roman" w:hAnsi="Calibri" w:cs="Calibri"/>
                <w:color w:val="000000"/>
              </w:rPr>
              <w:t>$1,0</w:t>
            </w:r>
            <w:r>
              <w:rPr>
                <w:rFonts w:ascii="Calibri" w:eastAsia="Times New Roman" w:hAnsi="Calibri" w:cs="Calibri"/>
                <w:color w:val="000000"/>
              </w:rPr>
              <w:t>64</w:t>
            </w:r>
          </w:p>
        </w:tc>
        <w:tc>
          <w:tcPr>
            <w:tcW w:w="722" w:type="pct"/>
            <w:tcBorders>
              <w:top w:val="nil"/>
              <w:left w:val="nil"/>
              <w:bottom w:val="single" w:sz="4" w:space="0" w:color="auto"/>
              <w:right w:val="single" w:sz="4" w:space="0" w:color="auto"/>
            </w:tcBorders>
            <w:shd w:val="clear" w:color="auto" w:fill="auto"/>
            <w:noWrap/>
            <w:vAlign w:val="center"/>
            <w:hideMark/>
          </w:tcPr>
          <w:p w:rsidR="00C93404" w:rsidRPr="00210728" w:rsidP="00A3008A" w14:paraId="7DE52D5B" w14:textId="204ACCC6">
            <w:pPr>
              <w:spacing w:after="0" w:line="240" w:lineRule="auto"/>
              <w:jc w:val="center"/>
              <w:rPr>
                <w:rFonts w:ascii="Calibri" w:eastAsia="Times New Roman" w:hAnsi="Calibri" w:cs="Calibri"/>
                <w:color w:val="000000"/>
              </w:rPr>
            </w:pPr>
            <w:r>
              <w:rPr>
                <w:rFonts w:ascii="Calibri" w:eastAsia="Times New Roman" w:hAnsi="Calibri" w:cs="Calibri"/>
                <w:color w:val="000000"/>
              </w:rPr>
              <w:t>835</w:t>
            </w:r>
          </w:p>
        </w:tc>
        <w:tc>
          <w:tcPr>
            <w:tcW w:w="576" w:type="pct"/>
            <w:tcBorders>
              <w:top w:val="nil"/>
              <w:left w:val="nil"/>
              <w:bottom w:val="single" w:sz="4" w:space="0" w:color="auto"/>
              <w:right w:val="single" w:sz="4" w:space="0" w:color="auto"/>
            </w:tcBorders>
            <w:shd w:val="clear" w:color="auto" w:fill="auto"/>
            <w:noWrap/>
            <w:vAlign w:val="center"/>
            <w:hideMark/>
          </w:tcPr>
          <w:p w:rsidR="00C93404" w:rsidRPr="00737D0E" w:rsidP="00A3008A" w14:paraId="5C09ED5A" w14:textId="71C4FC91">
            <w:pPr>
              <w:spacing w:after="0"/>
              <w:jc w:val="center"/>
              <w:rPr>
                <w:rFonts w:ascii="Calibri" w:hAnsi="Calibri" w:cs="Calibri"/>
                <w:color w:val="000000"/>
              </w:rPr>
            </w:pPr>
            <w:r>
              <w:rPr>
                <w:rFonts w:ascii="Calibri" w:hAnsi="Calibri" w:cs="Calibri"/>
                <w:color w:val="000000"/>
              </w:rPr>
              <w:t>$</w:t>
            </w:r>
            <w:r w:rsidR="00747232">
              <w:rPr>
                <w:rFonts w:ascii="Calibri" w:hAnsi="Calibri" w:cs="Calibri"/>
                <w:color w:val="000000"/>
              </w:rPr>
              <w:t>888</w:t>
            </w:r>
            <w:r>
              <w:rPr>
                <w:rFonts w:ascii="Calibri" w:hAnsi="Calibri" w:cs="Calibri"/>
                <w:color w:val="000000"/>
              </w:rPr>
              <w:t>,</w:t>
            </w:r>
            <w:r w:rsidR="00747232">
              <w:rPr>
                <w:rFonts w:ascii="Calibri" w:hAnsi="Calibri" w:cs="Calibri"/>
                <w:color w:val="000000"/>
              </w:rPr>
              <w:t>440</w:t>
            </w:r>
          </w:p>
        </w:tc>
        <w:tc>
          <w:tcPr>
            <w:tcW w:w="769" w:type="pct"/>
            <w:tcBorders>
              <w:top w:val="nil"/>
              <w:left w:val="nil"/>
              <w:bottom w:val="single" w:sz="4" w:space="0" w:color="auto"/>
              <w:right w:val="single" w:sz="4" w:space="0" w:color="auto"/>
            </w:tcBorders>
            <w:shd w:val="clear" w:color="auto" w:fill="auto"/>
            <w:noWrap/>
            <w:vAlign w:val="center"/>
            <w:hideMark/>
          </w:tcPr>
          <w:p w:rsidR="00C93404" w:rsidRPr="00210728" w:rsidP="00A3008A" w14:paraId="03E378D4"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770" w:type="pct"/>
            <w:tcBorders>
              <w:top w:val="nil"/>
              <w:left w:val="nil"/>
              <w:bottom w:val="single" w:sz="4" w:space="0" w:color="auto"/>
              <w:right w:val="single" w:sz="4" w:space="0" w:color="auto"/>
            </w:tcBorders>
            <w:shd w:val="clear" w:color="auto" w:fill="auto"/>
            <w:noWrap/>
            <w:vAlign w:val="center"/>
            <w:hideMark/>
          </w:tcPr>
          <w:p w:rsidR="00C93404" w:rsidRPr="00210728" w:rsidP="00A3008A" w14:paraId="489F1C68" w14:textId="6842591F">
            <w:pPr>
              <w:spacing w:after="0" w:line="240" w:lineRule="auto"/>
              <w:jc w:val="center"/>
              <w:rPr>
                <w:rFonts w:ascii="Calibri" w:eastAsia="Times New Roman" w:hAnsi="Calibri" w:cs="Calibri"/>
                <w:color w:val="000000"/>
              </w:rPr>
            </w:pPr>
            <w:r>
              <w:rPr>
                <w:rFonts w:ascii="Calibri" w:eastAsia="Times New Roman" w:hAnsi="Calibri" w:cs="Calibri"/>
                <w:color w:val="000000"/>
              </w:rPr>
              <w:t>835</w:t>
            </w:r>
          </w:p>
        </w:tc>
        <w:tc>
          <w:tcPr>
            <w:tcW w:w="721" w:type="pct"/>
            <w:tcBorders>
              <w:top w:val="nil"/>
              <w:left w:val="nil"/>
              <w:bottom w:val="single" w:sz="4" w:space="0" w:color="auto"/>
              <w:right w:val="single" w:sz="4" w:space="0" w:color="auto"/>
            </w:tcBorders>
            <w:shd w:val="clear" w:color="auto" w:fill="auto"/>
            <w:noWrap/>
            <w:vAlign w:val="center"/>
            <w:hideMark/>
          </w:tcPr>
          <w:p w:rsidR="00C93404" w:rsidRPr="00210728" w:rsidP="00A3008A" w14:paraId="1B118EE3"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r>
    </w:tbl>
    <w:p w:rsidR="00C93404" w:rsidRPr="00F41BC5" w:rsidP="00C93404" w14:paraId="126ACE4E"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0"/>
        <w:rPr>
          <w:rFonts w:ascii="Calibri" w:hAnsi="Calibri" w:cs="Calibri"/>
          <w:sz w:val="20"/>
          <w:szCs w:val="20"/>
        </w:rPr>
      </w:pPr>
      <w:r w:rsidRPr="00F41BC5">
        <w:rPr>
          <w:rFonts w:ascii="Calibri" w:hAnsi="Calibri" w:cs="Calibri"/>
          <w:sz w:val="20"/>
          <w:szCs w:val="20"/>
          <w:vertAlign w:val="superscript"/>
        </w:rPr>
        <w:t>1</w:t>
      </w:r>
      <w:r w:rsidRPr="00F41BC5">
        <w:rPr>
          <w:rFonts w:ascii="Calibri" w:hAnsi="Calibri" w:cs="Calibri"/>
          <w:sz w:val="20"/>
          <w:szCs w:val="20"/>
        </w:rPr>
        <w:t xml:space="preserve"> EPA surveyed publicly available price information from a variety of analytical instrument retailers for prices and instrument information. Of the instruments with publicly available prices that were advertised as able to comply with EPA analytical method standards</w:t>
      </w:r>
      <w:r>
        <w:rPr>
          <w:rFonts w:ascii="Calibri" w:hAnsi="Calibri" w:cs="Calibri"/>
          <w:sz w:val="20"/>
          <w:szCs w:val="20"/>
        </w:rPr>
        <w:t xml:space="preserve"> </w:t>
      </w:r>
      <w:r w:rsidRPr="00ED4C7C">
        <w:rPr>
          <w:rFonts w:ascii="Calibri" w:hAnsi="Calibri" w:cs="Calibri"/>
          <w:sz w:val="20"/>
          <w:szCs w:val="20"/>
        </w:rPr>
        <w:t>for turbidity, prices ranged from $970 - $1,870 with a median price of $1,043. Further information on this survey can be found in the Incremental Cost Impact Analysis for the 2022 CGP</w:t>
      </w:r>
      <w:r>
        <w:rPr>
          <w:rFonts w:ascii="Calibri" w:hAnsi="Calibri" w:cs="Calibri"/>
          <w:sz w:val="20"/>
          <w:szCs w:val="20"/>
        </w:rPr>
        <w:t>.</w:t>
      </w:r>
    </w:p>
    <w:p w:rsidR="00C93404" w:rsidP="00C93404" w14:paraId="26793B3D"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0"/>
        <w:rPr>
          <w:rFonts w:ascii="Calibri" w:hAnsi="Calibri" w:cs="Calibri"/>
          <w:sz w:val="20"/>
          <w:szCs w:val="20"/>
        </w:rPr>
      </w:pPr>
      <w:r w:rsidRPr="006D74D4">
        <w:rPr>
          <w:rFonts w:ascii="Calibri" w:hAnsi="Calibri" w:cs="Calibri"/>
          <w:sz w:val="20"/>
          <w:szCs w:val="20"/>
          <w:vertAlign w:val="superscript"/>
        </w:rPr>
        <w:t>2</w:t>
      </w:r>
      <w:r>
        <w:rPr>
          <w:rFonts w:ascii="Calibri" w:hAnsi="Calibri" w:cs="Calibri"/>
          <w:sz w:val="20"/>
          <w:szCs w:val="20"/>
        </w:rPr>
        <w:t xml:space="preserve"> EPA assumes that calibration standards are included with the purchase of a turbidity meter, and thus the O&amp;M cost of purchasing calibration standards is included in the capital cost estimate.</w:t>
      </w:r>
    </w:p>
    <w:p w:rsidR="00C906EE" w:rsidP="00C906EE" w14:paraId="0914F7F2" w14:textId="25F6646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0"/>
        <w:rPr>
          <w:rFonts w:ascii="Calibri" w:hAnsi="Calibri" w:cs="Calibri"/>
          <w:sz w:val="20"/>
          <w:szCs w:val="20"/>
        </w:rPr>
      </w:pPr>
      <w:r w:rsidRPr="00232066">
        <w:rPr>
          <w:rFonts w:ascii="Calibri" w:hAnsi="Calibri" w:cs="Calibri"/>
          <w:sz w:val="20"/>
          <w:szCs w:val="20"/>
          <w:vertAlign w:val="superscript"/>
        </w:rPr>
        <w:t>3</w:t>
      </w:r>
      <w:r>
        <w:rPr>
          <w:rFonts w:ascii="Calibri" w:hAnsi="Calibri" w:cs="Calibri"/>
          <w:sz w:val="20"/>
          <w:szCs w:val="20"/>
        </w:rPr>
        <w:t>The labor cost to calibrate the meter is accounted for in the labor burden estimate.</w:t>
      </w:r>
    </w:p>
    <w:p w:rsidR="00C906EE" w:rsidP="00C906EE" w14:paraId="23115FCF" w14:textId="5792384C">
      <w:pPr>
        <w:spacing w:after="100" w:afterAutospacing="1" w:line="240" w:lineRule="auto"/>
        <w:contextualSpacing/>
        <w:rPr>
          <w:rFonts w:ascii="Calibri" w:hAnsi="Calibri" w:cs="Calibri"/>
        </w:rPr>
      </w:pPr>
      <w:r>
        <w:t xml:space="preserve">EPA assumes that </w:t>
      </w:r>
      <w:r w:rsidRPr="009620ED">
        <w:rPr>
          <w:rFonts w:ascii="Calibri" w:hAnsi="Calibri" w:cs="Calibri"/>
        </w:rPr>
        <w:t>each permitted construction project is completed within one year</w:t>
      </w:r>
      <w:r>
        <w:rPr>
          <w:rFonts w:ascii="Calibri" w:hAnsi="Calibri" w:cs="Calibri"/>
        </w:rPr>
        <w:t>, and that</w:t>
      </w:r>
      <w:r w:rsidRPr="009620ED">
        <w:rPr>
          <w:rFonts w:ascii="Calibri" w:hAnsi="Calibri" w:cs="Calibri"/>
        </w:rPr>
        <w:t xml:space="preserve"> </w:t>
      </w:r>
      <w:r>
        <w:rPr>
          <w:rFonts w:ascii="Calibri" w:hAnsi="Calibri" w:cs="Calibri"/>
        </w:rPr>
        <w:t xml:space="preserve">respondents will need to purchase a new </w:t>
      </w:r>
      <w:r>
        <w:t xml:space="preserve">turbidity meter at the beginning of the project. Thus, the total capital/startup costs are estimated to be </w:t>
      </w:r>
      <w:r>
        <w:rPr>
          <w:rFonts w:ascii="Calibri" w:hAnsi="Calibri" w:cs="Calibri"/>
        </w:rPr>
        <w:t>$</w:t>
      </w:r>
      <w:r w:rsidR="00747232">
        <w:rPr>
          <w:rFonts w:ascii="Calibri" w:hAnsi="Calibri" w:cs="Calibri"/>
        </w:rPr>
        <w:t>888</w:t>
      </w:r>
      <w:r>
        <w:rPr>
          <w:rFonts w:ascii="Calibri" w:hAnsi="Calibri" w:cs="Calibri"/>
        </w:rPr>
        <w:t>,</w:t>
      </w:r>
      <w:r w:rsidR="00747232">
        <w:rPr>
          <w:rFonts w:ascii="Calibri" w:hAnsi="Calibri" w:cs="Calibri"/>
        </w:rPr>
        <w:t xml:space="preserve">440 </w:t>
      </w:r>
      <w:r>
        <w:rPr>
          <w:rFonts w:ascii="Calibri" w:hAnsi="Calibri" w:cs="Calibri"/>
        </w:rPr>
        <w:t>per year.</w:t>
      </w:r>
    </w:p>
    <w:p w:rsidR="006C68A6" w:rsidP="00C906EE" w14:paraId="2AE20469" w14:textId="77777777">
      <w:pPr>
        <w:spacing w:after="100" w:afterAutospacing="1" w:line="240" w:lineRule="auto"/>
        <w:contextualSpacing/>
        <w:rPr>
          <w:rFonts w:ascii="Calibri" w:hAnsi="Calibri" w:cs="Calibri"/>
        </w:rPr>
      </w:pPr>
    </w:p>
    <w:p w:rsidR="006C68A6" w:rsidP="006C68A6" w14:paraId="02CCADCB" w14:textId="77777777">
      <w:pPr>
        <w:spacing w:after="100" w:afterAutospacing="1" w:line="240" w:lineRule="auto"/>
        <w:contextualSpacing/>
        <w:rPr>
          <w:rFonts w:ascii="Calibri" w:hAnsi="Calibri" w:cs="Calibri"/>
        </w:rPr>
      </w:pPr>
      <w:r w:rsidRPr="001E010D">
        <w:rPr>
          <w:rFonts w:ascii="Calibri" w:hAnsi="Calibri" w:cs="Calibri"/>
        </w:rPr>
        <w:t xml:space="preserve">The bottom-line burden hours and costs for </w:t>
      </w:r>
      <w:r>
        <w:rPr>
          <w:rFonts w:ascii="Calibri" w:hAnsi="Calibri" w:cs="Calibri"/>
        </w:rPr>
        <w:t>respondents</w:t>
      </w:r>
      <w:r w:rsidRPr="001E010D">
        <w:rPr>
          <w:rFonts w:ascii="Calibri" w:hAnsi="Calibri" w:cs="Calibri"/>
        </w:rPr>
        <w:t xml:space="preserve"> are the average annual hours and costs collectively incurred for all activities during the period covered by this ICR</w:t>
      </w:r>
      <w:r>
        <w:rPr>
          <w:rFonts w:ascii="Calibri" w:hAnsi="Calibri" w:cs="Calibri"/>
        </w:rPr>
        <w:t xml:space="preserve">. A portion of this burden was accounted for in the 2017 NPDES Program ICR. </w:t>
      </w:r>
      <w:r w:rsidRPr="005A217F">
        <w:rPr>
          <w:rFonts w:ascii="Calibri" w:hAnsi="Calibri" w:cs="Calibri"/>
        </w:rPr>
        <w:t xml:space="preserve">When EPA renews the NPDES </w:t>
      </w:r>
      <w:r>
        <w:rPr>
          <w:rFonts w:ascii="Calibri" w:hAnsi="Calibri" w:cs="Calibri"/>
        </w:rPr>
        <w:t>Program</w:t>
      </w:r>
      <w:r w:rsidRPr="005A217F">
        <w:rPr>
          <w:rFonts w:ascii="Calibri" w:hAnsi="Calibri" w:cs="Calibri"/>
        </w:rPr>
        <w:t xml:space="preserve"> ICR</w:t>
      </w:r>
      <w:r w:rsidRPr="00D8424E">
        <w:rPr>
          <w:rFonts w:ascii="Calibri" w:hAnsi="Calibri" w:cs="Calibri"/>
        </w:rPr>
        <w:t>,</w:t>
      </w:r>
      <w:r w:rsidRPr="005A217F">
        <w:rPr>
          <w:rFonts w:ascii="Calibri" w:hAnsi="Calibri" w:cs="Calibri"/>
        </w:rPr>
        <w:t xml:space="preserve"> it will account for the total burden of the </w:t>
      </w:r>
      <w:r>
        <w:rPr>
          <w:rFonts w:ascii="Calibri" w:hAnsi="Calibri" w:cs="Calibri"/>
        </w:rPr>
        <w:t>2022</w:t>
      </w:r>
      <w:r w:rsidRPr="00D8424E">
        <w:rPr>
          <w:rFonts w:ascii="Calibri" w:hAnsi="Calibri" w:cs="Calibri"/>
        </w:rPr>
        <w:t xml:space="preserve"> CGP</w:t>
      </w:r>
      <w:r>
        <w:rPr>
          <w:rFonts w:ascii="Calibri" w:hAnsi="Calibri" w:cs="Calibri"/>
        </w:rPr>
        <w:t xml:space="preserve"> ICR</w:t>
      </w:r>
      <w:r w:rsidRPr="005A217F">
        <w:rPr>
          <w:rFonts w:ascii="Calibri" w:hAnsi="Calibri" w:cs="Calibri"/>
        </w:rPr>
        <w:t xml:space="preserve">, by adding the incremental burden associated with new </w:t>
      </w:r>
      <w:r>
        <w:rPr>
          <w:rFonts w:ascii="Calibri" w:hAnsi="Calibri" w:cs="Calibri"/>
        </w:rPr>
        <w:t xml:space="preserve">or </w:t>
      </w:r>
      <w:r w:rsidRPr="005A217F">
        <w:rPr>
          <w:rFonts w:ascii="Calibri" w:hAnsi="Calibri" w:cs="Calibri"/>
        </w:rPr>
        <w:t>modifi</w:t>
      </w:r>
      <w:r>
        <w:rPr>
          <w:rFonts w:ascii="Calibri" w:hAnsi="Calibri" w:cs="Calibri"/>
        </w:rPr>
        <w:t>ed</w:t>
      </w:r>
      <w:r w:rsidRPr="005A217F">
        <w:rPr>
          <w:rFonts w:ascii="Calibri" w:hAnsi="Calibri" w:cs="Calibri"/>
        </w:rPr>
        <w:t xml:space="preserve"> permit </w:t>
      </w:r>
      <w:r>
        <w:rPr>
          <w:rFonts w:ascii="Calibri" w:hAnsi="Calibri" w:cs="Calibri"/>
        </w:rPr>
        <w:t xml:space="preserve">requirements </w:t>
      </w:r>
      <w:r w:rsidRPr="005A217F">
        <w:rPr>
          <w:rFonts w:ascii="Calibri" w:hAnsi="Calibri" w:cs="Calibri"/>
        </w:rPr>
        <w:t>from the 201</w:t>
      </w:r>
      <w:r w:rsidRPr="0022278D">
        <w:rPr>
          <w:rFonts w:ascii="Calibri" w:hAnsi="Calibri" w:cs="Calibri"/>
        </w:rPr>
        <w:t>7</w:t>
      </w:r>
      <w:r w:rsidRPr="005A217F">
        <w:rPr>
          <w:rFonts w:ascii="Calibri" w:hAnsi="Calibri" w:cs="Calibri"/>
        </w:rPr>
        <w:t xml:space="preserve"> </w:t>
      </w:r>
      <w:r w:rsidRPr="0022278D">
        <w:rPr>
          <w:rFonts w:ascii="Calibri" w:hAnsi="Calibri" w:cs="Calibri"/>
        </w:rPr>
        <w:t>C</w:t>
      </w:r>
      <w:r w:rsidRPr="005A217F">
        <w:rPr>
          <w:rFonts w:ascii="Calibri" w:hAnsi="Calibri" w:cs="Calibri"/>
        </w:rPr>
        <w:t xml:space="preserve">GP to the </w:t>
      </w:r>
      <w:r>
        <w:rPr>
          <w:rFonts w:ascii="Calibri" w:hAnsi="Calibri" w:cs="Calibri"/>
        </w:rPr>
        <w:t>2022</w:t>
      </w:r>
      <w:r w:rsidRPr="005A217F">
        <w:rPr>
          <w:rFonts w:ascii="Calibri" w:hAnsi="Calibri" w:cs="Calibri"/>
        </w:rPr>
        <w:t xml:space="preserve"> </w:t>
      </w:r>
      <w:r w:rsidRPr="0022278D">
        <w:rPr>
          <w:rFonts w:ascii="Calibri" w:hAnsi="Calibri" w:cs="Calibri"/>
        </w:rPr>
        <w:t>C</w:t>
      </w:r>
      <w:r w:rsidRPr="005A217F">
        <w:rPr>
          <w:rFonts w:ascii="Calibri" w:hAnsi="Calibri" w:cs="Calibri"/>
        </w:rPr>
        <w:t>GP</w:t>
      </w:r>
      <w:r>
        <w:rPr>
          <w:rFonts w:ascii="Calibri" w:hAnsi="Calibri" w:cs="Calibri"/>
        </w:rPr>
        <w:t xml:space="preserve"> ICR</w:t>
      </w:r>
      <w:r w:rsidRPr="005A217F">
        <w:rPr>
          <w:rFonts w:ascii="Calibri" w:hAnsi="Calibri" w:cs="Calibri"/>
        </w:rPr>
        <w:t>. The</w:t>
      </w:r>
      <w:r w:rsidRPr="001E010D">
        <w:rPr>
          <w:rFonts w:ascii="Calibri" w:hAnsi="Calibri" w:cs="Calibri"/>
        </w:rPr>
        <w:t xml:space="preserve"> below table provides a summary of the </w:t>
      </w:r>
      <w:r>
        <w:rPr>
          <w:rFonts w:ascii="Calibri" w:hAnsi="Calibri" w:cs="Calibri"/>
        </w:rPr>
        <w:t xml:space="preserve">total and incremental change in annual </w:t>
      </w:r>
      <w:r w:rsidRPr="001E010D">
        <w:rPr>
          <w:rFonts w:ascii="Calibri" w:hAnsi="Calibri" w:cs="Calibri"/>
        </w:rPr>
        <w:t xml:space="preserve">burden hours </w:t>
      </w:r>
      <w:r>
        <w:rPr>
          <w:rFonts w:ascii="Calibri" w:hAnsi="Calibri" w:cs="Calibri"/>
        </w:rPr>
        <w:t xml:space="preserve">and </w:t>
      </w:r>
      <w:r w:rsidRPr="001E010D">
        <w:rPr>
          <w:rFonts w:ascii="Calibri" w:hAnsi="Calibri" w:cs="Calibri"/>
        </w:rPr>
        <w:t>costs.</w:t>
      </w:r>
    </w:p>
    <w:p w:rsidR="006C68A6" w:rsidRPr="00E72C60" w:rsidP="006C68A6" w14:paraId="013406D6" w14:textId="1955DABF">
      <w:pPr>
        <w:pStyle w:val="Caption"/>
        <w:keepNext/>
        <w:spacing w:after="0"/>
        <w:jc w:val="center"/>
        <w:rPr>
          <w:b w:val="0"/>
          <w:bCs w:val="0"/>
          <w:i/>
          <w:iCs/>
          <w:color w:val="auto"/>
        </w:rPr>
      </w:pPr>
      <w:r w:rsidRPr="00E72C60">
        <w:rPr>
          <w:color w:val="auto"/>
        </w:rPr>
        <w:t xml:space="preserve">Table </w:t>
      </w:r>
      <w:r>
        <w:rPr>
          <w:color w:val="auto"/>
        </w:rPr>
        <w:t>4</w:t>
      </w:r>
      <w:r w:rsidRPr="00E72C60">
        <w:rPr>
          <w:color w:val="auto"/>
        </w:rPr>
        <w:t xml:space="preserve"> - Bottom Line </w:t>
      </w:r>
      <w:r>
        <w:rPr>
          <w:color w:val="auto"/>
        </w:rPr>
        <w:t xml:space="preserve">Average Annual </w:t>
      </w:r>
      <w:r w:rsidRPr="00E72C60">
        <w:rPr>
          <w:color w:val="auto"/>
        </w:rPr>
        <w:t>Respondent Burden Hours and Cost</w:t>
      </w:r>
    </w:p>
    <w:tbl>
      <w:tblPr>
        <w:tblStyle w:val="TableGrid"/>
        <w:tblW w:w="6025" w:type="dxa"/>
        <w:jc w:val="center"/>
        <w:tblLook w:val="04A0"/>
      </w:tblPr>
      <w:tblGrid>
        <w:gridCol w:w="2425"/>
        <w:gridCol w:w="1800"/>
        <w:gridCol w:w="1800"/>
      </w:tblGrid>
      <w:tr w14:paraId="429930E4" w14:textId="77777777" w:rsidTr="00A3008A">
        <w:tblPrEx>
          <w:tblW w:w="6025" w:type="dxa"/>
          <w:jc w:val="center"/>
          <w:tblLook w:val="04A0"/>
        </w:tblPrEx>
        <w:trPr>
          <w:jc w:val="center"/>
        </w:trPr>
        <w:tc>
          <w:tcPr>
            <w:tcW w:w="2425" w:type="dxa"/>
            <w:shd w:val="pct12" w:color="auto" w:fill="auto"/>
          </w:tcPr>
          <w:p w:rsidR="006C68A6" w:rsidRPr="00BB6DD1" w:rsidP="00A3008A" w14:paraId="43F6FB2A" w14:textId="77777777">
            <w:pPr>
              <w:spacing w:after="100" w:afterAutospacing="1"/>
              <w:contextualSpacing/>
              <w:rPr>
                <w:rFonts w:ascii="Calibri" w:hAnsi="Calibri" w:cs="Calibri"/>
                <w:b/>
              </w:rPr>
            </w:pPr>
          </w:p>
        </w:tc>
        <w:tc>
          <w:tcPr>
            <w:tcW w:w="1800" w:type="dxa"/>
            <w:shd w:val="pct12" w:color="auto" w:fill="auto"/>
            <w:vAlign w:val="center"/>
          </w:tcPr>
          <w:p w:rsidR="006C68A6" w:rsidRPr="00BB6DD1" w:rsidP="00A3008A" w14:paraId="750E464D" w14:textId="77777777">
            <w:pPr>
              <w:spacing w:after="100" w:afterAutospacing="1"/>
              <w:contextualSpacing/>
              <w:jc w:val="center"/>
              <w:rPr>
                <w:rFonts w:ascii="Calibri" w:hAnsi="Calibri" w:cs="Calibri"/>
                <w:b/>
                <w:bCs/>
              </w:rPr>
            </w:pPr>
            <w:r>
              <w:rPr>
                <w:rFonts w:ascii="Calibri" w:hAnsi="Calibri" w:cs="Calibri"/>
                <w:b/>
                <w:bCs/>
                <w:color w:val="000000"/>
              </w:rPr>
              <w:t>2022 CGP ICR Total</w:t>
            </w:r>
          </w:p>
        </w:tc>
        <w:tc>
          <w:tcPr>
            <w:tcW w:w="1800" w:type="dxa"/>
            <w:shd w:val="pct12" w:color="auto" w:fill="auto"/>
            <w:vAlign w:val="center"/>
          </w:tcPr>
          <w:p w:rsidR="006C68A6" w:rsidRPr="00BB6DD1" w:rsidP="00A3008A" w14:paraId="3FABF315" w14:textId="77777777">
            <w:pPr>
              <w:spacing w:after="100" w:afterAutospacing="1"/>
              <w:contextualSpacing/>
              <w:jc w:val="center"/>
              <w:rPr>
                <w:rFonts w:ascii="Calibri" w:hAnsi="Calibri" w:cs="Calibri"/>
                <w:b/>
                <w:bCs/>
              </w:rPr>
            </w:pPr>
            <w:r w:rsidRPr="00BB6DD1">
              <w:rPr>
                <w:rFonts w:ascii="Calibri" w:hAnsi="Calibri" w:cs="Calibri"/>
                <w:b/>
                <w:bCs/>
              </w:rPr>
              <w:t>Incremental</w:t>
            </w:r>
            <w:r>
              <w:rPr>
                <w:rFonts w:ascii="Calibri" w:hAnsi="Calibri" w:cs="Calibri"/>
                <w:b/>
                <w:bCs/>
              </w:rPr>
              <w:t xml:space="preserve"> Change</w:t>
            </w:r>
          </w:p>
        </w:tc>
      </w:tr>
      <w:tr w14:paraId="00DED466" w14:textId="77777777" w:rsidTr="00A3008A">
        <w:tblPrEx>
          <w:tblW w:w="6025" w:type="dxa"/>
          <w:jc w:val="center"/>
          <w:tblLook w:val="04A0"/>
        </w:tblPrEx>
        <w:trPr>
          <w:jc w:val="center"/>
        </w:trPr>
        <w:tc>
          <w:tcPr>
            <w:tcW w:w="2425" w:type="dxa"/>
          </w:tcPr>
          <w:p w:rsidR="006C68A6" w:rsidRPr="00A4627D" w:rsidP="00A3008A" w14:paraId="09F56084" w14:textId="77777777">
            <w:pPr>
              <w:pStyle w:val="Revision"/>
              <w:spacing w:after="100" w:afterAutospacing="1"/>
              <w:contextualSpacing/>
              <w:rPr>
                <w:rFonts w:ascii="Calibri" w:hAnsi="Calibri" w:cs="Calibri"/>
                <w:bCs/>
              </w:rPr>
            </w:pPr>
            <w:r w:rsidRPr="00A4627D">
              <w:rPr>
                <w:rFonts w:ascii="Calibri" w:hAnsi="Calibri" w:cs="Calibri"/>
                <w:bCs/>
              </w:rPr>
              <w:t>Burden (hours)</w:t>
            </w:r>
          </w:p>
        </w:tc>
        <w:tc>
          <w:tcPr>
            <w:tcW w:w="1800" w:type="dxa"/>
            <w:vAlign w:val="center"/>
          </w:tcPr>
          <w:p w:rsidR="006C68A6" w:rsidRPr="00144F83" w:rsidP="00A3008A" w14:paraId="25845895" w14:textId="670B2FCA">
            <w:pPr>
              <w:spacing w:after="100" w:afterAutospacing="1"/>
              <w:contextualSpacing/>
              <w:jc w:val="center"/>
              <w:rPr>
                <w:rFonts w:ascii="Calibri" w:hAnsi="Calibri" w:cs="Calibri"/>
              </w:rPr>
            </w:pPr>
            <w:r>
              <w:rPr>
                <w:rFonts w:ascii="Calibri" w:hAnsi="Calibri" w:cs="Calibri"/>
                <w:color w:val="000000"/>
              </w:rPr>
              <w:t>200,383</w:t>
            </w:r>
          </w:p>
        </w:tc>
        <w:tc>
          <w:tcPr>
            <w:tcW w:w="1800" w:type="dxa"/>
            <w:vAlign w:val="bottom"/>
          </w:tcPr>
          <w:p w:rsidR="006C68A6" w:rsidRPr="00144F83" w:rsidP="00A3008A" w14:paraId="6147218C" w14:textId="27F1EACF">
            <w:pPr>
              <w:spacing w:after="100" w:afterAutospacing="1"/>
              <w:contextualSpacing/>
              <w:jc w:val="center"/>
              <w:rPr>
                <w:rFonts w:ascii="Calibri" w:hAnsi="Calibri" w:cs="Calibri"/>
              </w:rPr>
            </w:pPr>
            <w:r w:rsidRPr="000716E4">
              <w:rPr>
                <w:rFonts w:ascii="Calibri" w:hAnsi="Calibri" w:cs="Calibri"/>
                <w:color w:val="000000"/>
              </w:rPr>
              <w:t>73,816</w:t>
            </w:r>
          </w:p>
        </w:tc>
      </w:tr>
      <w:tr w14:paraId="44D85C26" w14:textId="77777777" w:rsidTr="00A3008A">
        <w:tblPrEx>
          <w:tblW w:w="6025" w:type="dxa"/>
          <w:jc w:val="center"/>
          <w:tblLook w:val="04A0"/>
        </w:tblPrEx>
        <w:trPr>
          <w:jc w:val="center"/>
        </w:trPr>
        <w:tc>
          <w:tcPr>
            <w:tcW w:w="2425" w:type="dxa"/>
          </w:tcPr>
          <w:p w:rsidR="006C68A6" w:rsidRPr="004023BA" w:rsidP="00A3008A" w14:paraId="7F870D0A" w14:textId="77777777">
            <w:pPr>
              <w:spacing w:after="100" w:afterAutospacing="1"/>
              <w:contextualSpacing/>
              <w:rPr>
                <w:rFonts w:ascii="Calibri" w:hAnsi="Calibri" w:cs="Calibri"/>
                <w:bCs/>
              </w:rPr>
            </w:pPr>
            <w:r w:rsidRPr="004023BA">
              <w:rPr>
                <w:rFonts w:ascii="Calibri" w:hAnsi="Calibri" w:cs="Calibri"/>
                <w:bCs/>
              </w:rPr>
              <w:t xml:space="preserve">Costs </w:t>
            </w:r>
            <w:r>
              <w:rPr>
                <w:rFonts w:ascii="Calibri" w:hAnsi="Calibri" w:cs="Calibri"/>
                <w:bCs/>
              </w:rPr>
              <w:t>- L</w:t>
            </w:r>
            <w:r w:rsidRPr="004023BA">
              <w:rPr>
                <w:rFonts w:ascii="Calibri" w:hAnsi="Calibri" w:cs="Calibri"/>
                <w:bCs/>
              </w:rPr>
              <w:t>abor</w:t>
            </w:r>
            <w:r>
              <w:rPr>
                <w:rFonts w:ascii="Calibri" w:hAnsi="Calibri" w:cs="Calibri"/>
                <w:bCs/>
              </w:rPr>
              <w:t xml:space="preserve"> (dollars</w:t>
            </w:r>
            <w:r w:rsidRPr="004023BA">
              <w:rPr>
                <w:rFonts w:ascii="Calibri" w:hAnsi="Calibri" w:cs="Calibri"/>
                <w:bCs/>
              </w:rPr>
              <w:t>)</w:t>
            </w:r>
          </w:p>
        </w:tc>
        <w:tc>
          <w:tcPr>
            <w:tcW w:w="1800" w:type="dxa"/>
            <w:vAlign w:val="center"/>
          </w:tcPr>
          <w:p w:rsidR="006C68A6" w:rsidRPr="00EA00A3" w:rsidP="00A3008A" w14:paraId="7B0C3D7B" w14:textId="1C7A54BE">
            <w:pPr>
              <w:spacing w:after="100" w:afterAutospacing="1"/>
              <w:contextualSpacing/>
              <w:jc w:val="center"/>
              <w:rPr>
                <w:rFonts w:ascii="Calibri" w:eastAsia="Times New Roman" w:hAnsi="Calibri" w:cs="Calibri"/>
                <w:color w:val="000000"/>
              </w:rPr>
            </w:pPr>
            <w:r>
              <w:rPr>
                <w:rFonts w:ascii="Calibri" w:hAnsi="Calibri" w:cs="Calibri"/>
                <w:color w:val="000000"/>
              </w:rPr>
              <w:t>$</w:t>
            </w:r>
            <w:r w:rsidR="00281C4D">
              <w:rPr>
                <w:rFonts w:ascii="Calibri" w:hAnsi="Calibri" w:cs="Calibri"/>
                <w:color w:val="000000"/>
              </w:rPr>
              <w:t>14,722,141</w:t>
            </w:r>
          </w:p>
        </w:tc>
        <w:tc>
          <w:tcPr>
            <w:tcW w:w="1800" w:type="dxa"/>
            <w:vAlign w:val="center"/>
          </w:tcPr>
          <w:p w:rsidR="006C68A6" w:rsidRPr="00144F83" w:rsidP="00A3008A" w14:paraId="1F9F7F03" w14:textId="1C11B8BE">
            <w:pPr>
              <w:spacing w:after="100" w:afterAutospacing="1"/>
              <w:contextualSpacing/>
              <w:jc w:val="center"/>
              <w:rPr>
                <w:rFonts w:ascii="Calibri" w:eastAsia="Times New Roman" w:hAnsi="Calibri" w:cs="Calibri"/>
                <w:color w:val="000000"/>
              </w:rPr>
            </w:pPr>
            <w:r>
              <w:rPr>
                <w:rFonts w:ascii="Calibri" w:hAnsi="Calibri" w:cs="Calibri"/>
                <w:color w:val="000000"/>
              </w:rPr>
              <w:t>$</w:t>
            </w:r>
            <w:r w:rsidR="00281C4D">
              <w:rPr>
                <w:rFonts w:ascii="Calibri" w:hAnsi="Calibri" w:cs="Calibri"/>
                <w:color w:val="000000"/>
              </w:rPr>
              <w:t>3,333,114</w:t>
            </w:r>
          </w:p>
        </w:tc>
      </w:tr>
      <w:tr w14:paraId="58F25896" w14:textId="77777777" w:rsidTr="00A3008A">
        <w:tblPrEx>
          <w:tblW w:w="6025" w:type="dxa"/>
          <w:jc w:val="center"/>
          <w:tblLook w:val="04A0"/>
        </w:tblPrEx>
        <w:trPr>
          <w:jc w:val="center"/>
        </w:trPr>
        <w:tc>
          <w:tcPr>
            <w:tcW w:w="2425" w:type="dxa"/>
          </w:tcPr>
          <w:p w:rsidR="006C68A6" w:rsidRPr="004023BA" w:rsidP="00A3008A" w14:paraId="3B53F147" w14:textId="77777777">
            <w:pPr>
              <w:spacing w:after="100" w:afterAutospacing="1"/>
              <w:contextualSpacing/>
              <w:rPr>
                <w:rFonts w:ascii="Calibri" w:hAnsi="Calibri" w:cs="Calibri"/>
                <w:bCs/>
              </w:rPr>
            </w:pPr>
            <w:r w:rsidRPr="004023BA">
              <w:rPr>
                <w:rFonts w:ascii="Calibri" w:hAnsi="Calibri" w:cs="Calibri"/>
                <w:bCs/>
              </w:rPr>
              <w:t xml:space="preserve">Costs </w:t>
            </w:r>
            <w:r>
              <w:rPr>
                <w:rFonts w:ascii="Calibri" w:hAnsi="Calibri" w:cs="Calibri"/>
                <w:bCs/>
              </w:rPr>
              <w:t>- C</w:t>
            </w:r>
            <w:r w:rsidRPr="004023BA">
              <w:rPr>
                <w:rFonts w:ascii="Calibri" w:hAnsi="Calibri" w:cs="Calibri"/>
                <w:bCs/>
              </w:rPr>
              <w:t>apital</w:t>
            </w:r>
            <w:r>
              <w:rPr>
                <w:rFonts w:ascii="Calibri" w:hAnsi="Calibri" w:cs="Calibri"/>
                <w:bCs/>
              </w:rPr>
              <w:t xml:space="preserve"> (dollars</w:t>
            </w:r>
            <w:r w:rsidRPr="004023BA">
              <w:rPr>
                <w:rFonts w:ascii="Calibri" w:hAnsi="Calibri" w:cs="Calibri"/>
                <w:bCs/>
              </w:rPr>
              <w:t>)</w:t>
            </w:r>
          </w:p>
        </w:tc>
        <w:tc>
          <w:tcPr>
            <w:tcW w:w="1800" w:type="dxa"/>
            <w:vAlign w:val="center"/>
          </w:tcPr>
          <w:p w:rsidR="006C68A6" w:rsidRPr="00B35C84" w:rsidP="00A3008A" w14:paraId="1E5BF19C" w14:textId="43723AF8">
            <w:pPr>
              <w:spacing w:after="100" w:afterAutospacing="1"/>
              <w:contextualSpacing/>
              <w:jc w:val="center"/>
              <w:rPr>
                <w:rFonts w:ascii="Calibri" w:hAnsi="Calibri" w:cs="Calibri"/>
              </w:rPr>
            </w:pPr>
            <w:r>
              <w:rPr>
                <w:rFonts w:ascii="Calibri" w:hAnsi="Calibri" w:cs="Calibri"/>
                <w:color w:val="000000"/>
              </w:rPr>
              <w:t>$</w:t>
            </w:r>
            <w:r w:rsidR="00092FCE">
              <w:rPr>
                <w:rFonts w:ascii="Calibri" w:hAnsi="Calibri" w:cs="Calibri"/>
                <w:color w:val="000000"/>
              </w:rPr>
              <w:t>888,440</w:t>
            </w:r>
          </w:p>
        </w:tc>
        <w:tc>
          <w:tcPr>
            <w:tcW w:w="1800" w:type="dxa"/>
            <w:vAlign w:val="center"/>
          </w:tcPr>
          <w:p w:rsidR="006C68A6" w:rsidRPr="0022278D" w:rsidP="00A3008A" w14:paraId="4850A5B8" w14:textId="56BE5386">
            <w:pPr>
              <w:spacing w:after="100" w:afterAutospacing="1"/>
              <w:contextualSpacing/>
              <w:jc w:val="center"/>
              <w:rPr>
                <w:rFonts w:ascii="Calibri" w:hAnsi="Calibri" w:cs="Calibri"/>
                <w:highlight w:val="yellow"/>
              </w:rPr>
            </w:pPr>
            <w:r>
              <w:rPr>
                <w:rFonts w:ascii="Calibri" w:hAnsi="Calibri" w:cs="Calibri"/>
                <w:color w:val="000000"/>
              </w:rPr>
              <w:t>$</w:t>
            </w:r>
            <w:r w:rsidR="00092FCE">
              <w:rPr>
                <w:rFonts w:ascii="Calibri" w:hAnsi="Calibri" w:cs="Calibri"/>
                <w:color w:val="000000"/>
              </w:rPr>
              <w:t>888,440</w:t>
            </w:r>
            <w:r>
              <w:rPr>
                <w:rFonts w:ascii="Calibri" w:hAnsi="Calibri" w:cs="Calibri"/>
                <w:color w:val="000000"/>
              </w:rPr>
              <w:t xml:space="preserve"> </w:t>
            </w:r>
          </w:p>
        </w:tc>
      </w:tr>
      <w:tr w14:paraId="748AFE79" w14:textId="77777777" w:rsidTr="00A3008A">
        <w:tblPrEx>
          <w:tblW w:w="6025" w:type="dxa"/>
          <w:jc w:val="center"/>
          <w:tblLook w:val="04A0"/>
        </w:tblPrEx>
        <w:trPr>
          <w:jc w:val="center"/>
        </w:trPr>
        <w:tc>
          <w:tcPr>
            <w:tcW w:w="2425" w:type="dxa"/>
          </w:tcPr>
          <w:p w:rsidR="006C68A6" w:rsidRPr="004023BA" w:rsidP="00A3008A" w14:paraId="643D5D0A" w14:textId="77777777">
            <w:pPr>
              <w:spacing w:after="100" w:afterAutospacing="1"/>
              <w:contextualSpacing/>
              <w:rPr>
                <w:rFonts w:ascii="Calibri" w:hAnsi="Calibri" w:cs="Calibri"/>
                <w:bCs/>
              </w:rPr>
            </w:pPr>
            <w:r w:rsidRPr="004023BA">
              <w:rPr>
                <w:rFonts w:ascii="Calibri" w:hAnsi="Calibri" w:cs="Calibri"/>
                <w:bCs/>
              </w:rPr>
              <w:t xml:space="preserve">Costs </w:t>
            </w:r>
            <w:r>
              <w:rPr>
                <w:rFonts w:ascii="Calibri" w:hAnsi="Calibri" w:cs="Calibri"/>
                <w:bCs/>
              </w:rPr>
              <w:t xml:space="preserve">- </w:t>
            </w:r>
            <w:r w:rsidRPr="004023BA">
              <w:rPr>
                <w:rFonts w:ascii="Calibri" w:hAnsi="Calibri" w:cs="Calibri"/>
                <w:bCs/>
              </w:rPr>
              <w:t>O&amp;M</w:t>
            </w:r>
            <w:r>
              <w:rPr>
                <w:rFonts w:ascii="Calibri" w:hAnsi="Calibri" w:cs="Calibri"/>
                <w:bCs/>
              </w:rPr>
              <w:t xml:space="preserve"> (dollars</w:t>
            </w:r>
            <w:r w:rsidRPr="004023BA">
              <w:rPr>
                <w:rFonts w:ascii="Calibri" w:hAnsi="Calibri" w:cs="Calibri"/>
                <w:bCs/>
              </w:rPr>
              <w:t>)</w:t>
            </w:r>
          </w:p>
        </w:tc>
        <w:tc>
          <w:tcPr>
            <w:tcW w:w="1800" w:type="dxa"/>
            <w:vAlign w:val="center"/>
          </w:tcPr>
          <w:p w:rsidR="006C68A6" w:rsidRPr="000E5E1A" w:rsidP="00A3008A" w14:paraId="21272DB7" w14:textId="77777777">
            <w:pPr>
              <w:spacing w:after="100" w:afterAutospacing="1"/>
              <w:contextualSpacing/>
              <w:jc w:val="center"/>
              <w:rPr>
                <w:rFonts w:ascii="Calibri" w:hAnsi="Calibri" w:cs="Calibri"/>
                <w:highlight w:val="yellow"/>
              </w:rPr>
            </w:pPr>
            <w:r>
              <w:rPr>
                <w:rFonts w:ascii="Calibri" w:hAnsi="Calibri" w:cs="Calibri"/>
                <w:color w:val="000000"/>
              </w:rPr>
              <w:t>None</w:t>
            </w:r>
          </w:p>
        </w:tc>
        <w:tc>
          <w:tcPr>
            <w:tcW w:w="1800" w:type="dxa"/>
            <w:vAlign w:val="center"/>
          </w:tcPr>
          <w:p w:rsidR="006C68A6" w:rsidRPr="00F1460F" w:rsidP="00A3008A" w14:paraId="77117A3A" w14:textId="77777777">
            <w:pPr>
              <w:spacing w:after="100" w:afterAutospacing="1"/>
              <w:contextualSpacing/>
              <w:jc w:val="center"/>
              <w:rPr>
                <w:rFonts w:ascii="Calibri" w:hAnsi="Calibri" w:cs="Calibri"/>
                <w:highlight w:val="yellow"/>
              </w:rPr>
            </w:pPr>
            <w:r>
              <w:rPr>
                <w:rFonts w:ascii="Calibri" w:hAnsi="Calibri" w:cs="Calibri"/>
                <w:color w:val="000000"/>
              </w:rPr>
              <w:t>None</w:t>
            </w:r>
          </w:p>
        </w:tc>
      </w:tr>
      <w:tr w14:paraId="19400754" w14:textId="77777777" w:rsidTr="00A3008A">
        <w:tblPrEx>
          <w:tblW w:w="6025" w:type="dxa"/>
          <w:jc w:val="center"/>
          <w:tblLook w:val="04A0"/>
        </w:tblPrEx>
        <w:trPr>
          <w:jc w:val="center"/>
        </w:trPr>
        <w:tc>
          <w:tcPr>
            <w:tcW w:w="2425" w:type="dxa"/>
          </w:tcPr>
          <w:p w:rsidR="006C68A6" w:rsidRPr="004023BA" w:rsidP="00A3008A" w14:paraId="13516E75" w14:textId="77777777">
            <w:pPr>
              <w:spacing w:after="100" w:afterAutospacing="1"/>
              <w:contextualSpacing/>
              <w:rPr>
                <w:rFonts w:ascii="Calibri" w:hAnsi="Calibri" w:cs="Calibri"/>
                <w:bCs/>
              </w:rPr>
            </w:pPr>
            <w:r w:rsidRPr="004023BA">
              <w:rPr>
                <w:rFonts w:ascii="Calibri" w:hAnsi="Calibri" w:cs="Calibri"/>
                <w:bCs/>
              </w:rPr>
              <w:t xml:space="preserve">Total </w:t>
            </w:r>
            <w:r>
              <w:rPr>
                <w:rFonts w:ascii="Calibri" w:hAnsi="Calibri" w:cs="Calibri"/>
                <w:bCs/>
              </w:rPr>
              <w:t>C</w:t>
            </w:r>
            <w:r w:rsidRPr="004023BA">
              <w:rPr>
                <w:rFonts w:ascii="Calibri" w:hAnsi="Calibri" w:cs="Calibri"/>
                <w:bCs/>
              </w:rPr>
              <w:t>osts</w:t>
            </w:r>
            <w:r>
              <w:rPr>
                <w:rFonts w:ascii="Calibri" w:hAnsi="Calibri" w:cs="Calibri"/>
                <w:bCs/>
              </w:rPr>
              <w:t xml:space="preserve"> (dollars)</w:t>
            </w:r>
          </w:p>
        </w:tc>
        <w:tc>
          <w:tcPr>
            <w:tcW w:w="1800" w:type="dxa"/>
            <w:vAlign w:val="center"/>
          </w:tcPr>
          <w:p w:rsidR="006C68A6" w:rsidRPr="00B35C84" w:rsidP="00A3008A" w14:paraId="360733C7" w14:textId="363A82F8">
            <w:pPr>
              <w:spacing w:after="100" w:afterAutospacing="1"/>
              <w:contextualSpacing/>
              <w:jc w:val="center"/>
              <w:rPr>
                <w:rFonts w:ascii="Calibri" w:hAnsi="Calibri" w:cs="Calibri"/>
              </w:rPr>
            </w:pPr>
            <w:r>
              <w:rPr>
                <w:rFonts w:ascii="Calibri" w:hAnsi="Calibri" w:cs="Calibri"/>
                <w:color w:val="000000"/>
              </w:rPr>
              <w:t>$</w:t>
            </w:r>
            <w:r w:rsidR="00092FCE">
              <w:rPr>
                <w:rFonts w:ascii="Calibri" w:hAnsi="Calibri" w:cs="Calibri"/>
                <w:color w:val="000000"/>
              </w:rPr>
              <w:t>15,610,581</w:t>
            </w:r>
          </w:p>
        </w:tc>
        <w:tc>
          <w:tcPr>
            <w:tcW w:w="1800" w:type="dxa"/>
            <w:vAlign w:val="center"/>
          </w:tcPr>
          <w:p w:rsidR="006C68A6" w:rsidRPr="0055172F" w:rsidP="00A3008A" w14:paraId="4D5A38C0" w14:textId="1DB5AB49">
            <w:pPr>
              <w:spacing w:after="100" w:afterAutospacing="1"/>
              <w:contextualSpacing/>
              <w:jc w:val="center"/>
              <w:rPr>
                <w:rFonts w:ascii="Calibri" w:hAnsi="Calibri" w:cs="Calibri"/>
                <w:highlight w:val="yellow"/>
              </w:rPr>
            </w:pPr>
            <w:r w:rsidRPr="00253125">
              <w:rPr>
                <w:rFonts w:ascii="Calibri" w:hAnsi="Calibri" w:cs="Calibri"/>
              </w:rPr>
              <w:t>$</w:t>
            </w:r>
            <w:r w:rsidR="00092FCE">
              <w:rPr>
                <w:rFonts w:ascii="Calibri" w:hAnsi="Calibri" w:cs="Calibri"/>
              </w:rPr>
              <w:t>4,221,</w:t>
            </w:r>
            <w:r w:rsidR="00747232">
              <w:rPr>
                <w:rFonts w:ascii="Calibri" w:hAnsi="Calibri" w:cs="Calibri"/>
              </w:rPr>
              <w:t>554</w:t>
            </w:r>
          </w:p>
        </w:tc>
      </w:tr>
    </w:tbl>
    <w:p w:rsidR="006C68A6" w:rsidRPr="001E010D" w:rsidP="006C68A6" w14:paraId="4865D25E" w14:textId="77777777">
      <w:pPr>
        <w:pStyle w:val="NoSpacing"/>
      </w:pPr>
    </w:p>
    <w:p w:rsidR="006C68A6" w:rsidRPr="00C906EE" w:rsidP="00C906EE" w14:paraId="3E549994" w14:textId="77777777">
      <w:pPr>
        <w:spacing w:after="100" w:afterAutospacing="1" w:line="240" w:lineRule="auto"/>
        <w:contextualSpacing/>
        <w:rPr>
          <w:rFonts w:ascii="Calibri" w:hAnsi="Calibri" w:cs="Calibri"/>
        </w:rPr>
      </w:pPr>
    </w:p>
    <w:p w:rsidR="00023EFE" w:rsidRPr="00163C69" w:rsidP="00DB4B08" w14:paraId="7D2BF7DE" w14:textId="77777777">
      <w:pPr>
        <w:pStyle w:val="ListParagraph"/>
        <w:numPr>
          <w:ilvl w:val="0"/>
          <w:numId w:val="25"/>
        </w:numP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897B60" w:rsidP="00897B60" w14:paraId="588F68FD" w14:textId="0C455E29">
      <w:pPr>
        <w:spacing w:after="100" w:afterAutospacing="1" w:line="240" w:lineRule="auto"/>
        <w:contextualSpacing/>
        <w:rPr>
          <w:rFonts w:cstheme="minorHAnsi"/>
        </w:rPr>
      </w:pPr>
      <w:r w:rsidRPr="001E010D">
        <w:rPr>
          <w:rFonts w:ascii="Calibri" w:hAnsi="Calibri" w:cs="Calibri"/>
        </w:rPr>
        <w:t>EPA’s activities as the NPDES permitting authority in charge of administerin</w:t>
      </w:r>
      <w:r w:rsidRPr="000D4FFB">
        <w:rPr>
          <w:rFonts w:ascii="Calibri" w:hAnsi="Calibri" w:cs="Calibri"/>
        </w:rPr>
        <w:t xml:space="preserve">g the </w:t>
      </w:r>
      <w:r w:rsidRPr="0022278D">
        <w:rPr>
          <w:rFonts w:ascii="Calibri" w:hAnsi="Calibri" w:cs="Calibri"/>
        </w:rPr>
        <w:t>C</w:t>
      </w:r>
      <w:r w:rsidRPr="000D4FFB">
        <w:rPr>
          <w:rFonts w:ascii="Calibri" w:hAnsi="Calibri" w:cs="Calibri"/>
        </w:rPr>
        <w:t>GP</w:t>
      </w:r>
      <w:r w:rsidRPr="001E010D">
        <w:rPr>
          <w:rFonts w:ascii="Calibri" w:hAnsi="Calibri" w:cs="Calibri"/>
        </w:rPr>
        <w:t xml:space="preserve"> are to review and process information and reports generated under the permit. </w:t>
      </w:r>
    </w:p>
    <w:p w:rsidR="00897B60" w:rsidP="00897B60" w14:paraId="2BD59A13" w14:textId="77777777">
      <w:pPr>
        <w:spacing w:after="100" w:afterAutospacing="1" w:line="240" w:lineRule="auto"/>
        <w:contextualSpacing/>
        <w:rPr>
          <w:rFonts w:cstheme="minorHAnsi"/>
        </w:rPr>
      </w:pPr>
    </w:p>
    <w:p w:rsidR="00897B60" w:rsidRPr="00672858" w:rsidP="00897B60" w14:paraId="35119CC9" w14:textId="5B08AF06">
      <w:pPr>
        <w:spacing w:after="100" w:afterAutospacing="1" w:line="240" w:lineRule="auto"/>
        <w:contextualSpacing/>
        <w:rPr>
          <w:rFonts w:ascii="Calibri" w:hAnsi="Calibri" w:cs="Calibri"/>
        </w:rPr>
      </w:pPr>
      <w:r>
        <w:rPr>
          <w:rFonts w:ascii="Calibri" w:hAnsi="Calibri" w:cs="Calibri"/>
        </w:rPr>
        <w:t xml:space="preserve">As discussed previously under </w:t>
      </w:r>
      <w:r w:rsidR="00EA2E44">
        <w:rPr>
          <w:rFonts w:ascii="Calibri" w:hAnsi="Calibri" w:cs="Calibri"/>
        </w:rPr>
        <w:t>the</w:t>
      </w:r>
      <w:r>
        <w:rPr>
          <w:rFonts w:ascii="Calibri" w:hAnsi="Calibri" w:cs="Calibri"/>
        </w:rPr>
        <w:t xml:space="preserve"> </w:t>
      </w:r>
      <w:r w:rsidRPr="00E57073">
        <w:rPr>
          <w:rFonts w:ascii="Calibri" w:hAnsi="Calibri" w:cs="Calibri"/>
          <w:i/>
          <w:iCs/>
        </w:rPr>
        <w:t>Use of Technology Section</w:t>
      </w:r>
      <w:r>
        <w:rPr>
          <w:rFonts w:ascii="Calibri" w:hAnsi="Calibri" w:cs="Calibri"/>
        </w:rPr>
        <w:t xml:space="preserve">, </w:t>
      </w:r>
      <w:r w:rsidRPr="001E010D">
        <w:rPr>
          <w:rFonts w:ascii="Calibri" w:hAnsi="Calibri" w:cs="Calibri"/>
        </w:rPr>
        <w:t>EPA collects most information genera</w:t>
      </w:r>
      <w:r w:rsidRPr="00672858">
        <w:rPr>
          <w:rFonts w:ascii="Calibri" w:hAnsi="Calibri" w:cs="Calibri"/>
        </w:rPr>
        <w:t xml:space="preserve">ted under the CGP through the Integrated Compliance Information System (ICIS-NPDES) database via </w:t>
      </w:r>
      <w:r>
        <w:rPr>
          <w:rFonts w:ascii="Calibri" w:hAnsi="Calibri" w:cs="Calibri"/>
        </w:rPr>
        <w:t xml:space="preserve">EPA’s </w:t>
      </w:r>
      <w:r w:rsidRPr="00672858">
        <w:rPr>
          <w:rFonts w:ascii="Calibri" w:hAnsi="Calibri" w:cs="Calibri"/>
        </w:rPr>
        <w:t>NeT-CGP</w:t>
      </w:r>
      <w:r>
        <w:rPr>
          <w:rFonts w:ascii="Calibri" w:hAnsi="Calibri" w:cs="Calibri"/>
        </w:rPr>
        <w:t>.</w:t>
      </w:r>
      <w:r w:rsidRPr="00672858">
        <w:rPr>
          <w:rFonts w:ascii="Calibri" w:hAnsi="Calibri" w:cs="Calibri"/>
        </w:rPr>
        <w:t xml:space="preserve"> EPA uses this information to assess permit compliance and trends. This technology also reduces the burden to EPA and the states for gathering and analyzing national permit and water quality data. Minimal other information may be collected and stored on paper-based forms, databases, and computers. </w:t>
      </w:r>
    </w:p>
    <w:p w:rsidR="00897B60" w:rsidRPr="00672858" w:rsidP="00897B60" w14:paraId="7FB8A0CF" w14:textId="77777777">
      <w:pPr>
        <w:spacing w:after="100" w:afterAutospacing="1" w:line="240" w:lineRule="auto"/>
        <w:contextualSpacing/>
        <w:rPr>
          <w:rFonts w:ascii="Calibri" w:hAnsi="Calibri" w:cs="Calibri"/>
        </w:rPr>
      </w:pPr>
    </w:p>
    <w:p w:rsidR="00897B60" w:rsidRPr="001E010D" w:rsidP="00897B60" w14:paraId="68FE2493" w14:textId="77777777">
      <w:pPr>
        <w:spacing w:after="100" w:afterAutospacing="1" w:line="240" w:lineRule="auto"/>
        <w:contextualSpacing/>
        <w:rPr>
          <w:rFonts w:ascii="Calibri" w:hAnsi="Calibri" w:cs="Calibri"/>
        </w:rPr>
      </w:pPr>
      <w:r w:rsidRPr="00672858">
        <w:rPr>
          <w:rFonts w:ascii="Calibri" w:hAnsi="Calibri" w:cs="Calibri"/>
        </w:rPr>
        <w:t>The public may access much of the information generated under the permit via EPA</w:t>
      </w:r>
      <w:r>
        <w:rPr>
          <w:rFonts w:ascii="Calibri" w:hAnsi="Calibri" w:cs="Calibri"/>
        </w:rPr>
        <w:t>’s</w:t>
      </w:r>
      <w:r w:rsidRPr="00672858">
        <w:rPr>
          <w:rFonts w:ascii="Calibri" w:hAnsi="Calibri" w:cs="Calibri"/>
        </w:rPr>
        <w:t xml:space="preserve"> Enforcement and Compliance History Online (ECHO)</w:t>
      </w:r>
      <w:r>
        <w:rPr>
          <w:rFonts w:ascii="Calibri" w:hAnsi="Calibri" w:cs="Calibri"/>
        </w:rPr>
        <w:t xml:space="preserve"> tool</w:t>
      </w:r>
      <w:r w:rsidRPr="00672858">
        <w:rPr>
          <w:rFonts w:ascii="Calibri" w:hAnsi="Calibri" w:cs="Calibri"/>
        </w:rPr>
        <w:t xml:space="preserve"> and through the E-Enterprise Permit</w:t>
      </w:r>
      <w:r>
        <w:rPr>
          <w:rFonts w:ascii="Calibri" w:hAnsi="Calibri" w:cs="Calibri"/>
        </w:rPr>
        <w:t xml:space="preserve"> Lookup</w:t>
      </w:r>
      <w:r w:rsidRPr="001E010D">
        <w:rPr>
          <w:rFonts w:ascii="Calibri" w:hAnsi="Calibri" w:cs="Calibri"/>
        </w:rPr>
        <w:t xml:space="preserve">. </w:t>
      </w:r>
    </w:p>
    <w:p w:rsidR="009F1E00" w:rsidRPr="00897B60" w:rsidP="00854AAE" w14:paraId="647FDC77" w14:textId="78CE1382">
      <w:pPr>
        <w:keepNext/>
        <w:keepLines/>
        <w:spacing w:before="60"/>
        <w:rPr>
          <w:rFonts w:cstheme="minorHAnsi"/>
          <w:b/>
          <w:bCs/>
        </w:rPr>
      </w:pP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897B60" w:rsidRPr="001E010D" w:rsidP="00897B60" w14:paraId="03C35128" w14:textId="1BADD2DB">
      <w:pPr>
        <w:spacing w:after="100" w:afterAutospacing="1" w:line="240" w:lineRule="auto"/>
        <w:contextualSpacing/>
        <w:rPr>
          <w:rFonts w:ascii="Calibri" w:hAnsi="Calibri" w:cs="Calibri"/>
        </w:rPr>
      </w:pPr>
      <w:r w:rsidRPr="001E010D">
        <w:rPr>
          <w:rFonts w:ascii="Calibri" w:hAnsi="Calibri" w:cs="Calibri"/>
        </w:rPr>
        <w:t xml:space="preserve">This section presents the estimated agency burden for each </w:t>
      </w:r>
      <w:r w:rsidR="00452402">
        <w:rPr>
          <w:rFonts w:ascii="Calibri" w:hAnsi="Calibri" w:cs="Calibri"/>
        </w:rPr>
        <w:t xml:space="preserve">new or changed </w:t>
      </w:r>
      <w:r w:rsidRPr="001E010D">
        <w:rPr>
          <w:rFonts w:ascii="Calibri" w:hAnsi="Calibri" w:cs="Calibri"/>
        </w:rPr>
        <w:t>information request</w:t>
      </w:r>
      <w:r w:rsidR="000B454D">
        <w:rPr>
          <w:rFonts w:ascii="Calibri" w:hAnsi="Calibri" w:cs="Calibri"/>
        </w:rPr>
        <w:t xml:space="preserve"> associated with the 2022 CGP</w:t>
      </w:r>
      <w:r w:rsidRPr="001E010D">
        <w:rPr>
          <w:rFonts w:ascii="Calibri" w:hAnsi="Calibri" w:cs="Calibri"/>
        </w:rPr>
        <w:t xml:space="preserve"> and the associated agency cost. A summary of the burden and cost is provided at the end of this section.</w:t>
      </w:r>
    </w:p>
    <w:p w:rsidR="00897B60" w:rsidRPr="00436388" w:rsidP="00897B60" w14:paraId="49884017" w14:textId="77777777">
      <w:pPr>
        <w:pStyle w:val="BulletLevel1Header"/>
        <w:spacing w:after="0" w:afterAutospacing="0"/>
      </w:pPr>
      <w:r w:rsidRPr="00436388">
        <w:t>Dewatering Turbidity Monitoring</w:t>
      </w:r>
      <w:r>
        <w:t xml:space="preserve"> Report</w:t>
      </w:r>
      <w:r w:rsidRPr="00436388">
        <w:t xml:space="preserve"> Review </w:t>
      </w:r>
      <w:r w:rsidRPr="00376E1C">
        <w:rPr>
          <w:b w:val="0"/>
          <w:bCs/>
        </w:rPr>
        <w:t>[</w:t>
      </w:r>
      <w:r>
        <w:rPr>
          <w:b w:val="0"/>
          <w:bCs/>
        </w:rPr>
        <w:t>New</w:t>
      </w:r>
      <w:r w:rsidRPr="00376E1C">
        <w:rPr>
          <w:b w:val="0"/>
          <w:bCs/>
        </w:rPr>
        <w:t xml:space="preserve"> Agency burden</w:t>
      </w:r>
      <w:r>
        <w:rPr>
          <w:b w:val="0"/>
          <w:bCs/>
        </w:rPr>
        <w:t xml:space="preserve"> item</w:t>
      </w:r>
      <w:r w:rsidRPr="00376E1C">
        <w:rPr>
          <w:b w:val="0"/>
          <w:bCs/>
        </w:rPr>
        <w:t>]</w:t>
      </w:r>
    </w:p>
    <w:p w:rsidR="00897B60" w:rsidRPr="00E72812" w:rsidP="00897B60" w14:paraId="0B0F841B" w14:textId="77777777">
      <w:pPr>
        <w:pStyle w:val="BulletLevel1"/>
      </w:pPr>
      <w:r>
        <w:t>The 2022 CGP requires respondents to submit quarterly turbidity monitoring reports. EPA estimates the Agency will spend 0.16 hours reviewing each turbidity monitoring report submitted by applicable respondents. Of those reports, EPA estimates the Agency will need to follow up on 20% of submitted reports and spend 0.5 hours performing the follow-up. These assumptions are consistent with the NPDES Program ICR estimation for agency review of DMRs for stormwater industrial permits.</w:t>
      </w:r>
    </w:p>
    <w:p w:rsidR="00897B60" w:rsidP="00897B60" w14:paraId="6D4BB9CD" w14:textId="2CAD1A3A">
      <w:pPr>
        <w:pStyle w:val="BulletLevel1"/>
        <w:ind w:left="0"/>
      </w:pPr>
      <w:r>
        <w:t>EPA</w:t>
      </w:r>
      <w:r w:rsidRPr="001E010D">
        <w:t xml:space="preserve"> determined the hourly employment cost of federal employees using methodology established in previous ICRs. According to the U.S. Office of Personnel Management, </w:t>
      </w:r>
      <w:r w:rsidRPr="00EC2C8C">
        <w:t>202</w:t>
      </w:r>
      <w:r w:rsidR="00FA0B71">
        <w:t>4</w:t>
      </w:r>
      <w:r w:rsidRPr="00EC2C8C">
        <w:t xml:space="preserve"> General Schedule (</w:t>
      </w:r>
      <w:r w:rsidR="00FA0B71">
        <w:t>2024</w:t>
      </w:r>
      <w:r w:rsidRPr="00EC2C8C">
        <w:t>-GS) (link:</w:t>
      </w:r>
      <w:r w:rsidRPr="00FA0B71" w:rsidR="00FA0B71">
        <w:t xml:space="preserve"> </w:t>
      </w:r>
      <w:hyperlink r:id="rId11" w:history="1">
        <w:r w:rsidRPr="007F7401" w:rsidR="00A22579">
          <w:rPr>
            <w:rStyle w:val="Hyperlink"/>
          </w:rPr>
          <w:t>https://www.opm.gov/policy-data-oversight/pay-leave/salaries-wages/salary-tables/pdf/2024/GS.pdf</w:t>
        </w:r>
      </w:hyperlink>
      <w:r w:rsidR="00A22579">
        <w:t xml:space="preserve"> </w:t>
      </w:r>
      <w:r w:rsidRPr="005A5553">
        <w:t xml:space="preserve">accessed </w:t>
      </w:r>
      <w:r w:rsidR="00FA0B71">
        <w:t>September 23</w:t>
      </w:r>
      <w:r w:rsidRPr="009E0E74">
        <w:t>, 202</w:t>
      </w:r>
      <w:r w:rsidR="00FA0B71">
        <w:t>4</w:t>
      </w:r>
      <w:r w:rsidRPr="009E0E74">
        <w:t xml:space="preserve">), </w:t>
      </w:r>
      <w:r w:rsidRPr="005A5553">
        <w:t>the</w:t>
      </w:r>
      <w:r w:rsidRPr="00EC2C8C">
        <w:t xml:space="preserve"> average annual salary of a government employee at the GS-9, Step 10 </w:t>
      </w:r>
      <w:r w:rsidRPr="005A5553">
        <w:t xml:space="preserve">level is </w:t>
      </w:r>
      <w:r w:rsidRPr="009E0E74">
        <w:t>$</w:t>
      </w:r>
      <w:r w:rsidR="00FA0B71">
        <w:t>66</w:t>
      </w:r>
      <w:r w:rsidRPr="005649CC">
        <w:t>,</w:t>
      </w:r>
      <w:r w:rsidR="00FA0B71">
        <w:t>731</w:t>
      </w:r>
      <w:r w:rsidRPr="009E0E74">
        <w:t>. At 2,080 hours per year, the hourly wage is $</w:t>
      </w:r>
      <w:r w:rsidR="00FA0B71">
        <w:t>31</w:t>
      </w:r>
      <w:r w:rsidRPr="009E0E74">
        <w:t>.</w:t>
      </w:r>
      <w:r w:rsidR="00FA0B71">
        <w:t>97</w:t>
      </w:r>
      <w:r w:rsidRPr="009E0E74">
        <w:t>. Assuming overhead costs of 60 percent, or $</w:t>
      </w:r>
      <w:r w:rsidR="00FA0B71">
        <w:t>19.18</w:t>
      </w:r>
      <w:r w:rsidRPr="009E0E74">
        <w:t>. per hour, the fully loaded cost of employment for a federal employee is $</w:t>
      </w:r>
      <w:r w:rsidR="00FA0B71">
        <w:t>51</w:t>
      </w:r>
      <w:r>
        <w:t>.</w:t>
      </w:r>
      <w:r w:rsidR="00FA0B71">
        <w:t>15</w:t>
      </w:r>
      <w:r w:rsidRPr="009E0E74">
        <w:t>.</w:t>
      </w:r>
    </w:p>
    <w:p w:rsidR="00F4186E" w:rsidRPr="00163C69" w:rsidP="00F4186E" w14:paraId="1FFD2A6D" w14:textId="63B85B6E">
      <w:pPr>
        <w:spacing w:before="120" w:after="0"/>
        <w:rPr>
          <w:rFonts w:cstheme="minorHAnsi"/>
          <w:b/>
          <w:bCs/>
        </w:rPr>
      </w:pPr>
      <w:r w:rsidRPr="00163C69">
        <w:rPr>
          <w:rFonts w:eastAsiaTheme="majorEastAsia" w:cstheme="minorHAnsi"/>
          <w:b/>
          <w:bCs/>
        </w:rPr>
        <w:t>14</w:t>
      </w:r>
      <w:r>
        <w:rPr>
          <w:rFonts w:eastAsiaTheme="majorEastAsia" w:cstheme="minorHAnsi"/>
          <w:b/>
          <w:bCs/>
        </w:rPr>
        <w:t>c</w:t>
      </w:r>
      <w:r w:rsidRPr="00163C69">
        <w:rPr>
          <w:rFonts w:eastAsiaTheme="majorEastAsia" w:cstheme="minorHAnsi"/>
          <w:b/>
          <w:bCs/>
        </w:rPr>
        <w:t xml:space="preserve">. Agency </w:t>
      </w:r>
      <w:r>
        <w:rPr>
          <w:rFonts w:eastAsiaTheme="majorEastAsia" w:cstheme="minorHAnsi"/>
          <w:b/>
          <w:bCs/>
        </w:rPr>
        <w:t>Non-</w:t>
      </w:r>
      <w:r w:rsidRPr="00163C69">
        <w:rPr>
          <w:rFonts w:eastAsiaTheme="majorEastAsia" w:cstheme="minorHAnsi"/>
          <w:b/>
          <w:bCs/>
        </w:rPr>
        <w:t>Labor Cost</w:t>
      </w:r>
      <w:r>
        <w:rPr>
          <w:rFonts w:eastAsiaTheme="majorEastAsia" w:cstheme="minorHAnsi"/>
          <w:b/>
          <w:bCs/>
        </w:rPr>
        <w:t>s</w:t>
      </w:r>
    </w:p>
    <w:p w:rsidR="00963498" w:rsidP="00F4186E" w14:paraId="72E48C85" w14:textId="4AA0CE32">
      <w:pPr>
        <w:pStyle w:val="BulletLevel1"/>
        <w:ind w:left="0"/>
      </w:pPr>
      <w:r w:rsidRPr="002906A2">
        <w:t>There are no anticipated non-labor costs for the Agency.</w:t>
      </w:r>
    </w:p>
    <w:p w:rsidR="00F4186E" w:rsidRPr="00070870" w:rsidP="00070870" w14:paraId="093CC1B7" w14:textId="4BD0A31E">
      <w:pPr>
        <w:spacing w:before="120" w:after="0"/>
        <w:rPr>
          <w:rFonts w:cstheme="minorHAnsi"/>
          <w:b/>
          <w:bCs/>
        </w:rPr>
      </w:pPr>
      <w:r w:rsidRPr="00163C69">
        <w:rPr>
          <w:rFonts w:eastAsiaTheme="majorEastAsia" w:cstheme="minorHAnsi"/>
          <w:b/>
          <w:bCs/>
        </w:rPr>
        <w:t>14</w:t>
      </w:r>
      <w:r>
        <w:rPr>
          <w:rFonts w:eastAsiaTheme="majorEastAsia" w:cstheme="minorHAnsi"/>
          <w:b/>
          <w:bCs/>
        </w:rPr>
        <w:t>d</w:t>
      </w:r>
      <w:r w:rsidRPr="00163C69">
        <w:rPr>
          <w:rFonts w:eastAsiaTheme="majorEastAsia" w:cstheme="minorHAnsi"/>
          <w:b/>
          <w:bCs/>
        </w:rPr>
        <w:t xml:space="preserve">. Agency </w:t>
      </w:r>
      <w:r>
        <w:rPr>
          <w:rFonts w:eastAsiaTheme="majorEastAsia" w:cstheme="minorHAnsi"/>
          <w:b/>
          <w:bCs/>
        </w:rPr>
        <w:t>Total</w:t>
      </w:r>
      <w:r w:rsidRPr="00163C69">
        <w:rPr>
          <w:rFonts w:eastAsiaTheme="majorEastAsia" w:cstheme="minorHAnsi"/>
          <w:b/>
          <w:bCs/>
        </w:rPr>
        <w:t xml:space="preserve"> Cost</w:t>
      </w:r>
      <w:r>
        <w:rPr>
          <w:rFonts w:eastAsiaTheme="majorEastAsia" w:cstheme="minorHAnsi"/>
          <w:b/>
          <w:bCs/>
        </w:rPr>
        <w:t>s</w:t>
      </w:r>
    </w:p>
    <w:p w:rsidR="00897B60" w:rsidP="00897B60" w14:paraId="44283E09" w14:textId="77777777">
      <w:pPr>
        <w:spacing w:after="100" w:afterAutospacing="1" w:line="240" w:lineRule="auto"/>
        <w:contextualSpacing/>
        <w:rPr>
          <w:rFonts w:ascii="Calibri" w:hAnsi="Calibri" w:cs="Calibri"/>
        </w:rPr>
      </w:pPr>
      <w:r w:rsidRPr="001E010D">
        <w:rPr>
          <w:rFonts w:ascii="Calibri" w:hAnsi="Calibri" w:cs="Calibri"/>
        </w:rPr>
        <w:t xml:space="preserve">The bottom-line burden hours and costs for the Agency are the total annual hours and costs collectively incurred for all activities during the </w:t>
      </w:r>
      <w:r>
        <w:rPr>
          <w:rFonts w:ascii="Calibri" w:hAnsi="Calibri" w:cs="Calibri"/>
        </w:rPr>
        <w:t xml:space="preserve">3-year </w:t>
      </w:r>
      <w:r w:rsidRPr="001E010D">
        <w:rPr>
          <w:rFonts w:ascii="Calibri" w:hAnsi="Calibri" w:cs="Calibri"/>
        </w:rPr>
        <w:t xml:space="preserve">period covered by this ICR. The below table provides a summary of the </w:t>
      </w:r>
      <w:r>
        <w:rPr>
          <w:rFonts w:ascii="Calibri" w:hAnsi="Calibri" w:cs="Calibri"/>
        </w:rPr>
        <w:t xml:space="preserve">total and incremental change in </w:t>
      </w:r>
      <w:r w:rsidRPr="001E010D">
        <w:rPr>
          <w:rFonts w:ascii="Calibri" w:hAnsi="Calibri" w:cs="Calibri"/>
        </w:rPr>
        <w:t>annual Agency burden hours and costs.</w:t>
      </w:r>
    </w:p>
    <w:p w:rsidR="00897B60" w:rsidRPr="00E72C60" w:rsidP="00897B60" w14:paraId="56E0C865" w14:textId="33262E45">
      <w:pPr>
        <w:pStyle w:val="Caption"/>
        <w:keepNext/>
        <w:spacing w:after="0"/>
        <w:jc w:val="center"/>
        <w:rPr>
          <w:b w:val="0"/>
          <w:bCs w:val="0"/>
          <w:i/>
          <w:iCs/>
          <w:color w:val="auto"/>
        </w:rPr>
      </w:pPr>
      <w:r w:rsidRPr="00E72C60">
        <w:rPr>
          <w:color w:val="auto"/>
        </w:rPr>
        <w:t xml:space="preserve">Table </w:t>
      </w:r>
      <w:r w:rsidR="006C68A6">
        <w:rPr>
          <w:color w:val="auto"/>
        </w:rPr>
        <w:t>5</w:t>
      </w:r>
      <w:r w:rsidRPr="00E72C60">
        <w:rPr>
          <w:color w:val="auto"/>
        </w:rPr>
        <w:t xml:space="preserve"> - Bottom Line </w:t>
      </w:r>
      <w:r>
        <w:rPr>
          <w:color w:val="auto"/>
        </w:rPr>
        <w:t xml:space="preserve">Average Annual </w:t>
      </w:r>
      <w:r w:rsidRPr="00E72C60">
        <w:rPr>
          <w:color w:val="auto"/>
        </w:rPr>
        <w:t>Agency Burden Hours and Cost</w:t>
      </w:r>
    </w:p>
    <w:tbl>
      <w:tblPr>
        <w:tblStyle w:val="TableGrid"/>
        <w:tblW w:w="6035" w:type="dxa"/>
        <w:jc w:val="center"/>
        <w:tblLook w:val="04A0"/>
      </w:tblPr>
      <w:tblGrid>
        <w:gridCol w:w="2430"/>
        <w:gridCol w:w="1795"/>
        <w:gridCol w:w="1810"/>
      </w:tblGrid>
      <w:tr w14:paraId="11F151D6" w14:textId="77777777" w:rsidTr="00A3008A">
        <w:tblPrEx>
          <w:tblW w:w="6035" w:type="dxa"/>
          <w:jc w:val="center"/>
          <w:tblLook w:val="04A0"/>
        </w:tblPrEx>
        <w:trPr>
          <w:jc w:val="center"/>
        </w:trPr>
        <w:tc>
          <w:tcPr>
            <w:tcW w:w="2430" w:type="dxa"/>
            <w:shd w:val="pct12" w:color="auto" w:fill="auto"/>
          </w:tcPr>
          <w:p w:rsidR="00897B60" w:rsidRPr="004023BA" w:rsidP="00A3008A" w14:paraId="08749E77" w14:textId="77777777">
            <w:pPr>
              <w:spacing w:after="100" w:afterAutospacing="1"/>
              <w:contextualSpacing/>
              <w:rPr>
                <w:rFonts w:ascii="Calibri" w:hAnsi="Calibri" w:cs="Calibri"/>
                <w:bCs/>
              </w:rPr>
            </w:pPr>
          </w:p>
        </w:tc>
        <w:tc>
          <w:tcPr>
            <w:tcW w:w="1795" w:type="dxa"/>
            <w:shd w:val="pct12" w:color="auto" w:fill="auto"/>
            <w:vAlign w:val="bottom"/>
          </w:tcPr>
          <w:p w:rsidR="00897B60" w:rsidRPr="00144F83" w:rsidP="00A3008A" w14:paraId="7CEFF18D" w14:textId="77777777">
            <w:pPr>
              <w:spacing w:after="100" w:afterAutospacing="1"/>
              <w:contextualSpacing/>
              <w:jc w:val="center"/>
              <w:rPr>
                <w:rFonts w:ascii="Calibri" w:hAnsi="Calibri" w:cs="Calibri"/>
              </w:rPr>
            </w:pPr>
            <w:r>
              <w:rPr>
                <w:rFonts w:ascii="Calibri" w:hAnsi="Calibri" w:cs="Calibri"/>
                <w:b/>
                <w:bCs/>
              </w:rPr>
              <w:t xml:space="preserve">2022 CGP ICR </w:t>
            </w:r>
            <w:r w:rsidRPr="00F442B2">
              <w:rPr>
                <w:rFonts w:ascii="Calibri" w:hAnsi="Calibri" w:cs="Calibri"/>
                <w:b/>
                <w:bCs/>
              </w:rPr>
              <w:t>Total</w:t>
            </w:r>
          </w:p>
        </w:tc>
        <w:tc>
          <w:tcPr>
            <w:tcW w:w="1810" w:type="dxa"/>
            <w:shd w:val="pct12" w:color="auto" w:fill="auto"/>
            <w:vAlign w:val="bottom"/>
          </w:tcPr>
          <w:p w:rsidR="00897B60" w:rsidRPr="00144F83" w:rsidP="00A3008A" w14:paraId="1C12A284" w14:textId="77777777">
            <w:pPr>
              <w:spacing w:after="100" w:afterAutospacing="1"/>
              <w:contextualSpacing/>
              <w:jc w:val="center"/>
              <w:rPr>
                <w:rFonts w:ascii="Calibri" w:hAnsi="Calibri" w:cs="Calibri"/>
              </w:rPr>
            </w:pPr>
            <w:r w:rsidRPr="00F442B2">
              <w:rPr>
                <w:rFonts w:ascii="Calibri" w:hAnsi="Calibri" w:cs="Calibri"/>
                <w:b/>
                <w:bCs/>
              </w:rPr>
              <w:t>Incremental Change</w:t>
            </w:r>
          </w:p>
        </w:tc>
      </w:tr>
      <w:tr w14:paraId="5654CDA9" w14:textId="77777777" w:rsidTr="00A3008A">
        <w:tblPrEx>
          <w:tblW w:w="6035" w:type="dxa"/>
          <w:jc w:val="center"/>
          <w:tblLook w:val="04A0"/>
        </w:tblPrEx>
        <w:trPr>
          <w:jc w:val="center"/>
        </w:trPr>
        <w:tc>
          <w:tcPr>
            <w:tcW w:w="2430" w:type="dxa"/>
            <w:shd w:val="clear" w:color="auto" w:fill="auto"/>
          </w:tcPr>
          <w:p w:rsidR="00897B60" w:rsidRPr="004023BA" w:rsidP="00A3008A" w14:paraId="71DD34D6" w14:textId="77777777">
            <w:pPr>
              <w:spacing w:after="100" w:afterAutospacing="1"/>
              <w:contextualSpacing/>
              <w:rPr>
                <w:rFonts w:ascii="Calibri" w:hAnsi="Calibri" w:cs="Calibri"/>
                <w:bCs/>
              </w:rPr>
            </w:pPr>
            <w:r w:rsidRPr="004023BA">
              <w:rPr>
                <w:rFonts w:ascii="Calibri" w:hAnsi="Calibri" w:cs="Calibri"/>
                <w:bCs/>
              </w:rPr>
              <w:t>Burden (hours)</w:t>
            </w:r>
          </w:p>
        </w:tc>
        <w:tc>
          <w:tcPr>
            <w:tcW w:w="1795" w:type="dxa"/>
            <w:shd w:val="clear" w:color="auto" w:fill="auto"/>
            <w:vAlign w:val="center"/>
          </w:tcPr>
          <w:p w:rsidR="00897B60" w:rsidRPr="00144F83" w:rsidP="00A3008A" w14:paraId="4E40FB7D" w14:textId="205B35B6">
            <w:pPr>
              <w:spacing w:after="100" w:afterAutospacing="1"/>
              <w:contextualSpacing/>
              <w:jc w:val="center"/>
              <w:rPr>
                <w:rFonts w:ascii="Calibri" w:hAnsi="Calibri" w:cs="Calibri"/>
              </w:rPr>
            </w:pPr>
            <w:r>
              <w:rPr>
                <w:rFonts w:ascii="Calibri" w:hAnsi="Calibri" w:cs="Calibri"/>
                <w:color w:val="000000"/>
              </w:rPr>
              <w:t>10,680</w:t>
            </w:r>
          </w:p>
        </w:tc>
        <w:tc>
          <w:tcPr>
            <w:tcW w:w="1810" w:type="dxa"/>
            <w:vAlign w:val="center"/>
          </w:tcPr>
          <w:p w:rsidR="00897B60" w:rsidRPr="00144F83" w:rsidP="00A3008A" w14:paraId="2DFCCD18" w14:textId="5B77B185">
            <w:pPr>
              <w:spacing w:after="100" w:afterAutospacing="1"/>
              <w:contextualSpacing/>
              <w:jc w:val="center"/>
              <w:rPr>
                <w:rFonts w:ascii="Calibri" w:hAnsi="Calibri" w:cs="Calibri"/>
              </w:rPr>
            </w:pPr>
            <w:r>
              <w:rPr>
                <w:rFonts w:ascii="Calibri" w:hAnsi="Calibri" w:cs="Calibri"/>
                <w:color w:val="000000"/>
              </w:rPr>
              <w:t>217</w:t>
            </w:r>
          </w:p>
        </w:tc>
      </w:tr>
      <w:tr w14:paraId="131F7B4B" w14:textId="77777777" w:rsidTr="00A3008A">
        <w:tblPrEx>
          <w:tblW w:w="6035" w:type="dxa"/>
          <w:jc w:val="center"/>
          <w:tblLook w:val="04A0"/>
        </w:tblPrEx>
        <w:trPr>
          <w:jc w:val="center"/>
        </w:trPr>
        <w:tc>
          <w:tcPr>
            <w:tcW w:w="2430" w:type="dxa"/>
            <w:shd w:val="clear" w:color="auto" w:fill="auto"/>
          </w:tcPr>
          <w:p w:rsidR="00897B60" w:rsidRPr="004023BA" w:rsidP="00A3008A" w14:paraId="0E62B23A" w14:textId="77777777">
            <w:pPr>
              <w:spacing w:after="100" w:afterAutospacing="1"/>
              <w:contextualSpacing/>
              <w:rPr>
                <w:rFonts w:ascii="Calibri" w:hAnsi="Calibri" w:cs="Calibri"/>
                <w:bCs/>
              </w:rPr>
            </w:pPr>
            <w:r w:rsidRPr="004023BA">
              <w:rPr>
                <w:rFonts w:ascii="Calibri" w:hAnsi="Calibri" w:cs="Calibri"/>
                <w:bCs/>
              </w:rPr>
              <w:t xml:space="preserve">Costs </w:t>
            </w:r>
            <w:r>
              <w:rPr>
                <w:rFonts w:ascii="Calibri" w:hAnsi="Calibri" w:cs="Calibri"/>
                <w:bCs/>
              </w:rPr>
              <w:t>- L</w:t>
            </w:r>
            <w:r w:rsidRPr="004023BA">
              <w:rPr>
                <w:rFonts w:ascii="Calibri" w:hAnsi="Calibri" w:cs="Calibri"/>
                <w:bCs/>
              </w:rPr>
              <w:t>abor</w:t>
            </w:r>
            <w:r>
              <w:rPr>
                <w:rFonts w:ascii="Calibri" w:hAnsi="Calibri" w:cs="Calibri"/>
                <w:bCs/>
              </w:rPr>
              <w:t xml:space="preserve"> (dollars</w:t>
            </w:r>
            <w:r w:rsidRPr="004023BA">
              <w:rPr>
                <w:rFonts w:ascii="Calibri" w:hAnsi="Calibri" w:cs="Calibri"/>
                <w:bCs/>
              </w:rPr>
              <w:t>)</w:t>
            </w:r>
          </w:p>
        </w:tc>
        <w:tc>
          <w:tcPr>
            <w:tcW w:w="1795" w:type="dxa"/>
            <w:shd w:val="clear" w:color="auto" w:fill="auto"/>
            <w:vAlign w:val="center"/>
          </w:tcPr>
          <w:p w:rsidR="00897B60" w:rsidRPr="00144F83" w:rsidP="00A3008A" w14:paraId="7B5C08C6" w14:textId="2F7CC9F6">
            <w:pPr>
              <w:spacing w:after="100" w:afterAutospacing="1"/>
              <w:contextualSpacing/>
              <w:jc w:val="center"/>
              <w:rPr>
                <w:rFonts w:ascii="Calibri" w:hAnsi="Calibri" w:cs="Calibri"/>
              </w:rPr>
            </w:pPr>
            <w:r>
              <w:rPr>
                <w:rFonts w:ascii="Calibri" w:hAnsi="Calibri" w:cs="Calibri"/>
                <w:color w:val="000000"/>
              </w:rPr>
              <w:t>$</w:t>
            </w:r>
            <w:r w:rsidR="00D66646">
              <w:rPr>
                <w:rFonts w:ascii="Calibri" w:hAnsi="Calibri" w:cs="Calibri"/>
                <w:color w:val="000000"/>
              </w:rPr>
              <w:t>546,275</w:t>
            </w:r>
          </w:p>
        </w:tc>
        <w:tc>
          <w:tcPr>
            <w:tcW w:w="1810" w:type="dxa"/>
            <w:vAlign w:val="center"/>
          </w:tcPr>
          <w:p w:rsidR="00897B60" w:rsidRPr="00144F83" w:rsidP="00A3008A" w14:paraId="14C98C7E" w14:textId="4C1D1289">
            <w:pPr>
              <w:spacing w:after="100" w:afterAutospacing="1"/>
              <w:contextualSpacing/>
              <w:jc w:val="center"/>
              <w:rPr>
                <w:rFonts w:ascii="Calibri" w:hAnsi="Calibri" w:cs="Calibri"/>
              </w:rPr>
            </w:pPr>
            <w:r>
              <w:rPr>
                <w:rFonts w:ascii="Calibri" w:hAnsi="Calibri" w:cs="Calibri"/>
                <w:color w:val="000000"/>
              </w:rPr>
              <w:t>$</w:t>
            </w:r>
            <w:r w:rsidR="00D66646">
              <w:rPr>
                <w:rFonts w:ascii="Calibri" w:hAnsi="Calibri" w:cs="Calibri"/>
                <w:color w:val="000000"/>
              </w:rPr>
              <w:t>11,105</w:t>
            </w:r>
          </w:p>
        </w:tc>
      </w:tr>
      <w:tr w14:paraId="23C13F65" w14:textId="77777777" w:rsidTr="00A3008A">
        <w:tblPrEx>
          <w:tblW w:w="6035" w:type="dxa"/>
          <w:jc w:val="center"/>
          <w:tblLook w:val="04A0"/>
        </w:tblPrEx>
        <w:trPr>
          <w:jc w:val="center"/>
        </w:trPr>
        <w:tc>
          <w:tcPr>
            <w:tcW w:w="2430" w:type="dxa"/>
            <w:shd w:val="clear" w:color="auto" w:fill="auto"/>
          </w:tcPr>
          <w:p w:rsidR="00897B60" w:rsidRPr="004023BA" w:rsidP="00A3008A" w14:paraId="39C9A498" w14:textId="77777777">
            <w:pPr>
              <w:spacing w:after="100" w:afterAutospacing="1"/>
              <w:contextualSpacing/>
              <w:rPr>
                <w:rFonts w:ascii="Calibri" w:hAnsi="Calibri" w:cs="Calibri"/>
                <w:bCs/>
              </w:rPr>
            </w:pPr>
            <w:r w:rsidRPr="004023BA">
              <w:rPr>
                <w:rFonts w:ascii="Calibri" w:hAnsi="Calibri" w:cs="Calibri"/>
                <w:bCs/>
              </w:rPr>
              <w:t xml:space="preserve">Costs </w:t>
            </w:r>
            <w:r>
              <w:rPr>
                <w:rFonts w:ascii="Calibri" w:hAnsi="Calibri" w:cs="Calibri"/>
                <w:bCs/>
              </w:rPr>
              <w:t>- C</w:t>
            </w:r>
            <w:r w:rsidRPr="004023BA">
              <w:rPr>
                <w:rFonts w:ascii="Calibri" w:hAnsi="Calibri" w:cs="Calibri"/>
                <w:bCs/>
              </w:rPr>
              <w:t>apital</w:t>
            </w:r>
            <w:r>
              <w:rPr>
                <w:rFonts w:ascii="Calibri" w:hAnsi="Calibri" w:cs="Calibri"/>
                <w:bCs/>
              </w:rPr>
              <w:t xml:space="preserve"> (dollars</w:t>
            </w:r>
            <w:r w:rsidRPr="004023BA">
              <w:rPr>
                <w:rFonts w:ascii="Calibri" w:hAnsi="Calibri" w:cs="Calibri"/>
                <w:bCs/>
              </w:rPr>
              <w:t>)</w:t>
            </w:r>
          </w:p>
        </w:tc>
        <w:tc>
          <w:tcPr>
            <w:tcW w:w="1795" w:type="dxa"/>
            <w:shd w:val="clear" w:color="auto" w:fill="auto"/>
            <w:vAlign w:val="center"/>
          </w:tcPr>
          <w:p w:rsidR="00897B60" w:rsidRPr="00144F83" w:rsidP="00A3008A" w14:paraId="07BC257A" w14:textId="77777777">
            <w:pPr>
              <w:spacing w:after="100" w:afterAutospacing="1"/>
              <w:contextualSpacing/>
              <w:jc w:val="center"/>
              <w:rPr>
                <w:rFonts w:ascii="Calibri" w:hAnsi="Calibri" w:cs="Calibri"/>
              </w:rPr>
            </w:pPr>
            <w:r>
              <w:rPr>
                <w:rFonts w:ascii="Calibri" w:hAnsi="Calibri" w:cs="Calibri"/>
                <w:color w:val="000000"/>
              </w:rPr>
              <w:t>None</w:t>
            </w:r>
          </w:p>
        </w:tc>
        <w:tc>
          <w:tcPr>
            <w:tcW w:w="1810" w:type="dxa"/>
            <w:vAlign w:val="center"/>
          </w:tcPr>
          <w:p w:rsidR="00897B60" w:rsidRPr="00413CC0" w:rsidP="00A3008A" w14:paraId="57F66D05" w14:textId="77777777">
            <w:pPr>
              <w:spacing w:after="100" w:afterAutospacing="1"/>
              <w:contextualSpacing/>
              <w:jc w:val="center"/>
              <w:rPr>
                <w:rFonts w:ascii="Calibri" w:hAnsi="Calibri" w:cs="Calibri"/>
              </w:rPr>
            </w:pPr>
            <w:r>
              <w:rPr>
                <w:rFonts w:ascii="Calibri" w:hAnsi="Calibri" w:cs="Calibri"/>
                <w:color w:val="000000"/>
              </w:rPr>
              <w:t>None</w:t>
            </w:r>
          </w:p>
        </w:tc>
      </w:tr>
      <w:tr w14:paraId="5C3F4695" w14:textId="77777777" w:rsidTr="00A3008A">
        <w:tblPrEx>
          <w:tblW w:w="6035" w:type="dxa"/>
          <w:jc w:val="center"/>
          <w:tblLook w:val="04A0"/>
        </w:tblPrEx>
        <w:trPr>
          <w:jc w:val="center"/>
        </w:trPr>
        <w:tc>
          <w:tcPr>
            <w:tcW w:w="2430" w:type="dxa"/>
            <w:shd w:val="clear" w:color="auto" w:fill="auto"/>
          </w:tcPr>
          <w:p w:rsidR="00897B60" w:rsidRPr="004023BA" w:rsidP="00A3008A" w14:paraId="47A9D2B8" w14:textId="77777777">
            <w:pPr>
              <w:spacing w:after="100" w:afterAutospacing="1"/>
              <w:contextualSpacing/>
              <w:rPr>
                <w:rFonts w:ascii="Calibri" w:hAnsi="Calibri" w:cs="Calibri"/>
                <w:bCs/>
              </w:rPr>
            </w:pPr>
            <w:r w:rsidRPr="004023BA">
              <w:rPr>
                <w:rFonts w:ascii="Calibri" w:hAnsi="Calibri" w:cs="Calibri"/>
                <w:bCs/>
              </w:rPr>
              <w:t xml:space="preserve">Costs </w:t>
            </w:r>
            <w:r>
              <w:rPr>
                <w:rFonts w:ascii="Calibri" w:hAnsi="Calibri" w:cs="Calibri"/>
                <w:bCs/>
              </w:rPr>
              <w:t xml:space="preserve">- </w:t>
            </w:r>
            <w:r w:rsidRPr="004023BA">
              <w:rPr>
                <w:rFonts w:ascii="Calibri" w:hAnsi="Calibri" w:cs="Calibri"/>
                <w:bCs/>
              </w:rPr>
              <w:t>O&amp;M</w:t>
            </w:r>
            <w:r>
              <w:rPr>
                <w:rFonts w:ascii="Calibri" w:hAnsi="Calibri" w:cs="Calibri"/>
                <w:bCs/>
              </w:rPr>
              <w:t xml:space="preserve"> (dollars</w:t>
            </w:r>
            <w:r w:rsidRPr="004023BA">
              <w:rPr>
                <w:rFonts w:ascii="Calibri" w:hAnsi="Calibri" w:cs="Calibri"/>
                <w:bCs/>
              </w:rPr>
              <w:t>)</w:t>
            </w:r>
          </w:p>
        </w:tc>
        <w:tc>
          <w:tcPr>
            <w:tcW w:w="1795" w:type="dxa"/>
            <w:shd w:val="clear" w:color="auto" w:fill="auto"/>
            <w:vAlign w:val="center"/>
          </w:tcPr>
          <w:p w:rsidR="00897B60" w:rsidRPr="00413CC0" w:rsidP="00A3008A" w14:paraId="5905AC31" w14:textId="77777777">
            <w:pPr>
              <w:spacing w:after="100" w:afterAutospacing="1"/>
              <w:contextualSpacing/>
              <w:jc w:val="center"/>
              <w:rPr>
                <w:rFonts w:ascii="Calibri" w:hAnsi="Calibri" w:cs="Calibri"/>
              </w:rPr>
            </w:pPr>
            <w:r>
              <w:rPr>
                <w:rFonts w:ascii="Calibri" w:hAnsi="Calibri" w:cs="Calibri"/>
                <w:color w:val="000000"/>
              </w:rPr>
              <w:t>None</w:t>
            </w:r>
          </w:p>
        </w:tc>
        <w:tc>
          <w:tcPr>
            <w:tcW w:w="1810" w:type="dxa"/>
            <w:vAlign w:val="center"/>
          </w:tcPr>
          <w:p w:rsidR="00897B60" w:rsidRPr="00144F83" w:rsidP="00A3008A" w14:paraId="49ABBB5A" w14:textId="77777777">
            <w:pPr>
              <w:spacing w:after="100" w:afterAutospacing="1"/>
              <w:contextualSpacing/>
              <w:jc w:val="center"/>
              <w:rPr>
                <w:rFonts w:ascii="Calibri" w:hAnsi="Calibri" w:cs="Calibri"/>
              </w:rPr>
            </w:pPr>
            <w:r>
              <w:rPr>
                <w:rFonts w:ascii="Calibri" w:hAnsi="Calibri" w:cs="Calibri"/>
                <w:color w:val="000000"/>
              </w:rPr>
              <w:t>None</w:t>
            </w:r>
          </w:p>
        </w:tc>
      </w:tr>
      <w:tr w14:paraId="0F6210B8" w14:textId="77777777" w:rsidTr="00A3008A">
        <w:tblPrEx>
          <w:tblW w:w="6035" w:type="dxa"/>
          <w:jc w:val="center"/>
          <w:tblLook w:val="04A0"/>
        </w:tblPrEx>
        <w:trPr>
          <w:jc w:val="center"/>
        </w:trPr>
        <w:tc>
          <w:tcPr>
            <w:tcW w:w="2430" w:type="dxa"/>
            <w:shd w:val="clear" w:color="auto" w:fill="auto"/>
          </w:tcPr>
          <w:p w:rsidR="00897B60" w:rsidRPr="00A4627D" w:rsidP="00A3008A" w14:paraId="0283A8A3" w14:textId="77777777">
            <w:pPr>
              <w:pStyle w:val="Revision"/>
              <w:spacing w:after="100" w:afterAutospacing="1"/>
              <w:contextualSpacing/>
              <w:rPr>
                <w:rFonts w:ascii="Calibri" w:hAnsi="Calibri" w:cs="Calibri"/>
                <w:bCs/>
              </w:rPr>
            </w:pPr>
            <w:r w:rsidRPr="004023BA">
              <w:rPr>
                <w:rFonts w:ascii="Calibri" w:hAnsi="Calibri" w:cs="Calibri"/>
                <w:bCs/>
              </w:rPr>
              <w:t xml:space="preserve">Total </w:t>
            </w:r>
            <w:r>
              <w:rPr>
                <w:rFonts w:ascii="Calibri" w:hAnsi="Calibri" w:cs="Calibri"/>
                <w:bCs/>
              </w:rPr>
              <w:t>C</w:t>
            </w:r>
            <w:r w:rsidRPr="004023BA">
              <w:rPr>
                <w:rFonts w:ascii="Calibri" w:hAnsi="Calibri" w:cs="Calibri"/>
                <w:bCs/>
              </w:rPr>
              <w:t>osts</w:t>
            </w:r>
            <w:r>
              <w:rPr>
                <w:rFonts w:ascii="Calibri" w:hAnsi="Calibri" w:cs="Calibri"/>
                <w:bCs/>
              </w:rPr>
              <w:t xml:space="preserve"> (dollars)</w:t>
            </w:r>
          </w:p>
        </w:tc>
        <w:tc>
          <w:tcPr>
            <w:tcW w:w="1795" w:type="dxa"/>
            <w:shd w:val="clear" w:color="auto" w:fill="auto"/>
            <w:vAlign w:val="center"/>
          </w:tcPr>
          <w:p w:rsidR="00897B60" w:rsidRPr="00413CC0" w:rsidP="00A3008A" w14:paraId="0FE914EA" w14:textId="248A4ACA">
            <w:pPr>
              <w:spacing w:after="100" w:afterAutospacing="1"/>
              <w:contextualSpacing/>
              <w:jc w:val="center"/>
              <w:rPr>
                <w:rFonts w:ascii="Calibri" w:hAnsi="Calibri" w:cs="Calibri"/>
              </w:rPr>
            </w:pPr>
            <w:r>
              <w:rPr>
                <w:rFonts w:ascii="Calibri" w:hAnsi="Calibri" w:cs="Calibri"/>
                <w:color w:val="000000"/>
              </w:rPr>
              <w:t>$</w:t>
            </w:r>
            <w:r w:rsidR="00307EE5">
              <w:rPr>
                <w:rFonts w:ascii="Calibri" w:hAnsi="Calibri" w:cs="Calibri"/>
                <w:color w:val="000000"/>
              </w:rPr>
              <w:t>546,275</w:t>
            </w:r>
          </w:p>
        </w:tc>
        <w:tc>
          <w:tcPr>
            <w:tcW w:w="1810" w:type="dxa"/>
            <w:vAlign w:val="center"/>
          </w:tcPr>
          <w:p w:rsidR="00897B60" w:rsidRPr="00413CC0" w:rsidP="00A3008A" w14:paraId="7BD4021D" w14:textId="36ED72A3">
            <w:pPr>
              <w:spacing w:after="100" w:afterAutospacing="1"/>
              <w:contextualSpacing/>
              <w:jc w:val="center"/>
              <w:rPr>
                <w:rFonts w:ascii="Calibri" w:hAnsi="Calibri" w:cs="Calibri"/>
              </w:rPr>
            </w:pPr>
            <w:r>
              <w:rPr>
                <w:rFonts w:ascii="Calibri" w:hAnsi="Calibri" w:cs="Calibri"/>
                <w:color w:val="000000"/>
              </w:rPr>
              <w:t>$</w:t>
            </w:r>
            <w:r w:rsidR="00307EE5">
              <w:rPr>
                <w:rFonts w:ascii="Calibri" w:hAnsi="Calibri" w:cs="Calibri"/>
                <w:color w:val="000000"/>
              </w:rPr>
              <w:t>11,105</w:t>
            </w:r>
          </w:p>
        </w:tc>
      </w:tr>
    </w:tbl>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ED57A4" w:rsidRPr="00CC4667" w:rsidP="00CC4667" w14:paraId="18F76AB6" w14:textId="06C9C086">
      <w:pPr>
        <w:spacing w:after="100" w:afterAutospacing="1" w:line="240" w:lineRule="auto"/>
        <w:contextualSpacing/>
        <w:rPr>
          <w:rFonts w:ascii="Calibri" w:hAnsi="Calibri" w:cs="Calibri"/>
        </w:rPr>
      </w:pPr>
      <w:bookmarkStart w:id="23" w:name="_Hlk180416636"/>
      <w:r w:rsidRPr="009F7314">
        <w:rPr>
          <w:rFonts w:ascii="Calibri" w:hAnsi="Calibri" w:cs="Calibri"/>
        </w:rPr>
        <w:t>The change in estimate</w:t>
      </w:r>
      <w:r>
        <w:rPr>
          <w:rFonts w:ascii="Calibri" w:hAnsi="Calibri" w:cs="Calibri"/>
        </w:rPr>
        <w:t>d burden</w:t>
      </w:r>
      <w:r w:rsidRPr="009F7314">
        <w:rPr>
          <w:rFonts w:ascii="Calibri" w:hAnsi="Calibri" w:cs="Calibri"/>
        </w:rPr>
        <w:t xml:space="preserve"> between the current and renewal ICRs are attributable to the change in the number of respondents from 2,600 to 3,631 operators per year, which </w:t>
      </w:r>
      <w:r w:rsidR="00340878">
        <w:rPr>
          <w:rFonts w:ascii="Calibri" w:hAnsi="Calibri" w:cs="Calibri"/>
        </w:rPr>
        <w:t>is</w:t>
      </w:r>
      <w:r w:rsidRPr="009F7314">
        <w:rPr>
          <w:rFonts w:ascii="Calibri" w:hAnsi="Calibri" w:cs="Calibri"/>
        </w:rPr>
        <w:t xml:space="preserve"> based on the </w:t>
      </w:r>
      <w:r w:rsidR="00340878">
        <w:rPr>
          <w:rFonts w:ascii="Calibri" w:hAnsi="Calibri" w:cs="Calibri"/>
        </w:rPr>
        <w:t xml:space="preserve">more accurate </w:t>
      </w:r>
      <w:r w:rsidR="00E354FC">
        <w:rPr>
          <w:rFonts w:ascii="Calibri" w:hAnsi="Calibri" w:cs="Calibri"/>
        </w:rPr>
        <w:t>information</w:t>
      </w:r>
      <w:r w:rsidR="00340878">
        <w:rPr>
          <w:rFonts w:ascii="Calibri" w:hAnsi="Calibri" w:cs="Calibri"/>
        </w:rPr>
        <w:t xml:space="preserve"> EPA now has on the</w:t>
      </w:r>
      <w:r w:rsidRPr="009F7314">
        <w:rPr>
          <w:rFonts w:ascii="Calibri" w:hAnsi="Calibri" w:cs="Calibri"/>
        </w:rPr>
        <w:t xml:space="preserve"> number of permitted operators </w:t>
      </w:r>
      <w:r w:rsidR="00340878">
        <w:rPr>
          <w:rFonts w:ascii="Calibri" w:hAnsi="Calibri" w:cs="Calibri"/>
        </w:rPr>
        <w:t>from the first</w:t>
      </w:r>
      <w:r w:rsidRPr="009F7314">
        <w:rPr>
          <w:rFonts w:ascii="Calibri" w:hAnsi="Calibri" w:cs="Calibri"/>
        </w:rPr>
        <w:t xml:space="preserve"> two years of the 2022 CGP</w:t>
      </w:r>
      <w:r w:rsidR="00340878">
        <w:rPr>
          <w:rFonts w:ascii="Calibri" w:hAnsi="Calibri" w:cs="Calibri"/>
        </w:rPr>
        <w:t xml:space="preserve">. </w:t>
      </w:r>
      <w:r w:rsidRPr="009F7314">
        <w:rPr>
          <w:rFonts w:ascii="Calibri" w:hAnsi="Calibri" w:cs="Calibri"/>
        </w:rPr>
        <w:t>Th</w:t>
      </w:r>
      <w:r w:rsidR="00A471D8">
        <w:rPr>
          <w:rFonts w:ascii="Calibri" w:hAnsi="Calibri" w:cs="Calibri"/>
        </w:rPr>
        <w:t>e</w:t>
      </w:r>
      <w:r w:rsidRPr="009F7314">
        <w:rPr>
          <w:rFonts w:ascii="Calibri" w:hAnsi="Calibri" w:cs="Calibri"/>
        </w:rPr>
        <w:t xml:space="preserve"> </w:t>
      </w:r>
      <w:r w:rsidR="00E354FC">
        <w:rPr>
          <w:rFonts w:ascii="Calibri" w:hAnsi="Calibri" w:cs="Calibri"/>
        </w:rPr>
        <w:t>change in the number of estimated respondents led to an incr</w:t>
      </w:r>
      <w:r w:rsidRPr="009F7314">
        <w:rPr>
          <w:rFonts w:ascii="Calibri" w:hAnsi="Calibri" w:cs="Calibri"/>
        </w:rPr>
        <w:t xml:space="preserve">ease in </w:t>
      </w:r>
      <w:r w:rsidRPr="00E57073">
        <w:rPr>
          <w:rFonts w:cstheme="minorHAnsi"/>
        </w:rPr>
        <w:t xml:space="preserve">burden hours of </w:t>
      </w:r>
      <w:r w:rsidR="000716E4">
        <w:rPr>
          <w:rFonts w:cstheme="minorHAnsi"/>
        </w:rPr>
        <w:t>73,816</w:t>
      </w:r>
      <w:r w:rsidRPr="00E57073">
        <w:rPr>
          <w:rFonts w:cstheme="minorHAnsi"/>
        </w:rPr>
        <w:t xml:space="preserve"> hours per year</w:t>
      </w:r>
      <w:r w:rsidRPr="00E57073" w:rsidR="00340878">
        <w:rPr>
          <w:rFonts w:cstheme="minorHAnsi"/>
        </w:rPr>
        <w:t xml:space="preserve">. Additionally, the labor rates </w:t>
      </w:r>
      <w:r w:rsidR="00E354FC">
        <w:rPr>
          <w:rFonts w:cstheme="minorHAnsi"/>
        </w:rPr>
        <w:t xml:space="preserve">used </w:t>
      </w:r>
      <w:r w:rsidRPr="00E57073" w:rsidR="00340878">
        <w:rPr>
          <w:rFonts w:cstheme="minorHAnsi"/>
        </w:rPr>
        <w:t xml:space="preserve">to </w:t>
      </w:r>
      <w:r w:rsidR="00E354FC">
        <w:rPr>
          <w:rFonts w:cstheme="minorHAnsi"/>
        </w:rPr>
        <w:t>calculate</w:t>
      </w:r>
      <w:r w:rsidRPr="00E57073" w:rsidR="00340878">
        <w:rPr>
          <w:rFonts w:cstheme="minorHAnsi"/>
        </w:rPr>
        <w:t xml:space="preserve"> </w:t>
      </w:r>
      <w:r w:rsidR="00E354FC">
        <w:rPr>
          <w:rFonts w:cstheme="minorHAnsi"/>
        </w:rPr>
        <w:t xml:space="preserve">the </w:t>
      </w:r>
      <w:r w:rsidRPr="00E57073" w:rsidR="00340878">
        <w:rPr>
          <w:rFonts w:cstheme="minorHAnsi"/>
        </w:rPr>
        <w:t xml:space="preserve">estimated costs increased </w:t>
      </w:r>
      <w:r w:rsidRPr="00E57073" w:rsidR="00B12C26">
        <w:rPr>
          <w:rFonts w:cstheme="minorHAnsi"/>
        </w:rPr>
        <w:t xml:space="preserve">from $62.77 per hour </w:t>
      </w:r>
      <w:r w:rsidR="00E354FC">
        <w:rPr>
          <w:rFonts w:cstheme="minorHAnsi"/>
        </w:rPr>
        <w:t>from</w:t>
      </w:r>
      <w:r w:rsidRPr="00E57073" w:rsidR="00B12C26">
        <w:rPr>
          <w:rFonts w:cstheme="minorHAnsi"/>
        </w:rPr>
        <w:t xml:space="preserve"> the current ICR to </w:t>
      </w:r>
      <w:r w:rsidRPr="00E57073" w:rsidR="00B12C26">
        <w:rPr>
          <w:rStyle w:val="cf01"/>
          <w:rFonts w:asciiTheme="minorHAnsi" w:hAnsiTheme="minorHAnsi" w:cstheme="minorHAnsi"/>
          <w:sz w:val="22"/>
          <w:szCs w:val="22"/>
        </w:rPr>
        <w:t>$73.47 per hour</w:t>
      </w:r>
      <w:r w:rsidR="00703969">
        <w:rPr>
          <w:rStyle w:val="cf01"/>
          <w:rFonts w:asciiTheme="minorHAnsi" w:hAnsiTheme="minorHAnsi" w:cstheme="minorHAnsi"/>
          <w:sz w:val="22"/>
          <w:szCs w:val="22"/>
        </w:rPr>
        <w:t xml:space="preserve"> for the renewal ICR</w:t>
      </w:r>
      <w:r w:rsidRPr="00E57073" w:rsidR="00B12C26">
        <w:rPr>
          <w:rStyle w:val="cf01"/>
          <w:rFonts w:asciiTheme="minorHAnsi" w:hAnsiTheme="minorHAnsi" w:cstheme="minorHAnsi"/>
          <w:sz w:val="22"/>
          <w:szCs w:val="22"/>
        </w:rPr>
        <w:t xml:space="preserve">, which, combined with the increase in </w:t>
      </w:r>
      <w:r w:rsidR="00703969">
        <w:rPr>
          <w:rStyle w:val="cf01"/>
          <w:rFonts w:asciiTheme="minorHAnsi" w:hAnsiTheme="minorHAnsi" w:cstheme="minorHAnsi"/>
          <w:sz w:val="22"/>
          <w:szCs w:val="22"/>
        </w:rPr>
        <w:t xml:space="preserve">number of respondents, is the reason for the </w:t>
      </w:r>
      <w:r w:rsidRPr="00E57073" w:rsidR="00340878">
        <w:rPr>
          <w:rFonts w:cstheme="minorHAnsi"/>
        </w:rPr>
        <w:t xml:space="preserve">increase in total estimated cost of </w:t>
      </w:r>
      <w:r w:rsidRPr="00E57073">
        <w:rPr>
          <w:rFonts w:cstheme="minorHAnsi"/>
        </w:rPr>
        <w:t>$5,973,56</w:t>
      </w:r>
      <w:r w:rsidR="00687E12">
        <w:rPr>
          <w:rFonts w:cstheme="minorHAnsi"/>
        </w:rPr>
        <w:t>3</w:t>
      </w:r>
      <w:r w:rsidRPr="00E57073">
        <w:rPr>
          <w:rFonts w:cstheme="minorHAnsi"/>
        </w:rPr>
        <w:t xml:space="preserve"> per year.</w:t>
      </w:r>
      <w:r>
        <w:rPr>
          <w:rStyle w:val="FootnoteReference"/>
          <w:rFonts w:cstheme="minorHAnsi"/>
        </w:rPr>
        <w:footnoteReference w:id="5"/>
      </w:r>
      <w:r w:rsidRPr="009F7314">
        <w:rPr>
          <w:rFonts w:ascii="Calibri" w:hAnsi="Calibri" w:cs="Calibri"/>
        </w:rPr>
        <w:t xml:space="preserve"> </w:t>
      </w:r>
      <w:bookmarkEnd w:id="23"/>
      <w:r w:rsidR="00CC4667">
        <w:rPr>
          <w:rFonts w:ascii="Calibri" w:hAnsi="Calibri" w:cs="Calibri"/>
        </w:rPr>
        <w:t xml:space="preserve"> </w:t>
      </w:r>
    </w:p>
    <w:p w:rsidR="005D140B" w:rsidRPr="00163C69" w:rsidP="4BDBF0A0" w14:paraId="3604F417" w14:textId="5D0F3160">
      <w:pPr>
        <w:pStyle w:val="ListParagraph"/>
        <w:numPr>
          <w:ilvl w:val="0"/>
          <w:numId w:val="27"/>
        </w:numPr>
        <w:spacing w:before="240" w:after="0"/>
        <w:rPr>
          <w:b/>
          <w:bCs/>
        </w:rPr>
      </w:pPr>
      <w:bookmarkStart w:id="24" w:name="_Toc156593389"/>
      <w:r w:rsidRPr="4BDBF0A0">
        <w:rPr>
          <w:b/>
          <w:bCs/>
        </w:rPr>
        <w:t xml:space="preserve">PUBLICATION OF </w:t>
      </w:r>
      <w:bookmarkStart w:id="25" w:name="_Toc156593390"/>
      <w:bookmarkEnd w:id="24"/>
      <w:r w:rsidR="00E73E81">
        <w:rPr>
          <w:b/>
          <w:bCs/>
        </w:rPr>
        <w:t>DATA</w:t>
      </w:r>
    </w:p>
    <w:p w:rsidR="0073767D" w:rsidRPr="0073767D" w:rsidP="00854AAE" w14:paraId="5CBE5491" w14:textId="77656773">
      <w:pPr>
        <w:pBdr>
          <w:top w:val="single" w:sz="6" w:space="0" w:color="FFFFFF"/>
          <w:left w:val="single" w:sz="6" w:space="0" w:color="FFFFFF"/>
          <w:bottom w:val="single" w:sz="6" w:space="0" w:color="FFFFFF"/>
          <w:right w:val="single" w:sz="6" w:space="0" w:color="FFFFFF"/>
        </w:pBdr>
      </w:pPr>
      <w:r w:rsidRPr="00981498">
        <w:rPr>
          <w:rFonts w:ascii="Calibri" w:hAnsi="Calibri" w:cs="Calibri"/>
        </w:rPr>
        <w:t>The public may access much of the information generated under the permit via EPA tool Enforcement and Compliance History Online (ECHO) and through the E-Enterprise Permit Lookup.</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5"/>
      <w:r w:rsidRPr="4BDBF0A0" w:rsidR="00644EBE">
        <w:rPr>
          <w:b/>
          <w:bCs/>
        </w:rPr>
        <w:t xml:space="preserve"> </w:t>
      </w:r>
    </w:p>
    <w:p w:rsidR="00ED57A4" w:rsidRPr="0073767D" w:rsidP="00854AAE" w14:paraId="38543EA2" w14:textId="2D243BD9">
      <w:pPr>
        <w:pBdr>
          <w:top w:val="single" w:sz="6" w:space="0" w:color="FFFFFF"/>
          <w:left w:val="single" w:sz="6" w:space="0" w:color="FFFFFF"/>
          <w:bottom w:val="single" w:sz="6" w:space="0" w:color="FFFFFF"/>
          <w:right w:val="single" w:sz="6" w:space="0" w:color="FFFFFF"/>
        </w:pBdr>
      </w:pPr>
      <w:r w:rsidRPr="00BA2BE8">
        <w:rPr>
          <w:rFonts w:cstheme="minorHAnsi"/>
        </w:rPr>
        <w:t>The Agency plans to display the expiration date for OMB approval of the information collection on all instruments</w:t>
      </w:r>
      <w:r w:rsidR="00C05EB6">
        <w:rPr>
          <w:rFonts w:cstheme="minorHAnsi"/>
        </w:rPr>
        <w:t>.</w:t>
      </w:r>
      <w:r w:rsidRPr="00454750" w:rsidR="009136C6">
        <w:rPr>
          <w:rFonts w:cstheme="minorHAnsi"/>
        </w:rPr>
        <w:t xml:space="preserve"> </w:t>
      </w:r>
    </w:p>
    <w:p w:rsidR="00691828" w:rsidRPr="00163C69" w:rsidP="00854AAE" w14:paraId="7CCB26DD" w14:textId="4CB12282">
      <w:pPr>
        <w:pStyle w:val="ListParagraph"/>
        <w:numPr>
          <w:ilvl w:val="0"/>
          <w:numId w:val="27"/>
        </w:numPr>
        <w:spacing w:before="240" w:after="0"/>
        <w:rPr>
          <w:rFonts w:cstheme="minorHAnsi"/>
          <w:b/>
          <w:bCs/>
        </w:rPr>
      </w:pPr>
      <w:bookmarkStart w:id="26" w:name="_Toc156593391"/>
      <w:r w:rsidRPr="00163C69">
        <w:rPr>
          <w:rFonts w:cstheme="minorHAnsi"/>
          <w:b/>
          <w:bCs/>
        </w:rPr>
        <w:t>CERTIFICATION STATEMENT</w:t>
      </w:r>
      <w:bookmarkEnd w:id="26"/>
    </w:p>
    <w:p w:rsidR="00ED57A4" w:rsidRPr="001747B3" w:rsidP="001747B3" w14:paraId="2765D073" w14:textId="4A692E3F">
      <w:pPr>
        <w:spacing w:after="100" w:afterAutospacing="1" w:line="240" w:lineRule="auto"/>
        <w:contextualSpacing/>
        <w:rPr>
          <w:rFonts w:ascii="Calibri" w:hAnsi="Calibri" w:cs="Calibri"/>
        </w:rPr>
      </w:pPr>
      <w:r w:rsidRPr="001E010D">
        <w:rPr>
          <w:rFonts w:ascii="Calibri" w:hAnsi="Calibri" w:cs="Calibri"/>
        </w:rPr>
        <w:t xml:space="preserve">This information collection is consistent with </w:t>
      </w:r>
      <w:r w:rsidRPr="00C11C4E">
        <w:rPr>
          <w:rFonts w:ascii="Calibri" w:hAnsi="Calibri" w:cs="Calibri"/>
        </w:rPr>
        <w:t xml:space="preserve">Office of Management and Budget </w:t>
      </w:r>
      <w:r>
        <w:rPr>
          <w:rFonts w:ascii="Calibri" w:hAnsi="Calibri" w:cs="Calibri"/>
        </w:rPr>
        <w:t>(</w:t>
      </w:r>
      <w:r w:rsidRPr="001E010D">
        <w:rPr>
          <w:rFonts w:ascii="Calibri" w:hAnsi="Calibri" w:cs="Calibri"/>
        </w:rPr>
        <w:t>OMB</w:t>
      </w:r>
      <w:r>
        <w:rPr>
          <w:rFonts w:ascii="Calibri" w:hAnsi="Calibri" w:cs="Calibri"/>
        </w:rPr>
        <w:t>)</w:t>
      </w:r>
      <w:r w:rsidRPr="001E010D">
        <w:rPr>
          <w:rFonts w:ascii="Calibri" w:hAnsi="Calibri" w:cs="Calibri"/>
        </w:rPr>
        <w:t xml:space="preserve"> guidelines contained in 5 CFR 1320.5(d)(2). Requests for supplemental information for the purposes of emergency response or enforcement activities are exempt from the Paperwork Reduction Act requirements.</w:t>
      </w:r>
    </w:p>
    <w:p w:rsidR="00AD0FA8" w:rsidRPr="001747B3" w:rsidP="001747B3" w14:paraId="2611DED1" w14:textId="7494B81A">
      <w:pPr>
        <w:pStyle w:val="ListParagraph"/>
        <w:numPr>
          <w:ilvl w:val="0"/>
          <w:numId w:val="27"/>
        </w:numPr>
        <w:spacing w:before="240" w:after="0"/>
        <w:rPr>
          <w:rFonts w:cstheme="minorHAnsi"/>
          <w:b/>
          <w:bCs/>
        </w:rPr>
      </w:pPr>
      <w:r>
        <w:rPr>
          <w:rFonts w:cstheme="minorHAnsi"/>
          <w:b/>
          <w:bCs/>
        </w:rPr>
        <w:t>BURDEN</w:t>
      </w:r>
      <w:r w:rsidRPr="00163C69">
        <w:rPr>
          <w:rFonts w:cstheme="minorHAnsi"/>
          <w:b/>
          <w:bCs/>
        </w:rPr>
        <w:t xml:space="preserve"> STATEMENT</w:t>
      </w:r>
    </w:p>
    <w:p w:rsidR="00AD0FA8" w:rsidP="00AD0FA8" w14:paraId="0BEC0C37" w14:textId="16BA504A">
      <w:pPr>
        <w:spacing w:after="0" w:line="240" w:lineRule="auto"/>
        <w:rPr>
          <w:rFonts w:ascii="Calibri" w:hAnsi="Calibri" w:cs="Calibri"/>
          <w:color w:val="000000"/>
        </w:rPr>
      </w:pPr>
      <w:r w:rsidRPr="00052D43">
        <w:rPr>
          <w:rFonts w:ascii="Calibri" w:hAnsi="Calibri" w:cs="Calibri"/>
          <w:color w:val="000000"/>
        </w:rPr>
        <w:t>This collection of information is approved by OMB under the Paperwork Reduction Act, 44 U.S.C. 3501 et seq. (</w:t>
      </w:r>
      <w:r w:rsidRPr="002774F0">
        <w:rPr>
          <w:rFonts w:ascii="Calibri" w:hAnsi="Calibri" w:cs="Calibri"/>
          <w:color w:val="000000"/>
        </w:rPr>
        <w:t>OMB Control No. 2040-NEW</w:t>
      </w:r>
      <w:r w:rsidRPr="00D87611">
        <w:rPr>
          <w:rFonts w:ascii="Calibri" w:hAnsi="Calibri" w:cs="Calibri"/>
          <w:color w:val="000000"/>
        </w:rPr>
        <w:t>). R</w:t>
      </w:r>
      <w:r w:rsidRPr="00800221">
        <w:rPr>
          <w:rFonts w:ascii="Calibri" w:hAnsi="Calibri" w:cs="Calibri"/>
          <w:color w:val="000000"/>
        </w:rPr>
        <w:t>esponses to this collection of information are mandatory (</w:t>
      </w:r>
      <w:r>
        <w:rPr>
          <w:rFonts w:ascii="Calibri" w:hAnsi="Calibri" w:cs="Calibri"/>
          <w:color w:val="000000"/>
        </w:rPr>
        <w:t>40</w:t>
      </w:r>
      <w:r w:rsidRPr="00800221">
        <w:rPr>
          <w:rFonts w:ascii="Calibri" w:hAnsi="Calibri" w:cs="Calibri"/>
          <w:color w:val="000000"/>
        </w:rPr>
        <w:t xml:space="preserve"> </w:t>
      </w:r>
      <w:r w:rsidRPr="00D87611">
        <w:rPr>
          <w:rFonts w:ascii="Calibri" w:hAnsi="Calibri" w:cs="Calibri"/>
          <w:color w:val="000000"/>
        </w:rPr>
        <w:t xml:space="preserve">CFR </w:t>
      </w:r>
      <w:r w:rsidRPr="00052D43">
        <w:rPr>
          <w:rFonts w:ascii="Calibri" w:hAnsi="Calibri" w:cs="Calibri"/>
          <w:color w:val="000000"/>
        </w:rPr>
        <w:t>122.26</w:t>
      </w:r>
      <w:r w:rsidRPr="00D87611">
        <w:rPr>
          <w:rFonts w:ascii="Calibri" w:hAnsi="Calibri" w:cs="Calibri"/>
          <w:color w:val="000000"/>
        </w:rPr>
        <w:t>).</w:t>
      </w:r>
      <w:r w:rsidRPr="00800221">
        <w:rPr>
          <w:rFonts w:ascii="Calibri" w:hAnsi="Calibri" w:cs="Calibri"/>
          <w:color w:val="000000"/>
        </w:rPr>
        <w:t xml:space="preserve"> An agency may not conduct or sponsor, and a person is not required to respond to, a collection of information unless it displays a currently valid OMB control numb</w:t>
      </w:r>
      <w:r w:rsidRPr="0084024D">
        <w:rPr>
          <w:rFonts w:ascii="Calibri" w:hAnsi="Calibri" w:cs="Calibri"/>
          <w:color w:val="000000"/>
        </w:rPr>
        <w:t xml:space="preserve">er. </w:t>
      </w:r>
      <w:r w:rsidRPr="00A10CF2">
        <w:rPr>
          <w:rFonts w:ascii="Calibri" w:hAnsi="Calibri" w:cs="Calibri"/>
        </w:rPr>
        <w:t>The calculations made for this ICR cover the estimated burden and costs for both CGP respondents and EPA</w:t>
      </w:r>
      <w:r w:rsidRPr="00C1518C">
        <w:rPr>
          <w:rFonts w:ascii="Calibri" w:hAnsi="Calibri" w:cs="Calibri"/>
        </w:rPr>
        <w:t xml:space="preserve">. The 2022 CGP has a total estimated annual labor burden of </w:t>
      </w:r>
      <w:r w:rsidR="00FD0BF9">
        <w:rPr>
          <w:rFonts w:ascii="Calibri" w:hAnsi="Calibri" w:cs="Calibri"/>
        </w:rPr>
        <w:t>200,383</w:t>
      </w:r>
      <w:r w:rsidRPr="00C1518C">
        <w:rPr>
          <w:rFonts w:ascii="Calibri" w:hAnsi="Calibri" w:cs="Calibri"/>
        </w:rPr>
        <w:t xml:space="preserve"> hours for </w:t>
      </w:r>
      <w:r w:rsidR="00FA0B71">
        <w:rPr>
          <w:rFonts w:ascii="Calibri" w:hAnsi="Calibri" w:cs="Calibri"/>
        </w:rPr>
        <w:t>3,631</w:t>
      </w:r>
      <w:r w:rsidRPr="00C1518C">
        <w:rPr>
          <w:rFonts w:ascii="Calibri" w:hAnsi="Calibri" w:cs="Calibri"/>
        </w:rPr>
        <w:t xml:space="preserve"> respondents, a total labor cost of $</w:t>
      </w:r>
      <w:r w:rsidR="005F214B">
        <w:rPr>
          <w:rFonts w:ascii="Calibri" w:hAnsi="Calibri" w:cs="Calibri"/>
        </w:rPr>
        <w:t>14,722,141</w:t>
      </w:r>
      <w:r w:rsidRPr="00C1518C">
        <w:rPr>
          <w:rFonts w:ascii="Calibri" w:hAnsi="Calibri" w:cs="Calibri"/>
        </w:rPr>
        <w:t xml:space="preserve"> and a total capital cost of $</w:t>
      </w:r>
      <w:r w:rsidR="005F214B">
        <w:rPr>
          <w:rFonts w:ascii="Calibri" w:hAnsi="Calibri" w:cs="Calibri"/>
        </w:rPr>
        <w:t>888,440</w:t>
      </w:r>
      <w:r w:rsidRPr="00C1518C">
        <w:rPr>
          <w:rFonts w:ascii="Calibri" w:hAnsi="Calibri" w:cs="Calibri"/>
        </w:rPr>
        <w:t xml:space="preserve">. Compared to EPA CGP-related aspects of the NPDES Program ICR, this reflects an increase in annual respondent labor burden and labor cost of </w:t>
      </w:r>
      <w:r w:rsidR="005F214B">
        <w:rPr>
          <w:rFonts w:ascii="Calibri" w:hAnsi="Calibri" w:cs="Calibri"/>
        </w:rPr>
        <w:t>45,367</w:t>
      </w:r>
      <w:r w:rsidRPr="00C1518C">
        <w:rPr>
          <w:rFonts w:ascii="Calibri" w:hAnsi="Calibri" w:cs="Calibri"/>
        </w:rPr>
        <w:t xml:space="preserve"> hours and $</w:t>
      </w:r>
      <w:r w:rsidR="005F214B">
        <w:rPr>
          <w:rFonts w:ascii="Calibri" w:hAnsi="Calibri" w:cs="Calibri"/>
        </w:rPr>
        <w:t>3,333,114</w:t>
      </w:r>
      <w:r w:rsidRPr="00C1518C">
        <w:rPr>
          <w:rFonts w:ascii="Calibri" w:hAnsi="Calibri" w:cs="Calibri"/>
        </w:rPr>
        <w:t xml:space="preserve">. The 2022 CGP has a total estimated Agency annual labor burden of </w:t>
      </w:r>
      <w:r w:rsidR="00B85A3A">
        <w:rPr>
          <w:rFonts w:ascii="Calibri" w:hAnsi="Calibri" w:cs="Calibri"/>
        </w:rPr>
        <w:t>10</w:t>
      </w:r>
      <w:r w:rsidR="002A158B">
        <w:rPr>
          <w:rFonts w:ascii="Calibri" w:hAnsi="Calibri" w:cs="Calibri"/>
        </w:rPr>
        <w:t>,680</w:t>
      </w:r>
      <w:r w:rsidRPr="00C1518C">
        <w:rPr>
          <w:rFonts w:ascii="Calibri" w:hAnsi="Calibri" w:cs="Calibri"/>
        </w:rPr>
        <w:t xml:space="preserve"> hours and $</w:t>
      </w:r>
      <w:r w:rsidR="002A158B">
        <w:rPr>
          <w:rFonts w:ascii="Calibri" w:hAnsi="Calibri" w:cs="Calibri"/>
        </w:rPr>
        <w:t>546,275</w:t>
      </w:r>
      <w:r w:rsidRPr="00C1518C">
        <w:rPr>
          <w:rFonts w:ascii="Calibri" w:hAnsi="Calibri" w:cs="Calibri"/>
        </w:rPr>
        <w:t xml:space="preserve">. Compared to the NPDES Program ICR, this reflects an increase in annual labor burden of </w:t>
      </w:r>
      <w:r w:rsidR="002A158B">
        <w:rPr>
          <w:rFonts w:ascii="Calibri" w:hAnsi="Calibri" w:cs="Calibri"/>
        </w:rPr>
        <w:t>217</w:t>
      </w:r>
      <w:r w:rsidRPr="00C1518C">
        <w:rPr>
          <w:rFonts w:ascii="Calibri" w:hAnsi="Calibri" w:cs="Calibri"/>
        </w:rPr>
        <w:t xml:space="preserve"> </w:t>
      </w:r>
      <w:r w:rsidRPr="00C1518C">
        <w:rPr>
          <w:rFonts w:ascii="Calibri" w:hAnsi="Calibri" w:cs="Calibri"/>
        </w:rPr>
        <w:t>hours and $</w:t>
      </w:r>
      <w:r w:rsidR="002A158B">
        <w:rPr>
          <w:rFonts w:ascii="Calibri" w:hAnsi="Calibri" w:cs="Calibri"/>
        </w:rPr>
        <w:t>11,105</w:t>
      </w:r>
      <w:r w:rsidRPr="00C1518C">
        <w:rPr>
          <w:rFonts w:ascii="Calibri" w:hAnsi="Calibri" w:cs="Calibri"/>
        </w:rPr>
        <w:t xml:space="preserve">. </w:t>
      </w:r>
      <w:r w:rsidRPr="00C1518C">
        <w:rPr>
          <w:rFonts w:ascii="Calibri" w:hAnsi="Calibri" w:cs="Calibri"/>
          <w:color w:val="000000"/>
        </w:rPr>
        <w:t xml:space="preserve">The </w:t>
      </w:r>
      <w:r w:rsidRPr="00C1518C">
        <w:rPr>
          <w:rFonts w:ascii="Calibri" w:hAnsi="Calibri" w:cs="Calibri"/>
          <w:color w:val="000000"/>
          <w:u w:val="single"/>
        </w:rPr>
        <w:t>total</w:t>
      </w:r>
      <w:r w:rsidRPr="00C1518C">
        <w:rPr>
          <w:rFonts w:ascii="Calibri" w:hAnsi="Calibri" w:cs="Calibri"/>
          <w:color w:val="000000"/>
        </w:rPr>
        <w:t xml:space="preserve"> reporting and recordkeeping burden for this collection of information is estimated to average </w:t>
      </w:r>
      <w:r w:rsidRPr="00C1518C">
        <w:rPr>
          <w:rFonts w:ascii="Calibri" w:hAnsi="Calibri" w:cs="Calibri"/>
        </w:rPr>
        <w:t>5</w:t>
      </w:r>
      <w:r w:rsidR="000477DF">
        <w:rPr>
          <w:rFonts w:ascii="Calibri" w:hAnsi="Calibri" w:cs="Calibri"/>
        </w:rPr>
        <w:t>8</w:t>
      </w:r>
      <w:r w:rsidRPr="00C1518C">
        <w:rPr>
          <w:rFonts w:ascii="Calibri" w:hAnsi="Calibri" w:cs="Calibri"/>
          <w:color w:val="000000"/>
        </w:rPr>
        <w:t xml:space="preserve"> </w:t>
      </w:r>
      <w:r w:rsidRPr="00C1518C">
        <w:rPr>
          <w:rFonts w:ascii="Calibri" w:hAnsi="Calibri" w:cs="Calibri"/>
          <w:color w:val="000000"/>
        </w:rPr>
        <w:t>hours per respondent (</w:t>
      </w:r>
      <w:r w:rsidR="005B4E57">
        <w:rPr>
          <w:rFonts w:ascii="Calibri" w:hAnsi="Calibri" w:cs="Calibri"/>
        </w:rPr>
        <w:t>0.84</w:t>
      </w:r>
      <w:r w:rsidRPr="00C1518C">
        <w:rPr>
          <w:rFonts w:ascii="Calibri" w:hAnsi="Calibri" w:cs="Calibri"/>
        </w:rPr>
        <w:t xml:space="preserve"> </w:t>
      </w:r>
      <w:r w:rsidRPr="00C1518C">
        <w:rPr>
          <w:rFonts w:ascii="Calibri" w:hAnsi="Calibri" w:cs="Calibri"/>
          <w:color w:val="000000"/>
        </w:rPr>
        <w:t>hours per response).</w:t>
      </w:r>
      <w:r w:rsidRPr="00357938">
        <w:rPr>
          <w:rFonts w:ascii="Calibri" w:hAnsi="Calibri" w:cs="Calibri"/>
          <w:color w:val="000000"/>
        </w:rPr>
        <w:t xml:space="preserve"> </w:t>
      </w:r>
    </w:p>
    <w:p w:rsidR="00AD0FA8" w:rsidP="00AD0FA8" w14:paraId="799D552C" w14:textId="77777777">
      <w:pPr>
        <w:spacing w:after="0" w:line="240" w:lineRule="auto"/>
        <w:rPr>
          <w:rFonts w:ascii="Calibri" w:hAnsi="Calibri" w:cs="Calibri"/>
          <w:color w:val="000000"/>
        </w:rPr>
      </w:pPr>
    </w:p>
    <w:p w:rsidR="00AD0FA8" w:rsidP="00AD0FA8" w14:paraId="23D965DB" w14:textId="77777777">
      <w:pPr>
        <w:pStyle w:val="Default"/>
        <w:spacing w:after="100" w:afterAutospacing="1"/>
        <w:contextualSpacing/>
        <w:rPr>
          <w:rFonts w:ascii="Calibri" w:hAnsi="Calibri" w:cs="Calibri"/>
          <w:sz w:val="22"/>
          <w:szCs w:val="22"/>
        </w:rPr>
      </w:pPr>
      <w:r w:rsidRPr="001E010D">
        <w:rPr>
          <w:rFonts w:ascii="Calibri" w:hAnsi="Calibri" w:cs="Calibri"/>
          <w:sz w:val="22"/>
          <w:szCs w:val="22"/>
        </w:rPr>
        <w:t xml:space="preserve">Burden means the total time, effort, or financial resources expended by persons to generate, maintain,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AD0FA8" w:rsidP="005E2429" w14:paraId="51F37910" w14:textId="1D92427F">
      <w:pPr>
        <w:pStyle w:val="ListParagraph"/>
        <w:spacing w:after="0" w:line="240" w:lineRule="auto"/>
        <w:contextualSpacing w:val="0"/>
      </w:pPr>
      <w:r w:rsidRPr="004060CA">
        <w:t xml:space="preserve"> </w:t>
      </w:r>
    </w:p>
    <w:p w:rsidR="00AD0FA8" w:rsidP="00AD0FA8" w14:paraId="04784836" w14:textId="77777777">
      <w:pPr>
        <w:spacing w:after="100" w:afterAutospacing="1" w:line="240" w:lineRule="auto"/>
        <w:contextualSpacing/>
        <w:rPr>
          <w:rFonts w:ascii="Calibri" w:hAnsi="Calibri" w:cs="Calibri"/>
          <w:b/>
        </w:rPr>
      </w:pPr>
      <w:r>
        <w:rPr>
          <w:rFonts w:ascii="Calibri" w:hAnsi="Calibri" w:cs="Calibri"/>
          <w:b/>
        </w:rPr>
        <w:t>Attachments:</w:t>
      </w:r>
    </w:p>
    <w:p w:rsidR="00AD0FA8" w:rsidRPr="00B225EF" w:rsidP="00AD0FA8" w14:paraId="1576FA97" w14:textId="77777777">
      <w:pPr>
        <w:pStyle w:val="ListParagraph"/>
        <w:numPr>
          <w:ilvl w:val="0"/>
          <w:numId w:val="41"/>
        </w:numPr>
        <w:spacing w:after="100" w:afterAutospacing="1" w:line="240" w:lineRule="auto"/>
        <w:rPr>
          <w:rFonts w:ascii="Calibri" w:hAnsi="Calibri" w:cs="Calibri"/>
        </w:rPr>
      </w:pPr>
      <w:r w:rsidRPr="004652B3">
        <w:rPr>
          <w:rFonts w:ascii="Calibri" w:hAnsi="Calibri" w:cs="Calibri"/>
        </w:rPr>
        <w:t>Notice of Intent (NOI)</w:t>
      </w:r>
      <w:r w:rsidRPr="009E03F3">
        <w:rPr>
          <w:rFonts w:ascii="Calibri" w:hAnsi="Calibri" w:cs="Calibri"/>
        </w:rPr>
        <w:t xml:space="preserve"> Form</w:t>
      </w:r>
    </w:p>
    <w:p w:rsidR="00AD0FA8" w:rsidP="00AD0FA8" w14:paraId="10782476" w14:textId="77777777">
      <w:pPr>
        <w:pStyle w:val="ListParagraph"/>
        <w:numPr>
          <w:ilvl w:val="0"/>
          <w:numId w:val="41"/>
        </w:numPr>
        <w:spacing w:after="100" w:afterAutospacing="1" w:line="240" w:lineRule="auto"/>
        <w:rPr>
          <w:rFonts w:ascii="Calibri" w:hAnsi="Calibri" w:cs="Calibri"/>
        </w:rPr>
      </w:pPr>
      <w:r w:rsidRPr="009E03F3">
        <w:rPr>
          <w:rFonts w:ascii="Calibri" w:hAnsi="Calibri" w:cs="Calibri"/>
        </w:rPr>
        <w:t>Notice of Termination (NOT)</w:t>
      </w:r>
      <w:r w:rsidRPr="00B225EF">
        <w:rPr>
          <w:rFonts w:ascii="Calibri" w:hAnsi="Calibri" w:cs="Calibri"/>
        </w:rPr>
        <w:t xml:space="preserve"> Form</w:t>
      </w:r>
    </w:p>
    <w:p w:rsidR="00AD0FA8" w:rsidP="00AD0FA8" w14:paraId="6C1B7FC8" w14:textId="77777777">
      <w:pPr>
        <w:pStyle w:val="ListParagraph"/>
        <w:numPr>
          <w:ilvl w:val="0"/>
          <w:numId w:val="41"/>
        </w:numPr>
        <w:spacing w:after="100" w:afterAutospacing="1" w:line="240" w:lineRule="auto"/>
        <w:rPr>
          <w:rFonts w:ascii="Calibri" w:hAnsi="Calibri" w:cs="Calibri"/>
        </w:rPr>
      </w:pPr>
      <w:r>
        <w:rPr>
          <w:rFonts w:ascii="Calibri" w:hAnsi="Calibri" w:cs="Calibri"/>
        </w:rPr>
        <w:t xml:space="preserve">Request for </w:t>
      </w:r>
      <w:r w:rsidRPr="00D4285F">
        <w:rPr>
          <w:rFonts w:ascii="Calibri" w:hAnsi="Calibri" w:cs="Calibri"/>
        </w:rPr>
        <w:t>Chemical</w:t>
      </w:r>
      <w:r w:rsidRPr="00653FDC">
        <w:rPr>
          <w:rFonts w:ascii="Calibri" w:hAnsi="Calibri" w:cs="Calibri"/>
        </w:rPr>
        <w:t xml:space="preserve"> Treatment</w:t>
      </w:r>
      <w:r>
        <w:rPr>
          <w:rFonts w:ascii="Calibri" w:hAnsi="Calibri" w:cs="Calibri"/>
        </w:rPr>
        <w:t xml:space="preserve"> Form</w:t>
      </w:r>
    </w:p>
    <w:p w:rsidR="00AD0FA8" w:rsidP="00AD0FA8" w14:paraId="76020F58" w14:textId="77777777">
      <w:pPr>
        <w:pStyle w:val="ListParagraph"/>
        <w:numPr>
          <w:ilvl w:val="0"/>
          <w:numId w:val="41"/>
        </w:numPr>
        <w:spacing w:after="100" w:afterAutospacing="1" w:line="240" w:lineRule="auto"/>
        <w:rPr>
          <w:rFonts w:ascii="Calibri" w:hAnsi="Calibri" w:cs="Calibri"/>
        </w:rPr>
      </w:pPr>
      <w:r>
        <w:rPr>
          <w:rFonts w:ascii="Calibri" w:hAnsi="Calibri" w:cs="Calibri"/>
        </w:rPr>
        <w:t>Turbidity Monitoring Reporting Form</w:t>
      </w:r>
    </w:p>
    <w:p w:rsidR="00AD0FA8" w:rsidRPr="00351B9A" w:rsidP="00AD0FA8" w14:paraId="48138E31" w14:textId="77777777">
      <w:pPr>
        <w:pStyle w:val="ListParagraph"/>
        <w:numPr>
          <w:ilvl w:val="0"/>
          <w:numId w:val="41"/>
        </w:numPr>
        <w:spacing w:after="100" w:afterAutospacing="1" w:line="240" w:lineRule="auto"/>
        <w:rPr>
          <w:rFonts w:ascii="Calibri" w:hAnsi="Calibri" w:cs="Calibri"/>
          <w:b/>
        </w:rPr>
      </w:pPr>
      <w:r w:rsidRPr="00351B9A">
        <w:rPr>
          <w:rFonts w:ascii="Calibri" w:hAnsi="Calibri" w:cs="Calibri"/>
        </w:rPr>
        <w:t>Threatened and Endangered Species Protection Form</w:t>
      </w:r>
    </w:p>
    <w:p w:rsidR="00BB3410" w:rsidRPr="00BB3410" w:rsidP="005E2429" w14:paraId="02BFB1B4" w14:textId="77777777">
      <w:pPr>
        <w:rPr>
          <w:rFonts w:cstheme="minorHAnsi"/>
          <w:sz w:val="24"/>
          <w:szCs w:val="24"/>
        </w:rPr>
      </w:pPr>
    </w:p>
    <w:sectPr w:rsidSect="00BB3410">
      <w:footerReference w:type="default" r:id="rId1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3921" w:rsidP="002335AB" w14:paraId="6645F6D9" w14:textId="77777777">
      <w:pPr>
        <w:spacing w:after="0" w:line="240" w:lineRule="auto"/>
      </w:pPr>
      <w:r>
        <w:separator/>
      </w:r>
    </w:p>
  </w:footnote>
  <w:footnote w:type="continuationSeparator" w:id="1">
    <w:p w:rsidR="00783921" w:rsidP="002335AB" w14:paraId="3829D5BB" w14:textId="77777777">
      <w:pPr>
        <w:spacing w:after="0" w:line="240" w:lineRule="auto"/>
      </w:pPr>
      <w:r>
        <w:continuationSeparator/>
      </w:r>
    </w:p>
  </w:footnote>
  <w:footnote w:type="continuationNotice" w:id="2">
    <w:p w:rsidR="00783921" w14:paraId="6CE6C3C0" w14:textId="77777777">
      <w:pPr>
        <w:spacing w:after="0" w:line="240" w:lineRule="auto"/>
      </w:pPr>
    </w:p>
  </w:footnote>
  <w:footnote w:id="3">
    <w:p w:rsidR="009136C6" w:rsidP="009136C6" w14:paraId="4CE992E9" w14:textId="77777777">
      <w:pPr>
        <w:pStyle w:val="FootnoteText"/>
      </w:pPr>
      <w:r>
        <w:rPr>
          <w:rStyle w:val="FootnoteReference"/>
        </w:rPr>
        <w:footnoteRef/>
      </w:r>
      <w:r>
        <w:t xml:space="preserve"> “Sensitive waters” refer to receiving waters listed as impaired for sediment or a sediment-related parameter, or receiving waters designated as Tier 2, Tier 2.5, or Tier 3 for antidegradation purposes.</w:t>
      </w:r>
    </w:p>
  </w:footnote>
  <w:footnote w:id="4">
    <w:p w:rsidR="00C93404" w:rsidP="00C93404" w14:paraId="44C9A325" w14:textId="5CFC3E4B">
      <w:pPr>
        <w:pStyle w:val="FootnoteText"/>
      </w:pPr>
      <w:r w:rsidRPr="00C1518C">
        <w:rPr>
          <w:rStyle w:val="FootnoteReference"/>
        </w:rPr>
        <w:footnoteRef/>
      </w:r>
      <w:r w:rsidRPr="00C1518C">
        <w:t xml:space="preserve"> (0.5 hours x 0.5</w:t>
      </w:r>
      <w:r w:rsidR="00484E52">
        <w:t>5</w:t>
      </w:r>
      <w:r w:rsidRPr="00C1518C">
        <w:t>) + (1 hour x 0.4</w:t>
      </w:r>
      <w:r w:rsidR="00484E52">
        <w:t>5</w:t>
      </w:r>
      <w:r w:rsidRPr="00C1518C">
        <w:t>) = 0.7</w:t>
      </w:r>
      <w:r w:rsidR="00484E52">
        <w:t xml:space="preserve"> </w:t>
      </w:r>
      <w:r w:rsidRPr="00C1518C">
        <w:t>hours (rounded)</w:t>
      </w:r>
    </w:p>
  </w:footnote>
  <w:footnote w:id="5">
    <w:p w:rsidR="009A00EC" w14:paraId="451713ED" w14:textId="6594E9A6">
      <w:pPr>
        <w:pStyle w:val="FootnoteText"/>
      </w:pPr>
      <w:r>
        <w:rPr>
          <w:rStyle w:val="FootnoteReference"/>
        </w:rPr>
        <w:footnoteRef/>
      </w:r>
      <w:r>
        <w:t xml:space="preserve"> The increase of $5,973,563 in estimated total cost is the difference between the estimated total cost of this renewal ICR ($15,610,581) and the current ICR ($9,637,018).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1A125DD"/>
    <w:multiLevelType w:val="hybridMultilevel"/>
    <w:tmpl w:val="8D1E3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62629E"/>
    <w:multiLevelType w:val="hybridMultilevel"/>
    <w:tmpl w:val="81DAFF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2B0396"/>
    <w:multiLevelType w:val="hybridMultilevel"/>
    <w:tmpl w:val="69148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D66B5A"/>
    <w:multiLevelType w:val="hybridMultilevel"/>
    <w:tmpl w:val="51A0D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F4D4992"/>
    <w:multiLevelType w:val="hybridMultilevel"/>
    <w:tmpl w:val="ED3CA468"/>
    <w:lvl w:ilvl="0">
      <w:start w:val="1"/>
      <w:numFmt w:val="bullet"/>
      <w:pStyle w:val="BulleyLevel3Header"/>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301439F8"/>
    <w:multiLevelType w:val="hybridMultilevel"/>
    <w:tmpl w:val="5B6EF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36563A7"/>
    <w:multiLevelType w:val="hybridMultilevel"/>
    <w:tmpl w:val="B4F0F9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46956BB"/>
    <w:multiLevelType w:val="hybridMultilevel"/>
    <w:tmpl w:val="0BCCE9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ECE164A"/>
    <w:multiLevelType w:val="hybridMultilevel"/>
    <w:tmpl w:val="0E182826"/>
    <w:lvl w:ilvl="0">
      <w:start w:val="0"/>
      <w:numFmt w:val="bullet"/>
      <w:pStyle w:val="BulletLevel1Header"/>
      <w:lvlText w:val="•"/>
      <w:lvlJc w:val="left"/>
      <w:pPr>
        <w:ind w:left="720" w:hanging="360"/>
      </w:pPr>
      <w:rPr>
        <w:rFonts w:ascii="Calibri" w:hAnsi="Calibri" w:eastAsiaTheme="minorHAnsi" w:cs="Calibri" w:hint="default"/>
      </w:rPr>
    </w:lvl>
    <w:lvl w:ilvl="1">
      <w:start w:val="1"/>
      <w:numFmt w:val="bullet"/>
      <w:pStyle w:val="BulletLevel2Header"/>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4B4E88"/>
    <w:multiLevelType w:val="hybridMultilevel"/>
    <w:tmpl w:val="F1169C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2DC36DE"/>
    <w:multiLevelType w:val="hybridMultilevel"/>
    <w:tmpl w:val="1F241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A859FA"/>
    <w:multiLevelType w:val="hybridMultilevel"/>
    <w:tmpl w:val="2FA675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70F5C01"/>
    <w:multiLevelType w:val="hybridMultilevel"/>
    <w:tmpl w:val="B44424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A1669A7"/>
    <w:multiLevelType w:val="hybridMultilevel"/>
    <w:tmpl w:val="5C78C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D27542"/>
    <w:multiLevelType w:val="hybridMultilevel"/>
    <w:tmpl w:val="876EF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A066ADA"/>
    <w:multiLevelType w:val="hybridMultilevel"/>
    <w:tmpl w:val="EEF61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581451"/>
    <w:multiLevelType w:val="hybridMultilevel"/>
    <w:tmpl w:val="1EA626AA"/>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8">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9"/>
  </w:num>
  <w:num w:numId="2" w16cid:durableId="1032609060">
    <w:abstractNumId w:val="8"/>
  </w:num>
  <w:num w:numId="3" w16cid:durableId="1158494831">
    <w:abstractNumId w:val="3"/>
  </w:num>
  <w:num w:numId="4" w16cid:durableId="493573829">
    <w:abstractNumId w:val="42"/>
  </w:num>
  <w:num w:numId="5" w16cid:durableId="2055687918">
    <w:abstractNumId w:val="30"/>
  </w:num>
  <w:num w:numId="6" w16cid:durableId="1603025219">
    <w:abstractNumId w:val="40"/>
  </w:num>
  <w:num w:numId="7" w16cid:durableId="423957196">
    <w:abstractNumId w:val="28"/>
  </w:num>
  <w:num w:numId="8" w16cid:durableId="2031829208">
    <w:abstractNumId w:val="36"/>
  </w:num>
  <w:num w:numId="9" w16cid:durableId="218439549">
    <w:abstractNumId w:val="15"/>
  </w:num>
  <w:num w:numId="10" w16cid:durableId="1285231924">
    <w:abstractNumId w:val="5"/>
  </w:num>
  <w:num w:numId="11" w16cid:durableId="327370686">
    <w:abstractNumId w:val="14"/>
  </w:num>
  <w:num w:numId="12" w16cid:durableId="1802993385">
    <w:abstractNumId w:val="17"/>
  </w:num>
  <w:num w:numId="13" w16cid:durableId="1792938267">
    <w:abstractNumId w:val="43"/>
  </w:num>
  <w:num w:numId="14" w16cid:durableId="239490726">
    <w:abstractNumId w:val="11"/>
  </w:num>
  <w:num w:numId="15" w16cid:durableId="1395350314">
    <w:abstractNumId w:val="16"/>
  </w:num>
  <w:num w:numId="16" w16cid:durableId="441535906">
    <w:abstractNumId w:val="22"/>
  </w:num>
  <w:num w:numId="17" w16cid:durableId="2008243381">
    <w:abstractNumId w:val="37"/>
  </w:num>
  <w:num w:numId="18" w16cid:durableId="840463183">
    <w:abstractNumId w:val="35"/>
  </w:num>
  <w:num w:numId="19" w16cid:durableId="469980091">
    <w:abstractNumId w:val="39"/>
  </w:num>
  <w:num w:numId="20" w16cid:durableId="2126730031">
    <w:abstractNumId w:val="18"/>
  </w:num>
  <w:num w:numId="21" w16cid:durableId="106124704">
    <w:abstractNumId w:val="2"/>
  </w:num>
  <w:num w:numId="22" w16cid:durableId="1552418013">
    <w:abstractNumId w:val="23"/>
  </w:num>
  <w:num w:numId="23" w16cid:durableId="1598828334">
    <w:abstractNumId w:val="41"/>
  </w:num>
  <w:num w:numId="24" w16cid:durableId="2051031068">
    <w:abstractNumId w:val="0"/>
  </w:num>
  <w:num w:numId="25" w16cid:durableId="258569098">
    <w:abstractNumId w:val="29"/>
  </w:num>
  <w:num w:numId="26" w16cid:durableId="331181582">
    <w:abstractNumId w:val="33"/>
  </w:num>
  <w:num w:numId="27" w16cid:durableId="1015961391">
    <w:abstractNumId w:val="38"/>
  </w:num>
  <w:num w:numId="28" w16cid:durableId="1515071779">
    <w:abstractNumId w:val="20"/>
  </w:num>
  <w:num w:numId="29" w16cid:durableId="654336895">
    <w:abstractNumId w:val="32"/>
  </w:num>
  <w:num w:numId="30" w16cid:durableId="1571958243">
    <w:abstractNumId w:val="7"/>
  </w:num>
  <w:num w:numId="31" w16cid:durableId="1981304473">
    <w:abstractNumId w:val="1"/>
  </w:num>
  <w:num w:numId="32" w16cid:durableId="1728986884">
    <w:abstractNumId w:val="24"/>
  </w:num>
  <w:num w:numId="33" w16cid:durableId="2120683796">
    <w:abstractNumId w:val="34"/>
  </w:num>
  <w:num w:numId="34" w16cid:durableId="900217618">
    <w:abstractNumId w:val="4"/>
  </w:num>
  <w:num w:numId="35" w16cid:durableId="633485826">
    <w:abstractNumId w:val="9"/>
  </w:num>
  <w:num w:numId="36" w16cid:durableId="1772781243">
    <w:abstractNumId w:val="12"/>
  </w:num>
  <w:num w:numId="37" w16cid:durableId="689188149">
    <w:abstractNumId w:val="13"/>
  </w:num>
  <w:num w:numId="38" w16cid:durableId="1345520437">
    <w:abstractNumId w:val="27"/>
  </w:num>
  <w:num w:numId="39" w16cid:durableId="938606862">
    <w:abstractNumId w:val="26"/>
  </w:num>
  <w:num w:numId="40" w16cid:durableId="2115587867">
    <w:abstractNumId w:val="6"/>
  </w:num>
  <w:num w:numId="41" w16cid:durableId="1040861022">
    <w:abstractNumId w:val="25"/>
  </w:num>
  <w:num w:numId="42" w16cid:durableId="1680159917">
    <w:abstractNumId w:val="10"/>
  </w:num>
  <w:num w:numId="43" w16cid:durableId="1230117808">
    <w:abstractNumId w:val="31"/>
  </w:num>
  <w:num w:numId="44" w16cid:durableId="1155142958">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9E1"/>
    <w:rsid w:val="00012AA4"/>
    <w:rsid w:val="00013852"/>
    <w:rsid w:val="00013CE8"/>
    <w:rsid w:val="00014B10"/>
    <w:rsid w:val="00015FF6"/>
    <w:rsid w:val="0001637F"/>
    <w:rsid w:val="00017949"/>
    <w:rsid w:val="00017B90"/>
    <w:rsid w:val="00020791"/>
    <w:rsid w:val="000221C6"/>
    <w:rsid w:val="00023EFE"/>
    <w:rsid w:val="00026571"/>
    <w:rsid w:val="000267E1"/>
    <w:rsid w:val="00030670"/>
    <w:rsid w:val="0003166C"/>
    <w:rsid w:val="00032552"/>
    <w:rsid w:val="00033219"/>
    <w:rsid w:val="0003678E"/>
    <w:rsid w:val="00036CF2"/>
    <w:rsid w:val="00037107"/>
    <w:rsid w:val="00042F77"/>
    <w:rsid w:val="0004467E"/>
    <w:rsid w:val="00044DBB"/>
    <w:rsid w:val="000452DC"/>
    <w:rsid w:val="000461BA"/>
    <w:rsid w:val="00047160"/>
    <w:rsid w:val="000477DF"/>
    <w:rsid w:val="00050BB4"/>
    <w:rsid w:val="00051045"/>
    <w:rsid w:val="00052D43"/>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0416"/>
    <w:rsid w:val="00070870"/>
    <w:rsid w:val="00070B03"/>
    <w:rsid w:val="000716E4"/>
    <w:rsid w:val="000728E0"/>
    <w:rsid w:val="00073C3D"/>
    <w:rsid w:val="00074917"/>
    <w:rsid w:val="00074E51"/>
    <w:rsid w:val="00075C7A"/>
    <w:rsid w:val="000762A8"/>
    <w:rsid w:val="00076439"/>
    <w:rsid w:val="00076F0F"/>
    <w:rsid w:val="00077D8A"/>
    <w:rsid w:val="00080CD7"/>
    <w:rsid w:val="00082A72"/>
    <w:rsid w:val="000831D8"/>
    <w:rsid w:val="00083D4A"/>
    <w:rsid w:val="00084BF3"/>
    <w:rsid w:val="00090627"/>
    <w:rsid w:val="00090750"/>
    <w:rsid w:val="000911D6"/>
    <w:rsid w:val="00091EB4"/>
    <w:rsid w:val="0009219E"/>
    <w:rsid w:val="000925BD"/>
    <w:rsid w:val="00092FCE"/>
    <w:rsid w:val="00093C6D"/>
    <w:rsid w:val="00093DC2"/>
    <w:rsid w:val="00094023"/>
    <w:rsid w:val="0009492C"/>
    <w:rsid w:val="00095E7D"/>
    <w:rsid w:val="00095F01"/>
    <w:rsid w:val="000978FD"/>
    <w:rsid w:val="000A1198"/>
    <w:rsid w:val="000A11F1"/>
    <w:rsid w:val="000A170A"/>
    <w:rsid w:val="000A1AB1"/>
    <w:rsid w:val="000A397C"/>
    <w:rsid w:val="000A4527"/>
    <w:rsid w:val="000B3576"/>
    <w:rsid w:val="000B454D"/>
    <w:rsid w:val="000B461B"/>
    <w:rsid w:val="000B4FEB"/>
    <w:rsid w:val="000B7BBA"/>
    <w:rsid w:val="000C41A7"/>
    <w:rsid w:val="000C43C8"/>
    <w:rsid w:val="000C608D"/>
    <w:rsid w:val="000D224E"/>
    <w:rsid w:val="000D251E"/>
    <w:rsid w:val="000D2D5D"/>
    <w:rsid w:val="000D3C22"/>
    <w:rsid w:val="000D45B2"/>
    <w:rsid w:val="000D4FFB"/>
    <w:rsid w:val="000D516A"/>
    <w:rsid w:val="000D5863"/>
    <w:rsid w:val="000D6FA4"/>
    <w:rsid w:val="000E1158"/>
    <w:rsid w:val="000E184B"/>
    <w:rsid w:val="000E19CB"/>
    <w:rsid w:val="000E1FE8"/>
    <w:rsid w:val="000E3298"/>
    <w:rsid w:val="000E348B"/>
    <w:rsid w:val="000E451B"/>
    <w:rsid w:val="000E5609"/>
    <w:rsid w:val="000E5723"/>
    <w:rsid w:val="000E5E1A"/>
    <w:rsid w:val="000E7DC1"/>
    <w:rsid w:val="000F0186"/>
    <w:rsid w:val="000F29EE"/>
    <w:rsid w:val="000F30E7"/>
    <w:rsid w:val="000F338A"/>
    <w:rsid w:val="000F3AC3"/>
    <w:rsid w:val="000F4DBB"/>
    <w:rsid w:val="000F6C60"/>
    <w:rsid w:val="000F6D04"/>
    <w:rsid w:val="000F70D9"/>
    <w:rsid w:val="00100432"/>
    <w:rsid w:val="00100499"/>
    <w:rsid w:val="00100BF7"/>
    <w:rsid w:val="00100FA6"/>
    <w:rsid w:val="00101362"/>
    <w:rsid w:val="0010158E"/>
    <w:rsid w:val="0010258D"/>
    <w:rsid w:val="00102EE5"/>
    <w:rsid w:val="00103DD8"/>
    <w:rsid w:val="00105F52"/>
    <w:rsid w:val="00106C2C"/>
    <w:rsid w:val="00107505"/>
    <w:rsid w:val="00111663"/>
    <w:rsid w:val="0011198A"/>
    <w:rsid w:val="00112360"/>
    <w:rsid w:val="00112675"/>
    <w:rsid w:val="001141DA"/>
    <w:rsid w:val="001145B5"/>
    <w:rsid w:val="00116064"/>
    <w:rsid w:val="001172FE"/>
    <w:rsid w:val="00117FE1"/>
    <w:rsid w:val="00126419"/>
    <w:rsid w:val="0013006A"/>
    <w:rsid w:val="00130CF9"/>
    <w:rsid w:val="001310E0"/>
    <w:rsid w:val="00132921"/>
    <w:rsid w:val="001329B3"/>
    <w:rsid w:val="00135EAD"/>
    <w:rsid w:val="00136237"/>
    <w:rsid w:val="00137DAD"/>
    <w:rsid w:val="00137EB8"/>
    <w:rsid w:val="00144F83"/>
    <w:rsid w:val="00145DAE"/>
    <w:rsid w:val="00147B68"/>
    <w:rsid w:val="0015084F"/>
    <w:rsid w:val="00151856"/>
    <w:rsid w:val="00152A80"/>
    <w:rsid w:val="00160461"/>
    <w:rsid w:val="00161846"/>
    <w:rsid w:val="001620E9"/>
    <w:rsid w:val="001636DA"/>
    <w:rsid w:val="00163C69"/>
    <w:rsid w:val="00164169"/>
    <w:rsid w:val="00166B27"/>
    <w:rsid w:val="00170329"/>
    <w:rsid w:val="00170689"/>
    <w:rsid w:val="00170EB8"/>
    <w:rsid w:val="00171DC0"/>
    <w:rsid w:val="00173422"/>
    <w:rsid w:val="00173E50"/>
    <w:rsid w:val="001747B3"/>
    <w:rsid w:val="001762DF"/>
    <w:rsid w:val="00176BA8"/>
    <w:rsid w:val="001775F3"/>
    <w:rsid w:val="00177786"/>
    <w:rsid w:val="00180511"/>
    <w:rsid w:val="00184011"/>
    <w:rsid w:val="00185251"/>
    <w:rsid w:val="0019149E"/>
    <w:rsid w:val="0019182F"/>
    <w:rsid w:val="00191C72"/>
    <w:rsid w:val="001925B3"/>
    <w:rsid w:val="00194992"/>
    <w:rsid w:val="0019543E"/>
    <w:rsid w:val="0019580A"/>
    <w:rsid w:val="00195BEB"/>
    <w:rsid w:val="001968A4"/>
    <w:rsid w:val="00197A23"/>
    <w:rsid w:val="001A20B0"/>
    <w:rsid w:val="001A21A7"/>
    <w:rsid w:val="001A3351"/>
    <w:rsid w:val="001A53A7"/>
    <w:rsid w:val="001A6055"/>
    <w:rsid w:val="001A6548"/>
    <w:rsid w:val="001A76B3"/>
    <w:rsid w:val="001A7DEF"/>
    <w:rsid w:val="001B1773"/>
    <w:rsid w:val="001B1962"/>
    <w:rsid w:val="001B1ECE"/>
    <w:rsid w:val="001B2D25"/>
    <w:rsid w:val="001B4565"/>
    <w:rsid w:val="001B46D7"/>
    <w:rsid w:val="001B4AF7"/>
    <w:rsid w:val="001B4BEC"/>
    <w:rsid w:val="001B65FF"/>
    <w:rsid w:val="001B7B47"/>
    <w:rsid w:val="001C0151"/>
    <w:rsid w:val="001C260A"/>
    <w:rsid w:val="001C2D48"/>
    <w:rsid w:val="001C3106"/>
    <w:rsid w:val="001C3D5A"/>
    <w:rsid w:val="001C4634"/>
    <w:rsid w:val="001C6741"/>
    <w:rsid w:val="001C7470"/>
    <w:rsid w:val="001C7D52"/>
    <w:rsid w:val="001D01BB"/>
    <w:rsid w:val="001D294E"/>
    <w:rsid w:val="001D45A3"/>
    <w:rsid w:val="001D47F8"/>
    <w:rsid w:val="001D4CDC"/>
    <w:rsid w:val="001D4D40"/>
    <w:rsid w:val="001D4F2F"/>
    <w:rsid w:val="001D51D8"/>
    <w:rsid w:val="001D5CED"/>
    <w:rsid w:val="001E010D"/>
    <w:rsid w:val="001E0924"/>
    <w:rsid w:val="001E211E"/>
    <w:rsid w:val="001E3A31"/>
    <w:rsid w:val="001E43D7"/>
    <w:rsid w:val="001E49FA"/>
    <w:rsid w:val="001E534A"/>
    <w:rsid w:val="001E548A"/>
    <w:rsid w:val="001E5F65"/>
    <w:rsid w:val="001E601A"/>
    <w:rsid w:val="001E6E50"/>
    <w:rsid w:val="001E7305"/>
    <w:rsid w:val="001E7480"/>
    <w:rsid w:val="001E74E1"/>
    <w:rsid w:val="001F0834"/>
    <w:rsid w:val="001F0D3B"/>
    <w:rsid w:val="001F1A52"/>
    <w:rsid w:val="001F1BC1"/>
    <w:rsid w:val="001F1F14"/>
    <w:rsid w:val="001F34A5"/>
    <w:rsid w:val="001F370A"/>
    <w:rsid w:val="001F5541"/>
    <w:rsid w:val="001F66F4"/>
    <w:rsid w:val="001F75D9"/>
    <w:rsid w:val="001F7B1A"/>
    <w:rsid w:val="001F7DF2"/>
    <w:rsid w:val="00200B93"/>
    <w:rsid w:val="0020142E"/>
    <w:rsid w:val="00201886"/>
    <w:rsid w:val="00204EA9"/>
    <w:rsid w:val="002064A4"/>
    <w:rsid w:val="00210728"/>
    <w:rsid w:val="00210F2E"/>
    <w:rsid w:val="00211627"/>
    <w:rsid w:val="0021345A"/>
    <w:rsid w:val="00213AE6"/>
    <w:rsid w:val="00216C6A"/>
    <w:rsid w:val="00220258"/>
    <w:rsid w:val="00221A83"/>
    <w:rsid w:val="00222530"/>
    <w:rsid w:val="0022259D"/>
    <w:rsid w:val="00222736"/>
    <w:rsid w:val="0022278D"/>
    <w:rsid w:val="00223F03"/>
    <w:rsid w:val="0022416D"/>
    <w:rsid w:val="00224BB3"/>
    <w:rsid w:val="00224D61"/>
    <w:rsid w:val="00224F14"/>
    <w:rsid w:val="00226D49"/>
    <w:rsid w:val="0022710C"/>
    <w:rsid w:val="002272EE"/>
    <w:rsid w:val="00227759"/>
    <w:rsid w:val="00230F45"/>
    <w:rsid w:val="00232066"/>
    <w:rsid w:val="00233342"/>
    <w:rsid w:val="002335AB"/>
    <w:rsid w:val="00234B8D"/>
    <w:rsid w:val="00235E79"/>
    <w:rsid w:val="002360BC"/>
    <w:rsid w:val="00240F23"/>
    <w:rsid w:val="0024175E"/>
    <w:rsid w:val="002417C2"/>
    <w:rsid w:val="002420F2"/>
    <w:rsid w:val="002421E3"/>
    <w:rsid w:val="00242B11"/>
    <w:rsid w:val="002455F0"/>
    <w:rsid w:val="0024599B"/>
    <w:rsid w:val="00246933"/>
    <w:rsid w:val="00246A7E"/>
    <w:rsid w:val="00247198"/>
    <w:rsid w:val="0025051F"/>
    <w:rsid w:val="00251151"/>
    <w:rsid w:val="00251EED"/>
    <w:rsid w:val="002523D7"/>
    <w:rsid w:val="00252A4E"/>
    <w:rsid w:val="00252B26"/>
    <w:rsid w:val="00253125"/>
    <w:rsid w:val="0025319A"/>
    <w:rsid w:val="0025617C"/>
    <w:rsid w:val="0025722D"/>
    <w:rsid w:val="00257EF5"/>
    <w:rsid w:val="0026050F"/>
    <w:rsid w:val="00260FB7"/>
    <w:rsid w:val="002648CF"/>
    <w:rsid w:val="00265FE7"/>
    <w:rsid w:val="002701E5"/>
    <w:rsid w:val="00270644"/>
    <w:rsid w:val="00270940"/>
    <w:rsid w:val="00272EE9"/>
    <w:rsid w:val="00275CC6"/>
    <w:rsid w:val="00276F95"/>
    <w:rsid w:val="002774F0"/>
    <w:rsid w:val="00277A03"/>
    <w:rsid w:val="00281C4D"/>
    <w:rsid w:val="0028340E"/>
    <w:rsid w:val="00283764"/>
    <w:rsid w:val="00283AE9"/>
    <w:rsid w:val="00283C66"/>
    <w:rsid w:val="002847BB"/>
    <w:rsid w:val="00285782"/>
    <w:rsid w:val="00285A68"/>
    <w:rsid w:val="00286FA0"/>
    <w:rsid w:val="00287F94"/>
    <w:rsid w:val="002906A2"/>
    <w:rsid w:val="00290BEB"/>
    <w:rsid w:val="00291493"/>
    <w:rsid w:val="00291589"/>
    <w:rsid w:val="0029755D"/>
    <w:rsid w:val="002A09FA"/>
    <w:rsid w:val="002A158B"/>
    <w:rsid w:val="002A43D0"/>
    <w:rsid w:val="002A46DE"/>
    <w:rsid w:val="002A6075"/>
    <w:rsid w:val="002A676B"/>
    <w:rsid w:val="002A6E4E"/>
    <w:rsid w:val="002A74EF"/>
    <w:rsid w:val="002A774D"/>
    <w:rsid w:val="002A7860"/>
    <w:rsid w:val="002A78D3"/>
    <w:rsid w:val="002B0036"/>
    <w:rsid w:val="002B4615"/>
    <w:rsid w:val="002B7383"/>
    <w:rsid w:val="002B77A2"/>
    <w:rsid w:val="002C0623"/>
    <w:rsid w:val="002C1434"/>
    <w:rsid w:val="002C1646"/>
    <w:rsid w:val="002C23F8"/>
    <w:rsid w:val="002C4713"/>
    <w:rsid w:val="002C7DDE"/>
    <w:rsid w:val="002D3E1A"/>
    <w:rsid w:val="002E0316"/>
    <w:rsid w:val="002E0999"/>
    <w:rsid w:val="002E2569"/>
    <w:rsid w:val="002E5BAD"/>
    <w:rsid w:val="002E6047"/>
    <w:rsid w:val="002E6D1D"/>
    <w:rsid w:val="002F0614"/>
    <w:rsid w:val="002F077A"/>
    <w:rsid w:val="002F0D26"/>
    <w:rsid w:val="002F10BE"/>
    <w:rsid w:val="002F13DA"/>
    <w:rsid w:val="002F15EB"/>
    <w:rsid w:val="002F34E4"/>
    <w:rsid w:val="002F3CE0"/>
    <w:rsid w:val="002F44F1"/>
    <w:rsid w:val="002F5EB6"/>
    <w:rsid w:val="002F6516"/>
    <w:rsid w:val="002F6A76"/>
    <w:rsid w:val="002F7C6A"/>
    <w:rsid w:val="003005BB"/>
    <w:rsid w:val="00303DE5"/>
    <w:rsid w:val="00304842"/>
    <w:rsid w:val="00307411"/>
    <w:rsid w:val="00307EE5"/>
    <w:rsid w:val="00310D8B"/>
    <w:rsid w:val="00310FDB"/>
    <w:rsid w:val="00312370"/>
    <w:rsid w:val="00312F28"/>
    <w:rsid w:val="003132A5"/>
    <w:rsid w:val="00313941"/>
    <w:rsid w:val="00316194"/>
    <w:rsid w:val="003169B4"/>
    <w:rsid w:val="00316BE6"/>
    <w:rsid w:val="00317844"/>
    <w:rsid w:val="00317A6C"/>
    <w:rsid w:val="00317D89"/>
    <w:rsid w:val="003223D9"/>
    <w:rsid w:val="003224B7"/>
    <w:rsid w:val="00322A16"/>
    <w:rsid w:val="0032332A"/>
    <w:rsid w:val="0032350D"/>
    <w:rsid w:val="00323746"/>
    <w:rsid w:val="00323E74"/>
    <w:rsid w:val="00324F21"/>
    <w:rsid w:val="003256A4"/>
    <w:rsid w:val="003275A5"/>
    <w:rsid w:val="00330B87"/>
    <w:rsid w:val="00330B92"/>
    <w:rsid w:val="00331168"/>
    <w:rsid w:val="0033211D"/>
    <w:rsid w:val="00333489"/>
    <w:rsid w:val="003336F8"/>
    <w:rsid w:val="00336F67"/>
    <w:rsid w:val="00340878"/>
    <w:rsid w:val="003408D9"/>
    <w:rsid w:val="00342BE9"/>
    <w:rsid w:val="00342DB5"/>
    <w:rsid w:val="00343CEF"/>
    <w:rsid w:val="00344CB0"/>
    <w:rsid w:val="003450A1"/>
    <w:rsid w:val="003454FE"/>
    <w:rsid w:val="003467C8"/>
    <w:rsid w:val="00347897"/>
    <w:rsid w:val="00347C3C"/>
    <w:rsid w:val="0035079F"/>
    <w:rsid w:val="00351B9A"/>
    <w:rsid w:val="003527C1"/>
    <w:rsid w:val="00352C25"/>
    <w:rsid w:val="0035509A"/>
    <w:rsid w:val="003565B6"/>
    <w:rsid w:val="00356A66"/>
    <w:rsid w:val="00357418"/>
    <w:rsid w:val="00357938"/>
    <w:rsid w:val="0036064A"/>
    <w:rsid w:val="00360B75"/>
    <w:rsid w:val="00361737"/>
    <w:rsid w:val="00361ABB"/>
    <w:rsid w:val="00361D7C"/>
    <w:rsid w:val="00363F41"/>
    <w:rsid w:val="00366D56"/>
    <w:rsid w:val="00367871"/>
    <w:rsid w:val="00367DAD"/>
    <w:rsid w:val="00367E4A"/>
    <w:rsid w:val="00372FCC"/>
    <w:rsid w:val="0037342A"/>
    <w:rsid w:val="00373CC8"/>
    <w:rsid w:val="00374E24"/>
    <w:rsid w:val="00375E2A"/>
    <w:rsid w:val="00376609"/>
    <w:rsid w:val="00376E1C"/>
    <w:rsid w:val="00380A0B"/>
    <w:rsid w:val="0038330C"/>
    <w:rsid w:val="003856DC"/>
    <w:rsid w:val="003901B8"/>
    <w:rsid w:val="00392BDD"/>
    <w:rsid w:val="003A1D0D"/>
    <w:rsid w:val="003A38FB"/>
    <w:rsid w:val="003A41A0"/>
    <w:rsid w:val="003A5037"/>
    <w:rsid w:val="003A6BEF"/>
    <w:rsid w:val="003A7F21"/>
    <w:rsid w:val="003B04B9"/>
    <w:rsid w:val="003B078C"/>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368"/>
    <w:rsid w:val="003D598C"/>
    <w:rsid w:val="003D5B81"/>
    <w:rsid w:val="003D6BC6"/>
    <w:rsid w:val="003D7167"/>
    <w:rsid w:val="003D7919"/>
    <w:rsid w:val="003D7B2A"/>
    <w:rsid w:val="003E133B"/>
    <w:rsid w:val="003E4B7A"/>
    <w:rsid w:val="003E5AAE"/>
    <w:rsid w:val="003E5D61"/>
    <w:rsid w:val="003E6CDC"/>
    <w:rsid w:val="003E7E56"/>
    <w:rsid w:val="003F0A11"/>
    <w:rsid w:val="003F16F5"/>
    <w:rsid w:val="003F36DC"/>
    <w:rsid w:val="003F5429"/>
    <w:rsid w:val="003F639F"/>
    <w:rsid w:val="003F6664"/>
    <w:rsid w:val="003F72BB"/>
    <w:rsid w:val="00401C79"/>
    <w:rsid w:val="004023BA"/>
    <w:rsid w:val="00402AE7"/>
    <w:rsid w:val="00402C51"/>
    <w:rsid w:val="00403FAB"/>
    <w:rsid w:val="00404886"/>
    <w:rsid w:val="0040548E"/>
    <w:rsid w:val="00405D82"/>
    <w:rsid w:val="004060CA"/>
    <w:rsid w:val="0040643E"/>
    <w:rsid w:val="004064AA"/>
    <w:rsid w:val="004113CD"/>
    <w:rsid w:val="00412407"/>
    <w:rsid w:val="00412B2A"/>
    <w:rsid w:val="00413CC0"/>
    <w:rsid w:val="00414BB8"/>
    <w:rsid w:val="00415248"/>
    <w:rsid w:val="00415988"/>
    <w:rsid w:val="00417612"/>
    <w:rsid w:val="0042383B"/>
    <w:rsid w:val="0042409F"/>
    <w:rsid w:val="00424DDE"/>
    <w:rsid w:val="00424F93"/>
    <w:rsid w:val="004252C1"/>
    <w:rsid w:val="0042541E"/>
    <w:rsid w:val="004259A4"/>
    <w:rsid w:val="00427079"/>
    <w:rsid w:val="004306A8"/>
    <w:rsid w:val="00430EDC"/>
    <w:rsid w:val="00431D3F"/>
    <w:rsid w:val="00432AC2"/>
    <w:rsid w:val="0043515D"/>
    <w:rsid w:val="00436388"/>
    <w:rsid w:val="00436FD0"/>
    <w:rsid w:val="00441783"/>
    <w:rsid w:val="004420DA"/>
    <w:rsid w:val="00444707"/>
    <w:rsid w:val="004455F6"/>
    <w:rsid w:val="00445751"/>
    <w:rsid w:val="004465ED"/>
    <w:rsid w:val="004468C2"/>
    <w:rsid w:val="00446B8D"/>
    <w:rsid w:val="00450C44"/>
    <w:rsid w:val="00452402"/>
    <w:rsid w:val="00453E7E"/>
    <w:rsid w:val="00454750"/>
    <w:rsid w:val="00456E33"/>
    <w:rsid w:val="004600ED"/>
    <w:rsid w:val="004620CA"/>
    <w:rsid w:val="00463285"/>
    <w:rsid w:val="004652B3"/>
    <w:rsid w:val="00465846"/>
    <w:rsid w:val="00465AFA"/>
    <w:rsid w:val="00466349"/>
    <w:rsid w:val="00466B43"/>
    <w:rsid w:val="00470E22"/>
    <w:rsid w:val="0047253E"/>
    <w:rsid w:val="00472D33"/>
    <w:rsid w:val="00475128"/>
    <w:rsid w:val="00475BA6"/>
    <w:rsid w:val="00477D70"/>
    <w:rsid w:val="004831CC"/>
    <w:rsid w:val="00484E52"/>
    <w:rsid w:val="00485567"/>
    <w:rsid w:val="004855BE"/>
    <w:rsid w:val="00486860"/>
    <w:rsid w:val="00491CC3"/>
    <w:rsid w:val="00491ED9"/>
    <w:rsid w:val="00495623"/>
    <w:rsid w:val="00495DDD"/>
    <w:rsid w:val="00496F19"/>
    <w:rsid w:val="0049718B"/>
    <w:rsid w:val="004A0C7A"/>
    <w:rsid w:val="004A0DDE"/>
    <w:rsid w:val="004A2646"/>
    <w:rsid w:val="004A284B"/>
    <w:rsid w:val="004A2961"/>
    <w:rsid w:val="004A2CDE"/>
    <w:rsid w:val="004A3ABF"/>
    <w:rsid w:val="004A4B8D"/>
    <w:rsid w:val="004A5B46"/>
    <w:rsid w:val="004A6B13"/>
    <w:rsid w:val="004A7ADF"/>
    <w:rsid w:val="004B0167"/>
    <w:rsid w:val="004B02E2"/>
    <w:rsid w:val="004B1F30"/>
    <w:rsid w:val="004B710E"/>
    <w:rsid w:val="004C147A"/>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1BAC"/>
    <w:rsid w:val="004E336F"/>
    <w:rsid w:val="004E3CB0"/>
    <w:rsid w:val="004E5457"/>
    <w:rsid w:val="004E5A83"/>
    <w:rsid w:val="004E66F7"/>
    <w:rsid w:val="004E7248"/>
    <w:rsid w:val="004E7F0A"/>
    <w:rsid w:val="004F05F2"/>
    <w:rsid w:val="004F106A"/>
    <w:rsid w:val="004F1136"/>
    <w:rsid w:val="004F1426"/>
    <w:rsid w:val="004F160C"/>
    <w:rsid w:val="004F399F"/>
    <w:rsid w:val="004F3C8A"/>
    <w:rsid w:val="004F4CDB"/>
    <w:rsid w:val="004F4FDD"/>
    <w:rsid w:val="004F6CF4"/>
    <w:rsid w:val="004F78C1"/>
    <w:rsid w:val="004F7D2F"/>
    <w:rsid w:val="0050085E"/>
    <w:rsid w:val="005016D0"/>
    <w:rsid w:val="00501DE1"/>
    <w:rsid w:val="005024CE"/>
    <w:rsid w:val="00502BAA"/>
    <w:rsid w:val="00504949"/>
    <w:rsid w:val="00506171"/>
    <w:rsid w:val="005062F5"/>
    <w:rsid w:val="00506421"/>
    <w:rsid w:val="00510C48"/>
    <w:rsid w:val="00510FF2"/>
    <w:rsid w:val="005119F4"/>
    <w:rsid w:val="00511DDD"/>
    <w:rsid w:val="00512F2D"/>
    <w:rsid w:val="0051304C"/>
    <w:rsid w:val="00513479"/>
    <w:rsid w:val="00515993"/>
    <w:rsid w:val="00517F46"/>
    <w:rsid w:val="00520209"/>
    <w:rsid w:val="0052076B"/>
    <w:rsid w:val="00524059"/>
    <w:rsid w:val="005263EC"/>
    <w:rsid w:val="00526DFC"/>
    <w:rsid w:val="00527EB0"/>
    <w:rsid w:val="005303CA"/>
    <w:rsid w:val="00530DF8"/>
    <w:rsid w:val="00531802"/>
    <w:rsid w:val="00531CA7"/>
    <w:rsid w:val="005324A6"/>
    <w:rsid w:val="005346D7"/>
    <w:rsid w:val="00535D3D"/>
    <w:rsid w:val="00536424"/>
    <w:rsid w:val="00536768"/>
    <w:rsid w:val="005372F7"/>
    <w:rsid w:val="00537322"/>
    <w:rsid w:val="00537878"/>
    <w:rsid w:val="00542227"/>
    <w:rsid w:val="005424B5"/>
    <w:rsid w:val="00542CEE"/>
    <w:rsid w:val="00544FE1"/>
    <w:rsid w:val="00546097"/>
    <w:rsid w:val="00546B65"/>
    <w:rsid w:val="00546FB4"/>
    <w:rsid w:val="00547676"/>
    <w:rsid w:val="0055172F"/>
    <w:rsid w:val="005519F6"/>
    <w:rsid w:val="00552A7B"/>
    <w:rsid w:val="00552BE0"/>
    <w:rsid w:val="005544CE"/>
    <w:rsid w:val="00554865"/>
    <w:rsid w:val="0055616B"/>
    <w:rsid w:val="005567A1"/>
    <w:rsid w:val="00556D62"/>
    <w:rsid w:val="00557E8F"/>
    <w:rsid w:val="005609B4"/>
    <w:rsid w:val="00560A26"/>
    <w:rsid w:val="00563413"/>
    <w:rsid w:val="005636FA"/>
    <w:rsid w:val="0056373A"/>
    <w:rsid w:val="005649CC"/>
    <w:rsid w:val="00564A1B"/>
    <w:rsid w:val="00564BF4"/>
    <w:rsid w:val="00565A5E"/>
    <w:rsid w:val="00566F71"/>
    <w:rsid w:val="00571C92"/>
    <w:rsid w:val="00571D24"/>
    <w:rsid w:val="005723B9"/>
    <w:rsid w:val="005726BA"/>
    <w:rsid w:val="0057299B"/>
    <w:rsid w:val="00574C83"/>
    <w:rsid w:val="00577C11"/>
    <w:rsid w:val="005810DF"/>
    <w:rsid w:val="00583101"/>
    <w:rsid w:val="005836B3"/>
    <w:rsid w:val="00584D72"/>
    <w:rsid w:val="0058662D"/>
    <w:rsid w:val="005900C3"/>
    <w:rsid w:val="00590A21"/>
    <w:rsid w:val="00590DF0"/>
    <w:rsid w:val="00591C87"/>
    <w:rsid w:val="005932EC"/>
    <w:rsid w:val="005966D8"/>
    <w:rsid w:val="0059769C"/>
    <w:rsid w:val="005A0F75"/>
    <w:rsid w:val="005A129A"/>
    <w:rsid w:val="005A217F"/>
    <w:rsid w:val="005A232A"/>
    <w:rsid w:val="005A35B4"/>
    <w:rsid w:val="005A422E"/>
    <w:rsid w:val="005A5553"/>
    <w:rsid w:val="005A7235"/>
    <w:rsid w:val="005A7BA6"/>
    <w:rsid w:val="005B08DD"/>
    <w:rsid w:val="005B27F5"/>
    <w:rsid w:val="005B43F3"/>
    <w:rsid w:val="005B499E"/>
    <w:rsid w:val="005B4E57"/>
    <w:rsid w:val="005B51B0"/>
    <w:rsid w:val="005B6A8D"/>
    <w:rsid w:val="005C043E"/>
    <w:rsid w:val="005C195D"/>
    <w:rsid w:val="005C2031"/>
    <w:rsid w:val="005C4263"/>
    <w:rsid w:val="005C79D0"/>
    <w:rsid w:val="005D0ACB"/>
    <w:rsid w:val="005D140B"/>
    <w:rsid w:val="005D1C36"/>
    <w:rsid w:val="005D1F2E"/>
    <w:rsid w:val="005D2654"/>
    <w:rsid w:val="005D2E6F"/>
    <w:rsid w:val="005D5624"/>
    <w:rsid w:val="005D5865"/>
    <w:rsid w:val="005D5F1D"/>
    <w:rsid w:val="005E03A2"/>
    <w:rsid w:val="005E2429"/>
    <w:rsid w:val="005E35C4"/>
    <w:rsid w:val="005E4A7B"/>
    <w:rsid w:val="005E5519"/>
    <w:rsid w:val="005E588F"/>
    <w:rsid w:val="005E5BEC"/>
    <w:rsid w:val="005E5D2D"/>
    <w:rsid w:val="005E6FAB"/>
    <w:rsid w:val="005F11BB"/>
    <w:rsid w:val="005F1234"/>
    <w:rsid w:val="005F13AA"/>
    <w:rsid w:val="005F214B"/>
    <w:rsid w:val="005F3072"/>
    <w:rsid w:val="005F484B"/>
    <w:rsid w:val="00601B3B"/>
    <w:rsid w:val="00601D0B"/>
    <w:rsid w:val="00602636"/>
    <w:rsid w:val="006036CD"/>
    <w:rsid w:val="00603CAA"/>
    <w:rsid w:val="00603CC1"/>
    <w:rsid w:val="0060451D"/>
    <w:rsid w:val="00604681"/>
    <w:rsid w:val="00604D35"/>
    <w:rsid w:val="0060549C"/>
    <w:rsid w:val="006071E2"/>
    <w:rsid w:val="0060750F"/>
    <w:rsid w:val="006079C2"/>
    <w:rsid w:val="00611426"/>
    <w:rsid w:val="00613362"/>
    <w:rsid w:val="00614CE0"/>
    <w:rsid w:val="006150A3"/>
    <w:rsid w:val="006161DD"/>
    <w:rsid w:val="0061689C"/>
    <w:rsid w:val="006171A8"/>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0BA"/>
    <w:rsid w:val="00642467"/>
    <w:rsid w:val="00642D76"/>
    <w:rsid w:val="00643FF8"/>
    <w:rsid w:val="00644115"/>
    <w:rsid w:val="00644EBE"/>
    <w:rsid w:val="00645B0D"/>
    <w:rsid w:val="00651606"/>
    <w:rsid w:val="0065161C"/>
    <w:rsid w:val="00652B35"/>
    <w:rsid w:val="00652EE5"/>
    <w:rsid w:val="00653FDC"/>
    <w:rsid w:val="0065454C"/>
    <w:rsid w:val="00655D5C"/>
    <w:rsid w:val="00660027"/>
    <w:rsid w:val="00660B98"/>
    <w:rsid w:val="00665EAF"/>
    <w:rsid w:val="00666566"/>
    <w:rsid w:val="00666D5A"/>
    <w:rsid w:val="00670897"/>
    <w:rsid w:val="00672858"/>
    <w:rsid w:val="00672A20"/>
    <w:rsid w:val="006737EC"/>
    <w:rsid w:val="006739CE"/>
    <w:rsid w:val="0068304A"/>
    <w:rsid w:val="00683207"/>
    <w:rsid w:val="00684426"/>
    <w:rsid w:val="00686D59"/>
    <w:rsid w:val="00687254"/>
    <w:rsid w:val="00687583"/>
    <w:rsid w:val="00687A67"/>
    <w:rsid w:val="00687E12"/>
    <w:rsid w:val="00691828"/>
    <w:rsid w:val="00691A07"/>
    <w:rsid w:val="00692B88"/>
    <w:rsid w:val="00693397"/>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313E"/>
    <w:rsid w:val="006B42B0"/>
    <w:rsid w:val="006B490F"/>
    <w:rsid w:val="006B56C6"/>
    <w:rsid w:val="006B57A3"/>
    <w:rsid w:val="006B58DB"/>
    <w:rsid w:val="006B6448"/>
    <w:rsid w:val="006B6B1B"/>
    <w:rsid w:val="006B6B7D"/>
    <w:rsid w:val="006B738C"/>
    <w:rsid w:val="006B770D"/>
    <w:rsid w:val="006C1677"/>
    <w:rsid w:val="006C208C"/>
    <w:rsid w:val="006C4CAA"/>
    <w:rsid w:val="006C68A6"/>
    <w:rsid w:val="006C68A7"/>
    <w:rsid w:val="006C780F"/>
    <w:rsid w:val="006C79DB"/>
    <w:rsid w:val="006D09D6"/>
    <w:rsid w:val="006D1400"/>
    <w:rsid w:val="006D419B"/>
    <w:rsid w:val="006D74D4"/>
    <w:rsid w:val="006D7A1A"/>
    <w:rsid w:val="006E009D"/>
    <w:rsid w:val="006E0122"/>
    <w:rsid w:val="006E0960"/>
    <w:rsid w:val="006E116F"/>
    <w:rsid w:val="006E13FF"/>
    <w:rsid w:val="006E197A"/>
    <w:rsid w:val="006E1DC0"/>
    <w:rsid w:val="006E3C3A"/>
    <w:rsid w:val="006E4817"/>
    <w:rsid w:val="006E6819"/>
    <w:rsid w:val="006E6A2C"/>
    <w:rsid w:val="006E6C7E"/>
    <w:rsid w:val="006E7D37"/>
    <w:rsid w:val="006F1B3B"/>
    <w:rsid w:val="006F1F1D"/>
    <w:rsid w:val="006F4946"/>
    <w:rsid w:val="00700983"/>
    <w:rsid w:val="007020F8"/>
    <w:rsid w:val="00702733"/>
    <w:rsid w:val="007029CB"/>
    <w:rsid w:val="00702E91"/>
    <w:rsid w:val="00702F36"/>
    <w:rsid w:val="00703969"/>
    <w:rsid w:val="00703FEF"/>
    <w:rsid w:val="00704459"/>
    <w:rsid w:val="007045C4"/>
    <w:rsid w:val="00704CBA"/>
    <w:rsid w:val="00706B15"/>
    <w:rsid w:val="00706F41"/>
    <w:rsid w:val="00710A21"/>
    <w:rsid w:val="00712749"/>
    <w:rsid w:val="007128E1"/>
    <w:rsid w:val="00712F29"/>
    <w:rsid w:val="007139DB"/>
    <w:rsid w:val="00714D14"/>
    <w:rsid w:val="00714E66"/>
    <w:rsid w:val="007167A3"/>
    <w:rsid w:val="00716971"/>
    <w:rsid w:val="00716CE1"/>
    <w:rsid w:val="00716D1D"/>
    <w:rsid w:val="00720B1A"/>
    <w:rsid w:val="00721BE3"/>
    <w:rsid w:val="00723465"/>
    <w:rsid w:val="00724442"/>
    <w:rsid w:val="00724815"/>
    <w:rsid w:val="0072591F"/>
    <w:rsid w:val="00726EFA"/>
    <w:rsid w:val="007279D9"/>
    <w:rsid w:val="00732759"/>
    <w:rsid w:val="00732A40"/>
    <w:rsid w:val="0073399C"/>
    <w:rsid w:val="00735197"/>
    <w:rsid w:val="00735C37"/>
    <w:rsid w:val="00736123"/>
    <w:rsid w:val="0073767D"/>
    <w:rsid w:val="00737D0E"/>
    <w:rsid w:val="0074077E"/>
    <w:rsid w:val="00741CD7"/>
    <w:rsid w:val="00742631"/>
    <w:rsid w:val="00742DE0"/>
    <w:rsid w:val="00743850"/>
    <w:rsid w:val="00743A10"/>
    <w:rsid w:val="00743BAD"/>
    <w:rsid w:val="00745A5F"/>
    <w:rsid w:val="00746F8F"/>
    <w:rsid w:val="00747232"/>
    <w:rsid w:val="00747678"/>
    <w:rsid w:val="00750796"/>
    <w:rsid w:val="007534F8"/>
    <w:rsid w:val="0075395F"/>
    <w:rsid w:val="0075404F"/>
    <w:rsid w:val="007558ED"/>
    <w:rsid w:val="007560F1"/>
    <w:rsid w:val="00762228"/>
    <w:rsid w:val="00763E34"/>
    <w:rsid w:val="00764EF9"/>
    <w:rsid w:val="0076625E"/>
    <w:rsid w:val="007668DA"/>
    <w:rsid w:val="00770A34"/>
    <w:rsid w:val="00770FC4"/>
    <w:rsid w:val="007711BC"/>
    <w:rsid w:val="007713C7"/>
    <w:rsid w:val="00772497"/>
    <w:rsid w:val="00772C87"/>
    <w:rsid w:val="00772D61"/>
    <w:rsid w:val="00775025"/>
    <w:rsid w:val="007759AA"/>
    <w:rsid w:val="00776C0D"/>
    <w:rsid w:val="0077747C"/>
    <w:rsid w:val="00780787"/>
    <w:rsid w:val="007837C6"/>
    <w:rsid w:val="007838DA"/>
    <w:rsid w:val="00783921"/>
    <w:rsid w:val="0078463B"/>
    <w:rsid w:val="007853D4"/>
    <w:rsid w:val="007860F8"/>
    <w:rsid w:val="00786880"/>
    <w:rsid w:val="00787191"/>
    <w:rsid w:val="007873FA"/>
    <w:rsid w:val="00791DFE"/>
    <w:rsid w:val="007927B8"/>
    <w:rsid w:val="007937AD"/>
    <w:rsid w:val="007937F6"/>
    <w:rsid w:val="00794978"/>
    <w:rsid w:val="00796ED4"/>
    <w:rsid w:val="007975D8"/>
    <w:rsid w:val="007A0115"/>
    <w:rsid w:val="007A22EE"/>
    <w:rsid w:val="007A2883"/>
    <w:rsid w:val="007A3403"/>
    <w:rsid w:val="007A3539"/>
    <w:rsid w:val="007A3C78"/>
    <w:rsid w:val="007A405B"/>
    <w:rsid w:val="007A4ADE"/>
    <w:rsid w:val="007A5180"/>
    <w:rsid w:val="007A5A6C"/>
    <w:rsid w:val="007A5EE5"/>
    <w:rsid w:val="007A73BA"/>
    <w:rsid w:val="007B00E3"/>
    <w:rsid w:val="007B104E"/>
    <w:rsid w:val="007B14AA"/>
    <w:rsid w:val="007B22C1"/>
    <w:rsid w:val="007B2A30"/>
    <w:rsid w:val="007B41DD"/>
    <w:rsid w:val="007B5199"/>
    <w:rsid w:val="007B6F16"/>
    <w:rsid w:val="007B74AA"/>
    <w:rsid w:val="007B7C91"/>
    <w:rsid w:val="007C0B89"/>
    <w:rsid w:val="007C285F"/>
    <w:rsid w:val="007C3A41"/>
    <w:rsid w:val="007C6429"/>
    <w:rsid w:val="007C6A32"/>
    <w:rsid w:val="007C7191"/>
    <w:rsid w:val="007C7392"/>
    <w:rsid w:val="007D0EFA"/>
    <w:rsid w:val="007D1451"/>
    <w:rsid w:val="007D1B8B"/>
    <w:rsid w:val="007D2824"/>
    <w:rsid w:val="007D2DBA"/>
    <w:rsid w:val="007D3C4B"/>
    <w:rsid w:val="007D4381"/>
    <w:rsid w:val="007D47D8"/>
    <w:rsid w:val="007D4DFD"/>
    <w:rsid w:val="007D58A8"/>
    <w:rsid w:val="007E0597"/>
    <w:rsid w:val="007E0985"/>
    <w:rsid w:val="007E1BD7"/>
    <w:rsid w:val="007E1DEB"/>
    <w:rsid w:val="007E2E4D"/>
    <w:rsid w:val="007E403E"/>
    <w:rsid w:val="007E41A8"/>
    <w:rsid w:val="007E4B86"/>
    <w:rsid w:val="007E6E0D"/>
    <w:rsid w:val="007E7204"/>
    <w:rsid w:val="007F1FD4"/>
    <w:rsid w:val="007F246C"/>
    <w:rsid w:val="007F2A90"/>
    <w:rsid w:val="007F5265"/>
    <w:rsid w:val="007F60B7"/>
    <w:rsid w:val="007F7401"/>
    <w:rsid w:val="007F7757"/>
    <w:rsid w:val="00800221"/>
    <w:rsid w:val="0080187D"/>
    <w:rsid w:val="00802495"/>
    <w:rsid w:val="0080293D"/>
    <w:rsid w:val="008033E6"/>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2C1"/>
    <w:rsid w:val="008316D7"/>
    <w:rsid w:val="00831944"/>
    <w:rsid w:val="00831B47"/>
    <w:rsid w:val="00833571"/>
    <w:rsid w:val="008343F1"/>
    <w:rsid w:val="0083541F"/>
    <w:rsid w:val="00836465"/>
    <w:rsid w:val="008366EC"/>
    <w:rsid w:val="0084024D"/>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405"/>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857"/>
    <w:rsid w:val="00881BE6"/>
    <w:rsid w:val="00881CAD"/>
    <w:rsid w:val="00883A58"/>
    <w:rsid w:val="00886286"/>
    <w:rsid w:val="00891B10"/>
    <w:rsid w:val="0089326A"/>
    <w:rsid w:val="0089358E"/>
    <w:rsid w:val="00893F67"/>
    <w:rsid w:val="00894D55"/>
    <w:rsid w:val="00895E6F"/>
    <w:rsid w:val="00897B60"/>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12E0"/>
    <w:rsid w:val="008C4999"/>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E7885"/>
    <w:rsid w:val="008F0A00"/>
    <w:rsid w:val="008F0EEB"/>
    <w:rsid w:val="008F1F04"/>
    <w:rsid w:val="008F2853"/>
    <w:rsid w:val="008F2C24"/>
    <w:rsid w:val="008F48A5"/>
    <w:rsid w:val="008F4B28"/>
    <w:rsid w:val="008F5FAF"/>
    <w:rsid w:val="008F74C2"/>
    <w:rsid w:val="008F7CEE"/>
    <w:rsid w:val="008F7F63"/>
    <w:rsid w:val="00900E6F"/>
    <w:rsid w:val="00901C53"/>
    <w:rsid w:val="00902767"/>
    <w:rsid w:val="00902BB7"/>
    <w:rsid w:val="00902DD8"/>
    <w:rsid w:val="009048BF"/>
    <w:rsid w:val="009079F5"/>
    <w:rsid w:val="00911E06"/>
    <w:rsid w:val="009124E7"/>
    <w:rsid w:val="00912F15"/>
    <w:rsid w:val="009136C6"/>
    <w:rsid w:val="00916658"/>
    <w:rsid w:val="00916674"/>
    <w:rsid w:val="00916D23"/>
    <w:rsid w:val="0091768B"/>
    <w:rsid w:val="009210D5"/>
    <w:rsid w:val="009222F8"/>
    <w:rsid w:val="00922AA7"/>
    <w:rsid w:val="00922C6F"/>
    <w:rsid w:val="00922D6B"/>
    <w:rsid w:val="00923155"/>
    <w:rsid w:val="00925391"/>
    <w:rsid w:val="009254E0"/>
    <w:rsid w:val="00925A02"/>
    <w:rsid w:val="00925CEA"/>
    <w:rsid w:val="00927A0F"/>
    <w:rsid w:val="00927A30"/>
    <w:rsid w:val="00927DC6"/>
    <w:rsid w:val="00931E9D"/>
    <w:rsid w:val="009328B3"/>
    <w:rsid w:val="00936A54"/>
    <w:rsid w:val="00937543"/>
    <w:rsid w:val="00937AC9"/>
    <w:rsid w:val="00937CC7"/>
    <w:rsid w:val="00940B0E"/>
    <w:rsid w:val="00940F81"/>
    <w:rsid w:val="00941084"/>
    <w:rsid w:val="00941552"/>
    <w:rsid w:val="00942B82"/>
    <w:rsid w:val="00943C5A"/>
    <w:rsid w:val="00944273"/>
    <w:rsid w:val="00944C1D"/>
    <w:rsid w:val="00945D12"/>
    <w:rsid w:val="00945FD9"/>
    <w:rsid w:val="0095227C"/>
    <w:rsid w:val="009523A7"/>
    <w:rsid w:val="009523F2"/>
    <w:rsid w:val="00952BC9"/>
    <w:rsid w:val="00953FB7"/>
    <w:rsid w:val="009551C5"/>
    <w:rsid w:val="00956636"/>
    <w:rsid w:val="00961E97"/>
    <w:rsid w:val="00961FE9"/>
    <w:rsid w:val="009620C0"/>
    <w:rsid w:val="009620ED"/>
    <w:rsid w:val="009628DB"/>
    <w:rsid w:val="00963312"/>
    <w:rsid w:val="00963498"/>
    <w:rsid w:val="0096386A"/>
    <w:rsid w:val="009646A9"/>
    <w:rsid w:val="0096508A"/>
    <w:rsid w:val="00965ABF"/>
    <w:rsid w:val="00971A41"/>
    <w:rsid w:val="009755D3"/>
    <w:rsid w:val="00975BE8"/>
    <w:rsid w:val="00976A58"/>
    <w:rsid w:val="00977AA1"/>
    <w:rsid w:val="00980058"/>
    <w:rsid w:val="00981498"/>
    <w:rsid w:val="00982445"/>
    <w:rsid w:val="00982777"/>
    <w:rsid w:val="00982C40"/>
    <w:rsid w:val="0098375D"/>
    <w:rsid w:val="009840EE"/>
    <w:rsid w:val="00986137"/>
    <w:rsid w:val="00986389"/>
    <w:rsid w:val="00986595"/>
    <w:rsid w:val="009872CD"/>
    <w:rsid w:val="00987A8B"/>
    <w:rsid w:val="00990A46"/>
    <w:rsid w:val="00990A54"/>
    <w:rsid w:val="00990AB9"/>
    <w:rsid w:val="009912BB"/>
    <w:rsid w:val="009920E2"/>
    <w:rsid w:val="00993E68"/>
    <w:rsid w:val="00993EE7"/>
    <w:rsid w:val="00994217"/>
    <w:rsid w:val="00994618"/>
    <w:rsid w:val="00996CD5"/>
    <w:rsid w:val="00997E71"/>
    <w:rsid w:val="009A00EC"/>
    <w:rsid w:val="009A09EC"/>
    <w:rsid w:val="009A0E02"/>
    <w:rsid w:val="009A108E"/>
    <w:rsid w:val="009A151F"/>
    <w:rsid w:val="009A24BC"/>
    <w:rsid w:val="009A442C"/>
    <w:rsid w:val="009A5C07"/>
    <w:rsid w:val="009A6AF8"/>
    <w:rsid w:val="009A7EF0"/>
    <w:rsid w:val="009B0EA3"/>
    <w:rsid w:val="009B2A92"/>
    <w:rsid w:val="009B3C05"/>
    <w:rsid w:val="009B46F6"/>
    <w:rsid w:val="009B5CB4"/>
    <w:rsid w:val="009B5E96"/>
    <w:rsid w:val="009B76F3"/>
    <w:rsid w:val="009B7753"/>
    <w:rsid w:val="009C2087"/>
    <w:rsid w:val="009C24FF"/>
    <w:rsid w:val="009C292B"/>
    <w:rsid w:val="009C2DE1"/>
    <w:rsid w:val="009C3712"/>
    <w:rsid w:val="009C3901"/>
    <w:rsid w:val="009C3BA8"/>
    <w:rsid w:val="009C3C64"/>
    <w:rsid w:val="009C66BD"/>
    <w:rsid w:val="009D001D"/>
    <w:rsid w:val="009D040F"/>
    <w:rsid w:val="009D043F"/>
    <w:rsid w:val="009D1603"/>
    <w:rsid w:val="009D21D1"/>
    <w:rsid w:val="009D23AF"/>
    <w:rsid w:val="009D2677"/>
    <w:rsid w:val="009D2F92"/>
    <w:rsid w:val="009D4058"/>
    <w:rsid w:val="009D4B0D"/>
    <w:rsid w:val="009D57EC"/>
    <w:rsid w:val="009D5839"/>
    <w:rsid w:val="009D5AD5"/>
    <w:rsid w:val="009D607F"/>
    <w:rsid w:val="009D6EDD"/>
    <w:rsid w:val="009D75E4"/>
    <w:rsid w:val="009D7CC1"/>
    <w:rsid w:val="009E03F3"/>
    <w:rsid w:val="009E0CD5"/>
    <w:rsid w:val="009E0DD6"/>
    <w:rsid w:val="009E0E74"/>
    <w:rsid w:val="009E107C"/>
    <w:rsid w:val="009E1340"/>
    <w:rsid w:val="009E1EB9"/>
    <w:rsid w:val="009E25DF"/>
    <w:rsid w:val="009E33E8"/>
    <w:rsid w:val="009E3400"/>
    <w:rsid w:val="009E39DB"/>
    <w:rsid w:val="009E3F6A"/>
    <w:rsid w:val="009E40F8"/>
    <w:rsid w:val="009E4599"/>
    <w:rsid w:val="009E5EDB"/>
    <w:rsid w:val="009F06DE"/>
    <w:rsid w:val="009F1184"/>
    <w:rsid w:val="009F1E00"/>
    <w:rsid w:val="009F3011"/>
    <w:rsid w:val="009F45ED"/>
    <w:rsid w:val="009F6393"/>
    <w:rsid w:val="009F7314"/>
    <w:rsid w:val="00A021CA"/>
    <w:rsid w:val="00A02BDF"/>
    <w:rsid w:val="00A02D1A"/>
    <w:rsid w:val="00A03078"/>
    <w:rsid w:val="00A03204"/>
    <w:rsid w:val="00A036CF"/>
    <w:rsid w:val="00A0627A"/>
    <w:rsid w:val="00A10781"/>
    <w:rsid w:val="00A10B3F"/>
    <w:rsid w:val="00A10C30"/>
    <w:rsid w:val="00A10CF2"/>
    <w:rsid w:val="00A12BD8"/>
    <w:rsid w:val="00A14E30"/>
    <w:rsid w:val="00A15F64"/>
    <w:rsid w:val="00A16077"/>
    <w:rsid w:val="00A17E7C"/>
    <w:rsid w:val="00A20CDB"/>
    <w:rsid w:val="00A22579"/>
    <w:rsid w:val="00A233E0"/>
    <w:rsid w:val="00A24F5B"/>
    <w:rsid w:val="00A25F77"/>
    <w:rsid w:val="00A26353"/>
    <w:rsid w:val="00A26E89"/>
    <w:rsid w:val="00A274B4"/>
    <w:rsid w:val="00A27E5C"/>
    <w:rsid w:val="00A3008A"/>
    <w:rsid w:val="00A306EB"/>
    <w:rsid w:val="00A31484"/>
    <w:rsid w:val="00A352DB"/>
    <w:rsid w:val="00A358CC"/>
    <w:rsid w:val="00A35A6E"/>
    <w:rsid w:val="00A35BC3"/>
    <w:rsid w:val="00A35F5B"/>
    <w:rsid w:val="00A361CE"/>
    <w:rsid w:val="00A4371B"/>
    <w:rsid w:val="00A449BC"/>
    <w:rsid w:val="00A45770"/>
    <w:rsid w:val="00A45865"/>
    <w:rsid w:val="00A4627D"/>
    <w:rsid w:val="00A471D8"/>
    <w:rsid w:val="00A5226D"/>
    <w:rsid w:val="00A53BD4"/>
    <w:rsid w:val="00A53C9A"/>
    <w:rsid w:val="00A55764"/>
    <w:rsid w:val="00A56BEC"/>
    <w:rsid w:val="00A56C84"/>
    <w:rsid w:val="00A60384"/>
    <w:rsid w:val="00A60E41"/>
    <w:rsid w:val="00A6282F"/>
    <w:rsid w:val="00A62AFA"/>
    <w:rsid w:val="00A64B54"/>
    <w:rsid w:val="00A65C10"/>
    <w:rsid w:val="00A67FC6"/>
    <w:rsid w:val="00A68791"/>
    <w:rsid w:val="00A71397"/>
    <w:rsid w:val="00A71F84"/>
    <w:rsid w:val="00A72623"/>
    <w:rsid w:val="00A74069"/>
    <w:rsid w:val="00A768D2"/>
    <w:rsid w:val="00A80A27"/>
    <w:rsid w:val="00A816BC"/>
    <w:rsid w:val="00A82647"/>
    <w:rsid w:val="00A8542E"/>
    <w:rsid w:val="00A8593A"/>
    <w:rsid w:val="00A9188B"/>
    <w:rsid w:val="00A91EFC"/>
    <w:rsid w:val="00A955EC"/>
    <w:rsid w:val="00A9734E"/>
    <w:rsid w:val="00A975AC"/>
    <w:rsid w:val="00A97EE9"/>
    <w:rsid w:val="00AA2031"/>
    <w:rsid w:val="00AA26C8"/>
    <w:rsid w:val="00AA2AE3"/>
    <w:rsid w:val="00AA3857"/>
    <w:rsid w:val="00AA4A5E"/>
    <w:rsid w:val="00AA4F24"/>
    <w:rsid w:val="00AA5BD7"/>
    <w:rsid w:val="00AA646F"/>
    <w:rsid w:val="00AA67A0"/>
    <w:rsid w:val="00AA74E9"/>
    <w:rsid w:val="00AB58D2"/>
    <w:rsid w:val="00AC105E"/>
    <w:rsid w:val="00AC1131"/>
    <w:rsid w:val="00AC1AC4"/>
    <w:rsid w:val="00AC20D0"/>
    <w:rsid w:val="00AC5472"/>
    <w:rsid w:val="00AD0FA8"/>
    <w:rsid w:val="00AD15AC"/>
    <w:rsid w:val="00AD1B66"/>
    <w:rsid w:val="00AD1CFF"/>
    <w:rsid w:val="00AD2447"/>
    <w:rsid w:val="00AD3F78"/>
    <w:rsid w:val="00AD46F7"/>
    <w:rsid w:val="00AE026A"/>
    <w:rsid w:val="00AE0984"/>
    <w:rsid w:val="00AE1346"/>
    <w:rsid w:val="00AE19B9"/>
    <w:rsid w:val="00AE2594"/>
    <w:rsid w:val="00AE274D"/>
    <w:rsid w:val="00AE3624"/>
    <w:rsid w:val="00AE3760"/>
    <w:rsid w:val="00AE3F7E"/>
    <w:rsid w:val="00AE5766"/>
    <w:rsid w:val="00AE63B1"/>
    <w:rsid w:val="00AE7BE7"/>
    <w:rsid w:val="00AE7FC5"/>
    <w:rsid w:val="00AF2486"/>
    <w:rsid w:val="00AF3D20"/>
    <w:rsid w:val="00AF4218"/>
    <w:rsid w:val="00AF6F5C"/>
    <w:rsid w:val="00B027C5"/>
    <w:rsid w:val="00B02874"/>
    <w:rsid w:val="00B04655"/>
    <w:rsid w:val="00B06750"/>
    <w:rsid w:val="00B07337"/>
    <w:rsid w:val="00B1060A"/>
    <w:rsid w:val="00B11B2A"/>
    <w:rsid w:val="00B12C26"/>
    <w:rsid w:val="00B13545"/>
    <w:rsid w:val="00B13DEC"/>
    <w:rsid w:val="00B15AEE"/>
    <w:rsid w:val="00B15B9E"/>
    <w:rsid w:val="00B220F1"/>
    <w:rsid w:val="00B222EC"/>
    <w:rsid w:val="00B225EF"/>
    <w:rsid w:val="00B22810"/>
    <w:rsid w:val="00B22F84"/>
    <w:rsid w:val="00B2326A"/>
    <w:rsid w:val="00B23E0D"/>
    <w:rsid w:val="00B24852"/>
    <w:rsid w:val="00B26757"/>
    <w:rsid w:val="00B31C31"/>
    <w:rsid w:val="00B31C39"/>
    <w:rsid w:val="00B35C84"/>
    <w:rsid w:val="00B37C28"/>
    <w:rsid w:val="00B400AE"/>
    <w:rsid w:val="00B434D7"/>
    <w:rsid w:val="00B45BEF"/>
    <w:rsid w:val="00B463DE"/>
    <w:rsid w:val="00B47058"/>
    <w:rsid w:val="00B5068E"/>
    <w:rsid w:val="00B51024"/>
    <w:rsid w:val="00B511FC"/>
    <w:rsid w:val="00B524A9"/>
    <w:rsid w:val="00B54CEA"/>
    <w:rsid w:val="00B603E4"/>
    <w:rsid w:val="00B62988"/>
    <w:rsid w:val="00B63B97"/>
    <w:rsid w:val="00B65237"/>
    <w:rsid w:val="00B666CD"/>
    <w:rsid w:val="00B67894"/>
    <w:rsid w:val="00B72371"/>
    <w:rsid w:val="00B73772"/>
    <w:rsid w:val="00B737EF"/>
    <w:rsid w:val="00B74D25"/>
    <w:rsid w:val="00B7519D"/>
    <w:rsid w:val="00B77C81"/>
    <w:rsid w:val="00B80F76"/>
    <w:rsid w:val="00B818B8"/>
    <w:rsid w:val="00B81A2E"/>
    <w:rsid w:val="00B83587"/>
    <w:rsid w:val="00B8407F"/>
    <w:rsid w:val="00B8491D"/>
    <w:rsid w:val="00B85A3A"/>
    <w:rsid w:val="00B85B34"/>
    <w:rsid w:val="00B8742C"/>
    <w:rsid w:val="00B90437"/>
    <w:rsid w:val="00B92284"/>
    <w:rsid w:val="00B9379D"/>
    <w:rsid w:val="00B93F50"/>
    <w:rsid w:val="00B9424F"/>
    <w:rsid w:val="00B9504D"/>
    <w:rsid w:val="00B957FA"/>
    <w:rsid w:val="00B95BD0"/>
    <w:rsid w:val="00B9602F"/>
    <w:rsid w:val="00BA0F73"/>
    <w:rsid w:val="00BA1A18"/>
    <w:rsid w:val="00BA2BE8"/>
    <w:rsid w:val="00BA45E6"/>
    <w:rsid w:val="00BA5E6F"/>
    <w:rsid w:val="00BB0D04"/>
    <w:rsid w:val="00BB29FA"/>
    <w:rsid w:val="00BB2B15"/>
    <w:rsid w:val="00BB3410"/>
    <w:rsid w:val="00BB432F"/>
    <w:rsid w:val="00BB49A7"/>
    <w:rsid w:val="00BB49C0"/>
    <w:rsid w:val="00BB5E12"/>
    <w:rsid w:val="00BB6DD1"/>
    <w:rsid w:val="00BB6F4C"/>
    <w:rsid w:val="00BB6FB5"/>
    <w:rsid w:val="00BB753F"/>
    <w:rsid w:val="00BB7DA0"/>
    <w:rsid w:val="00BB7FF2"/>
    <w:rsid w:val="00BC0B1A"/>
    <w:rsid w:val="00BC1522"/>
    <w:rsid w:val="00BC1BF0"/>
    <w:rsid w:val="00BC1F17"/>
    <w:rsid w:val="00BC3541"/>
    <w:rsid w:val="00BC3DD2"/>
    <w:rsid w:val="00BC7ADB"/>
    <w:rsid w:val="00BD12E4"/>
    <w:rsid w:val="00BD6B16"/>
    <w:rsid w:val="00BD7AD1"/>
    <w:rsid w:val="00BE0403"/>
    <w:rsid w:val="00BE12E1"/>
    <w:rsid w:val="00BE1B26"/>
    <w:rsid w:val="00BE1F44"/>
    <w:rsid w:val="00BE3D6F"/>
    <w:rsid w:val="00BE4548"/>
    <w:rsid w:val="00BE53BF"/>
    <w:rsid w:val="00BE63D7"/>
    <w:rsid w:val="00BF0CAD"/>
    <w:rsid w:val="00BF2700"/>
    <w:rsid w:val="00BF2A34"/>
    <w:rsid w:val="00BF2DF6"/>
    <w:rsid w:val="00BF5699"/>
    <w:rsid w:val="00BF6721"/>
    <w:rsid w:val="00BF7004"/>
    <w:rsid w:val="00C02D9A"/>
    <w:rsid w:val="00C033E9"/>
    <w:rsid w:val="00C0389F"/>
    <w:rsid w:val="00C04326"/>
    <w:rsid w:val="00C046AD"/>
    <w:rsid w:val="00C054E3"/>
    <w:rsid w:val="00C05EB6"/>
    <w:rsid w:val="00C066B7"/>
    <w:rsid w:val="00C07AAE"/>
    <w:rsid w:val="00C07D74"/>
    <w:rsid w:val="00C104C6"/>
    <w:rsid w:val="00C11C4E"/>
    <w:rsid w:val="00C11ED5"/>
    <w:rsid w:val="00C129D2"/>
    <w:rsid w:val="00C13B84"/>
    <w:rsid w:val="00C14B04"/>
    <w:rsid w:val="00C14B7B"/>
    <w:rsid w:val="00C14D9D"/>
    <w:rsid w:val="00C1518C"/>
    <w:rsid w:val="00C1628D"/>
    <w:rsid w:val="00C20372"/>
    <w:rsid w:val="00C2356F"/>
    <w:rsid w:val="00C2367E"/>
    <w:rsid w:val="00C24C6C"/>
    <w:rsid w:val="00C25A7A"/>
    <w:rsid w:val="00C26BFF"/>
    <w:rsid w:val="00C27150"/>
    <w:rsid w:val="00C30469"/>
    <w:rsid w:val="00C3183C"/>
    <w:rsid w:val="00C32359"/>
    <w:rsid w:val="00C32D5B"/>
    <w:rsid w:val="00C33E98"/>
    <w:rsid w:val="00C347F1"/>
    <w:rsid w:val="00C34842"/>
    <w:rsid w:val="00C36AEE"/>
    <w:rsid w:val="00C36E61"/>
    <w:rsid w:val="00C375CA"/>
    <w:rsid w:val="00C41774"/>
    <w:rsid w:val="00C41780"/>
    <w:rsid w:val="00C42148"/>
    <w:rsid w:val="00C4298A"/>
    <w:rsid w:val="00C42F7B"/>
    <w:rsid w:val="00C42FD9"/>
    <w:rsid w:val="00C441E0"/>
    <w:rsid w:val="00C44A9E"/>
    <w:rsid w:val="00C457F1"/>
    <w:rsid w:val="00C45979"/>
    <w:rsid w:val="00C50EDA"/>
    <w:rsid w:val="00C51D4B"/>
    <w:rsid w:val="00C538F7"/>
    <w:rsid w:val="00C541C4"/>
    <w:rsid w:val="00C54E17"/>
    <w:rsid w:val="00C54FDB"/>
    <w:rsid w:val="00C573BC"/>
    <w:rsid w:val="00C60DDA"/>
    <w:rsid w:val="00C6228D"/>
    <w:rsid w:val="00C63846"/>
    <w:rsid w:val="00C63A3C"/>
    <w:rsid w:val="00C67D9C"/>
    <w:rsid w:val="00C70535"/>
    <w:rsid w:val="00C706D7"/>
    <w:rsid w:val="00C72590"/>
    <w:rsid w:val="00C72CCD"/>
    <w:rsid w:val="00C733F7"/>
    <w:rsid w:val="00C74457"/>
    <w:rsid w:val="00C754FD"/>
    <w:rsid w:val="00C76FDB"/>
    <w:rsid w:val="00C77E5D"/>
    <w:rsid w:val="00C80081"/>
    <w:rsid w:val="00C80E50"/>
    <w:rsid w:val="00C81982"/>
    <w:rsid w:val="00C81E8A"/>
    <w:rsid w:val="00C82DA7"/>
    <w:rsid w:val="00C83ECD"/>
    <w:rsid w:val="00C83F0B"/>
    <w:rsid w:val="00C8408B"/>
    <w:rsid w:val="00C86ABE"/>
    <w:rsid w:val="00C8720B"/>
    <w:rsid w:val="00C87C08"/>
    <w:rsid w:val="00C87E71"/>
    <w:rsid w:val="00C906EE"/>
    <w:rsid w:val="00C91270"/>
    <w:rsid w:val="00C9141A"/>
    <w:rsid w:val="00C916DE"/>
    <w:rsid w:val="00C93404"/>
    <w:rsid w:val="00C93634"/>
    <w:rsid w:val="00C943C6"/>
    <w:rsid w:val="00C94D70"/>
    <w:rsid w:val="00C9517E"/>
    <w:rsid w:val="00C96032"/>
    <w:rsid w:val="00C96BDE"/>
    <w:rsid w:val="00C975DC"/>
    <w:rsid w:val="00CA2336"/>
    <w:rsid w:val="00CA27B9"/>
    <w:rsid w:val="00CA28A7"/>
    <w:rsid w:val="00CA32FE"/>
    <w:rsid w:val="00CA39B8"/>
    <w:rsid w:val="00CA4137"/>
    <w:rsid w:val="00CA5AE4"/>
    <w:rsid w:val="00CA5B98"/>
    <w:rsid w:val="00CA6D14"/>
    <w:rsid w:val="00CA7D74"/>
    <w:rsid w:val="00CB02A1"/>
    <w:rsid w:val="00CB038B"/>
    <w:rsid w:val="00CB1797"/>
    <w:rsid w:val="00CB33C0"/>
    <w:rsid w:val="00CB4B04"/>
    <w:rsid w:val="00CB6AD7"/>
    <w:rsid w:val="00CC03C4"/>
    <w:rsid w:val="00CC2643"/>
    <w:rsid w:val="00CC338D"/>
    <w:rsid w:val="00CC3C26"/>
    <w:rsid w:val="00CC43C3"/>
    <w:rsid w:val="00CC43C5"/>
    <w:rsid w:val="00CC43CD"/>
    <w:rsid w:val="00CC4618"/>
    <w:rsid w:val="00CC4667"/>
    <w:rsid w:val="00CC73CD"/>
    <w:rsid w:val="00CD1614"/>
    <w:rsid w:val="00CD1836"/>
    <w:rsid w:val="00CD275E"/>
    <w:rsid w:val="00CD2B10"/>
    <w:rsid w:val="00CD2EF7"/>
    <w:rsid w:val="00CD38AB"/>
    <w:rsid w:val="00CD4100"/>
    <w:rsid w:val="00CD4338"/>
    <w:rsid w:val="00CD4809"/>
    <w:rsid w:val="00CD5A92"/>
    <w:rsid w:val="00CE0942"/>
    <w:rsid w:val="00CE1EF9"/>
    <w:rsid w:val="00CE1F25"/>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1F63"/>
    <w:rsid w:val="00D225E2"/>
    <w:rsid w:val="00D234AD"/>
    <w:rsid w:val="00D24AC0"/>
    <w:rsid w:val="00D26124"/>
    <w:rsid w:val="00D31DCE"/>
    <w:rsid w:val="00D33817"/>
    <w:rsid w:val="00D36464"/>
    <w:rsid w:val="00D37D03"/>
    <w:rsid w:val="00D37D3F"/>
    <w:rsid w:val="00D414EB"/>
    <w:rsid w:val="00D4260C"/>
    <w:rsid w:val="00D4285F"/>
    <w:rsid w:val="00D43278"/>
    <w:rsid w:val="00D432B7"/>
    <w:rsid w:val="00D437E5"/>
    <w:rsid w:val="00D4483E"/>
    <w:rsid w:val="00D4591C"/>
    <w:rsid w:val="00D45C8A"/>
    <w:rsid w:val="00D47C16"/>
    <w:rsid w:val="00D47C2B"/>
    <w:rsid w:val="00D47CB3"/>
    <w:rsid w:val="00D5013A"/>
    <w:rsid w:val="00D50C3C"/>
    <w:rsid w:val="00D51356"/>
    <w:rsid w:val="00D517F0"/>
    <w:rsid w:val="00D5260D"/>
    <w:rsid w:val="00D54334"/>
    <w:rsid w:val="00D544EC"/>
    <w:rsid w:val="00D55926"/>
    <w:rsid w:val="00D55EB1"/>
    <w:rsid w:val="00D57716"/>
    <w:rsid w:val="00D61EDC"/>
    <w:rsid w:val="00D64254"/>
    <w:rsid w:val="00D66646"/>
    <w:rsid w:val="00D71DF8"/>
    <w:rsid w:val="00D73509"/>
    <w:rsid w:val="00D73DBE"/>
    <w:rsid w:val="00D73E09"/>
    <w:rsid w:val="00D74290"/>
    <w:rsid w:val="00D748D8"/>
    <w:rsid w:val="00D75C89"/>
    <w:rsid w:val="00D76DB3"/>
    <w:rsid w:val="00D77C4B"/>
    <w:rsid w:val="00D77C8D"/>
    <w:rsid w:val="00D83958"/>
    <w:rsid w:val="00D8424E"/>
    <w:rsid w:val="00D84397"/>
    <w:rsid w:val="00D85018"/>
    <w:rsid w:val="00D87611"/>
    <w:rsid w:val="00D87764"/>
    <w:rsid w:val="00D90653"/>
    <w:rsid w:val="00D92ED6"/>
    <w:rsid w:val="00D9599C"/>
    <w:rsid w:val="00DA14B8"/>
    <w:rsid w:val="00DA3EFE"/>
    <w:rsid w:val="00DA4019"/>
    <w:rsid w:val="00DA4E0C"/>
    <w:rsid w:val="00DA53F8"/>
    <w:rsid w:val="00DA7843"/>
    <w:rsid w:val="00DA7E80"/>
    <w:rsid w:val="00DB0E66"/>
    <w:rsid w:val="00DB13CB"/>
    <w:rsid w:val="00DB4B08"/>
    <w:rsid w:val="00DB523F"/>
    <w:rsid w:val="00DB52E0"/>
    <w:rsid w:val="00DB5E95"/>
    <w:rsid w:val="00DB6062"/>
    <w:rsid w:val="00DB7775"/>
    <w:rsid w:val="00DB799B"/>
    <w:rsid w:val="00DC14DC"/>
    <w:rsid w:val="00DC1889"/>
    <w:rsid w:val="00DC1EEC"/>
    <w:rsid w:val="00DC2D99"/>
    <w:rsid w:val="00DC57CD"/>
    <w:rsid w:val="00DC6593"/>
    <w:rsid w:val="00DD2682"/>
    <w:rsid w:val="00DD35B0"/>
    <w:rsid w:val="00DD3CA8"/>
    <w:rsid w:val="00DD4E7A"/>
    <w:rsid w:val="00DD6533"/>
    <w:rsid w:val="00DD718B"/>
    <w:rsid w:val="00DE109D"/>
    <w:rsid w:val="00DE15D8"/>
    <w:rsid w:val="00DE26D9"/>
    <w:rsid w:val="00DE2DD4"/>
    <w:rsid w:val="00DE3DF8"/>
    <w:rsid w:val="00DE479D"/>
    <w:rsid w:val="00DE4E0C"/>
    <w:rsid w:val="00DE50FF"/>
    <w:rsid w:val="00DE5D26"/>
    <w:rsid w:val="00DE60DC"/>
    <w:rsid w:val="00DE68CB"/>
    <w:rsid w:val="00DF00F0"/>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0849"/>
    <w:rsid w:val="00E2389F"/>
    <w:rsid w:val="00E23B89"/>
    <w:rsid w:val="00E25157"/>
    <w:rsid w:val="00E261F2"/>
    <w:rsid w:val="00E265C7"/>
    <w:rsid w:val="00E268A6"/>
    <w:rsid w:val="00E27F78"/>
    <w:rsid w:val="00E30F8E"/>
    <w:rsid w:val="00E3122D"/>
    <w:rsid w:val="00E33FC1"/>
    <w:rsid w:val="00E3518D"/>
    <w:rsid w:val="00E354FC"/>
    <w:rsid w:val="00E35BF8"/>
    <w:rsid w:val="00E36521"/>
    <w:rsid w:val="00E37A2B"/>
    <w:rsid w:val="00E40D81"/>
    <w:rsid w:val="00E42EA6"/>
    <w:rsid w:val="00E439D8"/>
    <w:rsid w:val="00E460E4"/>
    <w:rsid w:val="00E463E4"/>
    <w:rsid w:val="00E47562"/>
    <w:rsid w:val="00E50CD6"/>
    <w:rsid w:val="00E52C23"/>
    <w:rsid w:val="00E5311D"/>
    <w:rsid w:val="00E54B97"/>
    <w:rsid w:val="00E55F68"/>
    <w:rsid w:val="00E57073"/>
    <w:rsid w:val="00E604E8"/>
    <w:rsid w:val="00E63258"/>
    <w:rsid w:val="00E63B7C"/>
    <w:rsid w:val="00E64357"/>
    <w:rsid w:val="00E64935"/>
    <w:rsid w:val="00E64F9E"/>
    <w:rsid w:val="00E663AF"/>
    <w:rsid w:val="00E6714A"/>
    <w:rsid w:val="00E671A5"/>
    <w:rsid w:val="00E6762A"/>
    <w:rsid w:val="00E67AA0"/>
    <w:rsid w:val="00E70167"/>
    <w:rsid w:val="00E705EC"/>
    <w:rsid w:val="00E71E8B"/>
    <w:rsid w:val="00E72812"/>
    <w:rsid w:val="00E72C60"/>
    <w:rsid w:val="00E72DB0"/>
    <w:rsid w:val="00E73765"/>
    <w:rsid w:val="00E73E81"/>
    <w:rsid w:val="00E74511"/>
    <w:rsid w:val="00E75423"/>
    <w:rsid w:val="00E75438"/>
    <w:rsid w:val="00E75DBD"/>
    <w:rsid w:val="00E777B0"/>
    <w:rsid w:val="00E77E40"/>
    <w:rsid w:val="00E815E1"/>
    <w:rsid w:val="00E833F8"/>
    <w:rsid w:val="00E83D5C"/>
    <w:rsid w:val="00E85622"/>
    <w:rsid w:val="00E865EA"/>
    <w:rsid w:val="00E86B20"/>
    <w:rsid w:val="00E87F99"/>
    <w:rsid w:val="00E87FCD"/>
    <w:rsid w:val="00E90D26"/>
    <w:rsid w:val="00E91C6A"/>
    <w:rsid w:val="00E91DE1"/>
    <w:rsid w:val="00E9498C"/>
    <w:rsid w:val="00E94E34"/>
    <w:rsid w:val="00E957A4"/>
    <w:rsid w:val="00E96A6A"/>
    <w:rsid w:val="00E97093"/>
    <w:rsid w:val="00EA00A3"/>
    <w:rsid w:val="00EA0CF2"/>
    <w:rsid w:val="00EA0D20"/>
    <w:rsid w:val="00EA2E44"/>
    <w:rsid w:val="00EA3AE4"/>
    <w:rsid w:val="00EA4A33"/>
    <w:rsid w:val="00EA58E6"/>
    <w:rsid w:val="00EA5D83"/>
    <w:rsid w:val="00EA6184"/>
    <w:rsid w:val="00EA6BDC"/>
    <w:rsid w:val="00EB0C83"/>
    <w:rsid w:val="00EB1912"/>
    <w:rsid w:val="00EB1A1B"/>
    <w:rsid w:val="00EB1C08"/>
    <w:rsid w:val="00EB1FA3"/>
    <w:rsid w:val="00EB2A3A"/>
    <w:rsid w:val="00EB34A6"/>
    <w:rsid w:val="00EB4C2F"/>
    <w:rsid w:val="00EB5959"/>
    <w:rsid w:val="00EC04E3"/>
    <w:rsid w:val="00EC0D68"/>
    <w:rsid w:val="00EC1141"/>
    <w:rsid w:val="00EC11F9"/>
    <w:rsid w:val="00EC122D"/>
    <w:rsid w:val="00EC1979"/>
    <w:rsid w:val="00EC230D"/>
    <w:rsid w:val="00EC2C8C"/>
    <w:rsid w:val="00EC6B27"/>
    <w:rsid w:val="00EC700B"/>
    <w:rsid w:val="00EC7AEE"/>
    <w:rsid w:val="00ED0082"/>
    <w:rsid w:val="00ED1842"/>
    <w:rsid w:val="00ED1C59"/>
    <w:rsid w:val="00ED2C2E"/>
    <w:rsid w:val="00ED31BD"/>
    <w:rsid w:val="00ED31E0"/>
    <w:rsid w:val="00ED3C90"/>
    <w:rsid w:val="00ED4385"/>
    <w:rsid w:val="00ED44A3"/>
    <w:rsid w:val="00ED4C7C"/>
    <w:rsid w:val="00ED57A4"/>
    <w:rsid w:val="00ED6496"/>
    <w:rsid w:val="00EE038B"/>
    <w:rsid w:val="00EE2072"/>
    <w:rsid w:val="00EE2403"/>
    <w:rsid w:val="00EE2A7E"/>
    <w:rsid w:val="00EE2B2F"/>
    <w:rsid w:val="00EE5AC9"/>
    <w:rsid w:val="00EE68B7"/>
    <w:rsid w:val="00EE7272"/>
    <w:rsid w:val="00EE7609"/>
    <w:rsid w:val="00EE782C"/>
    <w:rsid w:val="00EF2E9D"/>
    <w:rsid w:val="00EF3B34"/>
    <w:rsid w:val="00EF71E8"/>
    <w:rsid w:val="00EF7A31"/>
    <w:rsid w:val="00EF7B2E"/>
    <w:rsid w:val="00F0015C"/>
    <w:rsid w:val="00F02003"/>
    <w:rsid w:val="00F06498"/>
    <w:rsid w:val="00F0705E"/>
    <w:rsid w:val="00F071BE"/>
    <w:rsid w:val="00F10CF0"/>
    <w:rsid w:val="00F114E0"/>
    <w:rsid w:val="00F13918"/>
    <w:rsid w:val="00F1460F"/>
    <w:rsid w:val="00F15CFE"/>
    <w:rsid w:val="00F171C6"/>
    <w:rsid w:val="00F1773A"/>
    <w:rsid w:val="00F17E88"/>
    <w:rsid w:val="00F17F8C"/>
    <w:rsid w:val="00F229AC"/>
    <w:rsid w:val="00F252CD"/>
    <w:rsid w:val="00F2554C"/>
    <w:rsid w:val="00F27BD2"/>
    <w:rsid w:val="00F3030A"/>
    <w:rsid w:val="00F3079F"/>
    <w:rsid w:val="00F31DEE"/>
    <w:rsid w:val="00F32BF6"/>
    <w:rsid w:val="00F33388"/>
    <w:rsid w:val="00F33E4D"/>
    <w:rsid w:val="00F34178"/>
    <w:rsid w:val="00F34BCA"/>
    <w:rsid w:val="00F36723"/>
    <w:rsid w:val="00F37D13"/>
    <w:rsid w:val="00F405E9"/>
    <w:rsid w:val="00F4186E"/>
    <w:rsid w:val="00F41BC5"/>
    <w:rsid w:val="00F43533"/>
    <w:rsid w:val="00F440BC"/>
    <w:rsid w:val="00F442B2"/>
    <w:rsid w:val="00F462DB"/>
    <w:rsid w:val="00F47EAC"/>
    <w:rsid w:val="00F5019F"/>
    <w:rsid w:val="00F50C29"/>
    <w:rsid w:val="00F51F05"/>
    <w:rsid w:val="00F56114"/>
    <w:rsid w:val="00F573CC"/>
    <w:rsid w:val="00F57EAD"/>
    <w:rsid w:val="00F601B4"/>
    <w:rsid w:val="00F62C65"/>
    <w:rsid w:val="00F63290"/>
    <w:rsid w:val="00F652A6"/>
    <w:rsid w:val="00F66728"/>
    <w:rsid w:val="00F67649"/>
    <w:rsid w:val="00F67C9A"/>
    <w:rsid w:val="00F7072E"/>
    <w:rsid w:val="00F71C27"/>
    <w:rsid w:val="00F7283C"/>
    <w:rsid w:val="00F7396B"/>
    <w:rsid w:val="00F73A64"/>
    <w:rsid w:val="00F741CB"/>
    <w:rsid w:val="00F74FF8"/>
    <w:rsid w:val="00F7776D"/>
    <w:rsid w:val="00F81DB6"/>
    <w:rsid w:val="00F823FF"/>
    <w:rsid w:val="00F84AF9"/>
    <w:rsid w:val="00F85BB1"/>
    <w:rsid w:val="00F8697C"/>
    <w:rsid w:val="00F904F9"/>
    <w:rsid w:val="00F90ACE"/>
    <w:rsid w:val="00F9157A"/>
    <w:rsid w:val="00F916E8"/>
    <w:rsid w:val="00F91707"/>
    <w:rsid w:val="00F919C9"/>
    <w:rsid w:val="00F91A63"/>
    <w:rsid w:val="00F91EF0"/>
    <w:rsid w:val="00F92596"/>
    <w:rsid w:val="00F95973"/>
    <w:rsid w:val="00FA0B71"/>
    <w:rsid w:val="00FA0F0D"/>
    <w:rsid w:val="00FA243A"/>
    <w:rsid w:val="00FA4C93"/>
    <w:rsid w:val="00FA5FC1"/>
    <w:rsid w:val="00FA7931"/>
    <w:rsid w:val="00FB012C"/>
    <w:rsid w:val="00FB0A2F"/>
    <w:rsid w:val="00FB2200"/>
    <w:rsid w:val="00FB37E2"/>
    <w:rsid w:val="00FB38ED"/>
    <w:rsid w:val="00FB6E02"/>
    <w:rsid w:val="00FB72D9"/>
    <w:rsid w:val="00FB7E9F"/>
    <w:rsid w:val="00FC02BD"/>
    <w:rsid w:val="00FC0F42"/>
    <w:rsid w:val="00FC2365"/>
    <w:rsid w:val="00FC4CC6"/>
    <w:rsid w:val="00FC4FBB"/>
    <w:rsid w:val="00FC53C7"/>
    <w:rsid w:val="00FC5EC5"/>
    <w:rsid w:val="00FC601F"/>
    <w:rsid w:val="00FC6545"/>
    <w:rsid w:val="00FC7E37"/>
    <w:rsid w:val="00FD0324"/>
    <w:rsid w:val="00FD071A"/>
    <w:rsid w:val="00FD0BF9"/>
    <w:rsid w:val="00FD3EF8"/>
    <w:rsid w:val="00FD54EB"/>
    <w:rsid w:val="00FD7196"/>
    <w:rsid w:val="00FE0BEA"/>
    <w:rsid w:val="00FE0D6A"/>
    <w:rsid w:val="00FE2C1F"/>
    <w:rsid w:val="00FE4665"/>
    <w:rsid w:val="00FE539F"/>
    <w:rsid w:val="00FE5A41"/>
    <w:rsid w:val="00FE5AAB"/>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6E66E5"/>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7EF4160"/>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8E1108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23D570"/>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588410"/>
    <w:rsid w:val="636198AD"/>
    <w:rsid w:val="63753164"/>
    <w:rsid w:val="63A29E6B"/>
    <w:rsid w:val="63B366FE"/>
    <w:rsid w:val="63F1DF7F"/>
    <w:rsid w:val="641D45CE"/>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2D911"/>
    <w:rsid w:val="6AA64786"/>
    <w:rsid w:val="6AA89EEA"/>
    <w:rsid w:val="6AA91BA3"/>
    <w:rsid w:val="6AD20ED4"/>
    <w:rsid w:val="6BAE07D7"/>
    <w:rsid w:val="6BD47994"/>
    <w:rsid w:val="6C06BB6F"/>
    <w:rsid w:val="6C1A47A6"/>
    <w:rsid w:val="6C662F01"/>
    <w:rsid w:val="6C9023DA"/>
    <w:rsid w:val="6CAD4DC2"/>
    <w:rsid w:val="6CD068BD"/>
    <w:rsid w:val="6D31ABFA"/>
    <w:rsid w:val="6D72E780"/>
    <w:rsid w:val="6DAEF4CA"/>
    <w:rsid w:val="6DE0BC65"/>
    <w:rsid w:val="6E6D5E88"/>
    <w:rsid w:val="6EBC1B3C"/>
    <w:rsid w:val="6EFA4A49"/>
    <w:rsid w:val="6F4FE255"/>
    <w:rsid w:val="6F6C6E4E"/>
    <w:rsid w:val="6F7C8CC6"/>
    <w:rsid w:val="6F800330"/>
    <w:rsid w:val="707669C1"/>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9B36FC65-1EED-4884-9324-7D4D4F82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iPriority w:val="99"/>
    <w:unhideWhenUsed/>
    <w:rsid w:val="005723B9"/>
    <w:pPr>
      <w:spacing w:after="0" w:line="240" w:lineRule="auto"/>
    </w:pPr>
    <w:rPr>
      <w:sz w:val="20"/>
      <w:szCs w:val="20"/>
    </w:rPr>
  </w:style>
  <w:style w:type="character" w:customStyle="1" w:styleId="FootnoteTextChar">
    <w:name w:val="Footnote Text Char"/>
    <w:basedOn w:val="DefaultParagraphFont"/>
    <w:link w:val="FootnoteText"/>
    <w:uiPriority w:val="99"/>
    <w:rsid w:val="005723B9"/>
    <w:rPr>
      <w:sz w:val="20"/>
      <w:szCs w:val="20"/>
    </w:rPr>
  </w:style>
  <w:style w:type="character" w:styleId="FootnoteReference">
    <w:name w:val="footnote reference"/>
    <w:basedOn w:val="DefaultParagraphFont"/>
    <w:uiPriority w:val="99"/>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styleId="BodyText">
    <w:name w:val="Body Text"/>
    <w:basedOn w:val="Normal"/>
    <w:link w:val="BodyTextChar"/>
    <w:rsid w:val="00601D0B"/>
    <w:pPr>
      <w:tabs>
        <w:tab w:val="center" w:pos="4680"/>
      </w:tabs>
      <w:spacing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601D0B"/>
    <w:rPr>
      <w:rFonts w:ascii="Arial" w:eastAsia="Times New Roman" w:hAnsi="Arial" w:cs="Times New Roman"/>
      <w:sz w:val="24"/>
      <w:szCs w:val="20"/>
    </w:rPr>
  </w:style>
  <w:style w:type="paragraph" w:customStyle="1" w:styleId="BulletLevel1Header">
    <w:name w:val="Bullet Level 1 Header"/>
    <w:basedOn w:val="ListParagraph"/>
    <w:next w:val="Normal"/>
    <w:qFormat/>
    <w:rsid w:val="00601D0B"/>
    <w:pPr>
      <w:numPr>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Pr>
      <w:rFonts w:ascii="Calibri" w:hAnsi="Calibri" w:eastAsiaTheme="minorHAnsi" w:cs="Calibri"/>
      <w:b/>
    </w:rPr>
  </w:style>
  <w:style w:type="paragraph" w:customStyle="1" w:styleId="BulletLevel2Header">
    <w:name w:val="Bullet Level 2 Header"/>
    <w:basedOn w:val="ListParagraph"/>
    <w:qFormat/>
    <w:rsid w:val="00601D0B"/>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Pr>
      <w:rFonts w:eastAsiaTheme="minorHAnsi"/>
      <w:b/>
    </w:rPr>
  </w:style>
  <w:style w:type="paragraph" w:customStyle="1" w:styleId="Default">
    <w:name w:val="Default"/>
    <w:rsid w:val="00CC4667"/>
    <w:pPr>
      <w:autoSpaceDE w:val="0"/>
      <w:autoSpaceDN w:val="0"/>
      <w:adjustRightInd w:val="0"/>
      <w:spacing w:after="0" w:line="240" w:lineRule="auto"/>
    </w:pPr>
    <w:rPr>
      <w:rFonts w:ascii="Times New Roman" w:hAnsi="Times New Roman" w:eastAsiaTheme="minorHAnsi" w:cs="Times New Roman"/>
      <w:color w:val="000000"/>
      <w:sz w:val="24"/>
      <w:szCs w:val="24"/>
    </w:rPr>
  </w:style>
  <w:style w:type="paragraph" w:customStyle="1" w:styleId="BulletLevel1">
    <w:name w:val="Bullet Level 1"/>
    <w:basedOn w:val="ListParagraph"/>
    <w:qFormat/>
    <w:rsid w:val="00913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val="0"/>
    </w:pPr>
    <w:rPr>
      <w:rFonts w:ascii="Calibri" w:hAnsi="Calibri" w:eastAsiaTheme="minorHAnsi" w:cs="Calibri"/>
    </w:rPr>
  </w:style>
  <w:style w:type="paragraph" w:customStyle="1" w:styleId="Style1">
    <w:name w:val="Style1"/>
    <w:basedOn w:val="Heading2"/>
    <w:qFormat/>
    <w:rsid w:val="009136C6"/>
    <w:pPr>
      <w:numPr>
        <w:ilvl w:val="1"/>
      </w:numPr>
      <w:spacing w:line="259" w:lineRule="auto"/>
      <w:ind w:left="720" w:hanging="720"/>
    </w:pPr>
    <w:rPr>
      <w:color w:val="2F5496" w:themeColor="accent1" w:themeShade="BF"/>
      <w:sz w:val="26"/>
      <w:szCs w:val="26"/>
    </w:rPr>
  </w:style>
  <w:style w:type="paragraph" w:customStyle="1" w:styleId="BulletLevel2">
    <w:name w:val="Bullet Level 2"/>
    <w:basedOn w:val="ListParagraph"/>
    <w:qFormat/>
    <w:rsid w:val="009136C6"/>
    <w:pPr>
      <w:spacing w:line="240" w:lineRule="auto"/>
      <w:ind w:left="1440"/>
    </w:pPr>
    <w:rPr>
      <w:rFonts w:ascii="Calibri" w:hAnsi="Calibri" w:eastAsiaTheme="minorHAnsi" w:cs="Calibri"/>
    </w:rPr>
  </w:style>
  <w:style w:type="paragraph" w:customStyle="1" w:styleId="BulleyLevel3Header">
    <w:name w:val="Bulley Level 3 Header"/>
    <w:basedOn w:val="ListParagraph"/>
    <w:qFormat/>
    <w:rsid w:val="009136C6"/>
    <w:pPr>
      <w:numPr>
        <w:numId w:val="35"/>
      </w:numPr>
    </w:pPr>
    <w:rPr>
      <w:rFonts w:eastAsiaTheme="minorHAnsi"/>
      <w:b/>
    </w:rPr>
  </w:style>
  <w:style w:type="paragraph" w:customStyle="1" w:styleId="BulletLevel3">
    <w:name w:val="Bullet Level 3"/>
    <w:basedOn w:val="ListParagraph"/>
    <w:qFormat/>
    <w:rsid w:val="009136C6"/>
    <w:pPr>
      <w:spacing w:line="240" w:lineRule="auto"/>
      <w:ind w:left="1800"/>
    </w:pPr>
    <w:rPr>
      <w:rFonts w:ascii="Calibri" w:hAnsi="Calibri" w:eastAsiaTheme="minorHAnsi" w:cs="Calibri"/>
    </w:rPr>
  </w:style>
  <w:style w:type="character" w:styleId="Mention">
    <w:name w:val="Mention"/>
    <w:basedOn w:val="DefaultParagraphFont"/>
    <w:uiPriority w:val="99"/>
    <w:unhideWhenUsed/>
    <w:rsid w:val="000F70D9"/>
    <w:rPr>
      <w:color w:val="2B579A"/>
      <w:shd w:val="clear" w:color="auto" w:fill="E1DFDD"/>
    </w:rPr>
  </w:style>
  <w:style w:type="character" w:customStyle="1" w:styleId="cf01">
    <w:name w:val="cf01"/>
    <w:basedOn w:val="DefaultParagraphFont"/>
    <w:rsid w:val="00B12C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sites/production/files/2015-09/documents/npdesea.pdf" TargetMode="External" /><Relationship Id="rId11" Type="http://schemas.openxmlformats.org/officeDocument/2006/relationships/hyperlink" Target="https://www.opm.gov/policy-data-oversight/pay-leave/salaries-wages/salary-tables/pdf/2024/GS.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lcf76f155ced4ddcb4097134ff3c332f xmlns="ac3b49f6-dd20-4a49-ba92-2d4d52ff2b3f">
      <Terms xmlns="http://schemas.microsoft.com/office/infopath/2007/PartnerControls"/>
    </lcf76f155ced4ddcb4097134ff3c332f>
    <Record xmlns="4ffa91fb-a0ff-4ac5-b2db-65c790d184a4">Shared</Record>
    <_ip_UnifiedCompliancePolicyProperties xmlns="http://schemas.microsoft.com/sharepoint/v3" xsi:nil="true"/>
    <Notes xmlns="ac3b49f6-dd20-4a49-ba92-2d4d52ff2b3f" xsi:nil="true"/>
    <Rights xmlns="4ffa91fb-a0ff-4ac5-b2db-65c790d184a4" xsi:nil="true"/>
    <Document_x0020_Creation_x0020_Date xmlns="4ffa91fb-a0ff-4ac5-b2db-65c790d184a4">2024-10-03T13:58:06+00:00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AddedtoExcel_x003f_ xmlns="ac3b49f6-dd20-4a49-ba92-2d4d52ff2b3f">false</AddedtoExcel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2CC818B0AB19428705E72DAFDF541F" ma:contentTypeVersion="20" ma:contentTypeDescription="Create a new document." ma:contentTypeScope="" ma:versionID="f5681e22fbb4600114c7de9a70b39fc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c3b49f6-dd20-4a49-ba92-2d4d52ff2b3f" xmlns:ns6="5ac1d4f1-1736-461c-bc70-7e033fb379e8" targetNamespace="http://schemas.microsoft.com/office/2006/metadata/properties" ma:root="true" ma:fieldsID="e8ee39a2d94976d7e222b11f2d71bad0" ns1:_="" ns2:_="" ns3:_="" ns4:_="" ns5:_="" ns6:_="">
    <xsd:import namespace="http://schemas.microsoft.com/sharepoint/v3"/>
    <xsd:import namespace="4ffa91fb-a0ff-4ac5-b2db-65c790d184a4"/>
    <xsd:import namespace="http://schemas.microsoft.com/sharepoint.v3"/>
    <xsd:import namespace="http://schemas.microsoft.com/sharepoint/v3/fields"/>
    <xsd:import namespace="ac3b49f6-dd20-4a49-ba92-2d4d52ff2b3f"/>
    <xsd:import namespace="5ac1d4f1-1736-461c-bc70-7e033fb379e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Location" minOccurs="0"/>
                <xsd:element ref="ns1:_ip_UnifiedCompliancePolicyProperties" minOccurs="0"/>
                <xsd:element ref="ns1:_ip_UnifiedCompliancePolicyUIAction" minOccurs="0"/>
                <xsd:element ref="ns5:MediaServiceObjectDetectorVersions" minOccurs="0"/>
                <xsd:element ref="ns5:AddedtoExcel_x003f_" minOccurs="0"/>
                <xsd:element ref="ns5:MediaServiceSearchProperties" minOccurs="0"/>
                <xsd:element ref="ns5: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3f92367-004d-4e5f-9c7c-0c0e86988e66}" ma:internalName="TaxCatchAllLabel" ma:readOnly="true" ma:showField="CatchAllDataLabel" ma:web="5ac1d4f1-1736-461c-bc70-7e033fb379e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3f92367-004d-4e5f-9c7c-0c0e86988e66}" ma:internalName="TaxCatchAll" ma:showField="CatchAllData" ma:web="5ac1d4f1-1736-461c-bc70-7e033fb379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b49f6-dd20-4a49-ba92-2d4d52ff2b3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AddedtoExcel_x003f_" ma:index="43" nillable="true" ma:displayName="Added to Excel?" ma:default="0" ma:format="Dropdown" ma:internalName="AddedtoExcel_x003f_">
      <xsd:simpleType>
        <xsd:restriction base="dms:Boolean"/>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Notes" ma:index="45" nillable="true" ma:displayName="Notes" ma:description="last updated/saved"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1d4f1-1736-461c-bc70-7e033fb379e8"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ac3b49f6-dd20-4a49-ba92-2d4d52ff2b3f"/>
    <ds:schemaRef ds:uri="http://schemas.microsoft.com/sharepoint.v3"/>
  </ds:schemaRefs>
</ds:datastoreItem>
</file>

<file path=customXml/itemProps2.xml><?xml version="1.0" encoding="utf-8"?>
<ds:datastoreItem xmlns:ds="http://schemas.openxmlformats.org/officeDocument/2006/customXml" ds:itemID="{7F1A4085-898A-44A9-8250-408C66D8D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c3b49f6-dd20-4a49-ba92-2d4d52ff2b3f"/>
    <ds:schemaRef ds:uri="5ac1d4f1-1736-461c-bc70-7e033fb37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71B90D9E-A396-4424-A74C-BA584E6208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7669</Words>
  <Characters>43210</Characters>
  <Application>Microsoft Office Word</Application>
  <DocSecurity>0</DocSecurity>
  <Lines>1107</Lines>
  <Paragraphs>519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2025-02-24T15:36:00Z</dcterms:created>
  <dcterms:modified xsi:type="dcterms:W3CDTF">2025-02-24T15:36:00Z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0x0101008131BD0C33BAD64288857839A46BF86B</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MediaServiceImageTags">
    <vt:lpwstr/>
  </property>
  <property fmtid="{D5CDD505-2E9C-101B-9397-08002B2CF9AE}" pid="8" name="TaxKeyword">
    <vt:lpwstr/>
  </property>
  <property fmtid="{D5CDD505-2E9C-101B-9397-08002B2CF9AE}" pid="9" name="_ExtendedDescription">
    <vt:lpwstr/>
  </property>
</Properties>
</file>