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672D" w:rsidRPr="009315A1" w:rsidP="00A7672D" w14:paraId="3FA966A5" w14:textId="77777777">
      <w:pPr>
        <w:widowControl/>
        <w:jc w:val="center"/>
        <w:rPr>
          <w:b/>
          <w:bCs/>
          <w:sz w:val="32"/>
          <w:szCs w:val="32"/>
        </w:rPr>
      </w:pPr>
      <w:r w:rsidRPr="009315A1">
        <w:rPr>
          <w:b/>
          <w:bCs/>
          <w:sz w:val="32"/>
          <w:szCs w:val="32"/>
        </w:rPr>
        <w:t>Supporting Statement A</w:t>
      </w:r>
    </w:p>
    <w:p w:rsidR="00A7672D" w:rsidRPr="009315A1" w:rsidP="00A7672D" w14:paraId="60D38C59" w14:textId="77777777">
      <w:pPr>
        <w:widowControl/>
        <w:jc w:val="center"/>
        <w:rPr>
          <w:b/>
          <w:bCs/>
          <w:sz w:val="28"/>
          <w:szCs w:val="28"/>
        </w:rPr>
      </w:pPr>
    </w:p>
    <w:p w:rsidR="00A7672D" w:rsidRPr="009315A1" w:rsidP="00A7672D" w14:paraId="2EBC2C51" w14:textId="4CA06592">
      <w:pPr>
        <w:widowControl/>
        <w:jc w:val="center"/>
        <w:rPr>
          <w:b/>
          <w:bCs/>
          <w:sz w:val="32"/>
          <w:szCs w:val="32"/>
        </w:rPr>
      </w:pPr>
      <w:r w:rsidRPr="009315A1">
        <w:rPr>
          <w:b/>
          <w:bCs/>
          <w:sz w:val="32"/>
          <w:szCs w:val="32"/>
        </w:rPr>
        <w:t>RECREATION USE DATA REPORT</w:t>
      </w:r>
    </w:p>
    <w:p w:rsidR="00A7672D" w:rsidRPr="009315A1" w:rsidP="00A7672D" w14:paraId="03FCEE2E" w14:textId="77777777">
      <w:pPr>
        <w:widowControl/>
        <w:jc w:val="center"/>
        <w:rPr>
          <w:b/>
          <w:bCs/>
        </w:rPr>
      </w:pPr>
    </w:p>
    <w:p w:rsidR="00A7672D" w:rsidRPr="009315A1" w:rsidP="00A7672D" w14:paraId="194A0A85" w14:textId="77777777">
      <w:pPr>
        <w:widowControl/>
        <w:jc w:val="center"/>
        <w:rPr>
          <w:b/>
          <w:bCs/>
          <w:sz w:val="32"/>
          <w:szCs w:val="32"/>
        </w:rPr>
      </w:pPr>
      <w:r w:rsidRPr="009315A1">
        <w:rPr>
          <w:b/>
          <w:bCs/>
          <w:sz w:val="32"/>
          <w:szCs w:val="32"/>
        </w:rPr>
        <w:t>OMB Control Number 1006-0002</w:t>
      </w:r>
    </w:p>
    <w:p w:rsidR="005512ED" w:rsidRPr="009315A1" w:rsidP="00A7672D" w14:paraId="48823F72" w14:textId="77777777">
      <w:pPr>
        <w:widowControl/>
        <w:jc w:val="center"/>
        <w:rPr>
          <w:b/>
          <w:bCs/>
        </w:rPr>
      </w:pPr>
    </w:p>
    <w:p w:rsidR="009330FE" w:rsidRPr="009315A1" w:rsidP="00A46AE3" w14:paraId="47C8DBEB" w14:textId="77777777">
      <w:pPr>
        <w:rPr>
          <w:b/>
          <w:bCs/>
          <w:sz w:val="32"/>
          <w:szCs w:val="32"/>
        </w:rPr>
      </w:pPr>
      <w:r w:rsidRPr="009315A1">
        <w:rPr>
          <w:b/>
          <w:bCs/>
          <w:sz w:val="32"/>
          <w:szCs w:val="32"/>
        </w:rPr>
        <w:t>Terms of Clearance:  None</w:t>
      </w:r>
    </w:p>
    <w:p w:rsidR="00E20CE9" w:rsidRPr="009315A1" w:rsidP="00F720E0" w14:paraId="7FA9A899" w14:textId="77777777">
      <w:pPr>
        <w:rPr>
          <w:b/>
        </w:rPr>
      </w:pPr>
    </w:p>
    <w:p w:rsidR="006B6777" w:rsidRPr="009315A1" w:rsidP="00426879" w14:paraId="2AB5FACE" w14:textId="77777777">
      <w:r w:rsidRPr="009315A1">
        <w:rPr>
          <w:b/>
        </w:rPr>
        <w:t>General Instructions</w:t>
      </w:r>
    </w:p>
    <w:p w:rsidR="006B6777" w:rsidRPr="009315A1" w:rsidP="007D2E5C" w14:paraId="2263892E" w14:textId="77777777"/>
    <w:p w:rsidR="005B181D" w:rsidRPr="009315A1" w:rsidP="004865B7" w14:paraId="5F926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315A1">
        <w:t xml:space="preserve">A completed Supporting Statement A must accompany each request for approval of a collection of information.  The Supporting Statement must be prepared in the format described </w:t>
      </w:r>
      <w:r w:rsidRPr="009315A1" w:rsidR="001D45AB">
        <w:t>below and</w:t>
      </w:r>
      <w:r w:rsidRPr="009315A1">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5B181D" w:rsidRPr="009315A1" w:rsidP="004865B7" w14:paraId="0DF0E1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B181D" w:rsidRPr="009315A1" w:rsidP="005938B6" w14:paraId="6D16D4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315A1">
        <w:rPr>
          <w:b/>
          <w:bCs/>
        </w:rPr>
        <w:t>Specific Instructions</w:t>
      </w:r>
    </w:p>
    <w:p w:rsidR="005B181D" w:rsidRPr="009315A1" w:rsidP="005D5DBD" w14:paraId="1FF34D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B181D" w:rsidRPr="009315A1" w:rsidP="00A46AE3" w14:paraId="53F329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9315A1">
        <w:rPr>
          <w:b/>
          <w:bCs/>
        </w:rPr>
        <w:t>Justification</w:t>
      </w:r>
    </w:p>
    <w:p w:rsidR="009330FE" w:rsidRPr="009315A1" w:rsidP="00A46AE3" w14:paraId="327CFFE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B181D" w:rsidRPr="009315A1" w:rsidP="00A46AE3" w14:paraId="0072D8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1</w:t>
      </w:r>
      <w:r w:rsidRPr="009315A1">
        <w:t>.</w:t>
      </w:r>
      <w:r w:rsidRPr="009315A1">
        <w:tab/>
      </w:r>
      <w:r w:rsidRPr="009315A1">
        <w:rPr>
          <w:b/>
        </w:rPr>
        <w:t>Explain the circumstances that make the collection of information necessary.  Identify any legal or administrative requirements that necessitate the collection.</w:t>
      </w:r>
    </w:p>
    <w:p w:rsidR="009330FE" w:rsidRPr="009315A1" w:rsidP="00A46AE3" w14:paraId="50D64F78" w14:textId="77777777"/>
    <w:p w:rsidR="0037782F" w:rsidRPr="009315A1" w:rsidP="00A46AE3" w14:paraId="48B3A103" w14:textId="397D3155">
      <w:pPr>
        <w:pStyle w:val="BodyTextIndent"/>
        <w:spacing w:after="0"/>
        <w:contextualSpacing/>
      </w:pPr>
      <w:r w:rsidRPr="009315A1">
        <w:t xml:space="preserve">The Bureau of Reclamation (Reclamation) is responsible for recreation development at </w:t>
      </w:r>
      <w:r w:rsidRPr="009315A1" w:rsidR="005165E7">
        <w:t>its reservoirs</w:t>
      </w:r>
      <w:r w:rsidRPr="009315A1" w:rsidR="00965CAE">
        <w:t xml:space="preserve"> when such development is determined to be feasible</w:t>
      </w:r>
      <w:r w:rsidRPr="009315A1" w:rsidR="005165E7">
        <w:t>.  T</w:t>
      </w:r>
      <w:r w:rsidRPr="009315A1">
        <w:t>here are</w:t>
      </w:r>
      <w:r w:rsidRPr="009315A1" w:rsidR="004D14A3">
        <w:rPr>
          <w:lang w:val="en-US"/>
        </w:rPr>
        <w:t xml:space="preserve"> </w:t>
      </w:r>
      <w:r w:rsidRPr="00EA034D" w:rsidR="004D14A3">
        <w:rPr>
          <w:lang w:val="en-US"/>
        </w:rPr>
        <w:t>over</w:t>
      </w:r>
      <w:r w:rsidRPr="00EA034D">
        <w:t xml:space="preserve"> </w:t>
      </w:r>
      <w:r w:rsidRPr="00EA034D" w:rsidR="00222D60">
        <w:rPr>
          <w:lang w:val="en-US"/>
        </w:rPr>
        <w:t>325</w:t>
      </w:r>
      <w:r w:rsidRPr="009315A1">
        <w:t xml:space="preserve"> designated recrea</w:t>
      </w:r>
      <w:r w:rsidRPr="009315A1" w:rsidR="005012DB">
        <w:t xml:space="preserve">tion areas </w:t>
      </w:r>
      <w:r w:rsidRPr="009315A1" w:rsidR="005165E7">
        <w:t xml:space="preserve">as a </w:t>
      </w:r>
      <w:r w:rsidRPr="009315A1" w:rsidR="005012DB">
        <w:t>result of R</w:t>
      </w:r>
      <w:r w:rsidRPr="009315A1" w:rsidR="005165E7">
        <w:t>eclamation’s water related project developments</w:t>
      </w:r>
      <w:r w:rsidRPr="009315A1" w:rsidR="005012DB">
        <w:t xml:space="preserve"> </w:t>
      </w:r>
      <w:r w:rsidRPr="009315A1">
        <w:t>within the 17 Western States.  Recreation on Reclamation l</w:t>
      </w:r>
      <w:r w:rsidRPr="009315A1" w:rsidR="003F372C">
        <w:t>ands is primarily governed</w:t>
      </w:r>
      <w:r w:rsidRPr="009315A1" w:rsidR="00DB2C12">
        <w:t xml:space="preserve"> by the following</w:t>
      </w:r>
      <w:r w:rsidRPr="009315A1">
        <w:t xml:space="preserve"> legislati</w:t>
      </w:r>
      <w:r w:rsidR="00CF155A">
        <w:rPr>
          <w:lang w:val="en-US"/>
        </w:rPr>
        <w:t>ve authorities</w:t>
      </w:r>
      <w:r w:rsidRPr="009315A1">
        <w:t xml:space="preserve">:  </w:t>
      </w:r>
      <w:r w:rsidRPr="009315A1" w:rsidR="00DB2C12">
        <w:t>The Reclamation Recreation Act of 1992 (</w:t>
      </w:r>
      <w:r w:rsidR="007D7CB5">
        <w:rPr>
          <w:lang w:val="en-US"/>
        </w:rPr>
        <w:t>16 U.S.C. 460I-31</w:t>
      </w:r>
      <w:r w:rsidRPr="009315A1" w:rsidR="00DB2C12">
        <w:t>)</w:t>
      </w:r>
      <w:r w:rsidR="001C40EA">
        <w:rPr>
          <w:lang w:val="en-US"/>
        </w:rPr>
        <w:t xml:space="preserve"> (the Act)</w:t>
      </w:r>
      <w:r w:rsidRPr="009315A1" w:rsidR="00DB2C12">
        <w:t>, which amended t</w:t>
      </w:r>
      <w:r w:rsidRPr="009315A1">
        <w:t>he Federal Water P</w:t>
      </w:r>
      <w:r w:rsidRPr="009315A1" w:rsidR="005165E7">
        <w:t>rojects Recreation Act of 1965 (</w:t>
      </w:r>
      <w:r w:rsidR="008238FB">
        <w:rPr>
          <w:lang w:val="en-US"/>
        </w:rPr>
        <w:t>16 U.S.C. 460I</w:t>
      </w:r>
      <w:r w:rsidRPr="009315A1" w:rsidR="005165E7">
        <w:t>)</w:t>
      </w:r>
      <w:r w:rsidRPr="009315A1" w:rsidR="00DB2C12">
        <w:t>.</w:t>
      </w:r>
    </w:p>
    <w:p w:rsidR="0037782F" w:rsidRPr="009315A1" w:rsidP="00A46AE3" w14:paraId="2E34BD0B" w14:textId="77777777">
      <w:pPr>
        <w:pStyle w:val="BodyTextIndent"/>
        <w:spacing w:after="0"/>
        <w:contextualSpacing/>
      </w:pPr>
    </w:p>
    <w:p w:rsidR="00430479" w:rsidRPr="009315A1" w:rsidP="00A46AE3" w14:paraId="38451761" w14:textId="77777777">
      <w:pPr>
        <w:pStyle w:val="BodyTextIndent"/>
        <w:spacing w:after="0"/>
        <w:contextualSpacing/>
      </w:pPr>
      <w:r>
        <w:rPr>
          <w:lang w:val="en-US"/>
        </w:rPr>
        <w:t xml:space="preserve">The Act </w:t>
      </w:r>
      <w:r w:rsidRPr="009315A1">
        <w:t>recognizes</w:t>
      </w:r>
      <w:r w:rsidRPr="009315A1" w:rsidR="005165E7">
        <w:t xml:space="preserve"> the responsibility of the Federal government </w:t>
      </w:r>
      <w:r w:rsidRPr="009315A1">
        <w:t>to provide opportunities for public recreation at Federal water projects.  Further, section</w:t>
      </w:r>
      <w:r w:rsidRPr="009315A1" w:rsidR="005165E7">
        <w:t xml:space="preserve"> 2802(2) of the same Act</w:t>
      </w:r>
      <w:r w:rsidRPr="009315A1" w:rsidR="00D73566">
        <w:t xml:space="preserve"> acknowledges the public </w:t>
      </w:r>
      <w:r w:rsidRPr="009315A1">
        <w:t>demand for outdoor recreation and</w:t>
      </w:r>
      <w:r w:rsidRPr="009315A1" w:rsidR="00D73566">
        <w:t xml:space="preserve"> the impact on</w:t>
      </w:r>
      <w:r w:rsidRPr="009315A1">
        <w:t xml:space="preserve"> changes in the economic climate for recreation m</w:t>
      </w:r>
      <w:r w:rsidRPr="009315A1" w:rsidR="00D73566">
        <w:t>anaging entities.  S</w:t>
      </w:r>
      <w:r w:rsidRPr="009315A1">
        <w:t>ection 2802(5) states that there should be Federal authority to expand existing recreation facilities to meet public demand.</w:t>
      </w:r>
      <w:r w:rsidRPr="009315A1" w:rsidR="00C85653">
        <w:t xml:space="preserve">  </w:t>
      </w:r>
      <w:r w:rsidRPr="009315A1" w:rsidR="00B3656B">
        <w:t xml:space="preserve">Pursuant to the applicable sections of </w:t>
      </w:r>
      <w:r w:rsidRPr="009315A1">
        <w:t>this legislation, Reclamation must be able to respond to emerging</w:t>
      </w:r>
      <w:r w:rsidRPr="009315A1" w:rsidR="00B3656B">
        <w:t xml:space="preserve"> modern trends and demands </w:t>
      </w:r>
      <w:r w:rsidRPr="009315A1">
        <w:t>from the public</w:t>
      </w:r>
      <w:r w:rsidRPr="009315A1" w:rsidR="00B3656B">
        <w:t>.  Consequently, s</w:t>
      </w:r>
      <w:r w:rsidRPr="009315A1">
        <w:t>tatistically valid and up-to-date data derived from the</w:t>
      </w:r>
      <w:r w:rsidRPr="009315A1" w:rsidR="00D71A02">
        <w:t xml:space="preserve"> user constituencies is necessary in order to provide recreation programs beneficial to the public</w:t>
      </w:r>
      <w:r w:rsidRPr="009315A1">
        <w:t xml:space="preserve">.  </w:t>
      </w:r>
    </w:p>
    <w:p w:rsidR="00430479" w:rsidRPr="009315A1" w:rsidP="00A46AE3" w14:paraId="4D9EA98C" w14:textId="77777777">
      <w:pPr>
        <w:ind w:left="1800"/>
      </w:pPr>
      <w:r w:rsidRPr="009315A1">
        <w:br w:type="page"/>
      </w:r>
    </w:p>
    <w:p w:rsidR="00430479" w:rsidRPr="009315A1" w:rsidP="00A46AE3" w14:paraId="5ADB3A5F" w14:textId="77777777">
      <w:pPr>
        <w:pStyle w:val="BodyTextIndent"/>
        <w:spacing w:after="0"/>
      </w:pPr>
      <w:r>
        <w:rPr>
          <w:lang w:val="en-US"/>
        </w:rPr>
        <w:t>S</w:t>
      </w:r>
      <w:r w:rsidRPr="009315A1">
        <w:t>ection</w:t>
      </w:r>
      <w:r w:rsidRPr="009315A1">
        <w:t xml:space="preserve"> 2805(c)(1)(A) </w:t>
      </w:r>
      <w:r>
        <w:rPr>
          <w:lang w:val="en-US"/>
        </w:rPr>
        <w:t xml:space="preserve">of the Act </w:t>
      </w:r>
      <w:r w:rsidRPr="009315A1">
        <w:t xml:space="preserve">authorizes the Secretary of the Interior (Secretary), acting through the Commissioner of Reclamation, to develop, maintain, and revise resource management plans to provide for the development, use, conservation, protection, enhancement, and management of resources on Reclamation lands. </w:t>
      </w:r>
      <w:r w:rsidRPr="009315A1" w:rsidR="00D71A02">
        <w:t xml:space="preserve"> </w:t>
      </w:r>
      <w:r w:rsidRPr="009315A1">
        <w:t>Data gathered, through use of the requested inf</w:t>
      </w:r>
      <w:r w:rsidRPr="009315A1" w:rsidR="00DB2C12">
        <w:t xml:space="preserve">ormation collection, </w:t>
      </w:r>
      <w:r w:rsidRPr="009315A1">
        <w:t>aid</w:t>
      </w:r>
      <w:r w:rsidRPr="009315A1" w:rsidR="00745AB6">
        <w:rPr>
          <w:lang w:val="en-US"/>
        </w:rPr>
        <w:t>s</w:t>
      </w:r>
      <w:r w:rsidRPr="009315A1">
        <w:t xml:space="preserve"> Reclamation recreation planners, economists, environm</w:t>
      </w:r>
      <w:r w:rsidRPr="009315A1" w:rsidR="00DB2C12">
        <w:t>entalist</w:t>
      </w:r>
      <w:r w:rsidRPr="009315A1" w:rsidR="00965CAE">
        <w:t>s</w:t>
      </w:r>
      <w:r w:rsidRPr="009315A1" w:rsidR="00DB2C12">
        <w:t xml:space="preserve">, and </w:t>
      </w:r>
      <w:r w:rsidR="00CF155A">
        <w:rPr>
          <w:lang w:val="en-US"/>
        </w:rPr>
        <w:t>natural resource specialists</w:t>
      </w:r>
      <w:r w:rsidRPr="009315A1" w:rsidR="00DB2C12">
        <w:t xml:space="preserve"> with </w:t>
      </w:r>
      <w:r w:rsidRPr="009315A1" w:rsidR="00965CAE">
        <w:t xml:space="preserve">feasibility determinations for </w:t>
      </w:r>
      <w:r w:rsidRPr="009315A1" w:rsidR="00DB2C12">
        <w:t xml:space="preserve">the </w:t>
      </w:r>
      <w:r w:rsidRPr="009315A1" w:rsidR="00D7266D">
        <w:t xml:space="preserve">development or modification </w:t>
      </w:r>
      <w:r w:rsidRPr="009315A1" w:rsidR="00DB2C12">
        <w:t>of recreation areas.</w:t>
      </w:r>
    </w:p>
    <w:p w:rsidR="009330FE" w:rsidRPr="009315A1" w:rsidP="00A7672D" w14:paraId="275B3889" w14:textId="77777777"/>
    <w:p w:rsidR="005B181D" w:rsidRPr="009315A1" w:rsidP="00426879" w14:paraId="7194BA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2.</w:t>
      </w:r>
      <w:r w:rsidRPr="009315A1">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B181D" w:rsidRPr="009315A1" w:rsidP="007D2E5C" w14:paraId="71C105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712B4D" w:rsidRPr="009315A1" w:rsidP="00A46AE3" w14:paraId="150D013C" w14:textId="77777777">
      <w:pPr>
        <w:keepNext/>
        <w:keepLines/>
        <w:ind w:left="360"/>
      </w:pPr>
      <w:r w:rsidRPr="009315A1">
        <w:t>Data obtained from the Re</w:t>
      </w:r>
      <w:r w:rsidRPr="009315A1" w:rsidR="00A51D18">
        <w:t>creation Use Data Report is</w:t>
      </w:r>
      <w:r w:rsidRPr="009315A1">
        <w:t xml:space="preserve"> used by Reclamation to account for visitation, revenue,</w:t>
      </w:r>
      <w:r w:rsidRPr="009315A1" w:rsidR="00D32656">
        <w:t xml:space="preserve"> concessions operations,</w:t>
      </w:r>
      <w:r w:rsidRPr="009315A1">
        <w:t xml:space="preserve"> and use by the recreatin</w:t>
      </w:r>
      <w:r w:rsidRPr="009315A1" w:rsidR="008F3551">
        <w:t>g public.  Managing partners will continue to be</w:t>
      </w:r>
      <w:r w:rsidRPr="009315A1">
        <w:t xml:space="preserve"> responsible for </w:t>
      </w:r>
      <w:r w:rsidRPr="009315A1" w:rsidR="00D32656">
        <w:t xml:space="preserve">completing </w:t>
      </w:r>
      <w:r w:rsidR="002444AD">
        <w:t>F</w:t>
      </w:r>
      <w:r w:rsidRPr="009315A1" w:rsidR="00D32656">
        <w:t xml:space="preserve">orm </w:t>
      </w:r>
      <w:r w:rsidR="002444AD">
        <w:t xml:space="preserve">7-2534 </w:t>
      </w:r>
      <w:r w:rsidRPr="009315A1" w:rsidR="00D32656">
        <w:t>and submitting to Reclamation on an annual basis.</w:t>
      </w:r>
    </w:p>
    <w:p w:rsidR="005B7D01" w:rsidRPr="009315A1" w:rsidP="00A46AE3" w14:paraId="2EF50DD3" w14:textId="77777777">
      <w:pPr>
        <w:keepNext/>
        <w:keepLines/>
        <w:ind w:left="360"/>
      </w:pPr>
    </w:p>
    <w:p w:rsidR="005B7D01" w:rsidRPr="009315A1" w:rsidP="00A46AE3" w14:paraId="0A2025E2" w14:textId="77777777">
      <w:pPr>
        <w:keepNext/>
        <w:keepLines/>
        <w:ind w:left="360"/>
      </w:pPr>
      <w:r w:rsidRPr="009315A1">
        <w:t xml:space="preserve">Data </w:t>
      </w:r>
      <w:r w:rsidRPr="009315A1" w:rsidR="00965CAE">
        <w:t xml:space="preserve">provided </w:t>
      </w:r>
      <w:r w:rsidRPr="009315A1">
        <w:t xml:space="preserve">in previous years </w:t>
      </w:r>
      <w:r w:rsidRPr="009315A1" w:rsidR="00965CAE">
        <w:t xml:space="preserve">established </w:t>
      </w:r>
      <w:r w:rsidRPr="009315A1">
        <w:t>a record of recreation development at multi-use projects and assist</w:t>
      </w:r>
      <w:r w:rsidRPr="009315A1">
        <w:t>ed</w:t>
      </w:r>
      <w:r w:rsidRPr="009315A1">
        <w:t xml:space="preserve"> management with compliance with Federal laws, codes, and regulations.  In addition, Reclamation can</w:t>
      </w:r>
      <w:r w:rsidRPr="009315A1">
        <w:t xml:space="preserve"> continue to</w:t>
      </w:r>
      <w:r w:rsidRPr="009315A1">
        <w:t xml:space="preserve"> respond to recreation</w:t>
      </w:r>
      <w:r w:rsidRPr="009315A1" w:rsidR="00A51D18">
        <w:t>-</w:t>
      </w:r>
      <w:r w:rsidRPr="009315A1">
        <w:t>related information requests from the Department of the Interior, Congress, and other Federal</w:t>
      </w:r>
      <w:r w:rsidRPr="009315A1" w:rsidR="00C30DF5">
        <w:t>, s</w:t>
      </w:r>
      <w:r w:rsidRPr="009315A1">
        <w:t>tate, and local agencies.</w:t>
      </w:r>
    </w:p>
    <w:p w:rsidR="008F3551" w:rsidRPr="009315A1" w:rsidP="00A46AE3" w14:paraId="0E59F47F" w14:textId="77777777">
      <w:pPr>
        <w:keepNext/>
        <w:keepLines/>
        <w:ind w:left="360"/>
      </w:pPr>
    </w:p>
    <w:p w:rsidR="005B7D01" w:rsidRPr="009315A1" w:rsidP="00A46AE3" w14:paraId="2C0551C1" w14:textId="77777777">
      <w:pPr>
        <w:keepNext/>
        <w:keepLines/>
        <w:ind w:left="360"/>
      </w:pPr>
      <w:r w:rsidRPr="009315A1">
        <w:t xml:space="preserve">Please see the attached Questions Justifications sheet for </w:t>
      </w:r>
      <w:r w:rsidRPr="009315A1" w:rsidR="00034AE6">
        <w:t xml:space="preserve">the </w:t>
      </w:r>
      <w:r w:rsidRPr="009315A1">
        <w:t xml:space="preserve">justification of each question contained </w:t>
      </w:r>
      <w:r w:rsidR="00107408">
        <w:t>i</w:t>
      </w:r>
      <w:r w:rsidRPr="009315A1">
        <w:t xml:space="preserve">n </w:t>
      </w:r>
      <w:r w:rsidR="00107408">
        <w:t>F</w:t>
      </w:r>
      <w:r w:rsidRPr="009315A1">
        <w:t>orm</w:t>
      </w:r>
      <w:r w:rsidR="00107408">
        <w:t xml:space="preserve"> 7-2534</w:t>
      </w:r>
      <w:r w:rsidRPr="009315A1">
        <w:t xml:space="preserve">.  </w:t>
      </w:r>
    </w:p>
    <w:p w:rsidR="00603121" w:rsidRPr="009315A1" w:rsidP="00A46AE3" w14:paraId="631E13A1" w14:textId="77777777">
      <w:pPr>
        <w:keepNext/>
        <w:keepLines/>
        <w:ind w:left="360"/>
      </w:pPr>
    </w:p>
    <w:p w:rsidR="005B181D" w:rsidRPr="009315A1" w:rsidP="005B181D" w14:paraId="13E40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3.</w:t>
      </w:r>
      <w:r w:rsidRPr="009315A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330FE" w:rsidRPr="009315A1" w:rsidP="00A7672D" w14:paraId="2D3BCC28" w14:textId="77777777">
      <w:pPr>
        <w:ind w:firstLine="360"/>
      </w:pPr>
    </w:p>
    <w:p w:rsidR="00EE658A" w:rsidP="00E74CCE" w14:paraId="6A13E59B" w14:textId="77777777">
      <w:pPr>
        <w:ind w:left="360"/>
      </w:pPr>
      <w:r w:rsidRPr="00BD3906">
        <w:t xml:space="preserve">In an effort to streamline and improve efficiencies, </w:t>
      </w:r>
      <w:r w:rsidRPr="00BD3906" w:rsidR="007D2E5C">
        <w:t xml:space="preserve">Reclamation has determined that this information </w:t>
      </w:r>
      <w:r w:rsidRPr="00BD3906">
        <w:t xml:space="preserve">will </w:t>
      </w:r>
      <w:r w:rsidR="001306B1">
        <w:t>continue to be</w:t>
      </w:r>
      <w:r w:rsidRPr="00BD3906">
        <w:t xml:space="preserve"> collected in an electronic forma</w:t>
      </w:r>
      <w:r w:rsidR="001306B1">
        <w:t>t</w:t>
      </w:r>
      <w:r w:rsidRPr="00BD3906">
        <w:t xml:space="preserve">.  </w:t>
      </w:r>
      <w:r w:rsidR="001306B1">
        <w:t>Utilizing Survey123 as the data entry platform, d</w:t>
      </w:r>
      <w:r w:rsidRPr="00BD3906">
        <w:t xml:space="preserve">ata </w:t>
      </w:r>
      <w:r w:rsidRPr="00BD3906" w:rsidR="00E74CCE">
        <w:t xml:space="preserve">entered </w:t>
      </w:r>
      <w:r w:rsidR="001306B1">
        <w:t>into</w:t>
      </w:r>
      <w:r w:rsidRPr="00BD3906" w:rsidR="00E74CCE">
        <w:t xml:space="preserve"> the</w:t>
      </w:r>
      <w:r w:rsidRPr="00BD3906">
        <w:t xml:space="preserve"> </w:t>
      </w:r>
      <w:r w:rsidRPr="00BD3906" w:rsidR="00E74CCE">
        <w:t>form</w:t>
      </w:r>
      <w:r w:rsidRPr="00BD3906">
        <w:t xml:space="preserve"> will upload immediately </w:t>
      </w:r>
      <w:r w:rsidR="002444AD">
        <w:t xml:space="preserve">into the Recreation Use Data Report database </w:t>
      </w:r>
      <w:r w:rsidRPr="00BD3906" w:rsidR="00E74CCE">
        <w:t>allowing real-time data</w:t>
      </w:r>
      <w:r w:rsidRPr="00BD3906" w:rsidR="00CF155A">
        <w:t xml:space="preserve"> entry and storage</w:t>
      </w:r>
      <w:r w:rsidRPr="00BD3906" w:rsidR="00E74CCE">
        <w:t xml:space="preserve">.  </w:t>
      </w:r>
      <w:r w:rsidRPr="00BD3906" w:rsidR="007F0EE6">
        <w:t>The data collected will then be utilized in</w:t>
      </w:r>
      <w:r w:rsidRPr="00BD3906" w:rsidR="00BD3906">
        <w:t xml:space="preserve"> a</w:t>
      </w:r>
      <w:r w:rsidRPr="00BD3906" w:rsidR="007F0EE6">
        <w:t xml:space="preserve"> manner that assists Reclamation and our managing partners in assessing economic benefits, revenues </w:t>
      </w:r>
      <w:r w:rsidRPr="00BD3906" w:rsidR="00BD3906">
        <w:t xml:space="preserve">and </w:t>
      </w:r>
      <w:r w:rsidRPr="00BD3906" w:rsidR="007F0EE6">
        <w:t>expenditures, carrying capacities, and ensur</w:t>
      </w:r>
      <w:r w:rsidRPr="00BD3906" w:rsidR="00BD3906">
        <w:t>ing</w:t>
      </w:r>
      <w:r w:rsidRPr="00BD3906" w:rsidR="007F0EE6">
        <w:t xml:space="preserve"> we are meeting public demands.</w:t>
      </w:r>
      <w:r w:rsidRPr="00BD3906">
        <w:t xml:space="preserve">  </w:t>
      </w:r>
      <w:r w:rsidR="001306B1">
        <w:t xml:space="preserve">Reclamation previously converted to </w:t>
      </w:r>
      <w:r w:rsidRPr="00BD3906">
        <w:t xml:space="preserve">100 percent electronic submission </w:t>
      </w:r>
      <w:r w:rsidR="00A76579">
        <w:t>via Portable Document Format (PDF) but found Survey123 to be more efficient with data entry and tracking</w:t>
      </w:r>
      <w:r w:rsidRPr="00BD3906">
        <w:t>.</w:t>
      </w:r>
      <w:r>
        <w:t xml:space="preserve">  </w:t>
      </w:r>
    </w:p>
    <w:p w:rsidR="008238FB" w14:paraId="185C6BAA" w14:textId="3F5DE227">
      <w:pPr>
        <w:widowControl/>
        <w:autoSpaceDE/>
        <w:autoSpaceDN/>
        <w:adjustRightInd/>
      </w:pPr>
      <w:r>
        <w:br w:type="page"/>
      </w:r>
    </w:p>
    <w:p w:rsidR="0074444A" w:rsidRPr="009315A1" w:rsidP="004D14A3" w14:paraId="0FB9CE1C" w14:textId="77777777">
      <w:pPr>
        <w:ind w:left="360"/>
      </w:pPr>
    </w:p>
    <w:p w:rsidR="005B181D" w:rsidRPr="009315A1" w:rsidP="005B181D" w14:paraId="2C9B1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4.</w:t>
      </w:r>
      <w:r w:rsidRPr="009315A1">
        <w:rPr>
          <w:b/>
        </w:rPr>
        <w:tab/>
        <w:t>Describe efforts to identify duplication.  Show specifically why any similar information already available cannot be used or modified for use for the purposes described in Item 2 above.</w:t>
      </w:r>
    </w:p>
    <w:p w:rsidR="009330FE" w:rsidRPr="009315A1" w:rsidP="00A7672D" w14:paraId="540E8182" w14:textId="77777777">
      <w:pPr>
        <w:ind w:firstLine="360"/>
      </w:pPr>
    </w:p>
    <w:p w:rsidR="009330FE" w:rsidRPr="009315A1" w:rsidP="00A46AE3" w14:paraId="4B8B4D90" w14:textId="77777777">
      <w:pPr>
        <w:ind w:left="360"/>
      </w:pPr>
      <w:r w:rsidRPr="009315A1">
        <w:t xml:space="preserve">No other agency collects </w:t>
      </w:r>
      <w:r w:rsidRPr="009315A1" w:rsidR="00F10316">
        <w:t>Reclamation-wide</w:t>
      </w:r>
      <w:r w:rsidRPr="009315A1" w:rsidR="0046486C">
        <w:t xml:space="preserve"> recreation</w:t>
      </w:r>
      <w:r w:rsidRPr="009315A1" w:rsidR="00A51D18">
        <w:t>-</w:t>
      </w:r>
      <w:r w:rsidRPr="009315A1" w:rsidR="00F26790">
        <w:t xml:space="preserve">related </w:t>
      </w:r>
      <w:r w:rsidRPr="009315A1">
        <w:t xml:space="preserve">information.  </w:t>
      </w:r>
    </w:p>
    <w:p w:rsidR="009330FE" w:rsidP="00A7672D" w14:paraId="3A2B7863" w14:textId="77777777">
      <w:pPr>
        <w:ind w:firstLine="360"/>
      </w:pPr>
    </w:p>
    <w:p w:rsidR="005B181D" w:rsidRPr="009315A1" w:rsidP="005B181D" w14:paraId="30B637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5.</w:t>
      </w:r>
      <w:r w:rsidRPr="009315A1">
        <w:rPr>
          <w:b/>
        </w:rPr>
        <w:tab/>
        <w:t>If the collection of information impacts small businesses or other small entities, describe any methods used to minimize burden.</w:t>
      </w:r>
    </w:p>
    <w:p w:rsidR="005B181D" w:rsidRPr="009315A1" w:rsidP="005B181D" w14:paraId="596C78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C1542" w:rsidRPr="009315A1" w:rsidP="00A7672D" w14:paraId="3151C60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9315A1">
        <w:t>The collection of information will not impact small businesses or other small entities.</w:t>
      </w:r>
    </w:p>
    <w:p w:rsidR="00BC1542" w:rsidRPr="009315A1" w:rsidP="00426879" w14:paraId="2925B56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5B181D" w:rsidRPr="009315A1" w:rsidP="005B181D" w14:paraId="26AD34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6.</w:t>
      </w:r>
      <w:r w:rsidRPr="009315A1">
        <w:rPr>
          <w:b/>
        </w:rPr>
        <w:tab/>
        <w:t>Describe the consequence to Federal program or policy activities if the collection is not conducted or is conducted less frequently, as well as any technical or legal obstacles to reducing burden.</w:t>
      </w:r>
    </w:p>
    <w:p w:rsidR="005B181D" w:rsidRPr="009315A1" w:rsidP="005B181D" w14:paraId="5DC76E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p>
    <w:p w:rsidR="00745AB6" w:rsidRPr="009315A1" w:rsidP="00745AB6" w14:paraId="46EA08EB" w14:textId="77777777">
      <w:pPr>
        <w:pStyle w:val="BodyTextIndent"/>
        <w:spacing w:after="0"/>
        <w:contextualSpacing/>
      </w:pPr>
      <w:r w:rsidRPr="009315A1">
        <w:t>If t</w:t>
      </w:r>
      <w:r w:rsidRPr="009315A1" w:rsidR="006A61CC">
        <w:t xml:space="preserve">he collection of information is not conducted or </w:t>
      </w:r>
      <w:r w:rsidRPr="009315A1" w:rsidR="00F26790">
        <w:t xml:space="preserve">were to </w:t>
      </w:r>
      <w:r w:rsidRPr="009315A1" w:rsidR="00BC1542">
        <w:t xml:space="preserve">be administered </w:t>
      </w:r>
      <w:r w:rsidRPr="009315A1" w:rsidR="006A61CC">
        <w:t xml:space="preserve">less </w:t>
      </w:r>
      <w:r w:rsidRPr="009315A1" w:rsidR="00BC1542">
        <w:t>often,</w:t>
      </w:r>
      <w:r w:rsidRPr="009315A1" w:rsidR="006A61CC">
        <w:t xml:space="preserve"> it </w:t>
      </w:r>
      <w:r w:rsidRPr="009315A1" w:rsidR="00F26790">
        <w:t xml:space="preserve">would </w:t>
      </w:r>
      <w:r w:rsidRPr="009315A1" w:rsidR="006A61CC">
        <w:t>be difficult to ensure the public’s interest</w:t>
      </w:r>
      <w:r w:rsidRPr="009315A1" w:rsidR="00F26790">
        <w:t>s</w:t>
      </w:r>
      <w:r w:rsidRPr="009315A1" w:rsidR="006A61CC">
        <w:t xml:space="preserve"> </w:t>
      </w:r>
      <w:r w:rsidRPr="009315A1" w:rsidR="00F26790">
        <w:t xml:space="preserve">are </w:t>
      </w:r>
      <w:r w:rsidRPr="009315A1" w:rsidR="006A61CC">
        <w:t>being met</w:t>
      </w:r>
      <w:r w:rsidRPr="009315A1">
        <w:rPr>
          <w:lang w:val="en-US"/>
        </w:rPr>
        <w:t xml:space="preserve">.  </w:t>
      </w:r>
      <w:r w:rsidRPr="009315A1" w:rsidR="00C24AEF">
        <w:t>Reclamation provides recreational activities on Reclamation lands and waterbodies</w:t>
      </w:r>
      <w:r w:rsidRPr="009315A1">
        <w:t>, and t</w:t>
      </w:r>
      <w:r w:rsidRPr="009315A1" w:rsidR="00C24AEF">
        <w:t xml:space="preserve">he information collected </w:t>
      </w:r>
      <w:r w:rsidRPr="009315A1">
        <w:t xml:space="preserve">also </w:t>
      </w:r>
      <w:r w:rsidRPr="009315A1" w:rsidR="00900D65">
        <w:t>assist</w:t>
      </w:r>
      <w:r w:rsidRPr="009315A1" w:rsidR="00C24AEF">
        <w:t>s</w:t>
      </w:r>
      <w:r w:rsidRPr="009315A1" w:rsidR="00900D65">
        <w:t xml:space="preserve"> in </w:t>
      </w:r>
      <w:r w:rsidRPr="009315A1" w:rsidR="00F26790">
        <w:t xml:space="preserve">identifying and </w:t>
      </w:r>
      <w:r w:rsidRPr="009315A1" w:rsidR="00900D65">
        <w:t xml:space="preserve">preventing unauthorized activities </w:t>
      </w:r>
      <w:r w:rsidRPr="009315A1">
        <w:t>at those recreational sites</w:t>
      </w:r>
      <w:r w:rsidRPr="009315A1" w:rsidR="00900D65">
        <w:t xml:space="preserve">.  </w:t>
      </w:r>
      <w:r w:rsidRPr="009315A1" w:rsidR="00C24AEF">
        <w:t xml:space="preserve">In addition, </w:t>
      </w:r>
      <w:r w:rsidRPr="009315A1" w:rsidR="00900D65">
        <w:t>Reclamation will not be able to effectively respond to inquiries from Congress or the public if the information is gathered less frequently</w:t>
      </w:r>
      <w:r w:rsidRPr="009315A1">
        <w:t xml:space="preserve">.  </w:t>
      </w:r>
      <w:r w:rsidRPr="009315A1" w:rsidR="00900D65">
        <w:t xml:space="preserve"> </w:t>
      </w:r>
    </w:p>
    <w:p w:rsidR="00BC1542" w:rsidRPr="009315A1" w:rsidP="00A46AE3" w14:paraId="1B65017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B181D" w:rsidRPr="009315A1" w:rsidP="005B181D" w14:paraId="0CF590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7.</w:t>
      </w:r>
      <w:r w:rsidRPr="009315A1">
        <w:rPr>
          <w:b/>
        </w:rPr>
        <w:tab/>
        <w:t>Explain any special circumstances that would cause an information collection to be conducted in a manner:</w:t>
      </w:r>
    </w:p>
    <w:p w:rsidR="005B181D" w:rsidRPr="009315A1" w:rsidP="005B181D" w14:paraId="43A496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5B181D" w:rsidRPr="009315A1" w:rsidP="005B181D" w14:paraId="1C24BFF6"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requiring respondents to report information to the agency more often than quarterly;</w:t>
      </w:r>
    </w:p>
    <w:p w:rsidR="005B181D" w:rsidRPr="009315A1" w:rsidP="005B181D" w14:paraId="48E508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pPr>
    </w:p>
    <w:p w:rsidR="009330FE" w:rsidRPr="009315A1" w:rsidP="00A46AE3" w14:paraId="157F13B5" w14:textId="77777777">
      <w:pPr>
        <w:ind w:left="690"/>
      </w:pPr>
      <w:r w:rsidRPr="009315A1">
        <w:t>N/A.</w:t>
      </w:r>
    </w:p>
    <w:p w:rsidR="009330FE" w:rsidRPr="009315A1" w:rsidP="00A7672D" w14:paraId="4723CF8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181D" w:rsidRPr="009315A1" w:rsidP="005B181D" w14:paraId="43DC9661" w14:textId="77777777">
      <w:pPr>
        <w:numPr>
          <w:ilvl w:val="0"/>
          <w:numId w:val="5"/>
        </w:numPr>
        <w:tabs>
          <w:tab w:val="left" w:pos="-1080"/>
          <w:tab w:val="left" w:pos="-720"/>
        </w:tabs>
        <w:rPr>
          <w:b/>
        </w:rPr>
      </w:pPr>
      <w:r w:rsidRPr="009315A1">
        <w:rPr>
          <w:b/>
        </w:rPr>
        <w:t>requiring respondents to prepare a written response to a collection of information in fewer than 30 days after receipt of it;</w:t>
      </w:r>
    </w:p>
    <w:p w:rsidR="005B181D" w:rsidRPr="009315A1" w:rsidP="00A46AE3" w14:paraId="0081CD27" w14:textId="77777777">
      <w:pPr>
        <w:rPr>
          <w:b/>
          <w:bCs/>
          <w:u w:val="single"/>
        </w:rPr>
      </w:pPr>
    </w:p>
    <w:p w:rsidR="009330FE" w:rsidRPr="009315A1" w:rsidP="00A46AE3" w14:paraId="0EA7F057" w14:textId="77777777">
      <w:pPr>
        <w:ind w:left="720"/>
      </w:pPr>
      <w:r w:rsidRPr="009315A1">
        <w:t>Respondents</w:t>
      </w:r>
      <w:r w:rsidRPr="009315A1">
        <w:t xml:space="preserve"> will </w:t>
      </w:r>
      <w:r w:rsidRPr="009315A1">
        <w:t xml:space="preserve">not be required to </w:t>
      </w:r>
      <w:r w:rsidRPr="009315A1">
        <w:t xml:space="preserve">report information </w:t>
      </w:r>
      <w:r w:rsidRPr="009315A1">
        <w:t xml:space="preserve">in fewer than 30 days.  </w:t>
      </w:r>
    </w:p>
    <w:p w:rsidR="009330FE" w:rsidRPr="009315A1" w:rsidP="00A7672D" w14:paraId="5BBC02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181D" w:rsidRPr="009315A1" w:rsidP="005B181D" w14:paraId="56BEF68E" w14:textId="77777777">
      <w:pPr>
        <w:numPr>
          <w:ilvl w:val="0"/>
          <w:numId w:val="5"/>
        </w:numPr>
        <w:tabs>
          <w:tab w:val="left" w:pos="-1080"/>
          <w:tab w:val="left" w:pos="-720"/>
        </w:tabs>
        <w:rPr>
          <w:b/>
        </w:rPr>
      </w:pPr>
      <w:r w:rsidRPr="009315A1">
        <w:rPr>
          <w:b/>
        </w:rPr>
        <w:t>requiring respondents to submit more than an original and two copies of any document;</w:t>
      </w:r>
    </w:p>
    <w:p w:rsidR="005B181D" w:rsidRPr="009315A1" w:rsidP="005B181D" w14:paraId="77058FFB" w14:textId="77777777">
      <w:pPr>
        <w:tabs>
          <w:tab w:val="left" w:pos="-1080"/>
          <w:tab w:val="left" w:pos="-720"/>
        </w:tabs>
        <w:rPr>
          <w:b/>
        </w:rPr>
      </w:pPr>
    </w:p>
    <w:p w:rsidR="009330FE" w:rsidRPr="009315A1" w:rsidP="00A7672D" w14:paraId="2B718DB1" w14:textId="77777777">
      <w:pPr>
        <w:ind w:firstLine="720"/>
      </w:pPr>
      <w:r w:rsidRPr="009315A1">
        <w:t>Each respondent will not be required to submit more than one copy of the form.</w:t>
      </w:r>
    </w:p>
    <w:p w:rsidR="009330FE" w:rsidRPr="009315A1" w:rsidP="00426879" w14:paraId="3E557C5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5B181D" w:rsidRPr="009315A1" w:rsidP="005B181D" w14:paraId="7090FD69" w14:textId="77777777">
      <w:pPr>
        <w:numPr>
          <w:ilvl w:val="0"/>
          <w:numId w:val="5"/>
        </w:numPr>
        <w:tabs>
          <w:tab w:val="left" w:pos="-1080"/>
          <w:tab w:val="left" w:pos="-720"/>
        </w:tabs>
        <w:rPr>
          <w:b/>
        </w:rPr>
      </w:pPr>
      <w:r w:rsidRPr="009315A1">
        <w:rPr>
          <w:b/>
        </w:rPr>
        <w:t>requiring respondents to retain records, other than health, medical, government contract, grant-in-aid, or tax records, for more than three years;</w:t>
      </w:r>
    </w:p>
    <w:p w:rsidR="005B181D" w:rsidRPr="009315A1" w:rsidP="00A7672D" w14:paraId="05568821" w14:textId="77777777">
      <w:pPr>
        <w:keepNext/>
        <w:keepLines/>
        <w:ind w:firstLine="720"/>
        <w:rPr>
          <w:b/>
          <w:bCs/>
        </w:rPr>
      </w:pPr>
    </w:p>
    <w:p w:rsidR="009330FE" w:rsidP="00A7672D" w14:paraId="63B10B84" w14:textId="77777777">
      <w:pPr>
        <w:keepNext/>
        <w:keepLines/>
        <w:ind w:firstLine="720"/>
      </w:pPr>
      <w:r w:rsidRPr="009315A1">
        <w:t>Nothing in th</w:t>
      </w:r>
      <w:r w:rsidR="00107408">
        <w:t>is</w:t>
      </w:r>
      <w:r w:rsidRPr="009315A1">
        <w:t xml:space="preserve"> form</w:t>
      </w:r>
      <w:r w:rsidRPr="009315A1">
        <w:t xml:space="preserve"> requires the retention of records for more than 3 years.</w:t>
      </w:r>
    </w:p>
    <w:p w:rsidR="008238FB" w14:paraId="1A13A344" w14:textId="6624B6C6">
      <w:pPr>
        <w:widowControl/>
        <w:autoSpaceDE/>
        <w:autoSpaceDN/>
        <w:adjustRightInd/>
      </w:pPr>
      <w:r>
        <w:br w:type="page"/>
      </w:r>
    </w:p>
    <w:p w:rsidR="00B979CC" w:rsidP="00A7672D" w14:paraId="2984C962" w14:textId="77777777">
      <w:pPr>
        <w:keepNext/>
        <w:keepLines/>
        <w:ind w:firstLine="720"/>
      </w:pPr>
    </w:p>
    <w:p w:rsidR="005B181D" w:rsidRPr="009315A1" w:rsidP="005B181D" w14:paraId="7E6B3926" w14:textId="77777777">
      <w:pPr>
        <w:numPr>
          <w:ilvl w:val="0"/>
          <w:numId w:val="5"/>
        </w:numPr>
        <w:tabs>
          <w:tab w:val="left" w:pos="-1080"/>
          <w:tab w:val="left" w:pos="-720"/>
        </w:tabs>
        <w:rPr>
          <w:b/>
        </w:rPr>
      </w:pPr>
      <w:r w:rsidRPr="009315A1">
        <w:rPr>
          <w:b/>
        </w:rPr>
        <w:t>in connection with a statistical survey that is not designed to produce valid and reliable results that can be generalized to the universe of study;</w:t>
      </w:r>
    </w:p>
    <w:p w:rsidR="005B181D" w:rsidRPr="009315A1" w:rsidP="00A7672D" w14:paraId="727C51A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9330FE" w:rsidRPr="009315A1" w:rsidP="00A7672D" w14:paraId="26554E6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315A1">
        <w:t>N/A.</w:t>
      </w:r>
    </w:p>
    <w:p w:rsidR="00B979CC" w:rsidP="00426879" w14:paraId="7255388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5B181D" w:rsidRPr="009315A1" w:rsidP="005B181D" w14:paraId="4A657B76" w14:textId="77777777">
      <w:pPr>
        <w:numPr>
          <w:ilvl w:val="0"/>
          <w:numId w:val="5"/>
        </w:numPr>
        <w:tabs>
          <w:tab w:val="left" w:pos="-1080"/>
          <w:tab w:val="left" w:pos="-720"/>
        </w:tabs>
        <w:rPr>
          <w:b/>
        </w:rPr>
      </w:pPr>
      <w:r w:rsidRPr="009315A1">
        <w:rPr>
          <w:b/>
        </w:rPr>
        <w:t>requiring the use of a statistical data classification that has not been reviewed and approved by OMB;</w:t>
      </w:r>
    </w:p>
    <w:p w:rsidR="005B181D" w:rsidRPr="009315A1" w:rsidP="005B181D" w14:paraId="323E4C8A" w14:textId="77777777">
      <w:pPr>
        <w:tabs>
          <w:tab w:val="left" w:pos="-1080"/>
          <w:tab w:val="left" w:pos="-720"/>
        </w:tabs>
      </w:pPr>
    </w:p>
    <w:p w:rsidR="009330FE" w:rsidRPr="009315A1" w:rsidP="00A7672D" w14:paraId="1B0B087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315A1">
        <w:t>Statistical data classification will not be used.</w:t>
      </w:r>
    </w:p>
    <w:p w:rsidR="009330FE" w:rsidRPr="009315A1" w:rsidP="00426879" w14:paraId="1150E89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181D" w:rsidRPr="009315A1" w:rsidP="005B181D" w14:paraId="67F7D281" w14:textId="77777777">
      <w:pPr>
        <w:numPr>
          <w:ilvl w:val="0"/>
          <w:numId w:val="5"/>
        </w:numPr>
        <w:tabs>
          <w:tab w:val="left" w:pos="-1080"/>
          <w:tab w:val="left" w:pos="-720"/>
        </w:tabs>
        <w:rPr>
          <w:b/>
        </w:rPr>
      </w:pPr>
      <w:r w:rsidRPr="009315A1">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5B181D" w:rsidRPr="009315A1" w:rsidP="005B181D" w14:paraId="29537D0D" w14:textId="77777777">
      <w:pPr>
        <w:tabs>
          <w:tab w:val="left" w:pos="-1080"/>
          <w:tab w:val="left" w:pos="-720"/>
        </w:tabs>
        <w:ind w:left="360"/>
      </w:pPr>
    </w:p>
    <w:p w:rsidR="009330FE" w:rsidRPr="009315A1" w:rsidP="00A46AE3" w14:paraId="02F11B91" w14:textId="77777777">
      <w:pPr>
        <w:ind w:left="720"/>
      </w:pPr>
      <w:r w:rsidRPr="009315A1">
        <w:t>A pledge of confidentiality is not used.  No special circumstances impede the sharing of this information with others.  All Reclamation data security policies will be enforced.</w:t>
      </w:r>
    </w:p>
    <w:p w:rsidR="009330FE" w:rsidRPr="009315A1" w:rsidP="00A7672D" w14:paraId="76BB33D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315A1">
        <w:t xml:space="preserve">  </w:t>
      </w:r>
    </w:p>
    <w:p w:rsidR="005B181D" w:rsidRPr="009315A1" w:rsidP="005B181D" w14:paraId="06C162E2" w14:textId="77777777">
      <w:pPr>
        <w:numPr>
          <w:ilvl w:val="0"/>
          <w:numId w:val="5"/>
        </w:numPr>
        <w:tabs>
          <w:tab w:val="left" w:pos="-1080"/>
          <w:tab w:val="left" w:pos="-720"/>
        </w:tabs>
        <w:rPr>
          <w:b/>
        </w:rPr>
      </w:pPr>
      <w:r w:rsidRPr="009315A1">
        <w:rPr>
          <w:b/>
        </w:rPr>
        <w:t>requiring respondents to submit proprietary trade secrets, or other confidential information, unless the agency can demonstrate that it has instituted procedures to protect the information's confidentiality to the extent permitted by law.</w:t>
      </w:r>
    </w:p>
    <w:p w:rsidR="009330FE" w:rsidRPr="009315A1" w:rsidP="00A7672D" w14:paraId="43FB282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076CB7" w:rsidRPr="009315A1" w:rsidP="00A611BB" w14:paraId="153F6464" w14:textId="77777777">
      <w:pPr>
        <w:tabs>
          <w:tab w:val="left" w:pos="-1080"/>
          <w:tab w:val="left" w:pos="-720"/>
        </w:tabs>
        <w:ind w:left="720"/>
      </w:pPr>
      <w:r w:rsidRPr="009315A1">
        <w:t>Information contained in the form is protected by the Privacy Act of 1974 systems of records INTERIOR/</w:t>
      </w:r>
      <w:r w:rsidR="001F7626">
        <w:t>WBR</w:t>
      </w:r>
      <w:r w:rsidRPr="009315A1" w:rsidR="00C70C0F">
        <w:t>-7</w:t>
      </w:r>
      <w:r w:rsidR="001F7626">
        <w:t>, Concessions (73 FR 20949).</w:t>
      </w:r>
      <w:r w:rsidRPr="009315A1" w:rsidR="00C70C0F">
        <w:t xml:space="preserve"> </w:t>
      </w:r>
    </w:p>
    <w:p w:rsidR="009330FE" w:rsidRPr="009315A1" w:rsidP="007D2E5C" w14:paraId="3BFB011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bCs/>
        </w:rPr>
      </w:pPr>
    </w:p>
    <w:p w:rsidR="005B181D" w:rsidRPr="009315A1" w:rsidP="005B181D" w14:paraId="27664C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8.</w:t>
      </w:r>
      <w:r w:rsidRPr="009315A1">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B181D" w:rsidRPr="009315A1" w:rsidP="005B181D" w14:paraId="1A84B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30FE" w:rsidRPr="009315A1" w:rsidP="00A46AE3" w14:paraId="711BF752" w14:textId="76502BC9">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9315A1">
        <w:t xml:space="preserve">Notice was given in the Federal Register on </w:t>
      </w:r>
      <w:r w:rsidR="007D16BA">
        <w:t>September 30</w:t>
      </w:r>
      <w:r w:rsidR="00153ADB">
        <w:t>, 202</w:t>
      </w:r>
      <w:r w:rsidR="007D16BA">
        <w:t>5</w:t>
      </w:r>
      <w:r w:rsidR="00153ADB">
        <w:t xml:space="preserve"> (</w:t>
      </w:r>
      <w:r w:rsidR="007D16BA">
        <w:t>90</w:t>
      </w:r>
      <w:r w:rsidR="00153ADB">
        <w:t xml:space="preserve"> FR 4</w:t>
      </w:r>
      <w:r w:rsidR="007D16BA">
        <w:t>6918</w:t>
      </w:r>
      <w:r w:rsidR="00153ADB">
        <w:t>). No public comments were received on this information collection.</w:t>
      </w:r>
    </w:p>
    <w:p w:rsidR="009330FE" w:rsidRPr="009315A1" w:rsidP="00A7672D" w14:paraId="58EC0298" w14:textId="77777777">
      <w:pPr>
        <w:ind w:firstLine="360"/>
      </w:pPr>
    </w:p>
    <w:p w:rsidR="005B181D" w:rsidP="00A46AE3" w14:paraId="712C5A28"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C7E31" w:rsidP="006C7E31" w14:paraId="4D8BA1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D40D4" w:rsidP="000D40D4" w14:paraId="00C6281E" w14:textId="7E18D5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10139">
        <w:t xml:space="preserve">Reclamation </w:t>
      </w:r>
      <w:r w:rsidR="00302B3B">
        <w:t xml:space="preserve">regularly </w:t>
      </w:r>
      <w:r w:rsidRPr="00C10139">
        <w:t>consult</w:t>
      </w:r>
      <w:r w:rsidR="00302B3B">
        <w:t>s</w:t>
      </w:r>
      <w:r w:rsidRPr="00C10139">
        <w:t xml:space="preserve"> with</w:t>
      </w:r>
      <w:r>
        <w:t xml:space="preserve"> members of the public to further refine the form, data collection elements, timing of the collection, method of collection, and the technology to be used for collection. </w:t>
      </w:r>
      <w:r w:rsidR="00107408">
        <w:t xml:space="preserve"> </w:t>
      </w:r>
      <w:r w:rsidR="00302B3B">
        <w:t xml:space="preserve">Input received is used to ensure the form, its data collection platform, and hour burden remain as efficient as possible. </w:t>
      </w:r>
    </w:p>
    <w:p w:rsidR="000D40D4" w:rsidRPr="009315A1" w:rsidP="000D40D4" w14:paraId="4CFDB8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CA60C8" w:rsidRPr="009315A1" w:rsidP="00CA60C8" w14:paraId="3C906A4D"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  </w:t>
      </w:r>
    </w:p>
    <w:p w:rsidR="009330FE" w:rsidRPr="009315A1" w:rsidP="00A7672D" w14:paraId="0B4ACEE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6D55F2" w:rsidRPr="008F19A9" w:rsidP="006D55F2" w14:paraId="4FEF95C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F19A9">
        <w:t xml:space="preserve">Reclamation personnel who have responsibility for collecting information from </w:t>
      </w:r>
      <w:r w:rsidRPr="008F19A9" w:rsidR="00EC4466">
        <w:t>their</w:t>
      </w:r>
      <w:r w:rsidRPr="008F19A9">
        <w:t xml:space="preserve"> managing partners have </w:t>
      </w:r>
      <w:r w:rsidRPr="008F19A9" w:rsidR="00974BD2">
        <w:t xml:space="preserve">consulted several entities from the public </w:t>
      </w:r>
      <w:r w:rsidRPr="008F19A9">
        <w:t>and</w:t>
      </w:r>
      <w:r w:rsidRPr="008F19A9" w:rsidR="00974BD2">
        <w:t xml:space="preserve"> have</w:t>
      </w:r>
      <w:r w:rsidRPr="008F19A9">
        <w:t xml:space="preserve"> provided input on </w:t>
      </w:r>
      <w:r w:rsidRPr="008F19A9" w:rsidR="00B70A13">
        <w:t xml:space="preserve">the </w:t>
      </w:r>
      <w:r w:rsidRPr="008F19A9" w:rsidR="00EC4466">
        <w:t>information collection</w:t>
      </w:r>
      <w:r w:rsidRPr="008F19A9">
        <w:t>.</w:t>
      </w:r>
      <w:r w:rsidRPr="008F19A9">
        <w:t xml:space="preserve">  The three entities contacted below reported that the information collection is clear to the public, and that on average, </w:t>
      </w:r>
      <w:r w:rsidRPr="008F19A9" w:rsidR="001157A6">
        <w:t>25</w:t>
      </w:r>
      <w:r w:rsidRPr="008F19A9">
        <w:t xml:space="preserve"> minutes is an accurate estimate in completing th</w:t>
      </w:r>
      <w:r w:rsidR="00572384">
        <w:t>is</w:t>
      </w:r>
      <w:r w:rsidRPr="008F19A9">
        <w:t xml:space="preserve"> form.  </w:t>
      </w:r>
    </w:p>
    <w:p w:rsidR="007D2E5C" w:rsidRPr="007261EA" w:rsidP="00A46AE3" w14:paraId="3552FAA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highlight w:val="yellow"/>
        </w:rPr>
      </w:pPr>
      <w:r w:rsidRPr="007261EA">
        <w:rPr>
          <w:highlight w:val="yellow"/>
        </w:rPr>
        <w:t xml:space="preserve">  </w:t>
      </w:r>
    </w:p>
    <w:p w:rsidR="007D2E5C" w:rsidRPr="007261EA" w:rsidP="007D2E5C" w14:paraId="4B665A9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9"/>
        <w:gridCol w:w="2515"/>
        <w:gridCol w:w="2992"/>
        <w:gridCol w:w="1404"/>
      </w:tblGrid>
      <w:tr w14:paraId="6CC94526" w14:textId="77777777" w:rsidTr="001074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04" w:type="pct"/>
            <w:vAlign w:val="center"/>
          </w:tcPr>
          <w:p w:rsidR="009315A1" w:rsidRPr="007261EA" w:rsidP="009315A1" w14:paraId="30AF2E9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4B9B7D3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271ECA4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634384F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30521E1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tc>
        <w:tc>
          <w:tcPr>
            <w:tcW w:w="1345" w:type="pct"/>
            <w:vAlign w:val="center"/>
          </w:tcPr>
          <w:p w:rsidR="009315A1" w:rsidRPr="007261EA" w:rsidP="009315A1" w14:paraId="5959A1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5E9F99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2BC7C75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2A36C47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121D13F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r w:rsidRPr="008F19A9">
              <w:rPr>
                <w:b/>
                <w:sz w:val="22"/>
                <w:szCs w:val="22"/>
              </w:rPr>
              <w:t>Title</w:t>
            </w:r>
          </w:p>
        </w:tc>
        <w:tc>
          <w:tcPr>
            <w:tcW w:w="1600" w:type="pct"/>
            <w:vAlign w:val="center"/>
          </w:tcPr>
          <w:p w:rsidR="009315A1" w:rsidRPr="007261EA" w:rsidP="009315A1" w14:paraId="00934CF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2DFD351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65EB840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17342A5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p>
          <w:p w:rsidR="009315A1" w:rsidRPr="007261EA" w:rsidP="009315A1" w14:paraId="4749131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r w:rsidRPr="008F19A9">
              <w:rPr>
                <w:b/>
                <w:sz w:val="22"/>
                <w:szCs w:val="22"/>
              </w:rPr>
              <w:t>Address</w:t>
            </w:r>
          </w:p>
        </w:tc>
        <w:tc>
          <w:tcPr>
            <w:tcW w:w="751" w:type="pct"/>
            <w:vAlign w:val="center"/>
          </w:tcPr>
          <w:p w:rsidR="009315A1" w:rsidRPr="008F19A9" w:rsidP="009315A1" w14:paraId="596E17C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8F19A9">
              <w:rPr>
                <w:b/>
                <w:sz w:val="22"/>
                <w:szCs w:val="22"/>
              </w:rPr>
              <w:t xml:space="preserve">Average Time to Complete Form </w:t>
            </w:r>
          </w:p>
          <w:p w:rsidR="009315A1" w:rsidRPr="007261EA" w:rsidP="005E4C8E" w14:paraId="6F92C62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highlight w:val="yellow"/>
              </w:rPr>
            </w:pPr>
            <w:r w:rsidRPr="008F19A9">
              <w:rPr>
                <w:b/>
                <w:sz w:val="22"/>
                <w:szCs w:val="22"/>
              </w:rPr>
              <w:t>7-2534</w:t>
            </w:r>
          </w:p>
        </w:tc>
      </w:tr>
      <w:tr w14:paraId="3D8460AC" w14:textId="77777777" w:rsidTr="00C10139">
        <w:tblPrEx>
          <w:tblW w:w="5000" w:type="pct"/>
          <w:tblLook w:val="01E0"/>
        </w:tblPrEx>
        <w:tc>
          <w:tcPr>
            <w:tcW w:w="1304" w:type="pct"/>
            <w:vAlign w:val="center"/>
          </w:tcPr>
          <w:p w:rsidR="004C2980" w:rsidRPr="00EA034D" w:rsidP="004C2980" w14:paraId="006EA17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Banks Lake Park</w:t>
            </w:r>
          </w:p>
        </w:tc>
        <w:tc>
          <w:tcPr>
            <w:tcW w:w="1345" w:type="pct"/>
            <w:vAlign w:val="center"/>
          </w:tcPr>
          <w:p w:rsidR="004C2980" w:rsidRPr="00EA034D" w:rsidP="004C2980" w14:paraId="2F342F6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Information Officer</w:t>
            </w:r>
          </w:p>
        </w:tc>
        <w:tc>
          <w:tcPr>
            <w:tcW w:w="1600" w:type="pct"/>
            <w:vAlign w:val="center"/>
          </w:tcPr>
          <w:p w:rsidR="005463EF" w:rsidRPr="00EA034D" w:rsidP="004C2980" w14:paraId="000BB44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PO Box 411</w:t>
            </w:r>
          </w:p>
          <w:p w:rsidR="004C2980" w:rsidRPr="00EA034D" w:rsidP="004C2980" w14:paraId="5C10B53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 xml:space="preserve">Grand Coulee, </w:t>
            </w:r>
            <w:r w:rsidRPr="00EA034D" w:rsidR="008306C1">
              <w:rPr>
                <w:szCs w:val="20"/>
              </w:rPr>
              <w:t xml:space="preserve">WA </w:t>
            </w:r>
            <w:r w:rsidRPr="00EA034D">
              <w:rPr>
                <w:szCs w:val="20"/>
              </w:rPr>
              <w:t>99133</w:t>
            </w:r>
          </w:p>
        </w:tc>
        <w:tc>
          <w:tcPr>
            <w:tcW w:w="751" w:type="pct"/>
            <w:vAlign w:val="center"/>
          </w:tcPr>
          <w:p w:rsidR="004C2980" w:rsidRPr="00EA034D" w:rsidP="004C2980" w14:paraId="0803F860" w14:textId="77777777">
            <w:pPr>
              <w:jc w:val="center"/>
              <w:rPr>
                <w:szCs w:val="20"/>
              </w:rPr>
            </w:pPr>
          </w:p>
          <w:p w:rsidR="004C2980" w:rsidRPr="00EA034D" w:rsidP="004C2980" w14:paraId="1B5C4309" w14:textId="77777777">
            <w:pPr>
              <w:jc w:val="center"/>
            </w:pPr>
            <w:r w:rsidRPr="00EA034D">
              <w:rPr>
                <w:szCs w:val="20"/>
              </w:rPr>
              <w:t>2</w:t>
            </w:r>
            <w:r w:rsidRPr="00EA034D" w:rsidR="005463EF">
              <w:rPr>
                <w:szCs w:val="20"/>
              </w:rPr>
              <w:t>3</w:t>
            </w:r>
            <w:r w:rsidRPr="00EA034D">
              <w:rPr>
                <w:szCs w:val="20"/>
              </w:rPr>
              <w:t xml:space="preserve"> minutes</w:t>
            </w:r>
          </w:p>
        </w:tc>
      </w:tr>
      <w:tr w14:paraId="31919B3A" w14:textId="77777777" w:rsidTr="00C10139">
        <w:tblPrEx>
          <w:tblW w:w="5000" w:type="pct"/>
          <w:tblLook w:val="01E0"/>
        </w:tblPrEx>
        <w:tc>
          <w:tcPr>
            <w:tcW w:w="1304" w:type="pct"/>
            <w:vAlign w:val="center"/>
          </w:tcPr>
          <w:p w:rsidR="006C7E31" w:rsidRPr="00EA034D" w:rsidP="006C7E31" w14:paraId="1A7D8D5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Nebraska-Kansas Area Office</w:t>
            </w:r>
          </w:p>
        </w:tc>
        <w:tc>
          <w:tcPr>
            <w:tcW w:w="1345" w:type="pct"/>
            <w:vAlign w:val="center"/>
          </w:tcPr>
          <w:p w:rsidR="006C7E31" w:rsidRPr="00EA034D" w:rsidP="006C7E31" w14:paraId="5DA4EB5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Outdoor Recreation Planner</w:t>
            </w:r>
          </w:p>
        </w:tc>
        <w:tc>
          <w:tcPr>
            <w:tcW w:w="1600" w:type="pct"/>
            <w:vAlign w:val="center"/>
          </w:tcPr>
          <w:p w:rsidR="006C7E31" w:rsidRPr="00EA034D" w:rsidP="006C7E31" w14:paraId="1AE48E0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1706 West Third</w:t>
            </w:r>
          </w:p>
          <w:p w:rsidR="00E00CAB" w:rsidRPr="00EA034D" w:rsidP="006C7E31" w14:paraId="4D29188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McCook, NE 69001</w:t>
            </w:r>
          </w:p>
        </w:tc>
        <w:tc>
          <w:tcPr>
            <w:tcW w:w="751" w:type="pct"/>
            <w:vAlign w:val="center"/>
          </w:tcPr>
          <w:p w:rsidR="006C7E31" w:rsidRPr="00EA034D" w:rsidP="006C7E31" w14:paraId="3C9DD9AA" w14:textId="77777777">
            <w:pPr>
              <w:jc w:val="center"/>
              <w:rPr>
                <w:szCs w:val="20"/>
              </w:rPr>
            </w:pPr>
          </w:p>
          <w:p w:rsidR="006C7E31" w:rsidRPr="00EA034D" w:rsidP="006C7E31" w14:paraId="0EB42F92" w14:textId="77777777">
            <w:pPr>
              <w:jc w:val="center"/>
            </w:pPr>
            <w:r w:rsidRPr="00EA034D">
              <w:rPr>
                <w:szCs w:val="20"/>
              </w:rPr>
              <w:t>2</w:t>
            </w:r>
            <w:r w:rsidRPr="00EA034D" w:rsidR="005463EF">
              <w:rPr>
                <w:szCs w:val="20"/>
              </w:rPr>
              <w:t>0</w:t>
            </w:r>
            <w:r w:rsidRPr="00EA034D">
              <w:rPr>
                <w:szCs w:val="20"/>
              </w:rPr>
              <w:t xml:space="preserve"> minutes</w:t>
            </w:r>
          </w:p>
        </w:tc>
      </w:tr>
      <w:tr w14:paraId="39708ACE" w14:textId="77777777" w:rsidTr="00C10139">
        <w:tblPrEx>
          <w:tblW w:w="5000" w:type="pct"/>
          <w:tblLook w:val="01E0"/>
        </w:tblPrEx>
        <w:tc>
          <w:tcPr>
            <w:tcW w:w="1304" w:type="pct"/>
            <w:vAlign w:val="center"/>
          </w:tcPr>
          <w:p w:rsidR="006C7E31" w:rsidRPr="00EA034D" w:rsidP="006C7E31" w14:paraId="39FCD9D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Lake Berryessa Field Office</w:t>
            </w:r>
          </w:p>
        </w:tc>
        <w:tc>
          <w:tcPr>
            <w:tcW w:w="1345" w:type="pct"/>
            <w:vAlign w:val="center"/>
          </w:tcPr>
          <w:p w:rsidR="006C7E31" w:rsidRPr="00EA034D" w:rsidP="006C7E31" w14:paraId="343DB17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Park Ranger</w:t>
            </w:r>
          </w:p>
        </w:tc>
        <w:tc>
          <w:tcPr>
            <w:tcW w:w="1600" w:type="pct"/>
            <w:vAlign w:val="center"/>
          </w:tcPr>
          <w:p w:rsidR="006C7E31" w:rsidRPr="00EA034D" w:rsidP="006C7E31" w14:paraId="3DCD3FE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A034D">
              <w:rPr>
                <w:szCs w:val="20"/>
              </w:rPr>
              <w:t>5520 Knoxville Road, Napa, CA 94558</w:t>
            </w:r>
          </w:p>
        </w:tc>
        <w:tc>
          <w:tcPr>
            <w:tcW w:w="751" w:type="pct"/>
            <w:vAlign w:val="center"/>
          </w:tcPr>
          <w:p w:rsidR="006C7E31" w:rsidRPr="00EA034D" w:rsidP="006C7E31" w14:paraId="061A34F4" w14:textId="77777777">
            <w:pPr>
              <w:jc w:val="center"/>
              <w:rPr>
                <w:szCs w:val="20"/>
              </w:rPr>
            </w:pPr>
          </w:p>
          <w:p w:rsidR="006C7E31" w:rsidRPr="005E4C8E" w:rsidP="00974BD2" w14:paraId="366E1D8D" w14:textId="77777777">
            <w:r w:rsidRPr="00EA034D">
              <w:rPr>
                <w:szCs w:val="20"/>
              </w:rPr>
              <w:t xml:space="preserve"> </w:t>
            </w:r>
            <w:r w:rsidRPr="00EA034D" w:rsidR="001157A6">
              <w:rPr>
                <w:szCs w:val="20"/>
              </w:rPr>
              <w:t>26</w:t>
            </w:r>
            <w:r w:rsidRPr="00EA034D">
              <w:rPr>
                <w:szCs w:val="20"/>
              </w:rPr>
              <w:t xml:space="preserve"> minutes</w:t>
            </w:r>
          </w:p>
        </w:tc>
      </w:tr>
    </w:tbl>
    <w:p w:rsidR="005E3261" w:rsidRPr="009315A1" w:rsidP="00A7672D" w14:paraId="2D89DFD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9315A1">
        <w:t xml:space="preserve"> </w:t>
      </w:r>
      <w:r w:rsidRPr="009315A1" w:rsidR="009330FE">
        <w:t xml:space="preserve">  </w:t>
      </w:r>
    </w:p>
    <w:p w:rsidR="00C829B3" w:rsidRPr="009315A1" w:rsidP="00974BD2" w14:paraId="1D5D479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pPr>
    </w:p>
    <w:p w:rsidR="004644C0" w:rsidRPr="009315A1" w:rsidP="004644C0" w14:paraId="1E9082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9.</w:t>
      </w:r>
      <w:r w:rsidRPr="009315A1">
        <w:rPr>
          <w:b/>
        </w:rPr>
        <w:tab/>
        <w:t>Explain any decision to provide any payment or gift to respondents, other than remuneration of contractors or grantees.</w:t>
      </w:r>
    </w:p>
    <w:p w:rsidR="009330FE" w:rsidRPr="009315A1" w:rsidP="00A7672D" w14:paraId="28DE46F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644C0" w:rsidRPr="009315A1" w:rsidP="0074444A" w14:paraId="72557D65"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9315A1">
        <w:t>No payments or gifts will be provided to respondents.</w:t>
      </w:r>
    </w:p>
    <w:p w:rsidR="0074444A" w:rsidRPr="009315A1" w:rsidP="0074444A" w14:paraId="54B87BB5"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4644C0" w:rsidRPr="009315A1" w:rsidP="004644C0" w14:paraId="446EB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10.</w:t>
      </w:r>
      <w:r w:rsidRPr="009315A1">
        <w:rPr>
          <w:b/>
        </w:rPr>
        <w:tab/>
        <w:t>Describe any assurance of confidentiality provided to respondents and the basis for the assurance in statute, regulation, or agency policy.</w:t>
      </w:r>
    </w:p>
    <w:p w:rsidR="009330FE" w:rsidRPr="009315A1" w:rsidP="00A7672D" w14:paraId="6776FC2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6CB7" w:rsidRPr="009315A1" w:rsidP="00076CB7" w14:paraId="5AB49D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315A1">
        <w:t>Personal and financia</w:t>
      </w:r>
      <w:r w:rsidRPr="009315A1" w:rsidR="00A611BB">
        <w:t xml:space="preserve">l information collected on this form </w:t>
      </w:r>
      <w:r w:rsidRPr="009315A1">
        <w:t>is protected under the Privacy Act of 1974.  The Privacy Act System of Records Notice associated with this information collection is INTERIOR/</w:t>
      </w:r>
      <w:r w:rsidR="00AC4B62">
        <w:t>WBR-7</w:t>
      </w:r>
      <w:r w:rsidR="00C138C2">
        <w:t>, Concessions</w:t>
      </w:r>
      <w:r w:rsidRPr="009315A1" w:rsidR="0074444A">
        <w:t xml:space="preserve"> </w:t>
      </w:r>
      <w:r w:rsidR="00C138C2">
        <w:t>(</w:t>
      </w:r>
      <w:r w:rsidRPr="009315A1">
        <w:t xml:space="preserve">73 FR 20949). </w:t>
      </w:r>
    </w:p>
    <w:p w:rsidR="004146CF" w:rsidRPr="009315A1" w:rsidP="004644C0" w14:paraId="5DFE40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644C0" w:rsidRPr="009315A1" w:rsidP="004644C0" w14:paraId="7DF007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11.</w:t>
      </w:r>
      <w:r w:rsidRPr="009315A1">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644C0" w:rsidRPr="009315A1" w:rsidP="00A7672D" w14:paraId="7C5FE32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bCs/>
        </w:rPr>
      </w:pPr>
    </w:p>
    <w:p w:rsidR="009330FE" w:rsidP="00A7672D" w14:paraId="059A2B1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9315A1">
        <w:t>No questions of a private or sensitive nature will be asked.</w:t>
      </w:r>
    </w:p>
    <w:p w:rsidR="00B979CC" w:rsidP="00A7672D" w14:paraId="06747FDB"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4644C0" w:rsidRPr="009315A1" w:rsidP="004644C0" w14:paraId="3E59A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12.</w:t>
      </w:r>
      <w:r w:rsidRPr="009315A1">
        <w:rPr>
          <w:b/>
        </w:rPr>
        <w:tab/>
        <w:t>Provide estimates of the hour burden of the collection of information.  The statement should:</w:t>
      </w:r>
    </w:p>
    <w:p w:rsidR="004644C0" w:rsidRPr="009315A1" w:rsidP="004644C0" w14:paraId="117EC8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4644C0" w:rsidRPr="009315A1" w:rsidP="004644C0" w14:paraId="47D375DD"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330FE" w:rsidRPr="009315A1" w:rsidP="00A7672D" w14:paraId="165D8C9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330FE" w:rsidRPr="009315A1" w:rsidP="00426879" w14:paraId="1DE7F0A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315A1">
        <w:t>See response to item 12(b) [next paragraph].</w:t>
      </w:r>
    </w:p>
    <w:p w:rsidR="009330FE" w:rsidRPr="009315A1" w:rsidP="007D2E5C" w14:paraId="6608D292"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644C0" w:rsidRPr="009315A1" w:rsidP="004644C0" w14:paraId="7B830DF1"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If this request for approval covers more than one form, provide separate hour burden estimates for each form and aggregate the hour burdens.</w:t>
      </w:r>
    </w:p>
    <w:p w:rsidR="009330FE" w:rsidRPr="009315A1" w:rsidP="00A7672D" w14:paraId="6DBACDC2"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504EF9" w:rsidRPr="00C10139" w:rsidP="00504EF9" w14:paraId="32748B61"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F19A9">
        <w:t xml:space="preserve">Based on current numbers, the estimated number of </w:t>
      </w:r>
      <w:r w:rsidRPr="008F19A9" w:rsidR="006A0E82">
        <w:t>respondents</w:t>
      </w:r>
      <w:r w:rsidRPr="008F19A9" w:rsidR="006B09F8">
        <w:t xml:space="preserve"> for this information collection</w:t>
      </w:r>
      <w:r w:rsidRPr="008F19A9" w:rsidR="006A0E82">
        <w:t xml:space="preserve"> </w:t>
      </w:r>
      <w:r w:rsidRPr="008F19A9" w:rsidR="006B09F8">
        <w:t xml:space="preserve">is </w:t>
      </w:r>
      <w:r w:rsidRPr="008F19A9" w:rsidR="006B68DA">
        <w:t>212</w:t>
      </w:r>
      <w:r w:rsidRPr="008F19A9" w:rsidR="006B09F8">
        <w:t xml:space="preserve"> annually.  The estimated completion time per response is </w:t>
      </w:r>
      <w:r w:rsidR="00027811">
        <w:t>25</w:t>
      </w:r>
      <w:r w:rsidRPr="00C10139" w:rsidR="006B09F8">
        <w:t xml:space="preserve"> minutes.  The total estimated annual burden hours for this information collection is </w:t>
      </w:r>
      <w:r w:rsidR="00027811">
        <w:t>88</w:t>
      </w:r>
      <w:r w:rsidRPr="00C10139" w:rsidR="006B09F8">
        <w:t xml:space="preserve"> hours rounded (212 estim</w:t>
      </w:r>
      <w:r w:rsidRPr="00C10139">
        <w:t xml:space="preserve">ated respondents multiplied by </w:t>
      </w:r>
      <w:r w:rsidR="00027811">
        <w:t>25</w:t>
      </w:r>
      <w:r w:rsidRPr="00C10139" w:rsidR="006B09F8">
        <w:t xml:space="preserve"> minutes per response).  </w:t>
      </w:r>
      <w:r w:rsidRPr="00C10139">
        <w:t>[</w:t>
      </w:r>
      <w:r w:rsidRPr="00C10139">
        <w:rPr>
          <w:b/>
        </w:rPr>
        <w:t>Note:</w:t>
      </w:r>
      <w:r w:rsidRPr="00C10139">
        <w:t xml:space="preserve">  Reclamation</w:t>
      </w:r>
      <w:r w:rsidRPr="00C10139" w:rsidR="006D55F2">
        <w:t>’s</w:t>
      </w:r>
      <w:r w:rsidRPr="00C10139">
        <w:t xml:space="preserve"> 6</w:t>
      </w:r>
      <w:r w:rsidRPr="00C10139" w:rsidR="006D55F2">
        <w:t>3</w:t>
      </w:r>
      <w:r w:rsidRPr="00C10139">
        <w:t xml:space="preserve"> individual non-Federal partners</w:t>
      </w:r>
      <w:r w:rsidRPr="00C10139" w:rsidR="006D55F2">
        <w:t xml:space="preserve"> </w:t>
      </w:r>
      <w:r w:rsidRPr="00C10139">
        <w:t>manage</w:t>
      </w:r>
      <w:r w:rsidRPr="00C10139" w:rsidR="006D55F2">
        <w:t xml:space="preserve"> over</w:t>
      </w:r>
      <w:r w:rsidRPr="00C10139">
        <w:t xml:space="preserve"> 1</w:t>
      </w:r>
      <w:r w:rsidRPr="00C10139" w:rsidR="006D55F2">
        <w:t>7</w:t>
      </w:r>
      <w:r w:rsidRPr="00C10139" w:rsidR="00BD3906">
        <w:t>5</w:t>
      </w:r>
      <w:r w:rsidRPr="00C10139" w:rsidR="006D55F2">
        <w:t xml:space="preserve"> recreation</w:t>
      </w:r>
      <w:r w:rsidRPr="00C10139">
        <w:t xml:space="preserve"> areas</w:t>
      </w:r>
      <w:r w:rsidRPr="00C10139" w:rsidR="00AA2D2E">
        <w:t>, some of which include over 3</w:t>
      </w:r>
      <w:r w:rsidRPr="00C10139" w:rsidR="00BD3906">
        <w:t>7</w:t>
      </w:r>
      <w:r w:rsidRPr="00C10139" w:rsidR="00AA2D2E">
        <w:t xml:space="preserve"> </w:t>
      </w:r>
      <w:r w:rsidRPr="00C10139" w:rsidR="0091438A">
        <w:t>concessions areas</w:t>
      </w:r>
      <w:r w:rsidRPr="00C10139">
        <w:t xml:space="preserve">.  Thus, </w:t>
      </w:r>
      <w:r w:rsidRPr="00C10139" w:rsidR="00AA2D2E">
        <w:t>there is an approximate total of</w:t>
      </w:r>
      <w:r w:rsidRPr="00C10139">
        <w:t xml:space="preserve"> 212 individual areas where forms have to be completed.</w:t>
      </w:r>
      <w:r w:rsidRPr="00C10139" w:rsidR="00BD3906">
        <w:t>]</w:t>
      </w:r>
      <w:r w:rsidRPr="00C10139">
        <w:t xml:space="preserve">  </w:t>
      </w:r>
    </w:p>
    <w:p w:rsidR="00504EF9" w:rsidRPr="00C10139" w:rsidP="00A46AE3" w14:paraId="3C13E47A"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B09F8" w:rsidP="00A46AE3" w14:paraId="6230E6C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10139">
        <w:t xml:space="preserve">Reclamation has </w:t>
      </w:r>
      <w:r w:rsidR="001F5824">
        <w:t xml:space="preserve">further </w:t>
      </w:r>
      <w:r w:rsidRPr="00C10139">
        <w:t xml:space="preserve">streamlined </w:t>
      </w:r>
      <w:r w:rsidR="00C10139">
        <w:t>F</w:t>
      </w:r>
      <w:r w:rsidRPr="00C10139">
        <w:t xml:space="preserve">orm </w:t>
      </w:r>
      <w:r w:rsidR="00C10139">
        <w:t>7-2534</w:t>
      </w:r>
      <w:r w:rsidR="00A81607">
        <w:t xml:space="preserve"> </w:t>
      </w:r>
      <w:r w:rsidR="001F5824">
        <w:t>by removing two sections</w:t>
      </w:r>
      <w:r w:rsidR="00A81607">
        <w:t xml:space="preserve"> as </w:t>
      </w:r>
      <w:r w:rsidR="001F5824">
        <w:t>it was determined that they</w:t>
      </w:r>
      <w:r w:rsidR="00A81607">
        <w:t xml:space="preserve"> can be collected and maintained by Reclamation employees which lessens the public burden.</w:t>
      </w:r>
    </w:p>
    <w:p w:rsidR="00E74CCE" w:rsidP="00A46AE3" w14:paraId="09130F15"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4644C0" w:rsidRPr="009315A1" w:rsidP="0078050D" w14:paraId="3B364C7B"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330FE" w:rsidRPr="009315A1" w:rsidP="00A7672D" w14:paraId="2D20D8D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57608" w:rsidP="00810A18" w14:paraId="602B4E86" w14:textId="1572C22E">
      <w:pPr>
        <w:ind w:left="720"/>
      </w:pPr>
      <w:r w:rsidRPr="008F19A9">
        <w:t>The 20</w:t>
      </w:r>
      <w:r w:rsidRPr="008F19A9" w:rsidR="000F1859">
        <w:t>2</w:t>
      </w:r>
      <w:r w:rsidR="002A4F60">
        <w:t>5</w:t>
      </w:r>
      <w:r w:rsidRPr="008F19A9">
        <w:t xml:space="preserve"> Department of Labor (Bureau of Labor Statistics</w:t>
      </w:r>
      <w:r w:rsidR="002A4F60">
        <w:t>, BLS</w:t>
      </w:r>
      <w:r w:rsidRPr="008F19A9">
        <w:t>) repo</w:t>
      </w:r>
      <w:r w:rsidRPr="008F19A9" w:rsidR="00803E2C">
        <w:t>rts a mean hourly wage of $</w:t>
      </w:r>
      <w:r w:rsidR="002A4F60">
        <w:t>32</w:t>
      </w:r>
      <w:r w:rsidR="009A7229">
        <w:t>.0</w:t>
      </w:r>
      <w:r w:rsidR="002A4F60">
        <w:t>7</w:t>
      </w:r>
      <w:r w:rsidRPr="008F19A9">
        <w:t xml:space="preserve"> for all workers in the United States regardless of occupation or geographic location</w:t>
      </w:r>
      <w:r w:rsidR="002A4F60">
        <w:t>.</w:t>
      </w:r>
      <w:r w:rsidRPr="008F19A9">
        <w:t xml:space="preserve">  The mean hou</w:t>
      </w:r>
      <w:r w:rsidRPr="008F19A9" w:rsidR="00803E2C">
        <w:t>rly wage of $</w:t>
      </w:r>
      <w:r w:rsidR="002A4F60">
        <w:t>44</w:t>
      </w:r>
      <w:r w:rsidR="009A7229">
        <w:t>.</w:t>
      </w:r>
      <w:r w:rsidR="002A4F60">
        <w:t>90</w:t>
      </w:r>
      <w:r w:rsidRPr="008F19A9">
        <w:t xml:space="preserve"> in</w:t>
      </w:r>
      <w:r w:rsidRPr="008F19A9" w:rsidR="00803E2C">
        <w:t>cludes the hourly wage of $</w:t>
      </w:r>
      <w:r w:rsidR="002A4F60">
        <w:t>32</w:t>
      </w:r>
      <w:r w:rsidRPr="008F19A9" w:rsidR="00FE1CA0">
        <w:t>.</w:t>
      </w:r>
      <w:r w:rsidR="002A4F60">
        <w:t>07</w:t>
      </w:r>
      <w:r w:rsidRPr="008F19A9" w:rsidR="00803E2C">
        <w:t xml:space="preserve"> plus $</w:t>
      </w:r>
      <w:r w:rsidR="009A7229">
        <w:t>1</w:t>
      </w:r>
      <w:r w:rsidR="002A4F60">
        <w:t>2</w:t>
      </w:r>
      <w:r w:rsidR="009A7229">
        <w:t>.</w:t>
      </w:r>
      <w:r w:rsidR="002A4F60">
        <w:t>8</w:t>
      </w:r>
      <w:r w:rsidR="00A616C3">
        <w:t>3</w:t>
      </w:r>
      <w:r w:rsidR="009A7229">
        <w:t xml:space="preserve"> </w:t>
      </w:r>
      <w:r w:rsidRPr="008F19A9">
        <w:t>fo</w:t>
      </w:r>
      <w:r w:rsidRPr="008F19A9" w:rsidR="00803E2C">
        <w:t xml:space="preserve">r benefits using a factor of </w:t>
      </w:r>
      <w:r w:rsidRPr="008F19A9" w:rsidR="0067168A">
        <w:t xml:space="preserve">1.4 </w:t>
      </w:r>
      <w:r w:rsidRPr="008F19A9">
        <w:t>(source for hourly wage is</w:t>
      </w:r>
      <w:r w:rsidRPr="008F19A9" w:rsidR="00507E64">
        <w:t xml:space="preserve"> </w:t>
      </w:r>
      <w:hyperlink r:id="rId5" w:history="1">
        <w:r w:rsidRPr="002A4F60" w:rsidR="002A4F60">
          <w:rPr>
            <w:rStyle w:val="Hyperlink"/>
          </w:rPr>
          <w:t>https://www.bls.gov/news.release/pdf/ecec.pdf</w:t>
        </w:r>
      </w:hyperlink>
      <w:r w:rsidRPr="008F19A9" w:rsidR="002A4F60">
        <w:t>)</w:t>
      </w:r>
      <w:r w:rsidRPr="008F19A9" w:rsidR="00507E64">
        <w:t>.</w:t>
      </w:r>
      <w:r w:rsidR="00507E64">
        <w:t xml:space="preserve">  </w:t>
      </w:r>
      <w:r w:rsidRPr="001D45AB">
        <w:t>The total annualized cost to respondents</w:t>
      </w:r>
      <w:r w:rsidRPr="001D45AB" w:rsidR="00803E2C">
        <w:t xml:space="preserve"> is $</w:t>
      </w:r>
      <w:r w:rsidR="00A616C3">
        <w:t>3,</w:t>
      </w:r>
      <w:r w:rsidR="002A4F60">
        <w:t>951</w:t>
      </w:r>
      <w:r w:rsidRPr="00CA1DBA" w:rsidR="00264D49">
        <w:t xml:space="preserve"> rounded (</w:t>
      </w:r>
      <w:r w:rsidRPr="00AC4B62" w:rsidR="00507E64">
        <w:t>88</w:t>
      </w:r>
      <w:r w:rsidRPr="00AC4B62" w:rsidR="00803E2C">
        <w:t xml:space="preserve"> hours × $</w:t>
      </w:r>
      <w:r w:rsidR="002A4F60">
        <w:t>44</w:t>
      </w:r>
      <w:r w:rsidR="00A616C3">
        <w:t>.</w:t>
      </w:r>
      <w:r w:rsidR="002A4F60">
        <w:t>90</w:t>
      </w:r>
      <w:r w:rsidRPr="00CA1DBA">
        <w:t xml:space="preserve">).  </w:t>
      </w:r>
      <w:r w:rsidRPr="00810A18" w:rsidR="00A83D54">
        <w:t xml:space="preserve">The </w:t>
      </w:r>
      <w:r w:rsidR="00264DBC">
        <w:t xml:space="preserve">$772 </w:t>
      </w:r>
      <w:r w:rsidR="002A4F60">
        <w:t xml:space="preserve">increase from $3,179 when this ICR was most recently </w:t>
      </w:r>
      <w:r w:rsidR="00EA034D">
        <w:t>approved</w:t>
      </w:r>
      <w:r w:rsidR="002A4F60">
        <w:t xml:space="preserve"> is due to an increase in BLS wage figures. </w:t>
      </w:r>
    </w:p>
    <w:p w:rsidR="00504EF9" w:rsidP="00810A18" w14:paraId="787061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315A1">
        <w:t xml:space="preserve">  </w:t>
      </w:r>
    </w:p>
    <w:p w:rsidR="004644C0" w:rsidRPr="009315A1" w:rsidP="004644C0" w14:paraId="076527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315A1">
        <w:rPr>
          <w:b/>
        </w:rPr>
        <w:t>13.</w:t>
      </w:r>
      <w:r w:rsidRPr="009315A1">
        <w:rPr>
          <w:b/>
        </w:rPr>
        <w:tab/>
        <w:t>Provide an estimate of the total annual non-hour cost burden to respondents or recordkeepers resulting from the collection of information.  (Do not include the cost of any hour burden already reflected in item 12.)</w:t>
      </w:r>
    </w:p>
    <w:p w:rsidR="004644C0" w:rsidRPr="009315A1" w:rsidP="004644C0" w14:paraId="4EAF21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4644C0" w:rsidRPr="009315A1" w:rsidP="004644C0" w14:paraId="2F9AE665" w14:textId="77777777">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330FE" w:rsidRPr="009315A1" w:rsidP="00A7672D" w14:paraId="6485843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644C0" w:rsidRPr="009315A1" w:rsidP="004644C0" w14:paraId="712EDFF0" w14:textId="77777777">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644C0" w:rsidRPr="009315A1" w:rsidP="004644C0" w14:paraId="2E51F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44C0" w:rsidRPr="009315A1" w:rsidP="004644C0" w14:paraId="1A10DF4D" w14:textId="77777777">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315A1">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002D1" w:rsidRPr="009315A1" w:rsidP="003002D1" w14:paraId="1453549B"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330FE" w:rsidP="00A7672D" w14:paraId="5BE18AA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3002D1">
        <w:t>There are no non-hour cost burdens associated with this collection.</w:t>
      </w:r>
    </w:p>
    <w:p w:rsidR="00457608" w:rsidRPr="009315A1" w:rsidP="00A7672D" w14:paraId="769152C1"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644C0" w:rsidRPr="009315A1" w:rsidP="004644C0" w14:paraId="40209C64" w14:textId="77777777">
      <w:pPr>
        <w:tabs>
          <w:tab w:val="left" w:pos="-1080"/>
          <w:tab w:val="left" w:pos="-720"/>
          <w:tab w:val="left" w:pos="360"/>
        </w:tabs>
        <w:ind w:left="360" w:hanging="360"/>
        <w:rPr>
          <w:b/>
        </w:rPr>
      </w:pPr>
      <w:r w:rsidRPr="009315A1">
        <w:rPr>
          <w:b/>
        </w:rPr>
        <w:t>14.</w:t>
      </w:r>
      <w:r w:rsidRPr="009315A1">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644C0" w:rsidRPr="009315A1" w:rsidP="00A7672D" w14:paraId="3E1C7FEB" w14:textId="77777777">
      <w:pPr>
        <w:rPr>
          <w:b/>
          <w:bCs/>
        </w:rPr>
      </w:pPr>
    </w:p>
    <w:p w:rsidR="00FB6365" w:rsidP="00E74CCE" w14:paraId="6664412C" w14:textId="55ACA170">
      <w:pPr>
        <w:ind w:left="360"/>
      </w:pPr>
      <w:r w:rsidRPr="008F19A9">
        <w:t>Reclamation estimates the total annual cost to the Federal Government to be $</w:t>
      </w:r>
      <w:r w:rsidR="00264DBC">
        <w:t>9</w:t>
      </w:r>
      <w:r w:rsidRPr="008F19A9" w:rsidR="007E648E">
        <w:t>,</w:t>
      </w:r>
      <w:r w:rsidR="00264DBC">
        <w:t>557</w:t>
      </w:r>
      <w:r w:rsidRPr="008F19A9" w:rsidR="008E6B99">
        <w:t xml:space="preserve"> </w:t>
      </w:r>
      <w:r w:rsidRPr="008F19A9">
        <w:t xml:space="preserve">for experienced Reclamation staff to collect, analyze, and process the estimated </w:t>
      </w:r>
      <w:r w:rsidRPr="008F19A9" w:rsidR="004A3FF6">
        <w:t xml:space="preserve">212 </w:t>
      </w:r>
      <w:r w:rsidRPr="008F19A9">
        <w:t>annual responses associated with this information collection.  No additional equipment will be required.  The annual cost to the Federal Government is estimated as follows:</w:t>
      </w:r>
      <w:r w:rsidRPr="009315A1">
        <w:t xml:space="preserve">  </w:t>
      </w:r>
    </w:p>
    <w:p w:rsidR="00457608" w:rsidP="00E74CCE" w14:paraId="2F2516EB" w14:textId="77777777">
      <w:pPr>
        <w:ind w:left="360"/>
      </w:pPr>
    </w:p>
    <w:p w:rsidR="00457608" w:rsidP="00E74CCE" w14:paraId="3CECF85C" w14:textId="77777777">
      <w:pPr>
        <w:ind w:left="360"/>
      </w:pPr>
    </w:p>
    <w:p w:rsidR="00457608" w:rsidP="00E74CCE" w14:paraId="6A00A3BB" w14:textId="77777777">
      <w:pPr>
        <w:ind w:left="360"/>
      </w:pPr>
    </w:p>
    <w:p w:rsidR="00457608" w:rsidRPr="009315A1" w:rsidP="00E74CCE" w14:paraId="3596339F" w14:textId="77777777">
      <w:pPr>
        <w:ind w:left="360"/>
        <w:rPr>
          <w:b/>
          <w:bCs/>
        </w:rPr>
      </w:pPr>
    </w:p>
    <w:p w:rsidR="009330FE" w:rsidRPr="009315A1" w:rsidP="00A7672D" w14:paraId="5E4729CF" w14:textId="77777777">
      <w:pPr>
        <w:keepNext/>
        <w:keepLines/>
        <w:rPr>
          <w:b/>
          <w:bCs/>
          <w:u w:val="single"/>
        </w:rPr>
      </w:pPr>
      <w:r w:rsidRPr="009315A1">
        <w:rPr>
          <w:b/>
          <w:bCs/>
        </w:rPr>
        <w:tab/>
      </w:r>
    </w:p>
    <w:tbl>
      <w:tblPr>
        <w:tblW w:w="9620" w:type="dxa"/>
        <w:tblInd w:w="120" w:type="dxa"/>
        <w:tblLayout w:type="fixed"/>
        <w:tblCellMar>
          <w:left w:w="120" w:type="dxa"/>
          <w:right w:w="120" w:type="dxa"/>
        </w:tblCellMar>
        <w:tblLook w:val="0000"/>
      </w:tblPr>
      <w:tblGrid>
        <w:gridCol w:w="7200"/>
        <w:gridCol w:w="2420"/>
      </w:tblGrid>
      <w:tr w14:paraId="06AA757D" w14:textId="77777777">
        <w:tblPrEx>
          <w:tblW w:w="9620" w:type="dxa"/>
          <w:tblInd w:w="120" w:type="dxa"/>
          <w:tblLayout w:type="fixed"/>
          <w:tblCellMar>
            <w:left w:w="120" w:type="dxa"/>
            <w:right w:w="120" w:type="dxa"/>
          </w:tblCellMar>
          <w:tblLook w:val="0000"/>
        </w:tblPrEx>
        <w:tc>
          <w:tcPr>
            <w:tcW w:w="7200" w:type="dxa"/>
            <w:tcBorders>
              <w:top w:val="single" w:sz="15" w:space="0" w:color="000000"/>
              <w:left w:val="single" w:sz="15" w:space="0" w:color="000000"/>
              <w:bottom w:val="single" w:sz="15" w:space="0" w:color="000000"/>
              <w:right w:val="single" w:sz="7" w:space="0" w:color="000000"/>
            </w:tcBorders>
            <w:vAlign w:val="center"/>
          </w:tcPr>
          <w:p w:rsidR="009330FE" w:rsidRPr="008F19A9" w:rsidP="00A46AE3" w14:paraId="6B1BDC3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0"/>
                <w:u w:val="single"/>
              </w:rPr>
            </w:pPr>
            <w:r w:rsidRPr="008F19A9">
              <w:rPr>
                <w:b/>
                <w:bCs/>
                <w:szCs w:val="20"/>
              </w:rPr>
              <w:t>Cost Activity</w:t>
            </w:r>
          </w:p>
        </w:tc>
        <w:tc>
          <w:tcPr>
            <w:tcW w:w="2420" w:type="dxa"/>
            <w:tcBorders>
              <w:top w:val="single" w:sz="15" w:space="0" w:color="000000"/>
              <w:left w:val="single" w:sz="7" w:space="0" w:color="000000"/>
              <w:bottom w:val="single" w:sz="15" w:space="0" w:color="000000"/>
              <w:right w:val="single" w:sz="15" w:space="0" w:color="000000"/>
            </w:tcBorders>
            <w:vAlign w:val="center"/>
          </w:tcPr>
          <w:p w:rsidR="009330FE" w:rsidRPr="008F19A9" w:rsidP="00A46AE3" w14:paraId="26DCFB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0"/>
              </w:rPr>
            </w:pPr>
            <w:r w:rsidRPr="008F19A9">
              <w:rPr>
                <w:b/>
                <w:bCs/>
                <w:szCs w:val="20"/>
              </w:rPr>
              <w:t>Costs</w:t>
            </w:r>
          </w:p>
        </w:tc>
      </w:tr>
      <w:tr w14:paraId="4D741275" w14:textId="77777777">
        <w:tblPrEx>
          <w:tblW w:w="9620" w:type="dxa"/>
          <w:tblInd w:w="120" w:type="dxa"/>
          <w:tblLayout w:type="fixed"/>
          <w:tblCellMar>
            <w:left w:w="120" w:type="dxa"/>
            <w:right w:w="120" w:type="dxa"/>
          </w:tblCellMar>
          <w:tblLook w:val="0000"/>
        </w:tblPrEx>
        <w:tc>
          <w:tcPr>
            <w:tcW w:w="7200" w:type="dxa"/>
            <w:tcBorders>
              <w:top w:val="single" w:sz="7" w:space="0" w:color="000000"/>
              <w:left w:val="single" w:sz="15" w:space="0" w:color="000000"/>
              <w:bottom w:val="single" w:sz="7" w:space="0" w:color="000000"/>
              <w:right w:val="single" w:sz="7" w:space="0" w:color="000000"/>
            </w:tcBorders>
            <w:vAlign w:val="center"/>
          </w:tcPr>
          <w:p w:rsidR="009330FE" w:rsidRPr="008F19A9" w:rsidP="00A7672D" w14:paraId="5469F129" w14:textId="77777777">
            <w:pPr>
              <w:keepNext/>
              <w:keepLines/>
            </w:pPr>
            <w:r w:rsidRPr="008F19A9">
              <w:rPr>
                <w:szCs w:val="20"/>
              </w:rPr>
              <w:t xml:space="preserve">Staff costs to collect, analyze, and process data collected by the form in this information collection.  </w:t>
            </w:r>
            <w:r w:rsidRPr="008F19A9">
              <w:t xml:space="preserve">Data collection and analysis includes costs to send out material, follow up, read, and analyze data.  </w:t>
            </w:r>
          </w:p>
          <w:p w:rsidR="009330FE" w:rsidRPr="008F19A9" w:rsidP="00290F8C" w14:paraId="7F5586EF" w14:textId="77777777">
            <w:pPr>
              <w:keepNext/>
              <w:keepLines/>
            </w:pPr>
          </w:p>
          <w:p w:rsidR="00C67A19" w:rsidRPr="008F19A9" w:rsidP="007D2E5C" w14:paraId="0F268540" w14:textId="5EAAD34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F19A9">
              <w:t>It is estimated that a Reclamation employee will spend approximately 1</w:t>
            </w:r>
            <w:r w:rsidRPr="008F19A9" w:rsidR="005A54FF">
              <w:t> </w:t>
            </w:r>
            <w:r w:rsidRPr="008F19A9">
              <w:t xml:space="preserve">hour per response to complete the tasks listed above.  </w:t>
            </w:r>
            <w:r w:rsidRPr="008F19A9" w:rsidR="00556DF9">
              <w:t>The average grade of the employee is estimated to be a GS-</w:t>
            </w:r>
            <w:r w:rsidRPr="008F19A9" w:rsidR="005E4C8E">
              <w:t>9</w:t>
            </w:r>
            <w:r w:rsidRPr="008F19A9" w:rsidR="00556DF9">
              <w:t>, step 5 with a</w:t>
            </w:r>
            <w:r w:rsidRPr="008F19A9" w:rsidR="003B343C">
              <w:t>n</w:t>
            </w:r>
            <w:r w:rsidRPr="008F19A9" w:rsidR="00556DF9">
              <w:t xml:space="preserve"> hourly wage of $</w:t>
            </w:r>
            <w:r w:rsidRPr="008F19A9" w:rsidR="005E4C8E">
              <w:t>4</w:t>
            </w:r>
            <w:r w:rsidR="00264DBC">
              <w:t>5</w:t>
            </w:r>
            <w:r w:rsidRPr="008F19A9" w:rsidR="005E4C8E">
              <w:t>.</w:t>
            </w:r>
            <w:r w:rsidR="00264DBC">
              <w:t>08</w:t>
            </w:r>
            <w:r w:rsidRPr="008F19A9" w:rsidR="00556DF9">
              <w:t xml:space="preserve"> (</w:t>
            </w:r>
            <w:r w:rsidRPr="008F19A9">
              <w:t>$</w:t>
            </w:r>
            <w:r w:rsidRPr="008F19A9" w:rsidR="005E4C8E">
              <w:t>2</w:t>
            </w:r>
            <w:r w:rsidR="00264DBC">
              <w:t>8</w:t>
            </w:r>
            <w:r w:rsidRPr="008F19A9" w:rsidR="005E4C8E">
              <w:t>.</w:t>
            </w:r>
            <w:r w:rsidR="00264DBC">
              <w:t>3</w:t>
            </w:r>
            <w:r w:rsidRPr="008F19A9" w:rsidR="005E4C8E">
              <w:t>5</w:t>
            </w:r>
            <w:r w:rsidRPr="008F19A9" w:rsidR="000341FA">
              <w:t xml:space="preserve"> x *</w:t>
            </w:r>
            <w:r w:rsidRPr="008F19A9" w:rsidR="00240BCB">
              <w:t>1.</w:t>
            </w:r>
            <w:r w:rsidRPr="008F19A9" w:rsidR="000341FA">
              <w:t>5</w:t>
            </w:r>
            <w:r w:rsidRPr="008F19A9" w:rsidR="003002D1">
              <w:t>9</w:t>
            </w:r>
            <w:r w:rsidRPr="008F19A9">
              <w:t xml:space="preserve"> benefits multiplier).  These figures were taken from the </w:t>
            </w:r>
            <w:r w:rsidRPr="008F19A9" w:rsidR="00556DF9">
              <w:t>20</w:t>
            </w:r>
            <w:r w:rsidRPr="008F19A9" w:rsidR="00FE1CA0">
              <w:t>2</w:t>
            </w:r>
            <w:r w:rsidR="00264DBC">
              <w:t>5</w:t>
            </w:r>
            <w:r w:rsidRPr="008F19A9" w:rsidR="00556DF9">
              <w:t xml:space="preserve"> </w:t>
            </w:r>
            <w:r w:rsidRPr="008F19A9" w:rsidR="003B343C">
              <w:t xml:space="preserve">OPM </w:t>
            </w:r>
            <w:r w:rsidRPr="008F19A9">
              <w:t xml:space="preserve">Salary </w:t>
            </w:r>
            <w:r w:rsidR="00264DBC">
              <w:t>Table for base rate pay</w:t>
            </w:r>
            <w:r w:rsidRPr="008F19A9" w:rsidR="005938B6">
              <w:t>.</w:t>
            </w:r>
            <w:r w:rsidRPr="008F19A9">
              <w:t xml:space="preserve">  </w:t>
            </w:r>
          </w:p>
          <w:p w:rsidR="00FF3FE8" w:rsidRPr="008F19A9" w:rsidP="004865B7" w14:paraId="53D296A1" w14:textId="77777777">
            <w:pPr>
              <w:keepNext/>
              <w:keepLines/>
              <w:rPr>
                <w:szCs w:val="20"/>
              </w:rPr>
            </w:pPr>
          </w:p>
          <w:p w:rsidR="00556DF9" w:rsidRPr="008F19A9" w:rsidP="004865B7" w14:paraId="50E98909" w14:textId="2C30597A">
            <w:pPr>
              <w:keepNext/>
              <w:keepLines/>
              <w:rPr>
                <w:szCs w:val="20"/>
              </w:rPr>
            </w:pPr>
            <w:r w:rsidRPr="008F19A9">
              <w:rPr>
                <w:szCs w:val="20"/>
              </w:rPr>
              <w:t xml:space="preserve">Since the number of responses is </w:t>
            </w:r>
            <w:r w:rsidRPr="008F19A9" w:rsidR="00F720E0">
              <w:rPr>
                <w:szCs w:val="20"/>
              </w:rPr>
              <w:t>2</w:t>
            </w:r>
            <w:r w:rsidRPr="008F19A9" w:rsidR="00360346">
              <w:rPr>
                <w:szCs w:val="20"/>
              </w:rPr>
              <w:t>12</w:t>
            </w:r>
            <w:r w:rsidRPr="008F19A9">
              <w:rPr>
                <w:szCs w:val="20"/>
              </w:rPr>
              <w:t>, the annual estimated cost to the Federal Government is $</w:t>
            </w:r>
            <w:r w:rsidR="00264DBC">
              <w:rPr>
                <w:szCs w:val="20"/>
              </w:rPr>
              <w:t>9</w:t>
            </w:r>
            <w:r w:rsidR="00A468C3">
              <w:rPr>
                <w:szCs w:val="20"/>
              </w:rPr>
              <w:t>,</w:t>
            </w:r>
            <w:r w:rsidR="00264DBC">
              <w:rPr>
                <w:szCs w:val="20"/>
              </w:rPr>
              <w:t xml:space="preserve">557 </w:t>
            </w:r>
            <w:r w:rsidRPr="008F19A9" w:rsidR="005C37BA">
              <w:rPr>
                <w:szCs w:val="20"/>
              </w:rPr>
              <w:t xml:space="preserve">rounded </w:t>
            </w:r>
            <w:r w:rsidRPr="008F19A9">
              <w:rPr>
                <w:szCs w:val="20"/>
              </w:rPr>
              <w:t>(</w:t>
            </w:r>
            <w:r w:rsidRPr="008F19A9" w:rsidR="005E4C8E">
              <w:rPr>
                <w:szCs w:val="20"/>
              </w:rPr>
              <w:t>4</w:t>
            </w:r>
            <w:r w:rsidR="00264DBC">
              <w:rPr>
                <w:szCs w:val="20"/>
              </w:rPr>
              <w:t>5</w:t>
            </w:r>
            <w:r w:rsidRPr="008F19A9" w:rsidR="005E4C8E">
              <w:rPr>
                <w:szCs w:val="20"/>
              </w:rPr>
              <w:t>.</w:t>
            </w:r>
            <w:r w:rsidR="00264DBC">
              <w:rPr>
                <w:szCs w:val="20"/>
              </w:rPr>
              <w:t>08</w:t>
            </w:r>
            <w:r w:rsidRPr="008F19A9">
              <w:rPr>
                <w:szCs w:val="20"/>
              </w:rPr>
              <w:t xml:space="preserve"> x </w:t>
            </w:r>
            <w:r w:rsidRPr="008F19A9" w:rsidR="00F720E0">
              <w:rPr>
                <w:szCs w:val="20"/>
              </w:rPr>
              <w:t>2</w:t>
            </w:r>
            <w:r w:rsidRPr="008F19A9" w:rsidR="00360346">
              <w:rPr>
                <w:szCs w:val="20"/>
              </w:rPr>
              <w:t>12</w:t>
            </w:r>
            <w:r w:rsidRPr="008F19A9">
              <w:rPr>
                <w:szCs w:val="20"/>
              </w:rPr>
              <w:t>).</w:t>
            </w:r>
          </w:p>
          <w:p w:rsidR="009330FE" w:rsidRPr="008F19A9" w:rsidP="004865B7" w14:paraId="2A3B0359" w14:textId="77777777">
            <w:pPr>
              <w:keepNext/>
              <w:keepLines/>
            </w:pPr>
            <w:r w:rsidRPr="008F19A9">
              <w:rPr>
                <w:szCs w:val="20"/>
              </w:rPr>
              <w:t xml:space="preserve"> </w:t>
            </w:r>
          </w:p>
        </w:tc>
        <w:tc>
          <w:tcPr>
            <w:tcW w:w="2420" w:type="dxa"/>
            <w:tcBorders>
              <w:top w:val="single" w:sz="7" w:space="0" w:color="000000"/>
              <w:left w:val="single" w:sz="7" w:space="0" w:color="000000"/>
              <w:bottom w:val="single" w:sz="7" w:space="0" w:color="000000"/>
              <w:right w:val="single" w:sz="15" w:space="0" w:color="000000"/>
            </w:tcBorders>
            <w:vAlign w:val="center"/>
          </w:tcPr>
          <w:p w:rsidR="009330FE" w:rsidRPr="008F19A9" w:rsidP="00F5236C" w14:paraId="34FC4872" w14:textId="1E8DABF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u w:val="single"/>
              </w:rPr>
            </w:pPr>
            <w:r w:rsidRPr="008F19A9">
              <w:rPr>
                <w:szCs w:val="20"/>
              </w:rPr>
              <w:t>$</w:t>
            </w:r>
            <w:r w:rsidR="00264DBC">
              <w:rPr>
                <w:szCs w:val="20"/>
              </w:rPr>
              <w:t>9</w:t>
            </w:r>
            <w:r w:rsidRPr="008F19A9" w:rsidR="007E648E">
              <w:rPr>
                <w:szCs w:val="20"/>
              </w:rPr>
              <w:t>,</w:t>
            </w:r>
            <w:r w:rsidR="00264DBC">
              <w:rPr>
                <w:szCs w:val="20"/>
              </w:rPr>
              <w:t>557</w:t>
            </w:r>
            <w:r w:rsidRPr="008F19A9">
              <w:rPr>
                <w:szCs w:val="20"/>
              </w:rPr>
              <w:t xml:space="preserve"> </w:t>
            </w:r>
          </w:p>
        </w:tc>
      </w:tr>
      <w:tr w14:paraId="6F1B6AF7" w14:textId="77777777">
        <w:tblPrEx>
          <w:tblW w:w="9620" w:type="dxa"/>
          <w:tblInd w:w="120" w:type="dxa"/>
          <w:tblLayout w:type="fixed"/>
          <w:tblCellMar>
            <w:left w:w="120" w:type="dxa"/>
            <w:right w:w="120" w:type="dxa"/>
          </w:tblCellMar>
          <w:tblLook w:val="0000"/>
        </w:tblPrEx>
        <w:tc>
          <w:tcPr>
            <w:tcW w:w="7200" w:type="dxa"/>
            <w:tcBorders>
              <w:top w:val="single" w:sz="7" w:space="0" w:color="000000"/>
              <w:left w:val="single" w:sz="15" w:space="0" w:color="000000"/>
              <w:bottom w:val="single" w:sz="7" w:space="0" w:color="000000"/>
              <w:right w:val="single" w:sz="7" w:space="0" w:color="000000"/>
            </w:tcBorders>
            <w:vAlign w:val="center"/>
          </w:tcPr>
          <w:p w:rsidR="009330FE" w:rsidRPr="008F19A9" w:rsidP="00A46AE3" w14:paraId="78F4F28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u w:val="single"/>
              </w:rPr>
            </w:pPr>
            <w:r w:rsidRPr="008F19A9">
              <w:rPr>
                <w:szCs w:val="20"/>
              </w:rPr>
              <w:t>Miscellaneous administrative costs for equipment and support staff</w:t>
            </w:r>
            <w:r w:rsidRPr="008F19A9" w:rsidR="00066467">
              <w:rPr>
                <w:szCs w:val="20"/>
              </w:rPr>
              <w:t>.</w:t>
            </w:r>
            <w:r w:rsidRPr="008F19A9">
              <w:rPr>
                <w:szCs w:val="20"/>
              </w:rPr>
              <w:t xml:space="preserve"> </w:t>
            </w:r>
          </w:p>
        </w:tc>
        <w:tc>
          <w:tcPr>
            <w:tcW w:w="2420" w:type="dxa"/>
            <w:tcBorders>
              <w:top w:val="single" w:sz="7" w:space="0" w:color="000000"/>
              <w:left w:val="single" w:sz="7" w:space="0" w:color="000000"/>
              <w:bottom w:val="single" w:sz="7" w:space="0" w:color="000000"/>
              <w:right w:val="single" w:sz="15" w:space="0" w:color="000000"/>
            </w:tcBorders>
            <w:vAlign w:val="center"/>
          </w:tcPr>
          <w:p w:rsidR="009330FE" w:rsidRPr="008F19A9" w:rsidP="00A46AE3" w14:paraId="680A52E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Cs w:val="20"/>
              </w:rPr>
            </w:pPr>
            <w:r w:rsidRPr="008F19A9">
              <w:rPr>
                <w:bCs/>
                <w:szCs w:val="20"/>
              </w:rPr>
              <w:t>-0-</w:t>
            </w:r>
          </w:p>
        </w:tc>
      </w:tr>
      <w:tr w14:paraId="2DEF63EA" w14:textId="77777777">
        <w:tblPrEx>
          <w:tblW w:w="9620" w:type="dxa"/>
          <w:tblInd w:w="120" w:type="dxa"/>
          <w:tblLayout w:type="fixed"/>
          <w:tblCellMar>
            <w:left w:w="120" w:type="dxa"/>
            <w:right w:w="120" w:type="dxa"/>
          </w:tblCellMar>
          <w:tblLook w:val="0000"/>
        </w:tblPrEx>
        <w:trPr>
          <w:trHeight w:hRule="exact" w:val="470"/>
        </w:trPr>
        <w:tc>
          <w:tcPr>
            <w:tcW w:w="7200" w:type="dxa"/>
            <w:tcBorders>
              <w:top w:val="single" w:sz="15" w:space="0" w:color="000000"/>
              <w:left w:val="single" w:sz="15" w:space="0" w:color="000000"/>
              <w:bottom w:val="single" w:sz="15" w:space="0" w:color="000000"/>
              <w:right w:val="single" w:sz="7" w:space="0" w:color="000000"/>
            </w:tcBorders>
            <w:vAlign w:val="center"/>
          </w:tcPr>
          <w:p w:rsidR="009330FE" w:rsidRPr="008F19A9" w:rsidP="00A46AE3" w14:paraId="09E37A0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0"/>
                <w:u w:val="single"/>
              </w:rPr>
            </w:pPr>
            <w:r w:rsidRPr="008F19A9">
              <w:rPr>
                <w:b/>
                <w:bCs/>
                <w:szCs w:val="20"/>
              </w:rPr>
              <w:t>TOTAL Federal Government Costs</w:t>
            </w:r>
          </w:p>
        </w:tc>
        <w:tc>
          <w:tcPr>
            <w:tcW w:w="2420" w:type="dxa"/>
            <w:tcBorders>
              <w:top w:val="single" w:sz="15" w:space="0" w:color="000000"/>
              <w:left w:val="single" w:sz="7" w:space="0" w:color="000000"/>
              <w:bottom w:val="single" w:sz="15" w:space="0" w:color="000000"/>
              <w:right w:val="single" w:sz="15" w:space="0" w:color="000000"/>
            </w:tcBorders>
            <w:vAlign w:val="center"/>
          </w:tcPr>
          <w:p w:rsidR="009330FE" w:rsidRPr="008F19A9" w:rsidP="00F5236C" w14:paraId="76CCE80E" w14:textId="1619572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u w:val="single"/>
              </w:rPr>
            </w:pPr>
            <w:r w:rsidRPr="008F19A9">
              <w:rPr>
                <w:b/>
                <w:bCs/>
                <w:szCs w:val="20"/>
              </w:rPr>
              <w:t>$</w:t>
            </w:r>
            <w:r w:rsidR="00264DBC">
              <w:rPr>
                <w:b/>
                <w:bCs/>
                <w:szCs w:val="20"/>
              </w:rPr>
              <w:t>9</w:t>
            </w:r>
            <w:r w:rsidRPr="008F19A9" w:rsidR="007E648E">
              <w:rPr>
                <w:b/>
                <w:bCs/>
                <w:szCs w:val="20"/>
              </w:rPr>
              <w:t>,</w:t>
            </w:r>
            <w:r w:rsidR="00264DBC">
              <w:rPr>
                <w:b/>
                <w:bCs/>
                <w:szCs w:val="20"/>
              </w:rPr>
              <w:t>557</w:t>
            </w:r>
          </w:p>
        </w:tc>
      </w:tr>
    </w:tbl>
    <w:p w:rsidR="009330FE" w:rsidRPr="009315A1" w:rsidP="00A7672D" w14:paraId="53D8C12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644C0" w:rsidRPr="009315A1" w:rsidP="004644C0" w14:paraId="3D77CBE4" w14:textId="77777777">
      <w:pPr>
        <w:tabs>
          <w:tab w:val="left" w:pos="-1080"/>
          <w:tab w:val="left" w:pos="-720"/>
          <w:tab w:val="left" w:pos="360"/>
        </w:tabs>
        <w:ind w:left="360" w:hanging="360"/>
        <w:rPr>
          <w:b/>
        </w:rPr>
      </w:pPr>
      <w:r w:rsidRPr="009315A1">
        <w:rPr>
          <w:b/>
        </w:rPr>
        <w:t>15.</w:t>
      </w:r>
      <w:r w:rsidRPr="009315A1">
        <w:rPr>
          <w:b/>
        </w:rPr>
        <w:tab/>
        <w:t xml:space="preserve">Explain the reasons for any program changes or adjustments in hour or cost burden. </w:t>
      </w:r>
    </w:p>
    <w:p w:rsidR="009330FE" w:rsidRPr="009315A1" w:rsidP="00A46AE3" w14:paraId="37D5BCE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72384" w:rsidRPr="004C2980" w:rsidP="00572384" w14:paraId="1DBD946F" w14:textId="5AAF8BCB">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Following the input of experienced Reclamation recreation employees, the average staff members performing the previously mentioned activities under question 14 are GS-7 to mid-graded GS-9 employees. </w:t>
      </w:r>
      <w:r w:rsidRPr="00810A18" w:rsidR="009118C0">
        <w:t xml:space="preserve">The </w:t>
      </w:r>
      <w:r w:rsidR="009118C0">
        <w:t xml:space="preserve">$935 increase from $8,622 when this ICR was most recently </w:t>
      </w:r>
      <w:r w:rsidR="00EA034D">
        <w:t>approved</w:t>
      </w:r>
      <w:r w:rsidR="009118C0">
        <w:t xml:space="preserve"> is due to an increase in OPM pay rate figures.  </w:t>
      </w:r>
    </w:p>
    <w:p w:rsidR="00F5236C" w:rsidRPr="009315A1" w:rsidP="00572384" w14:paraId="0CF432FB"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644C0" w:rsidRPr="009315A1" w:rsidP="004644C0" w14:paraId="0F5473B2" w14:textId="77777777">
      <w:pPr>
        <w:tabs>
          <w:tab w:val="left" w:pos="-1080"/>
          <w:tab w:val="left" w:pos="-720"/>
          <w:tab w:val="left" w:pos="360"/>
        </w:tabs>
        <w:ind w:left="360" w:hanging="360"/>
        <w:rPr>
          <w:b/>
        </w:rPr>
      </w:pPr>
      <w:r w:rsidRPr="009315A1">
        <w:rPr>
          <w:b/>
        </w:rPr>
        <w:t>16.</w:t>
      </w:r>
      <w:r w:rsidRPr="009315A1">
        <w:rPr>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330FE" w:rsidRPr="009315A1" w:rsidP="00A7672D" w14:paraId="35E72318" w14:textId="77777777">
      <w:pPr>
        <w:ind w:firstLine="360"/>
      </w:pPr>
    </w:p>
    <w:p w:rsidR="004644C0" w:rsidRPr="009315A1" w:rsidP="00A46AE3" w14:paraId="7F3A28BB" w14:textId="77777777">
      <w:pPr>
        <w:ind w:left="360"/>
      </w:pPr>
      <w:r w:rsidRPr="009315A1">
        <w:t>The data</w:t>
      </w:r>
      <w:r w:rsidRPr="009315A1" w:rsidR="0010687F">
        <w:t xml:space="preserve"> being reported</w:t>
      </w:r>
      <w:r w:rsidRPr="009315A1">
        <w:t xml:space="preserve"> will not be </w:t>
      </w:r>
      <w:r w:rsidRPr="009315A1" w:rsidR="00043C05">
        <w:t>published but</w:t>
      </w:r>
      <w:r w:rsidRPr="009315A1">
        <w:t xml:space="preserve"> </w:t>
      </w:r>
      <w:r w:rsidRPr="009315A1" w:rsidR="00360346">
        <w:t xml:space="preserve">will be </w:t>
      </w:r>
      <w:r w:rsidRPr="009315A1">
        <w:t xml:space="preserve">used to verify conditions of contractual and management agreements.  </w:t>
      </w:r>
      <w:r w:rsidRPr="009315A1" w:rsidR="006B2C31">
        <w:t>D</w:t>
      </w:r>
      <w:r w:rsidRPr="009315A1">
        <w:t xml:space="preserve">ata collection will begin within 30 days after the end of the first 12-month period being reported.  </w:t>
      </w:r>
    </w:p>
    <w:p w:rsidR="00822F7D" w:rsidRPr="009315A1" w:rsidP="00A46AE3" w14:paraId="7539860A" w14:textId="77777777">
      <w:pPr>
        <w:ind w:left="360"/>
      </w:pPr>
    </w:p>
    <w:p w:rsidR="004644C0" w:rsidRPr="009315A1" w:rsidP="004644C0" w14:paraId="3AD8346E" w14:textId="77777777">
      <w:pPr>
        <w:tabs>
          <w:tab w:val="left" w:pos="-1080"/>
          <w:tab w:val="left" w:pos="-720"/>
          <w:tab w:val="left" w:pos="360"/>
        </w:tabs>
        <w:ind w:left="360" w:hanging="360"/>
        <w:rPr>
          <w:b/>
        </w:rPr>
      </w:pPr>
      <w:r w:rsidRPr="009315A1">
        <w:rPr>
          <w:b/>
        </w:rPr>
        <w:t>17.</w:t>
      </w:r>
      <w:r w:rsidRPr="009315A1">
        <w:rPr>
          <w:b/>
        </w:rPr>
        <w:tab/>
        <w:t xml:space="preserve">If seeking approval to not display the expiration date for OMB approval of the information collection, explain the reasons that display would be inappropriate. </w:t>
      </w:r>
    </w:p>
    <w:p w:rsidR="009330FE" w:rsidRPr="009315A1" w:rsidP="00A7672D" w14:paraId="136031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330FE" w:rsidRPr="009315A1" w:rsidP="00A46AE3" w14:paraId="6C48CE2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9315A1">
        <w:t>The expiration date for OMB approval will be displayed on the form in this information collection (Form 7-2534).</w:t>
      </w:r>
    </w:p>
    <w:p w:rsidR="008238FB" w14:paraId="40194C84" w14:textId="662E8D51">
      <w:pPr>
        <w:widowControl/>
        <w:autoSpaceDE/>
        <w:autoSpaceDN/>
        <w:adjustRightInd/>
      </w:pPr>
      <w:r>
        <w:br w:type="page"/>
      </w:r>
    </w:p>
    <w:p w:rsidR="009330FE" w:rsidRPr="009315A1" w:rsidP="00A7672D" w14:paraId="22F038AA" w14:textId="77777777">
      <w:pPr>
        <w:ind w:firstLine="360"/>
      </w:pPr>
    </w:p>
    <w:p w:rsidR="004644C0" w:rsidRPr="009315A1" w:rsidP="004644C0" w14:paraId="25992D29" w14:textId="77777777">
      <w:pPr>
        <w:tabs>
          <w:tab w:val="left" w:pos="-1080"/>
          <w:tab w:val="left" w:pos="-720"/>
          <w:tab w:val="left" w:pos="360"/>
        </w:tabs>
        <w:ind w:left="360" w:hanging="360"/>
        <w:rPr>
          <w:b/>
        </w:rPr>
      </w:pPr>
      <w:r w:rsidRPr="009315A1">
        <w:rPr>
          <w:b/>
        </w:rPr>
        <w:t>18.</w:t>
      </w:r>
      <w:r w:rsidRPr="009315A1">
        <w:rPr>
          <w:b/>
        </w:rPr>
        <w:tab/>
        <w:t xml:space="preserve">Explain each exception to the topics of the certification statement identified in "Certification for Paperwork Reduction Act Submissions." </w:t>
      </w:r>
    </w:p>
    <w:p w:rsidR="009330FE" w:rsidRPr="009315A1" w:rsidP="00A7672D" w14:paraId="0066432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3FE0" w:rsidP="00E74CCE" w14:paraId="6E2A1C8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9315A1">
        <w:t>No exceptions to the certification statement are being requested.</w:t>
      </w:r>
      <w:r>
        <w:t xml:space="preserve">  </w:t>
      </w:r>
    </w:p>
    <w:sectPr w:rsidSect="00A01B98">
      <w:headerReference w:type="even" r:id="rId6"/>
      <w:footerReference w:type="even" r:id="rId7"/>
      <w:footerReference w:type="default" r:id="rId8"/>
      <w:pgSz w:w="12240" w:h="15840" w:code="1"/>
      <w:pgMar w:top="1440" w:right="1440" w:bottom="1296" w:left="1440"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DB" w14:paraId="3E04C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29DB" w14:paraId="579928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29DB" w14:paraId="29B470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29DB" w14:paraId="0A4AC87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29DB" w14:paraId="71F94B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DB" w14:paraId="3A946F77" w14:textId="77777777">
    <w:pPr>
      <w:jc w:val="center"/>
      <w:rPr>
        <w:sz w:val="20"/>
        <w:szCs w:val="20"/>
      </w:rPr>
    </w:pP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3002D1">
      <w:rPr>
        <w:noProof/>
        <w:sz w:val="20"/>
        <w:szCs w:val="20"/>
      </w:rPr>
      <w:t>1</w:t>
    </w:r>
    <w:r>
      <w:rPr>
        <w:sz w:val="20"/>
        <w:szCs w:val="20"/>
      </w:rPr>
      <w:fldChar w:fldCharType="end"/>
    </w:r>
    <w:r>
      <w:rPr>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DB" w14:paraId="5DBEA6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29DB" w14:paraId="761437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29DB" w14:paraId="009CC4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A1966"/>
    <w:multiLevelType w:val="hybridMultilevel"/>
    <w:tmpl w:val="030C58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4D2044"/>
    <w:multiLevelType w:val="hybridMultilevel"/>
    <w:tmpl w:val="9CCCA5A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336A30"/>
    <w:multiLevelType w:val="hybridMultilevel"/>
    <w:tmpl w:val="A404A996"/>
    <w:lvl w:ilvl="0">
      <w:start w:val="3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EB07AE"/>
    <w:multiLevelType w:val="hybridMultilevel"/>
    <w:tmpl w:val="D390E7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391286"/>
    <w:multiLevelType w:val="hybridMultilevel"/>
    <w:tmpl w:val="BB4E22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53366"/>
    <w:multiLevelType w:val="hybridMultilevel"/>
    <w:tmpl w:val="6FF8E3E2"/>
    <w:lvl w:ilvl="0">
      <w:start w:val="2"/>
      <w:numFmt w:val="lowerLetter"/>
      <w:lvlText w:val="%1."/>
      <w:lvlJc w:val="left"/>
      <w:pPr>
        <w:tabs>
          <w:tab w:val="num" w:pos="1740"/>
        </w:tabs>
        <w:ind w:left="1740" w:hanging="10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65E25471"/>
    <w:multiLevelType w:val="hybridMultilevel"/>
    <w:tmpl w:val="723CE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B160BB4"/>
    <w:multiLevelType w:val="hybridMultilevel"/>
    <w:tmpl w:val="6DF83F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9E3544"/>
    <w:multiLevelType w:val="hybridMultilevel"/>
    <w:tmpl w:val="F7B45B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2E0D9B"/>
    <w:multiLevelType w:val="hybridMultilevel"/>
    <w:tmpl w:val="418620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99830">
    <w:abstractNumId w:val="5"/>
  </w:num>
  <w:num w:numId="2" w16cid:durableId="712196640">
    <w:abstractNumId w:val="6"/>
  </w:num>
  <w:num w:numId="3" w16cid:durableId="1673605960">
    <w:abstractNumId w:val="0"/>
  </w:num>
  <w:num w:numId="4" w16cid:durableId="1916549238">
    <w:abstractNumId w:val="8"/>
  </w:num>
  <w:num w:numId="5" w16cid:durableId="1532524505">
    <w:abstractNumId w:val="1"/>
  </w:num>
  <w:num w:numId="6" w16cid:durableId="1572495480">
    <w:abstractNumId w:val="3"/>
  </w:num>
  <w:num w:numId="7" w16cid:durableId="721901134">
    <w:abstractNumId w:val="9"/>
  </w:num>
  <w:num w:numId="8" w16cid:durableId="992563689">
    <w:abstractNumId w:val="7"/>
  </w:num>
  <w:num w:numId="9" w16cid:durableId="10110291">
    <w:abstractNumId w:val="4"/>
  </w:num>
  <w:num w:numId="10" w16cid:durableId="197921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AB"/>
    <w:rsid w:val="0000003F"/>
    <w:rsid w:val="00004ABC"/>
    <w:rsid w:val="000058AE"/>
    <w:rsid w:val="000127FB"/>
    <w:rsid w:val="00015B92"/>
    <w:rsid w:val="00016BF5"/>
    <w:rsid w:val="0001737A"/>
    <w:rsid w:val="000229DB"/>
    <w:rsid w:val="00024449"/>
    <w:rsid w:val="00027811"/>
    <w:rsid w:val="000341FA"/>
    <w:rsid w:val="00034AE6"/>
    <w:rsid w:val="00043C05"/>
    <w:rsid w:val="000442E5"/>
    <w:rsid w:val="0004460B"/>
    <w:rsid w:val="00050F73"/>
    <w:rsid w:val="000550DC"/>
    <w:rsid w:val="000564AC"/>
    <w:rsid w:val="000579D3"/>
    <w:rsid w:val="000614A0"/>
    <w:rsid w:val="00066467"/>
    <w:rsid w:val="000716A8"/>
    <w:rsid w:val="00076CB7"/>
    <w:rsid w:val="00084752"/>
    <w:rsid w:val="00094DC2"/>
    <w:rsid w:val="000A0DE3"/>
    <w:rsid w:val="000B7496"/>
    <w:rsid w:val="000C6C7B"/>
    <w:rsid w:val="000D40D4"/>
    <w:rsid w:val="000E1462"/>
    <w:rsid w:val="000E2FC0"/>
    <w:rsid w:val="000E3584"/>
    <w:rsid w:val="000E53A1"/>
    <w:rsid w:val="000F1266"/>
    <w:rsid w:val="000F1859"/>
    <w:rsid w:val="00101374"/>
    <w:rsid w:val="001043A9"/>
    <w:rsid w:val="0010622A"/>
    <w:rsid w:val="0010687F"/>
    <w:rsid w:val="00107408"/>
    <w:rsid w:val="00107E5A"/>
    <w:rsid w:val="001100DE"/>
    <w:rsid w:val="001157A6"/>
    <w:rsid w:val="00116CCD"/>
    <w:rsid w:val="001259A5"/>
    <w:rsid w:val="001306B1"/>
    <w:rsid w:val="00134488"/>
    <w:rsid w:val="001427D8"/>
    <w:rsid w:val="0015396A"/>
    <w:rsid w:val="00153ADB"/>
    <w:rsid w:val="00177C7F"/>
    <w:rsid w:val="001926D2"/>
    <w:rsid w:val="001A068F"/>
    <w:rsid w:val="001A4FDC"/>
    <w:rsid w:val="001C146F"/>
    <w:rsid w:val="001C40EA"/>
    <w:rsid w:val="001D2B00"/>
    <w:rsid w:val="001D45AB"/>
    <w:rsid w:val="001F4E15"/>
    <w:rsid w:val="001F5824"/>
    <w:rsid w:val="001F6DBA"/>
    <w:rsid w:val="001F7626"/>
    <w:rsid w:val="002007C8"/>
    <w:rsid w:val="00201281"/>
    <w:rsid w:val="00207F77"/>
    <w:rsid w:val="002137A3"/>
    <w:rsid w:val="00222D60"/>
    <w:rsid w:val="00231BAE"/>
    <w:rsid w:val="00240BCB"/>
    <w:rsid w:val="002444AD"/>
    <w:rsid w:val="00244D69"/>
    <w:rsid w:val="00264D49"/>
    <w:rsid w:val="00264DBC"/>
    <w:rsid w:val="00266E90"/>
    <w:rsid w:val="0027147B"/>
    <w:rsid w:val="00272192"/>
    <w:rsid w:val="00277B16"/>
    <w:rsid w:val="00281CC9"/>
    <w:rsid w:val="00284896"/>
    <w:rsid w:val="00285EAB"/>
    <w:rsid w:val="00290F8C"/>
    <w:rsid w:val="00291777"/>
    <w:rsid w:val="002A4F60"/>
    <w:rsid w:val="002A5277"/>
    <w:rsid w:val="002A7B69"/>
    <w:rsid w:val="002B6F92"/>
    <w:rsid w:val="002C4E57"/>
    <w:rsid w:val="002C66C7"/>
    <w:rsid w:val="002D58B5"/>
    <w:rsid w:val="002D64C3"/>
    <w:rsid w:val="002E1C51"/>
    <w:rsid w:val="002E79FC"/>
    <w:rsid w:val="003002D1"/>
    <w:rsid w:val="00302B3B"/>
    <w:rsid w:val="00331EF2"/>
    <w:rsid w:val="00337995"/>
    <w:rsid w:val="00343BD5"/>
    <w:rsid w:val="00346110"/>
    <w:rsid w:val="00351404"/>
    <w:rsid w:val="003527F6"/>
    <w:rsid w:val="00360346"/>
    <w:rsid w:val="00363F8B"/>
    <w:rsid w:val="00364499"/>
    <w:rsid w:val="0037782F"/>
    <w:rsid w:val="00381150"/>
    <w:rsid w:val="00382872"/>
    <w:rsid w:val="0038317F"/>
    <w:rsid w:val="0038548F"/>
    <w:rsid w:val="00386F24"/>
    <w:rsid w:val="003911FA"/>
    <w:rsid w:val="00392C3A"/>
    <w:rsid w:val="00395F0F"/>
    <w:rsid w:val="003A5EF4"/>
    <w:rsid w:val="003B343C"/>
    <w:rsid w:val="003B4AD2"/>
    <w:rsid w:val="003B5B1C"/>
    <w:rsid w:val="003C1A9B"/>
    <w:rsid w:val="003C43C9"/>
    <w:rsid w:val="003C6F76"/>
    <w:rsid w:val="003E0127"/>
    <w:rsid w:val="003E3FD4"/>
    <w:rsid w:val="003E5F92"/>
    <w:rsid w:val="003F372C"/>
    <w:rsid w:val="00406A1E"/>
    <w:rsid w:val="004146CF"/>
    <w:rsid w:val="0041487E"/>
    <w:rsid w:val="004172AA"/>
    <w:rsid w:val="00426879"/>
    <w:rsid w:val="00427A53"/>
    <w:rsid w:val="00430479"/>
    <w:rsid w:val="004353E3"/>
    <w:rsid w:val="004453C6"/>
    <w:rsid w:val="0045072E"/>
    <w:rsid w:val="0045224F"/>
    <w:rsid w:val="00457608"/>
    <w:rsid w:val="004644C0"/>
    <w:rsid w:val="0046486C"/>
    <w:rsid w:val="00473D24"/>
    <w:rsid w:val="004865B7"/>
    <w:rsid w:val="00487B14"/>
    <w:rsid w:val="0049315E"/>
    <w:rsid w:val="004A269F"/>
    <w:rsid w:val="004A3FF6"/>
    <w:rsid w:val="004A4B45"/>
    <w:rsid w:val="004B4A53"/>
    <w:rsid w:val="004B7798"/>
    <w:rsid w:val="004C10EB"/>
    <w:rsid w:val="004C2980"/>
    <w:rsid w:val="004D14A3"/>
    <w:rsid w:val="004D2882"/>
    <w:rsid w:val="004F0652"/>
    <w:rsid w:val="004F27C8"/>
    <w:rsid w:val="004F32DF"/>
    <w:rsid w:val="005012DB"/>
    <w:rsid w:val="00502D58"/>
    <w:rsid w:val="00504EF9"/>
    <w:rsid w:val="00507E64"/>
    <w:rsid w:val="005106C7"/>
    <w:rsid w:val="005165E7"/>
    <w:rsid w:val="00527CDF"/>
    <w:rsid w:val="00537C80"/>
    <w:rsid w:val="00541876"/>
    <w:rsid w:val="005430DF"/>
    <w:rsid w:val="005463EF"/>
    <w:rsid w:val="005512ED"/>
    <w:rsid w:val="005563D6"/>
    <w:rsid w:val="00556DF9"/>
    <w:rsid w:val="005614DE"/>
    <w:rsid w:val="00572384"/>
    <w:rsid w:val="00583B27"/>
    <w:rsid w:val="00584C1A"/>
    <w:rsid w:val="0058711D"/>
    <w:rsid w:val="005938B6"/>
    <w:rsid w:val="005A183C"/>
    <w:rsid w:val="005A54FF"/>
    <w:rsid w:val="005B181D"/>
    <w:rsid w:val="005B1B81"/>
    <w:rsid w:val="005B5E70"/>
    <w:rsid w:val="005B7D01"/>
    <w:rsid w:val="005C1FD9"/>
    <w:rsid w:val="005C37BA"/>
    <w:rsid w:val="005D094B"/>
    <w:rsid w:val="005D5DBD"/>
    <w:rsid w:val="005E3261"/>
    <w:rsid w:val="005E4C8E"/>
    <w:rsid w:val="005E4D87"/>
    <w:rsid w:val="00603121"/>
    <w:rsid w:val="006110DC"/>
    <w:rsid w:val="00615851"/>
    <w:rsid w:val="00622539"/>
    <w:rsid w:val="00632ED2"/>
    <w:rsid w:val="00633CB2"/>
    <w:rsid w:val="0064390D"/>
    <w:rsid w:val="00660086"/>
    <w:rsid w:val="0067168A"/>
    <w:rsid w:val="00671C7F"/>
    <w:rsid w:val="00675713"/>
    <w:rsid w:val="006A0E82"/>
    <w:rsid w:val="006A163D"/>
    <w:rsid w:val="006A61CC"/>
    <w:rsid w:val="006B09F8"/>
    <w:rsid w:val="006B2C31"/>
    <w:rsid w:val="006B5FF6"/>
    <w:rsid w:val="006B6777"/>
    <w:rsid w:val="006B68DA"/>
    <w:rsid w:val="006C2764"/>
    <w:rsid w:val="006C7E31"/>
    <w:rsid w:val="006D0B69"/>
    <w:rsid w:val="006D463A"/>
    <w:rsid w:val="006D55F2"/>
    <w:rsid w:val="006E7CF1"/>
    <w:rsid w:val="006F3E88"/>
    <w:rsid w:val="007002FF"/>
    <w:rsid w:val="00712B4D"/>
    <w:rsid w:val="00725CC2"/>
    <w:rsid w:val="007261EA"/>
    <w:rsid w:val="007271A5"/>
    <w:rsid w:val="0074444A"/>
    <w:rsid w:val="00745AB6"/>
    <w:rsid w:val="00755E67"/>
    <w:rsid w:val="007614B1"/>
    <w:rsid w:val="00761647"/>
    <w:rsid w:val="0077244B"/>
    <w:rsid w:val="0078050D"/>
    <w:rsid w:val="00790319"/>
    <w:rsid w:val="007904EF"/>
    <w:rsid w:val="007A3EF1"/>
    <w:rsid w:val="007A4E93"/>
    <w:rsid w:val="007D16BA"/>
    <w:rsid w:val="007D2513"/>
    <w:rsid w:val="007D2E5C"/>
    <w:rsid w:val="007D4E05"/>
    <w:rsid w:val="007D7CB5"/>
    <w:rsid w:val="007E648E"/>
    <w:rsid w:val="007F0EE6"/>
    <w:rsid w:val="00801AD3"/>
    <w:rsid w:val="00803E2C"/>
    <w:rsid w:val="00810A18"/>
    <w:rsid w:val="00822F7D"/>
    <w:rsid w:val="008238FB"/>
    <w:rsid w:val="008306C1"/>
    <w:rsid w:val="00832CC7"/>
    <w:rsid w:val="00847F16"/>
    <w:rsid w:val="00852CB8"/>
    <w:rsid w:val="008553D0"/>
    <w:rsid w:val="0086364E"/>
    <w:rsid w:val="008710E7"/>
    <w:rsid w:val="008917EE"/>
    <w:rsid w:val="008A40DA"/>
    <w:rsid w:val="008B1731"/>
    <w:rsid w:val="008E12CB"/>
    <w:rsid w:val="008E22CA"/>
    <w:rsid w:val="008E56BF"/>
    <w:rsid w:val="008E6B99"/>
    <w:rsid w:val="008F19A9"/>
    <w:rsid w:val="008F3279"/>
    <w:rsid w:val="008F3551"/>
    <w:rsid w:val="008F6ECE"/>
    <w:rsid w:val="00900D65"/>
    <w:rsid w:val="009012DA"/>
    <w:rsid w:val="009118C0"/>
    <w:rsid w:val="0091438A"/>
    <w:rsid w:val="00914D28"/>
    <w:rsid w:val="00921AB5"/>
    <w:rsid w:val="009237C0"/>
    <w:rsid w:val="009315A1"/>
    <w:rsid w:val="009330FE"/>
    <w:rsid w:val="00945409"/>
    <w:rsid w:val="0095333F"/>
    <w:rsid w:val="00953924"/>
    <w:rsid w:val="00953933"/>
    <w:rsid w:val="009618D0"/>
    <w:rsid w:val="00965CAE"/>
    <w:rsid w:val="00974BD2"/>
    <w:rsid w:val="009853D6"/>
    <w:rsid w:val="009A7229"/>
    <w:rsid w:val="009B779F"/>
    <w:rsid w:val="009D0B8C"/>
    <w:rsid w:val="009D6E52"/>
    <w:rsid w:val="009E4852"/>
    <w:rsid w:val="009E7BA5"/>
    <w:rsid w:val="00A01B98"/>
    <w:rsid w:val="00A2003E"/>
    <w:rsid w:val="00A21C85"/>
    <w:rsid w:val="00A22CFA"/>
    <w:rsid w:val="00A2593E"/>
    <w:rsid w:val="00A36121"/>
    <w:rsid w:val="00A43715"/>
    <w:rsid w:val="00A468C3"/>
    <w:rsid w:val="00A46AE3"/>
    <w:rsid w:val="00A51D18"/>
    <w:rsid w:val="00A611BB"/>
    <w:rsid w:val="00A616C3"/>
    <w:rsid w:val="00A6745B"/>
    <w:rsid w:val="00A76579"/>
    <w:rsid w:val="00A7672D"/>
    <w:rsid w:val="00A807F5"/>
    <w:rsid w:val="00A81607"/>
    <w:rsid w:val="00A83D54"/>
    <w:rsid w:val="00A918F4"/>
    <w:rsid w:val="00A940CA"/>
    <w:rsid w:val="00AA00FB"/>
    <w:rsid w:val="00AA2D2E"/>
    <w:rsid w:val="00AA56D1"/>
    <w:rsid w:val="00AA604F"/>
    <w:rsid w:val="00AB5E6B"/>
    <w:rsid w:val="00AC0E5D"/>
    <w:rsid w:val="00AC4B62"/>
    <w:rsid w:val="00AC5E52"/>
    <w:rsid w:val="00AD0152"/>
    <w:rsid w:val="00AE0674"/>
    <w:rsid w:val="00B02A11"/>
    <w:rsid w:val="00B130C6"/>
    <w:rsid w:val="00B3656B"/>
    <w:rsid w:val="00B37202"/>
    <w:rsid w:val="00B504F0"/>
    <w:rsid w:val="00B52909"/>
    <w:rsid w:val="00B60746"/>
    <w:rsid w:val="00B622C4"/>
    <w:rsid w:val="00B70A13"/>
    <w:rsid w:val="00B901B3"/>
    <w:rsid w:val="00B9072F"/>
    <w:rsid w:val="00B979CC"/>
    <w:rsid w:val="00BA3C6D"/>
    <w:rsid w:val="00BA5228"/>
    <w:rsid w:val="00BB0B24"/>
    <w:rsid w:val="00BB17FB"/>
    <w:rsid w:val="00BC1542"/>
    <w:rsid w:val="00BC2E87"/>
    <w:rsid w:val="00BD0389"/>
    <w:rsid w:val="00BD3906"/>
    <w:rsid w:val="00BD3996"/>
    <w:rsid w:val="00BE71F6"/>
    <w:rsid w:val="00BF15AB"/>
    <w:rsid w:val="00C10139"/>
    <w:rsid w:val="00C11372"/>
    <w:rsid w:val="00C138C2"/>
    <w:rsid w:val="00C15086"/>
    <w:rsid w:val="00C23FE0"/>
    <w:rsid w:val="00C24AEF"/>
    <w:rsid w:val="00C30DF5"/>
    <w:rsid w:val="00C431A2"/>
    <w:rsid w:val="00C45C9B"/>
    <w:rsid w:val="00C62C60"/>
    <w:rsid w:val="00C67A19"/>
    <w:rsid w:val="00C709DB"/>
    <w:rsid w:val="00C70C0F"/>
    <w:rsid w:val="00C800DC"/>
    <w:rsid w:val="00C829B3"/>
    <w:rsid w:val="00C85653"/>
    <w:rsid w:val="00C861B9"/>
    <w:rsid w:val="00C93A20"/>
    <w:rsid w:val="00C94DC6"/>
    <w:rsid w:val="00CA1DBA"/>
    <w:rsid w:val="00CA60C8"/>
    <w:rsid w:val="00CA674B"/>
    <w:rsid w:val="00CB1824"/>
    <w:rsid w:val="00CB56B8"/>
    <w:rsid w:val="00CB65F3"/>
    <w:rsid w:val="00CC2C91"/>
    <w:rsid w:val="00CE354C"/>
    <w:rsid w:val="00CF155A"/>
    <w:rsid w:val="00D039B3"/>
    <w:rsid w:val="00D13D59"/>
    <w:rsid w:val="00D1778E"/>
    <w:rsid w:val="00D32656"/>
    <w:rsid w:val="00D37414"/>
    <w:rsid w:val="00D43226"/>
    <w:rsid w:val="00D43C87"/>
    <w:rsid w:val="00D44507"/>
    <w:rsid w:val="00D46705"/>
    <w:rsid w:val="00D57A47"/>
    <w:rsid w:val="00D61623"/>
    <w:rsid w:val="00D71A02"/>
    <w:rsid w:val="00D7266D"/>
    <w:rsid w:val="00D73566"/>
    <w:rsid w:val="00D73835"/>
    <w:rsid w:val="00D85DE7"/>
    <w:rsid w:val="00D86A5A"/>
    <w:rsid w:val="00DA24B6"/>
    <w:rsid w:val="00DA6640"/>
    <w:rsid w:val="00DB0401"/>
    <w:rsid w:val="00DB2C12"/>
    <w:rsid w:val="00DB490C"/>
    <w:rsid w:val="00DD09E2"/>
    <w:rsid w:val="00DD1A57"/>
    <w:rsid w:val="00DD4930"/>
    <w:rsid w:val="00DE0897"/>
    <w:rsid w:val="00DF25A9"/>
    <w:rsid w:val="00E00CAB"/>
    <w:rsid w:val="00E0175E"/>
    <w:rsid w:val="00E1084B"/>
    <w:rsid w:val="00E10B6A"/>
    <w:rsid w:val="00E139EA"/>
    <w:rsid w:val="00E14DF5"/>
    <w:rsid w:val="00E166BE"/>
    <w:rsid w:val="00E20CE9"/>
    <w:rsid w:val="00E255F7"/>
    <w:rsid w:val="00E44FE0"/>
    <w:rsid w:val="00E57CAE"/>
    <w:rsid w:val="00E62561"/>
    <w:rsid w:val="00E64258"/>
    <w:rsid w:val="00E71747"/>
    <w:rsid w:val="00E74CCE"/>
    <w:rsid w:val="00E86200"/>
    <w:rsid w:val="00E915EC"/>
    <w:rsid w:val="00E93CC8"/>
    <w:rsid w:val="00EA034D"/>
    <w:rsid w:val="00EC13CE"/>
    <w:rsid w:val="00EC2C60"/>
    <w:rsid w:val="00EC372B"/>
    <w:rsid w:val="00EC4466"/>
    <w:rsid w:val="00EE20E3"/>
    <w:rsid w:val="00EE658A"/>
    <w:rsid w:val="00EF175B"/>
    <w:rsid w:val="00EF3EB9"/>
    <w:rsid w:val="00F00FFD"/>
    <w:rsid w:val="00F07CF2"/>
    <w:rsid w:val="00F10316"/>
    <w:rsid w:val="00F214FA"/>
    <w:rsid w:val="00F21854"/>
    <w:rsid w:val="00F252DA"/>
    <w:rsid w:val="00F26790"/>
    <w:rsid w:val="00F31560"/>
    <w:rsid w:val="00F411ED"/>
    <w:rsid w:val="00F42117"/>
    <w:rsid w:val="00F476F6"/>
    <w:rsid w:val="00F5236C"/>
    <w:rsid w:val="00F53942"/>
    <w:rsid w:val="00F540E7"/>
    <w:rsid w:val="00F720E0"/>
    <w:rsid w:val="00F7274D"/>
    <w:rsid w:val="00F862AA"/>
    <w:rsid w:val="00F8742A"/>
    <w:rsid w:val="00F9421F"/>
    <w:rsid w:val="00F953DF"/>
    <w:rsid w:val="00F96B9E"/>
    <w:rsid w:val="00FA22B8"/>
    <w:rsid w:val="00FB6365"/>
    <w:rsid w:val="00FC25EB"/>
    <w:rsid w:val="00FC40F9"/>
    <w:rsid w:val="00FC5A69"/>
    <w:rsid w:val="00FD29E5"/>
    <w:rsid w:val="00FD7A7A"/>
    <w:rsid w:val="00FE0EF5"/>
    <w:rsid w:val="00FE1CA0"/>
    <w:rsid w:val="00FE71F0"/>
    <w:rsid w:val="00FF3FE8"/>
    <w:rsid w:val="00FF6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0587B0"/>
  <w15:chartTrackingRefBased/>
  <w15:docId w15:val="{368F912C-5D72-4691-BE66-91794636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1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30FE"/>
    <w:pPr>
      <w:widowControl/>
      <w:jc w:val="center"/>
    </w:pPr>
    <w:rPr>
      <w:b/>
      <w:bCs/>
    </w:rPr>
  </w:style>
  <w:style w:type="paragraph" w:styleId="Header">
    <w:name w:val="header"/>
    <w:basedOn w:val="Normal"/>
    <w:rsid w:val="009330FE"/>
    <w:pPr>
      <w:tabs>
        <w:tab w:val="center" w:pos="4320"/>
        <w:tab w:val="right" w:pos="8640"/>
      </w:tabs>
    </w:pPr>
  </w:style>
  <w:style w:type="paragraph" w:styleId="Footer">
    <w:name w:val="footer"/>
    <w:basedOn w:val="Normal"/>
    <w:rsid w:val="009330FE"/>
    <w:pPr>
      <w:tabs>
        <w:tab w:val="center" w:pos="4320"/>
        <w:tab w:val="right" w:pos="8640"/>
      </w:tabs>
    </w:pPr>
  </w:style>
  <w:style w:type="paragraph" w:styleId="BodyTextIndent2">
    <w:name w:val="Body Text Indent 2"/>
    <w:basedOn w:val="Normal"/>
    <w:rsid w:val="009330F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rPr>
  </w:style>
  <w:style w:type="character" w:styleId="Hyperlink">
    <w:name w:val="Hyperlink"/>
    <w:rsid w:val="009330FE"/>
    <w:rPr>
      <w:color w:val="0000FF"/>
      <w:u w:val="single"/>
    </w:rPr>
  </w:style>
  <w:style w:type="character" w:styleId="PageNumber">
    <w:name w:val="page number"/>
    <w:basedOn w:val="DefaultParagraphFont"/>
    <w:rsid w:val="009330FE"/>
  </w:style>
  <w:style w:type="table" w:styleId="TableGrid">
    <w:name w:val="Table Grid"/>
    <w:basedOn w:val="TableNormal"/>
    <w:rsid w:val="00A2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A163D"/>
    <w:rPr>
      <w:color w:val="800080"/>
      <w:u w:val="single"/>
    </w:rPr>
  </w:style>
  <w:style w:type="paragraph" w:styleId="BalloonText">
    <w:name w:val="Balloon Text"/>
    <w:basedOn w:val="Normal"/>
    <w:semiHidden/>
    <w:rsid w:val="00E57CAE"/>
    <w:rPr>
      <w:rFonts w:ascii="Tahoma" w:hAnsi="Tahoma" w:cs="Tahoma"/>
      <w:sz w:val="16"/>
      <w:szCs w:val="16"/>
    </w:rPr>
  </w:style>
  <w:style w:type="character" w:styleId="CommentReference">
    <w:name w:val="annotation reference"/>
    <w:semiHidden/>
    <w:rsid w:val="00AA604F"/>
    <w:rPr>
      <w:sz w:val="16"/>
      <w:szCs w:val="16"/>
    </w:rPr>
  </w:style>
  <w:style w:type="paragraph" w:styleId="CommentText">
    <w:name w:val="annotation text"/>
    <w:basedOn w:val="Normal"/>
    <w:semiHidden/>
    <w:rsid w:val="00AA604F"/>
    <w:rPr>
      <w:sz w:val="20"/>
      <w:szCs w:val="20"/>
    </w:rPr>
  </w:style>
  <w:style w:type="paragraph" w:styleId="CommentSubject">
    <w:name w:val="annotation subject"/>
    <w:basedOn w:val="CommentText"/>
    <w:next w:val="CommentText"/>
    <w:semiHidden/>
    <w:rsid w:val="00AA604F"/>
    <w:rPr>
      <w:b/>
      <w:bCs/>
    </w:rPr>
  </w:style>
  <w:style w:type="paragraph" w:styleId="BodyTextIndent">
    <w:name w:val="Body Text Indent"/>
    <w:basedOn w:val="Normal"/>
    <w:link w:val="BodyTextIndentChar"/>
    <w:rsid w:val="00430479"/>
    <w:pPr>
      <w:spacing w:after="120"/>
      <w:ind w:left="360"/>
    </w:pPr>
    <w:rPr>
      <w:lang w:val="x-none" w:eastAsia="x-none"/>
    </w:rPr>
  </w:style>
  <w:style w:type="character" w:customStyle="1" w:styleId="BodyTextIndentChar">
    <w:name w:val="Body Text Indent Char"/>
    <w:link w:val="BodyTextIndent"/>
    <w:rsid w:val="00430479"/>
    <w:rPr>
      <w:sz w:val="24"/>
      <w:szCs w:val="24"/>
    </w:rPr>
  </w:style>
  <w:style w:type="paragraph" w:styleId="HTMLPreformatted">
    <w:name w:val="HTML Preformatted"/>
    <w:basedOn w:val="Normal"/>
    <w:link w:val="HTMLPreformattedChar"/>
    <w:rsid w:val="00A61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A611BB"/>
    <w:rPr>
      <w:rFonts w:ascii="Courier New" w:hAnsi="Courier New" w:cs="Courier New"/>
    </w:rPr>
  </w:style>
  <w:style w:type="character" w:styleId="UnresolvedMention">
    <w:name w:val="Unresolved Mention"/>
    <w:uiPriority w:val="99"/>
    <w:semiHidden/>
    <w:unhideWhenUsed/>
    <w:rsid w:val="005C37BA"/>
    <w:rPr>
      <w:color w:val="808080"/>
      <w:shd w:val="clear" w:color="auto" w:fill="E6E6E6"/>
    </w:rPr>
  </w:style>
  <w:style w:type="paragraph" w:styleId="Revision">
    <w:name w:val="Revision"/>
    <w:hidden/>
    <w:uiPriority w:val="99"/>
    <w:semiHidden/>
    <w:rsid w:val="00043C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6EF9-C835-44A8-95F2-4881B305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2734</Words>
  <Characters>16957</Characters>
  <Application>Microsoft Office Word</Application>
  <DocSecurity>0</DocSecurity>
  <Lines>360</Lines>
  <Paragraphs>129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Bureau of Reclamation</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Department of Interior</dc:creator>
  <cp:lastModifiedBy>McPhee, Stephanie K</cp:lastModifiedBy>
  <cp:revision>4</cp:revision>
  <cp:lastPrinted>2015-11-05T16:05:00Z</cp:lastPrinted>
  <dcterms:created xsi:type="dcterms:W3CDTF">2025-11-21T18:15:00Z</dcterms:created>
  <dcterms:modified xsi:type="dcterms:W3CDTF">2025-12-18T18:27:00Z</dcterms:modified>
</cp:coreProperties>
</file>