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2C71" w:rsidRPr="001A59B6" w:rsidP="00A42C71" w14:paraId="2A27214F" w14:textId="77777777">
      <w:pPr>
        <w:pStyle w:val="ReportCover-Title"/>
        <w:jc w:val="center"/>
        <w:rPr>
          <w:rFonts w:eastAsia="Arial Unicode MS" w:asciiTheme="minorHAnsi" w:hAnsiTheme="minorHAnsi" w:cstheme="minorHAnsi"/>
          <w:noProof/>
          <w:color w:val="auto"/>
        </w:rPr>
      </w:pPr>
    </w:p>
    <w:p w:rsidR="00A42C71" w:rsidRPr="001A59B6" w:rsidP="00A42C71" w14:paraId="3A35AB11" w14:textId="77777777">
      <w:pPr>
        <w:pStyle w:val="ReportCover-Title"/>
        <w:jc w:val="center"/>
        <w:rPr>
          <w:rFonts w:eastAsia="Arial Unicode MS" w:asciiTheme="minorHAnsi" w:hAnsiTheme="minorHAnsi" w:cstheme="minorHAnsi"/>
          <w:noProof/>
          <w:color w:val="auto"/>
        </w:rPr>
      </w:pPr>
    </w:p>
    <w:p w:rsidR="00A42C71" w:rsidRPr="001A59B6" w:rsidP="00A42C71" w14:paraId="1FFB09D6" w14:textId="77777777">
      <w:pPr>
        <w:pStyle w:val="ReportCover-Title"/>
        <w:jc w:val="center"/>
        <w:rPr>
          <w:rFonts w:eastAsia="Arial Unicode MS" w:asciiTheme="minorHAnsi" w:hAnsiTheme="minorHAnsi" w:cstheme="minorHAnsi"/>
          <w:noProof/>
          <w:color w:val="auto"/>
        </w:rPr>
      </w:pPr>
    </w:p>
    <w:p w:rsidR="00A42C71" w:rsidRPr="001A59B6" w:rsidP="00083C7C" w14:paraId="4A7DBF2F" w14:textId="3038D3F4">
      <w:pPr>
        <w:pStyle w:val="ReportCover-Title"/>
        <w:jc w:val="center"/>
        <w:rPr>
          <w:rFonts w:asciiTheme="minorHAnsi" w:hAnsiTheme="minorHAnsi" w:cstheme="minorHAnsi"/>
          <w:color w:val="auto"/>
        </w:rPr>
      </w:pPr>
      <w:r>
        <w:rPr>
          <w:rFonts w:eastAsia="Arial Unicode MS" w:asciiTheme="minorHAnsi" w:hAnsiTheme="minorHAnsi" w:cstheme="minorHAnsi"/>
          <w:noProof/>
          <w:color w:val="auto"/>
        </w:rPr>
        <w:t>Personal Responsibility Education Program (PREP) Performance Measures</w:t>
      </w:r>
    </w:p>
    <w:p w:rsidR="00A42C71" w:rsidRPr="001A59B6" w:rsidP="00A42C71" w14:paraId="551C5600" w14:textId="77777777">
      <w:pPr>
        <w:pStyle w:val="ReportCover-Title"/>
        <w:rPr>
          <w:rFonts w:asciiTheme="minorHAnsi" w:hAnsiTheme="minorHAnsi" w:cstheme="minorHAnsi"/>
          <w:color w:val="auto"/>
        </w:rPr>
      </w:pPr>
    </w:p>
    <w:p w:rsidR="00A42C71" w:rsidRPr="001A59B6" w:rsidP="00A42C71" w14:paraId="3B1C155E" w14:textId="77777777">
      <w:pPr>
        <w:pStyle w:val="ReportCover-Title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A59B6">
        <w:rPr>
          <w:rFonts w:asciiTheme="minorHAnsi" w:hAnsiTheme="minorHAnsi" w:cstheme="minorHAnsi"/>
          <w:color w:val="auto"/>
          <w:sz w:val="32"/>
          <w:szCs w:val="32"/>
        </w:rPr>
        <w:t>OMB Information Collection Request</w:t>
      </w:r>
    </w:p>
    <w:p w:rsidR="00A42C71" w:rsidRPr="001A59B6" w:rsidP="00A42C71" w14:paraId="3F6C890C" w14:textId="0B982CD4">
      <w:pPr>
        <w:pStyle w:val="ReportCover-Title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A59B6">
        <w:rPr>
          <w:rFonts w:asciiTheme="minorHAnsi" w:hAnsiTheme="minorHAnsi" w:cstheme="minorHAnsi"/>
          <w:color w:val="auto"/>
          <w:sz w:val="32"/>
          <w:szCs w:val="32"/>
        </w:rPr>
        <w:t>0970-</w:t>
      </w:r>
      <w:r w:rsidR="0067054F">
        <w:rPr>
          <w:rFonts w:asciiTheme="minorHAnsi" w:hAnsiTheme="minorHAnsi" w:cstheme="minorHAnsi"/>
          <w:color w:val="auto"/>
          <w:sz w:val="32"/>
          <w:szCs w:val="32"/>
        </w:rPr>
        <w:t>0497</w:t>
      </w:r>
    </w:p>
    <w:p w:rsidR="00A42C71" w:rsidRPr="001A59B6" w:rsidP="00A42C71" w14:paraId="41D2594A" w14:textId="77777777">
      <w:pPr>
        <w:spacing w:after="0"/>
        <w:rPr>
          <w:rFonts w:cstheme="minorHAnsi"/>
        </w:rPr>
      </w:pPr>
    </w:p>
    <w:p w:rsidR="00A42C71" w:rsidRPr="001A59B6" w:rsidP="00A42C71" w14:paraId="3DB8541C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637F830C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2DD34B23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1DF64726" w14:textId="77777777">
      <w:pPr>
        <w:pStyle w:val="ReportCover-Date"/>
        <w:spacing w:after="0" w:line="240" w:lineRule="auto"/>
        <w:jc w:val="center"/>
        <w:rPr>
          <w:rFonts w:asciiTheme="minorHAnsi" w:hAnsiTheme="minorHAnsi" w:cstheme="minorHAnsi"/>
          <w:color w:val="auto"/>
          <w:sz w:val="48"/>
          <w:szCs w:val="48"/>
        </w:rPr>
      </w:pPr>
      <w:r w:rsidRPr="001A59B6">
        <w:rPr>
          <w:rFonts w:asciiTheme="minorHAnsi" w:hAnsiTheme="minorHAnsi" w:cstheme="minorHAnsi"/>
          <w:color w:val="auto"/>
          <w:sz w:val="48"/>
          <w:szCs w:val="48"/>
        </w:rPr>
        <w:t>Supporting Statement</w:t>
      </w:r>
    </w:p>
    <w:p w:rsidR="00A42C71" w:rsidRPr="001A59B6" w:rsidP="00A42C71" w14:paraId="0C143095" w14:textId="77777777">
      <w:pPr>
        <w:pStyle w:val="ReportCover-Date"/>
        <w:spacing w:after="0" w:line="240" w:lineRule="auto"/>
        <w:jc w:val="center"/>
        <w:rPr>
          <w:rFonts w:asciiTheme="minorHAnsi" w:hAnsiTheme="minorHAnsi" w:cstheme="minorHAnsi"/>
          <w:color w:val="auto"/>
          <w:sz w:val="48"/>
          <w:szCs w:val="48"/>
        </w:rPr>
      </w:pPr>
      <w:r w:rsidRPr="001A59B6">
        <w:rPr>
          <w:rFonts w:asciiTheme="minorHAnsi" w:hAnsiTheme="minorHAnsi" w:cstheme="minorHAnsi"/>
          <w:color w:val="auto"/>
          <w:sz w:val="48"/>
          <w:szCs w:val="48"/>
        </w:rPr>
        <w:t>Part B</w:t>
      </w:r>
    </w:p>
    <w:p w:rsidR="00A42C71" w:rsidRPr="001A59B6" w:rsidP="00A42C71" w14:paraId="7D988B4F" w14:textId="77777777">
      <w:pPr>
        <w:pStyle w:val="ReportCover-Date"/>
        <w:spacing w:after="0" w:line="240" w:lineRule="auto"/>
        <w:jc w:val="center"/>
        <w:rPr>
          <w:rFonts w:asciiTheme="minorHAnsi" w:hAnsiTheme="minorHAnsi" w:cstheme="minorHAnsi"/>
          <w:color w:val="auto"/>
          <w:sz w:val="48"/>
          <w:szCs w:val="48"/>
        </w:rPr>
      </w:pPr>
    </w:p>
    <w:p w:rsidR="00A42C71" w:rsidRPr="001A59B6" w:rsidP="00A42C71" w14:paraId="602544F7" w14:textId="77777777">
      <w:pPr>
        <w:pStyle w:val="ReportCover-Date"/>
        <w:spacing w:after="0" w:line="240" w:lineRule="auto"/>
        <w:jc w:val="center"/>
        <w:rPr>
          <w:rFonts w:asciiTheme="minorHAnsi" w:hAnsiTheme="minorHAnsi" w:cstheme="minorHAnsi"/>
          <w:color w:val="auto"/>
          <w:sz w:val="48"/>
          <w:szCs w:val="48"/>
        </w:rPr>
      </w:pPr>
    </w:p>
    <w:p w:rsidR="00A42C71" w:rsidRPr="001A59B6" w:rsidP="00A42C71" w14:paraId="0850FD2E" w14:textId="0DFD591A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JUNE</w:t>
      </w:r>
      <w:r w:rsidR="003A4B20">
        <w:rPr>
          <w:rFonts w:asciiTheme="minorHAnsi" w:hAnsiTheme="minorHAnsi" w:cstheme="minorHAnsi"/>
          <w:color w:val="auto"/>
        </w:rPr>
        <w:t xml:space="preserve"> </w:t>
      </w:r>
      <w:r w:rsidR="00FF770D">
        <w:rPr>
          <w:rFonts w:asciiTheme="minorHAnsi" w:hAnsiTheme="minorHAnsi" w:cstheme="minorHAnsi"/>
          <w:color w:val="auto"/>
        </w:rPr>
        <w:t>202</w:t>
      </w:r>
      <w:r w:rsidR="00C96DE2">
        <w:rPr>
          <w:rFonts w:asciiTheme="minorHAnsi" w:hAnsiTheme="minorHAnsi" w:cstheme="minorHAnsi"/>
          <w:color w:val="auto"/>
        </w:rPr>
        <w:t>3</w:t>
      </w:r>
    </w:p>
    <w:p w:rsidR="00A42C71" w:rsidRPr="001A59B6" w:rsidP="00A42C71" w14:paraId="260D9019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715DE65F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3A5BBBCE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6C4099E3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055C8152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48D9D0F9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6732C469" w14:textId="77777777">
      <w:pPr>
        <w:pStyle w:val="ReportCover-Date"/>
        <w:spacing w:after="0"/>
        <w:jc w:val="center"/>
        <w:rPr>
          <w:rFonts w:asciiTheme="minorHAnsi" w:hAnsiTheme="minorHAnsi" w:cstheme="minorHAnsi"/>
          <w:color w:val="auto"/>
        </w:rPr>
      </w:pPr>
    </w:p>
    <w:p w:rsidR="00A42C71" w:rsidRPr="001A59B6" w:rsidP="00A42C71" w14:paraId="21A5D5D3" w14:textId="77777777">
      <w:pPr>
        <w:spacing w:after="0" w:line="240" w:lineRule="auto"/>
        <w:jc w:val="center"/>
        <w:rPr>
          <w:rFonts w:cstheme="minorHAnsi"/>
        </w:rPr>
      </w:pPr>
    </w:p>
    <w:p w:rsidR="00A42C71" w:rsidRPr="001A59B6" w:rsidP="00A42C71" w14:paraId="7208C5C8" w14:textId="367A5F03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 xml:space="preserve">Submitted </w:t>
      </w:r>
      <w:r w:rsidR="007143B8">
        <w:rPr>
          <w:rFonts w:cstheme="minorHAnsi"/>
        </w:rPr>
        <w:t>b</w:t>
      </w:r>
      <w:r w:rsidRPr="001A59B6">
        <w:rPr>
          <w:rFonts w:cstheme="minorHAnsi"/>
        </w:rPr>
        <w:t>y:</w:t>
      </w:r>
    </w:p>
    <w:p w:rsidR="00A42C71" w:rsidRPr="001A59B6" w:rsidP="00A42C71" w14:paraId="55988A75" w14:textId="0D8FC03E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>Office of Planning, Research and Evaluation</w:t>
      </w:r>
    </w:p>
    <w:p w:rsidR="00A42C71" w:rsidRPr="001A59B6" w:rsidP="00A42C71" w14:paraId="58048DA2" w14:textId="77777777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 xml:space="preserve">Administration for Children and Families </w:t>
      </w:r>
    </w:p>
    <w:p w:rsidR="00A42C71" w:rsidRPr="001A59B6" w:rsidP="00A42C71" w14:paraId="41BA659B" w14:textId="77777777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>U.S. Department of Health and Human Services</w:t>
      </w:r>
    </w:p>
    <w:p w:rsidR="00A42C71" w:rsidRPr="001A59B6" w:rsidP="00A42C71" w14:paraId="26D8B869" w14:textId="77777777">
      <w:pPr>
        <w:spacing w:after="0" w:line="240" w:lineRule="auto"/>
        <w:jc w:val="center"/>
        <w:rPr>
          <w:rFonts w:cstheme="minorHAnsi"/>
        </w:rPr>
      </w:pPr>
    </w:p>
    <w:p w:rsidR="00A42C71" w:rsidRPr="001A59B6" w:rsidP="00A42C71" w14:paraId="63276A76" w14:textId="77777777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>4</w:t>
      </w:r>
      <w:r w:rsidRPr="001A59B6">
        <w:rPr>
          <w:rFonts w:cstheme="minorHAnsi"/>
          <w:vertAlign w:val="superscript"/>
        </w:rPr>
        <w:t>th</w:t>
      </w:r>
      <w:r w:rsidRPr="001A59B6">
        <w:rPr>
          <w:rFonts w:cstheme="minorHAnsi"/>
        </w:rPr>
        <w:t xml:space="preserve"> Floor, Mary E. Switzer Building</w:t>
      </w:r>
    </w:p>
    <w:p w:rsidR="00A42C71" w:rsidRPr="001A59B6" w:rsidP="00A42C71" w14:paraId="7A2C144B" w14:textId="77777777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>330 C Street, SW</w:t>
      </w:r>
    </w:p>
    <w:p w:rsidR="00A42C71" w:rsidRPr="001A59B6" w:rsidP="00A42C71" w14:paraId="081382E0" w14:textId="77777777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>Washington, D.C. 20201</w:t>
      </w:r>
    </w:p>
    <w:p w:rsidR="00A42C71" w:rsidRPr="001A59B6" w:rsidP="00A42C71" w14:paraId="6F908824" w14:textId="77777777">
      <w:pPr>
        <w:spacing w:after="0" w:line="240" w:lineRule="auto"/>
        <w:jc w:val="center"/>
        <w:rPr>
          <w:rFonts w:cstheme="minorHAnsi"/>
        </w:rPr>
      </w:pPr>
    </w:p>
    <w:p w:rsidR="00A42C71" w:rsidRPr="001A59B6" w:rsidP="00A42C71" w14:paraId="16C3B2D5" w14:textId="5B5BDA78">
      <w:pPr>
        <w:spacing w:after="0" w:line="240" w:lineRule="auto"/>
        <w:jc w:val="center"/>
        <w:rPr>
          <w:rFonts w:cstheme="minorHAnsi"/>
        </w:rPr>
      </w:pPr>
      <w:r w:rsidRPr="001A59B6">
        <w:rPr>
          <w:rFonts w:cstheme="minorHAnsi"/>
        </w:rPr>
        <w:t>Project Officers:</w:t>
      </w:r>
      <w:r w:rsidR="00204A63">
        <w:rPr>
          <w:rFonts w:cstheme="minorHAnsi"/>
        </w:rPr>
        <w:t xml:space="preserve"> Caryn Blitz, Tia </w:t>
      </w:r>
      <w:r w:rsidR="00E10DE8">
        <w:rPr>
          <w:rFonts w:cstheme="minorHAnsi"/>
        </w:rPr>
        <w:t>Brown</w:t>
      </w:r>
    </w:p>
    <w:p w:rsidR="00A42C71" w:rsidRPr="001A59B6" w:rsidP="00A42C71" w14:paraId="6CB062A1" w14:textId="77777777">
      <w:pPr>
        <w:spacing w:after="0" w:line="240" w:lineRule="auto"/>
        <w:jc w:val="center"/>
        <w:rPr>
          <w:rFonts w:cstheme="minorHAnsi"/>
          <w:b/>
        </w:rPr>
      </w:pPr>
    </w:p>
    <w:p w:rsidR="00DC7B7A" w14:paraId="08C354A2" w14:textId="7777777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:rsidR="00A42C71" w:rsidRPr="001A59B6" w:rsidP="00A42C71" w14:paraId="45C49EBE" w14:textId="615B5B1D">
      <w:pPr>
        <w:spacing w:after="0"/>
        <w:jc w:val="center"/>
        <w:rPr>
          <w:rFonts w:cstheme="minorHAnsi"/>
          <w:b/>
          <w:sz w:val="32"/>
          <w:szCs w:val="32"/>
        </w:rPr>
      </w:pPr>
      <w:r w:rsidRPr="001A59B6">
        <w:rPr>
          <w:rFonts w:cstheme="minorHAnsi"/>
          <w:b/>
          <w:sz w:val="32"/>
          <w:szCs w:val="32"/>
        </w:rPr>
        <w:t>Part B</w:t>
      </w:r>
    </w:p>
    <w:p w:rsidR="00A42C71" w:rsidRPr="001A59B6" w:rsidP="00F57BB2" w14:paraId="6D9C455E" w14:textId="77777777">
      <w:pPr>
        <w:spacing w:after="120" w:line="240" w:lineRule="auto"/>
        <w:outlineLvl w:val="0"/>
        <w:rPr>
          <w:rFonts w:cstheme="minorHAnsi"/>
        </w:rPr>
      </w:pPr>
      <w:r w:rsidRPr="001A59B6">
        <w:rPr>
          <w:rFonts w:cstheme="minorHAnsi"/>
          <w:b/>
        </w:rPr>
        <w:t>B1.</w:t>
      </w:r>
      <w:r w:rsidRPr="001A59B6">
        <w:rPr>
          <w:rFonts w:cstheme="minorHAnsi"/>
          <w:b/>
        </w:rPr>
        <w:tab/>
        <w:t>Objectives</w:t>
      </w:r>
    </w:p>
    <w:p w:rsidR="00A42C71" w:rsidRPr="001A59B6" w:rsidP="00A42C71" w14:paraId="1F1E2135" w14:textId="77777777">
      <w:pPr>
        <w:spacing w:after="60" w:line="240" w:lineRule="auto"/>
        <w:rPr>
          <w:rFonts w:cstheme="minorHAnsi"/>
          <w:i/>
        </w:rPr>
      </w:pPr>
      <w:r w:rsidRPr="001A59B6">
        <w:rPr>
          <w:rFonts w:cstheme="minorHAnsi"/>
          <w:i/>
        </w:rPr>
        <w:t>Study Objectives</w:t>
      </w:r>
    </w:p>
    <w:p w:rsidR="00B5726A" w:rsidRPr="00B5726A" w:rsidP="004F7CFF" w14:paraId="1A194A0D" w14:textId="5BA2EACE">
      <w:pPr>
        <w:spacing w:after="240" w:line="240" w:lineRule="auto"/>
        <w:ind w:firstLine="446"/>
        <w:rPr>
          <w:rFonts w:cstheme="minorHAnsi"/>
        </w:rPr>
      </w:pPr>
      <w:r w:rsidRPr="00555A5E">
        <w:rPr>
          <w:rFonts w:cstheme="minorHAnsi"/>
        </w:rPr>
        <w:t>The objective of the P</w:t>
      </w:r>
      <w:r w:rsidR="00F02347">
        <w:rPr>
          <w:rFonts w:cstheme="minorHAnsi"/>
        </w:rPr>
        <w:t xml:space="preserve">ersonal Responsibility Education Program (PREP) performance measures (PM) </w:t>
      </w:r>
      <w:r w:rsidRPr="00555A5E">
        <w:rPr>
          <w:rFonts w:cstheme="minorHAnsi"/>
        </w:rPr>
        <w:t xml:space="preserve">effort is to document how PREP-funded programs are operationalized in the field and assess program outcomes. </w:t>
      </w:r>
      <w:r w:rsidRPr="00B5726A">
        <w:rPr>
          <w:rFonts w:cstheme="minorHAnsi"/>
        </w:rPr>
        <w:t xml:space="preserve">This performance measures effort </w:t>
      </w:r>
      <w:r w:rsidR="0036502F">
        <w:rPr>
          <w:rFonts w:cstheme="minorHAnsi"/>
        </w:rPr>
        <w:t>call</w:t>
      </w:r>
      <w:r w:rsidRPr="00B5726A">
        <w:rPr>
          <w:rFonts w:cstheme="minorHAnsi"/>
        </w:rPr>
        <w:t>s</w:t>
      </w:r>
      <w:r w:rsidR="00453EDE">
        <w:rPr>
          <w:rFonts w:cstheme="minorHAnsi"/>
        </w:rPr>
        <w:t xml:space="preserve"> for the</w:t>
      </w:r>
      <w:r w:rsidRPr="00B5726A">
        <w:rPr>
          <w:rFonts w:cstheme="minorHAnsi"/>
        </w:rPr>
        <w:t xml:space="preserve"> collection and </w:t>
      </w:r>
      <w:r w:rsidR="007C09F6">
        <w:rPr>
          <w:rFonts w:cstheme="minorHAnsi"/>
        </w:rPr>
        <w:t>submission</w:t>
      </w:r>
      <w:r w:rsidRPr="00B5726A">
        <w:rPr>
          <w:rFonts w:cstheme="minorHAnsi"/>
        </w:rPr>
        <w:t xml:space="preserve"> of performance measure</w:t>
      </w:r>
      <w:r w:rsidR="008A5761">
        <w:rPr>
          <w:rFonts w:cstheme="minorHAnsi"/>
        </w:rPr>
        <w:t>s</w:t>
      </w:r>
      <w:r w:rsidRPr="00B5726A">
        <w:rPr>
          <w:rFonts w:cstheme="minorHAnsi"/>
        </w:rPr>
        <w:t xml:space="preserve"> data </w:t>
      </w:r>
      <w:r w:rsidR="007C09F6">
        <w:rPr>
          <w:rFonts w:cstheme="minorHAnsi"/>
        </w:rPr>
        <w:t>by</w:t>
      </w:r>
      <w:r w:rsidRPr="00B5726A">
        <w:rPr>
          <w:rFonts w:cstheme="minorHAnsi"/>
        </w:rPr>
        <w:t xml:space="preserve"> State PREP (SPREP), Tribal PREP (TPREP), Competitive PREP (CPREP), and Personal Responsibility Education Innovative Strategies (PREIS) grantees</w:t>
      </w:r>
      <w:bookmarkStart w:id="0" w:name="_Hlk35244766"/>
      <w:r>
        <w:rPr>
          <w:rFonts w:cstheme="minorHAnsi"/>
        </w:rPr>
        <w:t xml:space="preserve">. </w:t>
      </w:r>
      <w:r w:rsidR="007C09F6">
        <w:rPr>
          <w:rFonts w:eastAsia="Times New Roman" w:cstheme="minorHAnsi"/>
          <w:iCs/>
          <w:szCs w:val="20"/>
        </w:rPr>
        <w:t xml:space="preserve">The Family and Youth Services Bureau (FYSB) and Office of Planning, Research and Evaluation (OPRE) in the Administration for Children and Families (ACF), at the </w:t>
      </w:r>
      <w:r w:rsidR="00453EDE">
        <w:rPr>
          <w:rFonts w:eastAsia="Times New Roman" w:cstheme="minorHAnsi"/>
          <w:iCs/>
          <w:szCs w:val="20"/>
        </w:rPr>
        <w:t xml:space="preserve">U.S. </w:t>
      </w:r>
      <w:r w:rsidR="007C09F6">
        <w:rPr>
          <w:rFonts w:eastAsia="Times New Roman" w:cstheme="minorHAnsi"/>
          <w:iCs/>
          <w:szCs w:val="20"/>
        </w:rPr>
        <w:t>Department of Health and Human Services (HHS), seek approval for the continued collection of</w:t>
      </w:r>
      <w:r w:rsidR="007C09F6">
        <w:rPr>
          <w:rFonts w:eastAsia="Times New Roman" w:cstheme="minorHAnsi"/>
          <w:szCs w:val="20"/>
        </w:rPr>
        <w:t xml:space="preserve"> performance measures data</w:t>
      </w:r>
      <w:r w:rsidRPr="00B5726A" w:rsidR="007C09F6">
        <w:rPr>
          <w:rFonts w:cstheme="minorHAnsi"/>
        </w:rPr>
        <w:t xml:space="preserve"> </w:t>
      </w:r>
      <w:r w:rsidRPr="00B5726A">
        <w:rPr>
          <w:rFonts w:cstheme="minorHAnsi"/>
        </w:rPr>
        <w:t>to (1) track how grantees are allocating their PREP funds; (2) assess whether PREP objectives are being met (</w:t>
      </w:r>
      <w:r w:rsidR="00453EDE">
        <w:rPr>
          <w:rFonts w:cstheme="minorHAnsi"/>
        </w:rPr>
        <w:t>for example</w:t>
      </w:r>
      <w:r w:rsidRPr="00B5726A">
        <w:rPr>
          <w:rFonts w:cstheme="minorHAnsi"/>
        </w:rPr>
        <w:t xml:space="preserve">, in terms of the populations served); and (3) help drive PREP programs toward continuous improvement of service delivery. In addition, ACF will use this information to </w:t>
      </w:r>
      <w:r w:rsidRPr="00B5726A" w:rsidR="007C09F6">
        <w:rPr>
          <w:rFonts w:cstheme="minorHAnsi"/>
        </w:rPr>
        <w:t xml:space="preserve">continue </w:t>
      </w:r>
      <w:r w:rsidRPr="00B5726A">
        <w:rPr>
          <w:rFonts w:cstheme="minorHAnsi"/>
        </w:rPr>
        <w:t>fulfill</w:t>
      </w:r>
      <w:r w:rsidR="00453EDE">
        <w:rPr>
          <w:rFonts w:cstheme="minorHAnsi"/>
        </w:rPr>
        <w:t>ing its</w:t>
      </w:r>
      <w:r w:rsidRPr="00B5726A">
        <w:rPr>
          <w:rFonts w:cstheme="minorHAnsi"/>
        </w:rPr>
        <w:t xml:space="preserve"> reporting requirements to Congress and OMB concerning the PREP initiative. </w:t>
      </w:r>
      <w:bookmarkStart w:id="1" w:name="_Hlk121299732"/>
      <w:r w:rsidRPr="00B5726A">
        <w:rPr>
          <w:rFonts w:cstheme="minorHAnsi"/>
        </w:rPr>
        <w:t>ACF will also continue shar</w:t>
      </w:r>
      <w:r w:rsidR="000E64D4">
        <w:rPr>
          <w:rFonts w:cstheme="minorHAnsi"/>
        </w:rPr>
        <w:t>ing</w:t>
      </w:r>
      <w:r w:rsidRPr="00B5726A">
        <w:rPr>
          <w:rFonts w:cstheme="minorHAnsi"/>
        </w:rPr>
        <w:t xml:space="preserve"> grantee and provider</w:t>
      </w:r>
      <w:r w:rsidR="0036054B">
        <w:rPr>
          <w:rFonts w:cstheme="minorHAnsi"/>
        </w:rPr>
        <w:t>-</w:t>
      </w:r>
      <w:r w:rsidRPr="00B5726A">
        <w:rPr>
          <w:rFonts w:cstheme="minorHAnsi"/>
        </w:rPr>
        <w:t xml:space="preserve">level findings with each grantee to inform </w:t>
      </w:r>
      <w:r w:rsidR="0036054B">
        <w:rPr>
          <w:rFonts w:cstheme="minorHAnsi"/>
        </w:rPr>
        <w:t>grantees’</w:t>
      </w:r>
      <w:r w:rsidRPr="00B5726A">
        <w:rPr>
          <w:rFonts w:cstheme="minorHAnsi"/>
        </w:rPr>
        <w:t xml:space="preserve"> own program improvement efforts. </w:t>
      </w:r>
      <w:bookmarkEnd w:id="1"/>
    </w:p>
    <w:bookmarkEnd w:id="0"/>
    <w:p w:rsidR="00A42C71" w:rsidRPr="001A59B6" w:rsidP="00A42C71" w14:paraId="15CEF91F" w14:textId="77777777">
      <w:pPr>
        <w:spacing w:after="60" w:line="240" w:lineRule="auto"/>
        <w:rPr>
          <w:rFonts w:cstheme="minorHAnsi"/>
        </w:rPr>
      </w:pPr>
      <w:r w:rsidRPr="001A59B6">
        <w:rPr>
          <w:rFonts w:cstheme="minorHAnsi"/>
          <w:i/>
        </w:rPr>
        <w:t xml:space="preserve">Generalizability of Results </w:t>
      </w:r>
    </w:p>
    <w:p w:rsidR="00A42C71" w:rsidRPr="001A59B6" w:rsidP="004F7CFF" w14:paraId="4037E45E" w14:textId="2D8A9341">
      <w:pPr>
        <w:spacing w:after="240" w:line="240" w:lineRule="auto"/>
        <w:ind w:firstLine="446"/>
        <w:rPr>
          <w:rFonts w:eastAsia="Times New Roman" w:cstheme="minorHAnsi"/>
          <w:color w:val="000000"/>
        </w:rPr>
      </w:pPr>
      <w:r w:rsidRPr="007733D5">
        <w:t>Th</w:t>
      </w:r>
      <w:r w:rsidR="004C4B1C">
        <w:t>e</w:t>
      </w:r>
      <w:r w:rsidRPr="007733D5">
        <w:t>s</w:t>
      </w:r>
      <w:r w:rsidR="004C4B1C">
        <w:t>e</w:t>
      </w:r>
      <w:r w:rsidRPr="007733D5">
        <w:t xml:space="preserve"> </w:t>
      </w:r>
      <w:r w:rsidR="004C4B1C">
        <w:t>data are</w:t>
      </w:r>
      <w:r w:rsidRPr="007733D5">
        <w:t xml:space="preserve"> intended to present internally</w:t>
      </w:r>
      <w:r w:rsidR="0036054B">
        <w:t xml:space="preserve"> </w:t>
      </w:r>
      <w:r w:rsidRPr="007733D5">
        <w:t>valid description</w:t>
      </w:r>
      <w:r w:rsidR="004C4B1C">
        <w:t>s</w:t>
      </w:r>
      <w:r w:rsidRPr="007733D5">
        <w:t xml:space="preserve"> of </w:t>
      </w:r>
      <w:r>
        <w:t>PREP</w:t>
      </w:r>
      <w:r w:rsidR="0036054B">
        <w:t xml:space="preserve">; </w:t>
      </w:r>
      <w:r w:rsidR="004C4B1C">
        <w:t>they</w:t>
      </w:r>
      <w:r w:rsidR="0036054B">
        <w:t xml:space="preserve"> do</w:t>
      </w:r>
      <w:r w:rsidRPr="007733D5">
        <w:t xml:space="preserve"> not promote statistical generalization to other sites or service </w:t>
      </w:r>
      <w:r w:rsidRPr="004F7CFF">
        <w:rPr>
          <w:rFonts w:cstheme="minorHAnsi"/>
        </w:rPr>
        <w:t>populations</w:t>
      </w:r>
      <w:r w:rsidRPr="007733D5">
        <w:t>.</w:t>
      </w:r>
      <w:r w:rsidRPr="00D3418D" w:rsidR="00D3418D">
        <w:t xml:space="preserve"> </w:t>
      </w:r>
      <w:r w:rsidR="00D3418D">
        <w:t xml:space="preserve">The study will </w:t>
      </w:r>
      <w:r w:rsidR="00D3418D">
        <w:rPr>
          <w:iCs/>
        </w:rPr>
        <w:t xml:space="preserve">continue to </w:t>
      </w:r>
      <w:r w:rsidR="00D3418D">
        <w:t>include information on all PREP grantees, subrecipient</w:t>
      </w:r>
      <w:r w:rsidR="00D3418D">
        <w:rPr>
          <w:rFonts w:eastAsia="Times New Roman" w:cstheme="minorHAnsi"/>
          <w:color w:val="000000"/>
        </w:rPr>
        <w:t xml:space="preserve"> </w:t>
      </w:r>
      <w:r w:rsidR="00D3418D">
        <w:t>program providers, and participants who respond to data collection.</w:t>
      </w:r>
    </w:p>
    <w:p w:rsidR="00A42C71" w:rsidRPr="001A59B6" w:rsidP="00A42C71" w14:paraId="02CD8588" w14:textId="77777777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color w:val="000000"/>
        </w:rPr>
      </w:pPr>
      <w:r w:rsidRPr="001A59B6">
        <w:rPr>
          <w:rFonts w:eastAsia="Times New Roman" w:cstheme="minorHAnsi"/>
          <w:i/>
          <w:color w:val="000000"/>
        </w:rPr>
        <w:t xml:space="preserve">Appropriateness of Study Design and Methods for Planned Uses </w:t>
      </w:r>
    </w:p>
    <w:p w:rsidR="000A3692" w:rsidRPr="00EF1921" w:rsidP="00EF1921" w14:paraId="65021238" w14:textId="383FDD8F">
      <w:pPr>
        <w:spacing w:after="240" w:line="240" w:lineRule="auto"/>
        <w:ind w:firstLine="446"/>
        <w:rPr>
          <w:rFonts w:cstheme="minorHAnsi"/>
          <w:b/>
          <w:i/>
          <w:strike/>
        </w:rPr>
      </w:pPr>
      <w:r w:rsidRPr="00555A5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PREP </w:t>
      </w:r>
      <w:r w:rsidR="005B4898">
        <w:rPr>
          <w:rFonts w:ascii="Calibri" w:hAnsi="Calibri" w:cs="Calibri"/>
        </w:rPr>
        <w:t>PM</w:t>
      </w:r>
      <w:r>
        <w:rPr>
          <w:rFonts w:ascii="Calibri" w:hAnsi="Calibri" w:cs="Calibri"/>
        </w:rPr>
        <w:t xml:space="preserve"> data collection </w:t>
      </w:r>
      <w:r w:rsidRPr="00555A5E">
        <w:rPr>
          <w:rFonts w:ascii="Calibri" w:hAnsi="Calibri" w:cs="Calibri"/>
        </w:rPr>
        <w:t xml:space="preserve">is designed to describe the implementation and outcomes of the </w:t>
      </w:r>
      <w:r>
        <w:rPr>
          <w:rFonts w:ascii="Calibri" w:hAnsi="Calibri" w:cs="Calibri"/>
        </w:rPr>
        <w:t xml:space="preserve">PREP </w:t>
      </w:r>
      <w:r w:rsidRPr="00555A5E">
        <w:rPr>
          <w:rFonts w:ascii="Calibri" w:hAnsi="Calibri" w:cs="Calibri"/>
        </w:rPr>
        <w:t xml:space="preserve">program. The </w:t>
      </w:r>
      <w:r w:rsidR="008A5761">
        <w:rPr>
          <w:rFonts w:ascii="Calibri" w:hAnsi="Calibri" w:cs="Calibri"/>
        </w:rPr>
        <w:t>PM</w:t>
      </w:r>
      <w:r w:rsidRPr="00555A5E">
        <w:rPr>
          <w:rFonts w:ascii="Calibri" w:hAnsi="Calibri" w:cs="Calibri"/>
        </w:rPr>
        <w:t xml:space="preserve"> data collected through this study </w:t>
      </w:r>
      <w:r w:rsidRPr="00EA1A7B" w:rsidR="00D3418D">
        <w:rPr>
          <w:rFonts w:ascii="Calibri" w:hAnsi="Calibri" w:cs="Calibri"/>
        </w:rPr>
        <w:t xml:space="preserve">will continue to </w:t>
      </w:r>
      <w:r w:rsidRPr="00555A5E">
        <w:rPr>
          <w:rFonts w:ascii="Calibri" w:hAnsi="Calibri" w:cs="Calibri"/>
        </w:rPr>
        <w:t>provide ne</w:t>
      </w:r>
      <w:r w:rsidR="0036054B">
        <w:rPr>
          <w:rFonts w:ascii="Calibri" w:hAnsi="Calibri" w:cs="Calibri"/>
        </w:rPr>
        <w:t>eded</w:t>
      </w:r>
      <w:r w:rsidRPr="00555A5E">
        <w:rPr>
          <w:rFonts w:ascii="Calibri" w:hAnsi="Calibri" w:cs="Calibri"/>
        </w:rPr>
        <w:t xml:space="preserve"> information to ACF and grantees </w:t>
      </w:r>
      <w:r w:rsidR="0036054B">
        <w:rPr>
          <w:rFonts w:ascii="Calibri" w:hAnsi="Calibri" w:cs="Calibri"/>
        </w:rPr>
        <w:t>f</w:t>
      </w:r>
      <w:r w:rsidRPr="00555A5E">
        <w:rPr>
          <w:rFonts w:ascii="Calibri" w:hAnsi="Calibri" w:cs="Calibri"/>
        </w:rPr>
        <w:t>o</w:t>
      </w:r>
      <w:r w:rsidR="0036054B">
        <w:rPr>
          <w:rFonts w:ascii="Calibri" w:hAnsi="Calibri" w:cs="Calibri"/>
        </w:rPr>
        <w:t>r</w:t>
      </w:r>
      <w:r w:rsidRPr="00555A5E">
        <w:rPr>
          <w:rFonts w:ascii="Calibri" w:hAnsi="Calibri" w:cs="Calibri"/>
        </w:rPr>
        <w:t xml:space="preserve"> effective</w:t>
      </w:r>
      <w:r w:rsidR="00CF64A7">
        <w:rPr>
          <w:rFonts w:ascii="Calibri" w:hAnsi="Calibri" w:cs="Calibri"/>
        </w:rPr>
        <w:t xml:space="preserve"> program</w:t>
      </w:r>
      <w:r w:rsidRPr="00555A5E">
        <w:rPr>
          <w:rFonts w:ascii="Calibri" w:hAnsi="Calibri" w:cs="Calibri"/>
        </w:rPr>
        <w:t xml:space="preserve"> manag</w:t>
      </w:r>
      <w:r w:rsidR="00CF64A7">
        <w:rPr>
          <w:rFonts w:ascii="Calibri" w:hAnsi="Calibri" w:cs="Calibri"/>
        </w:rPr>
        <w:t>ement</w:t>
      </w:r>
      <w:r w:rsidRPr="00555A5E">
        <w:rPr>
          <w:rFonts w:ascii="Calibri" w:hAnsi="Calibri" w:cs="Calibri"/>
        </w:rPr>
        <w:t xml:space="preserve">. Entry and exit surveys of youth participating in </w:t>
      </w:r>
      <w:r>
        <w:rPr>
          <w:rFonts w:ascii="Calibri" w:hAnsi="Calibri" w:cs="Calibri"/>
        </w:rPr>
        <w:t xml:space="preserve">PREP </w:t>
      </w:r>
      <w:r w:rsidRPr="00555A5E">
        <w:rPr>
          <w:rFonts w:ascii="Calibri" w:hAnsi="Calibri" w:cs="Calibri"/>
        </w:rPr>
        <w:t>are ne</w:t>
      </w:r>
      <w:r w:rsidR="0036054B">
        <w:rPr>
          <w:rFonts w:ascii="Calibri" w:hAnsi="Calibri" w:cs="Calibri"/>
        </w:rPr>
        <w:t>eded</w:t>
      </w:r>
      <w:r w:rsidRPr="00555A5E">
        <w:rPr>
          <w:rFonts w:ascii="Calibri" w:hAnsi="Calibri" w:cs="Calibri"/>
        </w:rPr>
        <w:t xml:space="preserve"> to collect information on the demographic </w:t>
      </w:r>
      <w:r w:rsidRPr="00146F72">
        <w:rPr>
          <w:rFonts w:ascii="Calibri" w:hAnsi="Calibri" w:cs="Calibri"/>
        </w:rPr>
        <w:t xml:space="preserve">and behavioral characteristics of program participants, their </w:t>
      </w:r>
      <w:r w:rsidRPr="00146F72" w:rsidR="00146F72">
        <w:rPr>
          <w:rFonts w:ascii="Calibri" w:hAnsi="Calibri" w:cs="Calibri"/>
        </w:rPr>
        <w:t xml:space="preserve">experiences in the program, </w:t>
      </w:r>
      <w:r w:rsidRPr="00146F72">
        <w:rPr>
          <w:rFonts w:ascii="Calibri" w:hAnsi="Calibri" w:cs="Calibri"/>
        </w:rPr>
        <w:t>and their perceptions of program effects. Administrative</w:t>
      </w:r>
      <w:r w:rsidRPr="00555A5E">
        <w:rPr>
          <w:rFonts w:ascii="Calibri" w:hAnsi="Calibri" w:cs="Calibri"/>
        </w:rPr>
        <w:t xml:space="preserve"> data from grantees and their </w:t>
      </w:r>
      <w:r w:rsidR="005E4288">
        <w:rPr>
          <w:rFonts w:ascii="Calibri" w:hAnsi="Calibri" w:cs="Calibri"/>
        </w:rPr>
        <w:t>subrecipient</w:t>
      </w:r>
      <w:r w:rsidRPr="00555A5E">
        <w:rPr>
          <w:rFonts w:ascii="Calibri" w:hAnsi="Calibri" w:cs="Calibri"/>
        </w:rPr>
        <w:t xml:space="preserve"> program providers are needed to understand the </w:t>
      </w:r>
      <w:r w:rsidRPr="004F7CFF">
        <w:rPr>
          <w:rFonts w:cstheme="minorHAnsi"/>
        </w:rPr>
        <w:t>structure</w:t>
      </w:r>
      <w:r w:rsidRPr="00555A5E">
        <w:rPr>
          <w:rFonts w:ascii="Calibri" w:hAnsi="Calibri" w:cs="Calibri"/>
        </w:rPr>
        <w:t xml:space="preserve"> and features of </w:t>
      </w:r>
      <w:r w:rsidR="00927D90">
        <w:rPr>
          <w:rFonts w:ascii="Calibri" w:hAnsi="Calibri" w:cs="Calibri"/>
        </w:rPr>
        <w:t xml:space="preserve">PREP </w:t>
      </w:r>
      <w:r w:rsidRPr="00555A5E">
        <w:rPr>
          <w:rFonts w:ascii="Calibri" w:hAnsi="Calibri" w:cs="Calibri"/>
        </w:rPr>
        <w:t xml:space="preserve">programs, participant numbers, implementation supports, and staff perceptions of quality challenges and needs for technical assistance. </w:t>
      </w:r>
      <w:r w:rsidR="00084887">
        <w:rPr>
          <w:rFonts w:ascii="Calibri" w:hAnsi="Calibri" w:cs="Calibri"/>
        </w:rPr>
        <w:t>Given</w:t>
      </w:r>
      <w:r w:rsidR="00F40591">
        <w:rPr>
          <w:rFonts w:ascii="Calibri" w:hAnsi="Calibri" w:cs="Calibri"/>
        </w:rPr>
        <w:t xml:space="preserve"> that the collected information </w:t>
      </w:r>
      <w:r w:rsidR="005004C9">
        <w:rPr>
          <w:rFonts w:ascii="Calibri" w:hAnsi="Calibri" w:cs="Calibri"/>
        </w:rPr>
        <w:t>provides the basis of</w:t>
      </w:r>
      <w:r w:rsidRPr="00555A5E">
        <w:rPr>
          <w:rFonts w:ascii="Calibri" w:hAnsi="Calibri" w:cs="Calibri"/>
        </w:rPr>
        <w:t xml:space="preserve"> performance measures, </w:t>
      </w:r>
      <w:r w:rsidR="005004C9">
        <w:rPr>
          <w:rFonts w:ascii="Calibri" w:hAnsi="Calibri" w:cs="Calibri"/>
        </w:rPr>
        <w:t xml:space="preserve">the study requires </w:t>
      </w:r>
      <w:r w:rsidRPr="00555A5E">
        <w:rPr>
          <w:rFonts w:ascii="Calibri" w:hAnsi="Calibri" w:cs="Calibri"/>
        </w:rPr>
        <w:t>data on the universe of grantees, programs, and participants.</w:t>
      </w:r>
      <w:r w:rsidR="007C09F6">
        <w:rPr>
          <w:rFonts w:ascii="Calibri" w:hAnsi="Calibri" w:cs="Calibri"/>
        </w:rPr>
        <w:t xml:space="preserve"> </w:t>
      </w:r>
      <w:r w:rsidRPr="001A59B6" w:rsidR="00A42C71">
        <w:rPr>
          <w:rFonts w:cstheme="minorHAnsi"/>
        </w:rPr>
        <w:t>As noted in Supporting Statement A, th</w:t>
      </w:r>
      <w:r w:rsidR="005004C9">
        <w:rPr>
          <w:rFonts w:cstheme="minorHAnsi"/>
        </w:rPr>
        <w:t>e</w:t>
      </w:r>
      <w:r w:rsidRPr="001A59B6" w:rsidR="00A42C71">
        <w:rPr>
          <w:rFonts w:cstheme="minorHAnsi"/>
        </w:rPr>
        <w:t xml:space="preserve"> information is not intended </w:t>
      </w:r>
      <w:r w:rsidR="005004C9">
        <w:rPr>
          <w:rFonts w:cstheme="minorHAnsi"/>
        </w:rPr>
        <w:t>for</w:t>
      </w:r>
      <w:r w:rsidRPr="001A59B6" w:rsidR="00A42C71">
        <w:rPr>
          <w:rFonts w:cstheme="minorHAnsi"/>
        </w:rPr>
        <w:t xml:space="preserve"> use as the principal basis for public policy decisions and is not expected to meet the threshold of influential or highly influential scientific information.  </w:t>
      </w:r>
    </w:p>
    <w:p w:rsidR="005248F4" w:rsidRPr="000A3692" w:rsidP="00F57BB2" w14:paraId="15600875" w14:textId="5FA6E530">
      <w:pPr>
        <w:pStyle w:val="ListParagraph"/>
        <w:spacing w:before="240" w:after="120"/>
        <w:ind w:left="0"/>
        <w:outlineLvl w:val="0"/>
        <w:rPr>
          <w:rFonts w:eastAsia="Times New Roman" w:cstheme="minorHAnsi"/>
          <w:color w:val="000000"/>
        </w:rPr>
      </w:pPr>
      <w:r w:rsidRPr="001A59B6">
        <w:rPr>
          <w:rFonts w:cstheme="minorHAnsi"/>
          <w:b/>
        </w:rPr>
        <w:t>B2.</w:t>
      </w:r>
      <w:r w:rsidRPr="001A59B6">
        <w:rPr>
          <w:rFonts w:cstheme="minorHAnsi"/>
          <w:b/>
        </w:rPr>
        <w:tab/>
      </w:r>
      <w:r w:rsidRPr="001A59B6">
        <w:rPr>
          <w:rFonts w:eastAsia="Times New Roman" w:cstheme="minorHAnsi"/>
          <w:b/>
          <w:bCs/>
          <w:color w:val="000000"/>
        </w:rPr>
        <w:t>Methods and Design</w:t>
      </w:r>
    </w:p>
    <w:p w:rsidR="00A42C71" w:rsidRPr="00C523DE" w:rsidP="00C523DE" w14:paraId="4C77B3BD" w14:textId="5F9A0550">
      <w:pPr>
        <w:spacing w:after="60"/>
        <w:rPr>
          <w:i/>
        </w:rPr>
      </w:pPr>
      <w:r w:rsidRPr="00C523DE">
        <w:rPr>
          <w:i/>
        </w:rPr>
        <w:t xml:space="preserve">Target Population  </w:t>
      </w:r>
    </w:p>
    <w:p w:rsidR="003D4E7B" w:rsidP="004F7CFF" w14:paraId="3555807E" w14:textId="235AC174">
      <w:pPr>
        <w:spacing w:after="240" w:line="240" w:lineRule="auto"/>
        <w:ind w:firstLine="446"/>
        <w:rPr>
          <w:rFonts w:eastAsia="Times New Roman" w:cstheme="minorHAnsi"/>
          <w:color w:val="000000"/>
        </w:rPr>
      </w:pPr>
      <w:r>
        <w:rPr>
          <w:rFonts w:cstheme="minorHAnsi"/>
        </w:rPr>
        <w:t xml:space="preserve">The target </w:t>
      </w:r>
      <w:r w:rsidRPr="005C2561">
        <w:rPr>
          <w:rFonts w:cstheme="minorHAnsi"/>
        </w:rPr>
        <w:t>population for the PREP PM data collection includes all</w:t>
      </w:r>
      <w:r w:rsidRPr="005C2561" w:rsidR="00995648">
        <w:rPr>
          <w:rFonts w:cstheme="minorHAnsi"/>
        </w:rPr>
        <w:t xml:space="preserve"> PREP</w:t>
      </w:r>
      <w:r w:rsidRPr="005C2561">
        <w:rPr>
          <w:rFonts w:cstheme="minorHAnsi"/>
        </w:rPr>
        <w:t xml:space="preserve"> grantees, their </w:t>
      </w:r>
      <w:r w:rsidRPr="005C2561" w:rsidR="005E4288">
        <w:rPr>
          <w:rFonts w:cstheme="minorHAnsi"/>
        </w:rPr>
        <w:t>subrecipient</w:t>
      </w:r>
      <w:r w:rsidRPr="005C2561">
        <w:rPr>
          <w:rFonts w:cstheme="minorHAnsi"/>
        </w:rPr>
        <w:t xml:space="preserve"> program providers, and youth participants. </w:t>
      </w:r>
      <w:r w:rsidRPr="005C2561">
        <w:t xml:space="preserve">The </w:t>
      </w:r>
      <w:r w:rsidRPr="005C2561" w:rsidR="00D33CA9">
        <w:t xml:space="preserve">numbers may vary somewhat by year, but </w:t>
      </w:r>
      <w:r w:rsidRPr="005C2561" w:rsidR="00272B24">
        <w:t xml:space="preserve">they </w:t>
      </w:r>
      <w:r w:rsidRPr="005C2561" w:rsidR="00455A25">
        <w:t xml:space="preserve">currently </w:t>
      </w:r>
      <w:r w:rsidRPr="005C2561" w:rsidR="00D33CA9">
        <w:t xml:space="preserve">include </w:t>
      </w:r>
      <w:r w:rsidRPr="005C2561" w:rsidR="00146F72">
        <w:t>51</w:t>
      </w:r>
      <w:r w:rsidRPr="005C2561">
        <w:t xml:space="preserve"> S</w:t>
      </w:r>
      <w:r w:rsidRPr="005C2561" w:rsidR="00146F72">
        <w:t>PREP</w:t>
      </w:r>
      <w:r w:rsidRPr="005C2561">
        <w:t xml:space="preserve">, </w:t>
      </w:r>
      <w:r w:rsidRPr="005C2561" w:rsidR="00A94779">
        <w:t>8</w:t>
      </w:r>
      <w:r w:rsidRPr="005C2561" w:rsidR="00146F72">
        <w:t xml:space="preserve"> TPREP</w:t>
      </w:r>
      <w:r w:rsidRPr="005C2561" w:rsidR="00B73AFD">
        <w:t>,</w:t>
      </w:r>
      <w:r w:rsidRPr="005C2561" w:rsidR="00146F72">
        <w:t xml:space="preserve"> </w:t>
      </w:r>
      <w:r w:rsidRPr="005C2561" w:rsidR="005C2561">
        <w:t>27</w:t>
      </w:r>
      <w:r w:rsidRPr="005C2561" w:rsidR="008F381B">
        <w:t xml:space="preserve"> </w:t>
      </w:r>
      <w:r w:rsidRPr="005C2561">
        <w:t>C</w:t>
      </w:r>
      <w:r w:rsidRPr="005C2561" w:rsidR="00146F72">
        <w:t xml:space="preserve">PREP, and </w:t>
      </w:r>
      <w:r w:rsidRPr="005C2561" w:rsidR="00AE2040">
        <w:t>1</w:t>
      </w:r>
      <w:r w:rsidRPr="005C2561" w:rsidR="00A94779">
        <w:t>2</w:t>
      </w:r>
      <w:r w:rsidRPr="005C2561" w:rsidR="00146F72">
        <w:t xml:space="preserve"> PREIS </w:t>
      </w:r>
      <w:r w:rsidRPr="005C2561" w:rsidR="00412F80">
        <w:t>grantees</w:t>
      </w:r>
      <w:r w:rsidRPr="005C2561">
        <w:t xml:space="preserve">. </w:t>
      </w:r>
      <w:r w:rsidRPr="005C2561" w:rsidR="00D33CA9">
        <w:rPr>
          <w:rFonts w:cstheme="minorHAnsi"/>
        </w:rPr>
        <w:t>T</w:t>
      </w:r>
      <w:r w:rsidRPr="005C2561">
        <w:rPr>
          <w:rFonts w:cstheme="minorHAnsi"/>
        </w:rPr>
        <w:t xml:space="preserve">he </w:t>
      </w:r>
      <w:r w:rsidRPr="005C2561" w:rsidR="007A7BE7">
        <w:rPr>
          <w:rFonts w:cstheme="minorHAnsi"/>
        </w:rPr>
        <w:t xml:space="preserve">estimated </w:t>
      </w:r>
      <w:r w:rsidRPr="005C2561">
        <w:rPr>
          <w:rFonts w:cstheme="minorHAnsi"/>
        </w:rPr>
        <w:t xml:space="preserve">number of </w:t>
      </w:r>
      <w:r w:rsidRPr="005C2561" w:rsidR="005E4288">
        <w:rPr>
          <w:rFonts w:cstheme="minorHAnsi"/>
        </w:rPr>
        <w:t>subrecipient</w:t>
      </w:r>
      <w:r w:rsidRPr="005C2561" w:rsidR="00A34D5D">
        <w:rPr>
          <w:rFonts w:cstheme="minorHAnsi"/>
        </w:rPr>
        <w:t>s</w:t>
      </w:r>
      <w:r w:rsidRPr="005C2561" w:rsidR="005E4288">
        <w:rPr>
          <w:rFonts w:cstheme="minorHAnsi"/>
        </w:rPr>
        <w:t xml:space="preserve"> </w:t>
      </w:r>
      <w:r w:rsidRPr="005C2561">
        <w:rPr>
          <w:rFonts w:cstheme="minorHAnsi"/>
        </w:rPr>
        <w:t xml:space="preserve">is </w:t>
      </w:r>
      <w:r w:rsidRPr="005C2561" w:rsidR="005C2561">
        <w:rPr>
          <w:rFonts w:cstheme="minorHAnsi"/>
        </w:rPr>
        <w:t>360</w:t>
      </w:r>
      <w:r w:rsidRPr="005C2561" w:rsidR="00575E78">
        <w:rPr>
          <w:rFonts w:cstheme="minorHAnsi"/>
        </w:rPr>
        <w:t xml:space="preserve"> </w:t>
      </w:r>
      <w:r w:rsidRPr="005C2561">
        <w:rPr>
          <w:rFonts w:cstheme="minorHAnsi"/>
        </w:rPr>
        <w:t xml:space="preserve">across all grantees. </w:t>
      </w:r>
      <w:r w:rsidRPr="005C2561">
        <w:rPr>
          <w:rFonts w:eastAsia="Times New Roman" w:cstheme="minorHAnsi"/>
          <w:color w:val="000000"/>
        </w:rPr>
        <w:t xml:space="preserve">Grantees are expected to </w:t>
      </w:r>
      <w:r w:rsidRPr="005C2561">
        <w:t>serve</w:t>
      </w:r>
      <w:r w:rsidRPr="005C2561">
        <w:rPr>
          <w:rFonts w:eastAsia="Times New Roman" w:cstheme="minorHAnsi"/>
          <w:color w:val="000000"/>
        </w:rPr>
        <w:t xml:space="preserve"> approximately </w:t>
      </w:r>
      <w:r w:rsidRPr="005C2561" w:rsidR="00296976">
        <w:rPr>
          <w:rFonts w:eastAsia="Times New Roman" w:cstheme="minorHAnsi"/>
          <w:color w:val="000000"/>
        </w:rPr>
        <w:t>369,474</w:t>
      </w:r>
      <w:r w:rsidRPr="005C2561" w:rsidR="00111EAF">
        <w:rPr>
          <w:szCs w:val="20"/>
        </w:rPr>
        <w:t xml:space="preserve"> </w:t>
      </w:r>
      <w:r w:rsidRPr="005C2561">
        <w:rPr>
          <w:rFonts w:eastAsia="Times New Roman" w:cstheme="minorHAnsi"/>
          <w:color w:val="000000"/>
        </w:rPr>
        <w:t>participants over the three</w:t>
      </w:r>
      <w:r w:rsidRPr="005C2561" w:rsidR="00111EAF">
        <w:rPr>
          <w:rFonts w:eastAsia="Times New Roman" w:cstheme="minorHAnsi"/>
          <w:color w:val="000000"/>
        </w:rPr>
        <w:t>-</w:t>
      </w:r>
      <w:r w:rsidRPr="005C2561">
        <w:rPr>
          <w:rFonts w:eastAsia="Times New Roman" w:cstheme="minorHAnsi"/>
          <w:color w:val="000000"/>
        </w:rPr>
        <w:t xml:space="preserve">year OMB clearance period, for an average of about </w:t>
      </w:r>
      <w:r w:rsidRPr="005C2561" w:rsidR="00296976">
        <w:rPr>
          <w:rFonts w:eastAsia="Times New Roman" w:cstheme="minorHAnsi"/>
          <w:color w:val="000000"/>
        </w:rPr>
        <w:t>123,158</w:t>
      </w:r>
      <w:r w:rsidRPr="005C2561" w:rsidR="00111EAF">
        <w:rPr>
          <w:rFonts w:eastAsia="Times New Roman" w:cstheme="minorHAnsi"/>
          <w:color w:val="000000"/>
        </w:rPr>
        <w:t xml:space="preserve"> </w:t>
      </w:r>
      <w:r w:rsidRPr="005C2561">
        <w:rPr>
          <w:rFonts w:eastAsia="Times New Roman" w:cstheme="minorHAnsi"/>
          <w:color w:val="000000"/>
        </w:rPr>
        <w:t>new participa</w:t>
      </w:r>
      <w:r w:rsidRPr="00CA2789">
        <w:rPr>
          <w:rFonts w:eastAsia="Times New Roman" w:cstheme="minorHAnsi"/>
          <w:color w:val="000000"/>
        </w:rPr>
        <w:t>nts per year.</w:t>
      </w:r>
      <w:r>
        <w:rPr>
          <w:rFonts w:eastAsia="Times New Roman" w:cstheme="minorHAnsi"/>
          <w:color w:val="000000"/>
        </w:rPr>
        <w:t xml:space="preserve"> P</w:t>
      </w:r>
      <w:r>
        <w:rPr>
          <w:szCs w:val="24"/>
        </w:rPr>
        <w:t xml:space="preserve">rogram </w:t>
      </w:r>
      <w:r>
        <w:rPr>
          <w:szCs w:val="24"/>
        </w:rPr>
        <w:t>participants are youth</w:t>
      </w:r>
      <w:r w:rsidR="00F02347">
        <w:rPr>
          <w:szCs w:val="24"/>
        </w:rPr>
        <w:t xml:space="preserve"> in middle school through age 20.</w:t>
      </w:r>
      <w:r>
        <w:rPr>
          <w:szCs w:val="24"/>
        </w:rPr>
        <w:t xml:space="preserve"> </w:t>
      </w:r>
      <w:r>
        <w:rPr>
          <w:rFonts w:eastAsia="Times New Roman" w:cstheme="minorHAnsi"/>
          <w:color w:val="000000"/>
        </w:rPr>
        <w:t>The data collection instruments to be used by each target population follow:</w:t>
      </w:r>
    </w:p>
    <w:p w:rsidR="003D4E7B" w:rsidP="003D4E7B" w14:paraId="2C2F3984" w14:textId="25AC64DA">
      <w:pPr>
        <w:pStyle w:val="ListParagraph"/>
        <w:numPr>
          <w:ilvl w:val="0"/>
          <w:numId w:val="32"/>
        </w:numPr>
        <w:spacing w:after="240" w:line="240" w:lineRule="auto"/>
        <w:rPr>
          <w:rFonts w:eastAsia="Times New Roman" w:cstheme="minorHAnsi"/>
          <w:color w:val="000000"/>
        </w:rPr>
      </w:pPr>
      <w:r>
        <w:rPr>
          <w:rFonts w:cs="Calibri"/>
          <w:b/>
        </w:rPr>
        <w:t>Instrument 1</w:t>
      </w:r>
      <w:r w:rsidR="00F56CFC">
        <w:rPr>
          <w:rFonts w:cs="Calibri"/>
          <w:b/>
        </w:rPr>
        <w:t xml:space="preserve"> (</w:t>
      </w:r>
      <w:r w:rsidR="00AC41E5">
        <w:rPr>
          <w:rFonts w:cs="Calibri"/>
          <w:b/>
        </w:rPr>
        <w:t>a</w:t>
      </w:r>
      <w:r w:rsidR="00F56CFC">
        <w:rPr>
          <w:rFonts w:cs="Calibri"/>
          <w:b/>
        </w:rPr>
        <w:t xml:space="preserve"> through </w:t>
      </w:r>
      <w:r w:rsidR="00563F93">
        <w:rPr>
          <w:rFonts w:cs="Calibri"/>
          <w:b/>
        </w:rPr>
        <w:t>c</w:t>
      </w:r>
      <w:r w:rsidR="00F56CFC">
        <w:rPr>
          <w:rFonts w:cs="Calibri"/>
          <w:b/>
        </w:rPr>
        <w:t>)</w:t>
      </w:r>
      <w:r>
        <w:rPr>
          <w:rFonts w:cs="Calibri"/>
          <w:b/>
        </w:rPr>
        <w:t xml:space="preserve">: </w:t>
      </w:r>
      <w:r w:rsidRPr="001006AB">
        <w:rPr>
          <w:rFonts w:cs="Calibri"/>
          <w:b/>
        </w:rPr>
        <w:t>Partic</w:t>
      </w:r>
      <w:r>
        <w:rPr>
          <w:rFonts w:cs="Calibri"/>
          <w:b/>
        </w:rPr>
        <w:t xml:space="preserve">ipant </w:t>
      </w:r>
      <w:r w:rsidR="0093220B">
        <w:rPr>
          <w:rFonts w:cs="Calibri"/>
          <w:b/>
        </w:rPr>
        <w:t>e</w:t>
      </w:r>
      <w:r>
        <w:rPr>
          <w:rFonts w:cs="Calibri"/>
          <w:b/>
        </w:rPr>
        <w:t xml:space="preserve">ntry </w:t>
      </w:r>
      <w:r w:rsidR="0093220B">
        <w:rPr>
          <w:rFonts w:cs="Calibri"/>
          <w:b/>
        </w:rPr>
        <w:t>s</w:t>
      </w:r>
      <w:r w:rsidRPr="001006AB">
        <w:rPr>
          <w:rFonts w:cs="Calibri"/>
          <w:b/>
        </w:rPr>
        <w:t>urvey</w:t>
      </w:r>
      <w:r w:rsidRPr="00B73AFD" w:rsidR="007A7BE7">
        <w:rPr>
          <w:rFonts w:cs="Calibri"/>
          <w:bCs/>
        </w:rPr>
        <w:t>–</w:t>
      </w:r>
      <w:r>
        <w:rPr>
          <w:rFonts w:eastAsia="Times New Roman" w:cstheme="minorHAnsi"/>
          <w:color w:val="000000"/>
        </w:rPr>
        <w:t xml:space="preserve">youth participants </w:t>
      </w:r>
    </w:p>
    <w:p w:rsidR="003D4E7B" w:rsidP="003D4E7B" w14:paraId="2ABE4B54" w14:textId="61A5BE5C">
      <w:pPr>
        <w:pStyle w:val="ListParagraph"/>
        <w:numPr>
          <w:ilvl w:val="0"/>
          <w:numId w:val="32"/>
        </w:numPr>
        <w:spacing w:after="240" w:line="240" w:lineRule="auto"/>
        <w:rPr>
          <w:rFonts w:eastAsia="Times New Roman" w:cstheme="minorHAnsi"/>
          <w:color w:val="000000"/>
        </w:rPr>
      </w:pPr>
      <w:r w:rsidRPr="00873D02">
        <w:rPr>
          <w:rFonts w:eastAsia="Times New Roman" w:cstheme="minorHAnsi"/>
          <w:b/>
          <w:color w:val="000000"/>
        </w:rPr>
        <w:t xml:space="preserve">Instrument </w:t>
      </w:r>
      <w:r>
        <w:rPr>
          <w:rFonts w:eastAsia="Times New Roman" w:cstheme="minorHAnsi"/>
          <w:b/>
          <w:color w:val="000000"/>
        </w:rPr>
        <w:t>2</w:t>
      </w:r>
      <w:r w:rsidR="00F56CFC">
        <w:rPr>
          <w:rFonts w:eastAsia="Times New Roman" w:cstheme="minorHAnsi"/>
          <w:b/>
          <w:color w:val="000000"/>
        </w:rPr>
        <w:t xml:space="preserve"> (</w:t>
      </w:r>
      <w:r w:rsidR="00AC41E5">
        <w:rPr>
          <w:rFonts w:eastAsia="Times New Roman" w:cstheme="minorHAnsi"/>
          <w:b/>
          <w:color w:val="000000"/>
        </w:rPr>
        <w:t>a</w:t>
      </w:r>
      <w:r w:rsidR="00F56CFC">
        <w:rPr>
          <w:rFonts w:eastAsia="Times New Roman" w:cstheme="minorHAnsi"/>
          <w:b/>
          <w:color w:val="000000"/>
        </w:rPr>
        <w:t xml:space="preserve"> through </w:t>
      </w:r>
      <w:r w:rsidR="00563F93">
        <w:rPr>
          <w:rFonts w:eastAsia="Times New Roman" w:cstheme="minorHAnsi"/>
          <w:b/>
          <w:color w:val="000000"/>
        </w:rPr>
        <w:t>c</w:t>
      </w:r>
      <w:r w:rsidR="00F56CFC">
        <w:rPr>
          <w:rFonts w:eastAsia="Times New Roman" w:cstheme="minorHAnsi"/>
          <w:b/>
          <w:color w:val="000000"/>
        </w:rPr>
        <w:t>)</w:t>
      </w:r>
      <w:r w:rsidRPr="00873D02">
        <w:rPr>
          <w:rFonts w:eastAsia="Times New Roman" w:cstheme="minorHAnsi"/>
          <w:b/>
          <w:color w:val="000000"/>
        </w:rPr>
        <w:t xml:space="preserve">: Participant </w:t>
      </w:r>
      <w:r w:rsidR="0093220B">
        <w:rPr>
          <w:rFonts w:eastAsia="Times New Roman" w:cstheme="minorHAnsi"/>
          <w:b/>
          <w:color w:val="000000"/>
        </w:rPr>
        <w:t>e</w:t>
      </w:r>
      <w:r>
        <w:rPr>
          <w:rFonts w:eastAsia="Times New Roman" w:cstheme="minorHAnsi"/>
          <w:b/>
          <w:color w:val="000000"/>
        </w:rPr>
        <w:t>xi</w:t>
      </w:r>
      <w:r w:rsidRPr="00873D02">
        <w:rPr>
          <w:rFonts w:eastAsia="Times New Roman" w:cstheme="minorHAnsi"/>
          <w:b/>
          <w:color w:val="000000"/>
        </w:rPr>
        <w:t xml:space="preserve">t </w:t>
      </w:r>
      <w:r w:rsidR="0093220B">
        <w:rPr>
          <w:rFonts w:eastAsia="Times New Roman" w:cstheme="minorHAnsi"/>
          <w:b/>
          <w:color w:val="000000"/>
        </w:rPr>
        <w:t>s</w:t>
      </w:r>
      <w:r w:rsidRPr="00873D02">
        <w:rPr>
          <w:rFonts w:eastAsia="Times New Roman" w:cstheme="minorHAnsi"/>
          <w:b/>
          <w:color w:val="000000"/>
        </w:rPr>
        <w:t>urvey</w:t>
      </w:r>
      <w:r w:rsidRPr="00B73AFD" w:rsidR="007A7BE7">
        <w:rPr>
          <w:rFonts w:eastAsia="Times New Roman" w:cstheme="minorHAnsi"/>
          <w:bCs/>
          <w:color w:val="000000"/>
        </w:rPr>
        <w:t>–</w:t>
      </w:r>
      <w:r w:rsidRPr="00873D02">
        <w:rPr>
          <w:rFonts w:eastAsia="Times New Roman" w:cstheme="minorHAnsi"/>
          <w:color w:val="000000"/>
        </w:rPr>
        <w:t>youth participants</w:t>
      </w:r>
    </w:p>
    <w:p w:rsidR="003D4E7B" w:rsidRPr="00873D02" w:rsidP="003D4E7B" w14:paraId="615CAF34" w14:textId="73353B43">
      <w:pPr>
        <w:pStyle w:val="ListParagraph"/>
        <w:numPr>
          <w:ilvl w:val="0"/>
          <w:numId w:val="32"/>
        </w:numPr>
        <w:spacing w:after="240" w:line="240" w:lineRule="auto"/>
        <w:rPr>
          <w:rFonts w:eastAsia="Times New Roman" w:cstheme="minorHAnsi"/>
          <w:color w:val="000000"/>
        </w:rPr>
      </w:pPr>
      <w:r w:rsidRPr="00873D02">
        <w:rPr>
          <w:b/>
        </w:rPr>
        <w:t>Instrument 3</w:t>
      </w:r>
      <w:r w:rsidR="00F57BB2">
        <w:rPr>
          <w:b/>
        </w:rPr>
        <w:t xml:space="preserve"> (a and b)</w:t>
      </w:r>
      <w:r w:rsidRPr="00873D02">
        <w:rPr>
          <w:b/>
        </w:rPr>
        <w:t>: Performance Reporting System Data Entry Form</w:t>
      </w:r>
      <w:r>
        <w:t>–grantees</w:t>
      </w:r>
    </w:p>
    <w:p w:rsidR="00A42C71" w:rsidRPr="000A3692" w:rsidP="000A3692" w14:paraId="0EC4C463" w14:textId="54611431">
      <w:pPr>
        <w:pStyle w:val="ListParagraph"/>
        <w:numPr>
          <w:ilvl w:val="0"/>
          <w:numId w:val="32"/>
        </w:numPr>
        <w:spacing w:after="240" w:line="240" w:lineRule="auto"/>
        <w:rPr>
          <w:rFonts w:eastAsia="Times New Roman" w:cstheme="minorHAnsi"/>
          <w:color w:val="000000"/>
        </w:rPr>
      </w:pPr>
      <w:r w:rsidRPr="00873D02">
        <w:rPr>
          <w:b/>
        </w:rPr>
        <w:t>Instrument 4</w:t>
      </w:r>
      <w:r w:rsidR="00F57BB2">
        <w:rPr>
          <w:b/>
        </w:rPr>
        <w:t xml:space="preserve"> (a and b)</w:t>
      </w:r>
      <w:r w:rsidRPr="00873D02">
        <w:rPr>
          <w:b/>
        </w:rPr>
        <w:t xml:space="preserve">: </w:t>
      </w:r>
      <w:r w:rsidR="005E4288">
        <w:rPr>
          <w:b/>
        </w:rPr>
        <w:t>Subrecipient</w:t>
      </w:r>
      <w:r w:rsidRPr="00873D02">
        <w:rPr>
          <w:b/>
        </w:rPr>
        <w:t xml:space="preserve"> Data Collection and Reporting Form</w:t>
      </w:r>
      <w:r>
        <w:t>–</w:t>
      </w:r>
      <w:r w:rsidR="00A94779">
        <w:t xml:space="preserve">subrecipient </w:t>
      </w:r>
      <w:r>
        <w:t xml:space="preserve">providers </w:t>
      </w:r>
    </w:p>
    <w:p w:rsidR="00A42C71" w:rsidRPr="00C523DE" w:rsidP="00C523DE" w14:paraId="242D83A5" w14:textId="27A3185A">
      <w:pPr>
        <w:spacing w:after="60"/>
        <w:rPr>
          <w:i/>
        </w:rPr>
      </w:pPr>
      <w:r w:rsidRPr="00C523DE">
        <w:rPr>
          <w:i/>
        </w:rPr>
        <w:t>Sampling and Site Selection</w:t>
      </w:r>
    </w:p>
    <w:p w:rsidR="00AC41E5" w:rsidRPr="00EF1921" w:rsidP="00EF1921" w14:paraId="6657B68E" w14:textId="2BBFADAF">
      <w:pPr>
        <w:spacing w:after="240" w:line="240" w:lineRule="auto"/>
        <w:ind w:firstLine="446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PREP PM </w:t>
      </w:r>
      <w:r w:rsidR="008A5761">
        <w:rPr>
          <w:rFonts w:eastAsia="Times New Roman" w:cstheme="minorHAnsi"/>
          <w:color w:val="000000"/>
        </w:rPr>
        <w:t>data collection</w:t>
      </w:r>
      <w:r w:rsidRPr="00D3418D" w:rsidR="00D3418D">
        <w:rPr>
          <w:rFonts w:eastAsia="Times New Roman" w:cstheme="minorHAnsi"/>
          <w:color w:val="000000"/>
        </w:rPr>
        <w:t xml:space="preserve"> </w:t>
      </w:r>
      <w:r w:rsidR="00D3418D">
        <w:rPr>
          <w:rFonts w:eastAsia="Times New Roman" w:cstheme="minorHAnsi"/>
          <w:color w:val="000000"/>
        </w:rPr>
        <w:t>will</w:t>
      </w:r>
      <w:r w:rsidR="00D3418D">
        <w:rPr>
          <w:iCs/>
        </w:rPr>
        <w:t xml:space="preserve"> </w:t>
      </w:r>
      <w:r w:rsidR="00D3418D">
        <w:rPr>
          <w:rFonts w:eastAsia="Times New Roman" w:cstheme="minorHAnsi"/>
          <w:iCs/>
          <w:color w:val="000000"/>
        </w:rPr>
        <w:t>continue to</w:t>
      </w:r>
      <w:r w:rsidR="008A576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include all PREP grantees, </w:t>
      </w:r>
      <w:r w:rsidR="005E4288">
        <w:rPr>
          <w:rFonts w:eastAsia="Times New Roman" w:cstheme="minorHAnsi"/>
          <w:color w:val="000000"/>
        </w:rPr>
        <w:t>subrecipient</w:t>
      </w:r>
      <w:r>
        <w:rPr>
          <w:rFonts w:eastAsia="Times New Roman" w:cstheme="minorHAnsi"/>
          <w:color w:val="000000"/>
        </w:rPr>
        <w:t xml:space="preserve"> program providers, and participants. </w:t>
      </w:r>
      <w:r w:rsidRPr="007C0B95">
        <w:rPr>
          <w:rFonts w:eastAsia="Times New Roman" w:cstheme="minorHAnsi"/>
          <w:color w:val="000000"/>
        </w:rPr>
        <w:t>ACF</w:t>
      </w:r>
      <w:r>
        <w:rPr>
          <w:rFonts w:eastAsia="Times New Roman" w:cstheme="minorHAnsi"/>
          <w:color w:val="000000"/>
        </w:rPr>
        <w:t xml:space="preserve"> will use the performance measures data to monitor and report on progress in implementing PREP programs and</w:t>
      </w:r>
      <w:r w:rsidR="00126148">
        <w:rPr>
          <w:rFonts w:eastAsia="Times New Roman" w:cstheme="minorHAnsi"/>
          <w:color w:val="000000"/>
        </w:rPr>
        <w:t xml:space="preserve"> to</w:t>
      </w:r>
      <w:r>
        <w:rPr>
          <w:rFonts w:eastAsia="Times New Roman" w:cstheme="minorHAnsi"/>
          <w:color w:val="000000"/>
        </w:rPr>
        <w:t xml:space="preserve"> support </w:t>
      </w:r>
      <w:r w:rsidRPr="00E870E4">
        <w:rPr>
          <w:rFonts w:cstheme="minorHAnsi"/>
        </w:rPr>
        <w:t>continuous</w:t>
      </w:r>
      <w:r>
        <w:rPr>
          <w:rFonts w:eastAsia="Times New Roman" w:cstheme="minorHAnsi"/>
          <w:color w:val="000000"/>
        </w:rPr>
        <w:t xml:space="preserve"> quality improvement of the programs. In addition, </w:t>
      </w:r>
      <w:r w:rsidR="007A7BE7">
        <w:rPr>
          <w:rFonts w:eastAsia="Times New Roman" w:cstheme="minorHAnsi"/>
          <w:color w:val="000000"/>
        </w:rPr>
        <w:t xml:space="preserve">grantees will use </w:t>
      </w:r>
      <w:r>
        <w:rPr>
          <w:rFonts w:eastAsia="Times New Roman" w:cstheme="minorHAnsi"/>
          <w:color w:val="000000"/>
        </w:rPr>
        <w:t xml:space="preserve">the information to inform improvements to their program(s). </w:t>
      </w:r>
      <w:r w:rsidR="00F831A0">
        <w:rPr>
          <w:rFonts w:eastAsia="Times New Roman" w:cstheme="minorHAnsi"/>
          <w:color w:val="000000"/>
        </w:rPr>
        <w:t>The study must include a</w:t>
      </w:r>
      <w:r>
        <w:rPr>
          <w:rFonts w:eastAsia="Times New Roman" w:cstheme="minorHAnsi"/>
          <w:color w:val="000000"/>
        </w:rPr>
        <w:t xml:space="preserve">ll PREP grantees so that (1) the </w:t>
      </w:r>
      <w:r w:rsidRPr="00127129">
        <w:rPr>
          <w:rFonts w:eastAsia="Times New Roman" w:cstheme="minorHAnsi"/>
          <w:color w:val="000000"/>
        </w:rPr>
        <w:t>measures</w:t>
      </w:r>
      <w:r>
        <w:rPr>
          <w:rFonts w:eastAsia="Times New Roman" w:cstheme="minorHAnsi"/>
          <w:color w:val="000000"/>
        </w:rPr>
        <w:t xml:space="preserve"> reflect the</w:t>
      </w:r>
      <w:r w:rsidR="00F439AC">
        <w:rPr>
          <w:rFonts w:eastAsia="Times New Roman" w:cstheme="minorHAnsi"/>
          <w:color w:val="000000"/>
        </w:rPr>
        <w:t xml:space="preserve"> program’s</w:t>
      </w:r>
      <w:r>
        <w:rPr>
          <w:rFonts w:eastAsia="Times New Roman" w:cstheme="minorHAnsi"/>
          <w:color w:val="000000"/>
        </w:rPr>
        <w:t xml:space="preserve"> complete scope and (2) the data can be used to promote program improvement among all grantees. </w:t>
      </w:r>
    </w:p>
    <w:p w:rsidR="00A42C71" w:rsidRPr="001A59B6" w:rsidP="00F57BB2" w14:paraId="39D4A6AF" w14:textId="77777777">
      <w:pPr>
        <w:autoSpaceDE w:val="0"/>
        <w:autoSpaceDN w:val="0"/>
        <w:adjustRightInd w:val="0"/>
        <w:spacing w:before="240" w:after="120" w:line="240" w:lineRule="atLeast"/>
        <w:outlineLvl w:val="0"/>
        <w:rPr>
          <w:rFonts w:eastAsia="Times New Roman" w:cstheme="minorHAnsi"/>
          <w:bCs/>
          <w:color w:val="000000"/>
        </w:rPr>
      </w:pPr>
      <w:r w:rsidRPr="001A59B6">
        <w:rPr>
          <w:rFonts w:eastAsia="Times New Roman" w:cstheme="minorHAnsi"/>
          <w:b/>
          <w:bCs/>
          <w:color w:val="000000"/>
        </w:rPr>
        <w:t>B3.</w:t>
      </w:r>
      <w:r w:rsidRPr="001A59B6">
        <w:rPr>
          <w:rFonts w:eastAsia="Times New Roman" w:cstheme="minorHAnsi"/>
          <w:b/>
          <w:bCs/>
          <w:color w:val="000000"/>
        </w:rPr>
        <w:tab/>
        <w:t>Design of Data Collection Instruments</w:t>
      </w:r>
    </w:p>
    <w:p w:rsidR="00220033" w:rsidRPr="000A3692" w:rsidP="000A3692" w14:paraId="2B48AC3B" w14:textId="7376E25F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1A59B6">
        <w:rPr>
          <w:rFonts w:eastAsia="Times New Roman" w:cstheme="minorHAnsi"/>
          <w:i/>
          <w:color w:val="000000"/>
        </w:rPr>
        <w:t>Development of Data Collection Instruments</w:t>
      </w:r>
    </w:p>
    <w:p w:rsidR="009735AB" w:rsidP="004F7CFF" w14:paraId="641C1BCE" w14:textId="32D74183">
      <w:pPr>
        <w:spacing w:after="240" w:line="240" w:lineRule="auto"/>
        <w:ind w:firstLine="446"/>
        <w:rPr>
          <w:rFonts w:ascii="Calibri" w:eastAsia="Times New Roman" w:hAnsi="Calibri" w:cs="Calibri"/>
          <w:color w:val="000000"/>
        </w:rPr>
      </w:pPr>
      <w:r w:rsidRPr="009E784D">
        <w:rPr>
          <w:rFonts w:ascii="Calibri" w:eastAsia="Times New Roman" w:hAnsi="Calibri" w:cs="Calibri"/>
          <w:color w:val="000000"/>
        </w:rPr>
        <w:t>In April 2017, OMB approved the collection of PREP performance measures data through</w:t>
      </w:r>
      <w:r w:rsidR="008A5761">
        <w:rPr>
          <w:rFonts w:ascii="Calibri" w:eastAsia="Times New Roman" w:hAnsi="Calibri" w:cs="Calibri"/>
          <w:color w:val="000000"/>
        </w:rPr>
        <w:t xml:space="preserve"> </w:t>
      </w:r>
      <w:r w:rsidRPr="009E784D">
        <w:rPr>
          <w:rFonts w:ascii="Calibri" w:eastAsia="Times New Roman" w:hAnsi="Calibri" w:cs="Calibri"/>
          <w:color w:val="000000"/>
        </w:rPr>
        <w:t>participant entry a</w:t>
      </w:r>
      <w:r w:rsidRPr="009E784D" w:rsidR="009E784D">
        <w:rPr>
          <w:rFonts w:ascii="Calibri" w:eastAsia="Times New Roman" w:hAnsi="Calibri" w:cs="Calibri"/>
          <w:color w:val="000000"/>
        </w:rPr>
        <w:t>n</w:t>
      </w:r>
      <w:r w:rsidRPr="009E784D">
        <w:rPr>
          <w:rFonts w:ascii="Calibri" w:eastAsia="Times New Roman" w:hAnsi="Calibri" w:cs="Calibri"/>
          <w:color w:val="000000"/>
        </w:rPr>
        <w:t xml:space="preserve">d exit surveys and the grantee and </w:t>
      </w:r>
      <w:r w:rsidR="001E3494">
        <w:rPr>
          <w:rFonts w:ascii="Calibri" w:eastAsia="Times New Roman" w:hAnsi="Calibri" w:cs="Calibri"/>
          <w:color w:val="000000"/>
        </w:rPr>
        <w:t xml:space="preserve">subrecipient </w:t>
      </w:r>
      <w:r w:rsidRPr="009E784D">
        <w:rPr>
          <w:rFonts w:ascii="Calibri" w:eastAsia="Times New Roman" w:hAnsi="Calibri" w:cs="Calibri"/>
          <w:color w:val="000000"/>
        </w:rPr>
        <w:t xml:space="preserve">reporting forms (OMB #0970-0497). </w:t>
      </w:r>
      <w:r w:rsidR="00193ADA">
        <w:rPr>
          <w:rFonts w:ascii="Calibri" w:eastAsia="Times New Roman" w:hAnsi="Calibri" w:cs="Calibri"/>
          <w:color w:val="000000"/>
        </w:rPr>
        <w:t xml:space="preserve">Since then, </w:t>
      </w:r>
      <w:r w:rsidR="00AB0BCC">
        <w:rPr>
          <w:rFonts w:ascii="Calibri" w:eastAsia="Times New Roman" w:hAnsi="Calibri" w:cs="Calibri"/>
          <w:color w:val="000000"/>
        </w:rPr>
        <w:t xml:space="preserve">OMB has approved </w:t>
      </w:r>
      <w:r w:rsidR="00193ADA">
        <w:rPr>
          <w:rFonts w:ascii="Calibri" w:eastAsia="Times New Roman" w:hAnsi="Calibri" w:cs="Calibri"/>
          <w:color w:val="000000"/>
        </w:rPr>
        <w:t xml:space="preserve">several </w:t>
      </w:r>
      <w:r w:rsidR="00193ADA">
        <w:rPr>
          <w:rFonts w:ascii="Calibri" w:eastAsia="Times New Roman" w:hAnsi="Calibri" w:cs="Calibri"/>
          <w:color w:val="000000"/>
        </w:rPr>
        <w:t>nonsubstantive</w:t>
      </w:r>
      <w:r w:rsidR="00193ADA">
        <w:rPr>
          <w:rFonts w:ascii="Calibri" w:eastAsia="Times New Roman" w:hAnsi="Calibri" w:cs="Calibri"/>
          <w:color w:val="000000"/>
        </w:rPr>
        <w:t xml:space="preserve"> change requests</w:t>
      </w:r>
      <w:r w:rsidR="00EB33A7">
        <w:rPr>
          <w:rFonts w:ascii="Calibri" w:eastAsia="Times New Roman" w:hAnsi="Calibri" w:cs="Calibri"/>
          <w:color w:val="000000"/>
        </w:rPr>
        <w:t>, such as the following</w:t>
      </w:r>
      <w:r w:rsidR="00193ADA">
        <w:rPr>
          <w:rFonts w:ascii="Calibri" w:eastAsia="Times New Roman" w:hAnsi="Calibri" w:cs="Calibri"/>
          <w:color w:val="000000"/>
        </w:rPr>
        <w:t>:</w:t>
      </w:r>
    </w:p>
    <w:p w:rsidR="00193ADA" w:rsidP="00193ADA" w14:paraId="544D66B1" w14:textId="0BD39E06">
      <w:pPr>
        <w:pStyle w:val="ListParagraph"/>
        <w:numPr>
          <w:ilvl w:val="0"/>
          <w:numId w:val="41"/>
        </w:numPr>
        <w:spacing w:after="240" w:line="240" w:lineRule="auto"/>
        <w:rPr>
          <w:rFonts w:ascii="Calibri" w:hAnsi="Calibri" w:cs="Calibri"/>
        </w:rPr>
      </w:pPr>
      <w:r w:rsidRPr="00193ADA">
        <w:rPr>
          <w:rFonts w:ascii="Calibri" w:hAnsi="Calibri" w:cs="Calibri"/>
        </w:rPr>
        <w:t xml:space="preserve">In August 2019, OMB approved a </w:t>
      </w:r>
      <w:r w:rsidRPr="00193ADA">
        <w:rPr>
          <w:rFonts w:ascii="Calibri" w:hAnsi="Calibri" w:cs="Calibri"/>
        </w:rPr>
        <w:t>nonsubstantive</w:t>
      </w:r>
      <w:r w:rsidRPr="00193ADA">
        <w:rPr>
          <w:rFonts w:ascii="Calibri" w:hAnsi="Calibri" w:cs="Calibri"/>
        </w:rPr>
        <w:t xml:space="preserve"> change request to revise the participant entry and exit surveys (Instruments 1 and 2)</w:t>
      </w:r>
      <w:r w:rsidRPr="00193ADA" w:rsidR="00067844">
        <w:rPr>
          <w:rFonts w:ascii="Calibri" w:hAnsi="Calibri" w:cs="Calibri"/>
        </w:rPr>
        <w:t xml:space="preserve"> based on </w:t>
      </w:r>
      <w:r w:rsidRPr="00193ADA">
        <w:rPr>
          <w:rFonts w:ascii="Calibri" w:hAnsi="Calibri" w:cs="Calibri"/>
        </w:rPr>
        <w:t>cognitive pre</w:t>
      </w:r>
      <w:r w:rsidR="00EB33A7">
        <w:rPr>
          <w:rFonts w:ascii="Calibri" w:hAnsi="Calibri" w:cs="Calibri"/>
        </w:rPr>
        <w:t>-</w:t>
      </w:r>
      <w:r w:rsidRPr="00193ADA">
        <w:rPr>
          <w:rFonts w:ascii="Calibri" w:hAnsi="Calibri" w:cs="Calibri"/>
        </w:rPr>
        <w:t>test</w:t>
      </w:r>
      <w:r w:rsidR="00984341">
        <w:rPr>
          <w:rFonts w:ascii="Calibri" w:hAnsi="Calibri" w:cs="Calibri"/>
        </w:rPr>
        <w:t xml:space="preserve"> results</w:t>
      </w:r>
      <w:r w:rsidRPr="00193ADA" w:rsidR="00580317">
        <w:rPr>
          <w:rFonts w:ascii="Calibri" w:hAnsi="Calibri" w:cs="Calibri"/>
        </w:rPr>
        <w:t xml:space="preserve">. </w:t>
      </w:r>
      <w:r w:rsidR="00EB33A7">
        <w:rPr>
          <w:rFonts w:ascii="Calibri" w:hAnsi="Calibri" w:cs="Calibri"/>
        </w:rPr>
        <w:t>The implemented c</w:t>
      </w:r>
      <w:r w:rsidRPr="00193ADA" w:rsidR="002163EA">
        <w:rPr>
          <w:rFonts w:ascii="Calibri" w:hAnsi="Calibri" w:cs="Calibri"/>
        </w:rPr>
        <w:t>hanges include removing sensitive items, modifying existing items related to adulthood preparation subjects, and adding items to capture information relevant to the success sequence for poverty prevention.</w:t>
      </w:r>
      <w:r w:rsidRPr="00193ADA" w:rsidR="00580317">
        <w:rPr>
          <w:rFonts w:ascii="Calibri" w:hAnsi="Calibri" w:cs="Calibri"/>
        </w:rPr>
        <w:t xml:space="preserve"> </w:t>
      </w:r>
    </w:p>
    <w:p w:rsidR="00193ADA" w:rsidRPr="00193ADA" w:rsidP="00193ADA" w14:paraId="0115EAFA" w14:textId="66C34DAB">
      <w:pPr>
        <w:pStyle w:val="ListParagraph"/>
        <w:numPr>
          <w:ilvl w:val="0"/>
          <w:numId w:val="41"/>
        </w:numPr>
        <w:spacing w:after="240" w:line="240" w:lineRule="auto"/>
        <w:rPr>
          <w:rFonts w:ascii="Calibri" w:hAnsi="Calibri" w:cs="Calibri"/>
        </w:rPr>
      </w:pPr>
      <w:r w:rsidRPr="00193ADA">
        <w:rPr>
          <w:rFonts w:ascii="Calibri" w:hAnsi="Calibri" w:cs="Calibri"/>
        </w:rPr>
        <w:t xml:space="preserve">In </w:t>
      </w:r>
      <w:r w:rsidRPr="00193ADA" w:rsidR="00575552">
        <w:rPr>
          <w:rFonts w:ascii="Calibri" w:hAnsi="Calibri" w:cs="Calibri"/>
        </w:rPr>
        <w:t>April 2020</w:t>
      </w:r>
      <w:r w:rsidRPr="00193ADA">
        <w:rPr>
          <w:rFonts w:ascii="Calibri" w:hAnsi="Calibri" w:cs="Calibri"/>
        </w:rPr>
        <w:t xml:space="preserve">, OMB approved a </w:t>
      </w:r>
      <w:r w:rsidRPr="00193ADA">
        <w:rPr>
          <w:rFonts w:ascii="Calibri" w:hAnsi="Calibri" w:cs="Calibri"/>
        </w:rPr>
        <w:t>nonsubstantive</w:t>
      </w:r>
      <w:r w:rsidRPr="00193ADA">
        <w:rPr>
          <w:rFonts w:ascii="Calibri" w:hAnsi="Calibri" w:cs="Calibri"/>
        </w:rPr>
        <w:t xml:space="preserve"> change request</w:t>
      </w:r>
      <w:r w:rsidRPr="00193ADA" w:rsidR="003E6CCD">
        <w:rPr>
          <w:rFonts w:ascii="Calibri" w:hAnsi="Calibri" w:cs="Calibri"/>
        </w:rPr>
        <w:t xml:space="preserve"> </w:t>
      </w:r>
      <w:r w:rsidR="00EB33A7">
        <w:rPr>
          <w:rFonts w:ascii="Calibri" w:hAnsi="Calibri" w:cs="Calibri"/>
        </w:rPr>
        <w:t>for</w:t>
      </w:r>
      <w:r w:rsidRPr="00193ADA" w:rsidR="003E6CCD">
        <w:rPr>
          <w:rFonts w:ascii="Calibri" w:hAnsi="Calibri" w:cs="Calibri"/>
        </w:rPr>
        <w:t xml:space="preserve"> further revis</w:t>
      </w:r>
      <w:r w:rsidR="00EB33A7">
        <w:rPr>
          <w:rFonts w:ascii="Calibri" w:hAnsi="Calibri" w:cs="Calibri"/>
        </w:rPr>
        <w:t>ion of</w:t>
      </w:r>
      <w:r w:rsidRPr="00193ADA" w:rsidR="003E6CCD">
        <w:rPr>
          <w:rFonts w:ascii="Calibri" w:hAnsi="Calibri" w:cs="Calibri"/>
        </w:rPr>
        <w:t xml:space="preserve"> the participant entry and exit surveys (Instruments 1 and 2) and the </w:t>
      </w:r>
      <w:r w:rsidR="0008410F">
        <w:rPr>
          <w:rFonts w:ascii="Calibri" w:hAnsi="Calibri" w:cs="Calibri"/>
        </w:rPr>
        <w:t>P</w:t>
      </w:r>
      <w:r w:rsidRPr="00193ADA" w:rsidR="003E6CCD">
        <w:rPr>
          <w:rFonts w:ascii="Calibri" w:hAnsi="Calibri" w:cs="Calibri"/>
        </w:rPr>
        <w:t xml:space="preserve">erformance </w:t>
      </w:r>
      <w:r w:rsidR="0008410F">
        <w:rPr>
          <w:rFonts w:ascii="Calibri" w:hAnsi="Calibri" w:cs="Calibri"/>
        </w:rPr>
        <w:t>R</w:t>
      </w:r>
      <w:r w:rsidRPr="00193ADA" w:rsidR="003E6CCD">
        <w:rPr>
          <w:rFonts w:ascii="Calibri" w:hAnsi="Calibri" w:cs="Calibri"/>
        </w:rPr>
        <w:t xml:space="preserve">eporting </w:t>
      </w:r>
      <w:r w:rsidR="007C3969">
        <w:rPr>
          <w:rFonts w:ascii="Calibri" w:hAnsi="Calibri" w:cs="Calibri"/>
        </w:rPr>
        <w:t>S</w:t>
      </w:r>
      <w:r w:rsidRPr="00193ADA" w:rsidR="003E6CCD">
        <w:rPr>
          <w:rFonts w:ascii="Calibri" w:hAnsi="Calibri" w:cs="Calibri"/>
        </w:rPr>
        <w:t xml:space="preserve">ystem </w:t>
      </w:r>
      <w:r w:rsidR="007C3969">
        <w:rPr>
          <w:rFonts w:ascii="Calibri" w:hAnsi="Calibri" w:cs="Calibri"/>
        </w:rPr>
        <w:t>D</w:t>
      </w:r>
      <w:r w:rsidRPr="00193ADA" w:rsidR="003E6CCD">
        <w:rPr>
          <w:rFonts w:ascii="Calibri" w:hAnsi="Calibri" w:cs="Calibri"/>
        </w:rPr>
        <w:t>ata</w:t>
      </w:r>
      <w:r w:rsidR="007C3969">
        <w:rPr>
          <w:rFonts w:ascii="Calibri" w:hAnsi="Calibri" w:cs="Calibri"/>
        </w:rPr>
        <w:t xml:space="preserve"> Entry</w:t>
      </w:r>
      <w:r w:rsidRPr="00193ADA" w:rsidR="003E6CCD">
        <w:rPr>
          <w:rFonts w:ascii="Calibri" w:hAnsi="Calibri" w:cs="Calibri"/>
        </w:rPr>
        <w:t xml:space="preserve"> </w:t>
      </w:r>
      <w:r w:rsidR="007C3969">
        <w:rPr>
          <w:rFonts w:ascii="Calibri" w:hAnsi="Calibri" w:cs="Calibri"/>
        </w:rPr>
        <w:t>F</w:t>
      </w:r>
      <w:r w:rsidRPr="00193ADA" w:rsidR="003E6CCD">
        <w:rPr>
          <w:rFonts w:ascii="Calibri" w:hAnsi="Calibri" w:cs="Calibri"/>
        </w:rPr>
        <w:t>orm (Instrument 3</w:t>
      </w:r>
      <w:r w:rsidR="00984341">
        <w:rPr>
          <w:rFonts w:ascii="Calibri" w:hAnsi="Calibri" w:cs="Calibri"/>
        </w:rPr>
        <w:t>)</w:t>
      </w:r>
      <w:r w:rsidRPr="00984341" w:rsidR="00984341">
        <w:rPr>
          <w:rFonts w:ascii="Calibri" w:hAnsi="Calibri" w:cs="Calibri"/>
        </w:rPr>
        <w:t xml:space="preserve"> </w:t>
      </w:r>
      <w:r w:rsidRPr="00193ADA" w:rsidR="00984341">
        <w:rPr>
          <w:rFonts w:ascii="Calibri" w:hAnsi="Calibri" w:cs="Calibri"/>
        </w:rPr>
        <w:t>informed by grantee feedback on the 2019 surveys</w:t>
      </w:r>
      <w:r w:rsidRPr="00193ADA" w:rsidR="00067844">
        <w:rPr>
          <w:rFonts w:ascii="Calibri" w:hAnsi="Calibri" w:cs="Calibri"/>
        </w:rPr>
        <w:t>.</w:t>
      </w:r>
      <w:r w:rsidRPr="00193ADA" w:rsidR="00575552">
        <w:rPr>
          <w:rFonts w:ascii="Calibri" w:hAnsi="Calibri" w:cs="Calibri"/>
        </w:rPr>
        <w:t xml:space="preserve"> </w:t>
      </w:r>
      <w:r w:rsidR="00984341">
        <w:rPr>
          <w:rFonts w:ascii="Calibri" w:hAnsi="Calibri" w:cs="Calibri"/>
        </w:rPr>
        <w:t>Changes included producing two</w:t>
      </w:r>
      <w:r w:rsidRPr="00193ADA">
        <w:rPr>
          <w:rFonts w:ascii="Calibri" w:hAnsi="Calibri" w:cs="Calibri"/>
        </w:rPr>
        <w:t xml:space="preserve"> </w:t>
      </w:r>
      <w:r w:rsidRPr="00193ADA">
        <w:rPr>
          <w:rFonts w:ascii="Calibri" w:hAnsi="Calibri" w:cs="Calibri"/>
        </w:rPr>
        <w:t>different versions of the entry and exit surveys for middle school</w:t>
      </w:r>
      <w:r w:rsidR="002B79FB">
        <w:rPr>
          <w:rFonts w:ascii="Calibri" w:hAnsi="Calibri" w:cs="Calibri"/>
        </w:rPr>
        <w:t>-</w:t>
      </w:r>
      <w:r w:rsidRPr="00193ADA">
        <w:rPr>
          <w:rFonts w:ascii="Calibri" w:hAnsi="Calibri" w:cs="Calibri"/>
        </w:rPr>
        <w:t>age groups (Instruments 1a and 2a) and high school</w:t>
      </w:r>
      <w:r w:rsidR="00D11657">
        <w:rPr>
          <w:rFonts w:ascii="Calibri" w:hAnsi="Calibri" w:cs="Calibri"/>
        </w:rPr>
        <w:t>–</w:t>
      </w:r>
      <w:r w:rsidRPr="00193ADA">
        <w:rPr>
          <w:rFonts w:ascii="Calibri" w:hAnsi="Calibri" w:cs="Calibri"/>
        </w:rPr>
        <w:t xml:space="preserve"> and older age groups (Instrument 1b). </w:t>
      </w:r>
      <w:r w:rsidRPr="00193ADA" w:rsidR="00A721A0">
        <w:rPr>
          <w:rFonts w:cstheme="minorHAnsi"/>
        </w:rPr>
        <w:t xml:space="preserve">Middle school versions </w:t>
      </w:r>
      <w:r w:rsidRPr="00193ADA" w:rsidR="00A721A0">
        <w:rPr>
          <w:rFonts w:cstheme="minorHAnsi"/>
        </w:rPr>
        <w:t>removed</w:t>
      </w:r>
      <w:r w:rsidRPr="00193ADA" w:rsidR="00A721A0">
        <w:rPr>
          <w:rFonts w:cstheme="minorHAnsi"/>
        </w:rPr>
        <w:t xml:space="preserve"> or revised items focused on sexual activity and pregnancy</w:t>
      </w:r>
      <w:r w:rsidRPr="00193ADA">
        <w:rPr>
          <w:rFonts w:cstheme="minorHAnsi"/>
        </w:rPr>
        <w:t xml:space="preserve"> for use with S</w:t>
      </w:r>
      <w:r w:rsidR="0038582C">
        <w:rPr>
          <w:rFonts w:cstheme="minorHAnsi"/>
        </w:rPr>
        <w:t>PREP</w:t>
      </w:r>
      <w:r w:rsidRPr="00193ADA">
        <w:rPr>
          <w:rFonts w:cstheme="minorHAnsi"/>
        </w:rPr>
        <w:t>, T</w:t>
      </w:r>
      <w:r w:rsidR="0038582C">
        <w:rPr>
          <w:rFonts w:cstheme="minorHAnsi"/>
        </w:rPr>
        <w:t>PREP</w:t>
      </w:r>
      <w:r w:rsidR="002B79FB">
        <w:rPr>
          <w:rFonts w:cstheme="minorHAnsi"/>
        </w:rPr>
        <w:t>,</w:t>
      </w:r>
      <w:r w:rsidRPr="00193ADA">
        <w:rPr>
          <w:rFonts w:cstheme="minorHAnsi"/>
        </w:rPr>
        <w:t xml:space="preserve"> and C</w:t>
      </w:r>
      <w:r w:rsidR="0038582C">
        <w:rPr>
          <w:rFonts w:cstheme="minorHAnsi"/>
        </w:rPr>
        <w:t>PREP</w:t>
      </w:r>
      <w:r w:rsidRPr="00193ADA">
        <w:rPr>
          <w:rFonts w:cstheme="minorHAnsi"/>
        </w:rPr>
        <w:t xml:space="preserve"> participants</w:t>
      </w:r>
      <w:r w:rsidRPr="00193ADA" w:rsidR="00A721A0">
        <w:rPr>
          <w:rFonts w:cstheme="minorHAnsi"/>
        </w:rPr>
        <w:t>.</w:t>
      </w:r>
      <w:r w:rsidRPr="00193ADA">
        <w:rPr>
          <w:rFonts w:cstheme="minorHAnsi"/>
        </w:rPr>
        <w:t xml:space="preserve"> </w:t>
      </w:r>
      <w:r w:rsidRPr="00193ADA" w:rsidR="002A775C">
        <w:rPr>
          <w:rFonts w:cstheme="minorHAnsi"/>
        </w:rPr>
        <w:t xml:space="preserve">Edits to the </w:t>
      </w:r>
      <w:r w:rsidR="007A245A">
        <w:rPr>
          <w:rFonts w:cstheme="minorHAnsi"/>
        </w:rPr>
        <w:t>P</w:t>
      </w:r>
      <w:r w:rsidRPr="00193ADA" w:rsidR="002A775C">
        <w:rPr>
          <w:rFonts w:cstheme="minorHAnsi"/>
        </w:rPr>
        <w:t xml:space="preserve">erformance </w:t>
      </w:r>
      <w:r w:rsidR="007A245A">
        <w:rPr>
          <w:rFonts w:cstheme="minorHAnsi"/>
        </w:rPr>
        <w:t>R</w:t>
      </w:r>
      <w:r w:rsidRPr="00193ADA" w:rsidR="002A775C">
        <w:rPr>
          <w:rFonts w:cstheme="minorHAnsi"/>
        </w:rPr>
        <w:t xml:space="preserve">eporting </w:t>
      </w:r>
      <w:r w:rsidR="007A245A">
        <w:rPr>
          <w:rFonts w:cstheme="minorHAnsi"/>
        </w:rPr>
        <w:t>S</w:t>
      </w:r>
      <w:r w:rsidRPr="00193ADA" w:rsidR="002A775C">
        <w:rPr>
          <w:rFonts w:cstheme="minorHAnsi"/>
        </w:rPr>
        <w:t xml:space="preserve">ystem </w:t>
      </w:r>
      <w:r w:rsidR="007A245A">
        <w:rPr>
          <w:rFonts w:cstheme="minorHAnsi"/>
        </w:rPr>
        <w:t>D</w:t>
      </w:r>
      <w:r w:rsidRPr="00193ADA" w:rsidR="002A775C">
        <w:rPr>
          <w:rFonts w:cstheme="minorHAnsi"/>
        </w:rPr>
        <w:t>ata</w:t>
      </w:r>
      <w:r w:rsidR="007A245A">
        <w:rPr>
          <w:rFonts w:cstheme="minorHAnsi"/>
        </w:rPr>
        <w:t xml:space="preserve"> Entry</w:t>
      </w:r>
      <w:r w:rsidRPr="00193ADA" w:rsidR="002A775C">
        <w:rPr>
          <w:rFonts w:cstheme="minorHAnsi"/>
        </w:rPr>
        <w:t xml:space="preserve"> </w:t>
      </w:r>
      <w:r w:rsidR="007A245A">
        <w:rPr>
          <w:rFonts w:cstheme="minorHAnsi"/>
        </w:rPr>
        <w:t>F</w:t>
      </w:r>
      <w:r w:rsidRPr="00193ADA" w:rsidR="002A775C">
        <w:rPr>
          <w:rFonts w:cstheme="minorHAnsi"/>
        </w:rPr>
        <w:t>orm</w:t>
      </w:r>
      <w:r w:rsidRPr="00193ADA" w:rsidR="00423D9D">
        <w:rPr>
          <w:rFonts w:cstheme="minorHAnsi"/>
        </w:rPr>
        <w:t xml:space="preserve"> </w:t>
      </w:r>
      <w:r w:rsidRPr="00193ADA" w:rsidR="00D537F3">
        <w:rPr>
          <w:rFonts w:cstheme="minorHAnsi"/>
        </w:rPr>
        <w:t>(</w:t>
      </w:r>
      <w:r w:rsidRPr="00193ADA" w:rsidR="002A775C">
        <w:rPr>
          <w:rFonts w:cstheme="minorHAnsi"/>
        </w:rPr>
        <w:t>Instrument 3) reflect</w:t>
      </w:r>
      <w:r w:rsidR="002B79FB">
        <w:rPr>
          <w:rFonts w:cstheme="minorHAnsi"/>
        </w:rPr>
        <w:t>ed</w:t>
      </w:r>
      <w:r w:rsidRPr="00193ADA" w:rsidR="002A775C">
        <w:rPr>
          <w:rFonts w:cstheme="minorHAnsi"/>
        </w:rPr>
        <w:t xml:space="preserve"> changes to the </w:t>
      </w:r>
      <w:r w:rsidR="007A245A">
        <w:rPr>
          <w:rFonts w:cstheme="minorHAnsi"/>
        </w:rPr>
        <w:t>e</w:t>
      </w:r>
      <w:r w:rsidRPr="00193ADA" w:rsidR="002A775C">
        <w:rPr>
          <w:rFonts w:cstheme="minorHAnsi"/>
        </w:rPr>
        <w:t xml:space="preserve">ntry and </w:t>
      </w:r>
      <w:r w:rsidR="007A245A">
        <w:rPr>
          <w:rFonts w:cstheme="minorHAnsi"/>
        </w:rPr>
        <w:t>e</w:t>
      </w:r>
      <w:r w:rsidRPr="00193ADA" w:rsidR="002A775C">
        <w:rPr>
          <w:rFonts w:cstheme="minorHAnsi"/>
        </w:rPr>
        <w:t xml:space="preserve">xit </w:t>
      </w:r>
      <w:r w:rsidR="007A245A">
        <w:rPr>
          <w:rFonts w:cstheme="minorHAnsi"/>
        </w:rPr>
        <w:t>s</w:t>
      </w:r>
      <w:r w:rsidRPr="00193ADA" w:rsidR="002A775C">
        <w:rPr>
          <w:rFonts w:cstheme="minorHAnsi"/>
        </w:rPr>
        <w:t xml:space="preserve">urveys. </w:t>
      </w:r>
    </w:p>
    <w:p w:rsidR="00193ADA" w:rsidRPr="00193ADA" w:rsidP="00193ADA" w14:paraId="7B32E704" w14:textId="7AAFA2FC">
      <w:pPr>
        <w:pStyle w:val="ListParagraph"/>
        <w:numPr>
          <w:ilvl w:val="0"/>
          <w:numId w:val="41"/>
        </w:numPr>
        <w:spacing w:after="240" w:line="240" w:lineRule="auto"/>
        <w:rPr>
          <w:rFonts w:ascii="Calibri" w:hAnsi="Calibri" w:cs="Calibri"/>
        </w:rPr>
      </w:pPr>
      <w:r w:rsidRPr="00193ADA">
        <w:rPr>
          <w:rFonts w:cstheme="minorHAnsi"/>
        </w:rPr>
        <w:t xml:space="preserve">In August 2020, </w:t>
      </w:r>
      <w:r w:rsidR="002B79FB">
        <w:rPr>
          <w:rFonts w:cstheme="minorHAnsi"/>
        </w:rPr>
        <w:t>OMB approved a</w:t>
      </w:r>
      <w:r w:rsidRPr="00193ADA">
        <w:rPr>
          <w:rFonts w:cstheme="minorHAnsi"/>
        </w:rPr>
        <w:t xml:space="preserve"> </w:t>
      </w:r>
      <w:r w:rsidRPr="00193ADA">
        <w:rPr>
          <w:rFonts w:cstheme="minorHAnsi"/>
        </w:rPr>
        <w:t>nonsubstantive</w:t>
      </w:r>
      <w:r w:rsidRPr="00193ADA">
        <w:rPr>
          <w:rFonts w:cstheme="minorHAnsi"/>
        </w:rPr>
        <w:t xml:space="preserve"> </w:t>
      </w:r>
      <w:r w:rsidRPr="00193ADA">
        <w:rPr>
          <w:rFonts w:eastAsia="Times New Roman" w:cstheme="minorHAnsi"/>
          <w:color w:val="000000"/>
        </w:rPr>
        <w:t>change</w:t>
      </w:r>
      <w:r w:rsidRPr="00193ADA">
        <w:rPr>
          <w:rFonts w:cstheme="minorHAnsi"/>
        </w:rPr>
        <w:t xml:space="preserve"> request to add measures </w:t>
      </w:r>
      <w:r w:rsidRPr="00193ADA" w:rsidR="00537A8F">
        <w:rPr>
          <w:rFonts w:cstheme="minorHAnsi"/>
        </w:rPr>
        <w:t>related to effects of</w:t>
      </w:r>
      <w:r w:rsidRPr="00193ADA">
        <w:rPr>
          <w:rFonts w:cstheme="minorHAnsi"/>
        </w:rPr>
        <w:t xml:space="preserve"> the COVID-19 </w:t>
      </w:r>
      <w:r w:rsidRPr="00193ADA" w:rsidR="001505B2">
        <w:rPr>
          <w:rFonts w:cstheme="minorHAnsi"/>
        </w:rPr>
        <w:t>pandemic</w:t>
      </w:r>
      <w:r w:rsidRPr="00193ADA">
        <w:rPr>
          <w:rFonts w:cstheme="minorHAnsi"/>
        </w:rPr>
        <w:t xml:space="preserve"> </w:t>
      </w:r>
      <w:r w:rsidRPr="00193ADA" w:rsidR="00537A8F">
        <w:rPr>
          <w:rFonts w:cstheme="minorHAnsi"/>
        </w:rPr>
        <w:t>on PREP programming and</w:t>
      </w:r>
      <w:r w:rsidRPr="00193ADA" w:rsidR="001505B2">
        <w:rPr>
          <w:rFonts w:cstheme="minorHAnsi"/>
        </w:rPr>
        <w:t xml:space="preserve"> data collection</w:t>
      </w:r>
      <w:r w:rsidRPr="00193ADA">
        <w:rPr>
          <w:rFonts w:cstheme="minorHAnsi"/>
        </w:rPr>
        <w:t>.</w:t>
      </w:r>
      <w:bookmarkStart w:id="2" w:name="_Hlk58490129"/>
      <w:r w:rsidR="00575552">
        <w:t xml:space="preserve"> </w:t>
      </w:r>
    </w:p>
    <w:p w:rsidR="00193ADA" w:rsidRPr="00193ADA" w:rsidP="00193ADA" w14:paraId="18A5DCF1" w14:textId="0B6B1D69">
      <w:pPr>
        <w:pStyle w:val="ListParagraph"/>
        <w:numPr>
          <w:ilvl w:val="0"/>
          <w:numId w:val="41"/>
        </w:numPr>
        <w:spacing w:after="240" w:line="240" w:lineRule="auto"/>
        <w:rPr>
          <w:rFonts w:ascii="Calibri" w:hAnsi="Calibri" w:cs="Calibri"/>
        </w:rPr>
      </w:pPr>
      <w:r>
        <w:t xml:space="preserve">In January 2021, </w:t>
      </w:r>
      <w:r w:rsidR="002B79FB">
        <w:t xml:space="preserve">OMB approved </w:t>
      </w:r>
      <w:r>
        <w:t xml:space="preserve">a </w:t>
      </w:r>
      <w:r>
        <w:t>nonsubstantive</w:t>
      </w:r>
      <w:r>
        <w:t xml:space="preserve"> change request to revise the </w:t>
      </w:r>
      <w:r w:rsidRPr="00201360" w:rsidR="001505B2">
        <w:t>pandemic</w:t>
      </w:r>
      <w:r>
        <w:t xml:space="preserve">-related measures. </w:t>
      </w:r>
    </w:p>
    <w:p w:rsidR="00575552" w:rsidRPr="00193ADA" w:rsidP="00193ADA" w14:paraId="6C4BAC78" w14:textId="582FFAFE">
      <w:pPr>
        <w:pStyle w:val="ListParagraph"/>
        <w:numPr>
          <w:ilvl w:val="0"/>
          <w:numId w:val="41"/>
        </w:numPr>
        <w:spacing w:after="240" w:line="240" w:lineRule="auto"/>
        <w:rPr>
          <w:rFonts w:ascii="Calibri" w:hAnsi="Calibri" w:cs="Calibri"/>
        </w:rPr>
      </w:pPr>
      <w:r>
        <w:t xml:space="preserve">In November 2021, </w:t>
      </w:r>
      <w:r w:rsidR="002B79FB">
        <w:t>OMB ap</w:t>
      </w:r>
      <w:r w:rsidR="008327A6">
        <w:t xml:space="preserve">proved </w:t>
      </w:r>
      <w:r>
        <w:t xml:space="preserve">a </w:t>
      </w:r>
      <w:r w:rsidR="00554E3A">
        <w:t>nonsubstantive</w:t>
      </w:r>
      <w:r w:rsidR="00554E3A">
        <w:t xml:space="preserve"> </w:t>
      </w:r>
      <w:r>
        <w:t xml:space="preserve">change request to </w:t>
      </w:r>
      <w:r w:rsidR="001505B2">
        <w:t xml:space="preserve">(1) </w:t>
      </w:r>
      <w:r w:rsidRPr="00201360" w:rsidR="00201360">
        <w:t xml:space="preserve">reduce the number of pandemic-related measures </w:t>
      </w:r>
      <w:bookmarkStart w:id="3" w:name="_Hlk81320903"/>
      <w:r w:rsidR="001505B2">
        <w:t xml:space="preserve">and </w:t>
      </w:r>
      <w:bookmarkEnd w:id="3"/>
      <w:r w:rsidR="001505B2">
        <w:t>(2)</w:t>
      </w:r>
      <w:r w:rsidRPr="00201360" w:rsidR="00201360">
        <w:t xml:space="preserve"> </w:t>
      </w:r>
      <w:r w:rsidR="001505B2">
        <w:t xml:space="preserve">streamline </w:t>
      </w:r>
      <w:r w:rsidRPr="00201360" w:rsidR="00201360">
        <w:t>the participant entry and exit surveys (Instrument</w:t>
      </w:r>
      <w:r>
        <w:t>s 1 and</w:t>
      </w:r>
      <w:r w:rsidRPr="00201360" w:rsidR="00201360">
        <w:t xml:space="preserve"> 2) to ensure that all items directly align with legislation, reduce burden, and improve clarity. </w:t>
      </w:r>
      <w:bookmarkEnd w:id="2"/>
    </w:p>
    <w:p w:rsidR="0072287F" w:rsidP="004F7CFF" w14:paraId="15951071" w14:textId="59B89AC2">
      <w:pPr>
        <w:spacing w:after="240" w:line="240" w:lineRule="auto"/>
        <w:ind w:firstLine="446"/>
        <w:rPr>
          <w:rFonts w:cstheme="minorHAnsi"/>
        </w:rPr>
      </w:pPr>
      <w:r>
        <w:rPr>
          <w:rFonts w:eastAsia="Times New Roman" w:cstheme="minorHAnsi"/>
          <w:color w:val="000000"/>
          <w:szCs w:val="24"/>
        </w:rPr>
        <w:t>The current submission reflects a</w:t>
      </w:r>
      <w:r w:rsidR="00575552">
        <w:rPr>
          <w:rFonts w:eastAsia="Times New Roman" w:cstheme="minorHAnsi"/>
          <w:color w:val="000000"/>
          <w:szCs w:val="24"/>
        </w:rPr>
        <w:t>ll t</w:t>
      </w:r>
      <w:r>
        <w:rPr>
          <w:rFonts w:eastAsia="Times New Roman" w:cstheme="minorHAnsi"/>
          <w:color w:val="000000"/>
          <w:szCs w:val="24"/>
        </w:rPr>
        <w:t xml:space="preserve">he changes </w:t>
      </w:r>
      <w:r w:rsidRPr="004F7CFF">
        <w:rPr>
          <w:rFonts w:cstheme="minorHAnsi"/>
        </w:rPr>
        <w:t>previously</w:t>
      </w:r>
      <w:r>
        <w:rPr>
          <w:rFonts w:eastAsia="Times New Roman" w:cstheme="minorHAnsi"/>
          <w:color w:val="000000"/>
          <w:szCs w:val="24"/>
        </w:rPr>
        <w:t xml:space="preserve"> reviewed and approved by OMB.</w:t>
      </w:r>
      <w:r>
        <w:rPr>
          <w:rFonts w:cstheme="minorHAnsi"/>
        </w:rPr>
        <w:t xml:space="preserve"> </w:t>
      </w:r>
    </w:p>
    <w:p w:rsidR="00554E3A" w:rsidP="004F7CFF" w14:paraId="5E9ED9C4" w14:textId="1BD1F11C">
      <w:pPr>
        <w:spacing w:after="240" w:line="240" w:lineRule="auto"/>
        <w:ind w:firstLine="446"/>
        <w:rPr>
          <w:rFonts w:cstheme="minorHAnsi"/>
        </w:rPr>
      </w:pPr>
      <w:r>
        <w:rPr>
          <w:rFonts w:cstheme="minorHAnsi"/>
        </w:rPr>
        <w:t xml:space="preserve">This Information Collection Request </w:t>
      </w:r>
      <w:r w:rsidR="00DF75C2">
        <w:rPr>
          <w:rFonts w:cstheme="minorHAnsi"/>
        </w:rPr>
        <w:t>seek</w:t>
      </w:r>
      <w:r>
        <w:rPr>
          <w:rFonts w:cstheme="minorHAnsi"/>
        </w:rPr>
        <w:t xml:space="preserve">s to </w:t>
      </w:r>
      <w:r w:rsidR="008327A6">
        <w:rPr>
          <w:rFonts w:cstheme="minorHAnsi"/>
        </w:rPr>
        <w:t>(</w:t>
      </w:r>
      <w:r w:rsidR="00193ADA">
        <w:rPr>
          <w:rFonts w:cstheme="minorHAnsi"/>
        </w:rPr>
        <w:t xml:space="preserve">1) extend the previously approved data collection and </w:t>
      </w:r>
      <w:r w:rsidR="008327A6">
        <w:rPr>
          <w:rFonts w:cstheme="minorHAnsi"/>
        </w:rPr>
        <w:t>(</w:t>
      </w:r>
      <w:r w:rsidR="00193ADA">
        <w:rPr>
          <w:rFonts w:cstheme="minorHAnsi"/>
        </w:rPr>
        <w:t xml:space="preserve">2) </w:t>
      </w:r>
      <w:r>
        <w:rPr>
          <w:rFonts w:cstheme="minorHAnsi"/>
        </w:rPr>
        <w:t xml:space="preserve">revise the previously approved </w:t>
      </w:r>
      <w:r w:rsidR="001D02CF">
        <w:rPr>
          <w:rFonts w:cstheme="minorHAnsi"/>
        </w:rPr>
        <w:t>p</w:t>
      </w:r>
      <w:r>
        <w:rPr>
          <w:rFonts w:cstheme="minorHAnsi"/>
        </w:rPr>
        <w:t xml:space="preserve">erformance </w:t>
      </w:r>
      <w:r w:rsidR="001D02CF">
        <w:rPr>
          <w:rFonts w:cstheme="minorHAnsi"/>
        </w:rPr>
        <w:t>r</w:t>
      </w:r>
      <w:r>
        <w:rPr>
          <w:rFonts w:cstheme="minorHAnsi"/>
        </w:rPr>
        <w:t xml:space="preserve">eporting </w:t>
      </w:r>
      <w:r w:rsidR="001D02CF">
        <w:rPr>
          <w:rFonts w:cstheme="minorHAnsi"/>
        </w:rPr>
        <w:t>s</w:t>
      </w:r>
      <w:r>
        <w:rPr>
          <w:rFonts w:cstheme="minorHAnsi"/>
        </w:rPr>
        <w:t>ystem</w:t>
      </w:r>
      <w:r w:rsidRPr="00DF75C2" w:rsidR="00DF75C2">
        <w:rPr>
          <w:rFonts w:cstheme="minorHAnsi"/>
        </w:rPr>
        <w:t xml:space="preserve"> </w:t>
      </w:r>
      <w:r w:rsidR="001D02CF">
        <w:rPr>
          <w:rFonts w:cstheme="minorHAnsi"/>
        </w:rPr>
        <w:t>d</w:t>
      </w:r>
      <w:r w:rsidR="00DF75C2">
        <w:rPr>
          <w:rFonts w:cstheme="minorHAnsi"/>
        </w:rPr>
        <w:t>ata</w:t>
      </w:r>
      <w:r>
        <w:rPr>
          <w:rFonts w:cstheme="minorHAnsi"/>
        </w:rPr>
        <w:t xml:space="preserve"> forms (Instrument</w:t>
      </w:r>
      <w:r w:rsidR="00F84B20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575552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575552">
        <w:rPr>
          <w:rFonts w:cstheme="minorHAnsi"/>
        </w:rPr>
        <w:t xml:space="preserve">and </w:t>
      </w:r>
      <w:r>
        <w:rPr>
          <w:rFonts w:cstheme="minorHAnsi"/>
        </w:rPr>
        <w:t xml:space="preserve">4) </w:t>
      </w:r>
      <w:r w:rsidR="00984341">
        <w:rPr>
          <w:rFonts w:cstheme="minorHAnsi"/>
        </w:rPr>
        <w:t>to</w:t>
      </w:r>
      <w:r>
        <w:rPr>
          <w:rFonts w:cstheme="minorHAnsi"/>
        </w:rPr>
        <w:t xml:space="preserve"> </w:t>
      </w:r>
      <w:r w:rsidR="00DF75C2">
        <w:t xml:space="preserve">no longer require grantees to </w:t>
      </w:r>
      <w:r w:rsidR="00DF75C2">
        <w:rPr>
          <w:rFonts w:cstheme="minorHAnsi"/>
          <w:bCs/>
          <w:iCs/>
        </w:rPr>
        <w:t>aggregate</w:t>
      </w:r>
      <w:r w:rsidR="00DF75C2">
        <w:rPr>
          <w:rFonts w:cstheme="minorHAnsi"/>
          <w:lang w:eastAsia="ja-JP"/>
        </w:rPr>
        <w:t xml:space="preserve"> </w:t>
      </w:r>
      <w:r w:rsidR="00DF75C2">
        <w:rPr>
          <w:rFonts w:cstheme="minorHAnsi"/>
          <w:bCs/>
          <w:iCs/>
        </w:rPr>
        <w:t>participant survey data</w:t>
      </w:r>
      <w:r w:rsidR="00DF75C2">
        <w:rPr>
          <w:rFonts w:cstheme="minorHAnsi"/>
          <w:lang w:eastAsia="ja-JP"/>
        </w:rPr>
        <w:t xml:space="preserve"> </w:t>
      </w:r>
      <w:r w:rsidR="00DF75C2">
        <w:rPr>
          <w:rFonts w:cstheme="minorHAnsi"/>
          <w:bCs/>
          <w:iCs/>
        </w:rPr>
        <w:t>to the program level for</w:t>
      </w:r>
      <w:r w:rsidR="00DF75C2">
        <w:rPr>
          <w:rFonts w:cstheme="minorHAnsi"/>
          <w:lang w:eastAsia="ja-JP"/>
        </w:rPr>
        <w:t xml:space="preserve"> submission</w:t>
      </w:r>
      <w:r w:rsidR="009C516F">
        <w:rPr>
          <w:rFonts w:cstheme="minorHAnsi"/>
          <w:lang w:eastAsia="ja-JP"/>
        </w:rPr>
        <w:t xml:space="preserve"> as of</w:t>
      </w:r>
      <w:r w:rsidR="0019734D">
        <w:rPr>
          <w:rFonts w:cstheme="minorHAnsi"/>
        </w:rPr>
        <w:t xml:space="preserve"> survey data collected </w:t>
      </w:r>
      <w:r w:rsidR="0074641A">
        <w:rPr>
          <w:rFonts w:cstheme="minorHAnsi"/>
        </w:rPr>
        <w:t>in 2023</w:t>
      </w:r>
      <w:r w:rsidR="009C516F">
        <w:rPr>
          <w:rFonts w:cstheme="minorHAnsi"/>
        </w:rPr>
        <w:t>–</w:t>
      </w:r>
      <w:r w:rsidR="0074641A">
        <w:rPr>
          <w:rFonts w:cstheme="minorHAnsi"/>
        </w:rPr>
        <w:t>2024</w:t>
      </w:r>
      <w:r>
        <w:rPr>
          <w:rFonts w:cstheme="minorHAnsi"/>
        </w:rPr>
        <w:t>.</w:t>
      </w:r>
      <w:r w:rsidR="00F57BB2">
        <w:rPr>
          <w:rFonts w:cstheme="minorHAnsi"/>
        </w:rPr>
        <w:t xml:space="preserve"> For data collected in 2022-2023, grantees and subrecipients will continue to report aggregate data using the current data reporting system (Instruments 3a and 4a). For data collected in 2023-2024 and beyond, grantees and subrecipients will use the revised data reporting system (Instruments 3b and 4b) </w:t>
      </w:r>
      <w:r w:rsidR="00F9035E">
        <w:rPr>
          <w:rFonts w:cstheme="minorHAnsi"/>
        </w:rPr>
        <w:t>and</w:t>
      </w:r>
      <w:r w:rsidR="00F57BB2">
        <w:rPr>
          <w:rFonts w:cstheme="minorHAnsi"/>
        </w:rPr>
        <w:t xml:space="preserve"> report respondent level data from Instruments 1 and 2.</w:t>
      </w:r>
      <w:r w:rsidRPr="004C4B1C" w:rsidR="004C4B1C">
        <w:t xml:space="preserve"> </w:t>
      </w:r>
      <w:r w:rsidR="004C4B1C">
        <w:t xml:space="preserve">These instruments were developed based on </w:t>
      </w:r>
      <w:r w:rsidR="00480340">
        <w:t xml:space="preserve">(1) </w:t>
      </w:r>
      <w:r w:rsidR="004C4B1C">
        <w:t xml:space="preserve">the previous versions and </w:t>
      </w:r>
      <w:r w:rsidR="00480340">
        <w:t xml:space="preserve">(2) </w:t>
      </w:r>
      <w:r w:rsidR="004C4B1C">
        <w:t xml:space="preserve">our experience </w:t>
      </w:r>
      <w:r w:rsidR="00480340">
        <w:t>with individual-level submission of similar participant survey data as a component of the performance measures for another ACF program</w:t>
      </w:r>
      <w:r w:rsidR="00A06D75">
        <w:t>.</w:t>
      </w:r>
      <w:r>
        <w:rPr>
          <w:rStyle w:val="FootnoteReference"/>
        </w:rPr>
        <w:footnoteReference w:id="2"/>
      </w:r>
      <w:r w:rsidR="00480340">
        <w:t xml:space="preserve"> </w:t>
      </w:r>
      <w:r w:rsidR="00F57BB2">
        <w:rPr>
          <w:rFonts w:cstheme="minorHAnsi"/>
        </w:rPr>
        <w:t xml:space="preserve"> </w:t>
      </w:r>
    </w:p>
    <w:p w:rsidR="00A42C71" w:rsidRPr="00EF1921" w:rsidP="00EF1921" w14:paraId="07375F14" w14:textId="6D0F282B">
      <w:pPr>
        <w:spacing w:after="240" w:line="240" w:lineRule="auto"/>
        <w:ind w:firstLine="446"/>
        <w:rPr>
          <w:rFonts w:eastAsia="Times New Roman" w:cstheme="minorHAnsi"/>
          <w:color w:val="000000"/>
          <w:szCs w:val="24"/>
        </w:rPr>
      </w:pPr>
      <w:r w:rsidRPr="00B5726A">
        <w:rPr>
          <w:rFonts w:cstheme="minorHAnsi"/>
        </w:rPr>
        <w:t>Each of the four data collection instrument</w:t>
      </w:r>
      <w:r w:rsidRPr="00B5726A" w:rsidR="00F128FC">
        <w:rPr>
          <w:rFonts w:cstheme="minorHAnsi"/>
        </w:rPr>
        <w:t>s</w:t>
      </w:r>
      <w:r w:rsidRPr="00B5726A">
        <w:rPr>
          <w:rFonts w:cstheme="minorHAnsi"/>
        </w:rPr>
        <w:t xml:space="preserve"> address</w:t>
      </w:r>
      <w:r w:rsidR="009C516F">
        <w:rPr>
          <w:rFonts w:cstheme="minorHAnsi"/>
        </w:rPr>
        <w:t>es</w:t>
      </w:r>
      <w:r w:rsidRPr="00B5726A">
        <w:rPr>
          <w:rFonts w:cstheme="minorHAnsi"/>
        </w:rPr>
        <w:t xml:space="preserve"> each of the study’s objectives described in Section B1 above. Instruments 1 and 2 capture information on the characteristics of the youth participating in the program a</w:t>
      </w:r>
      <w:r>
        <w:rPr>
          <w:rFonts w:eastAsia="Times New Roman" w:cstheme="minorHAnsi"/>
          <w:color w:val="000000"/>
          <w:szCs w:val="24"/>
        </w:rPr>
        <w:t xml:space="preserve">nd their perceptions of program effects, and Instruments 3 and 4 capture information on </w:t>
      </w:r>
      <w:r>
        <w:rPr>
          <w:rFonts w:eastAsia="Times New Roman" w:cstheme="minorHAnsi"/>
          <w:color w:val="000000"/>
          <w:szCs w:val="24"/>
        </w:rPr>
        <w:t>grantees’</w:t>
      </w:r>
      <w:r>
        <w:rPr>
          <w:rFonts w:eastAsia="Times New Roman" w:cstheme="minorHAnsi"/>
          <w:color w:val="000000"/>
          <w:szCs w:val="24"/>
        </w:rPr>
        <w:t xml:space="preserve"> and </w:t>
      </w:r>
      <w:r w:rsidR="005E4288">
        <w:rPr>
          <w:rFonts w:eastAsia="Times New Roman" w:cstheme="minorHAnsi"/>
          <w:color w:val="000000"/>
          <w:szCs w:val="24"/>
        </w:rPr>
        <w:t>subrecipient</w:t>
      </w:r>
      <w:r>
        <w:rPr>
          <w:rFonts w:eastAsia="Times New Roman" w:cstheme="minorHAnsi"/>
          <w:color w:val="000000"/>
          <w:szCs w:val="24"/>
        </w:rPr>
        <w:t xml:space="preserve">s’ implementation of </w:t>
      </w:r>
      <w:r w:rsidR="00C93548">
        <w:rPr>
          <w:rFonts w:eastAsia="Times New Roman" w:cstheme="minorHAnsi"/>
          <w:color w:val="000000"/>
          <w:szCs w:val="24"/>
        </w:rPr>
        <w:t xml:space="preserve">PREP </w:t>
      </w:r>
      <w:r>
        <w:rPr>
          <w:rFonts w:eastAsia="Times New Roman" w:cstheme="minorHAnsi"/>
          <w:color w:val="000000"/>
          <w:szCs w:val="24"/>
        </w:rPr>
        <w:t xml:space="preserve">programs. Both types of data will </w:t>
      </w:r>
      <w:r w:rsidR="0072287F">
        <w:rPr>
          <w:rFonts w:eastAsia="Times New Roman" w:cstheme="minorHAnsi"/>
          <w:color w:val="000000"/>
          <w:szCs w:val="24"/>
        </w:rPr>
        <w:t xml:space="preserve">continue to </w:t>
      </w:r>
      <w:r>
        <w:rPr>
          <w:rFonts w:eastAsia="Times New Roman" w:cstheme="minorHAnsi"/>
          <w:color w:val="000000"/>
          <w:szCs w:val="24"/>
        </w:rPr>
        <w:t xml:space="preserve">be used to </w:t>
      </w:r>
      <w:r w:rsidRPr="00E72F0D">
        <w:rPr>
          <w:rFonts w:eastAsia="Times New Roman" w:cstheme="minorHAnsi"/>
          <w:color w:val="000000"/>
          <w:szCs w:val="24"/>
        </w:rPr>
        <w:t xml:space="preserve">monitor </w:t>
      </w:r>
      <w:r>
        <w:rPr>
          <w:rFonts w:eastAsia="Times New Roman" w:cstheme="minorHAnsi"/>
          <w:color w:val="000000"/>
          <w:szCs w:val="24"/>
        </w:rPr>
        <w:t>program</w:t>
      </w:r>
      <w:r w:rsidRPr="00E72F0D">
        <w:rPr>
          <w:rFonts w:eastAsia="Times New Roman" w:cstheme="minorHAnsi"/>
          <w:color w:val="000000"/>
          <w:szCs w:val="24"/>
        </w:rPr>
        <w:t xml:space="preserve"> implementation</w:t>
      </w:r>
      <w:r>
        <w:rPr>
          <w:rFonts w:eastAsia="Times New Roman" w:cstheme="minorHAnsi"/>
          <w:color w:val="000000"/>
          <w:szCs w:val="24"/>
        </w:rPr>
        <w:t xml:space="preserve"> and outcomes, </w:t>
      </w:r>
      <w:r w:rsidR="00895EB9">
        <w:rPr>
          <w:rFonts w:eastAsia="Times New Roman" w:cstheme="minorHAnsi"/>
          <w:color w:val="000000"/>
          <w:szCs w:val="24"/>
        </w:rPr>
        <w:t>guide</w:t>
      </w:r>
      <w:r>
        <w:rPr>
          <w:rFonts w:eastAsia="Times New Roman" w:cstheme="minorHAnsi"/>
          <w:color w:val="000000"/>
          <w:szCs w:val="24"/>
        </w:rPr>
        <w:t xml:space="preserve"> program improvement, and provide status and progress updates.</w:t>
      </w:r>
    </w:p>
    <w:p w:rsidR="00A42C71" w:rsidRPr="001A59B6" w:rsidP="00F57BB2" w14:paraId="3E0643E6" w14:textId="285BD116">
      <w:pPr>
        <w:spacing w:before="240"/>
        <w:outlineLvl w:val="0"/>
        <w:rPr>
          <w:rFonts w:eastAsia="Times New Roman" w:cstheme="minorHAnsi"/>
          <w:color w:val="000000"/>
        </w:rPr>
      </w:pPr>
      <w:r w:rsidRPr="001A59B6">
        <w:rPr>
          <w:rFonts w:eastAsia="Times New Roman" w:cstheme="minorHAnsi"/>
          <w:b/>
          <w:bCs/>
          <w:color w:val="000000"/>
        </w:rPr>
        <w:t xml:space="preserve">B4. </w:t>
      </w:r>
      <w:r w:rsidRPr="001A59B6">
        <w:rPr>
          <w:rFonts w:eastAsia="Times New Roman" w:cstheme="minorHAnsi"/>
          <w:b/>
          <w:bCs/>
          <w:color w:val="000000"/>
        </w:rPr>
        <w:tab/>
        <w:t>Collection of Data and Quality Control</w:t>
      </w:r>
    </w:p>
    <w:p w:rsidR="00C05985" w:rsidP="00C05985" w14:paraId="2E2F9B51" w14:textId="308ADF2C">
      <w:pPr>
        <w:spacing w:after="240" w:line="240" w:lineRule="auto"/>
        <w:ind w:firstLine="446"/>
        <w:rPr>
          <w:rFonts w:cstheme="minorHAnsi"/>
        </w:rPr>
      </w:pPr>
      <w:r w:rsidRPr="00E124CB">
        <w:rPr>
          <w:rFonts w:cstheme="minorHAnsi"/>
          <w:b/>
          <w:iCs/>
        </w:rPr>
        <w:t>Instruments 1</w:t>
      </w:r>
      <w:r w:rsidR="00AF4752">
        <w:rPr>
          <w:rFonts w:cstheme="minorHAnsi"/>
          <w:b/>
          <w:iCs/>
        </w:rPr>
        <w:t>–</w:t>
      </w:r>
      <w:r w:rsidRPr="00E124CB">
        <w:rPr>
          <w:rFonts w:cstheme="minorHAnsi"/>
          <w:b/>
          <w:iCs/>
        </w:rPr>
        <w:t xml:space="preserve">2: Participant </w:t>
      </w:r>
      <w:r w:rsidR="00AC4E7F">
        <w:rPr>
          <w:rFonts w:cstheme="minorHAnsi"/>
          <w:b/>
          <w:iCs/>
        </w:rPr>
        <w:t>e</w:t>
      </w:r>
      <w:r w:rsidRPr="00E124CB">
        <w:rPr>
          <w:rFonts w:cstheme="minorHAnsi"/>
          <w:b/>
          <w:iCs/>
        </w:rPr>
        <w:t xml:space="preserve">ntry and </w:t>
      </w:r>
      <w:r w:rsidR="00AC4E7F">
        <w:rPr>
          <w:rFonts w:cstheme="minorHAnsi"/>
          <w:b/>
          <w:iCs/>
        </w:rPr>
        <w:t>e</w:t>
      </w:r>
      <w:r w:rsidRPr="00E124CB">
        <w:rPr>
          <w:rFonts w:cstheme="minorHAnsi"/>
          <w:b/>
          <w:iCs/>
        </w:rPr>
        <w:t xml:space="preserve">xit </w:t>
      </w:r>
      <w:r w:rsidR="00AC4E7F">
        <w:rPr>
          <w:rFonts w:cstheme="minorHAnsi"/>
          <w:b/>
          <w:iCs/>
        </w:rPr>
        <w:t>s</w:t>
      </w:r>
      <w:r w:rsidRPr="00E124CB">
        <w:rPr>
          <w:rFonts w:cstheme="minorHAnsi"/>
          <w:b/>
          <w:iCs/>
        </w:rPr>
        <w:t>urveys.</w:t>
      </w:r>
      <w:r w:rsidRPr="00E124CB">
        <w:rPr>
          <w:rFonts w:cstheme="minorHAnsi"/>
          <w:iCs/>
        </w:rPr>
        <w:t xml:space="preserve"> </w:t>
      </w:r>
      <w:r w:rsidRPr="00575552" w:rsidR="0067252F">
        <w:rPr>
          <w:rFonts w:cstheme="minorHAnsi"/>
          <w:iCs/>
        </w:rPr>
        <w:t xml:space="preserve">As in earlier rounds of PREP performance measures data collection, </w:t>
      </w:r>
      <w:r w:rsidR="0067252F">
        <w:rPr>
          <w:rFonts w:cstheme="minorHAnsi"/>
          <w:iCs/>
        </w:rPr>
        <w:t>e</w:t>
      </w:r>
      <w:r w:rsidRPr="00E124CB">
        <w:rPr>
          <w:rFonts w:cstheme="minorHAnsi"/>
          <w:iCs/>
        </w:rPr>
        <w:t xml:space="preserve">ach grantee and </w:t>
      </w:r>
      <w:r w:rsidR="00AF4752">
        <w:rPr>
          <w:rFonts w:cstheme="minorHAnsi"/>
          <w:iCs/>
        </w:rPr>
        <w:t>its</w:t>
      </w:r>
      <w:r w:rsidRPr="00E124CB">
        <w:rPr>
          <w:rFonts w:cstheme="minorHAnsi"/>
          <w:iCs/>
        </w:rPr>
        <w:t xml:space="preserve"> </w:t>
      </w:r>
      <w:r w:rsidR="005E4288">
        <w:rPr>
          <w:rFonts w:cstheme="minorHAnsi"/>
          <w:iCs/>
        </w:rPr>
        <w:t>subrecipient</w:t>
      </w:r>
      <w:r w:rsidRPr="00E124CB">
        <w:rPr>
          <w:rFonts w:cstheme="minorHAnsi"/>
          <w:iCs/>
        </w:rPr>
        <w:t xml:space="preserve">s will make decisions regarding procedures for collecting the participant entry and exit surveys. Some grantees have elected to work with local evaluators that administer the surveys for performance measures purposes; the local evaluators could decide to use paper-and-pencil or web-based surveys. </w:t>
      </w:r>
      <w:bookmarkStart w:id="4" w:name="_Hlk121310870"/>
      <w:r w:rsidRPr="00E124CB">
        <w:rPr>
          <w:rFonts w:cstheme="minorHAnsi"/>
          <w:iCs/>
        </w:rPr>
        <w:t xml:space="preserve">For grantees not working with local evaluators, </w:t>
      </w:r>
      <w:r w:rsidR="007E1747">
        <w:rPr>
          <w:rFonts w:cstheme="minorHAnsi"/>
          <w:iCs/>
        </w:rPr>
        <w:t>most</w:t>
      </w:r>
      <w:r w:rsidRPr="00E124CB">
        <w:rPr>
          <w:rFonts w:cstheme="minorHAnsi"/>
          <w:iCs/>
        </w:rPr>
        <w:t xml:space="preserve"> </w:t>
      </w:r>
      <w:r w:rsidRPr="004F7CFF" w:rsidR="00455A25">
        <w:rPr>
          <w:rFonts w:eastAsia="Times New Roman" w:cstheme="minorHAnsi"/>
          <w:color w:val="000000"/>
        </w:rPr>
        <w:t>subrecipient</w:t>
      </w:r>
      <w:r w:rsidRPr="004F7CFF">
        <w:rPr>
          <w:rFonts w:eastAsia="Times New Roman" w:cstheme="minorHAnsi"/>
          <w:color w:val="000000"/>
        </w:rPr>
        <w:t>s’</w:t>
      </w:r>
      <w:r w:rsidRPr="00E124CB">
        <w:rPr>
          <w:rFonts w:cstheme="minorHAnsi"/>
        </w:rPr>
        <w:t xml:space="preserve"> program facilitators administer the entry and exit surveys</w:t>
      </w:r>
      <w:r w:rsidRPr="00EF1921" w:rsidR="00EF1921">
        <w:rPr>
          <w:rFonts w:cstheme="minorHAnsi"/>
        </w:rPr>
        <w:t xml:space="preserve"> </w:t>
      </w:r>
      <w:r w:rsidR="00EF1921">
        <w:rPr>
          <w:rFonts w:cstheme="minorHAnsi"/>
        </w:rPr>
        <w:t>with paper and pencil</w:t>
      </w:r>
      <w:r w:rsidRPr="00D10FA6" w:rsidR="00D10FA6">
        <w:rPr>
          <w:rFonts w:cstheme="minorHAnsi"/>
        </w:rPr>
        <w:t xml:space="preserve"> </w:t>
      </w:r>
      <w:r w:rsidRPr="00E124CB" w:rsidR="00D10FA6">
        <w:rPr>
          <w:rFonts w:cstheme="minorHAnsi"/>
        </w:rPr>
        <w:t>in group or individual settings</w:t>
      </w:r>
      <w:r w:rsidR="007E1747">
        <w:rPr>
          <w:rFonts w:cstheme="minorHAnsi"/>
        </w:rPr>
        <w:t xml:space="preserve">, with a </w:t>
      </w:r>
      <w:r w:rsidR="00D10FA6">
        <w:rPr>
          <w:rFonts w:cstheme="minorHAnsi"/>
        </w:rPr>
        <w:t xml:space="preserve">slightly </w:t>
      </w:r>
      <w:r w:rsidR="007E1747">
        <w:rPr>
          <w:rFonts w:cstheme="minorHAnsi"/>
        </w:rPr>
        <w:t>smaller percentage administering</w:t>
      </w:r>
      <w:r w:rsidR="00CE0F46">
        <w:rPr>
          <w:rFonts w:cstheme="minorHAnsi"/>
        </w:rPr>
        <w:t xml:space="preserve"> the surveys </w:t>
      </w:r>
      <w:r w:rsidR="00EF1921">
        <w:rPr>
          <w:rFonts w:cstheme="minorHAnsi"/>
        </w:rPr>
        <w:t>by web</w:t>
      </w:r>
      <w:r w:rsidRPr="00E124CB">
        <w:rPr>
          <w:rFonts w:cstheme="minorHAnsi"/>
        </w:rPr>
        <w:t>.</w:t>
      </w:r>
      <w:r>
        <w:rPr>
          <w:rStyle w:val="FootnoteReference"/>
          <w:rFonts w:cstheme="minorHAnsi"/>
        </w:rPr>
        <w:footnoteReference w:id="3"/>
      </w:r>
      <w:r w:rsidRPr="00E124CB">
        <w:rPr>
          <w:rFonts w:cstheme="minorHAnsi"/>
        </w:rPr>
        <w:t xml:space="preserve"> </w:t>
      </w:r>
      <w:bookmarkEnd w:id="4"/>
      <w:r w:rsidRPr="00E124CB">
        <w:rPr>
          <w:rFonts w:cstheme="minorHAnsi"/>
        </w:rPr>
        <w:t>Grantees inform their</w:t>
      </w:r>
      <w:r w:rsidRPr="00E124CB">
        <w:rPr>
          <w:rFonts w:cstheme="minorHAnsi"/>
          <w:color w:val="FF0000"/>
        </w:rPr>
        <w:t xml:space="preserve"> </w:t>
      </w:r>
      <w:r w:rsidRPr="00E124CB">
        <w:rPr>
          <w:rFonts w:cstheme="minorHAnsi"/>
        </w:rPr>
        <w:t xml:space="preserve">individual program participants that participation is voluntary and that they may refuse to answer any or </w:t>
      </w:r>
      <w:r w:rsidRPr="00E124CB">
        <w:rPr>
          <w:rFonts w:cstheme="minorHAnsi"/>
        </w:rPr>
        <w:t>all of</w:t>
      </w:r>
      <w:r w:rsidRPr="00E124CB">
        <w:rPr>
          <w:rFonts w:cstheme="minorHAnsi"/>
        </w:rPr>
        <w:t xml:space="preserve"> the questions in the entry and exit </w:t>
      </w:r>
      <w:r w:rsidR="0006092F">
        <w:rPr>
          <w:rFonts w:cstheme="minorHAnsi"/>
        </w:rPr>
        <w:t>surveys</w:t>
      </w:r>
      <w:r w:rsidRPr="00E124CB">
        <w:rPr>
          <w:rFonts w:cstheme="minorHAnsi"/>
        </w:rPr>
        <w:t xml:space="preserve">. </w:t>
      </w:r>
    </w:p>
    <w:p w:rsidR="005248F4" w:rsidP="004F7CFF" w14:paraId="1DB4820B" w14:textId="7F571D64">
      <w:pPr>
        <w:spacing w:after="240" w:line="240" w:lineRule="auto"/>
        <w:ind w:firstLine="446"/>
        <w:rPr>
          <w:rFonts w:cstheme="minorHAnsi"/>
        </w:rPr>
      </w:pPr>
      <w:r w:rsidRPr="00E124CB">
        <w:rPr>
          <w:rFonts w:cstheme="minorHAnsi"/>
          <w:b/>
        </w:rPr>
        <w:t>Instruments 3</w:t>
      </w:r>
      <w:r w:rsidR="00CE0F46">
        <w:rPr>
          <w:rFonts w:cstheme="minorHAnsi"/>
          <w:b/>
        </w:rPr>
        <w:t>–</w:t>
      </w:r>
      <w:r w:rsidRPr="00E124CB">
        <w:rPr>
          <w:rFonts w:cstheme="minorHAnsi"/>
          <w:b/>
        </w:rPr>
        <w:t xml:space="preserve">4: Performance Reporting System Data Entry Form and </w:t>
      </w:r>
      <w:r w:rsidR="00455A25">
        <w:rPr>
          <w:rFonts w:cstheme="minorHAnsi"/>
          <w:b/>
        </w:rPr>
        <w:t>Subrecipient</w:t>
      </w:r>
      <w:r w:rsidRPr="00E124CB">
        <w:rPr>
          <w:rFonts w:cstheme="minorHAnsi"/>
          <w:b/>
        </w:rPr>
        <w:t xml:space="preserve"> Data Collection and Reporting Form.</w:t>
      </w:r>
      <w:r w:rsidRPr="00E124CB">
        <w:rPr>
          <w:rFonts w:cstheme="minorHAnsi"/>
        </w:rPr>
        <w:t xml:space="preserve"> Grantees will report </w:t>
      </w:r>
      <w:r w:rsidR="00CA0111">
        <w:rPr>
          <w:rFonts w:cstheme="minorHAnsi"/>
        </w:rPr>
        <w:t>individually</w:t>
      </w:r>
      <w:r w:rsidRPr="00E124CB">
        <w:rPr>
          <w:rFonts w:cstheme="minorHAnsi"/>
        </w:rPr>
        <w:t xml:space="preserve"> on levels of participant attendance, reach</w:t>
      </w:r>
      <w:r w:rsidR="00CE0F46">
        <w:rPr>
          <w:rFonts w:cstheme="minorHAnsi"/>
        </w:rPr>
        <w:t>,</w:t>
      </w:r>
      <w:r w:rsidRPr="00E124CB">
        <w:rPr>
          <w:rFonts w:cstheme="minorHAnsi"/>
        </w:rPr>
        <w:t xml:space="preserve"> and dosage</w:t>
      </w:r>
      <w:r w:rsidR="00385875">
        <w:rPr>
          <w:rFonts w:cstheme="minorHAnsi"/>
        </w:rPr>
        <w:t xml:space="preserve"> (Instrument 3 and 4)</w:t>
      </w:r>
      <w:r w:rsidRPr="00E124CB">
        <w:rPr>
          <w:rFonts w:cstheme="minorHAnsi"/>
        </w:rPr>
        <w:t xml:space="preserve">. </w:t>
      </w:r>
      <w:r w:rsidR="001A158A">
        <w:rPr>
          <w:rFonts w:cstheme="minorHAnsi"/>
        </w:rPr>
        <w:t>Providers, which could be grantees or subrecipients,</w:t>
      </w:r>
      <w:r w:rsidR="00DA6946">
        <w:rPr>
          <w:rFonts w:cstheme="minorHAnsi"/>
        </w:rPr>
        <w:t xml:space="preserve"> will continue to collect d</w:t>
      </w:r>
      <w:r w:rsidRPr="00E124CB">
        <w:rPr>
          <w:rFonts w:cstheme="minorHAnsi"/>
        </w:rPr>
        <w:t>ata on these measures</w:t>
      </w:r>
      <w:r w:rsidR="00385875">
        <w:rPr>
          <w:rFonts w:cstheme="minorHAnsi"/>
        </w:rPr>
        <w:t xml:space="preserve"> (Instruments 3 and 4)</w:t>
      </w:r>
      <w:r w:rsidRPr="00E124CB">
        <w:rPr>
          <w:rFonts w:cstheme="minorHAnsi"/>
        </w:rPr>
        <w:t xml:space="preserve">. </w:t>
      </w:r>
      <w:r w:rsidR="004507FB">
        <w:rPr>
          <w:rFonts w:cstheme="minorHAnsi"/>
        </w:rPr>
        <w:t>Grantees and subrecipients, through their administrators, will continue to collect a</w:t>
      </w:r>
      <w:r w:rsidRPr="00E124CB">
        <w:rPr>
          <w:rFonts w:cstheme="minorHAnsi"/>
        </w:rPr>
        <w:t xml:space="preserve">dministrative data on program features and structure, allocation of funds, and staff perceptions of quality challenges. </w:t>
      </w:r>
      <w:r w:rsidRPr="00E124CB">
        <w:rPr>
          <w:rFonts w:cstheme="minorHAnsi"/>
          <w:bCs/>
          <w:color w:val="000000"/>
        </w:rPr>
        <w:t>Grantees will p</w:t>
      </w:r>
      <w:r w:rsidRPr="00E124CB">
        <w:rPr>
          <w:rFonts w:cstheme="minorHAnsi"/>
        </w:rPr>
        <w:t xml:space="preserve">repare and submit their final data sets to ACF through </w:t>
      </w:r>
      <w:r w:rsidRPr="007E30D0">
        <w:rPr>
          <w:rFonts w:cstheme="minorHAnsi"/>
        </w:rPr>
        <w:t xml:space="preserve">the </w:t>
      </w:r>
      <w:r w:rsidRPr="00D72884" w:rsidR="005D1678">
        <w:rPr>
          <w:rFonts w:cstheme="minorHAnsi"/>
        </w:rPr>
        <w:t>web-based data submission portal</w:t>
      </w:r>
      <w:r w:rsidRPr="00E124CB">
        <w:rPr>
          <w:rFonts w:cstheme="minorHAnsi"/>
        </w:rPr>
        <w:t xml:space="preserve">. The Performance Reporting System Data Entry Form (Instrument 3) contains the list of all </w:t>
      </w:r>
      <w:r w:rsidR="007E1747">
        <w:rPr>
          <w:rFonts w:cstheme="minorHAnsi"/>
        </w:rPr>
        <w:t>non</w:t>
      </w:r>
      <w:r w:rsidR="00385875">
        <w:rPr>
          <w:rFonts w:cstheme="minorHAnsi"/>
        </w:rPr>
        <w:t>-</w:t>
      </w:r>
      <w:r w:rsidR="007E1747">
        <w:rPr>
          <w:rFonts w:cstheme="minorHAnsi"/>
        </w:rPr>
        <w:t xml:space="preserve">survey </w:t>
      </w:r>
      <w:r w:rsidRPr="00E124CB">
        <w:rPr>
          <w:rFonts w:cstheme="minorHAnsi"/>
        </w:rPr>
        <w:t>data elements</w:t>
      </w:r>
      <w:r w:rsidR="0043079D">
        <w:rPr>
          <w:rFonts w:cstheme="minorHAnsi"/>
        </w:rPr>
        <w:t xml:space="preserve"> that</w:t>
      </w:r>
      <w:r w:rsidRPr="00E124CB">
        <w:rPr>
          <w:rFonts w:cstheme="minorHAnsi"/>
        </w:rPr>
        <w:t xml:space="preserve"> grantees will report, </w:t>
      </w:r>
      <w:r w:rsidR="00CF583B">
        <w:rPr>
          <w:rFonts w:cstheme="minorHAnsi"/>
        </w:rPr>
        <w:t xml:space="preserve">including those </w:t>
      </w:r>
      <w:r w:rsidRPr="00E124CB">
        <w:rPr>
          <w:rFonts w:cstheme="minorHAnsi"/>
        </w:rPr>
        <w:t xml:space="preserve">collected from among their </w:t>
      </w:r>
      <w:r w:rsidR="005E4288">
        <w:rPr>
          <w:rFonts w:cstheme="minorHAnsi"/>
        </w:rPr>
        <w:t>subrecipient</w:t>
      </w:r>
      <w:r w:rsidRPr="00E124CB">
        <w:rPr>
          <w:rFonts w:cstheme="minorHAnsi"/>
        </w:rPr>
        <w:t>s.</w:t>
      </w:r>
      <w:r w:rsidR="00181CF0">
        <w:rPr>
          <w:rFonts w:cstheme="minorHAnsi"/>
        </w:rPr>
        <w:t xml:space="preserve"> Data elements included in Instruments 3a and 4a will be used to report data collected through 2022-2023. Instruments 3b and 4b contain the list of data elements grantees and subrecipients will report in subsequent years, starting with 2023-2024.</w:t>
      </w:r>
    </w:p>
    <w:p w:rsidR="005248F4" w:rsidP="004F7CFF" w14:paraId="30ED9BB7" w14:textId="5D1C5B54">
      <w:pPr>
        <w:spacing w:after="240" w:line="240" w:lineRule="auto"/>
        <w:ind w:firstLine="446"/>
        <w:rPr>
          <w:rFonts w:cs="Calibri"/>
        </w:rPr>
      </w:pPr>
      <w:r w:rsidRPr="0086484F">
        <w:rPr>
          <w:rFonts w:cs="Calibri"/>
        </w:rPr>
        <w:t xml:space="preserve">The timing of participant survey data collections will be customized for each site depending on the start and end dates of each cohort of participants. </w:t>
      </w:r>
      <w:r w:rsidR="00CF583B">
        <w:rPr>
          <w:rFonts w:cs="Calibri"/>
        </w:rPr>
        <w:t>P</w:t>
      </w:r>
      <w:r>
        <w:rPr>
          <w:rFonts w:cs="Calibri"/>
        </w:rPr>
        <w:t>erformance measure</w:t>
      </w:r>
      <w:r w:rsidR="00CF583B">
        <w:rPr>
          <w:rFonts w:cs="Calibri"/>
        </w:rPr>
        <w:t>s</w:t>
      </w:r>
      <w:r>
        <w:rPr>
          <w:rFonts w:cs="Calibri"/>
        </w:rPr>
        <w:t xml:space="preserve"> </w:t>
      </w:r>
      <w:r w:rsidRPr="0086484F">
        <w:rPr>
          <w:rFonts w:cs="Calibri"/>
        </w:rPr>
        <w:t xml:space="preserve">data </w:t>
      </w:r>
      <w:r w:rsidRPr="00AE2040">
        <w:rPr>
          <w:rFonts w:cs="Calibri"/>
        </w:rPr>
        <w:t xml:space="preserve">will </w:t>
      </w:r>
      <w:r w:rsidR="008E0EC0">
        <w:rPr>
          <w:rFonts w:eastAsia="Times New Roman" w:cstheme="minorHAnsi"/>
          <w:iCs/>
          <w:szCs w:val="20"/>
        </w:rPr>
        <w:t xml:space="preserve">continue to </w:t>
      </w:r>
      <w:r w:rsidRPr="00AE2040">
        <w:rPr>
          <w:rFonts w:cs="Calibri"/>
        </w:rPr>
        <w:t xml:space="preserve">be </w:t>
      </w:r>
      <w:r w:rsidR="00CF583B">
        <w:rPr>
          <w:rFonts w:cs="Calibri"/>
        </w:rPr>
        <w:t>submit</w:t>
      </w:r>
      <w:r w:rsidRPr="00AE2040">
        <w:rPr>
          <w:rFonts w:cs="Calibri"/>
        </w:rPr>
        <w:t>ted</w:t>
      </w:r>
      <w:r w:rsidR="00CF583B">
        <w:rPr>
          <w:rFonts w:cs="Calibri"/>
        </w:rPr>
        <w:t xml:space="preserve"> to the portal</w:t>
      </w:r>
      <w:r w:rsidRPr="00AE2040">
        <w:rPr>
          <w:rFonts w:cs="Calibri"/>
        </w:rPr>
        <w:t xml:space="preserve"> twice a year</w:t>
      </w:r>
      <w:r w:rsidR="00CF583B">
        <w:rPr>
          <w:rFonts w:cs="Calibri"/>
        </w:rPr>
        <w:t>.</w:t>
      </w:r>
      <w:r>
        <w:rPr>
          <w:rStyle w:val="FootnoteReference"/>
          <w:rFonts w:cs="Calibri"/>
        </w:rPr>
        <w:footnoteReference w:id="4"/>
      </w:r>
      <w:r w:rsidRPr="0086484F">
        <w:rPr>
          <w:rFonts w:cs="Calibri"/>
        </w:rPr>
        <w:t xml:space="preserve"> </w:t>
      </w:r>
    </w:p>
    <w:p w:rsidR="00A42C71" w:rsidRPr="000A3692" w:rsidP="004F7CFF" w14:paraId="4D80C138" w14:textId="56C2800A">
      <w:pPr>
        <w:spacing w:after="240" w:line="240" w:lineRule="auto"/>
        <w:ind w:firstLine="446"/>
        <w:rPr>
          <w:rFonts w:eastAsia="Times New Roman" w:cstheme="minorHAnsi"/>
          <w:szCs w:val="20"/>
        </w:rPr>
      </w:pPr>
      <w:r>
        <w:rPr>
          <w:rFonts w:cstheme="minorHAnsi"/>
        </w:rPr>
        <w:t>G</w:t>
      </w:r>
      <w:r w:rsidR="008D2414">
        <w:rPr>
          <w:rFonts w:cstheme="minorHAnsi"/>
        </w:rPr>
        <w:t xml:space="preserve">rantees have been successfully collecting performance measures data </w:t>
      </w:r>
      <w:r w:rsidR="00E17EA8">
        <w:rPr>
          <w:rFonts w:cstheme="minorHAnsi"/>
        </w:rPr>
        <w:t xml:space="preserve">on an ongoing basis </w:t>
      </w:r>
      <w:r w:rsidRPr="00CA68E9" w:rsidR="00E17EA8">
        <w:rPr>
          <w:bCs/>
        </w:rPr>
        <w:t xml:space="preserve">since </w:t>
      </w:r>
      <w:r w:rsidR="00E17EA8">
        <w:rPr>
          <w:bCs/>
        </w:rPr>
        <w:t>2017 under this ICR and since 2013-2014 under a prior ICR (OMB #</w:t>
      </w:r>
      <w:r w:rsidRPr="00633A63" w:rsidR="00E17EA8">
        <w:rPr>
          <w:bCs/>
        </w:rPr>
        <w:t>0970-0398</w:t>
      </w:r>
      <w:r w:rsidR="00E17EA8">
        <w:rPr>
          <w:bCs/>
        </w:rPr>
        <w:t>)</w:t>
      </w:r>
      <w:r w:rsidR="00ED0E0F">
        <w:rPr>
          <w:rFonts w:cstheme="minorHAnsi"/>
        </w:rPr>
        <w:t>,</w:t>
      </w:r>
      <w:r w:rsidR="008D2414">
        <w:rPr>
          <w:rFonts w:cstheme="minorHAnsi"/>
        </w:rPr>
        <w:t xml:space="preserve"> and </w:t>
      </w:r>
      <w:r>
        <w:rPr>
          <w:rFonts w:cstheme="minorHAnsi"/>
        </w:rPr>
        <w:t xml:space="preserve">ACF has used </w:t>
      </w:r>
      <w:r w:rsidR="008D2414">
        <w:rPr>
          <w:rFonts w:cstheme="minorHAnsi"/>
        </w:rPr>
        <w:t xml:space="preserve">the data </w:t>
      </w:r>
      <w:r>
        <w:rPr>
          <w:rFonts w:cstheme="minorHAnsi"/>
        </w:rPr>
        <w:t>in its</w:t>
      </w:r>
      <w:r w:rsidR="008D2414">
        <w:rPr>
          <w:rFonts w:cstheme="minorHAnsi"/>
        </w:rPr>
        <w:t xml:space="preserve"> reporting and public-facing products. </w:t>
      </w:r>
      <w:r w:rsidRPr="00796B5C" w:rsidR="00C05084">
        <w:rPr>
          <w:rFonts w:eastAsia="Times New Roman" w:cstheme="minorHAnsi"/>
          <w:bCs/>
          <w:szCs w:val="20"/>
        </w:rPr>
        <w:t xml:space="preserve">ACF’s </w:t>
      </w:r>
      <w:r w:rsidRPr="004F7CFF" w:rsidR="00C05084">
        <w:t>contractor</w:t>
      </w:r>
      <w:r w:rsidRPr="00796B5C" w:rsidR="00C05084">
        <w:rPr>
          <w:rFonts w:eastAsia="Times New Roman" w:cstheme="minorHAnsi"/>
          <w:szCs w:val="20"/>
        </w:rPr>
        <w:t xml:space="preserve"> will </w:t>
      </w:r>
      <w:r w:rsidR="00C05084">
        <w:rPr>
          <w:rFonts w:eastAsia="Times New Roman" w:cstheme="minorHAnsi"/>
          <w:szCs w:val="20"/>
        </w:rPr>
        <w:t xml:space="preserve">continue to </w:t>
      </w:r>
      <w:r w:rsidRPr="00796B5C" w:rsidR="00C05084">
        <w:rPr>
          <w:rFonts w:eastAsia="Times New Roman" w:cstheme="minorHAnsi"/>
          <w:szCs w:val="20"/>
        </w:rPr>
        <w:t xml:space="preserve">provide training and technical assistance to ensure that grantees and program providers understand the measures, instruments, and data collection processes. </w:t>
      </w:r>
    </w:p>
    <w:p w:rsidR="00A42C71" w:rsidRPr="001A59B6" w:rsidP="00F57BB2" w14:paraId="040C23CA" w14:textId="77777777">
      <w:pPr>
        <w:autoSpaceDE w:val="0"/>
        <w:autoSpaceDN w:val="0"/>
        <w:adjustRightInd w:val="0"/>
        <w:spacing w:after="120" w:line="240" w:lineRule="atLeast"/>
        <w:outlineLvl w:val="0"/>
        <w:rPr>
          <w:rFonts w:eastAsia="Times New Roman" w:cstheme="minorHAnsi"/>
          <w:color w:val="000000"/>
        </w:rPr>
      </w:pPr>
      <w:r w:rsidRPr="001A59B6">
        <w:rPr>
          <w:rFonts w:eastAsia="Times New Roman" w:cstheme="minorHAnsi"/>
          <w:b/>
          <w:color w:val="000000"/>
        </w:rPr>
        <w:t>B5.</w:t>
      </w:r>
      <w:r w:rsidRPr="001A59B6">
        <w:rPr>
          <w:rFonts w:eastAsia="Times New Roman" w:cstheme="minorHAnsi"/>
          <w:b/>
          <w:color w:val="000000"/>
        </w:rPr>
        <w:tab/>
        <w:t>Response Rates and Potential Nonresponse Bias</w:t>
      </w:r>
    </w:p>
    <w:p w:rsidR="00A42C71" w:rsidRPr="001A59B6" w:rsidP="00A42C71" w14:paraId="60C5A7FD" w14:textId="6A320A7B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1A59B6">
        <w:rPr>
          <w:rFonts w:eastAsia="Times New Roman" w:cstheme="minorHAnsi"/>
          <w:i/>
          <w:color w:val="000000"/>
        </w:rPr>
        <w:t>Response Rates</w:t>
      </w:r>
    </w:p>
    <w:p w:rsidR="00D80DF3" w:rsidP="004F7CFF" w14:paraId="34140F52" w14:textId="0E368861">
      <w:pPr>
        <w:spacing w:after="240" w:line="240" w:lineRule="auto"/>
        <w:ind w:firstLine="446"/>
        <w:rPr>
          <w:rFonts w:eastAsia="Times New Roman" w:cstheme="minorHAnsi"/>
          <w:i/>
          <w:color w:val="000000"/>
        </w:rPr>
      </w:pPr>
      <w:r>
        <w:t xml:space="preserve">In </w:t>
      </w:r>
      <w:r>
        <w:t>Table B5.1</w:t>
      </w:r>
      <w:r>
        <w:t>, we</w:t>
      </w:r>
      <w:r>
        <w:t xml:space="preserve"> describe </w:t>
      </w:r>
      <w:r w:rsidRPr="004F7CFF">
        <w:rPr>
          <w:rFonts w:eastAsia="Times New Roman" w:cstheme="minorHAnsi"/>
          <w:color w:val="000000"/>
        </w:rPr>
        <w:t>the</w:t>
      </w:r>
      <w:r>
        <w:t xml:space="preserve"> respondents and expected response rates associated with the performance measures data collection.</w:t>
      </w:r>
      <w:r w:rsidR="008D2414">
        <w:t xml:space="preserve"> </w:t>
      </w:r>
    </w:p>
    <w:p w:rsidR="00947AB6" w:rsidRPr="00A34E81" w:rsidP="004F7CFF" w14:paraId="23851CFB" w14:textId="05EFF8F9">
      <w:pPr>
        <w:spacing w:after="240" w:line="240" w:lineRule="auto"/>
        <w:ind w:firstLine="446"/>
        <w:rPr>
          <w:rFonts w:cstheme="minorHAnsi"/>
        </w:rPr>
      </w:pPr>
      <w:r w:rsidRPr="00A34E81">
        <w:rPr>
          <w:rFonts w:cstheme="minorHAnsi"/>
          <w:b/>
          <w:iCs/>
        </w:rPr>
        <w:t>Instruments 1</w:t>
      </w:r>
      <w:r w:rsidR="00ED0E0F">
        <w:rPr>
          <w:rFonts w:cstheme="minorHAnsi"/>
          <w:b/>
          <w:iCs/>
        </w:rPr>
        <w:t>–</w:t>
      </w:r>
      <w:r w:rsidRPr="00A34E81">
        <w:rPr>
          <w:rFonts w:cstheme="minorHAnsi"/>
          <w:b/>
          <w:iCs/>
        </w:rPr>
        <w:t xml:space="preserve">2: Participant </w:t>
      </w:r>
      <w:r w:rsidR="00792985">
        <w:rPr>
          <w:rFonts w:cstheme="minorHAnsi"/>
          <w:b/>
          <w:iCs/>
        </w:rPr>
        <w:t>e</w:t>
      </w:r>
      <w:r w:rsidRPr="00A34E81">
        <w:rPr>
          <w:rFonts w:cstheme="minorHAnsi"/>
          <w:b/>
          <w:iCs/>
        </w:rPr>
        <w:t xml:space="preserve">ntry and </w:t>
      </w:r>
      <w:r w:rsidR="00792985">
        <w:rPr>
          <w:rFonts w:cstheme="minorHAnsi"/>
          <w:b/>
          <w:iCs/>
        </w:rPr>
        <w:t>e</w:t>
      </w:r>
      <w:r w:rsidRPr="00A34E81">
        <w:rPr>
          <w:rFonts w:cstheme="minorHAnsi"/>
          <w:b/>
          <w:iCs/>
        </w:rPr>
        <w:t xml:space="preserve">xit </w:t>
      </w:r>
      <w:r w:rsidR="00792985">
        <w:rPr>
          <w:rFonts w:cstheme="minorHAnsi"/>
          <w:b/>
          <w:iCs/>
        </w:rPr>
        <w:t>s</w:t>
      </w:r>
      <w:r w:rsidRPr="00A34E81">
        <w:rPr>
          <w:rFonts w:cstheme="minorHAnsi"/>
          <w:b/>
          <w:iCs/>
        </w:rPr>
        <w:t>urveys.</w:t>
      </w:r>
      <w:r w:rsidRPr="00A34E81">
        <w:rPr>
          <w:rFonts w:cstheme="minorHAnsi"/>
        </w:rPr>
        <w:t xml:space="preserve"> </w:t>
      </w:r>
      <w:r w:rsidRPr="00102124" w:rsidR="00D80DF3">
        <w:rPr>
          <w:rFonts w:cstheme="minorHAnsi"/>
        </w:rPr>
        <w:t xml:space="preserve">As in earlier rounds of PREP performance measures data collection, </w:t>
      </w:r>
      <w:r w:rsidRPr="00A34E81">
        <w:rPr>
          <w:rFonts w:cstheme="minorHAnsi"/>
        </w:rPr>
        <w:t>the administration of entry surveys to all participants at enrollment and</w:t>
      </w:r>
      <w:r w:rsidR="005236C8">
        <w:rPr>
          <w:rFonts w:cstheme="minorHAnsi"/>
        </w:rPr>
        <w:t xml:space="preserve"> the</w:t>
      </w:r>
      <w:r w:rsidRPr="00A34E81">
        <w:rPr>
          <w:rFonts w:cstheme="minorHAnsi"/>
        </w:rPr>
        <w:t xml:space="preserve"> administration of exit surveys during final program sessions</w:t>
      </w:r>
      <w:r w:rsidR="005236C8">
        <w:rPr>
          <w:rFonts w:cstheme="minorHAnsi"/>
        </w:rPr>
        <w:t xml:space="preserve"> will maximize</w:t>
      </w:r>
      <w:r w:rsidR="00957B70">
        <w:rPr>
          <w:rFonts w:cstheme="minorHAnsi"/>
        </w:rPr>
        <w:t xml:space="preserve"> the</w:t>
      </w:r>
      <w:r w:rsidR="005236C8">
        <w:rPr>
          <w:rFonts w:cstheme="minorHAnsi"/>
        </w:rPr>
        <w:t xml:space="preserve"> response rates for participant surveys</w:t>
      </w:r>
      <w:r w:rsidRPr="00A34E81">
        <w:rPr>
          <w:rFonts w:cstheme="minorHAnsi"/>
        </w:rPr>
        <w:t xml:space="preserve">. Where feasible, exit surveys will be administered on an individual basis to program </w:t>
      </w:r>
      <w:r w:rsidRPr="00A34E81">
        <w:rPr>
          <w:rFonts w:cstheme="minorHAnsi"/>
        </w:rPr>
        <w:t>exiters</w:t>
      </w:r>
      <w:r w:rsidRPr="00A34E81">
        <w:rPr>
          <w:rFonts w:cstheme="minorHAnsi"/>
        </w:rPr>
        <w:t xml:space="preserve"> who are absent during final sessions when the surveys are completed.</w:t>
      </w:r>
      <w:r w:rsidR="00216AED">
        <w:rPr>
          <w:rFonts w:cstheme="minorHAnsi"/>
        </w:rPr>
        <w:t xml:space="preserve"> </w:t>
      </w:r>
      <w:r w:rsidRPr="00A34E81">
        <w:rPr>
          <w:rFonts w:cstheme="minorHAnsi"/>
        </w:rPr>
        <w:t>The response rate for both surveys is expected to be 95 percent</w:t>
      </w:r>
      <w:r w:rsidRPr="00C93548">
        <w:rPr>
          <w:rFonts w:cstheme="minorHAnsi"/>
        </w:rPr>
        <w:t xml:space="preserve">. </w:t>
      </w:r>
      <w:r w:rsidR="008D2414">
        <w:rPr>
          <w:rFonts w:cstheme="minorHAnsi"/>
        </w:rPr>
        <w:t xml:space="preserve">These estimates </w:t>
      </w:r>
      <w:r w:rsidR="008C51D1">
        <w:rPr>
          <w:rFonts w:cstheme="minorHAnsi"/>
        </w:rPr>
        <w:t>reflect</w:t>
      </w:r>
      <w:r w:rsidR="009C2564">
        <w:rPr>
          <w:rFonts w:cstheme="minorHAnsi"/>
        </w:rPr>
        <w:t xml:space="preserve"> the</w:t>
      </w:r>
      <w:r w:rsidR="008D2414">
        <w:rPr>
          <w:rFonts w:cstheme="minorHAnsi"/>
        </w:rPr>
        <w:t xml:space="preserve"> experiences</w:t>
      </w:r>
      <w:r w:rsidR="009C2564">
        <w:rPr>
          <w:rFonts w:cstheme="minorHAnsi"/>
        </w:rPr>
        <w:t xml:space="preserve"> in</w:t>
      </w:r>
      <w:r w:rsidR="008D2414">
        <w:rPr>
          <w:rFonts w:cstheme="minorHAnsi"/>
        </w:rPr>
        <w:t xml:space="preserve"> administering performance measures since 2013</w:t>
      </w:r>
      <w:r w:rsidR="009C2564">
        <w:rPr>
          <w:rFonts w:cstheme="minorHAnsi"/>
        </w:rPr>
        <w:t>–</w:t>
      </w:r>
      <w:r w:rsidR="008D2414">
        <w:rPr>
          <w:rFonts w:cstheme="minorHAnsi"/>
        </w:rPr>
        <w:t xml:space="preserve">2014, with the acknowledgment that disruptions related to the COVID-19 pandemic depressed response rates in recent years. </w:t>
      </w:r>
    </w:p>
    <w:p w:rsidR="00947AB6" w:rsidP="004F7CFF" w14:paraId="4D93DCE7" w14:textId="44B9605C">
      <w:pPr>
        <w:spacing w:after="240" w:line="240" w:lineRule="auto"/>
        <w:ind w:firstLine="446"/>
        <w:rPr>
          <w:rFonts w:cstheme="minorHAnsi"/>
        </w:rPr>
      </w:pPr>
      <w:r w:rsidRPr="00A34E81">
        <w:rPr>
          <w:rFonts w:cstheme="minorHAnsi"/>
          <w:b/>
        </w:rPr>
        <w:t>Instruments 3</w:t>
      </w:r>
      <w:r w:rsidR="008B1C72">
        <w:rPr>
          <w:rFonts w:cstheme="minorHAnsi"/>
          <w:b/>
        </w:rPr>
        <w:t>–</w:t>
      </w:r>
      <w:r w:rsidRPr="00A34E81">
        <w:rPr>
          <w:rFonts w:cstheme="minorHAnsi"/>
          <w:b/>
        </w:rPr>
        <w:t xml:space="preserve">4: Performance Reporting System Data Entry Form and </w:t>
      </w:r>
      <w:r w:rsidR="005E4288">
        <w:rPr>
          <w:rFonts w:cstheme="minorHAnsi"/>
          <w:b/>
        </w:rPr>
        <w:t>Subrecipient</w:t>
      </w:r>
      <w:r w:rsidRPr="00A34E81">
        <w:rPr>
          <w:rFonts w:cstheme="minorHAnsi"/>
          <w:b/>
        </w:rPr>
        <w:t xml:space="preserve"> Data Collection Reporting Form. </w:t>
      </w:r>
      <w:r w:rsidRPr="00A34E81">
        <w:rPr>
          <w:rFonts w:cstheme="minorHAnsi"/>
        </w:rPr>
        <w:t>To reduce grantee burden and maximize grantee response rates, ACF provid</w:t>
      </w:r>
      <w:r w:rsidR="00D80DF3">
        <w:rPr>
          <w:rFonts w:cstheme="minorHAnsi"/>
        </w:rPr>
        <w:t>es</w:t>
      </w:r>
      <w:r w:rsidRPr="00A34E81">
        <w:rPr>
          <w:rFonts w:cstheme="minorHAnsi"/>
        </w:rPr>
        <w:t xml:space="preserve"> common data element definitions across PREP program models</w:t>
      </w:r>
      <w:r w:rsidR="00D80DF3">
        <w:rPr>
          <w:rFonts w:cstheme="minorHAnsi"/>
        </w:rPr>
        <w:t>,</w:t>
      </w:r>
      <w:r w:rsidRPr="00A34E81">
        <w:rPr>
          <w:rFonts w:cstheme="minorHAnsi"/>
        </w:rPr>
        <w:t xml:space="preserve"> and </w:t>
      </w:r>
      <w:r w:rsidR="00D80DF3">
        <w:rPr>
          <w:rFonts w:cstheme="minorHAnsi"/>
        </w:rPr>
        <w:t>grantees submit</w:t>
      </w:r>
      <w:r w:rsidRPr="00A34E81">
        <w:rPr>
          <w:rFonts w:cstheme="minorHAnsi"/>
        </w:rPr>
        <w:t xml:space="preserve"> data in a uniform manner through the </w:t>
      </w:r>
      <w:r w:rsidRPr="00102124" w:rsidR="005D1678">
        <w:rPr>
          <w:rFonts w:cstheme="minorHAnsi"/>
        </w:rPr>
        <w:t>web-based data submission portal</w:t>
      </w:r>
      <w:r w:rsidR="007E30D0">
        <w:rPr>
          <w:rFonts w:cstheme="minorHAnsi"/>
        </w:rPr>
        <w:t xml:space="preserve"> </w:t>
      </w:r>
      <w:r w:rsidRPr="007E30D0">
        <w:rPr>
          <w:rFonts w:cstheme="minorHAnsi"/>
        </w:rPr>
        <w:t>(</w:t>
      </w:r>
      <w:r w:rsidRPr="00A34E81">
        <w:rPr>
          <w:rFonts w:cstheme="minorHAnsi"/>
        </w:rPr>
        <w:t>see Instruments 3</w:t>
      </w:r>
      <w:r w:rsidR="008B1C72">
        <w:rPr>
          <w:rFonts w:cstheme="minorHAnsi"/>
        </w:rPr>
        <w:t>–</w:t>
      </w:r>
      <w:r w:rsidRPr="00A34E81">
        <w:rPr>
          <w:rFonts w:cstheme="minorHAnsi"/>
        </w:rPr>
        <w:t xml:space="preserve">4). </w:t>
      </w:r>
      <w:r w:rsidR="008B1C72">
        <w:rPr>
          <w:rFonts w:cstheme="minorHAnsi"/>
        </w:rPr>
        <w:t>Given that the</w:t>
      </w:r>
      <w:r w:rsidRPr="00A34E81">
        <w:rPr>
          <w:rFonts w:cstheme="minorHAnsi"/>
        </w:rPr>
        <w:t xml:space="preserve"> collecti</w:t>
      </w:r>
      <w:r w:rsidR="008B1C72">
        <w:rPr>
          <w:rFonts w:cstheme="minorHAnsi"/>
        </w:rPr>
        <w:t>o</w:t>
      </w:r>
      <w:r w:rsidRPr="00A34E81">
        <w:rPr>
          <w:rFonts w:cstheme="minorHAnsi"/>
        </w:rPr>
        <w:t xml:space="preserve">n and </w:t>
      </w:r>
      <w:r w:rsidR="00D80DF3">
        <w:rPr>
          <w:rFonts w:cstheme="minorHAnsi"/>
        </w:rPr>
        <w:t>submi</w:t>
      </w:r>
      <w:r w:rsidR="008B1C72">
        <w:rPr>
          <w:rFonts w:cstheme="minorHAnsi"/>
        </w:rPr>
        <w:t>ssion of</w:t>
      </w:r>
      <w:r w:rsidRPr="00A34E81">
        <w:rPr>
          <w:rFonts w:cstheme="minorHAnsi"/>
        </w:rPr>
        <w:t xml:space="preserve"> data for performance measures is a funding requirement of the PREP grants, the grantee and </w:t>
      </w:r>
      <w:r w:rsidR="005E4288">
        <w:rPr>
          <w:rFonts w:cstheme="minorHAnsi"/>
        </w:rPr>
        <w:t>subrecipient</w:t>
      </w:r>
      <w:r w:rsidRPr="00A34E81">
        <w:rPr>
          <w:rFonts w:cstheme="minorHAnsi"/>
        </w:rPr>
        <w:t xml:space="preserve"> response rates are expected to be 100 percent.</w:t>
      </w:r>
    </w:p>
    <w:p w:rsidR="009E784D" w:rsidRPr="009E784D" w:rsidP="0083519B" w14:paraId="510C7C57" w14:textId="16B28417">
      <w:pPr>
        <w:spacing w:after="0"/>
        <w:rPr>
          <w:rFonts w:cstheme="minorHAnsi"/>
          <w:b/>
          <w:bCs/>
        </w:rPr>
      </w:pPr>
      <w:r w:rsidRPr="009E784D">
        <w:rPr>
          <w:rFonts w:cstheme="minorHAnsi"/>
          <w:b/>
          <w:bCs/>
        </w:rPr>
        <w:t>Table B</w:t>
      </w:r>
      <w:r w:rsidR="00D80DF3">
        <w:rPr>
          <w:rFonts w:cstheme="minorHAnsi"/>
          <w:b/>
          <w:bCs/>
        </w:rPr>
        <w:t>5</w:t>
      </w:r>
      <w:r w:rsidRPr="009E784D">
        <w:rPr>
          <w:rFonts w:cstheme="minorHAnsi"/>
          <w:b/>
          <w:bCs/>
        </w:rPr>
        <w:t xml:space="preserve">.1. Annual </w:t>
      </w:r>
      <w:r w:rsidR="00FC4D82">
        <w:rPr>
          <w:rFonts w:cstheme="minorHAnsi"/>
          <w:b/>
          <w:bCs/>
        </w:rPr>
        <w:t>r</w:t>
      </w:r>
      <w:r w:rsidRPr="009E784D">
        <w:rPr>
          <w:rFonts w:cstheme="minorHAnsi"/>
          <w:b/>
          <w:bCs/>
        </w:rPr>
        <w:t xml:space="preserve">espondent </w:t>
      </w:r>
      <w:r w:rsidR="00FC4D82">
        <w:rPr>
          <w:rFonts w:cstheme="minorHAnsi"/>
          <w:b/>
          <w:bCs/>
        </w:rPr>
        <w:t>u</w:t>
      </w:r>
      <w:r w:rsidRPr="009E784D">
        <w:rPr>
          <w:rFonts w:cstheme="minorHAnsi"/>
          <w:b/>
          <w:bCs/>
        </w:rPr>
        <w:t xml:space="preserve">niverse and </w:t>
      </w:r>
      <w:r w:rsidR="00FC4D82">
        <w:rPr>
          <w:rFonts w:cstheme="minorHAnsi"/>
          <w:b/>
          <w:bCs/>
        </w:rPr>
        <w:t>e</w:t>
      </w:r>
      <w:r w:rsidRPr="009E784D">
        <w:rPr>
          <w:rFonts w:cstheme="minorHAnsi"/>
          <w:b/>
          <w:bCs/>
        </w:rPr>
        <w:t xml:space="preserve">xpected </w:t>
      </w:r>
      <w:r w:rsidR="00FC4D82">
        <w:rPr>
          <w:rFonts w:cstheme="minorHAnsi"/>
          <w:b/>
          <w:bCs/>
        </w:rPr>
        <w:t>r</w:t>
      </w:r>
      <w:r w:rsidRPr="009E784D">
        <w:rPr>
          <w:rFonts w:cstheme="minorHAnsi"/>
          <w:b/>
          <w:bCs/>
        </w:rPr>
        <w:t xml:space="preserve">esponse </w:t>
      </w:r>
      <w:r w:rsidR="00FC4D82">
        <w:rPr>
          <w:rFonts w:cstheme="minorHAnsi"/>
          <w:b/>
          <w:bCs/>
        </w:rPr>
        <w:t>r</w:t>
      </w:r>
      <w:r w:rsidRPr="009E784D">
        <w:rPr>
          <w:rFonts w:cstheme="minorHAnsi"/>
          <w:b/>
          <w:bCs/>
        </w:rPr>
        <w:t xml:space="preserve">ates for the </w:t>
      </w:r>
      <w:r w:rsidR="00FC4D82">
        <w:rPr>
          <w:rFonts w:cstheme="minorHAnsi"/>
          <w:b/>
          <w:bCs/>
        </w:rPr>
        <w:t>s</w:t>
      </w:r>
      <w:r w:rsidRPr="009E784D">
        <w:rPr>
          <w:rFonts w:cstheme="minorHAnsi"/>
          <w:b/>
          <w:bCs/>
        </w:rPr>
        <w:t xml:space="preserve">tudy of </w:t>
      </w:r>
      <w:r w:rsidR="00FC4D82">
        <w:rPr>
          <w:rFonts w:cstheme="minorHAnsi"/>
          <w:b/>
          <w:bCs/>
        </w:rPr>
        <w:t>p</w:t>
      </w:r>
      <w:r w:rsidRPr="009E784D">
        <w:rPr>
          <w:rFonts w:cstheme="minorHAnsi"/>
          <w:b/>
          <w:bCs/>
        </w:rPr>
        <w:t xml:space="preserve">erformance </w:t>
      </w:r>
      <w:r w:rsidR="00FC4D82">
        <w:rPr>
          <w:rFonts w:cstheme="minorHAnsi"/>
          <w:b/>
          <w:bCs/>
        </w:rPr>
        <w:t>m</w:t>
      </w:r>
      <w:r w:rsidRPr="009E784D">
        <w:rPr>
          <w:rFonts w:cstheme="minorHAnsi"/>
          <w:b/>
          <w:bCs/>
        </w:rPr>
        <w:t>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5"/>
        <w:gridCol w:w="1711"/>
        <w:gridCol w:w="1442"/>
        <w:gridCol w:w="1346"/>
        <w:gridCol w:w="1526"/>
      </w:tblGrid>
      <w:tr w14:paraId="6240CAF5" w14:textId="77777777" w:rsidTr="00CB230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78" w:type="pct"/>
            <w:shd w:val="clear" w:color="auto" w:fill="6C6F70"/>
            <w:vAlign w:val="bottom"/>
          </w:tcPr>
          <w:p w:rsidR="009E784D" w:rsidRPr="00CB2307" w:rsidP="00CB2307" w14:paraId="1B204996" w14:textId="2464BB5A">
            <w:pPr>
              <w:spacing w:before="60" w:after="60" w:line="240" w:lineRule="auto"/>
              <w:rPr>
                <w:rFonts w:cstheme="minorHAnsi"/>
                <w:b/>
                <w:bCs/>
                <w:i/>
                <w:color w:val="FFFFFF" w:themeColor="background1"/>
              </w:rPr>
            </w:pP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 xml:space="preserve">Data </w:t>
            </w:r>
            <w:r w:rsidRPr="00CB2307" w:rsidR="00FC4D82">
              <w:rPr>
                <w:rFonts w:cstheme="minorHAnsi"/>
                <w:b/>
                <w:bCs/>
                <w:i/>
                <w:color w:val="FFFFFF" w:themeColor="background1"/>
              </w:rPr>
              <w:t>c</w:t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ollection</w:t>
            </w:r>
          </w:p>
        </w:tc>
        <w:tc>
          <w:tcPr>
            <w:tcW w:w="915" w:type="pct"/>
            <w:shd w:val="clear" w:color="auto" w:fill="6C6F70"/>
            <w:vAlign w:val="bottom"/>
          </w:tcPr>
          <w:p w:rsidR="009E784D" w:rsidRPr="00CB2307" w:rsidP="00CB2307" w14:paraId="40B3CE8B" w14:textId="77777777">
            <w:pPr>
              <w:spacing w:before="60" w:after="60" w:line="240" w:lineRule="auto"/>
              <w:rPr>
                <w:rFonts w:cstheme="minorHAnsi"/>
                <w:b/>
                <w:bCs/>
                <w:i/>
                <w:color w:val="FFFFFF" w:themeColor="background1"/>
              </w:rPr>
            </w:pP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Type of respondent</w:t>
            </w:r>
          </w:p>
        </w:tc>
        <w:tc>
          <w:tcPr>
            <w:tcW w:w="771" w:type="pct"/>
            <w:shd w:val="clear" w:color="auto" w:fill="6C6F70"/>
            <w:vAlign w:val="bottom"/>
          </w:tcPr>
          <w:p w:rsidR="009E784D" w:rsidRPr="00CB2307" w:rsidP="00CB2307" w14:paraId="4D07762C" w14:textId="2DB04B05">
            <w:pPr>
              <w:spacing w:before="60" w:after="60" w:line="240" w:lineRule="auto"/>
              <w:rPr>
                <w:rFonts w:cstheme="minorHAnsi"/>
                <w:b/>
                <w:bCs/>
                <w:i/>
                <w:color w:val="FFFFFF" w:themeColor="background1"/>
              </w:rPr>
            </w:pP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Annual n</w:t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umber of</w:t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br/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r</w:t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espondents</w:t>
            </w:r>
          </w:p>
        </w:tc>
        <w:tc>
          <w:tcPr>
            <w:tcW w:w="720" w:type="pct"/>
            <w:shd w:val="clear" w:color="auto" w:fill="6C6F70"/>
            <w:vAlign w:val="bottom"/>
          </w:tcPr>
          <w:p w:rsidR="009E784D" w:rsidRPr="00CB2307" w:rsidP="00CB2307" w14:paraId="324D615C" w14:textId="77777777">
            <w:pPr>
              <w:spacing w:before="60" w:after="60" w:line="240" w:lineRule="auto"/>
              <w:rPr>
                <w:rFonts w:cstheme="minorHAnsi"/>
                <w:b/>
                <w:bCs/>
                <w:i/>
                <w:color w:val="FFFFFF" w:themeColor="background1"/>
              </w:rPr>
            </w:pP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Expected response rate</w:t>
            </w:r>
          </w:p>
        </w:tc>
        <w:tc>
          <w:tcPr>
            <w:tcW w:w="816" w:type="pct"/>
            <w:shd w:val="clear" w:color="auto" w:fill="6C6F70"/>
            <w:vAlign w:val="bottom"/>
          </w:tcPr>
          <w:p w:rsidR="009E784D" w:rsidRPr="00CB2307" w:rsidP="00CB2307" w14:paraId="5D9CC50F" w14:textId="6B43C87E">
            <w:pPr>
              <w:spacing w:before="60" w:after="60" w:line="240" w:lineRule="auto"/>
              <w:rPr>
                <w:rFonts w:cstheme="minorHAnsi"/>
                <w:b/>
                <w:bCs/>
                <w:i/>
                <w:color w:val="FFFFFF" w:themeColor="background1"/>
              </w:rPr>
            </w:pP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 xml:space="preserve">Annual </w:t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 xml:space="preserve">expected </w:t>
            </w:r>
            <w:r w:rsidRPr="00CB2307">
              <w:rPr>
                <w:rFonts w:cstheme="minorHAnsi"/>
                <w:b/>
                <w:bCs/>
                <w:i/>
                <w:color w:val="FFFFFF" w:themeColor="background1"/>
              </w:rPr>
              <w:t>respondents</w:t>
            </w:r>
          </w:p>
        </w:tc>
      </w:tr>
      <w:tr w14:paraId="5E490CD0" w14:textId="77777777" w:rsidTr="00CB2307">
        <w:tblPrEx>
          <w:tblW w:w="5000" w:type="pct"/>
          <w:tblLook w:val="04A0"/>
        </w:tblPrEx>
        <w:tc>
          <w:tcPr>
            <w:tcW w:w="1778" w:type="pct"/>
          </w:tcPr>
          <w:p w:rsidR="009E784D" w:rsidRPr="00CB2307" w:rsidP="00900D26" w14:paraId="6AB6F22B" w14:textId="6F5D4722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Instrument 1: Participant </w:t>
            </w:r>
            <w:r w:rsidRPr="00CB2307" w:rsidR="00820B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ntry </w:t>
            </w:r>
            <w:r w:rsidRPr="00CB2307" w:rsidR="00820B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urvey </w:t>
            </w:r>
          </w:p>
        </w:tc>
        <w:tc>
          <w:tcPr>
            <w:tcW w:w="915" w:type="pct"/>
            <w:vAlign w:val="center"/>
          </w:tcPr>
          <w:p w:rsidR="009E784D" w:rsidRPr="00CB2307" w:rsidP="00CB2307" w14:paraId="07753B4F" w14:textId="77777777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Youth participant</w:t>
            </w:r>
          </w:p>
        </w:tc>
        <w:tc>
          <w:tcPr>
            <w:tcW w:w="771" w:type="pct"/>
            <w:vAlign w:val="center"/>
          </w:tcPr>
          <w:p w:rsidR="009E784D" w:rsidRPr="00CB2307" w:rsidP="00900D26" w14:paraId="3770F774" w14:textId="2DA0434A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123,158 </w:t>
            </w:r>
          </w:p>
        </w:tc>
        <w:tc>
          <w:tcPr>
            <w:tcW w:w="720" w:type="pct"/>
            <w:vAlign w:val="center"/>
          </w:tcPr>
          <w:p w:rsidR="009E784D" w:rsidRPr="00CB2307" w:rsidP="00900D26" w14:paraId="03D1E7FF" w14:textId="77777777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95%</w:t>
            </w:r>
          </w:p>
        </w:tc>
        <w:tc>
          <w:tcPr>
            <w:tcW w:w="816" w:type="pct"/>
            <w:vAlign w:val="center"/>
          </w:tcPr>
          <w:p w:rsidR="009E784D" w:rsidRPr="00CB2307" w:rsidP="00900D26" w14:paraId="26BDE6B9" w14:textId="78424C84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117,000 </w:t>
            </w:r>
          </w:p>
        </w:tc>
      </w:tr>
      <w:tr w14:paraId="13B72C80" w14:textId="77777777" w:rsidTr="00CB2307">
        <w:tblPrEx>
          <w:tblW w:w="5000" w:type="pct"/>
          <w:tblLook w:val="04A0"/>
        </w:tblPrEx>
        <w:tc>
          <w:tcPr>
            <w:tcW w:w="1778" w:type="pct"/>
          </w:tcPr>
          <w:p w:rsidR="009E784D" w:rsidRPr="00CB2307" w:rsidP="00900D26" w14:paraId="337D7DF3" w14:textId="66A1D3B1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Instrument 2: Participant </w:t>
            </w:r>
            <w:r w:rsidRPr="00CB2307" w:rsidR="00820B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xit </w:t>
            </w:r>
            <w:r w:rsidRPr="00CB2307" w:rsidR="00820B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urvey </w:t>
            </w:r>
          </w:p>
        </w:tc>
        <w:tc>
          <w:tcPr>
            <w:tcW w:w="915" w:type="pct"/>
            <w:vAlign w:val="center"/>
          </w:tcPr>
          <w:p w:rsidR="009E784D" w:rsidRPr="00CB2307" w:rsidP="00CB2307" w14:paraId="7055ACD0" w14:textId="77777777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Youth participant</w:t>
            </w:r>
          </w:p>
        </w:tc>
        <w:tc>
          <w:tcPr>
            <w:tcW w:w="771" w:type="pct"/>
            <w:vAlign w:val="center"/>
          </w:tcPr>
          <w:p w:rsidR="009E784D" w:rsidRPr="00CB2307" w:rsidP="00900D26" w14:paraId="21D3AA17" w14:textId="227E4D9B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112,352 </w:t>
            </w:r>
          </w:p>
        </w:tc>
        <w:tc>
          <w:tcPr>
            <w:tcW w:w="720" w:type="pct"/>
            <w:vAlign w:val="center"/>
          </w:tcPr>
          <w:p w:rsidR="009E784D" w:rsidRPr="00CB2307" w:rsidP="00900D26" w14:paraId="5030F804" w14:textId="77777777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95%</w:t>
            </w:r>
          </w:p>
        </w:tc>
        <w:tc>
          <w:tcPr>
            <w:tcW w:w="816" w:type="pct"/>
            <w:vAlign w:val="center"/>
          </w:tcPr>
          <w:p w:rsidR="009E784D" w:rsidRPr="00CB2307" w:rsidP="00900D26" w14:paraId="01A78C1F" w14:textId="3F7472EE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106,734</w:t>
            </w:r>
          </w:p>
        </w:tc>
      </w:tr>
      <w:tr w14:paraId="513AC928" w14:textId="77777777" w:rsidTr="00CB2307">
        <w:tblPrEx>
          <w:tblW w:w="5000" w:type="pct"/>
          <w:tblLook w:val="04A0"/>
        </w:tblPrEx>
        <w:tc>
          <w:tcPr>
            <w:tcW w:w="1778" w:type="pct"/>
          </w:tcPr>
          <w:p w:rsidR="009E784D" w:rsidRPr="00CB2307" w:rsidP="00900D26" w14:paraId="7532D68E" w14:textId="77777777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Instrument 3: Performance Reporting System Data Entry Form</w:t>
            </w:r>
          </w:p>
        </w:tc>
        <w:tc>
          <w:tcPr>
            <w:tcW w:w="915" w:type="pct"/>
            <w:vAlign w:val="center"/>
          </w:tcPr>
          <w:p w:rsidR="009E784D" w:rsidRPr="00CB2307" w:rsidP="00CB2307" w14:paraId="3A5E09CC" w14:textId="77777777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Grantee Administrator</w:t>
            </w:r>
          </w:p>
        </w:tc>
        <w:tc>
          <w:tcPr>
            <w:tcW w:w="771" w:type="pct"/>
            <w:vAlign w:val="center"/>
          </w:tcPr>
          <w:p w:rsidR="009E784D" w:rsidRPr="00CB2307" w:rsidP="00900D26" w14:paraId="44AAB140" w14:textId="59821196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720" w:type="pct"/>
            <w:vAlign w:val="center"/>
          </w:tcPr>
          <w:p w:rsidR="009E784D" w:rsidRPr="00CB2307" w:rsidP="00900D26" w14:paraId="635EAB6E" w14:textId="77777777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816" w:type="pct"/>
            <w:vAlign w:val="center"/>
          </w:tcPr>
          <w:p w:rsidR="009E784D" w:rsidRPr="00CB2307" w:rsidP="00900D26" w14:paraId="41E38A3B" w14:textId="6DE9A046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</w:tr>
      <w:tr w14:paraId="09A7353C" w14:textId="77777777" w:rsidTr="00CB2307">
        <w:tblPrEx>
          <w:tblW w:w="5000" w:type="pct"/>
          <w:tblLook w:val="04A0"/>
        </w:tblPrEx>
        <w:tc>
          <w:tcPr>
            <w:tcW w:w="1778" w:type="pct"/>
          </w:tcPr>
          <w:p w:rsidR="009E784D" w:rsidRPr="00CB2307" w:rsidP="00900D26" w14:paraId="5743E78F" w14:textId="3CCE58D3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Instrument 4: </w:t>
            </w:r>
            <w:r w:rsidRPr="00CB2307" w:rsidR="005E4288">
              <w:rPr>
                <w:rFonts w:asciiTheme="minorHAnsi" w:hAnsiTheme="minorHAnsi" w:cstheme="minorHAnsi"/>
                <w:sz w:val="20"/>
                <w:szCs w:val="20"/>
              </w:rPr>
              <w:t>Subrecipient</w:t>
            </w: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 Data Collection and Reporting Form</w:t>
            </w:r>
          </w:p>
        </w:tc>
        <w:tc>
          <w:tcPr>
            <w:tcW w:w="915" w:type="pct"/>
            <w:vAlign w:val="center"/>
          </w:tcPr>
          <w:p w:rsidR="009E784D" w:rsidRPr="00CB2307" w:rsidP="00CB2307" w14:paraId="63174598" w14:textId="53325F08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Subrecipient</w:t>
            </w: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 xml:space="preserve"> Administrator</w:t>
            </w:r>
          </w:p>
        </w:tc>
        <w:tc>
          <w:tcPr>
            <w:tcW w:w="771" w:type="pct"/>
            <w:vAlign w:val="center"/>
          </w:tcPr>
          <w:p w:rsidR="009E784D" w:rsidRPr="00CB2307" w:rsidP="00900D26" w14:paraId="0ED5C099" w14:textId="36B69624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720" w:type="pct"/>
            <w:vAlign w:val="center"/>
          </w:tcPr>
          <w:p w:rsidR="009E784D" w:rsidRPr="00CB2307" w:rsidP="00900D26" w14:paraId="394A6208" w14:textId="77777777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816" w:type="pct"/>
            <w:vAlign w:val="center"/>
          </w:tcPr>
          <w:p w:rsidR="009E784D" w:rsidRPr="00CB2307" w:rsidP="00900D26" w14:paraId="759FAC70" w14:textId="15AAAE89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</w:tr>
      <w:tr w14:paraId="29180F28" w14:textId="77777777" w:rsidTr="00CB2307">
        <w:tblPrEx>
          <w:tblW w:w="5000" w:type="pct"/>
          <w:tblLook w:val="04A0"/>
        </w:tblPrEx>
        <w:tc>
          <w:tcPr>
            <w:tcW w:w="2693" w:type="pct"/>
            <w:gridSpan w:val="2"/>
            <w:shd w:val="clear" w:color="auto" w:fill="D9D9D9"/>
            <w:vAlign w:val="center"/>
          </w:tcPr>
          <w:p w:rsidR="009E784D" w:rsidRPr="00CB2307" w:rsidP="00900D26" w14:paraId="6EB1EBAD" w14:textId="69432C14">
            <w:pPr>
              <w:pStyle w:val="TableText"/>
              <w:spacing w:before="6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Estimated </w:t>
            </w:r>
            <w:r w:rsidRPr="00CB2307" w:rsidR="00B56CB4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CB2307">
              <w:rPr>
                <w:rFonts w:asciiTheme="minorHAnsi" w:hAnsiTheme="minorHAnsi" w:cstheme="minorHAnsi"/>
                <w:b/>
                <w:sz w:val="20"/>
                <w:szCs w:val="20"/>
              </w:rPr>
              <w:t>otals</w:t>
            </w:r>
          </w:p>
        </w:tc>
        <w:tc>
          <w:tcPr>
            <w:tcW w:w="771" w:type="pct"/>
            <w:shd w:val="clear" w:color="auto" w:fill="D9D9D9"/>
            <w:vAlign w:val="center"/>
          </w:tcPr>
          <w:p w:rsidR="009E784D" w:rsidRPr="00CB2307" w:rsidP="00900D26" w14:paraId="3AAB447C" w14:textId="4FF66DDF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235,968</w:t>
            </w:r>
          </w:p>
        </w:tc>
        <w:tc>
          <w:tcPr>
            <w:tcW w:w="720" w:type="pct"/>
            <w:shd w:val="clear" w:color="auto" w:fill="D9D9D9"/>
            <w:vAlign w:val="center"/>
          </w:tcPr>
          <w:p w:rsidR="009E784D" w:rsidRPr="00CB2307" w:rsidP="00900D26" w14:paraId="576F0D9B" w14:textId="77777777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D9D9D9"/>
            <w:vAlign w:val="center"/>
          </w:tcPr>
          <w:p w:rsidR="009E784D" w:rsidRPr="00CB2307" w:rsidP="00900D26" w14:paraId="5A69D4DD" w14:textId="3BE1F561">
            <w:pPr>
              <w:pStyle w:val="TableText"/>
              <w:spacing w:before="60" w:after="40"/>
              <w:ind w:righ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2307">
              <w:rPr>
                <w:rFonts w:asciiTheme="minorHAnsi" w:hAnsiTheme="minorHAnsi" w:cstheme="minorHAnsi"/>
                <w:b/>
                <w:sz w:val="20"/>
                <w:szCs w:val="20"/>
              </w:rPr>
              <w:t>224,</w:t>
            </w:r>
            <w:r w:rsidR="00606A01">
              <w:rPr>
                <w:rFonts w:asciiTheme="minorHAnsi" w:hAnsiTheme="minorHAnsi" w:cstheme="minorHAnsi"/>
                <w:b/>
                <w:sz w:val="20"/>
                <w:szCs w:val="20"/>
              </w:rPr>
              <w:t>192</w:t>
            </w:r>
            <w:r w:rsidRPr="00CB23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A42C71" w:rsidRPr="001A59B6" w:rsidP="00A42C71" w14:paraId="7D020F8F" w14:textId="22CE6673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1A59B6">
        <w:rPr>
          <w:rFonts w:eastAsia="Times New Roman" w:cstheme="minorHAnsi"/>
          <w:i/>
          <w:color w:val="000000"/>
        </w:rPr>
        <w:t>Non</w:t>
      </w:r>
      <w:r w:rsidR="00F651F7">
        <w:rPr>
          <w:rFonts w:eastAsia="Times New Roman" w:cstheme="minorHAnsi"/>
          <w:i/>
          <w:color w:val="000000"/>
        </w:rPr>
        <w:t>r</w:t>
      </w:r>
      <w:r w:rsidRPr="001A59B6">
        <w:rPr>
          <w:rFonts w:eastAsia="Times New Roman" w:cstheme="minorHAnsi"/>
          <w:i/>
          <w:color w:val="000000"/>
        </w:rPr>
        <w:t>esponse</w:t>
      </w:r>
    </w:p>
    <w:p w:rsidR="005F3334" w:rsidRPr="00595229" w:rsidP="004F7CFF" w14:paraId="08FC9FEC" w14:textId="24F990B5">
      <w:pPr>
        <w:spacing w:after="240" w:line="240" w:lineRule="auto"/>
        <w:ind w:firstLine="446"/>
        <w:rPr>
          <w:rFonts w:eastAsia="Times New Roman" w:cstheme="minorHAnsi"/>
          <w:color w:val="000000"/>
        </w:rPr>
      </w:pPr>
      <w:r w:rsidRPr="00570BBC">
        <w:rPr>
          <w:rFonts w:cstheme="minorHAnsi"/>
          <w:iCs/>
        </w:rPr>
        <w:t xml:space="preserve">As in earlier rounds of </w:t>
      </w:r>
      <w:r w:rsidR="00126039">
        <w:rPr>
          <w:rFonts w:cstheme="minorHAnsi"/>
          <w:iCs/>
        </w:rPr>
        <w:t xml:space="preserve">the collection of </w:t>
      </w:r>
      <w:r w:rsidRPr="00570BBC">
        <w:rPr>
          <w:rFonts w:cstheme="minorHAnsi"/>
          <w:iCs/>
        </w:rPr>
        <w:t>PREP performance measures data,</w:t>
      </w:r>
      <w:r>
        <w:rPr>
          <w:rFonts w:cstheme="minorHAnsi"/>
          <w:iCs/>
        </w:rPr>
        <w:t xml:space="preserve"> </w:t>
      </w:r>
      <w:r>
        <w:rPr>
          <w:rFonts w:eastAsia="Times New Roman" w:cstheme="minorHAnsi"/>
          <w:color w:val="000000"/>
        </w:rPr>
        <w:t>a</w:t>
      </w:r>
      <w:r w:rsidRPr="00595229" w:rsidR="0070008A">
        <w:rPr>
          <w:rFonts w:eastAsia="Times New Roman" w:cstheme="minorHAnsi"/>
          <w:color w:val="000000"/>
        </w:rPr>
        <w:t>nalyses will be based on respondents</w:t>
      </w:r>
      <w:r w:rsidR="00126039">
        <w:rPr>
          <w:rFonts w:eastAsia="Times New Roman" w:cstheme="minorHAnsi"/>
          <w:color w:val="000000"/>
        </w:rPr>
        <w:t>’</w:t>
      </w:r>
      <w:r w:rsidRPr="00595229" w:rsidR="0070008A">
        <w:rPr>
          <w:rFonts w:eastAsia="Times New Roman" w:cstheme="minorHAnsi"/>
          <w:color w:val="000000"/>
        </w:rPr>
        <w:t xml:space="preserve"> provi</w:t>
      </w:r>
      <w:r w:rsidR="00126039">
        <w:rPr>
          <w:rFonts w:eastAsia="Times New Roman" w:cstheme="minorHAnsi"/>
          <w:color w:val="000000"/>
        </w:rPr>
        <w:t>sion of</w:t>
      </w:r>
      <w:r w:rsidRPr="00595229" w:rsidR="0070008A">
        <w:rPr>
          <w:rFonts w:eastAsia="Times New Roman" w:cstheme="minorHAnsi"/>
          <w:color w:val="000000"/>
        </w:rPr>
        <w:t xml:space="preserve"> data for a given measure, with no imputation or weight adjustments to address missing data. </w:t>
      </w:r>
    </w:p>
    <w:p w:rsidR="00A42C71" w:rsidRPr="00606A01" w:rsidP="00606A01" w14:paraId="2C017166" w14:textId="1D854D8B">
      <w:pPr>
        <w:spacing w:after="240" w:line="240" w:lineRule="auto"/>
        <w:ind w:firstLine="446"/>
      </w:pPr>
      <w:r>
        <w:rPr>
          <w:rFonts w:eastAsia="Times New Roman" w:cstheme="minorHAnsi"/>
          <w:color w:val="000000"/>
        </w:rPr>
        <w:t>Given that</w:t>
      </w:r>
      <w:r w:rsidRPr="00595229" w:rsidR="005F3334">
        <w:rPr>
          <w:rFonts w:eastAsia="Times New Roman" w:cstheme="minorHAnsi"/>
          <w:color w:val="000000"/>
        </w:rPr>
        <w:t xml:space="preserve"> participants will not be randomly sampled and</w:t>
      </w:r>
      <w:r>
        <w:rPr>
          <w:rFonts w:eastAsia="Times New Roman" w:cstheme="minorHAnsi"/>
          <w:color w:val="000000"/>
        </w:rPr>
        <w:t xml:space="preserve"> that</w:t>
      </w:r>
      <w:r w:rsidRPr="00595229" w:rsidR="005F3334">
        <w:rPr>
          <w:rFonts w:eastAsia="Times New Roman" w:cstheme="minorHAnsi"/>
          <w:color w:val="000000"/>
        </w:rPr>
        <w:t xml:space="preserve"> findings are not intended to be representative, nonresponse bias will not be calculated. Respondent </w:t>
      </w:r>
      <w:r w:rsidRPr="00CB2307" w:rsidR="005F3334">
        <w:rPr>
          <w:rFonts w:eastAsia="Times New Roman" w:cstheme="minorHAnsi"/>
          <w:color w:val="000000"/>
        </w:rPr>
        <w:t>demographics will be documented and reported in written materials associated with the data collection.</w:t>
      </w:r>
    </w:p>
    <w:p w:rsidR="00A42C71" w:rsidRPr="001A59B6" w:rsidP="00C96DE2" w14:paraId="4E6826E7" w14:textId="6602D44B">
      <w:pPr>
        <w:rPr>
          <w:rFonts w:eastAsia="Times New Roman" w:cstheme="minorHAnsi"/>
        </w:rPr>
      </w:pPr>
      <w:r w:rsidRPr="001A59B6">
        <w:rPr>
          <w:rFonts w:eastAsia="Times New Roman" w:cstheme="minorHAnsi"/>
          <w:b/>
          <w:bCs/>
        </w:rPr>
        <w:t>B6.</w:t>
      </w:r>
      <w:r w:rsidR="00083A33">
        <w:rPr>
          <w:rFonts w:eastAsia="Times New Roman" w:cstheme="minorHAnsi"/>
          <w:b/>
          <w:bCs/>
        </w:rPr>
        <w:tab/>
      </w:r>
      <w:r w:rsidRPr="001A59B6">
        <w:rPr>
          <w:rFonts w:eastAsia="Times New Roman" w:cstheme="minorHAnsi"/>
          <w:b/>
          <w:bCs/>
        </w:rPr>
        <w:t>Production of Estimates and Projections</w:t>
      </w:r>
      <w:r w:rsidRPr="001A59B6">
        <w:rPr>
          <w:rFonts w:eastAsia="Times New Roman" w:cstheme="minorHAnsi"/>
        </w:rPr>
        <w:t xml:space="preserve"> </w:t>
      </w:r>
    </w:p>
    <w:p w:rsidR="0070008A" w:rsidP="004F7CFF" w14:paraId="444BCD46" w14:textId="18CA6CFB">
      <w:pPr>
        <w:spacing w:after="240" w:line="240" w:lineRule="auto"/>
        <w:ind w:firstLine="446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ACF and PREP grantees will continue to </w:t>
      </w:r>
      <w:r w:rsidR="00CB2307">
        <w:rPr>
          <w:rFonts w:eastAsia="Times New Roman" w:cstheme="minorHAnsi"/>
          <w:szCs w:val="24"/>
        </w:rPr>
        <w:t xml:space="preserve">primarily </w:t>
      </w:r>
      <w:r>
        <w:rPr>
          <w:rFonts w:eastAsia="Times New Roman" w:cstheme="minorHAnsi"/>
          <w:szCs w:val="24"/>
        </w:rPr>
        <w:t>use t</w:t>
      </w:r>
      <w:r w:rsidRPr="00CA561A">
        <w:rPr>
          <w:rFonts w:eastAsia="Times New Roman" w:cstheme="minorHAnsi"/>
          <w:szCs w:val="24"/>
        </w:rPr>
        <w:t>he performance measures data internally</w:t>
      </w:r>
      <w:r w:rsidR="00F34B85">
        <w:rPr>
          <w:rFonts w:eastAsia="Times New Roman" w:cstheme="minorHAnsi"/>
          <w:szCs w:val="24"/>
        </w:rPr>
        <w:t>, although they</w:t>
      </w:r>
      <w:r w:rsidRPr="00CA561A">
        <w:rPr>
          <w:rFonts w:eastAsia="Times New Roman" w:cstheme="minorHAnsi"/>
          <w:szCs w:val="24"/>
        </w:rPr>
        <w:t xml:space="preserve"> will </w:t>
      </w:r>
      <w:r w:rsidR="000D6B2A">
        <w:rPr>
          <w:rFonts w:eastAsia="Times New Roman" w:cstheme="minorHAnsi"/>
          <w:szCs w:val="24"/>
        </w:rPr>
        <w:t xml:space="preserve">use </w:t>
      </w:r>
      <w:r w:rsidR="00423A5C">
        <w:rPr>
          <w:rFonts w:eastAsia="Times New Roman" w:cstheme="minorHAnsi"/>
          <w:szCs w:val="24"/>
        </w:rPr>
        <w:t>the data</w:t>
      </w:r>
      <w:r w:rsidRPr="00CA561A">
        <w:rPr>
          <w:rFonts w:eastAsia="Times New Roman" w:cstheme="minorHAnsi"/>
          <w:szCs w:val="24"/>
        </w:rPr>
        <w:t xml:space="preserve"> </w:t>
      </w:r>
      <w:r w:rsidR="00560A91">
        <w:rPr>
          <w:rFonts w:eastAsia="Times New Roman" w:cstheme="minorHAnsi"/>
          <w:szCs w:val="24"/>
        </w:rPr>
        <w:t xml:space="preserve">as </w:t>
      </w:r>
      <w:r w:rsidR="0060175A">
        <w:rPr>
          <w:rFonts w:eastAsia="Times New Roman" w:cstheme="minorHAnsi"/>
          <w:szCs w:val="24"/>
        </w:rPr>
        <w:t>the basis for</w:t>
      </w:r>
      <w:r w:rsidRPr="00CA561A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 xml:space="preserve">ACF’s </w:t>
      </w:r>
      <w:r w:rsidRPr="00CA561A">
        <w:rPr>
          <w:rFonts w:eastAsia="Times New Roman" w:cstheme="minorHAnsi"/>
          <w:szCs w:val="24"/>
        </w:rPr>
        <w:t xml:space="preserve">annual report to Congress on the progress of the </w:t>
      </w:r>
      <w:r>
        <w:rPr>
          <w:rFonts w:eastAsia="Times New Roman" w:cstheme="minorHAnsi"/>
          <w:szCs w:val="24"/>
        </w:rPr>
        <w:t xml:space="preserve">PREP </w:t>
      </w:r>
      <w:r w:rsidRPr="00CA561A">
        <w:rPr>
          <w:rFonts w:eastAsia="Times New Roman" w:cstheme="minorHAnsi"/>
          <w:szCs w:val="24"/>
        </w:rPr>
        <w:t>program</w:t>
      </w:r>
      <w:r>
        <w:rPr>
          <w:rFonts w:eastAsia="Times New Roman" w:cstheme="minorHAnsi"/>
          <w:szCs w:val="24"/>
        </w:rPr>
        <w:t xml:space="preserve">, </w:t>
      </w:r>
      <w:r w:rsidR="0060175A">
        <w:rPr>
          <w:rFonts w:eastAsia="Times New Roman" w:cstheme="minorHAnsi"/>
          <w:szCs w:val="24"/>
        </w:rPr>
        <w:t>with</w:t>
      </w:r>
      <w:r>
        <w:rPr>
          <w:rFonts w:eastAsia="Times New Roman" w:cstheme="minorHAnsi"/>
          <w:szCs w:val="24"/>
        </w:rPr>
        <w:t xml:space="preserve"> end-of-cohort reports made available to the public</w:t>
      </w:r>
      <w:r w:rsidRPr="00CA561A">
        <w:rPr>
          <w:rFonts w:eastAsia="Times New Roman" w:cstheme="minorHAnsi"/>
          <w:szCs w:val="24"/>
        </w:rPr>
        <w:t xml:space="preserve">. </w:t>
      </w:r>
    </w:p>
    <w:p w:rsidR="00A42C71" w:rsidRPr="00EF1921" w:rsidP="00EF1921" w14:paraId="6D9A7ABD" w14:textId="73E35F70">
      <w:pPr>
        <w:spacing w:after="240" w:line="240" w:lineRule="auto"/>
        <w:ind w:firstLine="446"/>
        <w:rPr>
          <w:rFonts w:ascii="Times New Roman" w:eastAsia="Times New Roman" w:hAnsi="Times New Roman" w:cs="Times New Roman"/>
          <w:sz w:val="24"/>
          <w:szCs w:val="24"/>
        </w:rPr>
      </w:pPr>
      <w:r w:rsidRPr="00CA561A">
        <w:rPr>
          <w:rFonts w:eastAsia="Times New Roman" w:cstheme="minorHAnsi"/>
          <w:szCs w:val="24"/>
        </w:rPr>
        <w:t xml:space="preserve">The </w:t>
      </w:r>
      <w:r w:rsidRPr="00F75DA9">
        <w:rPr>
          <w:rFonts w:eastAsia="Times New Roman" w:cstheme="minorHAnsi"/>
          <w:szCs w:val="24"/>
        </w:rPr>
        <w:t xml:space="preserve">performance measures </w:t>
      </w:r>
      <w:r>
        <w:rPr>
          <w:rFonts w:eastAsia="Times New Roman" w:cstheme="minorHAnsi"/>
          <w:szCs w:val="24"/>
        </w:rPr>
        <w:t>data</w:t>
      </w:r>
      <w:r w:rsidRPr="00CA561A">
        <w:rPr>
          <w:rFonts w:eastAsia="Times New Roman" w:cstheme="minorHAnsi"/>
          <w:szCs w:val="24"/>
        </w:rPr>
        <w:t xml:space="preserve"> </w:t>
      </w:r>
      <w:r w:rsidR="002A464D">
        <w:rPr>
          <w:rFonts w:eastAsia="Times New Roman" w:cstheme="minorHAnsi"/>
          <w:szCs w:val="24"/>
        </w:rPr>
        <w:t>will</w:t>
      </w:r>
      <w:r w:rsidRPr="00CA561A">
        <w:rPr>
          <w:rFonts w:eastAsia="Times New Roman" w:cstheme="minorHAnsi"/>
          <w:szCs w:val="24"/>
        </w:rPr>
        <w:t xml:space="preserve"> </w:t>
      </w:r>
      <w:r w:rsidR="002A464D">
        <w:rPr>
          <w:rFonts w:eastAsia="Times New Roman" w:cstheme="minorHAnsi"/>
          <w:szCs w:val="24"/>
        </w:rPr>
        <w:t xml:space="preserve">continue </w:t>
      </w:r>
      <w:r w:rsidRPr="00CA561A">
        <w:rPr>
          <w:rFonts w:eastAsia="Times New Roman" w:cstheme="minorHAnsi"/>
          <w:szCs w:val="24"/>
        </w:rPr>
        <w:t xml:space="preserve">to be collected from all </w:t>
      </w:r>
      <w:r w:rsidR="00C830D3">
        <w:rPr>
          <w:rFonts w:eastAsia="Times New Roman" w:cstheme="minorHAnsi"/>
          <w:szCs w:val="24"/>
        </w:rPr>
        <w:t xml:space="preserve">PREP </w:t>
      </w:r>
      <w:r>
        <w:rPr>
          <w:rFonts w:eastAsia="Times New Roman" w:cstheme="minorHAnsi"/>
          <w:szCs w:val="24"/>
        </w:rPr>
        <w:t xml:space="preserve">grantees, program providers, and </w:t>
      </w:r>
      <w:r w:rsidRPr="00CA561A">
        <w:rPr>
          <w:rFonts w:eastAsia="Times New Roman" w:cstheme="minorHAnsi"/>
          <w:szCs w:val="24"/>
        </w:rPr>
        <w:t>youth participa</w:t>
      </w:r>
      <w:r>
        <w:rPr>
          <w:rFonts w:eastAsia="Times New Roman" w:cstheme="minorHAnsi"/>
          <w:szCs w:val="24"/>
        </w:rPr>
        <w:t>n</w:t>
      </w:r>
      <w:r w:rsidRPr="00CA561A">
        <w:rPr>
          <w:rFonts w:eastAsia="Times New Roman" w:cstheme="minorHAnsi"/>
          <w:szCs w:val="24"/>
        </w:rPr>
        <w:t>t</w:t>
      </w:r>
      <w:r>
        <w:rPr>
          <w:rFonts w:eastAsia="Times New Roman" w:cstheme="minorHAnsi"/>
          <w:szCs w:val="24"/>
        </w:rPr>
        <w:t>s</w:t>
      </w:r>
      <w:r w:rsidRPr="00CA561A">
        <w:rPr>
          <w:rFonts w:eastAsia="Times New Roman" w:cstheme="minorHAnsi"/>
          <w:szCs w:val="24"/>
        </w:rPr>
        <w:t xml:space="preserve">. </w:t>
      </w:r>
      <w:r>
        <w:rPr>
          <w:rFonts w:eastAsia="Times New Roman" w:cstheme="minorHAnsi"/>
          <w:szCs w:val="24"/>
        </w:rPr>
        <w:t xml:space="preserve">The analyses will include computation of statistics such as percentages and </w:t>
      </w:r>
      <w:r w:rsidRPr="004F7CFF">
        <w:rPr>
          <w:rFonts w:eastAsia="Times New Roman" w:cstheme="minorHAnsi"/>
          <w:color w:val="000000"/>
        </w:rPr>
        <w:t>means</w:t>
      </w:r>
      <w:r>
        <w:rPr>
          <w:rFonts w:eastAsia="Times New Roman" w:cstheme="minorHAnsi"/>
          <w:szCs w:val="24"/>
        </w:rPr>
        <w:t xml:space="preserve"> based on respondents; we will not produce estimates intended to apply to any broader population. </w:t>
      </w:r>
    </w:p>
    <w:p w:rsidR="00A42C71" w:rsidRPr="001A59B6" w:rsidP="00F57BB2" w14:paraId="5A639760" w14:textId="03FEC288">
      <w:pPr>
        <w:autoSpaceDE w:val="0"/>
        <w:autoSpaceDN w:val="0"/>
        <w:adjustRightInd w:val="0"/>
        <w:spacing w:before="240" w:after="120" w:line="240" w:lineRule="atLeast"/>
        <w:outlineLvl w:val="0"/>
        <w:rPr>
          <w:rFonts w:eastAsia="Times New Roman" w:cstheme="minorHAnsi"/>
          <w:b/>
          <w:bCs/>
          <w:color w:val="000000"/>
        </w:rPr>
      </w:pPr>
      <w:r w:rsidRPr="001A59B6">
        <w:rPr>
          <w:rFonts w:eastAsia="Times New Roman" w:cstheme="minorHAnsi"/>
          <w:b/>
          <w:bCs/>
          <w:color w:val="000000"/>
        </w:rPr>
        <w:t>B7.</w:t>
      </w:r>
      <w:r w:rsidR="00083A33">
        <w:rPr>
          <w:rFonts w:eastAsia="Times New Roman" w:cstheme="minorHAnsi"/>
          <w:color w:val="000000"/>
        </w:rPr>
        <w:tab/>
      </w:r>
      <w:r w:rsidRPr="001A59B6">
        <w:rPr>
          <w:rFonts w:eastAsia="Times New Roman" w:cstheme="minorHAnsi"/>
          <w:b/>
          <w:bCs/>
          <w:color w:val="000000"/>
        </w:rPr>
        <w:t>Data Handling and Analysis</w:t>
      </w:r>
    </w:p>
    <w:p w:rsidR="00A42C71" w:rsidRPr="001A59B6" w:rsidP="00A42C71" w14:paraId="39B31B50" w14:textId="77777777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1A59B6">
        <w:rPr>
          <w:rFonts w:eastAsia="Times New Roman" w:cstheme="minorHAnsi"/>
          <w:bCs/>
          <w:i/>
          <w:color w:val="000000"/>
        </w:rPr>
        <w:t>Data Handling</w:t>
      </w:r>
    </w:p>
    <w:p w:rsidR="00A42C71" w:rsidRPr="001A59B6" w:rsidP="004F7CFF" w14:paraId="272B92F2" w14:textId="60B78BBF">
      <w:pPr>
        <w:spacing w:after="240" w:line="240" w:lineRule="auto"/>
        <w:ind w:firstLine="446"/>
        <w:rPr>
          <w:rFonts w:eastAsia="Times New Roman" w:cstheme="minorHAnsi"/>
          <w:bCs/>
          <w:color w:val="000000"/>
        </w:rPr>
      </w:pPr>
      <w:r>
        <w:t>Grantees and their subrecipients will continue to collect p</w:t>
      </w:r>
      <w:r w:rsidR="00C830D3">
        <w:t>erformance measures</w:t>
      </w:r>
      <w:r w:rsidR="002A464D">
        <w:t xml:space="preserve"> data</w:t>
      </w:r>
      <w:r w:rsidRPr="00AA373E" w:rsidR="00C830D3">
        <w:t xml:space="preserve">. In some cases, grantees will have engaged local evaluators </w:t>
      </w:r>
      <w:r w:rsidR="001E547D">
        <w:t>to</w:t>
      </w:r>
      <w:r w:rsidRPr="00AA373E" w:rsidR="00C830D3">
        <w:t xml:space="preserve"> assist </w:t>
      </w:r>
      <w:r w:rsidR="001E547D">
        <w:t>with</w:t>
      </w:r>
      <w:r w:rsidRPr="00AA373E" w:rsidR="00C830D3">
        <w:t xml:space="preserve"> </w:t>
      </w:r>
      <w:r w:rsidR="00364A4A">
        <w:t>performance measures</w:t>
      </w:r>
      <w:r w:rsidR="00C830D3">
        <w:t xml:space="preserve"> </w:t>
      </w:r>
      <w:r w:rsidRPr="00AA373E" w:rsidR="00C830D3">
        <w:t xml:space="preserve">data collection. </w:t>
      </w:r>
      <w:r w:rsidR="00C830D3">
        <w:t xml:space="preserve">Grantees will </w:t>
      </w:r>
      <w:r w:rsidR="002A464D">
        <w:rPr>
          <w:rFonts w:eastAsia="Times New Roman" w:cstheme="minorHAnsi"/>
          <w:bCs/>
          <w:color w:val="000000"/>
        </w:rPr>
        <w:t xml:space="preserve">continue to </w:t>
      </w:r>
      <w:r w:rsidR="009268F8">
        <w:t>submi</w:t>
      </w:r>
      <w:r w:rsidR="00C830D3">
        <w:t xml:space="preserve">t these data into the </w:t>
      </w:r>
      <w:r w:rsidR="005D1678">
        <w:rPr>
          <w:rFonts w:cstheme="minorHAnsi"/>
        </w:rPr>
        <w:t>web-based data submission portal</w:t>
      </w:r>
      <w:r w:rsidR="00364A4A">
        <w:rPr>
          <w:rFonts w:cstheme="minorHAnsi"/>
        </w:rPr>
        <w:t>, which will continue to be</w:t>
      </w:r>
      <w:r w:rsidR="00C830D3">
        <w:t xml:space="preserve"> maintained by ACF’s contractor, Mathematica. Mathematica will use the data to analyze PREP performance data and to generate performance measurement reports for ACF</w:t>
      </w:r>
      <w:r w:rsidRPr="00AA373E" w:rsidR="00C830D3">
        <w:t>.</w:t>
      </w:r>
    </w:p>
    <w:p w:rsidR="006A22FA" w:rsidP="004F7CFF" w14:paraId="68A55EE6" w14:textId="4F76BC9F">
      <w:pPr>
        <w:spacing w:after="240" w:line="240" w:lineRule="auto"/>
        <w:ind w:firstLine="446"/>
        <w:rPr>
          <w:rFonts w:eastAsia="Times New Roman" w:cstheme="minorHAnsi"/>
          <w:bCs/>
          <w:color w:val="000000"/>
        </w:rPr>
      </w:pPr>
      <w:r w:rsidRPr="00626CD4">
        <w:rPr>
          <w:rFonts w:eastAsia="Times New Roman" w:cstheme="minorHAnsi"/>
          <w:bCs/>
          <w:color w:val="000000"/>
        </w:rPr>
        <w:t xml:space="preserve">The entry screens of the </w:t>
      </w:r>
      <w:r w:rsidR="005D1678">
        <w:rPr>
          <w:rFonts w:eastAsia="Times New Roman" w:cstheme="minorHAnsi"/>
          <w:bCs/>
          <w:color w:val="000000"/>
        </w:rPr>
        <w:t>portal</w:t>
      </w:r>
      <w:r w:rsidR="009B5BE1">
        <w:rPr>
          <w:rFonts w:eastAsia="Times New Roman" w:cstheme="minorHAnsi"/>
          <w:bCs/>
          <w:color w:val="000000"/>
        </w:rPr>
        <w:t xml:space="preserve"> </w:t>
      </w:r>
      <w:r w:rsidR="005D1678">
        <w:rPr>
          <w:rFonts w:eastAsia="Times New Roman" w:cstheme="minorHAnsi"/>
          <w:bCs/>
          <w:color w:val="000000"/>
        </w:rPr>
        <w:t xml:space="preserve">will continue to </w:t>
      </w:r>
      <w:r w:rsidRPr="00626CD4">
        <w:rPr>
          <w:rFonts w:eastAsia="Times New Roman" w:cstheme="minorHAnsi"/>
          <w:bCs/>
          <w:color w:val="000000"/>
        </w:rPr>
        <w:t>include</w:t>
      </w:r>
      <w:r w:rsidRPr="0060520F">
        <w:rPr>
          <w:rFonts w:eastAsia="Times New Roman" w:cstheme="minorHAnsi"/>
          <w:bCs/>
          <w:color w:val="000000"/>
        </w:rPr>
        <w:t xml:space="preserve"> a series of </w:t>
      </w:r>
      <w:r w:rsidRPr="00626CD4">
        <w:rPr>
          <w:rFonts w:eastAsia="Times New Roman" w:cstheme="minorHAnsi"/>
          <w:bCs/>
          <w:color w:val="000000"/>
        </w:rPr>
        <w:t xml:space="preserve">automated </w:t>
      </w:r>
      <w:r w:rsidRPr="0060520F">
        <w:rPr>
          <w:rFonts w:eastAsia="Times New Roman" w:cstheme="minorHAnsi"/>
          <w:bCs/>
          <w:color w:val="000000"/>
        </w:rPr>
        <w:t xml:space="preserve">validity checks to </w:t>
      </w:r>
      <w:r w:rsidRPr="00626CD4">
        <w:rPr>
          <w:rFonts w:eastAsia="Times New Roman" w:cstheme="minorHAnsi"/>
          <w:bCs/>
          <w:color w:val="000000"/>
        </w:rPr>
        <w:t>identify some types of errors as data are entered.</w:t>
      </w:r>
      <w:r w:rsidRPr="00626CD4">
        <w:rPr>
          <w:rFonts w:eastAsia="Times New Roman" w:cstheme="minorHAnsi"/>
          <w:bCs/>
          <w:color w:val="000000"/>
        </w:rPr>
        <w:t xml:space="preserve"> </w:t>
      </w:r>
      <w:r w:rsidRPr="00626CD4">
        <w:rPr>
          <w:rFonts w:eastAsia="Times New Roman" w:cstheme="minorHAnsi"/>
          <w:bCs/>
          <w:color w:val="000000"/>
        </w:rPr>
        <w:t xml:space="preserve">Error messages alert grantees to inconsistencies between data </w:t>
      </w:r>
      <w:r w:rsidRPr="004F7CFF">
        <w:rPr>
          <w:rFonts w:eastAsia="Times New Roman" w:cstheme="minorHAnsi"/>
          <w:color w:val="000000"/>
        </w:rPr>
        <w:t>elements</w:t>
      </w:r>
      <w:r>
        <w:rPr>
          <w:rFonts w:eastAsia="Times New Roman" w:cstheme="minorHAnsi"/>
          <w:bCs/>
          <w:color w:val="000000"/>
        </w:rPr>
        <w:t>, values beyond the expected range,</w:t>
      </w:r>
      <w:r w:rsidRPr="00626CD4">
        <w:rPr>
          <w:rFonts w:eastAsia="Times New Roman" w:cstheme="minorHAnsi"/>
          <w:bCs/>
          <w:color w:val="000000"/>
        </w:rPr>
        <w:t xml:space="preserve"> and similar issues and provide an opportunity for the grantee to correct such errors before data submi</w:t>
      </w:r>
      <w:r w:rsidR="002612F2">
        <w:rPr>
          <w:rFonts w:eastAsia="Times New Roman" w:cstheme="minorHAnsi"/>
          <w:bCs/>
          <w:color w:val="000000"/>
        </w:rPr>
        <w:t>ssion</w:t>
      </w:r>
      <w:r w:rsidRPr="00626CD4">
        <w:rPr>
          <w:rFonts w:eastAsia="Times New Roman" w:cstheme="minorHAnsi"/>
          <w:bCs/>
          <w:color w:val="000000"/>
        </w:rPr>
        <w:t xml:space="preserve">. </w:t>
      </w:r>
      <w:r>
        <w:rPr>
          <w:rFonts w:eastAsia="Times New Roman" w:cstheme="minorHAnsi"/>
          <w:bCs/>
          <w:color w:val="000000"/>
        </w:rPr>
        <w:t>The system also conduct</w:t>
      </w:r>
      <w:r w:rsidR="00C071DB">
        <w:rPr>
          <w:rFonts w:eastAsia="Times New Roman" w:cstheme="minorHAnsi"/>
          <w:bCs/>
          <w:color w:val="000000"/>
        </w:rPr>
        <w:t>s</w:t>
      </w:r>
      <w:r>
        <w:rPr>
          <w:rFonts w:eastAsia="Times New Roman" w:cstheme="minorHAnsi"/>
          <w:bCs/>
          <w:color w:val="000000"/>
        </w:rPr>
        <w:t xml:space="preserve"> automated checks to ensure</w:t>
      </w:r>
      <w:r w:rsidR="001F7AD9">
        <w:rPr>
          <w:rFonts w:eastAsia="Times New Roman" w:cstheme="minorHAnsi"/>
          <w:bCs/>
          <w:color w:val="000000"/>
        </w:rPr>
        <w:t xml:space="preserve"> entry of</w:t>
      </w:r>
      <w:r w:rsidRPr="0060520F">
        <w:rPr>
          <w:rFonts w:eastAsia="Times New Roman" w:cstheme="minorHAnsi"/>
          <w:bCs/>
          <w:color w:val="000000"/>
        </w:rPr>
        <w:t xml:space="preserve"> the full set of performance measures. </w:t>
      </w:r>
    </w:p>
    <w:p w:rsidR="006A22FA" w:rsidP="004F7CFF" w14:paraId="45D1E4E1" w14:textId="13AFE9AA">
      <w:pPr>
        <w:spacing w:after="240" w:line="240" w:lineRule="auto"/>
        <w:ind w:firstLine="446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Mathematica conducts a</w:t>
      </w:r>
      <w:r>
        <w:rPr>
          <w:rFonts w:eastAsia="Times New Roman" w:cstheme="minorHAnsi"/>
          <w:bCs/>
          <w:color w:val="000000"/>
        </w:rPr>
        <w:t>dditional quality checks to identify remaining issues. C</w:t>
      </w:r>
      <w:r w:rsidRPr="0060520F">
        <w:rPr>
          <w:rFonts w:eastAsia="Times New Roman" w:cstheme="minorHAnsi"/>
          <w:bCs/>
          <w:color w:val="000000"/>
        </w:rPr>
        <w:t xml:space="preserve">ases with </w:t>
      </w:r>
      <w:r w:rsidRPr="009A0DD2">
        <w:rPr>
          <w:rFonts w:eastAsia="Times New Roman" w:cstheme="minorHAnsi"/>
          <w:bCs/>
          <w:color w:val="000000"/>
        </w:rPr>
        <w:t xml:space="preserve">unresolved </w:t>
      </w:r>
      <w:r>
        <w:rPr>
          <w:rFonts w:eastAsia="Times New Roman" w:cstheme="minorHAnsi"/>
          <w:bCs/>
          <w:color w:val="000000"/>
        </w:rPr>
        <w:t xml:space="preserve">data issues may be </w:t>
      </w:r>
      <w:r w:rsidRPr="004F7CFF">
        <w:rPr>
          <w:rFonts w:eastAsia="Times New Roman" w:cstheme="minorHAnsi"/>
          <w:color w:val="000000"/>
        </w:rPr>
        <w:t>omitted</w:t>
      </w:r>
      <w:r w:rsidRPr="0060520F">
        <w:rPr>
          <w:rFonts w:eastAsia="Times New Roman" w:cstheme="minorHAnsi"/>
          <w:bCs/>
          <w:color w:val="000000"/>
        </w:rPr>
        <w:t xml:space="preserve"> from analyses that rely on problematic data elements.</w:t>
      </w:r>
      <w:r>
        <w:rPr>
          <w:rFonts w:eastAsia="Times New Roman" w:cstheme="minorHAnsi"/>
          <w:bCs/>
          <w:color w:val="000000"/>
        </w:rPr>
        <w:t xml:space="preserve"> If suspect data are included in any tabulations, caveats will be included alongside the reported data.</w:t>
      </w:r>
    </w:p>
    <w:p w:rsidR="00A42C71" w:rsidRPr="001A59B6" w:rsidP="00A42C71" w14:paraId="029DADD1" w14:textId="6854E36F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1A59B6">
        <w:rPr>
          <w:rFonts w:eastAsia="Times New Roman" w:cstheme="minorHAnsi"/>
          <w:bCs/>
          <w:i/>
          <w:color w:val="000000"/>
        </w:rPr>
        <w:t>Data Analysis</w:t>
      </w:r>
    </w:p>
    <w:p w:rsidR="00A42C71" w:rsidRPr="00570BBC" w:rsidP="004F7CFF" w14:paraId="0B8C1089" w14:textId="4F473D3F">
      <w:pPr>
        <w:spacing w:after="240" w:line="240" w:lineRule="auto"/>
        <w:ind w:firstLine="446"/>
        <w:rPr>
          <w:rFonts w:eastAsia="Times New Roman" w:cstheme="minorHAnsi"/>
          <w:bCs/>
          <w:color w:val="000000"/>
        </w:rPr>
      </w:pPr>
      <w:r w:rsidRPr="00570BBC">
        <w:rPr>
          <w:rFonts w:eastAsia="Times New Roman" w:cstheme="minorHAnsi"/>
          <w:bCs/>
          <w:color w:val="000000"/>
        </w:rPr>
        <w:t>As in earlier rounds of PREP performance measures data, the contractor will analyze PREP performance data to generate performance measurement reports for ACF and other audiences. Core analyses will include comput</w:t>
      </w:r>
      <w:r w:rsidR="001F7AD9">
        <w:rPr>
          <w:rFonts w:eastAsia="Times New Roman" w:cstheme="minorHAnsi"/>
          <w:bCs/>
          <w:color w:val="000000"/>
        </w:rPr>
        <w:t>ation of</w:t>
      </w:r>
      <w:r w:rsidRPr="00570BBC">
        <w:rPr>
          <w:rFonts w:eastAsia="Times New Roman" w:cstheme="minorHAnsi"/>
          <w:bCs/>
          <w:color w:val="000000"/>
        </w:rPr>
        <w:t xml:space="preserve"> means and </w:t>
      </w:r>
      <w:r w:rsidRPr="004F7CFF">
        <w:rPr>
          <w:rFonts w:eastAsia="Times New Roman" w:cstheme="minorHAnsi"/>
          <w:color w:val="000000"/>
        </w:rPr>
        <w:t>sums</w:t>
      </w:r>
      <w:r w:rsidRPr="00570BBC">
        <w:rPr>
          <w:rFonts w:eastAsia="Times New Roman" w:cstheme="minorHAnsi"/>
          <w:bCs/>
          <w:color w:val="000000"/>
        </w:rPr>
        <w:t xml:space="preserve"> of continuous numeric measures (such as number of participants served) and</w:t>
      </w:r>
      <w:r w:rsidR="00BF7A8D">
        <w:rPr>
          <w:rFonts w:eastAsia="Times New Roman" w:cstheme="minorHAnsi"/>
          <w:bCs/>
          <w:color w:val="000000"/>
        </w:rPr>
        <w:t xml:space="preserve"> calculation of</w:t>
      </w:r>
      <w:r w:rsidRPr="00570BBC">
        <w:rPr>
          <w:rFonts w:eastAsia="Times New Roman" w:cstheme="minorHAnsi"/>
          <w:bCs/>
          <w:color w:val="000000"/>
        </w:rPr>
        <w:t xml:space="preserve"> frequency distributions of categorical and character variables (such as program models implemented). </w:t>
      </w:r>
      <w:r w:rsidR="008852F0">
        <w:rPr>
          <w:rFonts w:cstheme="minorHAnsi"/>
        </w:rPr>
        <w:t>T</w:t>
      </w:r>
      <w:r w:rsidRPr="00343B30" w:rsidR="008852F0">
        <w:rPr>
          <w:rFonts w:cstheme="minorHAnsi"/>
        </w:rPr>
        <w:t xml:space="preserve">he </w:t>
      </w:r>
      <w:r w:rsidR="008852F0">
        <w:rPr>
          <w:rFonts w:cstheme="minorHAnsi"/>
        </w:rPr>
        <w:t xml:space="preserve">shift from </w:t>
      </w:r>
      <w:r w:rsidRPr="00343B30" w:rsidR="008852F0">
        <w:rPr>
          <w:rFonts w:cstheme="minorHAnsi"/>
        </w:rPr>
        <w:t xml:space="preserve">grantees </w:t>
      </w:r>
      <w:r w:rsidR="008852F0">
        <w:rPr>
          <w:rFonts w:cstheme="minorHAnsi"/>
        </w:rPr>
        <w:t xml:space="preserve">submitting </w:t>
      </w:r>
      <w:r w:rsidRPr="00343B30" w:rsidR="008852F0">
        <w:rPr>
          <w:rFonts w:cstheme="minorHAnsi"/>
          <w:bCs/>
          <w:iCs/>
        </w:rPr>
        <w:t>aggregate</w:t>
      </w:r>
      <w:r w:rsidRPr="00343B30" w:rsidR="008852F0">
        <w:rPr>
          <w:rFonts w:cstheme="minorHAnsi"/>
          <w:lang w:eastAsia="ja-JP"/>
        </w:rPr>
        <w:t xml:space="preserve"> </w:t>
      </w:r>
      <w:r w:rsidRPr="00343B30" w:rsidR="008852F0">
        <w:rPr>
          <w:rFonts w:cstheme="minorHAnsi"/>
          <w:bCs/>
          <w:iCs/>
        </w:rPr>
        <w:t>participant survey data</w:t>
      </w:r>
      <w:r w:rsidRPr="00343B30" w:rsidR="008852F0">
        <w:rPr>
          <w:rFonts w:cstheme="minorHAnsi"/>
          <w:lang w:eastAsia="ja-JP"/>
        </w:rPr>
        <w:t xml:space="preserve"> </w:t>
      </w:r>
      <w:r w:rsidRPr="00343B30" w:rsidR="008852F0">
        <w:rPr>
          <w:rFonts w:cstheme="minorHAnsi"/>
        </w:rPr>
        <w:t xml:space="preserve">to individual-level survey responses </w:t>
      </w:r>
      <w:r w:rsidR="008852F0">
        <w:rPr>
          <w:rFonts w:cstheme="minorHAnsi"/>
        </w:rPr>
        <w:t xml:space="preserve">will allow </w:t>
      </w:r>
      <w:r w:rsidRPr="00343B30" w:rsidR="008852F0">
        <w:rPr>
          <w:rFonts w:cstheme="minorHAnsi"/>
        </w:rPr>
        <w:t xml:space="preserve">ACF </w:t>
      </w:r>
      <w:r w:rsidR="008852F0">
        <w:rPr>
          <w:rFonts w:cstheme="minorHAnsi"/>
        </w:rPr>
        <w:t xml:space="preserve">to conduct </w:t>
      </w:r>
      <w:r w:rsidRPr="00343B30" w:rsidR="008852F0">
        <w:rPr>
          <w:rFonts w:cstheme="minorHAnsi"/>
        </w:rPr>
        <w:t>more detailed analys</w:t>
      </w:r>
      <w:r w:rsidR="008852F0">
        <w:rPr>
          <w:rFonts w:cstheme="minorHAnsi"/>
        </w:rPr>
        <w:t>e</w:t>
      </w:r>
      <w:r w:rsidRPr="00343B30" w:rsidR="008852F0">
        <w:rPr>
          <w:rFonts w:cstheme="minorHAnsi"/>
        </w:rPr>
        <w:t>s</w:t>
      </w:r>
      <w:r w:rsidR="008852F0">
        <w:rPr>
          <w:rFonts w:cstheme="minorHAnsi"/>
        </w:rPr>
        <w:t xml:space="preserve">. </w:t>
      </w:r>
      <w:r w:rsidRPr="00570BBC">
        <w:rPr>
          <w:rFonts w:eastAsia="Times New Roman" w:cstheme="minorHAnsi"/>
          <w:bCs/>
          <w:color w:val="000000"/>
        </w:rPr>
        <w:t xml:space="preserve">Cross-tabulations will </w:t>
      </w:r>
      <w:r w:rsidR="007E1915">
        <w:rPr>
          <w:rFonts w:eastAsia="Times New Roman" w:cstheme="minorHAnsi"/>
          <w:bCs/>
          <w:color w:val="000000"/>
        </w:rPr>
        <w:t>explor</w:t>
      </w:r>
      <w:r w:rsidR="00364A4A">
        <w:rPr>
          <w:rFonts w:eastAsia="Times New Roman" w:cstheme="minorHAnsi"/>
          <w:bCs/>
          <w:color w:val="000000"/>
        </w:rPr>
        <w:t>e</w:t>
      </w:r>
      <w:r w:rsidR="007E1915">
        <w:rPr>
          <w:rFonts w:eastAsia="Times New Roman" w:cstheme="minorHAnsi"/>
          <w:bCs/>
          <w:color w:val="000000"/>
        </w:rPr>
        <w:t xml:space="preserve"> </w:t>
      </w:r>
      <w:r w:rsidRPr="00570BBC">
        <w:rPr>
          <w:rFonts w:eastAsia="Times New Roman" w:cstheme="minorHAnsi"/>
          <w:bCs/>
          <w:color w:val="000000"/>
        </w:rPr>
        <w:t>potential relationships between variables</w:t>
      </w:r>
      <w:r w:rsidRPr="00570BBC" w:rsidR="006A339E">
        <w:rPr>
          <w:rFonts w:eastAsia="Times New Roman" w:cstheme="minorHAnsi"/>
          <w:bCs/>
          <w:color w:val="000000"/>
        </w:rPr>
        <w:t>. For example, when participant survey data are submitted</w:t>
      </w:r>
      <w:r w:rsidR="006532D4">
        <w:rPr>
          <w:rFonts w:eastAsia="Times New Roman" w:cstheme="minorHAnsi"/>
          <w:bCs/>
          <w:color w:val="000000"/>
        </w:rPr>
        <w:t xml:space="preserve"> at the </w:t>
      </w:r>
      <w:r w:rsidRPr="00570BBC" w:rsidR="006532D4">
        <w:rPr>
          <w:rFonts w:eastAsia="Times New Roman" w:cstheme="minorHAnsi"/>
          <w:bCs/>
          <w:color w:val="000000"/>
        </w:rPr>
        <w:t>individual</w:t>
      </w:r>
      <w:r w:rsidR="006532D4">
        <w:rPr>
          <w:rFonts w:eastAsia="Times New Roman" w:cstheme="minorHAnsi"/>
          <w:bCs/>
          <w:color w:val="000000"/>
        </w:rPr>
        <w:t xml:space="preserve"> </w:t>
      </w:r>
      <w:r w:rsidRPr="00570BBC" w:rsidR="006532D4">
        <w:rPr>
          <w:rFonts w:eastAsia="Times New Roman" w:cstheme="minorHAnsi"/>
          <w:bCs/>
          <w:color w:val="000000"/>
        </w:rPr>
        <w:t>level</w:t>
      </w:r>
      <w:r w:rsidR="006532D4">
        <w:rPr>
          <w:rFonts w:eastAsia="Times New Roman" w:cstheme="minorHAnsi"/>
          <w:bCs/>
          <w:color w:val="000000"/>
        </w:rPr>
        <w:t xml:space="preserve"> rather than aggregated</w:t>
      </w:r>
      <w:r w:rsidRPr="00570BBC" w:rsidR="006A339E">
        <w:rPr>
          <w:rFonts w:eastAsia="Times New Roman" w:cstheme="minorHAnsi"/>
          <w:bCs/>
          <w:color w:val="000000"/>
        </w:rPr>
        <w:t>, we can examine</w:t>
      </w:r>
      <w:r w:rsidRPr="00570BBC">
        <w:rPr>
          <w:rFonts w:eastAsia="Times New Roman" w:cstheme="minorHAnsi"/>
          <w:bCs/>
          <w:color w:val="000000"/>
        </w:rPr>
        <w:t xml:space="preserve"> whether </w:t>
      </w:r>
      <w:r w:rsidRPr="00570BBC" w:rsidR="006A339E">
        <w:rPr>
          <w:rFonts w:eastAsia="Times New Roman" w:cstheme="minorHAnsi"/>
          <w:bCs/>
          <w:color w:val="000000"/>
        </w:rPr>
        <w:t>participant</w:t>
      </w:r>
      <w:r w:rsidR="000E752F">
        <w:rPr>
          <w:rFonts w:eastAsia="Times New Roman" w:cstheme="minorHAnsi"/>
          <w:bCs/>
          <w:color w:val="000000"/>
        </w:rPr>
        <w:t>s</w:t>
      </w:r>
      <w:r w:rsidRPr="00570BBC" w:rsidR="006A339E">
        <w:rPr>
          <w:rFonts w:eastAsia="Times New Roman" w:cstheme="minorHAnsi"/>
          <w:bCs/>
          <w:color w:val="000000"/>
        </w:rPr>
        <w:t xml:space="preserve">’ </w:t>
      </w:r>
      <w:r w:rsidRPr="00570BBC">
        <w:rPr>
          <w:rFonts w:eastAsia="Times New Roman" w:cstheme="minorHAnsi"/>
          <w:bCs/>
          <w:color w:val="000000"/>
        </w:rPr>
        <w:t xml:space="preserve">perceptions of program effects differ by </w:t>
      </w:r>
      <w:r w:rsidRPr="00570BBC" w:rsidR="006A339E">
        <w:rPr>
          <w:rFonts w:eastAsia="Times New Roman" w:cstheme="minorHAnsi"/>
          <w:bCs/>
          <w:color w:val="000000"/>
        </w:rPr>
        <w:t xml:space="preserve">demographic </w:t>
      </w:r>
      <w:r w:rsidRPr="00570BBC">
        <w:rPr>
          <w:rFonts w:eastAsia="Times New Roman" w:cstheme="minorHAnsi"/>
          <w:bCs/>
          <w:color w:val="000000"/>
        </w:rPr>
        <w:t xml:space="preserve">characteristics. We will examine changes in the performance measures data over time. Analyses will continue to be conducted separately for each of the four PREP funding streams (SPREP, TPREP, CPREP, and PREIS). </w:t>
      </w:r>
    </w:p>
    <w:p w:rsidR="00A42C71" w:rsidRPr="001A59B6" w:rsidP="00A42C71" w14:paraId="502BA51B" w14:textId="38754342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1A59B6">
        <w:rPr>
          <w:rFonts w:eastAsia="Times New Roman" w:cstheme="minorHAnsi"/>
          <w:bCs/>
          <w:i/>
          <w:color w:val="000000"/>
        </w:rPr>
        <w:t>Data Use</w:t>
      </w:r>
    </w:p>
    <w:p w:rsidR="003825C9" w:rsidRPr="0050403C" w:rsidP="004F7CFF" w14:paraId="4EC91685" w14:textId="631B299A">
      <w:pPr>
        <w:spacing w:after="240" w:line="240" w:lineRule="auto"/>
        <w:ind w:firstLine="446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 addition </w:t>
      </w:r>
      <w:r w:rsidR="00F66512">
        <w:rPr>
          <w:rFonts w:eastAsia="Times New Roman" w:cstheme="minorHAnsi"/>
        </w:rPr>
        <w:t xml:space="preserve">to </w:t>
      </w:r>
      <w:r w:rsidR="001A17A9">
        <w:rPr>
          <w:rFonts w:eastAsia="Times New Roman" w:cstheme="minorHAnsi"/>
        </w:rPr>
        <w:t>the availability of the data</w:t>
      </w:r>
      <w:r>
        <w:rPr>
          <w:rFonts w:eastAsia="Times New Roman" w:cstheme="minorHAnsi"/>
        </w:rPr>
        <w:t xml:space="preserve"> to ACF</w:t>
      </w:r>
      <w:r w:rsidR="00043CA7">
        <w:rPr>
          <w:rFonts w:eastAsia="Times New Roman" w:cstheme="minorHAnsi"/>
        </w:rPr>
        <w:t xml:space="preserve"> </w:t>
      </w:r>
      <w:r w:rsidR="001A17A9">
        <w:rPr>
          <w:rFonts w:eastAsia="Times New Roman" w:cstheme="minorHAnsi"/>
        </w:rPr>
        <w:t xml:space="preserve">and grantees in the </w:t>
      </w:r>
      <w:r w:rsidR="00364A4A">
        <w:rPr>
          <w:rFonts w:eastAsia="Times New Roman" w:cstheme="minorHAnsi"/>
        </w:rPr>
        <w:t>D</w:t>
      </w:r>
      <w:r w:rsidR="00043CA7">
        <w:rPr>
          <w:rFonts w:eastAsia="Times New Roman" w:cstheme="minorHAnsi"/>
        </w:rPr>
        <w:t>ashboard</w:t>
      </w:r>
      <w:r>
        <w:rPr>
          <w:rFonts w:eastAsia="Times New Roman" w:cstheme="minorHAnsi"/>
        </w:rPr>
        <w:t xml:space="preserve">, the performance measures data will </w:t>
      </w:r>
      <w:r w:rsidR="008E0EC0">
        <w:rPr>
          <w:rFonts w:eastAsia="Times New Roman" w:cstheme="minorHAnsi"/>
        </w:rPr>
        <w:t xml:space="preserve">continue to </w:t>
      </w:r>
      <w:r>
        <w:rPr>
          <w:rFonts w:eastAsia="Times New Roman" w:cstheme="minorHAnsi"/>
        </w:rPr>
        <w:t xml:space="preserve">be used to develop </w:t>
      </w:r>
      <w:r w:rsidR="006A339E">
        <w:rPr>
          <w:rFonts w:eastAsia="Times New Roman" w:cstheme="minorHAnsi"/>
        </w:rPr>
        <w:t xml:space="preserve">fact sheets, </w:t>
      </w:r>
      <w:r>
        <w:rPr>
          <w:rFonts w:eastAsia="Times New Roman" w:cstheme="minorHAnsi"/>
        </w:rPr>
        <w:t>end-of-cohort reports,</w:t>
      </w:r>
      <w:r w:rsidR="006A339E">
        <w:rPr>
          <w:rFonts w:eastAsia="Times New Roman" w:cstheme="minorHAnsi"/>
        </w:rPr>
        <w:t xml:space="preserve"> and briefs. End-of-cohort reports</w:t>
      </w:r>
      <w:r>
        <w:rPr>
          <w:rFonts w:eastAsia="Times New Roman" w:cstheme="minorHAnsi"/>
        </w:rPr>
        <w:t xml:space="preserve"> synthesize </w:t>
      </w:r>
      <w:r w:rsidRPr="004F7CFF">
        <w:rPr>
          <w:rFonts w:eastAsia="Times New Roman" w:cstheme="minorHAnsi"/>
          <w:color w:val="000000"/>
        </w:rPr>
        <w:t>performance</w:t>
      </w:r>
      <w:r>
        <w:rPr>
          <w:rFonts w:eastAsia="Times New Roman" w:cstheme="minorHAnsi"/>
        </w:rPr>
        <w:t xml:space="preserve"> measures data across years </w:t>
      </w:r>
      <w:r w:rsidR="006A339E">
        <w:rPr>
          <w:rFonts w:eastAsia="Times New Roman" w:cstheme="minorHAnsi"/>
        </w:rPr>
        <w:t xml:space="preserve">and </w:t>
      </w:r>
      <w:r>
        <w:rPr>
          <w:rFonts w:eastAsia="Times New Roman" w:cstheme="minorHAnsi"/>
        </w:rPr>
        <w:t>include summaries of the data collection and analysis methods as well as appropriate caveats and data limitations.</w:t>
      </w:r>
      <w:r w:rsidRPr="00F66512" w:rsidR="00F66512">
        <w:rPr>
          <w:rFonts w:eastAsia="Times New Roman" w:cstheme="minorHAnsi"/>
        </w:rPr>
        <w:t xml:space="preserve"> </w:t>
      </w:r>
      <w:r w:rsidR="00F66512">
        <w:rPr>
          <w:rFonts w:eastAsia="Times New Roman" w:cstheme="minorHAnsi"/>
        </w:rPr>
        <w:t>ACF also use</w:t>
      </w:r>
      <w:r w:rsidR="006A339E">
        <w:rPr>
          <w:rFonts w:eastAsia="Times New Roman" w:cstheme="minorHAnsi"/>
        </w:rPr>
        <w:t>s</w:t>
      </w:r>
      <w:r w:rsidR="00F66512">
        <w:rPr>
          <w:rFonts w:eastAsia="Times New Roman" w:cstheme="minorHAnsi"/>
        </w:rPr>
        <w:t xml:space="preserve"> the data for annual report</w:t>
      </w:r>
      <w:r w:rsidR="00C8550B">
        <w:rPr>
          <w:rFonts w:eastAsia="Times New Roman" w:cstheme="minorHAnsi"/>
        </w:rPr>
        <w:t xml:space="preserve">s </w:t>
      </w:r>
      <w:r w:rsidR="00F66512">
        <w:rPr>
          <w:rFonts w:eastAsia="Times New Roman" w:cstheme="minorHAnsi"/>
        </w:rPr>
        <w:t xml:space="preserve">to Congress and OMB.  </w:t>
      </w:r>
    </w:p>
    <w:p w:rsidR="00A42C71" w:rsidP="00C96DE2" w14:paraId="1C0321C0" w14:textId="58F86B2C">
      <w:pPr>
        <w:rPr>
          <w:rFonts w:eastAsia="Times New Roman" w:cstheme="minorHAnsi"/>
        </w:rPr>
      </w:pPr>
      <w:r w:rsidRPr="001A59B6">
        <w:rPr>
          <w:rFonts w:eastAsia="Times New Roman" w:cstheme="minorHAnsi"/>
          <w:b/>
          <w:bCs/>
        </w:rPr>
        <w:t xml:space="preserve">B8.  </w:t>
      </w:r>
      <w:r w:rsidR="00083A33">
        <w:rPr>
          <w:rFonts w:eastAsia="Times New Roman" w:cstheme="minorHAnsi"/>
          <w:b/>
          <w:bCs/>
        </w:rPr>
        <w:tab/>
      </w:r>
      <w:r w:rsidRPr="001A59B6">
        <w:rPr>
          <w:rFonts w:eastAsia="Times New Roman" w:cstheme="minorHAnsi"/>
          <w:b/>
          <w:bCs/>
        </w:rPr>
        <w:t>Contact Persons</w:t>
      </w:r>
      <w:r w:rsidRPr="001A59B6">
        <w:rPr>
          <w:rFonts w:eastAsia="Times New Roman" w:cstheme="minorHAnsi"/>
        </w:rPr>
        <w:t xml:space="preserve">  </w:t>
      </w:r>
    </w:p>
    <w:p w:rsidR="003825C9" w:rsidRPr="003825C9" w:rsidP="003825C9" w14:paraId="2B95C0C7" w14:textId="24422C5E">
      <w:pPr>
        <w:pStyle w:val="ListParagraph"/>
        <w:numPr>
          <w:ilvl w:val="0"/>
          <w:numId w:val="33"/>
        </w:numPr>
        <w:spacing w:after="0" w:line="240" w:lineRule="auto"/>
        <w:rPr>
          <w:rStyle w:val="Hyperlink"/>
          <w:rFonts w:cstheme="minorHAnsi"/>
          <w:color w:val="auto"/>
          <w:u w:val="none"/>
        </w:rPr>
      </w:pPr>
      <w:r>
        <w:rPr>
          <w:rFonts w:eastAsia="Times New Roman" w:cstheme="minorHAnsi"/>
        </w:rPr>
        <w:t>Caryn Blitz</w:t>
      </w:r>
      <w:r w:rsidR="001746A6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OPRE, ACF, </w:t>
      </w:r>
      <w:hyperlink r:id="rId9" w:history="1">
        <w:r w:rsidRPr="00B20C7B">
          <w:rPr>
            <w:rStyle w:val="Hyperlink"/>
            <w:rFonts w:ascii="Calibri" w:eastAsia="Times New Roman" w:hAnsi="Calibri" w:cs="Calibri"/>
          </w:rPr>
          <w:t>Caryn.Blitz@acf.hhs.gov</w:t>
        </w:r>
      </w:hyperlink>
    </w:p>
    <w:p w:rsidR="003825C9" w:rsidRPr="003825C9" w:rsidP="003825C9" w14:paraId="59554414" w14:textId="3ED29241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3825C9">
        <w:rPr>
          <w:rFonts w:eastAsia="Times New Roman" w:cstheme="minorHAnsi"/>
        </w:rPr>
        <w:t xml:space="preserve">Tia </w:t>
      </w:r>
      <w:r w:rsidR="006A339E">
        <w:rPr>
          <w:rFonts w:eastAsia="Times New Roman" w:cstheme="minorHAnsi"/>
        </w:rPr>
        <w:t>Brown</w:t>
      </w:r>
      <w:r>
        <w:rPr>
          <w:rFonts w:eastAsia="Times New Roman" w:cstheme="minorHAnsi"/>
        </w:rPr>
        <w:t>, OPRE, ACF, Tia.</w:t>
      </w:r>
      <w:r w:rsidR="006A339E">
        <w:rPr>
          <w:rFonts w:eastAsia="Times New Roman" w:cstheme="minorHAnsi"/>
        </w:rPr>
        <w:t>Brown</w:t>
      </w:r>
      <w:r>
        <w:rPr>
          <w:rFonts w:eastAsia="Times New Roman" w:cstheme="minorHAnsi"/>
        </w:rPr>
        <w:t>@acf.hhs.gov</w:t>
      </w:r>
    </w:p>
    <w:p w:rsidR="003825C9" w:rsidRPr="003825C9" w:rsidP="003825C9" w14:paraId="51BFA8F3" w14:textId="48971EC3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3825C9">
        <w:rPr>
          <w:rFonts w:eastAsia="Times New Roman" w:cstheme="minorHAnsi"/>
        </w:rPr>
        <w:t>Lara Hulsey</w:t>
      </w:r>
      <w:r>
        <w:rPr>
          <w:rFonts w:eastAsia="Times New Roman" w:cstheme="minorHAnsi"/>
        </w:rPr>
        <w:t>, Mathematica (contractor), lhulsey@mathematica-mpr.com</w:t>
      </w:r>
    </w:p>
    <w:p w:rsidR="006F5CEA" w:rsidRPr="006F5CEA" w:rsidP="003825C9" w14:paraId="53C7E03C" w14:textId="45E038EE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3825C9">
        <w:rPr>
          <w:rFonts w:eastAsia="Times New Roman" w:cstheme="minorHAnsi"/>
        </w:rPr>
        <w:t>Lauren Murphy</w:t>
      </w:r>
      <w:r>
        <w:rPr>
          <w:rFonts w:eastAsia="Times New Roman" w:cstheme="minorHAnsi"/>
        </w:rPr>
        <w:t>, Mathematica (contractor),</w:t>
      </w:r>
      <w:r w:rsidR="00D2451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lmurphy@mathematica-mpr.com</w:t>
      </w:r>
    </w:p>
    <w:p w:rsidR="003825C9" w:rsidRPr="00B95671" w:rsidP="003825C9" w14:paraId="49E90E42" w14:textId="05EF78E4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B95671">
        <w:rPr>
          <w:rFonts w:eastAsia="Times New Roman" w:cstheme="minorHAnsi"/>
        </w:rPr>
        <w:t>Kim McDonald</w:t>
      </w:r>
      <w:r w:rsidRPr="00B95671" w:rsidR="006F5CEA">
        <w:rPr>
          <w:rFonts w:eastAsia="Times New Roman" w:cstheme="minorHAnsi"/>
        </w:rPr>
        <w:t xml:space="preserve">, Mathematica (contractor), </w:t>
      </w:r>
      <w:r>
        <w:rPr>
          <w:rFonts w:eastAsia="Times New Roman" w:cstheme="minorHAnsi"/>
        </w:rPr>
        <w:t>kmcdonald</w:t>
      </w:r>
      <w:r w:rsidRPr="00B95671" w:rsidR="006F5CEA">
        <w:rPr>
          <w:rFonts w:eastAsia="Times New Roman" w:cstheme="minorHAnsi"/>
        </w:rPr>
        <w:t>@mathematica-mpr.com</w:t>
      </w:r>
      <w:r w:rsidRPr="00B95671">
        <w:rPr>
          <w:rFonts w:eastAsia="Times New Roman" w:cstheme="minorHAnsi"/>
        </w:rPr>
        <w:t xml:space="preserve">  </w:t>
      </w:r>
    </w:p>
    <w:p w:rsidR="00A42C71" w:rsidRPr="00B95671" w:rsidP="00A42C71" w14:paraId="3F327361" w14:textId="77777777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A42C71" w:rsidRPr="001A59B6" w:rsidP="00A42C71" w14:paraId="2B00F308" w14:textId="62EE22AD">
      <w:pPr>
        <w:spacing w:after="120" w:line="240" w:lineRule="auto"/>
        <w:rPr>
          <w:rFonts w:cstheme="minorHAnsi"/>
          <w:b/>
        </w:rPr>
      </w:pPr>
      <w:r w:rsidRPr="001A59B6">
        <w:rPr>
          <w:rFonts w:cstheme="minorHAnsi"/>
          <w:b/>
        </w:rPr>
        <w:t>Attachments</w:t>
      </w:r>
    </w:p>
    <w:p w:rsidR="00070317" w:rsidRPr="00AA452D" w:rsidP="00547AB6" w14:paraId="6F2A5AC1" w14:textId="6D59F860">
      <w:pPr>
        <w:spacing w:after="0" w:line="240" w:lineRule="auto"/>
      </w:pPr>
      <w:bookmarkStart w:id="5" w:name="_Hlk36117514"/>
      <w:r w:rsidRPr="00AA452D">
        <w:t xml:space="preserve">Instrument 1: Entry </w:t>
      </w:r>
      <w:r w:rsidR="00AF3340">
        <w:t>s</w:t>
      </w:r>
      <w:r w:rsidRPr="00AA452D">
        <w:t xml:space="preserve">urvey for high school and older youth </w:t>
      </w:r>
    </w:p>
    <w:p w:rsidR="00070317" w:rsidRPr="00AA452D" w:rsidP="00547AB6" w14:paraId="46E87FAB" w14:textId="77777777">
      <w:pPr>
        <w:spacing w:after="0" w:line="240" w:lineRule="auto"/>
        <w:ind w:left="720"/>
      </w:pPr>
      <w:r w:rsidRPr="00AA452D">
        <w:t xml:space="preserve">1a: Entry survey for middle school youth </w:t>
      </w:r>
    </w:p>
    <w:p w:rsidR="00070317" w:rsidRPr="00AA452D" w:rsidP="00547AB6" w14:paraId="54CB4C08" w14:textId="65EF5E55">
      <w:pPr>
        <w:spacing w:after="0" w:line="240" w:lineRule="auto"/>
        <w:ind w:left="720"/>
      </w:pPr>
      <w:r w:rsidRPr="00AA452D">
        <w:t xml:space="preserve">1b: Entry survey for high school </w:t>
      </w:r>
      <w:r w:rsidR="00C67AC3">
        <w:t xml:space="preserve">and older youth </w:t>
      </w:r>
      <w:r>
        <w:t>(</w:t>
      </w:r>
      <w:r w:rsidRPr="00AA452D">
        <w:t>PREIS</w:t>
      </w:r>
      <w:r>
        <w:t>/</w:t>
      </w:r>
      <w:r w:rsidRPr="00AA452D">
        <w:t>TPREP</w:t>
      </w:r>
      <w:r>
        <w:t>)</w:t>
      </w:r>
    </w:p>
    <w:p w:rsidR="00070317" w:rsidRPr="00AA452D" w:rsidP="00547AB6" w14:paraId="1630B051" w14:textId="7AB240D7">
      <w:pPr>
        <w:spacing w:after="0" w:line="240" w:lineRule="auto"/>
        <w:ind w:left="720"/>
      </w:pPr>
      <w:r w:rsidRPr="00AA452D">
        <w:t>1</w:t>
      </w:r>
      <w:r w:rsidR="001117AF">
        <w:t>c</w:t>
      </w:r>
      <w:r w:rsidRPr="00AA452D">
        <w:t>: Entry survey for middle school youth</w:t>
      </w:r>
      <w:r>
        <w:t xml:space="preserve"> (</w:t>
      </w:r>
      <w:r w:rsidRPr="00AA452D">
        <w:t>PREIS</w:t>
      </w:r>
      <w:r>
        <w:t>/</w:t>
      </w:r>
      <w:r w:rsidRPr="00AA452D">
        <w:t>TPREP</w:t>
      </w:r>
      <w:r>
        <w:t>)</w:t>
      </w:r>
      <w:r w:rsidRPr="00AA452D">
        <w:t xml:space="preserve"> </w:t>
      </w:r>
    </w:p>
    <w:p w:rsidR="00CA11DA" w:rsidRPr="000748A3" w:rsidP="00547AB6" w14:paraId="7DDB4B2D" w14:textId="77777777">
      <w:pPr>
        <w:spacing w:after="0" w:line="240" w:lineRule="auto"/>
      </w:pPr>
      <w:r w:rsidRPr="000748A3">
        <w:t xml:space="preserve">Instrument 2: Exit survey for high school and older youth </w:t>
      </w:r>
    </w:p>
    <w:p w:rsidR="00CA11DA" w:rsidRPr="000748A3" w:rsidP="00547AB6" w14:paraId="60DFFFCC" w14:textId="77777777">
      <w:pPr>
        <w:spacing w:after="0" w:line="240" w:lineRule="auto"/>
        <w:ind w:left="720"/>
      </w:pPr>
      <w:r w:rsidRPr="000748A3">
        <w:t xml:space="preserve">2a: Exit survey for middle school youth </w:t>
      </w:r>
    </w:p>
    <w:bookmarkEnd w:id="5"/>
    <w:p w:rsidR="00F57BB2" w:rsidP="00F57BB2" w14:paraId="5D625984" w14:textId="4406AEEF">
      <w:pPr>
        <w:spacing w:after="0" w:line="240" w:lineRule="auto"/>
        <w:ind w:left="720" w:hanging="720"/>
      </w:pPr>
      <w:r>
        <w:t>Instrument 3a: Performance Reporting System Data Entry Form (2022-2023)</w:t>
      </w:r>
    </w:p>
    <w:p w:rsidR="00F57BB2" w:rsidP="00F57BB2" w14:paraId="2111167D" w14:textId="76516444">
      <w:pPr>
        <w:spacing w:after="0" w:line="240" w:lineRule="auto"/>
        <w:ind w:left="720"/>
      </w:pPr>
      <w:r>
        <w:t>Instrument 3b: Performance Reporting System Data Entry Form (2023</w:t>
      </w:r>
      <w:r w:rsidR="00F36D4C">
        <w:t>+</w:t>
      </w:r>
      <w:r>
        <w:t>)</w:t>
      </w:r>
    </w:p>
    <w:p w:rsidR="00F57BB2" w:rsidRPr="00CE140E" w:rsidP="00F57BB2" w14:paraId="279884B7" w14:textId="3DA01F5F">
      <w:pPr>
        <w:spacing w:after="0" w:line="240" w:lineRule="auto"/>
        <w:rPr>
          <w:bCs/>
        </w:rPr>
      </w:pPr>
      <w:r>
        <w:t xml:space="preserve">Instrument 4a: </w:t>
      </w:r>
      <w:r>
        <w:rPr>
          <w:bCs/>
        </w:rPr>
        <w:t>Subrecipient</w:t>
      </w:r>
      <w:r w:rsidRPr="00487B33">
        <w:rPr>
          <w:bCs/>
        </w:rPr>
        <w:t xml:space="preserve"> Data Collection and Reporting Form</w:t>
      </w:r>
      <w:r>
        <w:rPr>
          <w:bCs/>
        </w:rPr>
        <w:t xml:space="preserve"> (2022-2023)</w:t>
      </w:r>
    </w:p>
    <w:p w:rsidR="00F57BB2" w:rsidP="00F57BB2" w14:paraId="21282903" w14:textId="7BED903B">
      <w:pPr>
        <w:spacing w:after="0" w:line="240" w:lineRule="auto"/>
        <w:ind w:firstLine="720"/>
        <w:rPr>
          <w:bCs/>
        </w:rPr>
      </w:pPr>
      <w:r>
        <w:t xml:space="preserve">Instrument 4b: </w:t>
      </w:r>
      <w:r>
        <w:rPr>
          <w:bCs/>
        </w:rPr>
        <w:t>Subrecipient</w:t>
      </w:r>
      <w:r w:rsidRPr="00487B33">
        <w:rPr>
          <w:bCs/>
        </w:rPr>
        <w:t xml:space="preserve"> Data Collection and Reporting Form</w:t>
      </w:r>
      <w:r>
        <w:rPr>
          <w:bCs/>
        </w:rPr>
        <w:t xml:space="preserve"> (2023</w:t>
      </w:r>
      <w:r w:rsidR="00F36D4C">
        <w:rPr>
          <w:bCs/>
        </w:rPr>
        <w:t>+</w:t>
      </w:r>
      <w:r>
        <w:rPr>
          <w:bCs/>
        </w:rPr>
        <w:t>)</w:t>
      </w:r>
    </w:p>
    <w:p w:rsidR="00487B33" w:rsidRPr="00647E93" w:rsidP="00547AB6" w14:paraId="6694F3C6" w14:textId="3D9BFD08">
      <w:pPr>
        <w:spacing w:after="0" w:line="240" w:lineRule="auto"/>
        <w:ind w:left="720" w:hanging="720"/>
        <w:rPr>
          <w:bCs/>
        </w:rPr>
      </w:pPr>
    </w:p>
    <w:sectPr w:rsidSect="00C91C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13741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D26" w:rsidP="004F7CFF" w14:paraId="04723F22" w14:textId="442B9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1E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B71FA" w:rsidP="0004063C" w14:paraId="550EB32D" w14:textId="77777777">
      <w:pPr>
        <w:spacing w:after="0" w:line="240" w:lineRule="auto"/>
      </w:pPr>
      <w:r>
        <w:separator/>
      </w:r>
    </w:p>
  </w:footnote>
  <w:footnote w:type="continuationSeparator" w:id="1">
    <w:p w:rsidR="009B71FA" w:rsidP="0004063C" w14:paraId="098AC514" w14:textId="77777777">
      <w:pPr>
        <w:spacing w:after="0" w:line="240" w:lineRule="auto"/>
      </w:pPr>
      <w:r>
        <w:continuationSeparator/>
      </w:r>
    </w:p>
  </w:footnote>
  <w:footnote w:id="2">
    <w:p w:rsidR="00700C72" w:rsidRPr="00700C72" w14:paraId="3B4513C9" w14:textId="71AC0683">
      <w:pPr>
        <w:pStyle w:val="FootnoteText"/>
      </w:pPr>
      <w:r w:rsidRPr="00700C72">
        <w:rPr>
          <w:rStyle w:val="FootnoteReference"/>
        </w:rPr>
        <w:footnoteRef/>
      </w:r>
      <w:r w:rsidRPr="00700C72">
        <w:t xml:space="preserve"> </w:t>
      </w:r>
      <w:r w:rsidRPr="00622FC2">
        <w:rPr>
          <w:rFonts w:cstheme="minorHAnsi"/>
          <w:color w:val="000000"/>
          <w:shd w:val="clear" w:color="auto" w:fill="FFFFFF"/>
        </w:rPr>
        <w:t>Sexual Risk Avoidance Education Program Performance Analysis Study (SRAE PAS) (OMB #0970-0536)</w:t>
      </w:r>
    </w:p>
  </w:footnote>
  <w:footnote w:id="3">
    <w:p w:rsidR="008C6D2F" w:rsidP="008C6D2F" w14:paraId="095C3862" w14:textId="77777777">
      <w:pPr>
        <w:pStyle w:val="FootnoteText"/>
      </w:pPr>
      <w:r>
        <w:rPr>
          <w:rStyle w:val="FootnoteReference"/>
        </w:rPr>
        <w:footnoteRef/>
      </w:r>
      <w:r>
        <w:t xml:space="preserve"> In 2021-2022, approximately 65% of programs administered the surveys by paper and 60% administered the surveys by web. Note that administration modes are not mutually exclusive.</w:t>
      </w:r>
    </w:p>
  </w:footnote>
  <w:footnote w:id="4">
    <w:p w:rsidR="00AE2040" w14:paraId="12E77D7C" w14:textId="0E3B9AB7">
      <w:pPr>
        <w:pStyle w:val="FootnoteText"/>
      </w:pPr>
      <w:r>
        <w:rPr>
          <w:rStyle w:val="FootnoteReference"/>
        </w:rPr>
        <w:footnoteRef/>
      </w:r>
      <w:r>
        <w:t xml:space="preserve"> Measures of structure, cost</w:t>
      </w:r>
      <w:r w:rsidRPr="0062513F">
        <w:t xml:space="preserve">, and support for program implementation </w:t>
      </w:r>
      <w:r>
        <w:t>will be submitted once per year, and all other measures will be submitted t</w:t>
      </w:r>
      <w:r w:rsidRPr="0062513F">
        <w:t>wice per year</w:t>
      </w:r>
      <w:r w:rsidRPr="002F61C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862A7"/>
    <w:multiLevelType w:val="hybridMultilevel"/>
    <w:tmpl w:val="464073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48F"/>
    <w:multiLevelType w:val="hybridMultilevel"/>
    <w:tmpl w:val="EA16D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73DFE"/>
    <w:multiLevelType w:val="hybridMultilevel"/>
    <w:tmpl w:val="886AD1F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7EE1"/>
    <w:multiLevelType w:val="hybridMultilevel"/>
    <w:tmpl w:val="B4CA36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3586"/>
    <w:multiLevelType w:val="hybridMultilevel"/>
    <w:tmpl w:val="4D809E9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C5A04"/>
    <w:multiLevelType w:val="hybridMultilevel"/>
    <w:tmpl w:val="F926D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4F3CF8"/>
    <w:multiLevelType w:val="hybridMultilevel"/>
    <w:tmpl w:val="4F8AC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07244"/>
    <w:multiLevelType w:val="hybridMultilevel"/>
    <w:tmpl w:val="DD7EAC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02A40"/>
    <w:multiLevelType w:val="hybridMultilevel"/>
    <w:tmpl w:val="425C2A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13D4"/>
    <w:multiLevelType w:val="hybridMultilevel"/>
    <w:tmpl w:val="58901D92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1DB1178"/>
    <w:multiLevelType w:val="hybridMultilevel"/>
    <w:tmpl w:val="9258D46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F32EBA"/>
    <w:multiLevelType w:val="hybridMultilevel"/>
    <w:tmpl w:val="AD2AA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A799E"/>
    <w:multiLevelType w:val="hybridMultilevel"/>
    <w:tmpl w:val="57968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052BD"/>
    <w:multiLevelType w:val="hybridMultilevel"/>
    <w:tmpl w:val="6FF0E1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162AF"/>
    <w:multiLevelType w:val="hybridMultilevel"/>
    <w:tmpl w:val="92F65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C01F2"/>
    <w:multiLevelType w:val="hybridMultilevel"/>
    <w:tmpl w:val="9F1C9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B5C25"/>
    <w:multiLevelType w:val="hybridMultilevel"/>
    <w:tmpl w:val="6DCCBA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C3500D2"/>
    <w:multiLevelType w:val="hybridMultilevel"/>
    <w:tmpl w:val="34D2BA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F0EEE"/>
    <w:multiLevelType w:val="hybridMultilevel"/>
    <w:tmpl w:val="FBBE4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661B30"/>
    <w:multiLevelType w:val="hybridMultilevel"/>
    <w:tmpl w:val="5B6CB0B6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490207FF"/>
    <w:multiLevelType w:val="hybridMultilevel"/>
    <w:tmpl w:val="DF14A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813F4"/>
    <w:multiLevelType w:val="hybridMultilevel"/>
    <w:tmpl w:val="F9524B6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987A2C"/>
    <w:multiLevelType w:val="hybridMultilevel"/>
    <w:tmpl w:val="137A6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C71D0"/>
    <w:multiLevelType w:val="hybridMultilevel"/>
    <w:tmpl w:val="B0F2D4BC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C3C7A"/>
    <w:multiLevelType w:val="hybridMultilevel"/>
    <w:tmpl w:val="C39A90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822D9A"/>
    <w:multiLevelType w:val="hybridMultilevel"/>
    <w:tmpl w:val="874E6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F06D5"/>
    <w:multiLevelType w:val="hybridMultilevel"/>
    <w:tmpl w:val="B664C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EF82ADF"/>
    <w:multiLevelType w:val="hybridMultilevel"/>
    <w:tmpl w:val="BC081D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123EA"/>
    <w:multiLevelType w:val="hybridMultilevel"/>
    <w:tmpl w:val="D9A0576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645D8A"/>
    <w:multiLevelType w:val="hybridMultilevel"/>
    <w:tmpl w:val="A25E7EE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2E512C"/>
    <w:multiLevelType w:val="hybridMultilevel"/>
    <w:tmpl w:val="9E20B76C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753BE"/>
    <w:multiLevelType w:val="hybridMultilevel"/>
    <w:tmpl w:val="3044E82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73AD0A0C"/>
    <w:multiLevelType w:val="hybridMultilevel"/>
    <w:tmpl w:val="1C9849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C26FB"/>
    <w:multiLevelType w:val="hybridMultilevel"/>
    <w:tmpl w:val="25A2038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F794A"/>
    <w:multiLevelType w:val="hybridMultilevel"/>
    <w:tmpl w:val="96CE0BE2"/>
    <w:lvl w:ilvl="0">
      <w:start w:val="1"/>
      <w:numFmt w:val="lowerRoman"/>
      <w:lvlText w:val="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A706CD8"/>
    <w:multiLevelType w:val="hybridMultilevel"/>
    <w:tmpl w:val="D604E3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1A5615"/>
    <w:multiLevelType w:val="hybridMultilevel"/>
    <w:tmpl w:val="325C62C8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C3F8E"/>
    <w:multiLevelType w:val="hybridMultilevel"/>
    <w:tmpl w:val="F1EA2B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F5CD2"/>
    <w:multiLevelType w:val="hybridMultilevel"/>
    <w:tmpl w:val="7716E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85475">
    <w:abstractNumId w:val="5"/>
  </w:num>
  <w:num w:numId="2" w16cid:durableId="2039962991">
    <w:abstractNumId w:val="23"/>
  </w:num>
  <w:num w:numId="3" w16cid:durableId="1502694735">
    <w:abstractNumId w:val="4"/>
  </w:num>
  <w:num w:numId="4" w16cid:durableId="1926917735">
    <w:abstractNumId w:val="30"/>
  </w:num>
  <w:num w:numId="5" w16cid:durableId="1113477363">
    <w:abstractNumId w:val="18"/>
  </w:num>
  <w:num w:numId="6" w16cid:durableId="1105996818">
    <w:abstractNumId w:val="37"/>
  </w:num>
  <w:num w:numId="7" w16cid:durableId="952593693">
    <w:abstractNumId w:val="3"/>
  </w:num>
  <w:num w:numId="8" w16cid:durableId="642739552">
    <w:abstractNumId w:val="10"/>
  </w:num>
  <w:num w:numId="9" w16cid:durableId="1998419289">
    <w:abstractNumId w:val="17"/>
  </w:num>
  <w:num w:numId="10" w16cid:durableId="492989398">
    <w:abstractNumId w:val="36"/>
  </w:num>
  <w:num w:numId="11" w16cid:durableId="1646817845">
    <w:abstractNumId w:val="39"/>
  </w:num>
  <w:num w:numId="12" w16cid:durableId="1289969803">
    <w:abstractNumId w:val="34"/>
  </w:num>
  <w:num w:numId="13" w16cid:durableId="2087995314">
    <w:abstractNumId w:val="29"/>
  </w:num>
  <w:num w:numId="14" w16cid:durableId="1572499147">
    <w:abstractNumId w:val="35"/>
  </w:num>
  <w:num w:numId="15" w16cid:durableId="436023492">
    <w:abstractNumId w:val="19"/>
  </w:num>
  <w:num w:numId="16" w16cid:durableId="1527282073">
    <w:abstractNumId w:val="28"/>
  </w:num>
  <w:num w:numId="17" w16cid:durableId="1119372614">
    <w:abstractNumId w:val="14"/>
  </w:num>
  <w:num w:numId="18" w16cid:durableId="1589078789">
    <w:abstractNumId w:val="8"/>
  </w:num>
  <w:num w:numId="19" w16cid:durableId="2003698105">
    <w:abstractNumId w:val="7"/>
  </w:num>
  <w:num w:numId="20" w16cid:durableId="796680343">
    <w:abstractNumId w:val="26"/>
  </w:num>
  <w:num w:numId="21" w16cid:durableId="276060215">
    <w:abstractNumId w:val="0"/>
  </w:num>
  <w:num w:numId="22" w16cid:durableId="1181700953">
    <w:abstractNumId w:val="1"/>
  </w:num>
  <w:num w:numId="23" w16cid:durableId="1240405775">
    <w:abstractNumId w:val="20"/>
  </w:num>
  <w:num w:numId="24" w16cid:durableId="359282024">
    <w:abstractNumId w:val="2"/>
  </w:num>
  <w:num w:numId="25" w16cid:durableId="1331637199">
    <w:abstractNumId w:val="12"/>
  </w:num>
  <w:num w:numId="26" w16cid:durableId="520243202">
    <w:abstractNumId w:val="25"/>
  </w:num>
  <w:num w:numId="27" w16cid:durableId="258563594">
    <w:abstractNumId w:val="38"/>
  </w:num>
  <w:num w:numId="28" w16cid:durableId="1044138510">
    <w:abstractNumId w:val="32"/>
  </w:num>
  <w:num w:numId="29" w16cid:durableId="1393652323">
    <w:abstractNumId w:val="22"/>
  </w:num>
  <w:num w:numId="30" w16cid:durableId="1476682970">
    <w:abstractNumId w:val="33"/>
  </w:num>
  <w:num w:numId="31" w16cid:durableId="1604875534">
    <w:abstractNumId w:val="9"/>
  </w:num>
  <w:num w:numId="32" w16cid:durableId="856579190">
    <w:abstractNumId w:val="21"/>
  </w:num>
  <w:num w:numId="33" w16cid:durableId="737635249">
    <w:abstractNumId w:val="24"/>
  </w:num>
  <w:num w:numId="34" w16cid:durableId="1127161644">
    <w:abstractNumId w:val="6"/>
  </w:num>
  <w:num w:numId="35" w16cid:durableId="1423910369">
    <w:abstractNumId w:val="15"/>
  </w:num>
  <w:num w:numId="36" w16cid:durableId="405419978">
    <w:abstractNumId w:val="31"/>
  </w:num>
  <w:num w:numId="37" w16cid:durableId="237832281">
    <w:abstractNumId w:val="13"/>
  </w:num>
  <w:num w:numId="38" w16cid:durableId="1019816142">
    <w:abstractNumId w:val="40"/>
  </w:num>
  <w:num w:numId="39" w16cid:durableId="680622148">
    <w:abstractNumId w:val="11"/>
  </w:num>
  <w:num w:numId="40" w16cid:durableId="685908311">
    <w:abstractNumId w:val="27"/>
  </w:num>
  <w:num w:numId="41" w16cid:durableId="57235544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89"/>
    <w:rsid w:val="00002B4A"/>
    <w:rsid w:val="0001255D"/>
    <w:rsid w:val="00022EB4"/>
    <w:rsid w:val="00027E79"/>
    <w:rsid w:val="0004063C"/>
    <w:rsid w:val="0004247F"/>
    <w:rsid w:val="00043CA7"/>
    <w:rsid w:val="00045DDA"/>
    <w:rsid w:val="0006092F"/>
    <w:rsid w:val="00062AFB"/>
    <w:rsid w:val="00064C55"/>
    <w:rsid w:val="000655DD"/>
    <w:rsid w:val="00067844"/>
    <w:rsid w:val="00070317"/>
    <w:rsid w:val="00071F79"/>
    <w:rsid w:val="0007251B"/>
    <w:rsid w:val="000733A5"/>
    <w:rsid w:val="000748A3"/>
    <w:rsid w:val="00076B68"/>
    <w:rsid w:val="00082C5B"/>
    <w:rsid w:val="00083227"/>
    <w:rsid w:val="00083A33"/>
    <w:rsid w:val="00083C7C"/>
    <w:rsid w:val="0008410F"/>
    <w:rsid w:val="00084887"/>
    <w:rsid w:val="00086CBE"/>
    <w:rsid w:val="00087015"/>
    <w:rsid w:val="00090812"/>
    <w:rsid w:val="000921F0"/>
    <w:rsid w:val="000A012A"/>
    <w:rsid w:val="000A3692"/>
    <w:rsid w:val="000B3D8C"/>
    <w:rsid w:val="000B582B"/>
    <w:rsid w:val="000B6F88"/>
    <w:rsid w:val="000D4E9A"/>
    <w:rsid w:val="000D6B2A"/>
    <w:rsid w:val="000D7D44"/>
    <w:rsid w:val="000E05E4"/>
    <w:rsid w:val="000E64D4"/>
    <w:rsid w:val="000E6DF7"/>
    <w:rsid w:val="000E752F"/>
    <w:rsid w:val="000F1121"/>
    <w:rsid w:val="000F1E4A"/>
    <w:rsid w:val="001006AB"/>
    <w:rsid w:val="00100D34"/>
    <w:rsid w:val="00102124"/>
    <w:rsid w:val="00103EFD"/>
    <w:rsid w:val="00107D87"/>
    <w:rsid w:val="001117AF"/>
    <w:rsid w:val="00111EAF"/>
    <w:rsid w:val="00113265"/>
    <w:rsid w:val="00114DFF"/>
    <w:rsid w:val="00116741"/>
    <w:rsid w:val="001253F4"/>
    <w:rsid w:val="00126039"/>
    <w:rsid w:val="00126148"/>
    <w:rsid w:val="00127129"/>
    <w:rsid w:val="00130ACB"/>
    <w:rsid w:val="001332B2"/>
    <w:rsid w:val="00144E6B"/>
    <w:rsid w:val="00146F72"/>
    <w:rsid w:val="001505B2"/>
    <w:rsid w:val="001558F6"/>
    <w:rsid w:val="001562D2"/>
    <w:rsid w:val="00157482"/>
    <w:rsid w:val="001707D8"/>
    <w:rsid w:val="001746A6"/>
    <w:rsid w:val="00181284"/>
    <w:rsid w:val="00181CF0"/>
    <w:rsid w:val="00186EB2"/>
    <w:rsid w:val="00190BEC"/>
    <w:rsid w:val="00193ADA"/>
    <w:rsid w:val="00196A24"/>
    <w:rsid w:val="0019734D"/>
    <w:rsid w:val="001A158A"/>
    <w:rsid w:val="001A17A9"/>
    <w:rsid w:val="001A2373"/>
    <w:rsid w:val="001A59B6"/>
    <w:rsid w:val="001B0A76"/>
    <w:rsid w:val="001C7E66"/>
    <w:rsid w:val="001D02CF"/>
    <w:rsid w:val="001E3494"/>
    <w:rsid w:val="001E547D"/>
    <w:rsid w:val="001F34B8"/>
    <w:rsid w:val="001F57F5"/>
    <w:rsid w:val="001F7AD9"/>
    <w:rsid w:val="00201360"/>
    <w:rsid w:val="00203D10"/>
    <w:rsid w:val="0020401C"/>
    <w:rsid w:val="00204A63"/>
    <w:rsid w:val="0020629A"/>
    <w:rsid w:val="00206E11"/>
    <w:rsid w:val="00206FE3"/>
    <w:rsid w:val="00207554"/>
    <w:rsid w:val="00211261"/>
    <w:rsid w:val="002163EA"/>
    <w:rsid w:val="00216AED"/>
    <w:rsid w:val="00220033"/>
    <w:rsid w:val="002258E7"/>
    <w:rsid w:val="00250418"/>
    <w:rsid w:val="00250CBC"/>
    <w:rsid w:val="002517BB"/>
    <w:rsid w:val="00256E24"/>
    <w:rsid w:val="00260119"/>
    <w:rsid w:val="002612F2"/>
    <w:rsid w:val="00265491"/>
    <w:rsid w:val="00272B24"/>
    <w:rsid w:val="00276CE2"/>
    <w:rsid w:val="002820B6"/>
    <w:rsid w:val="00287AF1"/>
    <w:rsid w:val="00290593"/>
    <w:rsid w:val="002939B8"/>
    <w:rsid w:val="00296976"/>
    <w:rsid w:val="002A1BB0"/>
    <w:rsid w:val="002A41C6"/>
    <w:rsid w:val="002A464D"/>
    <w:rsid w:val="002A5DB4"/>
    <w:rsid w:val="002A775C"/>
    <w:rsid w:val="002A7FE1"/>
    <w:rsid w:val="002B012F"/>
    <w:rsid w:val="002B785B"/>
    <w:rsid w:val="002B79FB"/>
    <w:rsid w:val="002C5437"/>
    <w:rsid w:val="002E6CCF"/>
    <w:rsid w:val="002F33D0"/>
    <w:rsid w:val="002F61C5"/>
    <w:rsid w:val="00300722"/>
    <w:rsid w:val="0030153A"/>
    <w:rsid w:val="0030316D"/>
    <w:rsid w:val="00307113"/>
    <w:rsid w:val="0032222A"/>
    <w:rsid w:val="00324429"/>
    <w:rsid w:val="00333D91"/>
    <w:rsid w:val="00334ECB"/>
    <w:rsid w:val="003418D1"/>
    <w:rsid w:val="00343B30"/>
    <w:rsid w:val="00346312"/>
    <w:rsid w:val="00350CCD"/>
    <w:rsid w:val="003510A0"/>
    <w:rsid w:val="0035307D"/>
    <w:rsid w:val="00354BED"/>
    <w:rsid w:val="0036054B"/>
    <w:rsid w:val="00364A4A"/>
    <w:rsid w:val="0036502F"/>
    <w:rsid w:val="00365066"/>
    <w:rsid w:val="00373D2F"/>
    <w:rsid w:val="00375C3A"/>
    <w:rsid w:val="003825C9"/>
    <w:rsid w:val="0038582C"/>
    <w:rsid w:val="00385875"/>
    <w:rsid w:val="00390F85"/>
    <w:rsid w:val="00393BD6"/>
    <w:rsid w:val="00395E14"/>
    <w:rsid w:val="00395FAD"/>
    <w:rsid w:val="00397D12"/>
    <w:rsid w:val="003A1CC3"/>
    <w:rsid w:val="003A4B20"/>
    <w:rsid w:val="003A5655"/>
    <w:rsid w:val="003A7774"/>
    <w:rsid w:val="003B3600"/>
    <w:rsid w:val="003C6D22"/>
    <w:rsid w:val="003C7358"/>
    <w:rsid w:val="003D4E7B"/>
    <w:rsid w:val="003E61F6"/>
    <w:rsid w:val="003E6CCD"/>
    <w:rsid w:val="003F277D"/>
    <w:rsid w:val="00407537"/>
    <w:rsid w:val="004126C8"/>
    <w:rsid w:val="00412F80"/>
    <w:rsid w:val="004165BD"/>
    <w:rsid w:val="0042153A"/>
    <w:rsid w:val="0042220D"/>
    <w:rsid w:val="00423A5C"/>
    <w:rsid w:val="00423D9D"/>
    <w:rsid w:val="0043079D"/>
    <w:rsid w:val="0043377A"/>
    <w:rsid w:val="00437489"/>
    <w:rsid w:val="004379B6"/>
    <w:rsid w:val="0044428E"/>
    <w:rsid w:val="00444B84"/>
    <w:rsid w:val="00446465"/>
    <w:rsid w:val="00447D05"/>
    <w:rsid w:val="004507FB"/>
    <w:rsid w:val="0045122F"/>
    <w:rsid w:val="00452FA2"/>
    <w:rsid w:val="00453EDE"/>
    <w:rsid w:val="0045547D"/>
    <w:rsid w:val="00455A25"/>
    <w:rsid w:val="00455AD8"/>
    <w:rsid w:val="00460D54"/>
    <w:rsid w:val="00461D3E"/>
    <w:rsid w:val="004706CC"/>
    <w:rsid w:val="0047112F"/>
    <w:rsid w:val="004750CA"/>
    <w:rsid w:val="00480340"/>
    <w:rsid w:val="00487B33"/>
    <w:rsid w:val="004951E6"/>
    <w:rsid w:val="004A747A"/>
    <w:rsid w:val="004B75AC"/>
    <w:rsid w:val="004C33C4"/>
    <w:rsid w:val="004C3644"/>
    <w:rsid w:val="004C4B1C"/>
    <w:rsid w:val="004C5F60"/>
    <w:rsid w:val="004D12DD"/>
    <w:rsid w:val="004D5289"/>
    <w:rsid w:val="004D655B"/>
    <w:rsid w:val="004D7A42"/>
    <w:rsid w:val="004E0CE1"/>
    <w:rsid w:val="004E5778"/>
    <w:rsid w:val="004E7ED8"/>
    <w:rsid w:val="004F28CB"/>
    <w:rsid w:val="004F4724"/>
    <w:rsid w:val="004F7CFF"/>
    <w:rsid w:val="005004C9"/>
    <w:rsid w:val="0050376D"/>
    <w:rsid w:val="0050403C"/>
    <w:rsid w:val="00512C25"/>
    <w:rsid w:val="00515279"/>
    <w:rsid w:val="005236C8"/>
    <w:rsid w:val="005248F4"/>
    <w:rsid w:val="00526489"/>
    <w:rsid w:val="005302CB"/>
    <w:rsid w:val="00533FDB"/>
    <w:rsid w:val="00537A8F"/>
    <w:rsid w:val="00542EE3"/>
    <w:rsid w:val="00547AB6"/>
    <w:rsid w:val="0055434C"/>
    <w:rsid w:val="00554E3A"/>
    <w:rsid w:val="00555A5E"/>
    <w:rsid w:val="00560A91"/>
    <w:rsid w:val="00562727"/>
    <w:rsid w:val="00563F93"/>
    <w:rsid w:val="0056481E"/>
    <w:rsid w:val="00570BBC"/>
    <w:rsid w:val="005752A3"/>
    <w:rsid w:val="00575552"/>
    <w:rsid w:val="00575E78"/>
    <w:rsid w:val="00580317"/>
    <w:rsid w:val="005848C8"/>
    <w:rsid w:val="00591283"/>
    <w:rsid w:val="00595229"/>
    <w:rsid w:val="00597C1A"/>
    <w:rsid w:val="005A61CE"/>
    <w:rsid w:val="005A7E5A"/>
    <w:rsid w:val="005B1285"/>
    <w:rsid w:val="005B1410"/>
    <w:rsid w:val="005B449A"/>
    <w:rsid w:val="005B4898"/>
    <w:rsid w:val="005C20DB"/>
    <w:rsid w:val="005C2561"/>
    <w:rsid w:val="005C447B"/>
    <w:rsid w:val="005D1678"/>
    <w:rsid w:val="005D4A40"/>
    <w:rsid w:val="005E3217"/>
    <w:rsid w:val="005E4288"/>
    <w:rsid w:val="005E493B"/>
    <w:rsid w:val="005F2951"/>
    <w:rsid w:val="005F3334"/>
    <w:rsid w:val="0060175A"/>
    <w:rsid w:val="0060520F"/>
    <w:rsid w:val="00606A01"/>
    <w:rsid w:val="00607FBA"/>
    <w:rsid w:val="00616269"/>
    <w:rsid w:val="00622FC2"/>
    <w:rsid w:val="00624DDC"/>
    <w:rsid w:val="00624F49"/>
    <w:rsid w:val="0062513F"/>
    <w:rsid w:val="006253B6"/>
    <w:rsid w:val="006257ED"/>
    <w:rsid w:val="00625AA3"/>
    <w:rsid w:val="0062686E"/>
    <w:rsid w:val="00626CD4"/>
    <w:rsid w:val="00630B30"/>
    <w:rsid w:val="00633A63"/>
    <w:rsid w:val="00647E93"/>
    <w:rsid w:val="00651794"/>
    <w:rsid w:val="00651FF6"/>
    <w:rsid w:val="006532D4"/>
    <w:rsid w:val="006655D4"/>
    <w:rsid w:val="0067054F"/>
    <w:rsid w:val="0067252F"/>
    <w:rsid w:val="00677D48"/>
    <w:rsid w:val="006803B1"/>
    <w:rsid w:val="0068303E"/>
    <w:rsid w:val="0068383E"/>
    <w:rsid w:val="0068439D"/>
    <w:rsid w:val="006A22FA"/>
    <w:rsid w:val="006A339E"/>
    <w:rsid w:val="006A4D02"/>
    <w:rsid w:val="006B0F54"/>
    <w:rsid w:val="006B1BF9"/>
    <w:rsid w:val="006B31DA"/>
    <w:rsid w:val="006B53F1"/>
    <w:rsid w:val="006B6037"/>
    <w:rsid w:val="006B6E12"/>
    <w:rsid w:val="006C0E56"/>
    <w:rsid w:val="006E4F82"/>
    <w:rsid w:val="006F5CEA"/>
    <w:rsid w:val="0070008A"/>
    <w:rsid w:val="00700C72"/>
    <w:rsid w:val="00711AC9"/>
    <w:rsid w:val="007143B8"/>
    <w:rsid w:val="00714B1F"/>
    <w:rsid w:val="00716419"/>
    <w:rsid w:val="00716567"/>
    <w:rsid w:val="00717BDC"/>
    <w:rsid w:val="00721E77"/>
    <w:rsid w:val="0072287F"/>
    <w:rsid w:val="00723A28"/>
    <w:rsid w:val="00724EBC"/>
    <w:rsid w:val="00725ECF"/>
    <w:rsid w:val="00736B62"/>
    <w:rsid w:val="0074641A"/>
    <w:rsid w:val="00763D94"/>
    <w:rsid w:val="00764C85"/>
    <w:rsid w:val="007733D5"/>
    <w:rsid w:val="0077381A"/>
    <w:rsid w:val="007834F3"/>
    <w:rsid w:val="0079098E"/>
    <w:rsid w:val="00792985"/>
    <w:rsid w:val="00793E3E"/>
    <w:rsid w:val="00796B5C"/>
    <w:rsid w:val="007A245A"/>
    <w:rsid w:val="007A29C5"/>
    <w:rsid w:val="007A7BE7"/>
    <w:rsid w:val="007C09F6"/>
    <w:rsid w:val="007C0B95"/>
    <w:rsid w:val="007C3969"/>
    <w:rsid w:val="007C6266"/>
    <w:rsid w:val="007C7B4B"/>
    <w:rsid w:val="007D3B00"/>
    <w:rsid w:val="007D3C81"/>
    <w:rsid w:val="007E08CC"/>
    <w:rsid w:val="007E141C"/>
    <w:rsid w:val="007E1747"/>
    <w:rsid w:val="007E1915"/>
    <w:rsid w:val="007E30D0"/>
    <w:rsid w:val="007F1332"/>
    <w:rsid w:val="0080221E"/>
    <w:rsid w:val="0080501E"/>
    <w:rsid w:val="00807CBE"/>
    <w:rsid w:val="00820BBB"/>
    <w:rsid w:val="00823428"/>
    <w:rsid w:val="00823861"/>
    <w:rsid w:val="00831438"/>
    <w:rsid w:val="008327A6"/>
    <w:rsid w:val="0083519B"/>
    <w:rsid w:val="008369BA"/>
    <w:rsid w:val="008409CD"/>
    <w:rsid w:val="00840D32"/>
    <w:rsid w:val="00843933"/>
    <w:rsid w:val="0084670F"/>
    <w:rsid w:val="0086484F"/>
    <w:rsid w:val="00864C1F"/>
    <w:rsid w:val="00870FA1"/>
    <w:rsid w:val="00873D02"/>
    <w:rsid w:val="00875220"/>
    <w:rsid w:val="008852F0"/>
    <w:rsid w:val="00891CD9"/>
    <w:rsid w:val="00895EB9"/>
    <w:rsid w:val="008A456D"/>
    <w:rsid w:val="008A5761"/>
    <w:rsid w:val="008B1C72"/>
    <w:rsid w:val="008B218E"/>
    <w:rsid w:val="008C0596"/>
    <w:rsid w:val="008C302D"/>
    <w:rsid w:val="008C51D1"/>
    <w:rsid w:val="008C6D2F"/>
    <w:rsid w:val="008C7F96"/>
    <w:rsid w:val="008D2414"/>
    <w:rsid w:val="008E0239"/>
    <w:rsid w:val="008E0EC0"/>
    <w:rsid w:val="008E0FB7"/>
    <w:rsid w:val="008E4718"/>
    <w:rsid w:val="008F2446"/>
    <w:rsid w:val="008F381B"/>
    <w:rsid w:val="00900D26"/>
    <w:rsid w:val="00901040"/>
    <w:rsid w:val="009020CD"/>
    <w:rsid w:val="00904F2D"/>
    <w:rsid w:val="00923F25"/>
    <w:rsid w:val="009268F8"/>
    <w:rsid w:val="009270E1"/>
    <w:rsid w:val="00927D90"/>
    <w:rsid w:val="00930EA1"/>
    <w:rsid w:val="0093220B"/>
    <w:rsid w:val="009332D8"/>
    <w:rsid w:val="00945808"/>
    <w:rsid w:val="00947AB6"/>
    <w:rsid w:val="00957B70"/>
    <w:rsid w:val="00963503"/>
    <w:rsid w:val="00965DBD"/>
    <w:rsid w:val="00967A09"/>
    <w:rsid w:val="00971944"/>
    <w:rsid w:val="009735AB"/>
    <w:rsid w:val="00973AB1"/>
    <w:rsid w:val="009815C6"/>
    <w:rsid w:val="00984341"/>
    <w:rsid w:val="009905F6"/>
    <w:rsid w:val="00995648"/>
    <w:rsid w:val="00996201"/>
    <w:rsid w:val="009A0DD2"/>
    <w:rsid w:val="009A39E1"/>
    <w:rsid w:val="009A3AD8"/>
    <w:rsid w:val="009A6EE8"/>
    <w:rsid w:val="009B0F58"/>
    <w:rsid w:val="009B1102"/>
    <w:rsid w:val="009B5215"/>
    <w:rsid w:val="009B5BE1"/>
    <w:rsid w:val="009B71FA"/>
    <w:rsid w:val="009B79C0"/>
    <w:rsid w:val="009C2564"/>
    <w:rsid w:val="009C3380"/>
    <w:rsid w:val="009C516F"/>
    <w:rsid w:val="009E0A7E"/>
    <w:rsid w:val="009E2935"/>
    <w:rsid w:val="009E784D"/>
    <w:rsid w:val="009E7E38"/>
    <w:rsid w:val="009F265B"/>
    <w:rsid w:val="009F482C"/>
    <w:rsid w:val="009F68DB"/>
    <w:rsid w:val="00A031FA"/>
    <w:rsid w:val="00A03E3F"/>
    <w:rsid w:val="00A06D75"/>
    <w:rsid w:val="00A1108E"/>
    <w:rsid w:val="00A25C31"/>
    <w:rsid w:val="00A273A5"/>
    <w:rsid w:val="00A277DE"/>
    <w:rsid w:val="00A27CD0"/>
    <w:rsid w:val="00A325F6"/>
    <w:rsid w:val="00A34D5D"/>
    <w:rsid w:val="00A34E81"/>
    <w:rsid w:val="00A362B6"/>
    <w:rsid w:val="00A42C71"/>
    <w:rsid w:val="00A64D64"/>
    <w:rsid w:val="00A67DFF"/>
    <w:rsid w:val="00A71475"/>
    <w:rsid w:val="00A714DC"/>
    <w:rsid w:val="00A7179C"/>
    <w:rsid w:val="00A721A0"/>
    <w:rsid w:val="00A761CB"/>
    <w:rsid w:val="00A85701"/>
    <w:rsid w:val="00A94779"/>
    <w:rsid w:val="00A97E24"/>
    <w:rsid w:val="00AA373E"/>
    <w:rsid w:val="00AA452D"/>
    <w:rsid w:val="00AB0BCC"/>
    <w:rsid w:val="00AB158C"/>
    <w:rsid w:val="00AC222D"/>
    <w:rsid w:val="00AC41E5"/>
    <w:rsid w:val="00AC4E7F"/>
    <w:rsid w:val="00AD16DB"/>
    <w:rsid w:val="00AD3261"/>
    <w:rsid w:val="00AD4355"/>
    <w:rsid w:val="00AE13E2"/>
    <w:rsid w:val="00AE2040"/>
    <w:rsid w:val="00AE2714"/>
    <w:rsid w:val="00AE3F5F"/>
    <w:rsid w:val="00AE404E"/>
    <w:rsid w:val="00AF3340"/>
    <w:rsid w:val="00AF3470"/>
    <w:rsid w:val="00AF4752"/>
    <w:rsid w:val="00AF5FFB"/>
    <w:rsid w:val="00AF7BC8"/>
    <w:rsid w:val="00B121C7"/>
    <w:rsid w:val="00B13DC4"/>
    <w:rsid w:val="00B162C8"/>
    <w:rsid w:val="00B17B7C"/>
    <w:rsid w:val="00B20C7B"/>
    <w:rsid w:val="00B23277"/>
    <w:rsid w:val="00B245AD"/>
    <w:rsid w:val="00B34797"/>
    <w:rsid w:val="00B4182B"/>
    <w:rsid w:val="00B45994"/>
    <w:rsid w:val="00B55E54"/>
    <w:rsid w:val="00B56589"/>
    <w:rsid w:val="00B56CB4"/>
    <w:rsid w:val="00B5726A"/>
    <w:rsid w:val="00B64D05"/>
    <w:rsid w:val="00B671A4"/>
    <w:rsid w:val="00B70460"/>
    <w:rsid w:val="00B72C64"/>
    <w:rsid w:val="00B73AFD"/>
    <w:rsid w:val="00B80316"/>
    <w:rsid w:val="00B92E53"/>
    <w:rsid w:val="00B9441B"/>
    <w:rsid w:val="00B95671"/>
    <w:rsid w:val="00B95ADD"/>
    <w:rsid w:val="00BA5034"/>
    <w:rsid w:val="00BB4BF8"/>
    <w:rsid w:val="00BB6487"/>
    <w:rsid w:val="00BC4604"/>
    <w:rsid w:val="00BD702B"/>
    <w:rsid w:val="00BD7B78"/>
    <w:rsid w:val="00BE45BC"/>
    <w:rsid w:val="00BE6F93"/>
    <w:rsid w:val="00BE773B"/>
    <w:rsid w:val="00BF2E2B"/>
    <w:rsid w:val="00BF7A8D"/>
    <w:rsid w:val="00C01981"/>
    <w:rsid w:val="00C0206B"/>
    <w:rsid w:val="00C05084"/>
    <w:rsid w:val="00C05352"/>
    <w:rsid w:val="00C05985"/>
    <w:rsid w:val="00C071DB"/>
    <w:rsid w:val="00C135CF"/>
    <w:rsid w:val="00C21420"/>
    <w:rsid w:val="00C31A4D"/>
    <w:rsid w:val="00C32404"/>
    <w:rsid w:val="00C32587"/>
    <w:rsid w:val="00C32C8A"/>
    <w:rsid w:val="00C32E7F"/>
    <w:rsid w:val="00C41398"/>
    <w:rsid w:val="00C41EDF"/>
    <w:rsid w:val="00C523DE"/>
    <w:rsid w:val="00C66538"/>
    <w:rsid w:val="00C67AC3"/>
    <w:rsid w:val="00C73360"/>
    <w:rsid w:val="00C830D3"/>
    <w:rsid w:val="00C8550B"/>
    <w:rsid w:val="00C86CB2"/>
    <w:rsid w:val="00C91C71"/>
    <w:rsid w:val="00C93548"/>
    <w:rsid w:val="00C95126"/>
    <w:rsid w:val="00C96DE2"/>
    <w:rsid w:val="00CA0111"/>
    <w:rsid w:val="00CA11DA"/>
    <w:rsid w:val="00CA2789"/>
    <w:rsid w:val="00CA561A"/>
    <w:rsid w:val="00CA68E9"/>
    <w:rsid w:val="00CA72A5"/>
    <w:rsid w:val="00CB2307"/>
    <w:rsid w:val="00CC07BF"/>
    <w:rsid w:val="00CC3788"/>
    <w:rsid w:val="00CC4651"/>
    <w:rsid w:val="00CC4711"/>
    <w:rsid w:val="00CC5AB6"/>
    <w:rsid w:val="00CC6120"/>
    <w:rsid w:val="00CC6195"/>
    <w:rsid w:val="00CD508F"/>
    <w:rsid w:val="00CE018E"/>
    <w:rsid w:val="00CE0F46"/>
    <w:rsid w:val="00CE140E"/>
    <w:rsid w:val="00CE7A4A"/>
    <w:rsid w:val="00CF12C6"/>
    <w:rsid w:val="00CF583B"/>
    <w:rsid w:val="00CF64A7"/>
    <w:rsid w:val="00D02024"/>
    <w:rsid w:val="00D027B7"/>
    <w:rsid w:val="00D04C57"/>
    <w:rsid w:val="00D10FA6"/>
    <w:rsid w:val="00D11657"/>
    <w:rsid w:val="00D1343F"/>
    <w:rsid w:val="00D13AA8"/>
    <w:rsid w:val="00D239B5"/>
    <w:rsid w:val="00D24517"/>
    <w:rsid w:val="00D32B72"/>
    <w:rsid w:val="00D335CA"/>
    <w:rsid w:val="00D33CA9"/>
    <w:rsid w:val="00D3418D"/>
    <w:rsid w:val="00D4033C"/>
    <w:rsid w:val="00D45504"/>
    <w:rsid w:val="00D46212"/>
    <w:rsid w:val="00D5346A"/>
    <w:rsid w:val="00D537F3"/>
    <w:rsid w:val="00D55767"/>
    <w:rsid w:val="00D71BA0"/>
    <w:rsid w:val="00D72884"/>
    <w:rsid w:val="00D74050"/>
    <w:rsid w:val="00D749DF"/>
    <w:rsid w:val="00D80DF3"/>
    <w:rsid w:val="00D81184"/>
    <w:rsid w:val="00D82755"/>
    <w:rsid w:val="00D82E67"/>
    <w:rsid w:val="00D831AC"/>
    <w:rsid w:val="00D83EF6"/>
    <w:rsid w:val="00D8726A"/>
    <w:rsid w:val="00D87E56"/>
    <w:rsid w:val="00D95E35"/>
    <w:rsid w:val="00D960E9"/>
    <w:rsid w:val="00D97926"/>
    <w:rsid w:val="00DA0AFC"/>
    <w:rsid w:val="00DA1123"/>
    <w:rsid w:val="00DA2C7F"/>
    <w:rsid w:val="00DA3557"/>
    <w:rsid w:val="00DA4701"/>
    <w:rsid w:val="00DA6946"/>
    <w:rsid w:val="00DB13D7"/>
    <w:rsid w:val="00DB1A4C"/>
    <w:rsid w:val="00DB23EE"/>
    <w:rsid w:val="00DC153B"/>
    <w:rsid w:val="00DC2B8B"/>
    <w:rsid w:val="00DC65F2"/>
    <w:rsid w:val="00DC6AB6"/>
    <w:rsid w:val="00DC7295"/>
    <w:rsid w:val="00DC7876"/>
    <w:rsid w:val="00DC7B7A"/>
    <w:rsid w:val="00DC7DD5"/>
    <w:rsid w:val="00DD4224"/>
    <w:rsid w:val="00DD55D4"/>
    <w:rsid w:val="00DE3ED7"/>
    <w:rsid w:val="00DF1291"/>
    <w:rsid w:val="00DF1CE7"/>
    <w:rsid w:val="00DF75C2"/>
    <w:rsid w:val="00DF77B1"/>
    <w:rsid w:val="00E01677"/>
    <w:rsid w:val="00E10DE8"/>
    <w:rsid w:val="00E124CB"/>
    <w:rsid w:val="00E1392C"/>
    <w:rsid w:val="00E17EA8"/>
    <w:rsid w:val="00E22AC6"/>
    <w:rsid w:val="00E24830"/>
    <w:rsid w:val="00E318A6"/>
    <w:rsid w:val="00E41C62"/>
    <w:rsid w:val="00E41EE9"/>
    <w:rsid w:val="00E461D4"/>
    <w:rsid w:val="00E53F22"/>
    <w:rsid w:val="00E62285"/>
    <w:rsid w:val="00E62819"/>
    <w:rsid w:val="00E65E1A"/>
    <w:rsid w:val="00E67E41"/>
    <w:rsid w:val="00E71E25"/>
    <w:rsid w:val="00E72F0D"/>
    <w:rsid w:val="00E870E4"/>
    <w:rsid w:val="00E9045F"/>
    <w:rsid w:val="00EA0D4F"/>
    <w:rsid w:val="00EA1A7B"/>
    <w:rsid w:val="00EA405B"/>
    <w:rsid w:val="00EA4A22"/>
    <w:rsid w:val="00EB33A7"/>
    <w:rsid w:val="00EB4C26"/>
    <w:rsid w:val="00EB6134"/>
    <w:rsid w:val="00EC1A6C"/>
    <w:rsid w:val="00EC4A12"/>
    <w:rsid w:val="00ED0E0F"/>
    <w:rsid w:val="00ED544C"/>
    <w:rsid w:val="00ED7509"/>
    <w:rsid w:val="00ED7511"/>
    <w:rsid w:val="00EE38AF"/>
    <w:rsid w:val="00EE7697"/>
    <w:rsid w:val="00EF1921"/>
    <w:rsid w:val="00EF254B"/>
    <w:rsid w:val="00EF4FF2"/>
    <w:rsid w:val="00F02347"/>
    <w:rsid w:val="00F071DE"/>
    <w:rsid w:val="00F128FC"/>
    <w:rsid w:val="00F266EC"/>
    <w:rsid w:val="00F30016"/>
    <w:rsid w:val="00F34B85"/>
    <w:rsid w:val="00F36091"/>
    <w:rsid w:val="00F36D4C"/>
    <w:rsid w:val="00F40591"/>
    <w:rsid w:val="00F42246"/>
    <w:rsid w:val="00F439AC"/>
    <w:rsid w:val="00F51743"/>
    <w:rsid w:val="00F540A2"/>
    <w:rsid w:val="00F56CFC"/>
    <w:rsid w:val="00F57BB2"/>
    <w:rsid w:val="00F651F7"/>
    <w:rsid w:val="00F66512"/>
    <w:rsid w:val="00F67B7C"/>
    <w:rsid w:val="00F67E9D"/>
    <w:rsid w:val="00F74630"/>
    <w:rsid w:val="00F748EB"/>
    <w:rsid w:val="00F75DA9"/>
    <w:rsid w:val="00F82791"/>
    <w:rsid w:val="00F831A0"/>
    <w:rsid w:val="00F84B20"/>
    <w:rsid w:val="00F9035E"/>
    <w:rsid w:val="00F9122A"/>
    <w:rsid w:val="00F92AA2"/>
    <w:rsid w:val="00FA6D2C"/>
    <w:rsid w:val="00FB1038"/>
    <w:rsid w:val="00FB116E"/>
    <w:rsid w:val="00FB127B"/>
    <w:rsid w:val="00FB5BF6"/>
    <w:rsid w:val="00FC4D82"/>
    <w:rsid w:val="00FC646F"/>
    <w:rsid w:val="00FC779A"/>
    <w:rsid w:val="00FD41AB"/>
    <w:rsid w:val="00FE08C7"/>
    <w:rsid w:val="00FE1A37"/>
    <w:rsid w:val="00FF5C51"/>
    <w:rsid w:val="00FF5D91"/>
    <w:rsid w:val="00FF75B8"/>
    <w:rsid w:val="00FF77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3A651"/>
  <w15:docId w15:val="{5A575B8D-E8D6-414D-9761-99EEF6EB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C71"/>
  </w:style>
  <w:style w:type="paragraph" w:styleId="Heading3">
    <w:name w:val="heading 3"/>
    <w:basedOn w:val="Normal"/>
    <w:next w:val="Normal"/>
    <w:link w:val="Heading3Char"/>
    <w:qFormat/>
    <w:rsid w:val="005248F4"/>
    <w:pPr>
      <w:keepNext/>
      <w:tabs>
        <w:tab w:val="left" w:pos="432"/>
      </w:tabs>
      <w:spacing w:after="240" w:line="240" w:lineRule="auto"/>
      <w:ind w:left="432" w:hanging="432"/>
      <w:jc w:val="both"/>
      <w:outlineLvl w:val="2"/>
    </w:pPr>
    <w:rPr>
      <w:rFonts w:ascii="Garamond" w:eastAsia="Times New Roman" w:hAnsi="Garamond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53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E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3C"/>
  </w:style>
  <w:style w:type="paragraph" w:styleId="Footer">
    <w:name w:val="footer"/>
    <w:basedOn w:val="Normal"/>
    <w:link w:val="Foot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3C"/>
  </w:style>
  <w:style w:type="table" w:styleId="TableGrid">
    <w:name w:val="Table Grid"/>
    <w:basedOn w:val="TableNormal"/>
    <w:rsid w:val="000D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nhideWhenUsed/>
    <w:qFormat/>
    <w:rsid w:val="00B55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B55E54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B55E54"/>
    <w:rPr>
      <w:vertAlign w:val="superscript"/>
    </w:rPr>
  </w:style>
  <w:style w:type="paragraph" w:styleId="NoSpacing">
    <w:name w:val="No Spacing"/>
    <w:uiPriority w:val="1"/>
    <w:qFormat/>
    <w:rsid w:val="00E4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482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13DC4"/>
  </w:style>
  <w:style w:type="paragraph" w:styleId="Revision">
    <w:name w:val="Revision"/>
    <w:hidden/>
    <w:uiPriority w:val="99"/>
    <w:semiHidden/>
    <w:rsid w:val="004165BD"/>
    <w:pPr>
      <w:spacing w:after="0" w:line="240" w:lineRule="auto"/>
    </w:pPr>
  </w:style>
  <w:style w:type="paragraph" w:customStyle="1" w:styleId="ReportCover-Title">
    <w:name w:val="ReportCover-Title"/>
    <w:basedOn w:val="Normal"/>
    <w:rsid w:val="00A42C71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A42C71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248F4"/>
    <w:rPr>
      <w:rFonts w:ascii="Garamond" w:eastAsia="Times New Roman" w:hAnsi="Garamond" w:cs="Times New Roman"/>
      <w:b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5248F4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5248F4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5248F4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5248F4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5248F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character" w:styleId="Emphasis">
    <w:name w:val="Emphasis"/>
    <w:basedOn w:val="DefaultParagraphFont"/>
    <w:uiPriority w:val="99"/>
    <w:qFormat/>
    <w:rsid w:val="005248F4"/>
    <w:rPr>
      <w:rFonts w:cs="Times New Roman"/>
      <w:i/>
      <w:iCs/>
    </w:rPr>
  </w:style>
  <w:style w:type="character" w:customStyle="1" w:styleId="NormalSSChar">
    <w:name w:val="NormalSS Char"/>
    <w:basedOn w:val="DefaultParagraphFont"/>
    <w:link w:val="NormalSS"/>
    <w:rsid w:val="005248F4"/>
    <w:rPr>
      <w:rFonts w:ascii="Garamond" w:eastAsia="Times New Roman" w:hAnsi="Garamond" w:cs="Times New Roman"/>
      <w:sz w:val="24"/>
      <w:szCs w:val="24"/>
    </w:rPr>
  </w:style>
  <w:style w:type="table" w:customStyle="1" w:styleId="PlainTable11">
    <w:name w:val="Plain Table 11"/>
    <w:basedOn w:val="TableNormal"/>
    <w:uiPriority w:val="41"/>
    <w:rsid w:val="005248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Black">
    <w:name w:val="Heading 2_Black"/>
    <w:basedOn w:val="Normal"/>
    <w:next w:val="Normal"/>
    <w:qFormat/>
    <w:rsid w:val="005248F4"/>
    <w:pPr>
      <w:keepNext/>
      <w:tabs>
        <w:tab w:val="left" w:pos="432"/>
      </w:tabs>
      <w:spacing w:after="240" w:line="240" w:lineRule="auto"/>
      <w:ind w:left="432" w:hanging="432"/>
      <w:jc w:val="both"/>
      <w:outlineLvl w:val="1"/>
    </w:pPr>
    <w:rPr>
      <w:rFonts w:ascii="Lucida Sans" w:eastAsia="Times New Roman" w:hAnsi="Lucida Sans" w:cs="Times New Roman"/>
      <w:b/>
      <w:sz w:val="24"/>
      <w:szCs w:val="24"/>
    </w:rPr>
  </w:style>
  <w:style w:type="paragraph" w:customStyle="1" w:styleId="BulletBlack">
    <w:name w:val="Bullet_Black"/>
    <w:basedOn w:val="Normal"/>
    <w:qFormat/>
    <w:rsid w:val="00204A63"/>
    <w:pPr>
      <w:numPr>
        <w:numId w:val="31"/>
      </w:numPr>
      <w:tabs>
        <w:tab w:val="left" w:pos="360"/>
      </w:tabs>
      <w:spacing w:after="120" w:line="240" w:lineRule="auto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semiHidden/>
    <w:qFormat/>
    <w:rsid w:val="00C32587"/>
    <w:rPr>
      <w:rFonts w:ascii="Arial" w:hAnsi="Arial"/>
      <w:color w:val="auto"/>
      <w:sz w:val="20"/>
      <w:bdr w:val="none" w:sz="0" w:space="0" w:color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30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0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30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1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Caryn.Blitz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0" ma:contentTypeDescription="Create a new document." ma:contentTypeScope="" ma:versionID="831fb3544ee9fe97c231ab578430ec30">
  <xsd:schema xmlns:xsd="http://www.w3.org/2001/XMLSchema" xmlns:xs="http://www.w3.org/2001/XMLSchema" xmlns:p="http://schemas.microsoft.com/office/2006/metadata/properties" xmlns:ns3="5309e048-1b4c-4f6d-b014-3d79d9de2e99" targetNamespace="http://schemas.microsoft.com/office/2006/metadata/properties" ma:root="true" ma:fieldsID="849277e642b371acaea4645c4357be34" ns3:_="">
    <xsd:import namespace="5309e048-1b4c-4f6d-b014-3d79d9de2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477B7-7857-44D5-A67E-A305195EF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DC5E9-3657-46EF-B027-507FABE78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3E1C3-D9D4-4DBD-B29F-5F62895BE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CC0D43-9AC5-43FC-9A00-0BF40A4A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9e048-1b4c-4f6d-b014-3d79d9de2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Blitz, Caryn (ACF)</dc:creator>
  <cp:lastModifiedBy>Tia Brown</cp:lastModifiedBy>
  <cp:revision>2</cp:revision>
  <dcterms:created xsi:type="dcterms:W3CDTF">2023-06-05T19:23:00Z</dcterms:created>
  <dcterms:modified xsi:type="dcterms:W3CDTF">2023-06-05T19:23:00Z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0x010100D9D5A9EDD4C931429AE2AEC9275567A9</vt:lpwstr>
  </property>
</Properties>
</file>