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3B5081">
        <w:rPr>
          <w:b/>
          <w:bCs/>
        </w:rPr>
        <w:t>To:</w:t>
      </w:r>
      <w:r w:rsidRPr="003B5081">
        <w:tab/>
      </w:r>
      <w:r w:rsidRPr="003B5081"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51C5535F">
      <w:pPr>
        <w:tabs>
          <w:tab w:val="left" w:pos="1080"/>
        </w:tabs>
        <w:ind w:left="1080" w:hanging="1080"/>
      </w:pPr>
      <w:r w:rsidRPr="004E0796">
        <w:rPr>
          <w:b/>
          <w:bCs/>
        </w:rPr>
        <w:t>From:</w:t>
      </w:r>
      <w:r w:rsidRPr="004E0796">
        <w:tab/>
      </w:r>
      <w:r w:rsidR="006C76C8">
        <w:t xml:space="preserve">Priscilla Hodge </w:t>
      </w:r>
    </w:p>
    <w:p w:rsidR="0005680D" w:rsidP="0005680D" w14:paraId="48DB0716" w14:textId="217BE3EB">
      <w:pPr>
        <w:tabs>
          <w:tab w:val="left" w:pos="1080"/>
        </w:tabs>
        <w:ind w:left="1080" w:hanging="1080"/>
      </w:pPr>
      <w:r>
        <w:rPr>
          <w:b/>
          <w:bCs/>
        </w:rPr>
        <w:tab/>
      </w:r>
      <w:r w:rsidR="006A4467">
        <w:t xml:space="preserve">Office of Head Start </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2ED56A78">
      <w:pPr>
        <w:tabs>
          <w:tab w:val="left" w:pos="1080"/>
        </w:tabs>
      </w:pPr>
      <w:r w:rsidRPr="004E0796">
        <w:rPr>
          <w:b/>
          <w:bCs/>
        </w:rPr>
        <w:t>Date:</w:t>
      </w:r>
      <w:r w:rsidRPr="004E0796">
        <w:tab/>
      </w:r>
      <w:r w:rsidR="003B5081">
        <w:t xml:space="preserve">January </w:t>
      </w:r>
      <w:r w:rsidR="002307CF">
        <w:t>23</w:t>
      </w:r>
      <w:r w:rsidR="003B5081">
        <w:t>, 2024</w:t>
      </w:r>
    </w:p>
    <w:p w:rsidR="0005680D" w:rsidRPr="004E0796" w:rsidP="0005680D" w14:paraId="7B991363" w14:textId="77777777">
      <w:pPr>
        <w:tabs>
          <w:tab w:val="left" w:pos="1080"/>
        </w:tabs>
      </w:pPr>
    </w:p>
    <w:p w:rsidR="0005680D" w:rsidP="0005680D" w14:paraId="3A89B6CD" w14:textId="20F7FF7D">
      <w:pPr>
        <w:pBdr>
          <w:bottom w:val="single" w:sz="12" w:space="1" w:color="auto"/>
        </w:pBdr>
        <w:tabs>
          <w:tab w:val="left" w:pos="1080"/>
        </w:tabs>
        <w:ind w:left="1080" w:hanging="1080"/>
      </w:pPr>
      <w:r w:rsidRPr="004E0796">
        <w:rPr>
          <w:b/>
          <w:bCs/>
        </w:rPr>
        <w:t>Subject:</w:t>
      </w:r>
      <w:r w:rsidRPr="004E0796">
        <w:tab/>
      </w:r>
      <w:r>
        <w:t>NonSubstantive</w:t>
      </w:r>
      <w:r>
        <w:t xml:space="preserve"> Change Request – </w:t>
      </w:r>
      <w:r w:rsidR="006A4467">
        <w:t>Head Start Grant Application</w:t>
      </w:r>
      <w:r>
        <w:t xml:space="preserve"> (OMB #0970-</w:t>
      </w:r>
      <w:r w:rsidR="00CA05FE">
        <w:t>0207</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47577360">
      <w:r>
        <w:t xml:space="preserve">This memo requests approval of </w:t>
      </w:r>
      <w:r>
        <w:t>nonsubstantive</w:t>
      </w:r>
      <w:r>
        <w:t xml:space="preserve"> changes to the approved information collection, </w:t>
      </w:r>
      <w:r w:rsidR="006A4467">
        <w:t>Head Start Grant Application</w:t>
      </w:r>
      <w:r>
        <w:t xml:space="preserve"> (OMB #0970-</w:t>
      </w:r>
      <w:r w:rsidR="00CA05FE">
        <w:t>0207</w:t>
      </w:r>
      <w:r>
        <w:t xml:space="preserve">). </w:t>
      </w:r>
    </w:p>
    <w:p w:rsidR="0005680D" w:rsidP="00BF696B" w14:paraId="6BF529D8" w14:textId="77777777"/>
    <w:p w:rsidR="0005680D" w:rsidP="00BF696B" w14:paraId="37532181" w14:textId="77777777">
      <w:pPr>
        <w:spacing w:after="120"/>
      </w:pPr>
      <w:r>
        <w:rPr>
          <w:b/>
          <w:i/>
        </w:rPr>
        <w:t>Background</w:t>
      </w:r>
    </w:p>
    <w:p w:rsidR="00CD048D" w:rsidP="00BF696B" w14:paraId="3A9CB764" w14:textId="1AFA8C3B">
      <w:r>
        <w:t>The Head Start Grant Application collects information</w:t>
      </w:r>
      <w:r w:rsidRPr="00EA597B">
        <w:t xml:space="preserve"> from all Head Start and Early Head Start </w:t>
      </w:r>
      <w:r>
        <w:t>grant recipients for Head Start funding including program budgets and narratives.</w:t>
      </w:r>
      <w:r>
        <w:t xml:space="preserve"> </w:t>
      </w:r>
      <w:r>
        <w:t>T</w:t>
      </w:r>
      <w:r>
        <w:t>he</w:t>
      </w:r>
      <w:r>
        <w:t xml:space="preserve"> information is collected on an annual basis when grant recipients apply for their annual funding. OMB most recently extended this information collection under </w:t>
      </w:r>
      <w:r w:rsidRPr="00FB5693">
        <w:t>OMB #0970-</w:t>
      </w:r>
      <w:r w:rsidRPr="00FB5693" w:rsidR="00CA05FE">
        <w:t>0207</w:t>
      </w:r>
      <w:r>
        <w:t xml:space="preserve"> with changes </w:t>
      </w:r>
      <w:r w:rsidR="00372FCB">
        <w:t xml:space="preserve">and the current </w:t>
      </w:r>
      <w:r w:rsidRPr="00FB5693" w:rsidR="00372FCB">
        <w:t>expiration date is</w:t>
      </w:r>
      <w:r w:rsidRPr="00FB5693">
        <w:t xml:space="preserve"> </w:t>
      </w:r>
      <w:r w:rsidRPr="00FB5693" w:rsidR="00CA05FE">
        <w:t>June</w:t>
      </w:r>
      <w:r w:rsidRPr="00FB5693">
        <w:t xml:space="preserve"> 30, 202</w:t>
      </w:r>
      <w:r w:rsidRPr="00FB5693" w:rsidR="00CA05FE">
        <w:t>5</w:t>
      </w:r>
      <w:r w:rsidRPr="00FB5693">
        <w:t>.</w:t>
      </w:r>
    </w:p>
    <w:p w:rsidR="00CD048D" w:rsidP="00BF696B" w14:paraId="1A5C97E7" w14:textId="6D3C2C04"/>
    <w:p w:rsidR="00CD048D" w:rsidP="00BF696B" w14:paraId="5DD8AE0A" w14:textId="0B3A919D">
      <w:r>
        <w:t xml:space="preserve">Prior to receiving annual Head Start federal funds, Head Start grant recipients must complete a grant application package which includes Head Start Grant Application tabs in the Head Start Enterprise System (HSES), an application and budget justification narrative, and </w:t>
      </w:r>
      <w:r w:rsidR="002613A0">
        <w:t xml:space="preserve">upload </w:t>
      </w:r>
      <w:r>
        <w:t xml:space="preserve">other applicable documents. The Office of Head Start has identified </w:t>
      </w:r>
      <w:r>
        <w:t>nonsubstantive</w:t>
      </w:r>
      <w:r>
        <w:t xml:space="preserve"> changes to the Head Start Grant Application to provide clarifications; ensure alignment with </w:t>
      </w:r>
      <w:hyperlink r:id="rId8" w:history="1">
        <w:r w:rsidRPr="00CD048D">
          <w:rPr>
            <w:rStyle w:val="Hyperlink"/>
          </w:rPr>
          <w:t>ACF-IM-HS-22-09 Enrollment Reductions and Conversion of Head Start Slots to Early Head Start Slots</w:t>
        </w:r>
      </w:hyperlink>
      <w:r>
        <w:t>; and provide additional descriptions, tips, and reminders to improve the overall quality of applications.</w:t>
      </w:r>
    </w:p>
    <w:p w:rsidR="0005680D" w:rsidP="00BF696B" w14:paraId="2B14ECA7" w14:textId="77777777"/>
    <w:p w:rsidR="0005680D" w:rsidP="00BF696B" w14:paraId="5CC77B63" w14:textId="77777777">
      <w:pPr>
        <w:spacing w:after="120"/>
        <w:rPr>
          <w:b/>
          <w:i/>
        </w:rPr>
      </w:pPr>
      <w:r w:rsidRPr="0005680D">
        <w:rPr>
          <w:b/>
          <w:i/>
        </w:rPr>
        <w:t>Overview of Requested Changes</w:t>
      </w:r>
    </w:p>
    <w:p w:rsidR="00CD048D" w:rsidRPr="00E04BE0" w:rsidP="00CD048D" w14:paraId="2BE1F740" w14:textId="772C89E1">
      <w:r w:rsidRPr="00E04BE0">
        <w:t xml:space="preserve">The proposed </w:t>
      </w:r>
      <w:r w:rsidRPr="00E04BE0">
        <w:t>nonsubstantive</w:t>
      </w:r>
      <w:r w:rsidRPr="00E04BE0">
        <w:t xml:space="preserve"> changes are </w:t>
      </w:r>
      <w:r w:rsidRPr="00E04BE0" w:rsidR="00E04BE0">
        <w:t>outlined</w:t>
      </w:r>
      <w:r w:rsidRPr="00E04BE0">
        <w:t xml:space="preserve"> below. </w:t>
      </w:r>
    </w:p>
    <w:p w:rsidR="00CD048D" w:rsidRPr="00E04BE0" w:rsidP="00CD048D" w14:paraId="573F05FA" w14:textId="77777777"/>
    <w:p w:rsidR="00CD048D" w:rsidRPr="00E04BE0" w:rsidP="00C04AC8" w14:paraId="6506B481" w14:textId="25C30955">
      <w:pPr>
        <w:spacing w:after="60"/>
      </w:pPr>
      <w:bookmarkStart w:id="0" w:name="_Hlk156899933"/>
      <w:r>
        <w:t xml:space="preserve">Based on </w:t>
      </w:r>
      <w:r w:rsidR="00EA29AE">
        <w:t>common</w:t>
      </w:r>
      <w:r>
        <w:t xml:space="preserve"> questions and/or challenges </w:t>
      </w:r>
      <w:r w:rsidR="00EA29AE">
        <w:t xml:space="preserve">in </w:t>
      </w:r>
      <w:r>
        <w:t xml:space="preserve">completing the </w:t>
      </w:r>
      <w:r w:rsidR="00EA29AE">
        <w:t>existing Head Start Grant A</w:t>
      </w:r>
      <w:r>
        <w:t>pplication</w:t>
      </w:r>
      <w:r w:rsidR="00EA29AE">
        <w:t xml:space="preserve">, OHS is proposing several clarifications, including rephrasing, and providing additional context and/or examples. </w:t>
      </w:r>
      <w:bookmarkEnd w:id="0"/>
      <w:r w:rsidR="00E1518E">
        <w:t xml:space="preserve">Such clarifications </w:t>
      </w:r>
      <w:r w:rsidR="00EA29AE">
        <w:t>will</w:t>
      </w:r>
      <w:r w:rsidR="000853CA">
        <w:t xml:space="preserve"> not require grant recipients to provide new information</w:t>
      </w:r>
      <w:r w:rsidR="00E1518E">
        <w:t xml:space="preserve"> but </w:t>
      </w:r>
      <w:r w:rsidR="00EA29AE">
        <w:t>will</w:t>
      </w:r>
      <w:r w:rsidR="000853CA">
        <w:t xml:space="preserve"> further clarif</w:t>
      </w:r>
      <w:r w:rsidR="00EA29AE">
        <w:t xml:space="preserve">y </w:t>
      </w:r>
      <w:r w:rsidR="000853CA">
        <w:t xml:space="preserve">existing </w:t>
      </w:r>
      <w:r w:rsidR="00C944BC">
        <w:t>items</w:t>
      </w:r>
      <w:r w:rsidR="00EA29AE">
        <w:t xml:space="preserve">. </w:t>
      </w:r>
      <w:r w:rsidRPr="00E04BE0">
        <w:t>Clarifications</w:t>
      </w:r>
      <w:r w:rsidRPr="00E04BE0">
        <w:rPr>
          <w:i/>
          <w:iCs/>
        </w:rPr>
        <w:t xml:space="preserve"> </w:t>
      </w:r>
      <w:r w:rsidR="00817F0D">
        <w:rPr>
          <w:rFonts w:eastAsia="Arial"/>
        </w:rPr>
        <w:t>include</w:t>
      </w:r>
      <w:r w:rsidRPr="00E04BE0">
        <w:rPr>
          <w:rFonts w:eastAsia="Arial"/>
        </w:rPr>
        <w:t xml:space="preserve">: </w:t>
      </w:r>
    </w:p>
    <w:p w:rsidR="00817F0D" w:rsidRPr="00C04AC8" w:rsidP="00817F0D" w14:paraId="7774984D" w14:textId="35D25A16">
      <w:pPr>
        <w:pStyle w:val="ListParagraph"/>
        <w:numPr>
          <w:ilvl w:val="0"/>
          <w:numId w:val="4"/>
        </w:numPr>
        <w:spacing w:line="262" w:lineRule="exact"/>
        <w:rPr>
          <w:rFonts w:ascii="Times New Roman" w:eastAsia="Tahoma" w:hAnsi="Times New Roman" w:cs="Times New Roman"/>
          <w:sz w:val="24"/>
          <w:szCs w:val="24"/>
        </w:rPr>
      </w:pPr>
      <w:r>
        <w:rPr>
          <w:rFonts w:ascii="Times New Roman" w:eastAsia="Tahoma" w:hAnsi="Times New Roman" w:cs="Times New Roman"/>
          <w:sz w:val="24"/>
          <w:szCs w:val="24"/>
        </w:rPr>
        <w:t xml:space="preserve">Information on how </w:t>
      </w:r>
      <w:hyperlink r:id="rId9" w:history="1">
        <w:r w:rsidRPr="00EA29AE" w:rsidR="00EA29AE">
          <w:rPr>
            <w:rStyle w:val="Hyperlink"/>
            <w:rFonts w:ascii="Times New Roman" w:eastAsia="Tahoma" w:hAnsi="Times New Roman" w:cs="Times New Roman"/>
            <w:sz w:val="24"/>
            <w:szCs w:val="24"/>
          </w:rPr>
          <w:t>ACF IM HS 19-04</w:t>
        </w:r>
      </w:hyperlink>
      <w:r w:rsidR="00EA29AE">
        <w:rPr>
          <w:rFonts w:ascii="Times New Roman" w:eastAsia="Tahoma" w:hAnsi="Times New Roman" w:cs="Times New Roman"/>
          <w:sz w:val="24"/>
          <w:szCs w:val="24"/>
        </w:rPr>
        <w:t xml:space="preserve"> </w:t>
      </w:r>
      <w:r w:rsidRPr="00E04BE0" w:rsidR="00EA29AE">
        <w:rPr>
          <w:rFonts w:ascii="Times New Roman" w:eastAsia="Tahoma" w:hAnsi="Times New Roman" w:cs="Times New Roman"/>
          <w:sz w:val="24"/>
          <w:szCs w:val="24"/>
        </w:rPr>
        <w:t>Accounting Simplification for Head Start and Early Head Start</w:t>
      </w:r>
      <w:r>
        <w:rPr>
          <w:rFonts w:ascii="Times New Roman" w:eastAsia="Tahoma" w:hAnsi="Times New Roman" w:cs="Times New Roman"/>
          <w:sz w:val="24"/>
          <w:szCs w:val="24"/>
        </w:rPr>
        <w:t xml:space="preserve"> applies to Head Start Grant Application </w:t>
      </w:r>
    </w:p>
    <w:p w:rsidR="00CD048D" w:rsidP="00E04BE0" w14:paraId="4D47ACDA" w14:textId="33C06B41">
      <w:pPr>
        <w:pStyle w:val="ListParagraph"/>
        <w:numPr>
          <w:ilvl w:val="0"/>
          <w:numId w:val="4"/>
        </w:numPr>
        <w:spacing w:line="262" w:lineRule="exact"/>
        <w:rPr>
          <w:rFonts w:ascii="Times New Roman" w:eastAsia="Tahoma" w:hAnsi="Times New Roman" w:cs="Times New Roman"/>
          <w:sz w:val="24"/>
          <w:szCs w:val="24"/>
        </w:rPr>
      </w:pPr>
      <w:r>
        <w:rPr>
          <w:rFonts w:ascii="Times New Roman" w:eastAsia="Tahoma" w:hAnsi="Times New Roman" w:cs="Times New Roman"/>
          <w:sz w:val="24"/>
          <w:szCs w:val="24"/>
        </w:rPr>
        <w:t xml:space="preserve">Example of a scenario in which a recipient would submit baseline application after </w:t>
      </w:r>
      <w:r w:rsidRPr="00E04BE0">
        <w:rPr>
          <w:rFonts w:ascii="Times New Roman" w:eastAsia="Tahoma" w:hAnsi="Times New Roman" w:cs="Times New Roman"/>
          <w:sz w:val="24"/>
          <w:szCs w:val="24"/>
        </w:rPr>
        <w:t>receiving a grant through the competitive process</w:t>
      </w:r>
    </w:p>
    <w:p w:rsidR="00817F0D" w:rsidP="00E04BE0" w14:paraId="0EFA3380" w14:textId="5582B79F">
      <w:pPr>
        <w:pStyle w:val="ListParagraph"/>
        <w:numPr>
          <w:ilvl w:val="0"/>
          <w:numId w:val="4"/>
        </w:numPr>
        <w:spacing w:line="262" w:lineRule="exact"/>
        <w:rPr>
          <w:rFonts w:ascii="Times New Roman" w:eastAsia="Tahoma" w:hAnsi="Times New Roman" w:cs="Times New Roman"/>
          <w:sz w:val="24"/>
          <w:szCs w:val="24"/>
        </w:rPr>
      </w:pPr>
      <w:r>
        <w:rPr>
          <w:rFonts w:ascii="Times New Roman" w:eastAsia="Tahoma" w:hAnsi="Times New Roman" w:cs="Times New Roman"/>
          <w:sz w:val="24"/>
          <w:szCs w:val="24"/>
        </w:rPr>
        <w:t>Examples of situation</w:t>
      </w:r>
      <w:r w:rsidR="005A6611">
        <w:rPr>
          <w:rFonts w:ascii="Times New Roman" w:eastAsia="Tahoma" w:hAnsi="Times New Roman" w:cs="Times New Roman"/>
          <w:sz w:val="24"/>
          <w:szCs w:val="24"/>
        </w:rPr>
        <w:t>s</w:t>
      </w:r>
      <w:r>
        <w:rPr>
          <w:rFonts w:ascii="Times New Roman" w:eastAsia="Tahoma" w:hAnsi="Times New Roman" w:cs="Times New Roman"/>
          <w:sz w:val="24"/>
          <w:szCs w:val="24"/>
        </w:rPr>
        <w:t xml:space="preserve"> in which recipients </w:t>
      </w:r>
      <w:r w:rsidR="005A6611">
        <w:rPr>
          <w:rFonts w:ascii="Times New Roman" w:eastAsia="Tahoma" w:hAnsi="Times New Roman" w:cs="Times New Roman"/>
          <w:sz w:val="24"/>
          <w:szCs w:val="24"/>
        </w:rPr>
        <w:t xml:space="preserve">may submit a shortened budget period </w:t>
      </w:r>
    </w:p>
    <w:p w:rsidR="005A6611" w:rsidRPr="00C04AC8" w:rsidP="00E04BE0" w14:paraId="12CB327F" w14:textId="77ECED73">
      <w:pPr>
        <w:pStyle w:val="ListParagraph"/>
        <w:numPr>
          <w:ilvl w:val="0"/>
          <w:numId w:val="4"/>
        </w:numPr>
        <w:spacing w:line="262" w:lineRule="exact"/>
        <w:rPr>
          <w:rFonts w:ascii="Times New Roman" w:eastAsia="Tahoma" w:hAnsi="Times New Roman" w:cs="Times New Roman"/>
          <w:i/>
          <w:iCs/>
          <w:sz w:val="24"/>
          <w:szCs w:val="24"/>
        </w:rPr>
      </w:pPr>
      <w:r>
        <w:rPr>
          <w:rFonts w:ascii="Times New Roman" w:eastAsia="Tahoma" w:hAnsi="Times New Roman" w:cs="Times New Roman"/>
          <w:sz w:val="24"/>
          <w:szCs w:val="24"/>
        </w:rPr>
        <w:t xml:space="preserve">Statement that </w:t>
      </w:r>
      <w:r w:rsidRPr="00C04AC8">
        <w:rPr>
          <w:rFonts w:ascii="Times New Roman" w:eastAsia="Tahoma" w:hAnsi="Times New Roman" w:cs="Times New Roman"/>
          <w:i/>
          <w:iCs/>
          <w:sz w:val="24"/>
          <w:szCs w:val="24"/>
        </w:rPr>
        <w:t>Program Goals</w:t>
      </w:r>
      <w:r>
        <w:rPr>
          <w:rFonts w:ascii="Times New Roman" w:eastAsia="Tahoma" w:hAnsi="Times New Roman" w:cs="Times New Roman"/>
          <w:sz w:val="24"/>
          <w:szCs w:val="24"/>
        </w:rPr>
        <w:t xml:space="preserve"> include </w:t>
      </w:r>
      <w:r w:rsidRPr="00C04AC8">
        <w:rPr>
          <w:rFonts w:ascii="Times New Roman" w:eastAsia="Tahoma" w:hAnsi="Times New Roman" w:cs="Times New Roman"/>
          <w:i/>
          <w:iCs/>
          <w:sz w:val="24"/>
          <w:szCs w:val="24"/>
        </w:rPr>
        <w:t xml:space="preserve">School Readiness Goals </w:t>
      </w:r>
      <w:r>
        <w:rPr>
          <w:rFonts w:ascii="Times New Roman" w:eastAsia="Tahoma" w:hAnsi="Times New Roman" w:cs="Times New Roman"/>
          <w:sz w:val="24"/>
          <w:szCs w:val="24"/>
        </w:rPr>
        <w:t xml:space="preserve">and that there should be at least one </w:t>
      </w:r>
      <w:r w:rsidRPr="00C04AC8">
        <w:rPr>
          <w:rFonts w:ascii="Times New Roman" w:eastAsia="Tahoma" w:hAnsi="Times New Roman" w:cs="Times New Roman"/>
          <w:sz w:val="24"/>
          <w:szCs w:val="24"/>
        </w:rPr>
        <w:t>goal in</w:t>
      </w:r>
      <w:r>
        <w:rPr>
          <w:rFonts w:ascii="Times New Roman" w:eastAsia="Tahoma" w:hAnsi="Times New Roman" w:cs="Times New Roman"/>
          <w:sz w:val="24"/>
          <w:szCs w:val="24"/>
        </w:rPr>
        <w:t xml:space="preserve"> each of the five domains </w:t>
      </w:r>
    </w:p>
    <w:p w:rsidR="00CD048D" w:rsidRPr="00E04BE0" w:rsidP="00E04BE0" w14:paraId="1C950FE2" w14:textId="05FB0F39">
      <w:pPr>
        <w:pStyle w:val="ListParagraph"/>
        <w:numPr>
          <w:ilvl w:val="0"/>
          <w:numId w:val="4"/>
        </w:numPr>
        <w:spacing w:line="262" w:lineRule="exact"/>
        <w:rPr>
          <w:rFonts w:ascii="Times New Roman" w:eastAsia="Tahoma" w:hAnsi="Times New Roman" w:cs="Times New Roman"/>
          <w:sz w:val="24"/>
          <w:szCs w:val="24"/>
        </w:rPr>
      </w:pPr>
      <w:r>
        <w:rPr>
          <w:rFonts w:ascii="Times New Roman" w:eastAsia="Tahoma" w:hAnsi="Times New Roman" w:cs="Times New Roman"/>
          <w:sz w:val="24"/>
          <w:szCs w:val="24"/>
        </w:rPr>
        <w:t>Statement that the u</w:t>
      </w:r>
      <w:r w:rsidRPr="00E04BE0">
        <w:rPr>
          <w:rFonts w:ascii="Times New Roman" w:eastAsia="Tahoma" w:hAnsi="Times New Roman" w:cs="Times New Roman"/>
          <w:sz w:val="24"/>
          <w:szCs w:val="24"/>
        </w:rPr>
        <w:t>se of the program goals template is optional</w:t>
      </w:r>
    </w:p>
    <w:p w:rsidR="00CD048D" w:rsidP="00E04BE0" w14:paraId="1D8F1B6F" w14:textId="2E10B30B">
      <w:pPr>
        <w:pStyle w:val="ListParagraph"/>
        <w:numPr>
          <w:ilvl w:val="0"/>
          <w:numId w:val="4"/>
        </w:numPr>
        <w:spacing w:line="262" w:lineRule="exact"/>
        <w:rPr>
          <w:rFonts w:ascii="Times New Roman" w:eastAsia="Tahoma" w:hAnsi="Times New Roman" w:cs="Times New Roman"/>
          <w:sz w:val="24"/>
          <w:szCs w:val="24"/>
        </w:rPr>
      </w:pPr>
      <w:r>
        <w:rPr>
          <w:rFonts w:ascii="Times New Roman" w:eastAsia="Tahoma" w:hAnsi="Times New Roman" w:cs="Times New Roman"/>
          <w:sz w:val="24"/>
          <w:szCs w:val="24"/>
        </w:rPr>
        <w:t>Further clarification on what evidence should demonstrate as it relates to s</w:t>
      </w:r>
      <w:r w:rsidRPr="00E04BE0">
        <w:rPr>
          <w:rFonts w:ascii="Times New Roman" w:eastAsia="Tahoma" w:hAnsi="Times New Roman" w:cs="Times New Roman"/>
          <w:sz w:val="24"/>
          <w:szCs w:val="24"/>
        </w:rPr>
        <w:t xml:space="preserve">ervice and </w:t>
      </w:r>
      <w:r>
        <w:rPr>
          <w:rFonts w:ascii="Times New Roman" w:eastAsia="Tahoma" w:hAnsi="Times New Roman" w:cs="Times New Roman"/>
          <w:sz w:val="24"/>
          <w:szCs w:val="24"/>
        </w:rPr>
        <w:t>r</w:t>
      </w:r>
      <w:r w:rsidRPr="00E04BE0">
        <w:rPr>
          <w:rFonts w:ascii="Times New Roman" w:eastAsia="Tahoma" w:hAnsi="Times New Roman" w:cs="Times New Roman"/>
          <w:sz w:val="24"/>
          <w:szCs w:val="24"/>
        </w:rPr>
        <w:t xml:space="preserve">ecruitment </w:t>
      </w:r>
      <w:r>
        <w:rPr>
          <w:rFonts w:ascii="Times New Roman" w:eastAsia="Tahoma" w:hAnsi="Times New Roman" w:cs="Times New Roman"/>
          <w:sz w:val="24"/>
          <w:szCs w:val="24"/>
        </w:rPr>
        <w:t>a</w:t>
      </w:r>
      <w:r w:rsidRPr="00E04BE0">
        <w:rPr>
          <w:rFonts w:ascii="Times New Roman" w:eastAsia="Tahoma" w:hAnsi="Times New Roman" w:cs="Times New Roman"/>
          <w:sz w:val="24"/>
          <w:szCs w:val="24"/>
        </w:rPr>
        <w:t>rea</w:t>
      </w:r>
    </w:p>
    <w:p w:rsidR="009C7D65" w:rsidRPr="00E04BE0" w:rsidP="00E04BE0" w14:paraId="137A8E00" w14:textId="020A61DD">
      <w:pPr>
        <w:pStyle w:val="ListParagraph"/>
        <w:numPr>
          <w:ilvl w:val="0"/>
          <w:numId w:val="4"/>
        </w:numPr>
        <w:spacing w:line="262" w:lineRule="exact"/>
        <w:rPr>
          <w:rFonts w:ascii="Times New Roman" w:eastAsia="Tahoma" w:hAnsi="Times New Roman" w:cs="Times New Roman"/>
          <w:sz w:val="24"/>
          <w:szCs w:val="24"/>
        </w:rPr>
      </w:pPr>
      <w:r>
        <w:rPr>
          <w:rFonts w:ascii="Times New Roman" w:eastAsia="Tahoma" w:hAnsi="Times New Roman" w:cs="Times New Roman"/>
          <w:sz w:val="24"/>
          <w:szCs w:val="24"/>
        </w:rPr>
        <w:t xml:space="preserve">Additional information on what should be included in the discussion of how program option(s) meet the needs of children and families </w:t>
      </w:r>
    </w:p>
    <w:p w:rsidR="00CD048D" w:rsidRPr="00E04BE0" w:rsidP="00E04BE0" w14:paraId="161C2BFF" w14:textId="0D43110C">
      <w:pPr>
        <w:pStyle w:val="ListParagraph"/>
        <w:numPr>
          <w:ilvl w:val="0"/>
          <w:numId w:val="4"/>
        </w:numPr>
        <w:spacing w:line="262" w:lineRule="exact"/>
        <w:rPr>
          <w:rFonts w:ascii="Times New Roman" w:eastAsia="Tahoma" w:hAnsi="Times New Roman" w:cs="Times New Roman"/>
          <w:sz w:val="24"/>
          <w:szCs w:val="24"/>
        </w:rPr>
      </w:pPr>
      <w:r>
        <w:rPr>
          <w:rFonts w:ascii="Times New Roman" w:eastAsia="Tahoma" w:hAnsi="Times New Roman" w:cs="Times New Roman"/>
          <w:sz w:val="24"/>
          <w:szCs w:val="24"/>
        </w:rPr>
        <w:t xml:space="preserve">Condensing the Change in Scope section and clarifying </w:t>
      </w:r>
      <w:r w:rsidR="00C04AC8">
        <w:rPr>
          <w:rFonts w:ascii="Times New Roman" w:eastAsia="Tahoma" w:hAnsi="Times New Roman" w:cs="Times New Roman"/>
          <w:sz w:val="24"/>
          <w:szCs w:val="24"/>
        </w:rPr>
        <w:t>that e</w:t>
      </w:r>
      <w:r w:rsidRPr="00E04BE0">
        <w:rPr>
          <w:rFonts w:ascii="Times New Roman" w:eastAsia="Tahoma" w:hAnsi="Times New Roman" w:cs="Times New Roman"/>
          <w:sz w:val="24"/>
          <w:szCs w:val="24"/>
        </w:rPr>
        <w:t xml:space="preserve">nrollment </w:t>
      </w:r>
      <w:r w:rsidR="00C04AC8">
        <w:rPr>
          <w:rFonts w:ascii="Times New Roman" w:eastAsia="Tahoma" w:hAnsi="Times New Roman" w:cs="Times New Roman"/>
          <w:sz w:val="24"/>
          <w:szCs w:val="24"/>
        </w:rPr>
        <w:t>r</w:t>
      </w:r>
      <w:r w:rsidRPr="00E04BE0">
        <w:rPr>
          <w:rFonts w:ascii="Times New Roman" w:eastAsia="Tahoma" w:hAnsi="Times New Roman" w:cs="Times New Roman"/>
          <w:sz w:val="24"/>
          <w:szCs w:val="24"/>
        </w:rPr>
        <w:t xml:space="preserve">eductions and/or </w:t>
      </w:r>
      <w:r w:rsidR="00C04AC8">
        <w:rPr>
          <w:rFonts w:ascii="Times New Roman" w:eastAsia="Tahoma" w:hAnsi="Times New Roman" w:cs="Times New Roman"/>
          <w:sz w:val="24"/>
          <w:szCs w:val="24"/>
        </w:rPr>
        <w:t>c</w:t>
      </w:r>
      <w:r w:rsidRPr="00E04BE0">
        <w:rPr>
          <w:rFonts w:ascii="Times New Roman" w:eastAsia="Tahoma" w:hAnsi="Times New Roman" w:cs="Times New Roman"/>
          <w:sz w:val="24"/>
          <w:szCs w:val="24"/>
        </w:rPr>
        <w:t xml:space="preserve">onversions requests </w:t>
      </w:r>
      <w:r w:rsidR="00C04AC8">
        <w:rPr>
          <w:rFonts w:ascii="Times New Roman" w:eastAsia="Tahoma" w:hAnsi="Times New Roman" w:cs="Times New Roman"/>
          <w:sz w:val="24"/>
          <w:szCs w:val="24"/>
        </w:rPr>
        <w:t xml:space="preserve">must address considerations in </w:t>
      </w:r>
      <w:hyperlink r:id="rId8" w:history="1">
        <w:r w:rsidRPr="00C04AC8" w:rsidR="00C04AC8">
          <w:rPr>
            <w:rStyle w:val="Hyperlink"/>
            <w:rFonts w:ascii="Times New Roman" w:hAnsi="Times New Roman" w:cs="Times New Roman"/>
            <w:sz w:val="24"/>
            <w:szCs w:val="24"/>
          </w:rPr>
          <w:t>ACF-IM-HS-22-09 Enrollment Reductions and Conversion of Head Start Slots to Early Head Start Slots</w:t>
        </w:r>
      </w:hyperlink>
    </w:p>
    <w:p w:rsidR="00CD048D" w:rsidRPr="00E04BE0" w:rsidP="00E04BE0" w14:paraId="51D091BA" w14:textId="2642FB06">
      <w:pPr>
        <w:pStyle w:val="ListParagraph"/>
        <w:numPr>
          <w:ilvl w:val="0"/>
          <w:numId w:val="4"/>
        </w:numPr>
        <w:spacing w:line="262" w:lineRule="exact"/>
        <w:rPr>
          <w:rFonts w:ascii="Times New Roman" w:eastAsia="Tahoma" w:hAnsi="Times New Roman" w:cs="Times New Roman"/>
          <w:sz w:val="24"/>
          <w:szCs w:val="24"/>
        </w:rPr>
      </w:pPr>
      <w:r>
        <w:rPr>
          <w:rFonts w:ascii="Times New Roman" w:eastAsia="Tahoma" w:hAnsi="Times New Roman" w:cs="Times New Roman"/>
          <w:sz w:val="24"/>
          <w:szCs w:val="24"/>
        </w:rPr>
        <w:t>Further clarification that p</w:t>
      </w:r>
      <w:r w:rsidRPr="00E04BE0">
        <w:rPr>
          <w:rFonts w:ascii="Times New Roman" w:eastAsia="Tahoma" w:hAnsi="Times New Roman" w:cs="Times New Roman"/>
          <w:sz w:val="24"/>
          <w:szCs w:val="24"/>
        </w:rPr>
        <w:t xml:space="preserve">opulations in greatest need </w:t>
      </w:r>
      <w:r>
        <w:rPr>
          <w:rFonts w:ascii="Times New Roman" w:eastAsia="Tahoma" w:hAnsi="Times New Roman" w:cs="Times New Roman"/>
          <w:sz w:val="24"/>
          <w:szCs w:val="24"/>
        </w:rPr>
        <w:t xml:space="preserve">include those that been historically marginalized </w:t>
      </w:r>
    </w:p>
    <w:p w:rsidR="00CD048D" w:rsidRPr="00E04BE0" w:rsidP="00C04AC8" w14:paraId="49738056" w14:textId="72A4D88A">
      <w:pPr>
        <w:pStyle w:val="ListParagraph"/>
        <w:numPr>
          <w:ilvl w:val="0"/>
          <w:numId w:val="4"/>
        </w:numPr>
        <w:spacing w:after="240" w:line="262" w:lineRule="exact"/>
        <w:rPr>
          <w:rFonts w:ascii="Times New Roman" w:eastAsia="Tahoma" w:hAnsi="Times New Roman" w:cs="Times New Roman"/>
          <w:sz w:val="24"/>
          <w:szCs w:val="24"/>
        </w:rPr>
      </w:pPr>
      <w:r>
        <w:rPr>
          <w:rFonts w:ascii="Times New Roman" w:eastAsia="Tahoma" w:hAnsi="Times New Roman" w:cs="Times New Roman"/>
          <w:sz w:val="24"/>
          <w:szCs w:val="24"/>
        </w:rPr>
        <w:t xml:space="preserve">Link to definition of equipment </w:t>
      </w:r>
      <w:r w:rsidRPr="00C04AC8">
        <w:rPr>
          <w:rFonts w:ascii="Times New Roman" w:eastAsia="Tahoma" w:hAnsi="Times New Roman" w:cs="Times New Roman"/>
          <w:sz w:val="24"/>
          <w:szCs w:val="24"/>
        </w:rPr>
        <w:t>(</w:t>
      </w:r>
      <w:hyperlink r:id="rId10" w:anchor="se45.1.75_12" w:history="1">
        <w:r w:rsidRPr="002C0C93">
          <w:rPr>
            <w:rStyle w:val="Hyperlink"/>
            <w:rFonts w:ascii="Times New Roman" w:hAnsi="Times New Roman" w:cs="Times New Roman"/>
            <w:color w:val="auto"/>
            <w:sz w:val="24"/>
            <w:szCs w:val="24"/>
            <w:u w:val="none"/>
          </w:rPr>
          <w:t>45 CFR §75.2</w:t>
        </w:r>
      </w:hyperlink>
      <w:r w:rsidRPr="002C0C93">
        <w:rPr>
          <w:rStyle w:val="Hyperlink"/>
          <w:rFonts w:ascii="Times New Roman" w:hAnsi="Times New Roman" w:cs="Times New Roman"/>
          <w:color w:val="auto"/>
          <w:sz w:val="24"/>
          <w:szCs w:val="24"/>
          <w:u w:val="none"/>
        </w:rPr>
        <w:t xml:space="preserve">) and clarification that each item must identified individually in the budget </w:t>
      </w:r>
    </w:p>
    <w:p w:rsidR="00E04BE0" w:rsidRPr="00E04BE0" w:rsidP="00C04AC8" w14:paraId="76915FF6" w14:textId="66754B1D">
      <w:pPr>
        <w:spacing w:after="60" w:line="262" w:lineRule="exact"/>
        <w:rPr>
          <w:rFonts w:eastAsia="Arial"/>
        </w:rPr>
      </w:pPr>
      <w:r w:rsidRPr="00E04BE0">
        <w:rPr>
          <w:rFonts w:eastAsia="Arial"/>
        </w:rPr>
        <w:t>Addition of description</w:t>
      </w:r>
      <w:r w:rsidR="002613A0">
        <w:rPr>
          <w:rFonts w:eastAsia="Arial"/>
        </w:rPr>
        <w:t>s</w:t>
      </w:r>
      <w:r w:rsidRPr="00E04BE0">
        <w:rPr>
          <w:rFonts w:eastAsia="Arial"/>
        </w:rPr>
        <w:t xml:space="preserve"> </w:t>
      </w:r>
      <w:r w:rsidRPr="00E04BE0" w:rsidR="002C0C93">
        <w:rPr>
          <w:rFonts w:eastAsia="Arial"/>
        </w:rPr>
        <w:t xml:space="preserve">for </w:t>
      </w:r>
      <w:r w:rsidR="002C0C93">
        <w:rPr>
          <w:rFonts w:eastAsia="Arial"/>
        </w:rPr>
        <w:t>documents</w:t>
      </w:r>
      <w:r w:rsidR="002613A0">
        <w:rPr>
          <w:rFonts w:eastAsia="Arial"/>
        </w:rPr>
        <w:t xml:space="preserve"> that must be uploaded as part of </w:t>
      </w:r>
      <w:r w:rsidRPr="00E04BE0">
        <w:rPr>
          <w:rFonts w:eastAsia="Arial"/>
        </w:rPr>
        <w:t xml:space="preserve">the existing Head Start Grant Application: </w:t>
      </w:r>
    </w:p>
    <w:p w:rsidR="00E04BE0" w:rsidRPr="00E04BE0" w:rsidP="00E04BE0" w14:paraId="421B4DD6" w14:textId="77777777">
      <w:pPr>
        <w:pStyle w:val="ListParagraph"/>
        <w:numPr>
          <w:ilvl w:val="0"/>
          <w:numId w:val="3"/>
        </w:numPr>
        <w:spacing w:line="262" w:lineRule="exact"/>
        <w:rPr>
          <w:rFonts w:ascii="Times New Roman" w:eastAsia="Arial" w:hAnsi="Times New Roman" w:cs="Times New Roman"/>
          <w:sz w:val="24"/>
          <w:szCs w:val="24"/>
        </w:rPr>
      </w:pPr>
      <w:r w:rsidRPr="00E04BE0">
        <w:rPr>
          <w:rFonts w:ascii="Times New Roman" w:eastAsia="Arial" w:hAnsi="Times New Roman" w:cs="Times New Roman"/>
          <w:sz w:val="24"/>
          <w:szCs w:val="24"/>
        </w:rPr>
        <w:t>Results of Self-assessment and Improvement Plan</w:t>
      </w:r>
    </w:p>
    <w:p w:rsidR="00E04BE0" w:rsidRPr="00E04BE0" w:rsidP="00E04BE0" w14:paraId="2C85F31E" w14:textId="77777777">
      <w:pPr>
        <w:pStyle w:val="ListParagraph"/>
        <w:numPr>
          <w:ilvl w:val="0"/>
          <w:numId w:val="3"/>
        </w:numPr>
        <w:spacing w:line="262" w:lineRule="exact"/>
        <w:rPr>
          <w:rFonts w:ascii="Times New Roman" w:eastAsia="Arial" w:hAnsi="Times New Roman" w:cs="Times New Roman"/>
          <w:sz w:val="24"/>
          <w:szCs w:val="24"/>
        </w:rPr>
      </w:pPr>
      <w:r w:rsidRPr="00E04BE0">
        <w:rPr>
          <w:rFonts w:ascii="Times New Roman" w:eastAsia="Arial" w:hAnsi="Times New Roman" w:cs="Times New Roman"/>
          <w:sz w:val="24"/>
          <w:szCs w:val="24"/>
        </w:rPr>
        <w:t>Selection criteria</w:t>
      </w:r>
    </w:p>
    <w:p w:rsidR="00E04BE0" w:rsidRPr="00E04BE0" w:rsidP="00E04BE0" w14:paraId="29CCA0B7" w14:textId="112834B3">
      <w:pPr>
        <w:pStyle w:val="ListParagraph"/>
        <w:numPr>
          <w:ilvl w:val="0"/>
          <w:numId w:val="3"/>
        </w:numPr>
        <w:spacing w:line="262" w:lineRule="exact"/>
        <w:rPr>
          <w:rFonts w:ascii="Times New Roman" w:eastAsia="Arial" w:hAnsi="Times New Roman" w:cs="Times New Roman"/>
          <w:sz w:val="24"/>
          <w:szCs w:val="24"/>
        </w:rPr>
      </w:pPr>
      <w:r w:rsidRPr="00E04BE0">
        <w:rPr>
          <w:rFonts w:ascii="Times New Roman" w:eastAsia="Arial" w:hAnsi="Times New Roman" w:cs="Times New Roman"/>
          <w:sz w:val="24"/>
          <w:szCs w:val="24"/>
        </w:rPr>
        <w:t xml:space="preserve">Annual Report to the Public </w:t>
      </w:r>
    </w:p>
    <w:p w:rsidR="00E04BE0" w:rsidRPr="00E04BE0" w:rsidP="00C04AC8" w14:paraId="2A3E45A7" w14:textId="77777777">
      <w:pPr>
        <w:pStyle w:val="ListParagraph"/>
        <w:numPr>
          <w:ilvl w:val="0"/>
          <w:numId w:val="3"/>
        </w:numPr>
        <w:spacing w:after="240" w:line="262" w:lineRule="exact"/>
        <w:rPr>
          <w:rFonts w:ascii="Times New Roman" w:eastAsia="Arial" w:hAnsi="Times New Roman" w:cs="Times New Roman"/>
          <w:sz w:val="24"/>
          <w:szCs w:val="24"/>
        </w:rPr>
      </w:pPr>
      <w:r w:rsidRPr="00E04BE0">
        <w:rPr>
          <w:rFonts w:ascii="Times New Roman" w:eastAsia="Arial" w:hAnsi="Times New Roman" w:cs="Times New Roman"/>
          <w:sz w:val="24"/>
          <w:szCs w:val="24"/>
        </w:rPr>
        <w:t xml:space="preserve">Other supporting documents </w:t>
      </w:r>
    </w:p>
    <w:p w:rsidR="00E04BE0" w:rsidRPr="00E04BE0" w:rsidP="00C04AC8" w14:paraId="3202E1D9" w14:textId="1F4A4500">
      <w:pPr>
        <w:spacing w:after="60" w:line="262" w:lineRule="exact"/>
        <w:rPr>
          <w:rFonts w:eastAsia="Arial"/>
        </w:rPr>
      </w:pPr>
      <w:r w:rsidRPr="00E04BE0">
        <w:rPr>
          <w:rFonts w:eastAsia="Arial"/>
        </w:rPr>
        <w:t>Add</w:t>
      </w:r>
      <w:r w:rsidR="00244914">
        <w:rPr>
          <w:rFonts w:eastAsia="Arial"/>
        </w:rPr>
        <w:t>ition of</w:t>
      </w:r>
      <w:r w:rsidRPr="00E04BE0">
        <w:rPr>
          <w:rFonts w:eastAsia="Arial"/>
        </w:rPr>
        <w:t xml:space="preserve"> </w:t>
      </w:r>
      <w:r w:rsidR="002544E5">
        <w:rPr>
          <w:rFonts w:eastAsia="Arial"/>
        </w:rPr>
        <w:t xml:space="preserve">the following </w:t>
      </w:r>
      <w:r w:rsidRPr="00E46A02">
        <w:rPr>
          <w:rFonts w:eastAsia="Arial"/>
        </w:rPr>
        <w:t>reminders</w:t>
      </w:r>
      <w:r w:rsidRPr="00E46A02" w:rsidR="00244914">
        <w:rPr>
          <w:rFonts w:eastAsia="Arial"/>
        </w:rPr>
        <w:t xml:space="preserve"> and/or tips</w:t>
      </w:r>
      <w:r w:rsidRPr="00E04BE0">
        <w:rPr>
          <w:rFonts w:eastAsia="Arial"/>
        </w:rPr>
        <w:t xml:space="preserve">: </w:t>
      </w:r>
    </w:p>
    <w:p w:rsidR="00E04BE0" w:rsidRPr="00E04BE0" w:rsidP="00E04BE0" w14:paraId="339F14EE" w14:textId="77777777">
      <w:pPr>
        <w:pStyle w:val="ListParagraph"/>
        <w:numPr>
          <w:ilvl w:val="0"/>
          <w:numId w:val="3"/>
        </w:numPr>
        <w:spacing w:line="262" w:lineRule="exact"/>
        <w:rPr>
          <w:rFonts w:ascii="Times New Roman" w:eastAsia="Arial" w:hAnsi="Times New Roman" w:cs="Times New Roman"/>
          <w:sz w:val="24"/>
          <w:szCs w:val="24"/>
        </w:rPr>
      </w:pPr>
      <w:r w:rsidRPr="00E04BE0">
        <w:rPr>
          <w:rFonts w:ascii="Times New Roman" w:eastAsia="Arial" w:hAnsi="Times New Roman" w:cs="Times New Roman"/>
          <w:sz w:val="24"/>
          <w:szCs w:val="24"/>
        </w:rPr>
        <w:t>Locally Designed Option qualifies as a Change in Scope request in HSES</w:t>
      </w:r>
    </w:p>
    <w:p w:rsidR="00E04BE0" w:rsidRPr="00E04BE0" w:rsidP="00E04BE0" w14:paraId="78F2B2CB" w14:textId="4D381F51">
      <w:pPr>
        <w:pStyle w:val="ListParagraph"/>
        <w:numPr>
          <w:ilvl w:val="0"/>
          <w:numId w:val="3"/>
        </w:numPr>
        <w:spacing w:line="262" w:lineRule="exact"/>
        <w:rPr>
          <w:rFonts w:ascii="Times New Roman" w:eastAsia="Arial" w:hAnsi="Times New Roman" w:cs="Times New Roman"/>
          <w:sz w:val="24"/>
          <w:szCs w:val="24"/>
        </w:rPr>
      </w:pPr>
      <w:r w:rsidRPr="00E04BE0">
        <w:rPr>
          <w:rFonts w:ascii="Times New Roman" w:eastAsia="Arial" w:hAnsi="Times New Roman" w:cs="Times New Roman"/>
          <w:sz w:val="24"/>
          <w:szCs w:val="24"/>
        </w:rPr>
        <w:t xml:space="preserve">“Program Schedule” in HSES must reflect proposed enrollment levels </w:t>
      </w:r>
    </w:p>
    <w:p w:rsidR="007D6C01" w:rsidRPr="007D6C01" w:rsidP="00E04BE0" w14:paraId="20E91675" w14:textId="6558E431">
      <w:pPr>
        <w:pStyle w:val="ListParagraph"/>
        <w:numPr>
          <w:ilvl w:val="0"/>
          <w:numId w:val="3"/>
        </w:numPr>
        <w:spacing w:line="262" w:lineRule="exact"/>
        <w:rPr>
          <w:rFonts w:ascii="Times New Roman" w:eastAsia="Arial" w:hAnsi="Times New Roman" w:cs="Times New Roman"/>
          <w:sz w:val="24"/>
          <w:szCs w:val="24"/>
        </w:rPr>
      </w:pPr>
      <w:r w:rsidRPr="002C0C93">
        <w:rPr>
          <w:rFonts w:ascii="Times New Roman" w:hAnsi="Times New Roman" w:cs="Times New Roman"/>
          <w:sz w:val="24"/>
          <w:szCs w:val="24"/>
        </w:rPr>
        <w:t xml:space="preserve">Recipients are encouraged to review </w:t>
      </w:r>
      <w:hyperlink r:id="rId11" w:history="1">
        <w:r w:rsidRPr="00C04AC8">
          <w:rPr>
            <w:rStyle w:val="Hyperlink"/>
            <w:rFonts w:ascii="Times New Roman" w:hAnsi="Times New Roman" w:cs="Times New Roman"/>
            <w:sz w:val="24"/>
            <w:szCs w:val="24"/>
          </w:rPr>
          <w:t>How Head Start Services Can Improve Outcomes for Birthing Parents</w:t>
        </w:r>
      </w:hyperlink>
      <w:r w:rsidRPr="00C04AC8">
        <w:rPr>
          <w:rFonts w:ascii="Times New Roman" w:hAnsi="Times New Roman" w:cs="Times New Roman"/>
          <w:color w:val="70AD47" w:themeColor="accent6"/>
          <w:sz w:val="24"/>
          <w:szCs w:val="24"/>
        </w:rPr>
        <w:t xml:space="preserve"> </w:t>
      </w:r>
      <w:r w:rsidRPr="002C0C93">
        <w:rPr>
          <w:rFonts w:ascii="Times New Roman" w:hAnsi="Times New Roman" w:cs="Times New Roman"/>
          <w:sz w:val="24"/>
          <w:szCs w:val="24"/>
        </w:rPr>
        <w:t>to help staff understand the significant health disparities in maternal and infant birth outcomes</w:t>
      </w:r>
    </w:p>
    <w:p w:rsidR="00E04BE0" w:rsidRPr="00E04BE0" w:rsidP="00E04BE0" w14:paraId="11C208C4" w14:textId="3D55D56A">
      <w:pPr>
        <w:pStyle w:val="ListParagraph"/>
        <w:numPr>
          <w:ilvl w:val="0"/>
          <w:numId w:val="3"/>
        </w:numPr>
        <w:spacing w:line="262" w:lineRule="exact"/>
        <w:rPr>
          <w:rFonts w:ascii="Times New Roman" w:eastAsia="Arial" w:hAnsi="Times New Roman" w:cs="Times New Roman"/>
          <w:sz w:val="24"/>
          <w:szCs w:val="24"/>
        </w:rPr>
      </w:pPr>
      <w:r w:rsidRPr="00E04BE0">
        <w:rPr>
          <w:rFonts w:ascii="Times New Roman" w:eastAsia="Arial" w:hAnsi="Times New Roman" w:cs="Times New Roman"/>
          <w:sz w:val="24"/>
          <w:szCs w:val="24"/>
        </w:rPr>
        <w:t xml:space="preserve">Governance screenings </w:t>
      </w:r>
      <w:r w:rsidRPr="004434EF" w:rsidR="004434EF">
        <w:rPr>
          <w:rFonts w:ascii="Times New Roman" w:eastAsia="Arial" w:hAnsi="Times New Roman" w:cs="Times New Roman"/>
          <w:sz w:val="24"/>
          <w:szCs w:val="24"/>
        </w:rPr>
        <w:t>must be conducted within 60 calendar days of the project period</w:t>
      </w:r>
    </w:p>
    <w:p w:rsidR="00E04BE0" w:rsidRPr="00E04BE0" w:rsidP="00E04BE0" w14:paraId="5BD6F3C9" w14:textId="469BAE2F">
      <w:pPr>
        <w:pStyle w:val="ListParagraph"/>
        <w:numPr>
          <w:ilvl w:val="0"/>
          <w:numId w:val="3"/>
        </w:numPr>
        <w:spacing w:line="262" w:lineRule="exact"/>
        <w:rPr>
          <w:rFonts w:ascii="Times New Roman" w:eastAsia="Arial" w:hAnsi="Times New Roman" w:cs="Times New Roman"/>
          <w:sz w:val="24"/>
          <w:szCs w:val="24"/>
        </w:rPr>
      </w:pPr>
      <w:r>
        <w:rPr>
          <w:rFonts w:ascii="Times New Roman" w:eastAsia="Arial" w:hAnsi="Times New Roman" w:cs="Times New Roman"/>
          <w:sz w:val="24"/>
          <w:szCs w:val="24"/>
        </w:rPr>
        <w:t>P</w:t>
      </w:r>
      <w:r w:rsidRPr="00E04BE0">
        <w:rPr>
          <w:rFonts w:ascii="Times New Roman" w:eastAsia="Arial" w:hAnsi="Times New Roman" w:cs="Times New Roman"/>
          <w:sz w:val="24"/>
          <w:szCs w:val="24"/>
        </w:rPr>
        <w:t>artnership contracts</w:t>
      </w:r>
      <w:r>
        <w:rPr>
          <w:rFonts w:ascii="Times New Roman" w:eastAsia="Arial" w:hAnsi="Times New Roman" w:cs="Times New Roman"/>
          <w:sz w:val="24"/>
          <w:szCs w:val="24"/>
        </w:rPr>
        <w:t xml:space="preserve"> must be entered</w:t>
      </w:r>
      <w:r w:rsidRPr="00E04BE0">
        <w:rPr>
          <w:rFonts w:ascii="Times New Roman" w:eastAsia="Arial" w:hAnsi="Times New Roman" w:cs="Times New Roman"/>
          <w:sz w:val="24"/>
          <w:szCs w:val="24"/>
        </w:rPr>
        <w:t xml:space="preserve"> </w:t>
      </w:r>
      <w:r w:rsidR="004434EF">
        <w:rPr>
          <w:rFonts w:ascii="Times New Roman" w:eastAsia="Arial" w:hAnsi="Times New Roman" w:cs="Times New Roman"/>
          <w:sz w:val="24"/>
          <w:szCs w:val="24"/>
        </w:rPr>
        <w:t>in</w:t>
      </w:r>
      <w:r>
        <w:rPr>
          <w:rFonts w:ascii="Times New Roman" w:eastAsia="Arial" w:hAnsi="Times New Roman" w:cs="Times New Roman"/>
          <w:sz w:val="24"/>
          <w:szCs w:val="24"/>
        </w:rPr>
        <w:t xml:space="preserve"> line</w:t>
      </w:r>
      <w:r w:rsidR="004434EF">
        <w:rPr>
          <w:rFonts w:ascii="Times New Roman" w:eastAsia="Arial" w:hAnsi="Times New Roman" w:cs="Times New Roman"/>
          <w:sz w:val="24"/>
          <w:szCs w:val="24"/>
        </w:rPr>
        <w:t xml:space="preserve"> “8. Other Contracts” </w:t>
      </w:r>
      <w:r w:rsidRPr="00E04BE0">
        <w:rPr>
          <w:rFonts w:ascii="Times New Roman" w:eastAsia="Arial" w:hAnsi="Times New Roman" w:cs="Times New Roman"/>
          <w:sz w:val="24"/>
          <w:szCs w:val="24"/>
        </w:rPr>
        <w:t>on the budget tab</w:t>
      </w:r>
      <w:r w:rsidR="004434EF">
        <w:rPr>
          <w:rFonts w:ascii="Times New Roman" w:eastAsia="Arial" w:hAnsi="Times New Roman" w:cs="Times New Roman"/>
          <w:sz w:val="24"/>
          <w:szCs w:val="24"/>
        </w:rPr>
        <w:t xml:space="preserve"> </w:t>
      </w:r>
    </w:p>
    <w:p w:rsidR="00E04BE0" w:rsidRPr="00E04BE0" w:rsidP="00E04BE0" w14:paraId="605342C7" w14:textId="1EA3F72D">
      <w:pPr>
        <w:pStyle w:val="ListParagraph"/>
        <w:numPr>
          <w:ilvl w:val="0"/>
          <w:numId w:val="3"/>
        </w:numPr>
        <w:spacing w:line="262" w:lineRule="exact"/>
        <w:rPr>
          <w:rFonts w:ascii="Times New Roman" w:eastAsia="Arial" w:hAnsi="Times New Roman" w:cs="Times New Roman"/>
          <w:sz w:val="24"/>
          <w:szCs w:val="24"/>
        </w:rPr>
      </w:pPr>
      <w:r>
        <w:rPr>
          <w:rFonts w:ascii="Times New Roman" w:eastAsia="Arial" w:hAnsi="Times New Roman" w:cs="Times New Roman"/>
          <w:sz w:val="24"/>
          <w:szCs w:val="24"/>
        </w:rPr>
        <w:t>C</w:t>
      </w:r>
      <w:r w:rsidRPr="00E04BE0">
        <w:rPr>
          <w:rFonts w:ascii="Times New Roman" w:eastAsia="Arial" w:hAnsi="Times New Roman" w:cs="Times New Roman"/>
          <w:sz w:val="24"/>
          <w:szCs w:val="24"/>
        </w:rPr>
        <w:t xml:space="preserve">ontracts </w:t>
      </w:r>
      <w:r>
        <w:rPr>
          <w:rFonts w:ascii="Times New Roman" w:eastAsia="Arial" w:hAnsi="Times New Roman" w:cs="Times New Roman"/>
          <w:sz w:val="24"/>
          <w:szCs w:val="24"/>
        </w:rPr>
        <w:t xml:space="preserve">and single line-items over </w:t>
      </w:r>
      <w:r w:rsidRPr="00E04BE0">
        <w:rPr>
          <w:rFonts w:ascii="Times New Roman" w:eastAsia="Arial" w:hAnsi="Times New Roman" w:cs="Times New Roman"/>
          <w:sz w:val="24"/>
          <w:szCs w:val="24"/>
        </w:rPr>
        <w:t>$250,000</w:t>
      </w:r>
      <w:r>
        <w:rPr>
          <w:rFonts w:ascii="Times New Roman" w:eastAsia="Arial" w:hAnsi="Times New Roman" w:cs="Times New Roman"/>
          <w:sz w:val="24"/>
          <w:szCs w:val="24"/>
        </w:rPr>
        <w:t xml:space="preserve"> in “Other” budget category must include explanation of </w:t>
      </w:r>
      <w:r w:rsidR="004434EF">
        <w:rPr>
          <w:rFonts w:ascii="Times New Roman" w:eastAsia="Arial" w:hAnsi="Times New Roman" w:cs="Times New Roman"/>
          <w:sz w:val="24"/>
          <w:szCs w:val="24"/>
        </w:rPr>
        <w:t xml:space="preserve">services to be provided </w:t>
      </w:r>
      <w:r w:rsidRPr="00E04BE0">
        <w:rPr>
          <w:rFonts w:ascii="Times New Roman" w:eastAsia="Arial" w:hAnsi="Times New Roman" w:cs="Times New Roman"/>
          <w:sz w:val="24"/>
          <w:szCs w:val="24"/>
        </w:rPr>
        <w:t xml:space="preserve"> </w:t>
      </w:r>
    </w:p>
    <w:p w:rsidR="00E04BE0" w:rsidP="00E04BE0" w14:paraId="3F70BDB3" w14:textId="512AFB8C">
      <w:pPr>
        <w:pStyle w:val="ListParagraph"/>
        <w:numPr>
          <w:ilvl w:val="0"/>
          <w:numId w:val="2"/>
        </w:numPr>
        <w:spacing w:after="0" w:line="262" w:lineRule="exact"/>
        <w:ind w:left="720"/>
        <w:rPr>
          <w:rFonts w:ascii="Times New Roman" w:eastAsia="Arial" w:hAnsi="Times New Roman" w:cs="Times New Roman"/>
          <w:sz w:val="24"/>
          <w:szCs w:val="24"/>
        </w:rPr>
      </w:pPr>
      <w:r>
        <w:rPr>
          <w:rFonts w:ascii="Times New Roman" w:eastAsia="Arial" w:hAnsi="Times New Roman" w:cs="Times New Roman"/>
          <w:sz w:val="24"/>
          <w:szCs w:val="24"/>
        </w:rPr>
        <w:t>E</w:t>
      </w:r>
      <w:r w:rsidRPr="00E04BE0">
        <w:rPr>
          <w:rFonts w:ascii="Times New Roman" w:eastAsia="Arial" w:hAnsi="Times New Roman" w:cs="Times New Roman"/>
          <w:sz w:val="24"/>
          <w:szCs w:val="24"/>
        </w:rPr>
        <w:t>quity considerations throughout</w:t>
      </w:r>
    </w:p>
    <w:p w:rsidR="00E04BE0" w:rsidRPr="00E04BE0" w:rsidP="00E04BE0" w14:paraId="0E7160EB" w14:textId="77777777">
      <w:pPr>
        <w:pStyle w:val="ListParagraph"/>
        <w:spacing w:after="0" w:line="262" w:lineRule="exact"/>
        <w:rPr>
          <w:rFonts w:ascii="Times New Roman" w:eastAsia="Arial" w:hAnsi="Times New Roman" w:cs="Times New Roman"/>
          <w:sz w:val="24"/>
          <w:szCs w:val="24"/>
        </w:rPr>
      </w:pPr>
    </w:p>
    <w:p w:rsidR="00E04BE0" w:rsidRPr="00E04BE0" w:rsidP="00C04AC8" w14:paraId="313E8016" w14:textId="4E4ABF40">
      <w:pPr>
        <w:spacing w:after="60" w:line="262" w:lineRule="exact"/>
        <w:rPr>
          <w:rFonts w:eastAsia="Arial"/>
        </w:rPr>
      </w:pPr>
      <w:r>
        <w:rPr>
          <w:rFonts w:eastAsia="Arial"/>
        </w:rPr>
        <w:t xml:space="preserve">OHS is proposing the addition of follow-up questions to improve the utility of information already being requested. Such additions are in scope of the main question and will help grant recipients </w:t>
      </w:r>
      <w:r w:rsidR="00AD1A82">
        <w:rPr>
          <w:rFonts w:eastAsia="Arial"/>
        </w:rPr>
        <w:t xml:space="preserve">address sections </w:t>
      </w:r>
      <w:r>
        <w:rPr>
          <w:rFonts w:eastAsia="Arial"/>
        </w:rPr>
        <w:t>more concisely and succinctly</w:t>
      </w:r>
      <w:r w:rsidR="00AD1A82">
        <w:rPr>
          <w:rFonts w:eastAsia="Arial"/>
        </w:rPr>
        <w:t>, reducing the need for further discussions after the application has been submitted</w:t>
      </w:r>
      <w:r>
        <w:rPr>
          <w:rFonts w:eastAsia="Arial"/>
        </w:rPr>
        <w:t xml:space="preserve">. </w:t>
      </w:r>
      <w:r w:rsidRPr="00E04BE0">
        <w:rPr>
          <w:rFonts w:eastAsia="Arial"/>
        </w:rPr>
        <w:t>Add</w:t>
      </w:r>
      <w:r w:rsidR="00244914">
        <w:rPr>
          <w:rFonts w:eastAsia="Arial"/>
        </w:rPr>
        <w:t>ition of</w:t>
      </w:r>
      <w:r w:rsidRPr="00E04BE0">
        <w:rPr>
          <w:rFonts w:eastAsia="Arial"/>
        </w:rPr>
        <w:t xml:space="preserve"> </w:t>
      </w:r>
      <w:r w:rsidR="00C944BC">
        <w:rPr>
          <w:rFonts w:eastAsia="Arial"/>
        </w:rPr>
        <w:t xml:space="preserve">follow-up </w:t>
      </w:r>
      <w:r w:rsidRPr="00E04BE0">
        <w:rPr>
          <w:rFonts w:eastAsia="Arial"/>
        </w:rPr>
        <w:t>question on the following</w:t>
      </w:r>
      <w:r w:rsidR="002544E5">
        <w:rPr>
          <w:rFonts w:eastAsia="Arial"/>
        </w:rPr>
        <w:t xml:space="preserve"> sections in the existing Head Start Grant Application</w:t>
      </w:r>
      <w:r w:rsidRPr="00E04BE0">
        <w:rPr>
          <w:rFonts w:eastAsia="Arial"/>
        </w:rPr>
        <w:t xml:space="preserve">: </w:t>
      </w:r>
    </w:p>
    <w:p w:rsidR="00C944BC" w:rsidRPr="00C04AC8" w:rsidP="00C944BC" w14:paraId="5675E852" w14:textId="33A727E2">
      <w:pPr>
        <w:pStyle w:val="ListParagraph"/>
        <w:numPr>
          <w:ilvl w:val="0"/>
          <w:numId w:val="7"/>
        </w:numPr>
        <w:spacing w:line="262" w:lineRule="exact"/>
        <w:rPr>
          <w:rFonts w:ascii="Times New Roman" w:eastAsia="Arial" w:hAnsi="Times New Roman" w:cs="Times New Roman"/>
          <w:sz w:val="24"/>
          <w:szCs w:val="28"/>
        </w:rPr>
      </w:pPr>
      <w:r>
        <w:rPr>
          <w:rFonts w:ascii="Times New Roman" w:eastAsia="Arial" w:hAnsi="Times New Roman" w:cs="Times New Roman"/>
          <w:sz w:val="24"/>
          <w:szCs w:val="24"/>
        </w:rPr>
        <w:t xml:space="preserve">Needs of Children and Families— follow-up question around steps taken to prioritize equity in selection criteria </w:t>
      </w:r>
    </w:p>
    <w:p w:rsidR="00E04BE0" w:rsidRPr="002544E5" w:rsidP="002544E5" w14:paraId="21322F8C" w14:textId="64CC6BC5">
      <w:pPr>
        <w:pStyle w:val="ListParagraph"/>
        <w:numPr>
          <w:ilvl w:val="0"/>
          <w:numId w:val="7"/>
        </w:numPr>
        <w:spacing w:line="262" w:lineRule="exact"/>
        <w:rPr>
          <w:rFonts w:ascii="Times New Roman" w:eastAsia="Arial" w:hAnsi="Times New Roman" w:cs="Times New Roman"/>
          <w:sz w:val="24"/>
          <w:szCs w:val="24"/>
        </w:rPr>
      </w:pPr>
      <w:r w:rsidRPr="00E04BE0">
        <w:rPr>
          <w:rFonts w:ascii="Times New Roman" w:eastAsia="Arial" w:hAnsi="Times New Roman" w:cs="Times New Roman"/>
          <w:sz w:val="24"/>
          <w:szCs w:val="24"/>
        </w:rPr>
        <w:t>Locally Designed Option</w:t>
      </w:r>
      <w:r w:rsidR="002544E5">
        <w:rPr>
          <w:rFonts w:ascii="Times New Roman" w:eastAsia="Arial" w:hAnsi="Times New Roman" w:cs="Times New Roman"/>
          <w:sz w:val="24"/>
          <w:szCs w:val="24"/>
        </w:rPr>
        <w:t>— follow-</w:t>
      </w:r>
      <w:r w:rsidRPr="00C04AC8" w:rsidR="002544E5">
        <w:rPr>
          <w:rFonts w:ascii="Times New Roman" w:eastAsia="Arial" w:hAnsi="Times New Roman" w:cs="Times New Roman"/>
          <w:sz w:val="24"/>
          <w:szCs w:val="24"/>
        </w:rPr>
        <w:t xml:space="preserve">up questions on number of slots, centers, and classrooms in which locally designed option waivers would apply and how locally designed option would support populations identified in selection criteria </w:t>
      </w:r>
    </w:p>
    <w:p w:rsidR="00C944BC" w:rsidRPr="00C04AC8" w:rsidP="00C944BC" w14:paraId="379252E9" w14:textId="10DF61D7">
      <w:pPr>
        <w:pStyle w:val="ListParagraph"/>
        <w:numPr>
          <w:ilvl w:val="0"/>
          <w:numId w:val="7"/>
        </w:numPr>
        <w:spacing w:line="262" w:lineRule="exact"/>
        <w:rPr>
          <w:rFonts w:ascii="Times New Roman" w:eastAsia="Arial" w:hAnsi="Times New Roman" w:cs="Times New Roman"/>
          <w:sz w:val="24"/>
          <w:szCs w:val="28"/>
        </w:rPr>
      </w:pPr>
      <w:r>
        <w:rPr>
          <w:rFonts w:ascii="Times New Roman" w:eastAsia="Arial" w:hAnsi="Times New Roman" w:cs="Times New Roman"/>
          <w:sz w:val="24"/>
          <w:szCs w:val="24"/>
        </w:rPr>
        <w:t xml:space="preserve">Human Resource Management—follow-up question on staff compensation </w:t>
      </w:r>
    </w:p>
    <w:p w:rsidR="002544E5" w:rsidRPr="00C04AC8" w:rsidP="002544E5" w14:paraId="0FFAD797" w14:textId="31C53519">
      <w:pPr>
        <w:pStyle w:val="ListParagraph"/>
        <w:numPr>
          <w:ilvl w:val="0"/>
          <w:numId w:val="7"/>
        </w:numPr>
        <w:spacing w:line="262" w:lineRule="exact"/>
        <w:rPr>
          <w:rFonts w:ascii="Times New Roman" w:eastAsia="Arial" w:hAnsi="Times New Roman" w:cs="Times New Roman"/>
          <w:sz w:val="24"/>
          <w:szCs w:val="24"/>
        </w:rPr>
      </w:pPr>
      <w:r>
        <w:rPr>
          <w:rFonts w:ascii="Times New Roman" w:eastAsia="Arial" w:hAnsi="Times New Roman" w:cs="Times New Roman"/>
          <w:sz w:val="24"/>
          <w:szCs w:val="24"/>
        </w:rPr>
        <w:t>Program Management and Quality Improvement</w:t>
      </w:r>
      <w:r>
        <w:rPr>
          <w:rFonts w:ascii="Times New Roman" w:eastAsia="Arial" w:hAnsi="Times New Roman" w:cs="Times New Roman"/>
          <w:sz w:val="24"/>
          <w:szCs w:val="24"/>
        </w:rPr>
        <w:t xml:space="preserve">—follow-up question on internal controls </w:t>
      </w:r>
    </w:p>
    <w:p w:rsidR="00C944BC" w:rsidRPr="00C04AC8" w:rsidP="00C944BC" w14:paraId="464212FC" w14:textId="583B0D9A">
      <w:pPr>
        <w:pStyle w:val="ListParagraph"/>
        <w:numPr>
          <w:ilvl w:val="0"/>
          <w:numId w:val="7"/>
        </w:numPr>
        <w:spacing w:line="262" w:lineRule="exact"/>
        <w:rPr>
          <w:rFonts w:ascii="Times New Roman" w:eastAsia="Arial" w:hAnsi="Times New Roman" w:cs="Times New Roman"/>
          <w:sz w:val="24"/>
          <w:szCs w:val="24"/>
        </w:rPr>
      </w:pPr>
      <w:r>
        <w:rPr>
          <w:rFonts w:ascii="Times New Roman" w:eastAsia="Arial" w:hAnsi="Times New Roman" w:cs="Times New Roman"/>
          <w:sz w:val="24"/>
          <w:szCs w:val="24"/>
        </w:rPr>
        <w:t xml:space="preserve">Budget— follow-up questions on staff compensation and use of training and technical assistance funds </w:t>
      </w:r>
    </w:p>
    <w:p w:rsidR="00E04BE0" w:rsidRPr="002544E5" w:rsidP="00C04AC8" w14:paraId="09D45145" w14:textId="32E5C6B9">
      <w:pPr>
        <w:pStyle w:val="ListParagraph"/>
        <w:numPr>
          <w:ilvl w:val="0"/>
          <w:numId w:val="7"/>
        </w:numPr>
        <w:spacing w:after="240" w:line="262" w:lineRule="exact"/>
        <w:rPr>
          <w:rFonts w:ascii="Times New Roman" w:eastAsia="Arial" w:hAnsi="Times New Roman" w:cs="Times New Roman"/>
          <w:sz w:val="24"/>
          <w:szCs w:val="24"/>
        </w:rPr>
      </w:pPr>
      <w:r>
        <w:rPr>
          <w:rFonts w:ascii="Times New Roman" w:eastAsia="Arial" w:hAnsi="Times New Roman" w:cs="Times New Roman"/>
          <w:sz w:val="24"/>
          <w:szCs w:val="24"/>
        </w:rPr>
        <w:t>Continuation Application— follow-up question requiring an explanation in situations where there</w:t>
      </w:r>
      <w:r w:rsidRPr="00C04AC8">
        <w:rPr>
          <w:rFonts w:ascii="Times New Roman" w:eastAsia="Arial" w:hAnsi="Times New Roman" w:cs="Times New Roman"/>
          <w:sz w:val="24"/>
          <w:szCs w:val="24"/>
        </w:rPr>
        <w:t xml:space="preserve"> are no updates or changes to service delivery in a continuation application</w:t>
      </w:r>
      <w:r>
        <w:rPr>
          <w:rFonts w:ascii="Times New Roman" w:eastAsia="Arial" w:hAnsi="Times New Roman" w:cs="Times New Roman"/>
          <w:sz w:val="24"/>
          <w:szCs w:val="24"/>
        </w:rPr>
        <w:t xml:space="preserve"> </w:t>
      </w:r>
    </w:p>
    <w:p w:rsidR="00E04BE0" w:rsidP="00C04AC8" w14:paraId="28EABA65" w14:textId="52409C9C">
      <w:pPr>
        <w:spacing w:after="60" w:line="262" w:lineRule="exact"/>
        <w:rPr>
          <w:rFonts w:eastAsia="Arial"/>
          <w:szCs w:val="28"/>
        </w:rPr>
      </w:pPr>
      <w:r>
        <w:rPr>
          <w:rFonts w:eastAsia="Arial"/>
          <w:szCs w:val="28"/>
        </w:rPr>
        <w:t xml:space="preserve">OHS is proposing the removal of questions that </w:t>
      </w:r>
      <w:r w:rsidR="0056662A">
        <w:rPr>
          <w:rFonts w:eastAsia="Arial"/>
          <w:szCs w:val="28"/>
        </w:rPr>
        <w:t>have little to no utility</w:t>
      </w:r>
      <w:r>
        <w:rPr>
          <w:rFonts w:eastAsia="Arial"/>
          <w:szCs w:val="28"/>
        </w:rPr>
        <w:t xml:space="preserve">. However, removal of such questions will not change the overall purpose and use of the information collection. </w:t>
      </w:r>
      <w:r w:rsidR="0056662A">
        <w:rPr>
          <w:rFonts w:eastAsia="Arial"/>
          <w:szCs w:val="28"/>
        </w:rPr>
        <w:t>Q</w:t>
      </w:r>
      <w:r>
        <w:rPr>
          <w:rFonts w:eastAsia="Arial"/>
          <w:szCs w:val="28"/>
        </w:rPr>
        <w:t xml:space="preserve">uestions </w:t>
      </w:r>
      <w:r w:rsidR="0056662A">
        <w:rPr>
          <w:rFonts w:eastAsia="Arial"/>
          <w:szCs w:val="28"/>
        </w:rPr>
        <w:t xml:space="preserve">are on </w:t>
      </w:r>
      <w:r>
        <w:rPr>
          <w:rFonts w:eastAsia="Arial"/>
          <w:szCs w:val="28"/>
        </w:rPr>
        <w:t xml:space="preserve">the following: </w:t>
      </w:r>
    </w:p>
    <w:p w:rsidR="00244914" w:rsidRPr="00244914" w:rsidP="00C04AC8" w14:paraId="2BC576A8" w14:textId="73946AF1">
      <w:pPr>
        <w:pStyle w:val="ListParagraph"/>
        <w:numPr>
          <w:ilvl w:val="0"/>
          <w:numId w:val="7"/>
        </w:numPr>
        <w:spacing w:after="240" w:line="262" w:lineRule="exact"/>
        <w:rPr>
          <w:rFonts w:ascii="Times New Roman" w:eastAsia="Arial" w:hAnsi="Times New Roman" w:cs="Times New Roman"/>
          <w:sz w:val="24"/>
          <w:szCs w:val="28"/>
        </w:rPr>
      </w:pPr>
      <w:r w:rsidRPr="00244914">
        <w:rPr>
          <w:rFonts w:ascii="Times New Roman" w:eastAsia="Arial" w:hAnsi="Times New Roman" w:cs="Times New Roman"/>
          <w:sz w:val="24"/>
          <w:szCs w:val="28"/>
        </w:rPr>
        <w:t>Financial and property management systems</w:t>
      </w:r>
    </w:p>
    <w:p w:rsidR="00E04BE0" w:rsidP="00E04BE0" w14:paraId="209C5F38" w14:textId="281963FB">
      <w:pPr>
        <w:spacing w:line="262" w:lineRule="exact"/>
      </w:pPr>
      <w:r>
        <w:rPr>
          <w:rFonts w:eastAsia="Arial"/>
        </w:rPr>
        <w:t xml:space="preserve">The proposed </w:t>
      </w:r>
      <w:r w:rsidRPr="00E04BE0">
        <w:t>changes</w:t>
      </w:r>
      <w:r>
        <w:t xml:space="preserve"> are not expected to substantively impact the burden estimate since the burden of submitting the Head Start Grant Application are already considered by the existing information collection and most changes are added clarifications, descriptions, reminders, and tips. While the proposed changes include additional </w:t>
      </w:r>
      <w:r w:rsidR="007D6C01">
        <w:t>follow-up questions</w:t>
      </w:r>
      <w:r>
        <w:t xml:space="preserve">, several questions were </w:t>
      </w:r>
      <w:r w:rsidR="007D6C01">
        <w:t xml:space="preserve">condensed and rephrased for clarity </w:t>
      </w:r>
      <w:r w:rsidR="00244914">
        <w:t xml:space="preserve">and/or </w:t>
      </w:r>
      <w:r>
        <w:t xml:space="preserve">removed from the Head Start Grant Applications. </w:t>
      </w:r>
    </w:p>
    <w:p w:rsidR="00CD048D" w:rsidRPr="0005680D" w:rsidP="00BF696B" w14:paraId="3C6A241B" w14:textId="77777777"/>
    <w:p w:rsidR="0005680D" w:rsidP="00BF696B" w14:paraId="7DBC6097" w14:textId="1F58C757">
      <w:pPr>
        <w:spacing w:after="120"/>
        <w:rPr>
          <w:b/>
          <w:i/>
        </w:rPr>
      </w:pPr>
      <w:r>
        <w:rPr>
          <w:b/>
          <w:i/>
        </w:rPr>
        <w:t xml:space="preserve">Time Sensitivities </w:t>
      </w:r>
    </w:p>
    <w:p w:rsidR="00E04BE0" w:rsidRPr="00244914" w:rsidP="00BF696B" w14:paraId="2BE427A1" w14:textId="615257D9">
      <w:pPr>
        <w:spacing w:after="120"/>
        <w:rPr>
          <w:bCs/>
          <w:iCs/>
        </w:rPr>
      </w:pPr>
      <w:r>
        <w:rPr>
          <w:bCs/>
          <w:iCs/>
        </w:rPr>
        <w:t>T</w:t>
      </w:r>
      <w:r w:rsidR="00244914">
        <w:rPr>
          <w:bCs/>
          <w:iCs/>
        </w:rPr>
        <w:t>o ensure an equitable rollout of the updated Head Start Grant Application, the proposed changes would be effective for Fiscal Year 2025 funding. This would ensure that all Head Start recipients use the same Head Start Grant Application for Fiscal Year 2025 (FY25). Head Start grant recipients receive guidance on completing their annual funding applications 6 months in advance of their annual funding date. Funding guidance for recipients funded in October 2024 (FY25) must be sent to recipients in April 2024. To ensure there is enough time to rollout changes in advance of April 2024, we are requesting approval of the request</w:t>
      </w:r>
      <w:r w:rsidR="00CA05FE">
        <w:rPr>
          <w:bCs/>
          <w:iCs/>
        </w:rPr>
        <w:t xml:space="preserve"> </w:t>
      </w:r>
      <w:r w:rsidR="002C0C93">
        <w:rPr>
          <w:bCs/>
          <w:iCs/>
        </w:rPr>
        <w:t>in early March 2024</w:t>
      </w:r>
      <w:r w:rsidR="00244914">
        <w:rPr>
          <w:bCs/>
          <w:iCs/>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14B"/>
    <w:multiLevelType w:val="hybridMultilevel"/>
    <w:tmpl w:val="382A2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92E548A"/>
    <w:multiLevelType w:val="hybridMultilevel"/>
    <w:tmpl w:val="102CA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F464E0"/>
    <w:multiLevelType w:val="hybridMultilevel"/>
    <w:tmpl w:val="7658A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390893"/>
    <w:multiLevelType w:val="hybridMultilevel"/>
    <w:tmpl w:val="52F26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6A783C"/>
    <w:multiLevelType w:val="hybridMultilevel"/>
    <w:tmpl w:val="EDF0B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D8A3E11"/>
    <w:multiLevelType w:val="hybridMultilevel"/>
    <w:tmpl w:val="962A6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69667D8"/>
    <w:multiLevelType w:val="hybridMultilevel"/>
    <w:tmpl w:val="1BC81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0B05411"/>
    <w:multiLevelType w:val="hybridMultilevel"/>
    <w:tmpl w:val="33EE98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3894335">
    <w:abstractNumId w:val="1"/>
  </w:num>
  <w:num w:numId="2" w16cid:durableId="414132993">
    <w:abstractNumId w:val="8"/>
  </w:num>
  <w:num w:numId="3" w16cid:durableId="2030180354">
    <w:abstractNumId w:val="2"/>
  </w:num>
  <w:num w:numId="4" w16cid:durableId="932863467">
    <w:abstractNumId w:val="3"/>
  </w:num>
  <w:num w:numId="5" w16cid:durableId="5794238">
    <w:abstractNumId w:val="6"/>
  </w:num>
  <w:num w:numId="6" w16cid:durableId="687373753">
    <w:abstractNumId w:val="0"/>
  </w:num>
  <w:num w:numId="7" w16cid:durableId="52387927">
    <w:abstractNumId w:val="4"/>
  </w:num>
  <w:num w:numId="8" w16cid:durableId="257982367">
    <w:abstractNumId w:val="5"/>
  </w:num>
  <w:num w:numId="9" w16cid:durableId="104203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853CA"/>
    <w:rsid w:val="000A3D03"/>
    <w:rsid w:val="00116024"/>
    <w:rsid w:val="00201D4A"/>
    <w:rsid w:val="002307CF"/>
    <w:rsid w:val="00244914"/>
    <w:rsid w:val="002544E5"/>
    <w:rsid w:val="002613A0"/>
    <w:rsid w:val="002C0C93"/>
    <w:rsid w:val="00372FCB"/>
    <w:rsid w:val="003B5081"/>
    <w:rsid w:val="00416E1B"/>
    <w:rsid w:val="00430033"/>
    <w:rsid w:val="004434EF"/>
    <w:rsid w:val="004A777C"/>
    <w:rsid w:val="004E0796"/>
    <w:rsid w:val="0056662A"/>
    <w:rsid w:val="005A6611"/>
    <w:rsid w:val="006A4467"/>
    <w:rsid w:val="006C6DFB"/>
    <w:rsid w:val="006C76C8"/>
    <w:rsid w:val="007D6C01"/>
    <w:rsid w:val="00817F0D"/>
    <w:rsid w:val="0093520A"/>
    <w:rsid w:val="00995018"/>
    <w:rsid w:val="009C7D65"/>
    <w:rsid w:val="00A44387"/>
    <w:rsid w:val="00AD1A82"/>
    <w:rsid w:val="00BF696B"/>
    <w:rsid w:val="00C04AC8"/>
    <w:rsid w:val="00C944BC"/>
    <w:rsid w:val="00CA05FE"/>
    <w:rsid w:val="00CC4B04"/>
    <w:rsid w:val="00CD048D"/>
    <w:rsid w:val="00E04BE0"/>
    <w:rsid w:val="00E1518E"/>
    <w:rsid w:val="00E46A02"/>
    <w:rsid w:val="00E525D4"/>
    <w:rsid w:val="00EA29AE"/>
    <w:rsid w:val="00EA597B"/>
    <w:rsid w:val="00EF7234"/>
    <w:rsid w:val="00F16376"/>
    <w:rsid w:val="00F431E0"/>
    <w:rsid w:val="00FB56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Hyperlink">
    <w:name w:val="Hyperlink"/>
    <w:basedOn w:val="DefaultParagraphFont"/>
    <w:uiPriority w:val="99"/>
    <w:unhideWhenUsed/>
    <w:rsid w:val="00CD048D"/>
    <w:rPr>
      <w:color w:val="0563C1" w:themeColor="hyperlink"/>
      <w:u w:val="single"/>
    </w:rPr>
  </w:style>
  <w:style w:type="character" w:styleId="UnresolvedMention">
    <w:name w:val="Unresolved Mention"/>
    <w:basedOn w:val="DefaultParagraphFont"/>
    <w:uiPriority w:val="99"/>
    <w:semiHidden/>
    <w:unhideWhenUsed/>
    <w:rsid w:val="00CD048D"/>
    <w:rPr>
      <w:color w:val="605E5C"/>
      <w:shd w:val="clear" w:color="auto" w:fill="E1DFDD"/>
    </w:rPr>
  </w:style>
  <w:style w:type="paragraph" w:styleId="ListParagraph">
    <w:name w:val="List Paragraph"/>
    <w:basedOn w:val="Normal"/>
    <w:uiPriority w:val="34"/>
    <w:qFormat/>
    <w:rsid w:val="00CD048D"/>
    <w:pPr>
      <w:widowControl/>
      <w:suppressAutoHyphens w:val="0"/>
      <w:spacing w:after="200" w:line="276" w:lineRule="auto"/>
      <w:ind w:left="720"/>
      <w:contextualSpacing/>
    </w:pPr>
    <w:rPr>
      <w:rFonts w:asciiTheme="minorHAnsi" w:eastAsiaTheme="minorEastAsia" w:hAnsiTheme="minorHAnsi" w:cstheme="minorBidi"/>
      <w:kern w:val="0"/>
      <w:sz w:val="22"/>
      <w:szCs w:val="22"/>
    </w:rPr>
  </w:style>
  <w:style w:type="paragraph" w:styleId="Revision">
    <w:name w:val="Revision"/>
    <w:hidden/>
    <w:uiPriority w:val="99"/>
    <w:semiHidden/>
    <w:rsid w:val="00CA05FE"/>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node=pt45.1.75" TargetMode="External" /><Relationship Id="rId11" Type="http://schemas.openxmlformats.org/officeDocument/2006/relationships/hyperlink" Target="https://eclkc.ohs.acf.hhs.gov/publication/how-head-start-services-can-improve-outcomes-birthing-parent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eclkc.ohs.acf.hhs.gov/policy/im/acf-im-hs-22-09" TargetMode="External" /><Relationship Id="rId9" Type="http://schemas.openxmlformats.org/officeDocument/2006/relationships/hyperlink" Target="https://eclkc.ohs.acf.hhs.gov/policy/im/acf-im-hs-19-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Papadopoulos, Helen (ACF)</DisplayName>
        <AccountId>165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5" ma:contentTypeDescription="Create a new document." ma:contentTypeScope="" ma:versionID="26f7d1bb9a9da29e50596720f20bf693">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4ec4b4cdd5f0520e0ea88e11f36fd44e"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8e93af26-c2f7-4713-98b4-0ec2b43fceef"/>
  </ds:schemaRefs>
</ds:datastoreItem>
</file>

<file path=customXml/itemProps3.xml><?xml version="1.0" encoding="utf-8"?>
<ds:datastoreItem xmlns:ds="http://schemas.openxmlformats.org/officeDocument/2006/customXml" ds:itemID="{E6E6075C-5BC7-40A6-9CCF-3EF4C61AACB1}">
  <ds:schemaRefs>
    <ds:schemaRef ds:uri="http://schemas.openxmlformats.org/officeDocument/2006/bibliography"/>
  </ds:schemaRefs>
</ds:datastoreItem>
</file>

<file path=customXml/itemProps4.xml><?xml version="1.0" encoding="utf-8"?>
<ds:datastoreItem xmlns:ds="http://schemas.openxmlformats.org/officeDocument/2006/customXml" ds:itemID="{80199183-3656-45EE-9C39-49DF94517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cp:revision>
  <dcterms:created xsi:type="dcterms:W3CDTF">2024-01-23T15:37:00Z</dcterms:created>
  <dcterms:modified xsi:type="dcterms:W3CDTF">2024-01-23T16:01:00Z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