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61D" w:rsidRPr="00671566" w:rsidP="00A7361D" w14:paraId="31A19272" w14:textId="77777777">
      <w:pPr>
        <w:tabs>
          <w:tab w:val="left" w:pos="-720"/>
        </w:tabs>
        <w:suppressAutoHyphens/>
        <w:jc w:val="center"/>
        <w:rPr>
          <w:rFonts w:ascii="Arial" w:hAnsi="Arial" w:cs="Arial"/>
          <w:b/>
          <w:bCs/>
          <w:sz w:val="40"/>
          <w:szCs w:val="40"/>
        </w:rPr>
      </w:pPr>
      <w:r w:rsidRPr="004F7B95">
        <w:rPr>
          <w:rFonts w:ascii="Times New Roman" w:hAnsi="Times New Roman"/>
          <w:sz w:val="24"/>
          <w:szCs w:val="24"/>
        </w:rPr>
        <w:tab/>
      </w:r>
      <w:bookmarkStart w:id="0" w:name="OLE_LINK3"/>
      <w:bookmarkStart w:id="1" w:name="OLE_LINK4"/>
      <w:r w:rsidRPr="00671566">
        <w:rPr>
          <w:rFonts w:ascii="Arial" w:hAnsi="Arial" w:cs="Arial"/>
          <w:b/>
          <w:bCs/>
          <w:sz w:val="40"/>
          <w:szCs w:val="40"/>
        </w:rPr>
        <w:t xml:space="preserve">Tribal Maternal, Infant, and Early Childhood Home Visiting Program </w:t>
      </w:r>
      <w:bookmarkEnd w:id="0"/>
      <w:bookmarkEnd w:id="1"/>
    </w:p>
    <w:p w:rsidR="00A7361D" w:rsidP="00A7361D" w14:paraId="134CF8DA" w14:textId="73329001">
      <w:pPr>
        <w:tabs>
          <w:tab w:val="left" w:pos="-720"/>
        </w:tabs>
        <w:suppressAutoHyphens/>
        <w:jc w:val="center"/>
        <w:rPr>
          <w:rFonts w:ascii="Arial" w:hAnsi="Arial" w:cs="Arial"/>
          <w:b/>
          <w:bCs/>
          <w:sz w:val="40"/>
          <w:szCs w:val="40"/>
        </w:rPr>
      </w:pPr>
      <w:r>
        <w:rPr>
          <w:rFonts w:ascii="Arial" w:hAnsi="Arial" w:cs="Arial"/>
          <w:b/>
          <w:bCs/>
          <w:sz w:val="40"/>
          <w:szCs w:val="40"/>
        </w:rPr>
        <w:t>Data Reports:</w:t>
      </w:r>
    </w:p>
    <w:p w:rsidR="00570F0D" w:rsidP="00570F0D" w14:paraId="2A58DE96" w14:textId="77777777">
      <w:pPr>
        <w:contextualSpacing/>
        <w:jc w:val="center"/>
        <w:rPr>
          <w:rFonts w:ascii="Museo 500" w:hAnsi="Museo 500"/>
          <w:b/>
          <w:spacing w:val="-10"/>
          <w:sz w:val="44"/>
          <w:szCs w:val="44"/>
        </w:rPr>
      </w:pPr>
    </w:p>
    <w:p w:rsidR="00570F0D" w:rsidRPr="00570F0D" w:rsidP="00570F0D" w14:paraId="1959CCCF" w14:textId="001114D5">
      <w:pPr>
        <w:contextualSpacing/>
        <w:jc w:val="center"/>
        <w:rPr>
          <w:rFonts w:ascii="Museo 500" w:hAnsi="Museo 500"/>
          <w:b/>
          <w:spacing w:val="-10"/>
          <w:sz w:val="40"/>
          <w:szCs w:val="40"/>
        </w:rPr>
      </w:pPr>
      <w:r w:rsidRPr="00570F0D">
        <w:rPr>
          <w:rFonts w:ascii="Museo 500" w:hAnsi="Museo 500"/>
          <w:b/>
          <w:spacing w:val="-10"/>
          <w:sz w:val="40"/>
          <w:szCs w:val="40"/>
        </w:rPr>
        <w:t xml:space="preserve">Demographic and Service Utilization </w:t>
      </w:r>
    </w:p>
    <w:p w:rsidR="00570F0D" w:rsidRPr="00570F0D" w:rsidP="00570F0D" w14:paraId="2512D5E0" w14:textId="77777777">
      <w:pPr>
        <w:contextualSpacing/>
        <w:jc w:val="center"/>
        <w:rPr>
          <w:rFonts w:ascii="Museo 500" w:hAnsi="Museo 500"/>
          <w:b/>
          <w:spacing w:val="-10"/>
          <w:sz w:val="40"/>
          <w:szCs w:val="40"/>
        </w:rPr>
      </w:pPr>
      <w:r w:rsidRPr="00570F0D">
        <w:rPr>
          <w:rFonts w:ascii="Museo 500" w:hAnsi="Museo 500"/>
          <w:b/>
          <w:spacing w:val="-10"/>
          <w:sz w:val="40"/>
          <w:szCs w:val="40"/>
        </w:rPr>
        <w:t>Grantee Performance Measures</w:t>
      </w:r>
    </w:p>
    <w:p w:rsidR="00570F0D" w:rsidRPr="00570F0D" w:rsidP="00570F0D" w14:paraId="5EA3C073" w14:textId="77777777">
      <w:pPr>
        <w:contextualSpacing/>
        <w:jc w:val="center"/>
        <w:rPr>
          <w:rFonts w:ascii="Museo 500" w:hAnsi="Museo 500"/>
          <w:b/>
          <w:spacing w:val="-10"/>
          <w:sz w:val="40"/>
          <w:szCs w:val="40"/>
        </w:rPr>
      </w:pPr>
      <w:r w:rsidRPr="00570F0D">
        <w:rPr>
          <w:rFonts w:ascii="Museo 500" w:hAnsi="Museo 500"/>
          <w:b/>
          <w:spacing w:val="-10"/>
          <w:sz w:val="40"/>
          <w:szCs w:val="40"/>
        </w:rPr>
        <w:t>Quarterly Performance Reporting</w:t>
      </w:r>
    </w:p>
    <w:p w:rsidR="00570F0D" w:rsidRPr="00671566" w:rsidP="00A7361D" w14:paraId="75CB7524" w14:textId="77777777">
      <w:pPr>
        <w:tabs>
          <w:tab w:val="left" w:pos="-720"/>
        </w:tabs>
        <w:suppressAutoHyphens/>
        <w:jc w:val="center"/>
        <w:rPr>
          <w:rFonts w:ascii="Arial" w:hAnsi="Arial" w:cs="Arial"/>
          <w:b/>
          <w:bCs/>
          <w:sz w:val="40"/>
          <w:szCs w:val="40"/>
        </w:rPr>
      </w:pPr>
    </w:p>
    <w:p w:rsidR="00160621" w:rsidRPr="00160621" w:rsidP="00160621" w14:paraId="0AF3794C" w14:textId="77777777">
      <w:pPr>
        <w:pStyle w:val="ReportCover-Title"/>
        <w:jc w:val="center"/>
        <w:rPr>
          <w:rFonts w:ascii="Arial" w:hAnsi="Arial" w:cs="Arial"/>
          <w:color w:val="auto"/>
        </w:rPr>
      </w:pPr>
    </w:p>
    <w:p w:rsidR="00160621" w:rsidRPr="00160621" w:rsidP="00160621" w14:paraId="398111A1" w14:textId="77777777">
      <w:pPr>
        <w:pStyle w:val="ReportCover-Title"/>
        <w:rPr>
          <w:rFonts w:ascii="Arial" w:hAnsi="Arial" w:cs="Arial"/>
          <w:color w:val="auto"/>
        </w:rPr>
      </w:pPr>
    </w:p>
    <w:p w:rsidR="00160621" w:rsidRPr="00160621" w:rsidP="00160621" w14:paraId="278E3019" w14:textId="77777777">
      <w:pPr>
        <w:pStyle w:val="ReportCover-Title"/>
        <w:rPr>
          <w:rFonts w:ascii="Arial" w:hAnsi="Arial" w:cs="Arial"/>
          <w:color w:val="auto"/>
        </w:rPr>
      </w:pPr>
    </w:p>
    <w:p w:rsidR="00160621" w:rsidP="00160621" w14:paraId="14D7E40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9E524F" w:rsidP="009E524F" w14:paraId="3954D709" w14:textId="77777777">
      <w:pPr>
        <w:pStyle w:val="Header"/>
        <w:jc w:val="center"/>
      </w:pPr>
    </w:p>
    <w:p w:rsidR="009E524F" w:rsidRPr="00EA2F32" w:rsidP="009E524F" w14:paraId="06CA47F8" w14:textId="15F88521">
      <w:pPr>
        <w:pStyle w:val="Header"/>
        <w:jc w:val="center"/>
        <w:rPr>
          <w:rFonts w:ascii="Arial" w:hAnsi="Arial" w:cs="Arial"/>
          <w:b/>
          <w:sz w:val="36"/>
          <w:szCs w:val="36"/>
        </w:rPr>
      </w:pPr>
    </w:p>
    <w:p w:rsidR="009E524F" w:rsidP="009E524F" w14:paraId="1937A473" w14:textId="77777777">
      <w:pPr>
        <w:pStyle w:val="Header"/>
        <w:ind w:left="720"/>
        <w:jc w:val="right"/>
      </w:pPr>
    </w:p>
    <w:p w:rsidR="00A7361D" w:rsidRPr="00A7361D" w:rsidP="00A7361D" w14:paraId="06ACA1D4" w14:textId="77777777">
      <w:pPr>
        <w:widowControl/>
        <w:jc w:val="center"/>
        <w:rPr>
          <w:rFonts w:ascii="Arial" w:hAnsi="Arial" w:cs="Arial"/>
          <w:snapToGrid/>
          <w:color w:val="000000"/>
          <w:sz w:val="32"/>
          <w:szCs w:val="32"/>
        </w:rPr>
      </w:pPr>
    </w:p>
    <w:p w:rsidR="00160621" w:rsidRPr="00160621" w:rsidP="00160621" w14:paraId="27C8F186" w14:textId="77777777">
      <w:pPr>
        <w:pStyle w:val="ReportCover-Title"/>
        <w:jc w:val="center"/>
        <w:rPr>
          <w:rFonts w:ascii="Arial" w:hAnsi="Arial" w:cs="Arial"/>
          <w:color w:val="auto"/>
          <w:sz w:val="32"/>
          <w:szCs w:val="32"/>
        </w:rPr>
      </w:pPr>
    </w:p>
    <w:p w:rsidR="00160621" w:rsidRPr="00160621" w:rsidP="00160621" w14:paraId="62E65B4C" w14:textId="77777777">
      <w:pPr>
        <w:rPr>
          <w:rFonts w:ascii="Arial" w:hAnsi="Arial" w:cs="Arial"/>
          <w:szCs w:val="22"/>
        </w:rPr>
      </w:pPr>
    </w:p>
    <w:p w:rsidR="00160621" w:rsidRPr="00160621" w:rsidP="00597E7F" w14:paraId="2CF1DC51"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559DD602" w14:textId="4E37EEC1">
      <w:pPr>
        <w:pStyle w:val="ReportCover-Date"/>
        <w:jc w:val="center"/>
        <w:rPr>
          <w:rFonts w:ascii="Arial" w:hAnsi="Arial" w:cs="Arial"/>
          <w:color w:val="auto"/>
        </w:rPr>
      </w:pPr>
      <w:r>
        <w:rPr>
          <w:rFonts w:ascii="Arial" w:hAnsi="Arial" w:cs="Arial"/>
          <w:color w:val="auto"/>
        </w:rPr>
        <w:t>June</w:t>
      </w:r>
      <w:r w:rsidR="005D242A">
        <w:rPr>
          <w:rFonts w:ascii="Arial" w:hAnsi="Arial" w:cs="Arial"/>
          <w:color w:val="auto"/>
        </w:rPr>
        <w:t xml:space="preserve"> </w:t>
      </w:r>
      <w:r w:rsidR="00436528">
        <w:rPr>
          <w:rFonts w:ascii="Arial" w:hAnsi="Arial" w:cs="Arial"/>
          <w:color w:val="auto"/>
        </w:rPr>
        <w:t>2023</w:t>
      </w:r>
    </w:p>
    <w:p w:rsidR="00597E7F" w:rsidP="00160621" w14:paraId="26452831" w14:textId="77777777">
      <w:pPr>
        <w:jc w:val="center"/>
        <w:rPr>
          <w:rFonts w:ascii="Arial" w:hAnsi="Arial" w:cs="Arial"/>
        </w:rPr>
      </w:pPr>
    </w:p>
    <w:p w:rsidR="00597E7F" w:rsidP="00160621" w14:paraId="4623B2BF" w14:textId="77777777">
      <w:pPr>
        <w:jc w:val="center"/>
        <w:rPr>
          <w:rFonts w:ascii="Arial" w:hAnsi="Arial" w:cs="Arial"/>
        </w:rPr>
      </w:pPr>
    </w:p>
    <w:p w:rsidR="00597E7F" w:rsidP="00160621" w14:paraId="628D2625" w14:textId="77777777">
      <w:pPr>
        <w:jc w:val="center"/>
        <w:rPr>
          <w:rFonts w:ascii="Arial" w:hAnsi="Arial" w:cs="Arial"/>
        </w:rPr>
      </w:pPr>
    </w:p>
    <w:p w:rsidR="00597E7F" w:rsidP="00160621" w14:paraId="5BFD54B2" w14:textId="77777777">
      <w:pPr>
        <w:jc w:val="center"/>
        <w:rPr>
          <w:rFonts w:ascii="Arial" w:hAnsi="Arial" w:cs="Arial"/>
        </w:rPr>
      </w:pPr>
    </w:p>
    <w:p w:rsidR="00597E7F" w:rsidP="00160621" w14:paraId="20A72927" w14:textId="77777777">
      <w:pPr>
        <w:jc w:val="center"/>
        <w:rPr>
          <w:rFonts w:ascii="Arial" w:hAnsi="Arial" w:cs="Arial"/>
        </w:rPr>
      </w:pPr>
    </w:p>
    <w:p w:rsidR="00597E7F" w:rsidP="00160621" w14:paraId="47E273A4" w14:textId="77777777">
      <w:pPr>
        <w:jc w:val="center"/>
        <w:rPr>
          <w:rFonts w:ascii="Arial" w:hAnsi="Arial" w:cs="Arial"/>
        </w:rPr>
      </w:pPr>
    </w:p>
    <w:p w:rsidR="00597E7F" w:rsidP="00160621" w14:paraId="557B3670" w14:textId="77777777">
      <w:pPr>
        <w:jc w:val="center"/>
        <w:rPr>
          <w:rFonts w:ascii="Arial" w:hAnsi="Arial" w:cs="Arial"/>
        </w:rPr>
      </w:pPr>
    </w:p>
    <w:p w:rsidR="00597E7F" w:rsidP="00160621" w14:paraId="72E45B0C" w14:textId="77777777">
      <w:pPr>
        <w:jc w:val="center"/>
        <w:rPr>
          <w:rFonts w:ascii="Arial" w:hAnsi="Arial" w:cs="Arial"/>
        </w:rPr>
      </w:pPr>
    </w:p>
    <w:p w:rsidR="00597E7F" w:rsidRPr="00160621" w:rsidP="00160621" w14:paraId="3D85DEEF" w14:textId="77777777">
      <w:pPr>
        <w:jc w:val="center"/>
        <w:rPr>
          <w:rFonts w:ascii="Arial" w:hAnsi="Arial" w:cs="Arial"/>
        </w:rPr>
      </w:pPr>
    </w:p>
    <w:p w:rsidR="00160621" w:rsidRPr="00160621" w:rsidP="00160621" w14:paraId="53C64F2A" w14:textId="77777777">
      <w:pPr>
        <w:jc w:val="center"/>
        <w:rPr>
          <w:rFonts w:ascii="Arial" w:hAnsi="Arial" w:cs="Arial"/>
        </w:rPr>
      </w:pPr>
      <w:r w:rsidRPr="00160621">
        <w:rPr>
          <w:rFonts w:ascii="Arial" w:hAnsi="Arial" w:cs="Arial"/>
        </w:rPr>
        <w:t>Submitted By:</w:t>
      </w:r>
    </w:p>
    <w:p w:rsidR="00060E53" w:rsidP="00160621" w14:paraId="07B42212" w14:textId="5877802F">
      <w:pPr>
        <w:jc w:val="center"/>
        <w:rPr>
          <w:rFonts w:ascii="Arial" w:hAnsi="Arial" w:cs="Arial"/>
        </w:rPr>
      </w:pPr>
      <w:r>
        <w:rPr>
          <w:rFonts w:ascii="Arial" w:hAnsi="Arial" w:cs="Arial"/>
        </w:rPr>
        <w:t xml:space="preserve">Office of </w:t>
      </w:r>
      <w:r w:rsidR="000B2C4B">
        <w:rPr>
          <w:rFonts w:ascii="Arial" w:hAnsi="Arial" w:cs="Arial"/>
        </w:rPr>
        <w:t>Early Childhood Development</w:t>
      </w:r>
    </w:p>
    <w:p w:rsidR="0051701C" w:rsidP="00160621" w14:paraId="79D7DE03" w14:textId="1BE3A816">
      <w:pPr>
        <w:jc w:val="center"/>
        <w:rPr>
          <w:rFonts w:ascii="Arial" w:hAnsi="Arial" w:cs="Arial"/>
        </w:rPr>
      </w:pPr>
      <w:r>
        <w:rPr>
          <w:rFonts w:ascii="Arial" w:hAnsi="Arial" w:cs="Arial"/>
        </w:rPr>
        <w:t>Tribal Maternal, Infant and Early Childhood Home Visiting Program</w:t>
      </w:r>
    </w:p>
    <w:p w:rsidR="00160621" w:rsidRPr="00160621" w:rsidP="00160621" w14:paraId="696D1E89" w14:textId="77777777">
      <w:pPr>
        <w:jc w:val="center"/>
        <w:rPr>
          <w:rFonts w:ascii="Arial" w:hAnsi="Arial" w:cs="Arial"/>
        </w:rPr>
      </w:pPr>
      <w:r w:rsidRPr="00160621">
        <w:rPr>
          <w:rFonts w:ascii="Arial" w:hAnsi="Arial" w:cs="Arial"/>
        </w:rPr>
        <w:t xml:space="preserve">Administration for Children and Families </w:t>
      </w:r>
    </w:p>
    <w:p w:rsidR="00160621" w:rsidP="00160621" w14:paraId="1A395AF1" w14:textId="59758316">
      <w:pPr>
        <w:jc w:val="center"/>
        <w:rPr>
          <w:rFonts w:ascii="Arial" w:hAnsi="Arial" w:cs="Arial"/>
        </w:rPr>
      </w:pPr>
      <w:r w:rsidRPr="00160621">
        <w:rPr>
          <w:rFonts w:ascii="Arial" w:hAnsi="Arial" w:cs="Arial"/>
        </w:rPr>
        <w:t>U.S. Department of Health and Human Services</w:t>
      </w:r>
    </w:p>
    <w:p w:rsidR="00436528" w:rsidP="00160621" w14:paraId="0C32B74A" w14:textId="10AE52A0">
      <w:pPr>
        <w:jc w:val="center"/>
        <w:rPr>
          <w:rFonts w:ascii="Arial" w:hAnsi="Arial" w:cs="Arial"/>
        </w:rPr>
      </w:pPr>
    </w:p>
    <w:p w:rsidR="0051701C" w:rsidP="00EA2F32" w14:paraId="0AC6C19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072D73">
        <w:rPr>
          <w:rFonts w:ascii="Times New Roman" w:hAnsi="Times New Roman"/>
          <w:b/>
          <w:snapToGrid/>
          <w:sz w:val="24"/>
          <w:szCs w:val="24"/>
        </w:rPr>
        <w:t xml:space="preserve">Circumstances Making the Collection of Information Necessary </w:t>
      </w:r>
    </w:p>
    <w:p w:rsidR="006429F4" w:rsidRPr="00281C1F" w:rsidP="00281C1F" w14:paraId="4FAC23D3" w14:textId="7B5DE0BE">
      <w:pPr>
        <w:widowControl/>
        <w:autoSpaceDE w:val="0"/>
        <w:autoSpaceDN w:val="0"/>
        <w:adjustRightInd w:val="0"/>
        <w:ind w:left="360"/>
        <w:rPr>
          <w:rFonts w:ascii="Times New Roman" w:hAnsi="Times New Roman"/>
          <w:sz w:val="24"/>
          <w:szCs w:val="24"/>
        </w:rPr>
      </w:pPr>
      <w:r w:rsidRPr="008D7F73">
        <w:rPr>
          <w:rFonts w:ascii="Times New Roman" w:hAnsi="Times New Roman"/>
          <w:sz w:val="24"/>
          <w:szCs w:val="24"/>
        </w:rPr>
        <w:t xml:space="preserve">Section 511 </w:t>
      </w:r>
      <w:r w:rsidR="00BE56C8">
        <w:rPr>
          <w:rFonts w:ascii="Times New Roman" w:hAnsi="Times New Roman"/>
          <w:sz w:val="24"/>
          <w:szCs w:val="24"/>
        </w:rPr>
        <w:t xml:space="preserve">Title V </w:t>
      </w:r>
      <w:r w:rsidRPr="008D7F73">
        <w:rPr>
          <w:rFonts w:ascii="Times New Roman" w:hAnsi="Times New Roman"/>
          <w:sz w:val="24"/>
          <w:szCs w:val="24"/>
        </w:rPr>
        <w:t>of the Social Security Act</w:t>
      </w:r>
      <w:r w:rsidRPr="00281C1F">
        <w:rPr>
          <w:rFonts w:ascii="Times New Roman" w:hAnsi="Times New Roman"/>
          <w:sz w:val="24"/>
          <w:szCs w:val="24"/>
        </w:rPr>
        <w:t xml:space="preserve"> created the Maternal, Infant, and Early Childhood Home Visiting </w:t>
      </w:r>
      <w:r w:rsidRPr="00281C1F" w:rsidR="00E31DF7">
        <w:rPr>
          <w:rFonts w:ascii="Times New Roman" w:hAnsi="Times New Roman"/>
          <w:sz w:val="24"/>
          <w:szCs w:val="24"/>
        </w:rPr>
        <w:t>(MIECHV)</w:t>
      </w:r>
      <w:r w:rsidR="00E31DF7">
        <w:rPr>
          <w:rFonts w:ascii="Times New Roman" w:hAnsi="Times New Roman"/>
          <w:sz w:val="24"/>
          <w:szCs w:val="24"/>
        </w:rPr>
        <w:t xml:space="preserve"> </w:t>
      </w:r>
      <w:r w:rsidRPr="00281C1F">
        <w:rPr>
          <w:rFonts w:ascii="Times New Roman" w:hAnsi="Times New Roman"/>
          <w:sz w:val="24"/>
          <w:szCs w:val="24"/>
        </w:rPr>
        <w:t xml:space="preserve">Program </w:t>
      </w:r>
      <w:r w:rsidR="00BE56C8">
        <w:rPr>
          <w:rFonts w:ascii="Times New Roman" w:hAnsi="Times New Roman"/>
          <w:sz w:val="24"/>
          <w:szCs w:val="24"/>
        </w:rPr>
        <w:t xml:space="preserve"> </w:t>
      </w:r>
      <w:r w:rsidRPr="00281C1F">
        <w:rPr>
          <w:rFonts w:ascii="Times New Roman" w:hAnsi="Times New Roman"/>
          <w:sz w:val="24"/>
          <w:szCs w:val="24"/>
        </w:rPr>
        <w:t xml:space="preserve">and authorized the Secretary of the Department of Health and Human Services (HHS) to award grants to Indian tribes (or a consortium of Indian tribes), tribal organizations, or urban Indian organizations. </w:t>
      </w:r>
      <w:r w:rsidR="00BE56C8">
        <w:rPr>
          <w:rFonts w:ascii="Times New Roman" w:hAnsi="Times New Roman"/>
          <w:sz w:val="24"/>
          <w:szCs w:val="24"/>
        </w:rPr>
        <w:t xml:space="preserve"> The most recent reauthorization of the MIECHV program set</w:t>
      </w:r>
      <w:r w:rsidRPr="00281C1F">
        <w:rPr>
          <w:rFonts w:ascii="Times New Roman" w:hAnsi="Times New Roman"/>
          <w:sz w:val="24"/>
          <w:szCs w:val="24"/>
        </w:rPr>
        <w:t xml:space="preserve"> aside </w:t>
      </w:r>
      <w:r>
        <w:rPr>
          <w:rFonts w:ascii="Times New Roman" w:hAnsi="Times New Roman"/>
          <w:sz w:val="24"/>
          <w:szCs w:val="24"/>
        </w:rPr>
        <w:t>6</w:t>
      </w:r>
      <w:r w:rsidRPr="00281C1F">
        <w:rPr>
          <w:rFonts w:ascii="Times New Roman" w:hAnsi="Times New Roman"/>
          <w:sz w:val="24"/>
          <w:szCs w:val="24"/>
        </w:rPr>
        <w:t xml:space="preserve"> percent of the total MIECHV program appropriation for grants to tribal entities</w:t>
      </w:r>
      <w:r>
        <w:rPr>
          <w:rFonts w:ascii="Times New Roman" w:hAnsi="Times New Roman"/>
          <w:sz w:val="24"/>
          <w:szCs w:val="24"/>
        </w:rPr>
        <w:t xml:space="preserve"> and indicates</w:t>
      </w:r>
      <w:r w:rsidRPr="00281C1F">
        <w:rPr>
          <w:rFonts w:ascii="Times New Roman" w:hAnsi="Times New Roman"/>
          <w:sz w:val="24"/>
          <w:szCs w:val="24"/>
        </w:rPr>
        <w:t xml:space="preserve"> </w:t>
      </w:r>
      <w:r w:rsidRPr="00281C1F" w:rsidR="00473CD8">
        <w:rPr>
          <w:rFonts w:ascii="Times New Roman" w:hAnsi="Times New Roman"/>
          <w:sz w:val="24"/>
          <w:szCs w:val="24"/>
        </w:rPr>
        <w:t xml:space="preserve">that the </w:t>
      </w:r>
      <w:r w:rsidR="00E31DF7">
        <w:rPr>
          <w:rFonts w:ascii="Times New Roman" w:hAnsi="Times New Roman"/>
          <w:sz w:val="24"/>
          <w:szCs w:val="24"/>
        </w:rPr>
        <w:t>Tribal MIECHV</w:t>
      </w:r>
      <w:r w:rsidRPr="00281C1F" w:rsidR="00E31DF7">
        <w:rPr>
          <w:rFonts w:ascii="Times New Roman" w:hAnsi="Times New Roman"/>
          <w:sz w:val="24"/>
          <w:szCs w:val="24"/>
        </w:rPr>
        <w:t xml:space="preserve"> </w:t>
      </w:r>
      <w:r w:rsidRPr="00281C1F" w:rsidR="00473CD8">
        <w:rPr>
          <w:rFonts w:ascii="Times New Roman" w:hAnsi="Times New Roman"/>
          <w:sz w:val="24"/>
          <w:szCs w:val="24"/>
        </w:rPr>
        <w:t xml:space="preserve">grants, to the greatest extent practicable, be consistent with the requirements of the MIECHV grants to states and </w:t>
      </w:r>
      <w:r w:rsidRPr="00281C1F">
        <w:rPr>
          <w:rFonts w:ascii="Times New Roman" w:hAnsi="Times New Roman"/>
          <w:sz w:val="24"/>
          <w:szCs w:val="24"/>
        </w:rPr>
        <w:t>territories and</w:t>
      </w:r>
      <w:r w:rsidRPr="00281C1F" w:rsidR="00473CD8">
        <w:rPr>
          <w:rFonts w:ascii="Times New Roman" w:hAnsi="Times New Roman"/>
          <w:sz w:val="24"/>
          <w:szCs w:val="24"/>
        </w:rPr>
        <w:t xml:space="preserve"> include conducting a needs assessment and establishing benchmarks. </w:t>
      </w:r>
    </w:p>
    <w:p w:rsidR="006429F4" w:rsidP="00EA2F32" w14:paraId="55F31C7C" w14:textId="77777777">
      <w:pPr>
        <w:ind w:left="360"/>
        <w:rPr>
          <w:rFonts w:ascii="Times New Roman" w:hAnsi="Times New Roman"/>
          <w:sz w:val="24"/>
          <w:szCs w:val="24"/>
        </w:rPr>
      </w:pPr>
    </w:p>
    <w:p w:rsidR="006429F4" w:rsidP="005D242A" w14:paraId="0AF9C6BC" w14:textId="2E9093DC">
      <w:pPr>
        <w:ind w:left="360"/>
        <w:rPr>
          <w:sz w:val="23"/>
          <w:szCs w:val="23"/>
        </w:rPr>
      </w:pPr>
      <w:r w:rsidRPr="00473CD8">
        <w:rPr>
          <w:rFonts w:ascii="Times New Roman" w:hAnsi="Times New Roman"/>
          <w:sz w:val="24"/>
          <w:szCs w:val="24"/>
        </w:rPr>
        <w:t xml:space="preserve">The goals of the Tribal </w:t>
      </w:r>
      <w:r w:rsidR="00BE56C8">
        <w:rPr>
          <w:rFonts w:ascii="Times New Roman" w:hAnsi="Times New Roman"/>
          <w:sz w:val="24"/>
          <w:szCs w:val="24"/>
        </w:rPr>
        <w:t>MIECHV h</w:t>
      </w:r>
      <w:r w:rsidRPr="00473CD8">
        <w:rPr>
          <w:rFonts w:ascii="Times New Roman" w:hAnsi="Times New Roman"/>
          <w:sz w:val="24"/>
          <w:szCs w:val="24"/>
        </w:rPr>
        <w:t xml:space="preserve">ome </w:t>
      </w:r>
      <w:r w:rsidR="00BE56C8">
        <w:rPr>
          <w:rFonts w:ascii="Times New Roman" w:hAnsi="Times New Roman"/>
          <w:sz w:val="24"/>
          <w:szCs w:val="24"/>
        </w:rPr>
        <w:t>v</w:t>
      </w:r>
      <w:r w:rsidRPr="00473CD8">
        <w:rPr>
          <w:rFonts w:ascii="Times New Roman" w:hAnsi="Times New Roman"/>
          <w:sz w:val="24"/>
          <w:szCs w:val="24"/>
        </w:rPr>
        <w:t xml:space="preserve">isiting </w:t>
      </w:r>
      <w:r w:rsidR="00BE56C8">
        <w:rPr>
          <w:rFonts w:ascii="Times New Roman" w:hAnsi="Times New Roman"/>
          <w:sz w:val="24"/>
          <w:szCs w:val="24"/>
        </w:rPr>
        <w:t>p</w:t>
      </w:r>
      <w:r w:rsidRPr="00473CD8">
        <w:rPr>
          <w:rFonts w:ascii="Times New Roman" w:hAnsi="Times New Roman"/>
          <w:sz w:val="24"/>
          <w:szCs w:val="24"/>
        </w:rPr>
        <w:t xml:space="preserve">rogram are to support healthy, happy, successful American Indian and Alaska Native (AIAN) children and families through a coordinated, high-quality, evidence-based home visiting strategy, and to continue to build the evidence base for home visiting in tribal communities. </w:t>
      </w:r>
      <w:r w:rsidR="00BE56C8">
        <w:rPr>
          <w:rFonts w:ascii="Times New Roman" w:hAnsi="Times New Roman"/>
          <w:sz w:val="24"/>
          <w:szCs w:val="24"/>
        </w:rPr>
        <w:t xml:space="preserve"> </w:t>
      </w:r>
      <w:r w:rsidR="005D242A">
        <w:rPr>
          <w:rFonts w:ascii="Times New Roman" w:hAnsi="Times New Roman"/>
          <w:sz w:val="24"/>
          <w:szCs w:val="24"/>
        </w:rPr>
        <w:t>The Administration for Children and Families (</w:t>
      </w:r>
      <w:r w:rsidRPr="00473CD8">
        <w:rPr>
          <w:rFonts w:ascii="Times New Roman" w:hAnsi="Times New Roman"/>
          <w:sz w:val="24"/>
          <w:szCs w:val="24"/>
        </w:rPr>
        <w:t>ACF</w:t>
      </w:r>
      <w:r w:rsidR="005D242A">
        <w:rPr>
          <w:rFonts w:ascii="Times New Roman" w:hAnsi="Times New Roman"/>
          <w:sz w:val="24"/>
          <w:szCs w:val="24"/>
        </w:rPr>
        <w:t>)</w:t>
      </w:r>
      <w:r w:rsidRPr="00473CD8">
        <w:rPr>
          <w:rFonts w:ascii="Times New Roman" w:hAnsi="Times New Roman"/>
          <w:sz w:val="24"/>
          <w:szCs w:val="24"/>
        </w:rPr>
        <w:t xml:space="preserve"> and the Health Resources and Services Administration (HRSA), the agencies collaborating to implement the </w:t>
      </w:r>
      <w:r>
        <w:rPr>
          <w:rFonts w:ascii="Times New Roman" w:hAnsi="Times New Roman"/>
          <w:sz w:val="24"/>
          <w:szCs w:val="24"/>
        </w:rPr>
        <w:t>MIECHV</w:t>
      </w:r>
      <w:r w:rsidRPr="00473CD8">
        <w:rPr>
          <w:rFonts w:ascii="Times New Roman" w:hAnsi="Times New Roman"/>
          <w:sz w:val="24"/>
          <w:szCs w:val="24"/>
        </w:rPr>
        <w:t xml:space="preserve"> program within </w:t>
      </w:r>
      <w:r>
        <w:rPr>
          <w:rFonts w:ascii="Times New Roman" w:hAnsi="Times New Roman"/>
          <w:sz w:val="24"/>
          <w:szCs w:val="24"/>
        </w:rPr>
        <w:t>HHS</w:t>
      </w:r>
      <w:r w:rsidRPr="00473CD8">
        <w:rPr>
          <w:rFonts w:ascii="Times New Roman" w:hAnsi="Times New Roman"/>
          <w:sz w:val="24"/>
          <w:szCs w:val="24"/>
        </w:rPr>
        <w:t>, also intend for the program to result in a coordinated system of early childhood home visiting in tribal communities that has the capacity to provide infrastructure and supports to assure high-quality, evidence-based practice.</w:t>
      </w:r>
      <w:r>
        <w:rPr>
          <w:sz w:val="23"/>
          <w:szCs w:val="23"/>
        </w:rPr>
        <w:t xml:space="preserve"> </w:t>
      </w:r>
    </w:p>
    <w:p w:rsidR="006429F4" w:rsidP="00EA2F32" w14:paraId="48BE5E3B" w14:textId="77777777">
      <w:pPr>
        <w:ind w:left="360"/>
        <w:rPr>
          <w:sz w:val="23"/>
          <w:szCs w:val="23"/>
        </w:rPr>
      </w:pPr>
    </w:p>
    <w:p w:rsidR="006429F4" w:rsidP="005D242A" w14:paraId="45A177ED" w14:textId="7B8533D0">
      <w:pPr>
        <w:ind w:left="360"/>
        <w:rPr>
          <w:rFonts w:ascii="Times New Roman" w:hAnsi="Times New Roman"/>
          <w:sz w:val="24"/>
          <w:szCs w:val="24"/>
        </w:rPr>
      </w:pPr>
      <w:r w:rsidRPr="008019A8">
        <w:rPr>
          <w:rFonts w:ascii="Times New Roman" w:hAnsi="Times New Roman"/>
          <w:sz w:val="24"/>
          <w:szCs w:val="24"/>
        </w:rPr>
        <w:t xml:space="preserve">The Tribal </w:t>
      </w:r>
      <w:r w:rsidR="00BE56C8">
        <w:rPr>
          <w:rFonts w:ascii="Times New Roman" w:hAnsi="Times New Roman"/>
          <w:sz w:val="24"/>
          <w:szCs w:val="24"/>
        </w:rPr>
        <w:t>MIECHV</w:t>
      </w:r>
      <w:r w:rsidRPr="008019A8">
        <w:rPr>
          <w:rFonts w:ascii="Times New Roman" w:hAnsi="Times New Roman"/>
          <w:sz w:val="24"/>
          <w:szCs w:val="24"/>
        </w:rPr>
        <w:t xml:space="preserve"> discretionary grants support cooperative agreements to conduct community needs assessments; plan for and implement high-quality, </w:t>
      </w:r>
      <w:r w:rsidRPr="008019A8">
        <w:rPr>
          <w:rFonts w:ascii="Times New Roman" w:hAnsi="Times New Roman"/>
          <w:sz w:val="24"/>
          <w:szCs w:val="24"/>
        </w:rPr>
        <w:t>culturally relevant</w:t>
      </w:r>
      <w:r w:rsidRPr="008019A8">
        <w:rPr>
          <w:rFonts w:ascii="Times New Roman" w:hAnsi="Times New Roman"/>
          <w:sz w:val="24"/>
          <w:szCs w:val="24"/>
        </w:rPr>
        <w:t xml:space="preserve">, evidence-based home visiting programs in at-risk tribal communities; establish, measure, and report on progress toward meeting performance measures in six </w:t>
      </w:r>
      <w:r w:rsidRPr="008019A8" w:rsidR="00051C94">
        <w:rPr>
          <w:rFonts w:ascii="Times New Roman" w:hAnsi="Times New Roman"/>
          <w:sz w:val="24"/>
          <w:szCs w:val="24"/>
        </w:rPr>
        <w:t>legislatively mandated</w:t>
      </w:r>
      <w:r w:rsidRPr="008019A8">
        <w:rPr>
          <w:rFonts w:ascii="Times New Roman" w:hAnsi="Times New Roman"/>
          <w:sz w:val="24"/>
          <w:szCs w:val="24"/>
        </w:rPr>
        <w:t xml:space="preserve"> benchmark areas; and participate in rigorous evaluation activities to build the knowledge base on home visiting among Native populations.</w:t>
      </w:r>
      <w:r>
        <w:rPr>
          <w:rFonts w:ascii="Times New Roman" w:hAnsi="Times New Roman"/>
          <w:sz w:val="24"/>
          <w:szCs w:val="24"/>
        </w:rPr>
        <w:t xml:space="preserve"> </w:t>
      </w:r>
      <w:bookmarkStart w:id="2" w:name="_Hlk108101281"/>
    </w:p>
    <w:p w:rsidR="006429F4" w:rsidP="006429F4" w14:paraId="543A74F6" w14:textId="77777777">
      <w:pPr>
        <w:ind w:left="360"/>
        <w:rPr>
          <w:rFonts w:ascii="Times New Roman" w:hAnsi="Times New Roman"/>
          <w:sz w:val="24"/>
          <w:szCs w:val="24"/>
        </w:rPr>
      </w:pPr>
    </w:p>
    <w:p w:rsidR="00391583" w:rsidP="00874045" w14:paraId="2F7B98D3" w14:textId="6AF520BE">
      <w:pPr>
        <w:spacing w:after="120"/>
        <w:ind w:left="360"/>
        <w:rPr>
          <w:rFonts w:ascii="Times New Roman" w:hAnsi="Times New Roman"/>
          <w:sz w:val="24"/>
          <w:szCs w:val="24"/>
        </w:rPr>
      </w:pPr>
      <w:r>
        <w:rPr>
          <w:rFonts w:ascii="Times New Roman" w:hAnsi="Times New Roman"/>
          <w:sz w:val="24"/>
          <w:szCs w:val="24"/>
        </w:rPr>
        <w:t xml:space="preserve">There are </w:t>
      </w:r>
      <w:r w:rsidRPr="00A6169D">
        <w:rPr>
          <w:rFonts w:ascii="Times New Roman" w:hAnsi="Times New Roman"/>
          <w:sz w:val="24"/>
          <w:szCs w:val="24"/>
        </w:rPr>
        <w:t xml:space="preserve">two types of Tribal MIECHV grant programs: Tribal MIECHV </w:t>
      </w:r>
      <w:r>
        <w:rPr>
          <w:rFonts w:ascii="Times New Roman" w:hAnsi="Times New Roman"/>
          <w:sz w:val="24"/>
          <w:szCs w:val="24"/>
        </w:rPr>
        <w:t>Development and Implementation Grants (</w:t>
      </w:r>
      <w:r w:rsidRPr="00A6169D">
        <w:rPr>
          <w:rFonts w:ascii="Times New Roman" w:hAnsi="Times New Roman"/>
          <w:sz w:val="24"/>
          <w:szCs w:val="24"/>
        </w:rPr>
        <w:t>DIG</w:t>
      </w:r>
      <w:r>
        <w:rPr>
          <w:rFonts w:ascii="Times New Roman" w:hAnsi="Times New Roman"/>
          <w:sz w:val="24"/>
          <w:szCs w:val="24"/>
        </w:rPr>
        <w:t>)</w:t>
      </w:r>
      <w:r w:rsidRPr="00A6169D">
        <w:rPr>
          <w:rFonts w:ascii="Times New Roman" w:hAnsi="Times New Roman"/>
          <w:sz w:val="24"/>
          <w:szCs w:val="24"/>
        </w:rPr>
        <w:t xml:space="preserve"> and Tribal MIECHV </w:t>
      </w:r>
      <w:r>
        <w:rPr>
          <w:rFonts w:ascii="Times New Roman" w:hAnsi="Times New Roman"/>
          <w:sz w:val="24"/>
          <w:szCs w:val="24"/>
        </w:rPr>
        <w:t>Implementation and Expansion Grants (</w:t>
      </w:r>
      <w:r w:rsidRPr="00A6169D">
        <w:rPr>
          <w:rFonts w:ascii="Times New Roman" w:hAnsi="Times New Roman"/>
          <w:sz w:val="24"/>
          <w:szCs w:val="24"/>
        </w:rPr>
        <w:t>IEG</w:t>
      </w:r>
      <w:r>
        <w:rPr>
          <w:rFonts w:ascii="Times New Roman" w:hAnsi="Times New Roman"/>
          <w:sz w:val="24"/>
          <w:szCs w:val="24"/>
        </w:rPr>
        <w:t>)</w:t>
      </w:r>
      <w:r w:rsidRPr="00A6169D">
        <w:rPr>
          <w:rFonts w:ascii="Times New Roman" w:hAnsi="Times New Roman"/>
          <w:sz w:val="24"/>
          <w:szCs w:val="24"/>
        </w:rPr>
        <w:t>.</w:t>
      </w:r>
      <w:r w:rsidR="00051C94">
        <w:rPr>
          <w:rFonts w:ascii="Times New Roman" w:hAnsi="Times New Roman"/>
          <w:sz w:val="24"/>
          <w:szCs w:val="24"/>
        </w:rPr>
        <w:t xml:space="preserve">  </w:t>
      </w:r>
      <w:r w:rsidRPr="00A6169D">
        <w:rPr>
          <w:rFonts w:ascii="Times New Roman" w:hAnsi="Times New Roman"/>
          <w:sz w:val="24"/>
          <w:szCs w:val="24"/>
        </w:rPr>
        <w:t xml:space="preserve">In the first year of their grants, Tribal MIECHV DIG and IEG grant recipients </w:t>
      </w:r>
      <w:r w:rsidR="00051C94">
        <w:rPr>
          <w:rFonts w:ascii="Times New Roman" w:hAnsi="Times New Roman"/>
          <w:sz w:val="24"/>
          <w:szCs w:val="24"/>
        </w:rPr>
        <w:t>must</w:t>
      </w:r>
      <w:r w:rsidRPr="00A6169D">
        <w:rPr>
          <w:rFonts w:ascii="Times New Roman" w:hAnsi="Times New Roman"/>
          <w:sz w:val="24"/>
          <w:szCs w:val="24"/>
        </w:rPr>
        <w:t xml:space="preserve"> develop an implementation plan on how they will meet the requirements of the program</w:t>
      </w:r>
      <w:r>
        <w:rPr>
          <w:rFonts w:ascii="Times New Roman" w:hAnsi="Times New Roman"/>
          <w:sz w:val="24"/>
          <w:szCs w:val="24"/>
        </w:rPr>
        <w:t xml:space="preserve"> </w:t>
      </w:r>
      <w:r w:rsidRPr="00391583">
        <w:rPr>
          <w:rFonts w:ascii="Times New Roman" w:hAnsi="Times New Roman"/>
          <w:sz w:val="24"/>
          <w:szCs w:val="24"/>
        </w:rPr>
        <w:t xml:space="preserve">(the Tribal </w:t>
      </w:r>
      <w:r>
        <w:rPr>
          <w:rFonts w:ascii="Times New Roman" w:hAnsi="Times New Roman"/>
          <w:sz w:val="24"/>
          <w:szCs w:val="24"/>
        </w:rPr>
        <w:t>MIECHV</w:t>
      </w:r>
      <w:r w:rsidRPr="00391583">
        <w:rPr>
          <w:rFonts w:ascii="Times New Roman" w:hAnsi="Times New Roman"/>
          <w:sz w:val="24"/>
          <w:szCs w:val="24"/>
        </w:rPr>
        <w:t xml:space="preserve"> Program Implementation Plan Guidance</w:t>
      </w:r>
      <w:r>
        <w:rPr>
          <w:rFonts w:ascii="Times New Roman" w:hAnsi="Times New Roman"/>
          <w:sz w:val="24"/>
          <w:szCs w:val="24"/>
        </w:rPr>
        <w:t xml:space="preserve"> is currently under review at OMB. See ICR Ref No. </w:t>
      </w:r>
      <w:r w:rsidRPr="00E54908" w:rsidR="00E54908">
        <w:rPr>
          <w:rFonts w:ascii="Times New Roman" w:hAnsi="Times New Roman"/>
          <w:sz w:val="24"/>
          <w:szCs w:val="24"/>
        </w:rPr>
        <w:t>202304-0970-002</w:t>
      </w:r>
      <w:r>
        <w:rPr>
          <w:rFonts w:ascii="Times New Roman" w:hAnsi="Times New Roman"/>
          <w:sz w:val="24"/>
          <w:szCs w:val="24"/>
        </w:rPr>
        <w:t>)</w:t>
      </w:r>
      <w:r w:rsidRPr="00A6169D">
        <w:rPr>
          <w:rFonts w:ascii="Times New Roman" w:hAnsi="Times New Roman"/>
          <w:sz w:val="24"/>
          <w:szCs w:val="24"/>
        </w:rPr>
        <w:t>.</w:t>
      </w:r>
      <w:r w:rsidR="00051C94">
        <w:rPr>
          <w:rFonts w:ascii="Times New Roman" w:hAnsi="Times New Roman"/>
          <w:sz w:val="24"/>
          <w:szCs w:val="24"/>
        </w:rPr>
        <w:t xml:space="preserve">  </w:t>
      </w:r>
      <w:r w:rsidR="00A134DC">
        <w:rPr>
          <w:rFonts w:ascii="Times New Roman" w:hAnsi="Times New Roman"/>
          <w:sz w:val="24"/>
          <w:szCs w:val="24"/>
        </w:rPr>
        <w:t xml:space="preserve">In years 2-5 of their grants, grantees are required to submit </w:t>
      </w:r>
      <w:r w:rsidR="00D80B0E">
        <w:rPr>
          <w:rFonts w:ascii="Times New Roman" w:hAnsi="Times New Roman"/>
          <w:sz w:val="24"/>
          <w:szCs w:val="24"/>
        </w:rPr>
        <w:t xml:space="preserve">the following reports, which are the focus of this request: </w:t>
      </w:r>
      <w:r>
        <w:rPr>
          <w:rFonts w:ascii="Times New Roman" w:hAnsi="Times New Roman"/>
          <w:sz w:val="24"/>
          <w:szCs w:val="24"/>
        </w:rPr>
        <w:t xml:space="preserve"> </w:t>
      </w:r>
    </w:p>
    <w:p w:rsidR="00391583" w:rsidRPr="00391583" w:rsidP="00391583" w14:paraId="3A4338FD" w14:textId="3E94D5FE">
      <w:pPr>
        <w:pStyle w:val="ListParagraph"/>
        <w:numPr>
          <w:ilvl w:val="0"/>
          <w:numId w:val="23"/>
        </w:numPr>
        <w:ind w:left="1080"/>
        <w:rPr>
          <w:rFonts w:ascii="Times New Roman" w:hAnsi="Times New Roman"/>
          <w:sz w:val="24"/>
          <w:szCs w:val="24"/>
        </w:rPr>
      </w:pPr>
      <w:r w:rsidRPr="00391583">
        <w:rPr>
          <w:rFonts w:ascii="Times New Roman" w:hAnsi="Times New Roman"/>
          <w:sz w:val="24"/>
          <w:szCs w:val="24"/>
        </w:rPr>
        <w:t>Demographic and Service Utilization Data Report</w:t>
      </w:r>
    </w:p>
    <w:p w:rsidR="00391583" w:rsidRPr="00391583" w:rsidP="00391583" w14:paraId="3FEE250A" w14:textId="77777777">
      <w:pPr>
        <w:pStyle w:val="ListParagraph"/>
        <w:numPr>
          <w:ilvl w:val="0"/>
          <w:numId w:val="23"/>
        </w:numPr>
        <w:ind w:left="1080"/>
        <w:rPr>
          <w:rFonts w:ascii="Times New Roman" w:hAnsi="Times New Roman"/>
          <w:sz w:val="24"/>
          <w:szCs w:val="24"/>
        </w:rPr>
      </w:pPr>
      <w:r w:rsidRPr="00391583">
        <w:rPr>
          <w:rFonts w:ascii="Times New Roman" w:hAnsi="Times New Roman"/>
          <w:sz w:val="24"/>
          <w:szCs w:val="24"/>
        </w:rPr>
        <w:t>Performance Measurement Data Report</w:t>
      </w:r>
    </w:p>
    <w:p w:rsidR="00391583" w:rsidP="00391583" w14:paraId="2E0FD663" w14:textId="6A557E45">
      <w:pPr>
        <w:pStyle w:val="ListParagraph"/>
        <w:numPr>
          <w:ilvl w:val="0"/>
          <w:numId w:val="23"/>
        </w:numPr>
        <w:ind w:left="1080"/>
        <w:rPr>
          <w:rFonts w:ascii="Times New Roman" w:hAnsi="Times New Roman"/>
          <w:sz w:val="24"/>
          <w:szCs w:val="24"/>
        </w:rPr>
      </w:pPr>
      <w:r w:rsidRPr="00391583">
        <w:rPr>
          <w:rFonts w:ascii="Times New Roman" w:hAnsi="Times New Roman"/>
          <w:sz w:val="24"/>
          <w:szCs w:val="24"/>
        </w:rPr>
        <w:t>Quarterly Performance Data Report</w:t>
      </w:r>
    </w:p>
    <w:p w:rsidR="00D328CE" w:rsidP="00D328CE" w14:paraId="2E33D5D8" w14:textId="77777777">
      <w:pPr>
        <w:rPr>
          <w:rFonts w:ascii="Times New Roman" w:hAnsi="Times New Roman"/>
          <w:sz w:val="24"/>
          <w:szCs w:val="24"/>
        </w:rPr>
      </w:pPr>
    </w:p>
    <w:p w:rsidR="00D328CE" w:rsidRPr="00D328CE" w:rsidP="00D328CE" w14:paraId="4D4747D8" w14:textId="334EE1C6">
      <w:pPr>
        <w:rPr>
          <w:rFonts w:ascii="Times New Roman" w:hAnsi="Times New Roman"/>
          <w:sz w:val="24"/>
          <w:szCs w:val="24"/>
        </w:rPr>
      </w:pPr>
      <w:r w:rsidRPr="00D328CE">
        <w:rPr>
          <w:rFonts w:ascii="Times New Roman" w:hAnsi="Times New Roman"/>
          <w:sz w:val="24"/>
          <w:szCs w:val="24"/>
        </w:rPr>
        <w:t xml:space="preserve">Current </w:t>
      </w:r>
      <w:r>
        <w:rPr>
          <w:rFonts w:ascii="Times New Roman" w:hAnsi="Times New Roman"/>
          <w:sz w:val="24"/>
          <w:szCs w:val="24"/>
        </w:rPr>
        <w:t xml:space="preserve">Tribal MIECHV </w:t>
      </w:r>
      <w:r w:rsidRPr="00D328CE">
        <w:rPr>
          <w:rFonts w:ascii="Times New Roman" w:hAnsi="Times New Roman"/>
          <w:sz w:val="24"/>
          <w:szCs w:val="24"/>
        </w:rPr>
        <w:t xml:space="preserve">grantees that are reporting on the final year of their grants </w:t>
      </w:r>
      <w:r>
        <w:rPr>
          <w:rFonts w:ascii="Times New Roman" w:hAnsi="Times New Roman"/>
          <w:sz w:val="24"/>
          <w:szCs w:val="24"/>
        </w:rPr>
        <w:t xml:space="preserve">are using </w:t>
      </w:r>
      <w:r w:rsidRPr="00D328CE">
        <w:rPr>
          <w:rFonts w:ascii="Times New Roman" w:hAnsi="Times New Roman"/>
          <w:sz w:val="24"/>
          <w:szCs w:val="24"/>
        </w:rPr>
        <w:t xml:space="preserve"> </w:t>
      </w:r>
      <w:r>
        <w:rPr>
          <w:rFonts w:ascii="Times New Roman" w:hAnsi="Times New Roman"/>
          <w:sz w:val="24"/>
          <w:szCs w:val="24"/>
        </w:rPr>
        <w:t xml:space="preserve">versions of these </w:t>
      </w:r>
      <w:r w:rsidRPr="00D328CE">
        <w:rPr>
          <w:rFonts w:ascii="Times New Roman" w:hAnsi="Times New Roman"/>
          <w:sz w:val="24"/>
          <w:szCs w:val="24"/>
        </w:rPr>
        <w:t>reporting forms</w:t>
      </w:r>
      <w:r>
        <w:rPr>
          <w:rFonts w:ascii="Times New Roman" w:hAnsi="Times New Roman"/>
          <w:sz w:val="24"/>
          <w:szCs w:val="24"/>
        </w:rPr>
        <w:t xml:space="preserve"> that had been previously approved by OMB</w:t>
      </w:r>
      <w:r>
        <w:rPr>
          <w:rStyle w:val="FootnoteReference"/>
          <w:rFonts w:ascii="Times New Roman" w:hAnsi="Times New Roman"/>
          <w:sz w:val="24"/>
          <w:szCs w:val="24"/>
        </w:rPr>
        <w:footnoteReference w:id="2"/>
      </w:r>
      <w:r w:rsidRPr="00D328CE">
        <w:rPr>
          <w:rFonts w:ascii="Times New Roman" w:hAnsi="Times New Roman"/>
          <w:sz w:val="24"/>
          <w:szCs w:val="24"/>
        </w:rPr>
        <w:t xml:space="preserve">.  </w:t>
      </w:r>
      <w:r w:rsidR="00E620F4">
        <w:rPr>
          <w:rFonts w:ascii="Times New Roman" w:hAnsi="Times New Roman"/>
          <w:sz w:val="24"/>
          <w:szCs w:val="24"/>
        </w:rPr>
        <w:t xml:space="preserve">In comparison to </w:t>
      </w:r>
      <w:r w:rsidR="00E620F4">
        <w:rPr>
          <w:rFonts w:ascii="Times New Roman" w:hAnsi="Times New Roman"/>
          <w:sz w:val="24"/>
          <w:szCs w:val="24"/>
        </w:rPr>
        <w:t xml:space="preserve">the previous forms, these forms have certain data elements and updates to instructions. Updates </w:t>
      </w:r>
      <w:r w:rsidR="00D85E89">
        <w:rPr>
          <w:rFonts w:ascii="Times New Roman" w:hAnsi="Times New Roman"/>
          <w:sz w:val="24"/>
          <w:szCs w:val="24"/>
        </w:rPr>
        <w:t xml:space="preserve"> </w:t>
      </w:r>
      <w:r w:rsidRPr="00D328CE">
        <w:rPr>
          <w:rFonts w:ascii="Times New Roman" w:hAnsi="Times New Roman"/>
          <w:sz w:val="24"/>
          <w:szCs w:val="24"/>
        </w:rPr>
        <w:t>are intended to</w:t>
      </w:r>
      <w:r w:rsidR="00E620F4">
        <w:rPr>
          <w:rFonts w:ascii="Times New Roman" w:hAnsi="Times New Roman"/>
          <w:sz w:val="24"/>
          <w:szCs w:val="24"/>
        </w:rPr>
        <w:t xml:space="preserve"> ensure the data collection is relevant to these new grantees and to</w:t>
      </w:r>
      <w:r w:rsidRPr="00D328CE">
        <w:rPr>
          <w:rFonts w:ascii="Times New Roman" w:hAnsi="Times New Roman"/>
          <w:sz w:val="24"/>
          <w:szCs w:val="24"/>
        </w:rPr>
        <w:t xml:space="preserve"> reduce burden by streamlining reporting and to clarify certain terms and definitions to make reporting more concise and easier for grantees to report.  </w:t>
      </w:r>
      <w:r>
        <w:rPr>
          <w:rFonts w:ascii="Times New Roman" w:hAnsi="Times New Roman"/>
          <w:sz w:val="24"/>
          <w:szCs w:val="24"/>
        </w:rPr>
        <w:t xml:space="preserve">ACF did not want to cause </w:t>
      </w:r>
      <w:r w:rsidR="00E620F4">
        <w:rPr>
          <w:rFonts w:ascii="Times New Roman" w:hAnsi="Times New Roman"/>
          <w:sz w:val="24"/>
          <w:szCs w:val="24"/>
        </w:rPr>
        <w:t xml:space="preserve">confusion for current grantees who are completing reporting requirements </w:t>
      </w:r>
      <w:r w:rsidR="00E620F4">
        <w:rPr>
          <w:rFonts w:ascii="Times New Roman" w:hAnsi="Times New Roman"/>
          <w:sz w:val="24"/>
          <w:szCs w:val="24"/>
        </w:rPr>
        <w:t>and also</w:t>
      </w:r>
      <w:r w:rsidR="00E620F4">
        <w:rPr>
          <w:rFonts w:ascii="Times New Roman" w:hAnsi="Times New Roman"/>
          <w:sz w:val="24"/>
          <w:szCs w:val="24"/>
        </w:rPr>
        <w:t xml:space="preserve"> wanted to consolidate data collections</w:t>
      </w:r>
      <w:r w:rsidR="009341D2">
        <w:rPr>
          <w:rFonts w:ascii="Times New Roman" w:hAnsi="Times New Roman"/>
          <w:sz w:val="24"/>
          <w:szCs w:val="24"/>
        </w:rPr>
        <w:t xml:space="preserve"> under one number for transparency. </w:t>
      </w:r>
      <w:r w:rsidR="00E620F4">
        <w:rPr>
          <w:rFonts w:ascii="Times New Roman" w:hAnsi="Times New Roman"/>
          <w:sz w:val="24"/>
          <w:szCs w:val="24"/>
        </w:rPr>
        <w:t xml:space="preserve"> </w:t>
      </w:r>
      <w:r w:rsidR="00D85E89">
        <w:rPr>
          <w:rFonts w:ascii="Times New Roman" w:hAnsi="Times New Roman"/>
          <w:sz w:val="24"/>
          <w:szCs w:val="24"/>
        </w:rPr>
        <w:t xml:space="preserve">Therefore, it was decided to submit these </w:t>
      </w:r>
      <w:r w:rsidRPr="00D328CE">
        <w:rPr>
          <w:rFonts w:ascii="Times New Roman" w:hAnsi="Times New Roman"/>
          <w:sz w:val="24"/>
          <w:szCs w:val="24"/>
        </w:rPr>
        <w:t xml:space="preserve">reports </w:t>
      </w:r>
      <w:r w:rsidR="00D85E89">
        <w:rPr>
          <w:rFonts w:ascii="Times New Roman" w:hAnsi="Times New Roman"/>
          <w:sz w:val="24"/>
          <w:szCs w:val="24"/>
        </w:rPr>
        <w:t xml:space="preserve">and guidance for OMB approval </w:t>
      </w:r>
      <w:r w:rsidRPr="00D328CE">
        <w:rPr>
          <w:rFonts w:ascii="Times New Roman" w:hAnsi="Times New Roman"/>
          <w:sz w:val="24"/>
          <w:szCs w:val="24"/>
        </w:rPr>
        <w:t>under one new information collection</w:t>
      </w:r>
      <w:r w:rsidR="00252CB7">
        <w:rPr>
          <w:rFonts w:ascii="Times New Roman" w:hAnsi="Times New Roman"/>
          <w:sz w:val="24"/>
          <w:szCs w:val="24"/>
        </w:rPr>
        <w:t xml:space="preserve"> to</w:t>
      </w:r>
      <w:r w:rsidRPr="00D328CE">
        <w:rPr>
          <w:rFonts w:ascii="Times New Roman" w:hAnsi="Times New Roman"/>
          <w:sz w:val="24"/>
          <w:szCs w:val="24"/>
        </w:rPr>
        <w:t xml:space="preserve"> be used with </w:t>
      </w:r>
      <w:r w:rsidR="00D85E89">
        <w:rPr>
          <w:rFonts w:ascii="Times New Roman" w:hAnsi="Times New Roman"/>
          <w:sz w:val="24"/>
          <w:szCs w:val="24"/>
        </w:rPr>
        <w:t xml:space="preserve">future </w:t>
      </w:r>
      <w:r w:rsidRPr="00D328CE">
        <w:rPr>
          <w:rFonts w:ascii="Times New Roman" w:hAnsi="Times New Roman"/>
          <w:sz w:val="24"/>
          <w:szCs w:val="24"/>
        </w:rPr>
        <w:t>cohorts of grantees</w:t>
      </w:r>
      <w:r w:rsidR="00D85E89">
        <w:rPr>
          <w:rFonts w:ascii="Times New Roman" w:hAnsi="Times New Roman"/>
          <w:sz w:val="24"/>
          <w:szCs w:val="24"/>
        </w:rPr>
        <w:t xml:space="preserve"> that will be awarded in FY 23</w:t>
      </w:r>
      <w:r w:rsidRPr="00D328CE">
        <w:rPr>
          <w:rFonts w:ascii="Times New Roman" w:hAnsi="Times New Roman"/>
          <w:sz w:val="24"/>
          <w:szCs w:val="24"/>
        </w:rPr>
        <w:t xml:space="preserve">. </w:t>
      </w:r>
    </w:p>
    <w:p w:rsidR="006429F4" w:rsidP="006429F4" w14:paraId="3A4AEAF2" w14:textId="56EBA097">
      <w:pPr>
        <w:ind w:left="360"/>
        <w:rPr>
          <w:rFonts w:ascii="Times New Roman" w:hAnsi="Times New Roman"/>
          <w:sz w:val="24"/>
          <w:szCs w:val="24"/>
        </w:rPr>
      </w:pPr>
      <w:r>
        <w:rPr>
          <w:rFonts w:ascii="Times New Roman" w:hAnsi="Times New Roman"/>
          <w:sz w:val="24"/>
          <w:szCs w:val="24"/>
        </w:rPr>
        <w:t xml:space="preserve"> </w:t>
      </w:r>
      <w:bookmarkEnd w:id="2"/>
    </w:p>
    <w:p w:rsidR="00DC493E" w:rsidRPr="00960BE4" w:rsidP="00540C56" w14:paraId="69347275" w14:textId="77777777">
      <w:pPr>
        <w:pStyle w:val="HTMLPreformatted"/>
        <w:ind w:left="360"/>
        <w:rPr>
          <w:rFonts w:ascii="Times New Roman" w:hAnsi="Times New Roman" w:cs="Times New Roman"/>
          <w:sz w:val="24"/>
          <w:szCs w:val="24"/>
        </w:rPr>
      </w:pPr>
    </w:p>
    <w:p w:rsidR="002C3C4F" w:rsidRPr="00EA2F32" w:rsidP="00EA2F32" w14:paraId="130C607B" w14:textId="77777777">
      <w:pPr>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P</w:t>
      </w:r>
      <w:r w:rsidRPr="00EA2F32">
        <w:rPr>
          <w:rFonts w:ascii="Times New Roman" w:hAnsi="Times New Roman"/>
          <w:b/>
          <w:snapToGrid/>
          <w:sz w:val="24"/>
          <w:szCs w:val="24"/>
        </w:rPr>
        <w:t xml:space="preserve">urpose and Use of the Information Collection </w:t>
      </w:r>
    </w:p>
    <w:p w:rsidR="00313DF8" w:rsidRPr="0024030B" w:rsidP="006E67D1" w14:paraId="0428646C" w14:textId="6EB2AEB9">
      <w:pPr>
        <w:rPr>
          <w:rFonts w:ascii="Times New Roman" w:hAnsi="Times New Roman"/>
          <w:sz w:val="24"/>
          <w:szCs w:val="24"/>
        </w:rPr>
      </w:pPr>
      <w:r w:rsidRPr="0024030B">
        <w:rPr>
          <w:rFonts w:ascii="Times New Roman" w:hAnsi="Times New Roman"/>
          <w:sz w:val="24"/>
          <w:szCs w:val="24"/>
        </w:rPr>
        <w:t>The purpose of the Tribal MIECHV Reports, is to gather critical information to document how AIAN families are receiving services through the Tribal MIECHV program</w:t>
      </w:r>
      <w:r w:rsidR="00E91CD0">
        <w:rPr>
          <w:rFonts w:ascii="Times New Roman" w:hAnsi="Times New Roman"/>
          <w:sz w:val="24"/>
          <w:szCs w:val="24"/>
        </w:rPr>
        <w:t xml:space="preserve">.  </w:t>
      </w:r>
      <w:r w:rsidRPr="0024030B">
        <w:rPr>
          <w:rFonts w:ascii="Times New Roman" w:hAnsi="Times New Roman"/>
          <w:sz w:val="24"/>
          <w:szCs w:val="24"/>
        </w:rPr>
        <w:t xml:space="preserve">There are three types of reports.  </w:t>
      </w:r>
    </w:p>
    <w:p w:rsidR="00313DF8" w:rsidRPr="0024030B" w:rsidP="00313DF8" w14:paraId="1CA138F6" w14:textId="77777777">
      <w:pPr>
        <w:rPr>
          <w:rFonts w:ascii="Times New Roman" w:hAnsi="Times New Roman"/>
          <w:sz w:val="24"/>
          <w:szCs w:val="24"/>
        </w:rPr>
      </w:pPr>
    </w:p>
    <w:p w:rsidR="0024030B" w:rsidRPr="0024030B" w:rsidP="00BB7478" w14:paraId="10D81591" w14:textId="5A7F1371">
      <w:pPr>
        <w:pStyle w:val="ListParagraph"/>
        <w:numPr>
          <w:ilvl w:val="0"/>
          <w:numId w:val="25"/>
        </w:numPr>
        <w:spacing w:after="120"/>
        <w:rPr>
          <w:rFonts w:ascii="Times New Roman" w:hAnsi="Times New Roman"/>
          <w:sz w:val="24"/>
          <w:szCs w:val="24"/>
        </w:rPr>
      </w:pPr>
      <w:r w:rsidRPr="00BB7478">
        <w:rPr>
          <w:rFonts w:ascii="Times New Roman" w:hAnsi="Times New Roman"/>
          <w:b/>
          <w:bCs/>
          <w:sz w:val="24"/>
          <w:szCs w:val="24"/>
        </w:rPr>
        <w:t>Tribal MIECHV Demographic and Service Utilization Report</w:t>
      </w:r>
      <w:r w:rsidRPr="0024030B">
        <w:rPr>
          <w:rFonts w:ascii="Times New Roman" w:hAnsi="Times New Roman"/>
          <w:sz w:val="24"/>
          <w:szCs w:val="24"/>
        </w:rPr>
        <w:t xml:space="preserve"> is designed to collect demographic and service utilization data</w:t>
      </w:r>
      <w:r w:rsidRPr="0024030B" w:rsidR="006E67D1">
        <w:rPr>
          <w:rFonts w:ascii="Times New Roman" w:hAnsi="Times New Roman"/>
          <w:sz w:val="24"/>
          <w:szCs w:val="24"/>
        </w:rPr>
        <w:t xml:space="preserve"> </w:t>
      </w:r>
      <w:r w:rsidR="00F004CB">
        <w:rPr>
          <w:rFonts w:ascii="Times New Roman" w:hAnsi="Times New Roman"/>
          <w:sz w:val="24"/>
          <w:szCs w:val="24"/>
        </w:rPr>
        <w:t>to ensure grantees are</w:t>
      </w:r>
      <w:r w:rsidRPr="0024030B" w:rsidR="00F004CB">
        <w:rPr>
          <w:rFonts w:ascii="Times New Roman" w:hAnsi="Times New Roman"/>
          <w:sz w:val="24"/>
          <w:szCs w:val="24"/>
        </w:rPr>
        <w:t xml:space="preserve"> serving families that are the most in need of home visiting services </w:t>
      </w:r>
      <w:r w:rsidRPr="0024030B" w:rsidR="006E67D1">
        <w:rPr>
          <w:rFonts w:ascii="Times New Roman" w:hAnsi="Times New Roman"/>
          <w:sz w:val="24"/>
          <w:szCs w:val="24"/>
        </w:rPr>
        <w:t>including data on the number of newly enrolled and continuing participants, educational level and poverty status of participants, education level of staff and number of home visits.</w:t>
      </w:r>
      <w:r w:rsidRPr="0024030B" w:rsidR="00866061">
        <w:rPr>
          <w:rFonts w:ascii="Times New Roman" w:hAnsi="Times New Roman"/>
          <w:sz w:val="24"/>
          <w:szCs w:val="24"/>
        </w:rPr>
        <w:t xml:space="preserve">  Data from this report is used by ACF to track how grantees are progressing</w:t>
      </w:r>
      <w:r w:rsidR="00F004CB">
        <w:rPr>
          <w:rFonts w:ascii="Times New Roman" w:hAnsi="Times New Roman"/>
          <w:sz w:val="24"/>
          <w:szCs w:val="24"/>
        </w:rPr>
        <w:t xml:space="preserve"> on</w:t>
      </w:r>
      <w:r w:rsidRPr="0024030B" w:rsidR="00866061">
        <w:rPr>
          <w:rFonts w:ascii="Times New Roman" w:hAnsi="Times New Roman"/>
          <w:sz w:val="24"/>
          <w:szCs w:val="24"/>
        </w:rPr>
        <w:t xml:space="preserve"> meeting the goals they identified in their implementation plans</w:t>
      </w:r>
      <w:r w:rsidR="00F004CB">
        <w:rPr>
          <w:rFonts w:ascii="Times New Roman" w:hAnsi="Times New Roman"/>
          <w:sz w:val="24"/>
          <w:szCs w:val="24"/>
        </w:rPr>
        <w:t xml:space="preserve"> and </w:t>
      </w:r>
      <w:r w:rsidRPr="0024030B" w:rsidR="00866061">
        <w:rPr>
          <w:rFonts w:ascii="Times New Roman" w:hAnsi="Times New Roman"/>
          <w:sz w:val="24"/>
          <w:szCs w:val="24"/>
        </w:rPr>
        <w:t xml:space="preserve">for aggregated reporting </w:t>
      </w:r>
      <w:r w:rsidR="00F004CB">
        <w:rPr>
          <w:rFonts w:ascii="Times New Roman" w:hAnsi="Times New Roman"/>
          <w:sz w:val="24"/>
          <w:szCs w:val="24"/>
        </w:rPr>
        <w:t>that describes and highlights the characteristics of the Tribal MIECHV program</w:t>
      </w:r>
      <w:r w:rsidRPr="0024030B">
        <w:rPr>
          <w:rFonts w:ascii="Times New Roman" w:hAnsi="Times New Roman"/>
          <w:sz w:val="24"/>
          <w:szCs w:val="24"/>
        </w:rPr>
        <w:t xml:space="preserve">. </w:t>
      </w:r>
    </w:p>
    <w:p w:rsidR="00313DF8" w:rsidRPr="0024030B" w:rsidP="00BB7478" w14:paraId="21D7487F" w14:textId="7EE49639">
      <w:pPr>
        <w:pStyle w:val="ListParagraph"/>
        <w:numPr>
          <w:ilvl w:val="0"/>
          <w:numId w:val="24"/>
        </w:numPr>
        <w:spacing w:after="120"/>
        <w:rPr>
          <w:rFonts w:ascii="Times New Roman" w:hAnsi="Times New Roman"/>
          <w:sz w:val="24"/>
          <w:szCs w:val="24"/>
        </w:rPr>
      </w:pPr>
      <w:r w:rsidRPr="00BB7478">
        <w:rPr>
          <w:rFonts w:ascii="Times New Roman" w:hAnsi="Times New Roman"/>
          <w:b/>
          <w:bCs/>
          <w:sz w:val="24"/>
          <w:szCs w:val="24"/>
        </w:rPr>
        <w:t>Tribal MIECHV Performance Measures Report</w:t>
      </w:r>
      <w:r w:rsidRPr="0024030B">
        <w:rPr>
          <w:rFonts w:ascii="Times New Roman" w:hAnsi="Times New Roman"/>
          <w:sz w:val="24"/>
          <w:szCs w:val="24"/>
        </w:rPr>
        <w:t xml:space="preserve"> is designed to collect </w:t>
      </w:r>
      <w:r w:rsidRPr="0024030B" w:rsidR="006E67D1">
        <w:rPr>
          <w:rFonts w:ascii="Times New Roman" w:hAnsi="Times New Roman"/>
          <w:sz w:val="24"/>
          <w:szCs w:val="24"/>
        </w:rPr>
        <w:t xml:space="preserve">performance data to measure improvements for eligible families in six </w:t>
      </w:r>
      <w:r w:rsidR="00F004CB">
        <w:rPr>
          <w:rFonts w:ascii="Times New Roman" w:hAnsi="Times New Roman"/>
          <w:sz w:val="24"/>
          <w:szCs w:val="24"/>
        </w:rPr>
        <w:t xml:space="preserve">legislatively mandated </w:t>
      </w:r>
      <w:r w:rsidRPr="0024030B" w:rsidR="006E67D1">
        <w:rPr>
          <w:rFonts w:ascii="Times New Roman" w:hAnsi="Times New Roman"/>
          <w:sz w:val="24"/>
          <w:szCs w:val="24"/>
        </w:rPr>
        <w:t xml:space="preserve">areas (referred to as </w:t>
      </w:r>
      <w:r w:rsidRPr="0024030B" w:rsidR="00554BA2">
        <w:rPr>
          <w:rFonts w:ascii="Times New Roman" w:hAnsi="Times New Roman"/>
          <w:sz w:val="24"/>
          <w:szCs w:val="24"/>
        </w:rPr>
        <w:t>“</w:t>
      </w:r>
      <w:r w:rsidRPr="0024030B" w:rsidR="006E67D1">
        <w:rPr>
          <w:rFonts w:ascii="Times New Roman" w:hAnsi="Times New Roman"/>
          <w:sz w:val="24"/>
          <w:szCs w:val="24"/>
        </w:rPr>
        <w:t>benchmark areas</w:t>
      </w:r>
      <w:r w:rsidRPr="0024030B" w:rsidR="00554BA2">
        <w:rPr>
          <w:rFonts w:ascii="Times New Roman" w:hAnsi="Times New Roman"/>
          <w:sz w:val="24"/>
          <w:szCs w:val="24"/>
        </w:rPr>
        <w:t>”</w:t>
      </w:r>
      <w:r w:rsidRPr="0024030B" w:rsidR="006E67D1">
        <w:rPr>
          <w:rFonts w:ascii="Times New Roman" w:hAnsi="Times New Roman"/>
          <w:sz w:val="24"/>
          <w:szCs w:val="24"/>
        </w:rPr>
        <w:t xml:space="preserve">) that encompass the major goals for the program.  Stipulated in the legislation, </w:t>
      </w:r>
      <w:r w:rsidRPr="0024030B" w:rsidR="00866061">
        <w:rPr>
          <w:rFonts w:ascii="Times New Roman" w:hAnsi="Times New Roman"/>
          <w:sz w:val="24"/>
          <w:szCs w:val="24"/>
        </w:rPr>
        <w:t xml:space="preserve">data from this report </w:t>
      </w:r>
      <w:r w:rsidR="00F004CB">
        <w:rPr>
          <w:rFonts w:ascii="Times New Roman" w:hAnsi="Times New Roman"/>
          <w:sz w:val="24"/>
          <w:szCs w:val="24"/>
        </w:rPr>
        <w:t>will be</w:t>
      </w:r>
      <w:r w:rsidRPr="0024030B" w:rsidR="00866061">
        <w:rPr>
          <w:rFonts w:ascii="Times New Roman" w:hAnsi="Times New Roman"/>
          <w:sz w:val="24"/>
          <w:szCs w:val="24"/>
        </w:rPr>
        <w:t xml:space="preserve"> used to document </w:t>
      </w:r>
      <w:r w:rsidR="00150F4E">
        <w:rPr>
          <w:rFonts w:ascii="Times New Roman" w:hAnsi="Times New Roman"/>
          <w:sz w:val="24"/>
          <w:szCs w:val="24"/>
        </w:rPr>
        <w:t xml:space="preserve">improvement </w:t>
      </w:r>
      <w:r w:rsidRPr="0024030B" w:rsidR="006E67D1">
        <w:rPr>
          <w:rFonts w:ascii="Times New Roman" w:hAnsi="Times New Roman"/>
          <w:sz w:val="24"/>
          <w:szCs w:val="24"/>
        </w:rPr>
        <w:t xml:space="preserve">of </w:t>
      </w:r>
      <w:r w:rsidR="00150F4E">
        <w:rPr>
          <w:rFonts w:ascii="Times New Roman" w:hAnsi="Times New Roman"/>
          <w:sz w:val="24"/>
          <w:szCs w:val="24"/>
        </w:rPr>
        <w:t xml:space="preserve">the </w:t>
      </w:r>
      <w:r w:rsidRPr="0024030B" w:rsidR="006E67D1">
        <w:rPr>
          <w:rFonts w:ascii="Times New Roman" w:hAnsi="Times New Roman"/>
          <w:sz w:val="24"/>
          <w:szCs w:val="24"/>
        </w:rPr>
        <w:t>benchmark areas</w:t>
      </w:r>
      <w:r w:rsidRPr="0024030B" w:rsidR="00554BA2">
        <w:rPr>
          <w:rFonts w:ascii="Times New Roman" w:hAnsi="Times New Roman"/>
          <w:sz w:val="24"/>
          <w:szCs w:val="24"/>
        </w:rPr>
        <w:t xml:space="preserve"> </w:t>
      </w:r>
      <w:r w:rsidR="00150F4E">
        <w:rPr>
          <w:rFonts w:ascii="Times New Roman" w:hAnsi="Times New Roman"/>
          <w:sz w:val="24"/>
          <w:szCs w:val="24"/>
        </w:rPr>
        <w:t>by grantees</w:t>
      </w:r>
      <w:r w:rsidRPr="0024030B" w:rsidR="006E67D1">
        <w:rPr>
          <w:rFonts w:ascii="Times New Roman" w:hAnsi="Times New Roman"/>
          <w:sz w:val="24"/>
          <w:szCs w:val="24"/>
        </w:rPr>
        <w:t>.</w:t>
      </w:r>
      <w:r w:rsidRPr="0024030B" w:rsidR="00866061">
        <w:rPr>
          <w:rFonts w:ascii="Times New Roman" w:hAnsi="Times New Roman"/>
          <w:sz w:val="24"/>
          <w:szCs w:val="24"/>
        </w:rPr>
        <w:t xml:space="preserve">  ACF </w:t>
      </w:r>
      <w:r w:rsidR="00F004CB">
        <w:rPr>
          <w:rFonts w:ascii="Times New Roman" w:hAnsi="Times New Roman"/>
          <w:sz w:val="24"/>
          <w:szCs w:val="24"/>
        </w:rPr>
        <w:t xml:space="preserve">will </w:t>
      </w:r>
      <w:r w:rsidRPr="0024030B" w:rsidR="00866061">
        <w:rPr>
          <w:rFonts w:ascii="Times New Roman" w:hAnsi="Times New Roman"/>
          <w:sz w:val="24"/>
          <w:szCs w:val="24"/>
        </w:rPr>
        <w:t xml:space="preserve">share this data with grantees </w:t>
      </w:r>
      <w:r w:rsidR="00F004CB">
        <w:rPr>
          <w:rFonts w:ascii="Times New Roman" w:hAnsi="Times New Roman"/>
          <w:sz w:val="24"/>
          <w:szCs w:val="24"/>
        </w:rPr>
        <w:t xml:space="preserve">for monitoring, </w:t>
      </w:r>
      <w:r w:rsidR="00150F4E">
        <w:rPr>
          <w:rFonts w:ascii="Times New Roman" w:hAnsi="Times New Roman"/>
          <w:sz w:val="24"/>
          <w:szCs w:val="24"/>
        </w:rPr>
        <w:t xml:space="preserve"> </w:t>
      </w:r>
      <w:r w:rsidRPr="0024030B" w:rsidR="00866061">
        <w:rPr>
          <w:rFonts w:ascii="Times New Roman" w:hAnsi="Times New Roman"/>
          <w:sz w:val="24"/>
          <w:szCs w:val="24"/>
        </w:rPr>
        <w:t xml:space="preserve">discuss successes and </w:t>
      </w:r>
      <w:r w:rsidR="00150F4E">
        <w:rPr>
          <w:rFonts w:ascii="Times New Roman" w:hAnsi="Times New Roman"/>
          <w:sz w:val="24"/>
          <w:szCs w:val="24"/>
        </w:rPr>
        <w:t xml:space="preserve">challenges and </w:t>
      </w:r>
      <w:r w:rsidR="00F004CB">
        <w:rPr>
          <w:rFonts w:ascii="Times New Roman" w:hAnsi="Times New Roman"/>
          <w:sz w:val="24"/>
          <w:szCs w:val="24"/>
        </w:rPr>
        <w:t>whether technical</w:t>
      </w:r>
      <w:r w:rsidRPr="0024030B" w:rsidR="00866061">
        <w:rPr>
          <w:rFonts w:ascii="Times New Roman" w:hAnsi="Times New Roman"/>
          <w:sz w:val="24"/>
          <w:szCs w:val="24"/>
        </w:rPr>
        <w:t xml:space="preserve"> supports </w:t>
      </w:r>
      <w:r w:rsidR="00F004CB">
        <w:rPr>
          <w:rFonts w:ascii="Times New Roman" w:hAnsi="Times New Roman"/>
          <w:sz w:val="24"/>
          <w:szCs w:val="24"/>
        </w:rPr>
        <w:t xml:space="preserve">are needed for grantees </w:t>
      </w:r>
      <w:r w:rsidRPr="0024030B" w:rsidR="00866061">
        <w:rPr>
          <w:rFonts w:ascii="Times New Roman" w:hAnsi="Times New Roman"/>
          <w:sz w:val="24"/>
          <w:szCs w:val="24"/>
        </w:rPr>
        <w:t>to meet the requirement.</w:t>
      </w:r>
    </w:p>
    <w:p w:rsidR="00313DF8" w:rsidRPr="0024030B" w:rsidP="00313DF8" w14:paraId="5B04E350" w14:textId="732681C8">
      <w:pPr>
        <w:pStyle w:val="ListParagraph"/>
        <w:numPr>
          <w:ilvl w:val="0"/>
          <w:numId w:val="24"/>
        </w:numPr>
        <w:rPr>
          <w:rFonts w:ascii="Times New Roman" w:hAnsi="Times New Roman"/>
          <w:sz w:val="24"/>
          <w:szCs w:val="24"/>
        </w:rPr>
      </w:pPr>
      <w:r w:rsidRPr="00BB7478">
        <w:rPr>
          <w:rFonts w:ascii="Times New Roman" w:hAnsi="Times New Roman"/>
          <w:b/>
          <w:bCs/>
          <w:sz w:val="24"/>
          <w:szCs w:val="24"/>
        </w:rPr>
        <w:t>Tribal MIECHV Quarterly Performance Report</w:t>
      </w:r>
      <w:r w:rsidRPr="0024030B">
        <w:rPr>
          <w:rFonts w:ascii="Times New Roman" w:hAnsi="Times New Roman"/>
          <w:sz w:val="24"/>
          <w:szCs w:val="24"/>
        </w:rPr>
        <w:t xml:space="preserve"> collects data on caseload capacity, retention and attrition of enrolled families, and the retention and attrition of program staff</w:t>
      </w:r>
      <w:r w:rsidR="00150F4E">
        <w:rPr>
          <w:rFonts w:ascii="Times New Roman" w:hAnsi="Times New Roman"/>
          <w:sz w:val="24"/>
          <w:szCs w:val="24"/>
        </w:rPr>
        <w:t>.  Collecting this information</w:t>
      </w:r>
      <w:r w:rsidRPr="0024030B">
        <w:rPr>
          <w:rFonts w:ascii="Times New Roman" w:hAnsi="Times New Roman"/>
          <w:sz w:val="24"/>
          <w:szCs w:val="24"/>
        </w:rPr>
        <w:t xml:space="preserve"> on a </w:t>
      </w:r>
      <w:r w:rsidRPr="0024030B" w:rsidR="00C437EB">
        <w:rPr>
          <w:rFonts w:ascii="Times New Roman" w:hAnsi="Times New Roman"/>
          <w:sz w:val="24"/>
          <w:szCs w:val="24"/>
        </w:rPr>
        <w:t>quarterly basis</w:t>
      </w:r>
      <w:r w:rsidR="00C437EB">
        <w:rPr>
          <w:rFonts w:ascii="Times New Roman" w:hAnsi="Times New Roman"/>
          <w:sz w:val="24"/>
          <w:szCs w:val="24"/>
        </w:rPr>
        <w:t xml:space="preserve"> track</w:t>
      </w:r>
      <w:r w:rsidR="00414CBC">
        <w:rPr>
          <w:rFonts w:ascii="Times New Roman" w:hAnsi="Times New Roman"/>
          <w:sz w:val="24"/>
          <w:szCs w:val="24"/>
        </w:rPr>
        <w:t>s</w:t>
      </w:r>
      <w:r w:rsidR="00F004CB">
        <w:rPr>
          <w:rFonts w:ascii="Times New Roman" w:hAnsi="Times New Roman"/>
          <w:sz w:val="24"/>
          <w:szCs w:val="24"/>
        </w:rPr>
        <w:t xml:space="preserve"> how grantees are progressing</w:t>
      </w:r>
      <w:r w:rsidR="00150F4E">
        <w:rPr>
          <w:rFonts w:ascii="Times New Roman" w:hAnsi="Times New Roman"/>
          <w:sz w:val="24"/>
          <w:szCs w:val="24"/>
        </w:rPr>
        <w:t xml:space="preserve"> and </w:t>
      </w:r>
      <w:r w:rsidR="00F004CB">
        <w:rPr>
          <w:rFonts w:ascii="Times New Roman" w:hAnsi="Times New Roman"/>
          <w:sz w:val="24"/>
          <w:szCs w:val="24"/>
        </w:rPr>
        <w:t xml:space="preserve">helps ACF determine if a grantee </w:t>
      </w:r>
      <w:r w:rsidR="00150F4E">
        <w:rPr>
          <w:rFonts w:ascii="Times New Roman" w:hAnsi="Times New Roman"/>
          <w:sz w:val="24"/>
          <w:szCs w:val="24"/>
        </w:rPr>
        <w:t>is</w:t>
      </w:r>
      <w:r w:rsidR="00F004CB">
        <w:rPr>
          <w:rFonts w:ascii="Times New Roman" w:hAnsi="Times New Roman"/>
          <w:sz w:val="24"/>
          <w:szCs w:val="24"/>
        </w:rPr>
        <w:t xml:space="preserve"> meeting their goals or in need of assistance in a </w:t>
      </w:r>
      <w:r w:rsidR="00150F4E">
        <w:rPr>
          <w:rFonts w:ascii="Times New Roman" w:hAnsi="Times New Roman"/>
          <w:sz w:val="24"/>
          <w:szCs w:val="24"/>
        </w:rPr>
        <w:t>recurring way</w:t>
      </w:r>
      <w:r w:rsidR="00414CBC">
        <w:rPr>
          <w:rFonts w:ascii="Times New Roman" w:hAnsi="Times New Roman"/>
          <w:sz w:val="24"/>
          <w:szCs w:val="24"/>
        </w:rPr>
        <w:t>. It also allows</w:t>
      </w:r>
      <w:r w:rsidR="00150F4E">
        <w:rPr>
          <w:rFonts w:ascii="Times New Roman" w:hAnsi="Times New Roman"/>
          <w:sz w:val="24"/>
          <w:szCs w:val="24"/>
        </w:rPr>
        <w:t xml:space="preserve"> grantees to reflect on the services they are providing. </w:t>
      </w:r>
      <w:r w:rsidRPr="0024030B">
        <w:rPr>
          <w:rFonts w:ascii="Times New Roman" w:hAnsi="Times New Roman"/>
          <w:sz w:val="24"/>
          <w:szCs w:val="24"/>
        </w:rPr>
        <w:t xml:space="preserve"> </w:t>
      </w:r>
    </w:p>
    <w:p w:rsidR="00313DF8" w:rsidRPr="0024030B" w:rsidP="00313DF8" w14:paraId="65915039" w14:textId="77777777">
      <w:pPr>
        <w:rPr>
          <w:rFonts w:ascii="Times New Roman" w:hAnsi="Times New Roman"/>
          <w:sz w:val="24"/>
          <w:szCs w:val="24"/>
        </w:rPr>
      </w:pPr>
    </w:p>
    <w:p w:rsidR="00313DF8" w:rsidRPr="00E91CD0" w:rsidP="00313DF8" w14:paraId="4682EF66" w14:textId="2037FD92">
      <w:pPr>
        <w:rPr>
          <w:rFonts w:ascii="Times New Roman" w:hAnsi="Times New Roman"/>
          <w:sz w:val="24"/>
          <w:szCs w:val="24"/>
        </w:rPr>
      </w:pPr>
      <w:r>
        <w:rPr>
          <w:rFonts w:ascii="Times New Roman" w:hAnsi="Times New Roman"/>
          <w:sz w:val="24"/>
          <w:szCs w:val="24"/>
        </w:rPr>
        <w:t xml:space="preserve">Overall, </w:t>
      </w:r>
      <w:r w:rsidRPr="00570F0D" w:rsidR="006E67D1">
        <w:rPr>
          <w:rFonts w:ascii="Times New Roman" w:hAnsi="Times New Roman"/>
          <w:sz w:val="24"/>
          <w:szCs w:val="24"/>
        </w:rPr>
        <w:t xml:space="preserve">ACF will </w:t>
      </w:r>
      <w:r w:rsidRPr="00570F0D">
        <w:rPr>
          <w:rFonts w:ascii="Times New Roman" w:hAnsi="Times New Roman"/>
          <w:sz w:val="24"/>
          <w:szCs w:val="24"/>
        </w:rPr>
        <w:t>use</w:t>
      </w:r>
      <w:r w:rsidRPr="00570F0D" w:rsidR="006E67D1">
        <w:rPr>
          <w:rFonts w:ascii="Times New Roman" w:hAnsi="Times New Roman"/>
          <w:sz w:val="24"/>
          <w:szCs w:val="24"/>
        </w:rPr>
        <w:t xml:space="preserve"> this information towards </w:t>
      </w:r>
      <w:r w:rsidR="00E91CD0">
        <w:rPr>
          <w:rFonts w:ascii="Times New Roman" w:hAnsi="Times New Roman"/>
          <w:sz w:val="24"/>
          <w:szCs w:val="24"/>
        </w:rPr>
        <w:t xml:space="preserve">monitoring </w:t>
      </w:r>
      <w:r w:rsidR="00554BA2">
        <w:rPr>
          <w:rFonts w:ascii="Times New Roman" w:hAnsi="Times New Roman"/>
          <w:sz w:val="24"/>
          <w:szCs w:val="24"/>
        </w:rPr>
        <w:t xml:space="preserve">of </w:t>
      </w:r>
      <w:r w:rsidR="00E91CD0">
        <w:rPr>
          <w:rFonts w:ascii="Times New Roman" w:hAnsi="Times New Roman"/>
          <w:sz w:val="24"/>
          <w:szCs w:val="24"/>
        </w:rPr>
        <w:t>grantee compliance</w:t>
      </w:r>
      <w:r w:rsidR="00554BA2">
        <w:rPr>
          <w:rFonts w:ascii="Times New Roman" w:hAnsi="Times New Roman"/>
          <w:sz w:val="24"/>
          <w:szCs w:val="24"/>
        </w:rPr>
        <w:t xml:space="preserve">, and </w:t>
      </w:r>
      <w:r w:rsidR="009E13DD">
        <w:rPr>
          <w:rFonts w:ascii="Times New Roman" w:hAnsi="Times New Roman"/>
          <w:sz w:val="24"/>
          <w:szCs w:val="24"/>
        </w:rPr>
        <w:t xml:space="preserve">to </w:t>
      </w:r>
      <w:r w:rsidR="00554BA2">
        <w:rPr>
          <w:rFonts w:ascii="Times New Roman" w:hAnsi="Times New Roman"/>
          <w:sz w:val="24"/>
          <w:szCs w:val="24"/>
        </w:rPr>
        <w:t xml:space="preserve">inform </w:t>
      </w:r>
      <w:r w:rsidRPr="00570F0D" w:rsidR="006E67D1">
        <w:rPr>
          <w:rFonts w:ascii="Times New Roman" w:hAnsi="Times New Roman"/>
          <w:sz w:val="24"/>
          <w:szCs w:val="24"/>
        </w:rPr>
        <w:t xml:space="preserve">any future technical assistance and policy decisions.  </w:t>
      </w:r>
      <w:r w:rsidR="00554BA2">
        <w:rPr>
          <w:rFonts w:ascii="Times New Roman" w:hAnsi="Times New Roman"/>
          <w:sz w:val="24"/>
          <w:szCs w:val="24"/>
        </w:rPr>
        <w:t>Some of this</w:t>
      </w:r>
      <w:r w:rsidRPr="00E91CD0">
        <w:rPr>
          <w:rFonts w:ascii="Times New Roman" w:hAnsi="Times New Roman"/>
          <w:sz w:val="24"/>
          <w:szCs w:val="24"/>
        </w:rPr>
        <w:t xml:space="preserve"> data </w:t>
      </w:r>
      <w:r>
        <w:rPr>
          <w:rFonts w:ascii="Times New Roman" w:hAnsi="Times New Roman"/>
          <w:sz w:val="24"/>
          <w:szCs w:val="24"/>
        </w:rPr>
        <w:t>may</w:t>
      </w:r>
      <w:r w:rsidRPr="00E91CD0">
        <w:rPr>
          <w:rFonts w:ascii="Times New Roman" w:hAnsi="Times New Roman"/>
          <w:sz w:val="24"/>
          <w:szCs w:val="24"/>
        </w:rPr>
        <w:t xml:space="preserve"> also b</w:t>
      </w:r>
      <w:r w:rsidR="00E91CD0">
        <w:rPr>
          <w:rFonts w:ascii="Times New Roman" w:hAnsi="Times New Roman"/>
          <w:sz w:val="24"/>
          <w:szCs w:val="24"/>
        </w:rPr>
        <w:t>e</w:t>
      </w:r>
      <w:r w:rsidRPr="00E91CD0">
        <w:rPr>
          <w:rFonts w:ascii="Times New Roman" w:hAnsi="Times New Roman"/>
          <w:sz w:val="24"/>
          <w:szCs w:val="24"/>
        </w:rPr>
        <w:t xml:space="preserve"> used to respond to reauthorization provisions regarding an annual report to Congress and an outcomes dashboard.  </w:t>
      </w:r>
    </w:p>
    <w:p w:rsidR="00313DF8" w:rsidP="00313DF8" w14:paraId="2826EDBA" w14:textId="77777777"/>
    <w:p w:rsidR="00313DF8" w:rsidP="00570F0D" w14:paraId="04CAD10F" w14:textId="77777777">
      <w:pPr>
        <w:ind w:left="360"/>
        <w:rPr>
          <w:rFonts w:ascii="Times New Roman" w:hAnsi="Times New Roman"/>
          <w:sz w:val="24"/>
          <w:szCs w:val="24"/>
        </w:rPr>
      </w:pPr>
    </w:p>
    <w:p w:rsidR="002C3C4F" w:rsidRPr="00EA2F32" w:rsidP="00EA2F32" w14:paraId="225EAB95"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Use of Improved Information Technology and Burden Reduction </w:t>
      </w:r>
    </w:p>
    <w:p w:rsidR="005067B6" w:rsidP="005067B6" w14:paraId="24E94028" w14:textId="360DA695">
      <w:pPr>
        <w:widowControl/>
        <w:ind w:left="360"/>
        <w:rPr>
          <w:rFonts w:ascii="Times New Roman" w:hAnsi="Times New Roman"/>
          <w:bCs/>
          <w:snapToGrid/>
          <w:color w:val="000000"/>
          <w:sz w:val="24"/>
          <w:szCs w:val="24"/>
        </w:rPr>
      </w:pPr>
      <w:r>
        <w:rPr>
          <w:rFonts w:ascii="Times New Roman" w:hAnsi="Times New Roman"/>
          <w:bCs/>
          <w:color w:val="000000"/>
          <w:sz w:val="24"/>
          <w:szCs w:val="24"/>
        </w:rPr>
        <w:t xml:space="preserve">The </w:t>
      </w:r>
      <w:r w:rsidR="002B6438">
        <w:rPr>
          <w:rFonts w:ascii="Times New Roman" w:hAnsi="Times New Roman"/>
          <w:bCs/>
          <w:color w:val="000000"/>
          <w:sz w:val="24"/>
          <w:szCs w:val="24"/>
        </w:rPr>
        <w:t xml:space="preserve">forms and </w:t>
      </w:r>
      <w:r>
        <w:rPr>
          <w:rFonts w:ascii="Times New Roman" w:hAnsi="Times New Roman"/>
          <w:bCs/>
          <w:color w:val="000000"/>
          <w:sz w:val="24"/>
          <w:szCs w:val="24"/>
        </w:rPr>
        <w:t xml:space="preserve">guidance will assist grantees submitting their </w:t>
      </w:r>
      <w:r w:rsidR="002B6438">
        <w:rPr>
          <w:rFonts w:ascii="Times New Roman" w:hAnsi="Times New Roman"/>
          <w:bCs/>
          <w:color w:val="000000"/>
          <w:sz w:val="24"/>
          <w:szCs w:val="24"/>
        </w:rPr>
        <w:t>data</w:t>
      </w:r>
      <w:r w:rsidR="00570F0D">
        <w:rPr>
          <w:rFonts w:ascii="Times New Roman" w:hAnsi="Times New Roman"/>
          <w:bCs/>
          <w:color w:val="000000"/>
          <w:sz w:val="24"/>
          <w:szCs w:val="24"/>
        </w:rPr>
        <w:t xml:space="preserve"> reports</w:t>
      </w:r>
      <w:r>
        <w:rPr>
          <w:rFonts w:ascii="Times New Roman" w:hAnsi="Times New Roman"/>
          <w:bCs/>
          <w:color w:val="000000"/>
          <w:sz w:val="24"/>
          <w:szCs w:val="24"/>
        </w:rPr>
        <w:t xml:space="preserve"> via </w:t>
      </w:r>
      <w:r w:rsidR="002B6438">
        <w:rPr>
          <w:rFonts w:ascii="Times New Roman" w:hAnsi="Times New Roman"/>
          <w:bCs/>
          <w:color w:val="000000"/>
          <w:sz w:val="24"/>
          <w:szCs w:val="24"/>
        </w:rPr>
        <w:t>the Tribal Home Visiting Reporting System (THVRS)</w:t>
      </w:r>
      <w:r w:rsidR="00554BA2">
        <w:rPr>
          <w:rFonts w:ascii="Times New Roman" w:hAnsi="Times New Roman"/>
          <w:bCs/>
          <w:color w:val="000000"/>
          <w:sz w:val="24"/>
          <w:szCs w:val="24"/>
        </w:rPr>
        <w:t>.</w:t>
      </w:r>
    </w:p>
    <w:p w:rsidR="00D60543" w:rsidP="0051278C" w14:paraId="234F0DE2" w14:textId="77777777">
      <w:pPr>
        <w:widowControl/>
        <w:tabs>
          <w:tab w:val="num" w:pos="360"/>
        </w:tabs>
        <w:ind w:left="720" w:hanging="360"/>
        <w:rPr>
          <w:rFonts w:ascii="Times New Roman" w:hAnsi="Times New Roman"/>
          <w:snapToGrid/>
          <w:sz w:val="24"/>
          <w:szCs w:val="24"/>
        </w:rPr>
      </w:pPr>
    </w:p>
    <w:p w:rsidR="000B06C4" w:rsidRPr="004F7B95" w:rsidP="0051278C" w14:paraId="2AD4584A" w14:textId="77777777">
      <w:pPr>
        <w:widowControl/>
        <w:tabs>
          <w:tab w:val="num" w:pos="360"/>
        </w:tabs>
        <w:ind w:left="720" w:hanging="360"/>
        <w:rPr>
          <w:rFonts w:ascii="Times New Roman" w:hAnsi="Times New Roman"/>
          <w:snapToGrid/>
          <w:sz w:val="24"/>
          <w:szCs w:val="24"/>
        </w:rPr>
      </w:pPr>
    </w:p>
    <w:p w:rsidR="002C3C4F" w:rsidRPr="00EA2F32" w:rsidP="00EA2F32" w14:paraId="2F4BE9C6"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Efforts to Identify Duplication and Use of Similar Information </w:t>
      </w:r>
    </w:p>
    <w:p w:rsidR="00EC698B" w:rsidRPr="004F7B95" w:rsidP="002A3372" w14:paraId="0E541112"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w:t>
      </w:r>
    </w:p>
    <w:p w:rsidR="009F5543" w:rsidRPr="004F7B95" w:rsidP="0051278C" w14:paraId="4A1FA599" w14:textId="77777777">
      <w:pPr>
        <w:widowControl/>
        <w:tabs>
          <w:tab w:val="num" w:pos="360"/>
        </w:tabs>
        <w:ind w:left="720" w:hanging="360"/>
        <w:rPr>
          <w:rFonts w:ascii="Times New Roman" w:hAnsi="Times New Roman"/>
          <w:snapToGrid/>
          <w:sz w:val="24"/>
          <w:szCs w:val="24"/>
        </w:rPr>
      </w:pPr>
    </w:p>
    <w:p w:rsidR="009C2DE1" w:rsidRPr="004F7B95" w:rsidP="0051278C" w14:paraId="3B20B20E" w14:textId="77777777">
      <w:pPr>
        <w:widowControl/>
        <w:tabs>
          <w:tab w:val="num" w:pos="360"/>
        </w:tabs>
        <w:ind w:left="720" w:hanging="360"/>
        <w:rPr>
          <w:rFonts w:ascii="Times New Roman" w:hAnsi="Times New Roman"/>
          <w:snapToGrid/>
          <w:sz w:val="24"/>
          <w:szCs w:val="24"/>
        </w:rPr>
      </w:pPr>
    </w:p>
    <w:p w:rsidR="002C3C4F" w:rsidRPr="00EA2F32" w:rsidP="00EA2F32" w14:paraId="705B83E5"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Impact on Small Businesses or Other Small Entities </w:t>
      </w:r>
    </w:p>
    <w:p w:rsidR="002A3372" w:rsidP="002A3372" w14:paraId="01DFECF8" w14:textId="77777777">
      <w:pPr>
        <w:widowControl/>
        <w:ind w:left="360"/>
        <w:rPr>
          <w:rFonts w:ascii="Times New Roman" w:hAnsi="Times New Roman"/>
          <w:sz w:val="24"/>
          <w:szCs w:val="24"/>
        </w:rPr>
      </w:pPr>
      <w:r>
        <w:rPr>
          <w:rFonts w:ascii="Times New Roman" w:hAnsi="Times New Roman"/>
          <w:sz w:val="24"/>
          <w:szCs w:val="24"/>
        </w:rPr>
        <w:t>The information being requested has been held to the absolute minimum required for the intended use</w:t>
      </w:r>
      <w:r w:rsidR="000010B5">
        <w:rPr>
          <w:rFonts w:ascii="Times New Roman" w:hAnsi="Times New Roman"/>
          <w:sz w:val="24"/>
          <w:szCs w:val="24"/>
        </w:rPr>
        <w:t xml:space="preserve"> and should not have an</w:t>
      </w:r>
      <w:r w:rsidR="006F1517">
        <w:rPr>
          <w:rFonts w:ascii="Times New Roman" w:hAnsi="Times New Roman"/>
          <w:sz w:val="24"/>
          <w:szCs w:val="24"/>
        </w:rPr>
        <w:t>y</w:t>
      </w:r>
      <w:r w:rsidR="000010B5">
        <w:rPr>
          <w:rFonts w:ascii="Times New Roman" w:hAnsi="Times New Roman"/>
          <w:sz w:val="24"/>
          <w:szCs w:val="24"/>
        </w:rPr>
        <w:t xml:space="preserve"> impact on small businesses or small entities</w:t>
      </w:r>
      <w:r>
        <w:rPr>
          <w:rFonts w:ascii="Times New Roman" w:hAnsi="Times New Roman"/>
          <w:sz w:val="24"/>
          <w:szCs w:val="24"/>
        </w:rPr>
        <w:t>.</w:t>
      </w:r>
    </w:p>
    <w:p w:rsidR="00D60543" w:rsidP="0051278C" w14:paraId="0692947A" w14:textId="77777777">
      <w:pPr>
        <w:widowControl/>
        <w:tabs>
          <w:tab w:val="num" w:pos="360"/>
        </w:tabs>
        <w:ind w:left="720" w:hanging="360"/>
        <w:rPr>
          <w:rFonts w:ascii="Times New Roman" w:hAnsi="Times New Roman"/>
          <w:snapToGrid/>
          <w:sz w:val="24"/>
          <w:szCs w:val="24"/>
        </w:rPr>
      </w:pPr>
    </w:p>
    <w:p w:rsidR="00D60543" w:rsidRPr="004F7B95" w:rsidP="0051278C" w14:paraId="4056D082" w14:textId="77777777">
      <w:pPr>
        <w:widowControl/>
        <w:tabs>
          <w:tab w:val="num" w:pos="360"/>
        </w:tabs>
        <w:ind w:left="720" w:hanging="360"/>
        <w:rPr>
          <w:rFonts w:ascii="Times New Roman" w:hAnsi="Times New Roman"/>
          <w:snapToGrid/>
          <w:sz w:val="24"/>
          <w:szCs w:val="24"/>
        </w:rPr>
      </w:pPr>
    </w:p>
    <w:p w:rsidR="002C3C4F" w:rsidRPr="00EA2F32" w:rsidP="00EA2F32" w14:paraId="5D89E0EF"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Consequences of Collecting the Information Less Frequently </w:t>
      </w:r>
    </w:p>
    <w:p w:rsidR="002666FF" w:rsidRPr="00AE3686" w:rsidP="002666FF" w14:paraId="70CEC873" w14:textId="07F1C314">
      <w:pPr>
        <w:ind w:left="360"/>
        <w:rPr>
          <w:rFonts w:ascii="Times New Roman" w:hAnsi="Times New Roman"/>
          <w:sz w:val="24"/>
          <w:szCs w:val="24"/>
        </w:rPr>
      </w:pPr>
      <w:r w:rsidRPr="00460523">
        <w:rPr>
          <w:rFonts w:ascii="Times New Roman" w:hAnsi="Times New Roman"/>
          <w:sz w:val="24"/>
          <w:szCs w:val="24"/>
          <w:shd w:val="clear" w:color="auto" w:fill="FFFFFF"/>
        </w:rPr>
        <w:t xml:space="preserve">Tribal Home Visiting grantees must comply with the requirement to submit </w:t>
      </w:r>
      <w:r w:rsidR="002B6438">
        <w:rPr>
          <w:rFonts w:ascii="Times New Roman" w:hAnsi="Times New Roman"/>
          <w:sz w:val="24"/>
          <w:szCs w:val="24"/>
          <w:shd w:val="clear" w:color="auto" w:fill="FFFFFF"/>
        </w:rPr>
        <w:t>demographic and service utilization data once they begin to provide services, and then on an annual basis</w:t>
      </w:r>
      <w:r w:rsidR="00570F0D">
        <w:rPr>
          <w:rFonts w:ascii="Times New Roman" w:hAnsi="Times New Roman"/>
          <w:sz w:val="24"/>
          <w:szCs w:val="24"/>
          <w:shd w:val="clear" w:color="auto" w:fill="FFFFFF"/>
        </w:rPr>
        <w:t>.  Grantees also begin to report quarterly on caseloads and family and staff retention</w:t>
      </w:r>
      <w:r w:rsidR="00554BA2">
        <w:rPr>
          <w:rFonts w:ascii="Times New Roman" w:hAnsi="Times New Roman"/>
          <w:sz w:val="24"/>
          <w:szCs w:val="24"/>
          <w:shd w:val="clear" w:color="auto" w:fill="FFFFFF"/>
        </w:rPr>
        <w:t xml:space="preserve"> once they begin implementing their programs. To meet the</w:t>
      </w:r>
      <w:r w:rsidR="006F2860">
        <w:rPr>
          <w:rFonts w:ascii="Times New Roman" w:hAnsi="Times New Roman"/>
          <w:sz w:val="24"/>
          <w:szCs w:val="24"/>
          <w:shd w:val="clear" w:color="auto" w:fill="FFFFFF"/>
        </w:rPr>
        <w:t xml:space="preserve"> </w:t>
      </w:r>
      <w:r w:rsidR="00554BA2">
        <w:rPr>
          <w:rFonts w:ascii="Times New Roman" w:hAnsi="Times New Roman"/>
          <w:sz w:val="24"/>
          <w:szCs w:val="24"/>
          <w:shd w:val="clear" w:color="auto" w:fill="FFFFFF"/>
        </w:rPr>
        <w:t xml:space="preserve">benchmarks requirement, grantees submit their </w:t>
      </w:r>
      <w:r w:rsidR="006F7F39">
        <w:rPr>
          <w:rFonts w:ascii="Times New Roman" w:hAnsi="Times New Roman"/>
          <w:sz w:val="24"/>
          <w:szCs w:val="24"/>
          <w:shd w:val="clear" w:color="auto" w:fill="FFFFFF"/>
        </w:rPr>
        <w:t xml:space="preserve">performance </w:t>
      </w:r>
      <w:r w:rsidR="00554BA2">
        <w:rPr>
          <w:rFonts w:ascii="Times New Roman" w:hAnsi="Times New Roman"/>
          <w:sz w:val="24"/>
          <w:szCs w:val="24"/>
          <w:shd w:val="clear" w:color="auto" w:fill="FFFFFF"/>
        </w:rPr>
        <w:t>data</w:t>
      </w:r>
      <w:r w:rsidR="00570F0D">
        <w:rPr>
          <w:rFonts w:ascii="Times New Roman" w:hAnsi="Times New Roman"/>
          <w:sz w:val="24"/>
          <w:szCs w:val="24"/>
          <w:shd w:val="clear" w:color="auto" w:fill="FFFFFF"/>
        </w:rPr>
        <w:t xml:space="preserve"> </w:t>
      </w:r>
      <w:r w:rsidR="006F7F39">
        <w:rPr>
          <w:rFonts w:ascii="Times New Roman" w:hAnsi="Times New Roman"/>
          <w:sz w:val="24"/>
          <w:szCs w:val="24"/>
          <w:shd w:val="clear" w:color="auto" w:fill="FFFFFF"/>
        </w:rPr>
        <w:t>once they begin providing services</w:t>
      </w:r>
      <w:r w:rsidR="00554BA2">
        <w:rPr>
          <w:rFonts w:ascii="Times New Roman" w:hAnsi="Times New Roman"/>
          <w:sz w:val="24"/>
          <w:szCs w:val="24"/>
          <w:shd w:val="clear" w:color="auto" w:fill="FFFFFF"/>
        </w:rPr>
        <w:t xml:space="preserve"> to show demonstration of improvement</w:t>
      </w:r>
      <w:r w:rsidR="006F7F39">
        <w:rPr>
          <w:rFonts w:ascii="Times New Roman" w:hAnsi="Times New Roman"/>
          <w:sz w:val="24"/>
          <w:szCs w:val="24"/>
          <w:shd w:val="clear" w:color="auto" w:fill="FFFFFF"/>
        </w:rPr>
        <w:t xml:space="preserve"> over time</w:t>
      </w:r>
      <w:r w:rsidRPr="00460523">
        <w:rPr>
          <w:rFonts w:ascii="Times New Roman" w:hAnsi="Times New Roman"/>
          <w:sz w:val="24"/>
          <w:szCs w:val="24"/>
          <w:shd w:val="clear" w:color="auto" w:fill="FFFFFF"/>
        </w:rPr>
        <w:t xml:space="preserve">.  To assist grantees with meeting these requirements, ACF created </w:t>
      </w:r>
      <w:r w:rsidR="002B6438">
        <w:rPr>
          <w:rFonts w:ascii="Times New Roman" w:hAnsi="Times New Roman"/>
          <w:sz w:val="24"/>
          <w:szCs w:val="24"/>
          <w:shd w:val="clear" w:color="auto" w:fill="FFFFFF"/>
        </w:rPr>
        <w:t xml:space="preserve">these reporting forms and </w:t>
      </w:r>
      <w:r w:rsidRPr="00460523">
        <w:rPr>
          <w:rFonts w:ascii="Times New Roman" w:hAnsi="Times New Roman"/>
          <w:sz w:val="24"/>
          <w:szCs w:val="24"/>
          <w:shd w:val="clear" w:color="auto" w:fill="FFFFFF"/>
        </w:rPr>
        <w:t xml:space="preserve">guidance for grantees to use </w:t>
      </w:r>
      <w:r>
        <w:rPr>
          <w:rFonts w:ascii="Times New Roman" w:hAnsi="Times New Roman"/>
          <w:sz w:val="24"/>
          <w:szCs w:val="24"/>
        </w:rPr>
        <w:t>to meet</w:t>
      </w:r>
      <w:r w:rsidR="000010B5">
        <w:rPr>
          <w:rFonts w:ascii="Times New Roman" w:hAnsi="Times New Roman"/>
          <w:sz w:val="24"/>
          <w:szCs w:val="24"/>
        </w:rPr>
        <w:t xml:space="preserve"> the goals and objectives set forth at the beginning of their grants. </w:t>
      </w:r>
      <w:r w:rsidR="00570F0D">
        <w:rPr>
          <w:rFonts w:ascii="Times New Roman" w:hAnsi="Times New Roman"/>
          <w:sz w:val="24"/>
          <w:szCs w:val="24"/>
        </w:rPr>
        <w:t xml:space="preserve"> </w:t>
      </w:r>
      <w:r w:rsidRPr="00E655DA">
        <w:rPr>
          <w:rFonts w:ascii="Times New Roman" w:hAnsi="Times New Roman"/>
          <w:sz w:val="24"/>
          <w:szCs w:val="24"/>
        </w:rPr>
        <w:t xml:space="preserve">A less frequent collection of </w:t>
      </w:r>
      <w:r w:rsidR="00554BA2">
        <w:rPr>
          <w:rFonts w:ascii="Times New Roman" w:hAnsi="Times New Roman"/>
          <w:sz w:val="24"/>
          <w:szCs w:val="24"/>
        </w:rPr>
        <w:t>these data</w:t>
      </w:r>
      <w:r w:rsidRPr="00E655DA">
        <w:rPr>
          <w:rFonts w:ascii="Times New Roman" w:hAnsi="Times New Roman"/>
          <w:sz w:val="24"/>
          <w:szCs w:val="24"/>
        </w:rPr>
        <w:t xml:space="preserve"> would </w:t>
      </w:r>
      <w:r>
        <w:rPr>
          <w:rFonts w:ascii="Times New Roman" w:hAnsi="Times New Roman"/>
          <w:sz w:val="24"/>
          <w:szCs w:val="24"/>
        </w:rPr>
        <w:t>be inconsistent with HHS grants policy</w:t>
      </w:r>
      <w:r w:rsidR="00414CBC">
        <w:rPr>
          <w:rFonts w:ascii="Times New Roman" w:hAnsi="Times New Roman"/>
          <w:sz w:val="24"/>
          <w:szCs w:val="24"/>
        </w:rPr>
        <w:t xml:space="preserve"> and</w:t>
      </w:r>
      <w:r w:rsidR="00554BA2">
        <w:rPr>
          <w:rFonts w:ascii="Times New Roman" w:hAnsi="Times New Roman"/>
          <w:sz w:val="24"/>
          <w:szCs w:val="24"/>
        </w:rPr>
        <w:t xml:space="preserve"> the MIECHV legislative </w:t>
      </w:r>
      <w:r w:rsidR="00865B12">
        <w:rPr>
          <w:rFonts w:ascii="Times New Roman" w:hAnsi="Times New Roman"/>
          <w:sz w:val="24"/>
          <w:szCs w:val="24"/>
        </w:rPr>
        <w:t>requirements and</w:t>
      </w:r>
      <w:r w:rsidR="00414CBC">
        <w:rPr>
          <w:rFonts w:ascii="Times New Roman" w:hAnsi="Times New Roman"/>
          <w:sz w:val="24"/>
          <w:szCs w:val="24"/>
        </w:rPr>
        <w:t xml:space="preserve"> would</w:t>
      </w:r>
      <w:r>
        <w:rPr>
          <w:rFonts w:ascii="Times New Roman" w:hAnsi="Times New Roman"/>
          <w:sz w:val="24"/>
          <w:szCs w:val="24"/>
        </w:rPr>
        <w:t xml:space="preserve"> </w:t>
      </w:r>
      <w:r w:rsidRPr="00E655DA">
        <w:rPr>
          <w:rFonts w:ascii="Times New Roman" w:hAnsi="Times New Roman"/>
          <w:sz w:val="24"/>
          <w:szCs w:val="24"/>
        </w:rPr>
        <w:t>undermine the federal government’s ability to track progress of  improvement and would limit the ability to provide technical assistance in a timely and targeted manner</w:t>
      </w:r>
      <w:r w:rsidR="00866061">
        <w:rPr>
          <w:rFonts w:ascii="Times New Roman" w:hAnsi="Times New Roman"/>
          <w:sz w:val="24"/>
          <w:szCs w:val="24"/>
        </w:rPr>
        <w:t>.</w:t>
      </w:r>
      <w:r w:rsidRPr="00E655DA">
        <w:rPr>
          <w:rFonts w:ascii="Times New Roman" w:hAnsi="Times New Roman"/>
          <w:sz w:val="24"/>
          <w:szCs w:val="24"/>
        </w:rPr>
        <w:t xml:space="preserve"> </w:t>
      </w:r>
    </w:p>
    <w:p w:rsidR="002F3C2D" w:rsidRPr="00D615E8" w:rsidP="000010B5" w14:paraId="0BCB3690" w14:textId="77777777">
      <w:pPr>
        <w:widowControl/>
        <w:ind w:left="360"/>
        <w:rPr>
          <w:rFonts w:ascii="Times New Roman" w:hAnsi="Times New Roman"/>
          <w:snapToGrid/>
          <w:sz w:val="24"/>
          <w:szCs w:val="24"/>
        </w:rPr>
      </w:pPr>
    </w:p>
    <w:p w:rsidR="00D60543" w:rsidP="0051278C" w14:paraId="12FB530D" w14:textId="77777777">
      <w:pPr>
        <w:widowControl/>
        <w:tabs>
          <w:tab w:val="num" w:pos="360"/>
        </w:tabs>
        <w:ind w:left="720" w:hanging="360"/>
        <w:rPr>
          <w:rFonts w:ascii="Times New Roman" w:hAnsi="Times New Roman"/>
          <w:snapToGrid/>
          <w:sz w:val="24"/>
          <w:szCs w:val="24"/>
        </w:rPr>
      </w:pPr>
    </w:p>
    <w:p w:rsidR="002C3C4F" w:rsidRPr="00EA2F32" w:rsidP="00EA2F32" w14:paraId="7D132A4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Special Circumstances Relating to the Guidelines of 5 CFR 1320.5 </w:t>
      </w:r>
    </w:p>
    <w:p w:rsidR="00650B5E" w:rsidP="00EA2F32" w14:paraId="634A08C3" w14:textId="77777777">
      <w:pPr>
        <w:widowControl/>
        <w:tabs>
          <w:tab w:val="num" w:pos="360"/>
        </w:tabs>
        <w:ind w:left="360"/>
        <w:rPr>
          <w:rFonts w:ascii="Times New Roman" w:hAnsi="Times New Roman"/>
          <w:b/>
          <w:sz w:val="24"/>
          <w:szCs w:val="24"/>
        </w:rPr>
      </w:pPr>
      <w:r>
        <w:rPr>
          <w:rFonts w:ascii="Times New Roman" w:hAnsi="Times New Roman"/>
          <w:snapToGrid/>
          <w:sz w:val="24"/>
          <w:szCs w:val="24"/>
        </w:rPr>
        <w:t xml:space="preserve"> </w:t>
      </w:r>
      <w:r>
        <w:rPr>
          <w:rFonts w:ascii="Times New Roman" w:hAnsi="Times New Roman"/>
          <w:sz w:val="24"/>
          <w:szCs w:val="24"/>
        </w:rPr>
        <w:t>The collection of information will be conducted in accordance with 5 CFR 1320.5.</w:t>
      </w:r>
    </w:p>
    <w:p w:rsidR="00650B5E" w:rsidP="0051278C" w14:paraId="2A3EFD61" w14:textId="77777777">
      <w:pPr>
        <w:widowControl/>
        <w:tabs>
          <w:tab w:val="num" w:pos="360"/>
        </w:tabs>
        <w:ind w:hanging="360"/>
        <w:rPr>
          <w:rFonts w:ascii="Times New Roman" w:hAnsi="Times New Roman"/>
          <w:snapToGrid/>
          <w:sz w:val="24"/>
          <w:szCs w:val="24"/>
        </w:rPr>
      </w:pPr>
    </w:p>
    <w:p w:rsidR="00650B5E" w:rsidRPr="004F7B95" w:rsidP="0051278C" w14:paraId="4D8B323A" w14:textId="77777777">
      <w:pPr>
        <w:widowControl/>
        <w:tabs>
          <w:tab w:val="num" w:pos="360"/>
        </w:tabs>
        <w:ind w:hanging="360"/>
        <w:rPr>
          <w:rFonts w:ascii="Times New Roman" w:hAnsi="Times New Roman"/>
          <w:snapToGrid/>
          <w:sz w:val="24"/>
          <w:szCs w:val="24"/>
        </w:rPr>
      </w:pPr>
    </w:p>
    <w:p w:rsidR="002C3C4F" w:rsidRPr="00EA2F32" w:rsidP="00EA2F32" w14:paraId="7012B98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Comments in Response to the Federal Register Notice and Efforts to Consult Outside the Agency </w:t>
      </w:r>
    </w:p>
    <w:p w:rsidR="00A278AF" w:rsidP="00D10077" w14:paraId="5BA27135" w14:textId="40195A30">
      <w:pPr>
        <w:ind w:left="360"/>
        <w:rPr>
          <w:rFonts w:ascii="Times New Roman" w:hAnsi="Times New Roman"/>
          <w:sz w:val="24"/>
          <w:szCs w:val="24"/>
        </w:rPr>
      </w:pPr>
      <w:r w:rsidRPr="00D10077">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E54908">
        <w:rPr>
          <w:rFonts w:ascii="Times New Roman" w:hAnsi="Times New Roman"/>
          <w:sz w:val="24"/>
          <w:szCs w:val="24"/>
        </w:rPr>
        <w:t xml:space="preserve"> April 10, 23 (88 FR 21192) </w:t>
      </w:r>
      <w:r w:rsidRPr="00D10077">
        <w:rPr>
          <w:rFonts w:ascii="Times New Roman" w:hAnsi="Times New Roman"/>
          <w:sz w:val="24"/>
          <w:szCs w:val="24"/>
        </w:rPr>
        <w:t xml:space="preserve">and provided a sixty-day period for public comment.  During the notice and comment period, </w:t>
      </w:r>
      <w:r w:rsidRPr="00D10077" w:rsidR="006E7AD3">
        <w:rPr>
          <w:rFonts w:ascii="Times New Roman" w:hAnsi="Times New Roman"/>
          <w:sz w:val="24"/>
          <w:szCs w:val="24"/>
        </w:rPr>
        <w:t>w</w:t>
      </w:r>
      <w:r w:rsidRPr="00D10077">
        <w:rPr>
          <w:rFonts w:ascii="Times New Roman" w:hAnsi="Times New Roman"/>
          <w:sz w:val="24"/>
          <w:szCs w:val="24"/>
        </w:rPr>
        <w:t xml:space="preserve">e </w:t>
      </w:r>
      <w:r w:rsidRPr="00D10077" w:rsidR="00AF17DB">
        <w:rPr>
          <w:rFonts w:ascii="Times New Roman" w:hAnsi="Times New Roman"/>
          <w:sz w:val="24"/>
          <w:szCs w:val="24"/>
        </w:rPr>
        <w:t xml:space="preserve">received </w:t>
      </w:r>
      <w:r w:rsidR="00EB675F">
        <w:rPr>
          <w:rFonts w:ascii="Times New Roman" w:hAnsi="Times New Roman"/>
          <w:sz w:val="24"/>
          <w:szCs w:val="24"/>
        </w:rPr>
        <w:t xml:space="preserve">no </w:t>
      </w:r>
      <w:r w:rsidRPr="00D10077" w:rsidR="00B87973">
        <w:rPr>
          <w:rFonts w:ascii="Times New Roman" w:hAnsi="Times New Roman"/>
          <w:sz w:val="24"/>
          <w:szCs w:val="24"/>
        </w:rPr>
        <w:t>comments from the public.</w:t>
      </w:r>
      <w:r w:rsidRPr="00D10077" w:rsidR="00D10077">
        <w:rPr>
          <w:rFonts w:ascii="Times New Roman" w:hAnsi="Times New Roman"/>
          <w:sz w:val="24"/>
          <w:szCs w:val="24"/>
        </w:rPr>
        <w:t xml:space="preserve"> </w:t>
      </w:r>
      <w:r w:rsidR="00D10077">
        <w:rPr>
          <w:rFonts w:ascii="Times New Roman" w:hAnsi="Times New Roman"/>
          <w:sz w:val="24"/>
          <w:szCs w:val="24"/>
        </w:rPr>
        <w:t xml:space="preserve"> </w:t>
      </w:r>
    </w:p>
    <w:p w:rsidR="00A278AF" w:rsidRPr="00874045" w:rsidP="00874045" w14:paraId="11FA1B7D" w14:textId="52B35A5E">
      <w:pPr>
        <w:spacing w:after="60"/>
        <w:ind w:left="360"/>
        <w:rPr>
          <w:rFonts w:ascii="Times New Roman" w:hAnsi="Times New Roman"/>
          <w:b/>
          <w:bCs/>
          <w:i/>
          <w:iCs/>
          <w:sz w:val="24"/>
          <w:szCs w:val="24"/>
        </w:rPr>
      </w:pPr>
      <w:r w:rsidRPr="00874045">
        <w:rPr>
          <w:rFonts w:ascii="Times New Roman" w:hAnsi="Times New Roman"/>
          <w:b/>
          <w:bCs/>
          <w:i/>
          <w:iCs/>
          <w:sz w:val="24"/>
          <w:szCs w:val="24"/>
        </w:rPr>
        <w:t>Consultations</w:t>
      </w:r>
    </w:p>
    <w:p w:rsidR="00D10077" w:rsidRPr="00D10077" w:rsidP="00D10077" w14:paraId="7CB23C71" w14:textId="5CA241BC">
      <w:pPr>
        <w:ind w:left="360"/>
        <w:rPr>
          <w:rFonts w:ascii="Times New Roman" w:hAnsi="Times New Roman"/>
          <w:sz w:val="24"/>
          <w:szCs w:val="24"/>
        </w:rPr>
      </w:pPr>
      <w:r w:rsidRPr="00D10077">
        <w:rPr>
          <w:rFonts w:ascii="Times New Roman" w:hAnsi="Times New Roman"/>
          <w:sz w:val="24"/>
          <w:szCs w:val="24"/>
        </w:rPr>
        <w:t xml:space="preserve">This information collection and the program it supports </w:t>
      </w:r>
      <w:r>
        <w:rPr>
          <w:rFonts w:ascii="Times New Roman" w:hAnsi="Times New Roman"/>
          <w:sz w:val="24"/>
          <w:szCs w:val="24"/>
        </w:rPr>
        <w:t>was</w:t>
      </w:r>
      <w:r w:rsidRPr="00D10077">
        <w:rPr>
          <w:rFonts w:ascii="Times New Roman" w:hAnsi="Times New Roman"/>
          <w:sz w:val="24"/>
          <w:szCs w:val="24"/>
        </w:rPr>
        <w:t xml:space="preserve"> informed by broad engagement of tribal communities, including these notices inviting public comment, as well as feedback from listening sessions with current grant recipients</w:t>
      </w:r>
      <w:r w:rsidR="00C437EB">
        <w:rPr>
          <w:rFonts w:ascii="Times New Roman" w:hAnsi="Times New Roman"/>
          <w:sz w:val="24"/>
          <w:szCs w:val="24"/>
        </w:rPr>
        <w:t xml:space="preserve"> on their experiences meeting program requirements</w:t>
      </w:r>
      <w:r w:rsidRPr="00D10077">
        <w:rPr>
          <w:rFonts w:ascii="Times New Roman" w:hAnsi="Times New Roman"/>
          <w:sz w:val="24"/>
          <w:szCs w:val="24"/>
        </w:rPr>
        <w:t>,</w:t>
      </w:r>
      <w:r w:rsidR="00C437EB">
        <w:rPr>
          <w:rFonts w:ascii="Times New Roman" w:hAnsi="Times New Roman"/>
          <w:sz w:val="24"/>
          <w:szCs w:val="24"/>
        </w:rPr>
        <w:t xml:space="preserve"> including the requirements on reporting.  Feedback was factored into streamlining the reporting process by reducing some areas to decrease burden and to better clarify reporting instructions. </w:t>
      </w:r>
      <w:r w:rsidRPr="00D10077">
        <w:rPr>
          <w:rFonts w:ascii="Times New Roman" w:hAnsi="Times New Roman"/>
          <w:sz w:val="24"/>
          <w:szCs w:val="24"/>
        </w:rPr>
        <w:t xml:space="preserve"> </w:t>
      </w:r>
      <w:r w:rsidR="00F24C54">
        <w:rPr>
          <w:rFonts w:ascii="Times New Roman" w:hAnsi="Times New Roman"/>
          <w:sz w:val="24"/>
          <w:szCs w:val="24"/>
        </w:rPr>
        <w:t xml:space="preserve">Collaboration with </w:t>
      </w:r>
      <w:r w:rsidRPr="00D10077">
        <w:rPr>
          <w:rFonts w:ascii="Times New Roman" w:hAnsi="Times New Roman"/>
          <w:sz w:val="24"/>
          <w:szCs w:val="24"/>
        </w:rPr>
        <w:t xml:space="preserve"> technical assistance providers</w:t>
      </w:r>
      <w:r w:rsidR="00F24C54">
        <w:rPr>
          <w:rFonts w:ascii="Times New Roman" w:hAnsi="Times New Roman"/>
          <w:sz w:val="24"/>
          <w:szCs w:val="24"/>
        </w:rPr>
        <w:t xml:space="preserve"> was also used to help assist with developing the reports and any information to help assist respondents</w:t>
      </w:r>
      <w:r w:rsidRPr="00D10077">
        <w:rPr>
          <w:rFonts w:ascii="Times New Roman" w:hAnsi="Times New Roman"/>
          <w:sz w:val="24"/>
          <w:szCs w:val="24"/>
        </w:rPr>
        <w:t>.</w:t>
      </w:r>
      <w:r w:rsidR="00414CBC">
        <w:rPr>
          <w:rFonts w:ascii="Times New Roman" w:hAnsi="Times New Roman"/>
          <w:sz w:val="24"/>
          <w:szCs w:val="24"/>
        </w:rPr>
        <w:t xml:space="preserve"> Through these activities, ACF did not request the same information of more than nine respondents and therefore they were not subject to </w:t>
      </w:r>
      <w:r w:rsidRPr="00D10077" w:rsidR="00414CBC">
        <w:rPr>
          <w:rFonts w:ascii="Times New Roman" w:hAnsi="Times New Roman"/>
          <w:sz w:val="24"/>
          <w:szCs w:val="24"/>
        </w:rPr>
        <w:t>the Paperwork Reduction Act</w:t>
      </w:r>
      <w:r w:rsidR="00414CBC">
        <w:rPr>
          <w:rFonts w:ascii="Times New Roman" w:hAnsi="Times New Roman"/>
          <w:sz w:val="24"/>
          <w:szCs w:val="24"/>
        </w:rPr>
        <w:t>.</w:t>
      </w:r>
    </w:p>
    <w:p w:rsidR="005C4324" w:rsidRPr="004F7B95" w:rsidP="005C4324" w14:paraId="1965584D" w14:textId="5CC5BED9">
      <w:pPr>
        <w:ind w:left="360"/>
        <w:rPr>
          <w:rFonts w:ascii="Times New Roman" w:hAnsi="Times New Roman"/>
          <w:snapToGrid/>
          <w:sz w:val="24"/>
          <w:szCs w:val="24"/>
        </w:rPr>
      </w:pPr>
    </w:p>
    <w:p w:rsidR="00A61AC0" w:rsidP="00D60543" w14:paraId="5FF94209" w14:textId="77777777">
      <w:pPr>
        <w:widowControl/>
        <w:tabs>
          <w:tab w:val="num" w:pos="360"/>
        </w:tabs>
        <w:ind w:left="360" w:hanging="360"/>
        <w:rPr>
          <w:rFonts w:ascii="Times New Roman" w:hAnsi="Times New Roman"/>
          <w:snapToGrid/>
          <w:sz w:val="24"/>
          <w:szCs w:val="24"/>
        </w:rPr>
      </w:pPr>
    </w:p>
    <w:p w:rsidR="002C3C4F" w:rsidRPr="00EA2F32" w:rsidP="00EA2F32" w14:paraId="2AF7E8C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of Any Payment or Gift to Respondents </w:t>
      </w:r>
    </w:p>
    <w:p w:rsidR="00D60543" w:rsidP="0051278C" w14:paraId="03AAC0FD"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 payments or gifts are provided to respondents.</w:t>
      </w:r>
    </w:p>
    <w:p w:rsidR="00D60543" w:rsidP="0051278C" w14:paraId="48BA6C72" w14:textId="77777777">
      <w:pPr>
        <w:widowControl/>
        <w:tabs>
          <w:tab w:val="num" w:pos="360"/>
        </w:tabs>
        <w:ind w:left="720" w:hanging="360"/>
        <w:rPr>
          <w:rFonts w:ascii="Times New Roman" w:hAnsi="Times New Roman"/>
          <w:snapToGrid/>
          <w:sz w:val="24"/>
          <w:szCs w:val="24"/>
        </w:rPr>
      </w:pPr>
    </w:p>
    <w:p w:rsidR="00D60543" w:rsidP="0051278C" w14:paraId="32DF36A5" w14:textId="77777777">
      <w:pPr>
        <w:widowControl/>
        <w:tabs>
          <w:tab w:val="num" w:pos="360"/>
        </w:tabs>
        <w:ind w:left="720" w:hanging="360"/>
        <w:rPr>
          <w:rFonts w:ascii="Times New Roman" w:hAnsi="Times New Roman"/>
          <w:snapToGrid/>
          <w:sz w:val="24"/>
          <w:szCs w:val="24"/>
        </w:rPr>
      </w:pPr>
    </w:p>
    <w:p w:rsidR="002C3C4F" w:rsidRPr="00EA2F32" w:rsidP="00EA2F32" w14:paraId="38401AA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Assurance of Confidentiality Provided to Respondents </w:t>
      </w:r>
    </w:p>
    <w:p w:rsidR="00D60543" w:rsidP="00650B5E" w14:paraId="0E4A5F4B"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6E7AD3" w:rsidP="00650B5E" w14:paraId="56367AB0" w14:textId="77777777">
      <w:pPr>
        <w:widowControl/>
        <w:tabs>
          <w:tab w:val="num" w:pos="360"/>
        </w:tabs>
        <w:ind w:left="360"/>
        <w:rPr>
          <w:rFonts w:ascii="Times New Roman" w:hAnsi="Times New Roman"/>
          <w:snapToGrid/>
          <w:sz w:val="24"/>
          <w:szCs w:val="24"/>
        </w:rPr>
      </w:pPr>
    </w:p>
    <w:p w:rsidR="00D60543" w:rsidP="0051278C" w14:paraId="030DA5DB" w14:textId="77777777">
      <w:pPr>
        <w:widowControl/>
        <w:tabs>
          <w:tab w:val="num" w:pos="360"/>
        </w:tabs>
        <w:ind w:left="720" w:hanging="360"/>
        <w:rPr>
          <w:rFonts w:ascii="Times New Roman" w:hAnsi="Times New Roman"/>
          <w:snapToGrid/>
          <w:sz w:val="24"/>
          <w:szCs w:val="24"/>
        </w:rPr>
      </w:pPr>
    </w:p>
    <w:p w:rsidR="002C3C4F" w:rsidRPr="00EA2F32" w:rsidP="00EA2F32" w14:paraId="3DA075F6"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Justification for Sensitive Questions </w:t>
      </w:r>
    </w:p>
    <w:p w:rsidR="00CB1A12" w:rsidRPr="004F7B95" w:rsidP="0051278C" w14:paraId="4FDA2913" w14:textId="3CE8769A">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questions of a sensitive nature.</w:t>
      </w:r>
    </w:p>
    <w:p w:rsidR="004602FE" w:rsidP="0051278C" w14:paraId="7F668C0D" w14:textId="77777777">
      <w:pPr>
        <w:widowControl/>
        <w:tabs>
          <w:tab w:val="num" w:pos="360"/>
        </w:tabs>
        <w:ind w:left="720" w:hanging="360"/>
        <w:rPr>
          <w:rFonts w:ascii="Times New Roman" w:hAnsi="Times New Roman"/>
          <w:snapToGrid/>
          <w:sz w:val="24"/>
          <w:szCs w:val="24"/>
        </w:rPr>
      </w:pPr>
    </w:p>
    <w:p w:rsidR="00D60543" w:rsidP="0051278C" w14:paraId="1C17B9DF" w14:textId="77777777">
      <w:pPr>
        <w:widowControl/>
        <w:tabs>
          <w:tab w:val="num" w:pos="360"/>
        </w:tabs>
        <w:ind w:left="720" w:hanging="360"/>
        <w:rPr>
          <w:rFonts w:ascii="Times New Roman" w:hAnsi="Times New Roman"/>
          <w:snapToGrid/>
          <w:sz w:val="24"/>
          <w:szCs w:val="24"/>
        </w:rPr>
      </w:pPr>
    </w:p>
    <w:p w:rsidR="00FF1877" w:rsidP="00EA2F32" w14:paraId="4F2460C2" w14:textId="4CEC7C44">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Estimates of Annualized Burden Hours and Costs</w:t>
      </w:r>
    </w:p>
    <w:p w:rsidR="00E54908" w:rsidP="00F97666" w14:paraId="7D8CB7EE" w14:textId="346E0450">
      <w:pPr>
        <w:widowControl/>
        <w:spacing w:after="120"/>
        <w:ind w:left="360"/>
        <w:rPr>
          <w:rFonts w:ascii="Times New Roman" w:hAnsi="Times New Roman"/>
          <w:snapToGrid/>
          <w:sz w:val="24"/>
          <w:szCs w:val="24"/>
        </w:rPr>
      </w:pPr>
      <w:r w:rsidRPr="00A630B4">
        <w:rPr>
          <w:rFonts w:ascii="Times New Roman" w:hAnsi="Times New Roman"/>
          <w:snapToGrid/>
          <w:sz w:val="24"/>
          <w:szCs w:val="24"/>
        </w:rPr>
        <w:t xml:space="preserve">At the end of FY23, it is estimated there will be 55 grantees. </w:t>
      </w:r>
      <w:r w:rsidRPr="00A630B4" w:rsidR="00F9603D">
        <w:rPr>
          <w:rFonts w:ascii="Times New Roman" w:hAnsi="Times New Roman"/>
          <w:snapToGrid/>
          <w:sz w:val="24"/>
          <w:szCs w:val="24"/>
        </w:rPr>
        <w:t>To</w:t>
      </w:r>
      <w:r w:rsidRPr="00A630B4">
        <w:rPr>
          <w:rFonts w:ascii="Times New Roman" w:hAnsi="Times New Roman"/>
          <w:snapToGrid/>
          <w:sz w:val="24"/>
          <w:szCs w:val="24"/>
        </w:rPr>
        <w:t xml:space="preserve"> c</w:t>
      </w:r>
      <w:r w:rsidRPr="00A630B4" w:rsidR="00A630B4">
        <w:rPr>
          <w:rFonts w:ascii="Times New Roman" w:hAnsi="Times New Roman"/>
          <w:snapToGrid/>
          <w:sz w:val="24"/>
          <w:szCs w:val="24"/>
        </w:rPr>
        <w:t>alculate</w:t>
      </w:r>
      <w:r w:rsidRPr="00A630B4">
        <w:rPr>
          <w:rFonts w:ascii="Times New Roman" w:hAnsi="Times New Roman"/>
          <w:snapToGrid/>
          <w:sz w:val="24"/>
          <w:szCs w:val="24"/>
        </w:rPr>
        <w:t xml:space="preserve"> </w:t>
      </w:r>
      <w:r w:rsidRPr="00A630B4" w:rsidR="00A630B4">
        <w:rPr>
          <w:rFonts w:ascii="Times New Roman" w:hAnsi="Times New Roman"/>
          <w:snapToGrid/>
          <w:sz w:val="24"/>
          <w:szCs w:val="24"/>
        </w:rPr>
        <w:t xml:space="preserve">the </w:t>
      </w:r>
      <w:r w:rsidRPr="00A630B4">
        <w:rPr>
          <w:rFonts w:ascii="Times New Roman" w:hAnsi="Times New Roman"/>
          <w:snapToGrid/>
          <w:sz w:val="24"/>
          <w:szCs w:val="24"/>
        </w:rPr>
        <w:t xml:space="preserve">burden estimate, </w:t>
      </w:r>
      <w:r w:rsidRPr="00A630B4" w:rsidR="00AA4B31">
        <w:rPr>
          <w:rFonts w:ascii="Times New Roman" w:hAnsi="Times New Roman"/>
          <w:snapToGrid/>
          <w:sz w:val="24"/>
          <w:szCs w:val="24"/>
        </w:rPr>
        <w:t>ACF considered the fol</w:t>
      </w:r>
      <w:r w:rsidRPr="00A630B4" w:rsidR="00A630B4">
        <w:rPr>
          <w:rFonts w:ascii="Times New Roman" w:hAnsi="Times New Roman"/>
          <w:snapToGrid/>
          <w:sz w:val="24"/>
          <w:szCs w:val="24"/>
        </w:rPr>
        <w:t>lowing</w:t>
      </w:r>
      <w:r>
        <w:rPr>
          <w:rFonts w:ascii="Times New Roman" w:hAnsi="Times New Roman"/>
          <w:snapToGrid/>
          <w:sz w:val="24"/>
          <w:szCs w:val="24"/>
        </w:rPr>
        <w:t>:</w:t>
      </w:r>
      <w:r w:rsidRPr="00A630B4" w:rsidR="00A630B4">
        <w:rPr>
          <w:rFonts w:ascii="Times New Roman" w:hAnsi="Times New Roman"/>
          <w:snapToGrid/>
          <w:sz w:val="24"/>
          <w:szCs w:val="24"/>
        </w:rPr>
        <w:t xml:space="preserve"> </w:t>
      </w:r>
    </w:p>
    <w:p w:rsidR="00E54908" w:rsidP="0027394D" w14:paraId="43D1C16C" w14:textId="62DD4D92">
      <w:pPr>
        <w:pStyle w:val="ListParagraph"/>
        <w:widowControl/>
        <w:numPr>
          <w:ilvl w:val="1"/>
          <w:numId w:val="26"/>
        </w:numPr>
        <w:spacing w:after="60"/>
        <w:ind w:left="900"/>
        <w:rPr>
          <w:rFonts w:ascii="Times New Roman" w:hAnsi="Times New Roman"/>
          <w:snapToGrid/>
          <w:sz w:val="24"/>
          <w:szCs w:val="24"/>
        </w:rPr>
      </w:pPr>
      <w:r w:rsidRPr="0027394D">
        <w:rPr>
          <w:rFonts w:ascii="Times New Roman" w:hAnsi="Times New Roman"/>
          <w:snapToGrid/>
          <w:sz w:val="24"/>
          <w:szCs w:val="24"/>
        </w:rPr>
        <w:t>the estimated time per response</w:t>
      </w:r>
      <w:r w:rsidRPr="0027394D">
        <w:rPr>
          <w:rFonts w:ascii="Times New Roman" w:hAnsi="Times New Roman"/>
          <w:snapToGrid/>
          <w:sz w:val="24"/>
          <w:szCs w:val="24"/>
        </w:rPr>
        <w:t xml:space="preserve"> for a grantee</w:t>
      </w:r>
      <w:r w:rsidRPr="0027394D">
        <w:rPr>
          <w:rFonts w:ascii="Times New Roman" w:hAnsi="Times New Roman"/>
          <w:snapToGrid/>
          <w:sz w:val="24"/>
          <w:szCs w:val="24"/>
        </w:rPr>
        <w:t xml:space="preserve"> based on experience from previous cohorts of grantees, </w:t>
      </w:r>
    </w:p>
    <w:p w:rsidR="00E54908" w:rsidP="0027394D" w14:paraId="3E181507" w14:textId="03F12C86">
      <w:pPr>
        <w:pStyle w:val="ListParagraph"/>
        <w:widowControl/>
        <w:numPr>
          <w:ilvl w:val="1"/>
          <w:numId w:val="26"/>
        </w:numPr>
        <w:spacing w:after="60"/>
        <w:ind w:left="900"/>
        <w:rPr>
          <w:rFonts w:ascii="Times New Roman" w:hAnsi="Times New Roman"/>
          <w:snapToGrid/>
          <w:sz w:val="24"/>
          <w:szCs w:val="24"/>
        </w:rPr>
      </w:pPr>
      <w:r w:rsidRPr="0027394D">
        <w:rPr>
          <w:rFonts w:ascii="Times New Roman" w:hAnsi="Times New Roman"/>
          <w:snapToGrid/>
          <w:sz w:val="24"/>
          <w:szCs w:val="24"/>
        </w:rPr>
        <w:t>feedback</w:t>
      </w:r>
      <w:r w:rsidRPr="0027394D" w:rsidR="00F9603D">
        <w:rPr>
          <w:rFonts w:ascii="Times New Roman" w:hAnsi="Times New Roman"/>
          <w:snapToGrid/>
          <w:sz w:val="24"/>
          <w:szCs w:val="24"/>
        </w:rPr>
        <w:t xml:space="preserve"> from grantees as part of the consultation process</w:t>
      </w:r>
      <w:r w:rsidRPr="0027394D">
        <w:rPr>
          <w:rFonts w:ascii="Times New Roman" w:hAnsi="Times New Roman"/>
          <w:snapToGrid/>
          <w:sz w:val="24"/>
          <w:szCs w:val="24"/>
        </w:rPr>
        <w:t>,</w:t>
      </w:r>
      <w:r w:rsidRPr="0027394D" w:rsidR="00F9603D">
        <w:rPr>
          <w:rFonts w:ascii="Times New Roman" w:hAnsi="Times New Roman"/>
          <w:snapToGrid/>
          <w:sz w:val="24"/>
          <w:szCs w:val="24"/>
        </w:rPr>
        <w:t xml:space="preserve"> </w:t>
      </w:r>
    </w:p>
    <w:p w:rsidR="00E54908" w:rsidP="0027394D" w14:paraId="59D055A3" w14:textId="5645B52B">
      <w:pPr>
        <w:pStyle w:val="ListParagraph"/>
        <w:widowControl/>
        <w:numPr>
          <w:ilvl w:val="1"/>
          <w:numId w:val="26"/>
        </w:numPr>
        <w:spacing w:after="60"/>
        <w:ind w:left="900"/>
        <w:rPr>
          <w:rFonts w:ascii="Times New Roman" w:hAnsi="Times New Roman"/>
          <w:snapToGrid/>
          <w:sz w:val="24"/>
          <w:szCs w:val="24"/>
        </w:rPr>
      </w:pPr>
      <w:r w:rsidRPr="0027394D">
        <w:rPr>
          <w:rFonts w:ascii="Times New Roman" w:hAnsi="Times New Roman"/>
          <w:snapToGrid/>
          <w:sz w:val="24"/>
          <w:szCs w:val="24"/>
        </w:rPr>
        <w:t>discussions</w:t>
      </w:r>
      <w:r w:rsidRPr="0027394D" w:rsidR="00A630B4">
        <w:rPr>
          <w:rFonts w:ascii="Times New Roman" w:hAnsi="Times New Roman"/>
          <w:snapToGrid/>
          <w:sz w:val="24"/>
          <w:szCs w:val="24"/>
        </w:rPr>
        <w:t xml:space="preserve"> with TA providers, </w:t>
      </w:r>
      <w:r w:rsidRPr="0027394D">
        <w:rPr>
          <w:rFonts w:ascii="Times New Roman" w:hAnsi="Times New Roman"/>
          <w:snapToGrid/>
          <w:sz w:val="24"/>
          <w:szCs w:val="24"/>
        </w:rPr>
        <w:t xml:space="preserve">and </w:t>
      </w:r>
    </w:p>
    <w:p w:rsidR="002C3C4F" w:rsidP="00291C79" w14:paraId="55427042" w14:textId="51FE835D">
      <w:pPr>
        <w:pStyle w:val="ListParagraph"/>
        <w:widowControl/>
        <w:numPr>
          <w:ilvl w:val="1"/>
          <w:numId w:val="26"/>
        </w:numPr>
        <w:ind w:left="900"/>
        <w:rPr>
          <w:rFonts w:ascii="Times New Roman" w:hAnsi="Times New Roman"/>
          <w:snapToGrid/>
          <w:sz w:val="24"/>
          <w:szCs w:val="24"/>
        </w:rPr>
      </w:pPr>
      <w:r w:rsidRPr="0027394D">
        <w:rPr>
          <w:rFonts w:ascii="Times New Roman" w:hAnsi="Times New Roman"/>
          <w:snapToGrid/>
          <w:sz w:val="24"/>
          <w:szCs w:val="24"/>
        </w:rPr>
        <w:t xml:space="preserve">a </w:t>
      </w:r>
      <w:r w:rsidRPr="0027394D" w:rsidR="00F9603D">
        <w:rPr>
          <w:rFonts w:ascii="Times New Roman" w:hAnsi="Times New Roman"/>
          <w:snapToGrid/>
          <w:sz w:val="24"/>
          <w:szCs w:val="24"/>
        </w:rPr>
        <w:t>review</w:t>
      </w:r>
      <w:r w:rsidRPr="0027394D">
        <w:rPr>
          <w:rFonts w:ascii="Times New Roman" w:hAnsi="Times New Roman"/>
          <w:snapToGrid/>
          <w:sz w:val="24"/>
          <w:szCs w:val="24"/>
        </w:rPr>
        <w:t xml:space="preserve"> of</w:t>
      </w:r>
      <w:r w:rsidRPr="0027394D" w:rsidR="00F9603D">
        <w:rPr>
          <w:rFonts w:ascii="Times New Roman" w:hAnsi="Times New Roman"/>
          <w:snapToGrid/>
          <w:sz w:val="24"/>
          <w:szCs w:val="24"/>
        </w:rPr>
        <w:t xml:space="preserve"> each data field to determine if there is any data that ACF requires that grantees are not already reporting</w:t>
      </w:r>
      <w:r w:rsidRPr="0027394D">
        <w:rPr>
          <w:rFonts w:ascii="Times New Roman" w:hAnsi="Times New Roman"/>
          <w:snapToGrid/>
          <w:sz w:val="24"/>
          <w:szCs w:val="24"/>
        </w:rPr>
        <w:t>. Considerations included</w:t>
      </w:r>
      <w:r w:rsidRPr="0027394D" w:rsidR="00F9603D">
        <w:rPr>
          <w:rFonts w:ascii="Times New Roman" w:hAnsi="Times New Roman"/>
          <w:snapToGrid/>
          <w:sz w:val="24"/>
          <w:szCs w:val="24"/>
        </w:rPr>
        <w:t xml:space="preserve"> whether </w:t>
      </w:r>
      <w:r w:rsidRPr="0027394D">
        <w:rPr>
          <w:rFonts w:ascii="Times New Roman" w:hAnsi="Times New Roman"/>
          <w:snapToGrid/>
          <w:sz w:val="24"/>
          <w:szCs w:val="24"/>
        </w:rPr>
        <w:t>grantees collect this data already</w:t>
      </w:r>
      <w:r w:rsidRPr="0027394D" w:rsidR="00F9603D">
        <w:rPr>
          <w:rFonts w:ascii="Times New Roman" w:hAnsi="Times New Roman"/>
          <w:snapToGrid/>
          <w:sz w:val="24"/>
          <w:szCs w:val="24"/>
        </w:rPr>
        <w:t xml:space="preserve"> because of their own organization’s information collection or part of the home visiting model </w:t>
      </w:r>
      <w:r w:rsidRPr="0027394D">
        <w:rPr>
          <w:rFonts w:ascii="Times New Roman" w:hAnsi="Times New Roman"/>
          <w:snapToGrid/>
          <w:sz w:val="24"/>
          <w:szCs w:val="24"/>
        </w:rPr>
        <w:t xml:space="preserve">that is </w:t>
      </w:r>
      <w:r w:rsidRPr="0027394D" w:rsidR="00F9603D">
        <w:rPr>
          <w:rFonts w:ascii="Times New Roman" w:hAnsi="Times New Roman"/>
          <w:snapToGrid/>
          <w:sz w:val="24"/>
          <w:szCs w:val="24"/>
        </w:rPr>
        <w:t>being implemented. After the review</w:t>
      </w:r>
      <w:r w:rsidRPr="0027394D" w:rsidR="00296F45">
        <w:rPr>
          <w:rFonts w:ascii="Times New Roman" w:hAnsi="Times New Roman"/>
          <w:snapToGrid/>
          <w:sz w:val="24"/>
          <w:szCs w:val="24"/>
        </w:rPr>
        <w:t>,</w:t>
      </w:r>
      <w:r w:rsidRPr="0027394D" w:rsidR="00F9603D">
        <w:rPr>
          <w:rFonts w:ascii="Times New Roman" w:hAnsi="Times New Roman"/>
          <w:snapToGrid/>
          <w:sz w:val="24"/>
          <w:szCs w:val="24"/>
        </w:rPr>
        <w:t xml:space="preserve"> ACF determined there was </w:t>
      </w:r>
      <w:r w:rsidRPr="0027394D">
        <w:rPr>
          <w:rFonts w:ascii="Times New Roman" w:hAnsi="Times New Roman"/>
          <w:snapToGrid/>
          <w:sz w:val="24"/>
          <w:szCs w:val="24"/>
        </w:rPr>
        <w:t xml:space="preserve">only </w:t>
      </w:r>
      <w:r w:rsidRPr="0027394D" w:rsidR="00F9603D">
        <w:rPr>
          <w:rFonts w:ascii="Times New Roman" w:hAnsi="Times New Roman"/>
          <w:snapToGrid/>
          <w:sz w:val="24"/>
          <w:szCs w:val="24"/>
        </w:rPr>
        <w:t xml:space="preserve">one </w:t>
      </w:r>
      <w:r w:rsidRPr="0027394D">
        <w:rPr>
          <w:rFonts w:ascii="Times New Roman" w:hAnsi="Times New Roman"/>
          <w:snapToGrid/>
          <w:sz w:val="24"/>
          <w:szCs w:val="24"/>
        </w:rPr>
        <w:t xml:space="preserve">data point required under </w:t>
      </w:r>
      <w:r w:rsidRPr="0027394D" w:rsidR="00A33B43">
        <w:rPr>
          <w:rFonts w:ascii="Times New Roman" w:hAnsi="Times New Roman"/>
          <w:snapToGrid/>
          <w:sz w:val="24"/>
          <w:szCs w:val="24"/>
        </w:rPr>
        <w:t xml:space="preserve">the </w:t>
      </w:r>
      <w:r w:rsidRPr="0027394D">
        <w:rPr>
          <w:rFonts w:ascii="Times New Roman" w:hAnsi="Times New Roman"/>
          <w:snapToGrid/>
          <w:sz w:val="24"/>
          <w:szCs w:val="24"/>
        </w:rPr>
        <w:t>MIECHV</w:t>
      </w:r>
      <w:r w:rsidRPr="0027394D" w:rsidR="00A33B43">
        <w:rPr>
          <w:rFonts w:ascii="Times New Roman" w:hAnsi="Times New Roman"/>
          <w:snapToGrid/>
          <w:sz w:val="24"/>
          <w:szCs w:val="24"/>
        </w:rPr>
        <w:t xml:space="preserve"> legislation</w:t>
      </w:r>
      <w:r w:rsidRPr="0027394D" w:rsidR="00296F45">
        <w:rPr>
          <w:rFonts w:ascii="Times New Roman" w:hAnsi="Times New Roman"/>
          <w:snapToGrid/>
          <w:sz w:val="24"/>
          <w:szCs w:val="24"/>
        </w:rPr>
        <w:t xml:space="preserve"> that </w:t>
      </w:r>
      <w:r w:rsidRPr="0027394D" w:rsidR="00E54908">
        <w:rPr>
          <w:rFonts w:ascii="Times New Roman" w:hAnsi="Times New Roman"/>
          <w:snapToGrid/>
          <w:sz w:val="24"/>
          <w:szCs w:val="24"/>
        </w:rPr>
        <w:t xml:space="preserve">grantees would not </w:t>
      </w:r>
      <w:r w:rsidRPr="0027394D" w:rsidR="00296F45">
        <w:rPr>
          <w:rFonts w:ascii="Times New Roman" w:hAnsi="Times New Roman"/>
          <w:snapToGrid/>
          <w:sz w:val="24"/>
          <w:szCs w:val="24"/>
        </w:rPr>
        <w:t xml:space="preserve">already collect </w:t>
      </w:r>
      <w:r w:rsidRPr="0027394D" w:rsidR="00296F45">
        <w:rPr>
          <w:rFonts w:ascii="Times New Roman" w:hAnsi="Times New Roman"/>
          <w:snapToGrid/>
          <w:sz w:val="24"/>
          <w:szCs w:val="24"/>
        </w:rPr>
        <w:t>in the course of</w:t>
      </w:r>
      <w:r w:rsidRPr="0027394D" w:rsidR="00296F45">
        <w:rPr>
          <w:rFonts w:ascii="Times New Roman" w:hAnsi="Times New Roman"/>
          <w:snapToGrid/>
          <w:sz w:val="24"/>
          <w:szCs w:val="24"/>
        </w:rPr>
        <w:t xml:space="preserve"> home visiting implementation (</w:t>
      </w:r>
      <w:r w:rsidRPr="0027394D">
        <w:rPr>
          <w:rFonts w:ascii="Times New Roman" w:hAnsi="Times New Roman"/>
          <w:snapToGrid/>
          <w:sz w:val="24"/>
          <w:szCs w:val="24"/>
        </w:rPr>
        <w:t>D</w:t>
      </w:r>
      <w:r w:rsidRPr="0027394D" w:rsidR="00F9603D">
        <w:rPr>
          <w:rFonts w:ascii="Times New Roman" w:hAnsi="Times New Roman"/>
          <w:snapToGrid/>
          <w:sz w:val="24"/>
          <w:szCs w:val="24"/>
        </w:rPr>
        <w:t xml:space="preserve">emographic and </w:t>
      </w:r>
      <w:r w:rsidRPr="0027394D">
        <w:rPr>
          <w:rFonts w:ascii="Times New Roman" w:hAnsi="Times New Roman"/>
          <w:snapToGrid/>
          <w:sz w:val="24"/>
          <w:szCs w:val="24"/>
        </w:rPr>
        <w:t>S</w:t>
      </w:r>
      <w:r w:rsidRPr="0027394D" w:rsidR="00F9603D">
        <w:rPr>
          <w:rFonts w:ascii="Times New Roman" w:hAnsi="Times New Roman"/>
          <w:snapToGrid/>
          <w:sz w:val="24"/>
          <w:szCs w:val="24"/>
        </w:rPr>
        <w:t xml:space="preserve">ervice </w:t>
      </w:r>
      <w:r w:rsidRPr="0027394D">
        <w:rPr>
          <w:rFonts w:ascii="Times New Roman" w:hAnsi="Times New Roman"/>
          <w:snapToGrid/>
          <w:sz w:val="24"/>
          <w:szCs w:val="24"/>
        </w:rPr>
        <w:t>U</w:t>
      </w:r>
      <w:r w:rsidRPr="0027394D" w:rsidR="00F9603D">
        <w:rPr>
          <w:rFonts w:ascii="Times New Roman" w:hAnsi="Times New Roman"/>
          <w:snapToGrid/>
          <w:sz w:val="24"/>
          <w:szCs w:val="24"/>
        </w:rPr>
        <w:t>tilization</w:t>
      </w:r>
      <w:r w:rsidRPr="0027394D">
        <w:rPr>
          <w:rFonts w:ascii="Times New Roman" w:hAnsi="Times New Roman"/>
          <w:snapToGrid/>
          <w:sz w:val="24"/>
          <w:szCs w:val="24"/>
        </w:rPr>
        <w:t xml:space="preserve"> Report</w:t>
      </w:r>
      <w:r w:rsidRPr="0027394D" w:rsidR="00296F45">
        <w:rPr>
          <w:rFonts w:ascii="Times New Roman" w:hAnsi="Times New Roman"/>
          <w:snapToGrid/>
          <w:sz w:val="24"/>
          <w:szCs w:val="24"/>
        </w:rPr>
        <w:t xml:space="preserve"> </w:t>
      </w:r>
      <w:r w:rsidRPr="0027394D" w:rsidR="00AA4B31">
        <w:rPr>
          <w:rFonts w:ascii="Times New Roman" w:eastAsia="Calibri" w:hAnsi="Times New Roman"/>
          <w:sz w:val="24"/>
          <w:szCs w:val="24"/>
        </w:rPr>
        <w:t xml:space="preserve">Table 16. Priority Population Household Characteristics </w:t>
      </w:r>
      <w:r w:rsidRPr="0027394D">
        <w:rPr>
          <w:rFonts w:ascii="Times New Roman" w:eastAsia="Calibri" w:hAnsi="Times New Roman"/>
          <w:sz w:val="24"/>
          <w:szCs w:val="24"/>
        </w:rPr>
        <w:t>-</w:t>
      </w:r>
      <w:r w:rsidRPr="0027394D" w:rsidR="00296F45">
        <w:rPr>
          <w:rFonts w:ascii="Times New Roman" w:eastAsia="Calibri" w:hAnsi="Times New Roman"/>
          <w:sz w:val="24"/>
          <w:szCs w:val="24"/>
        </w:rPr>
        <w:t xml:space="preserve"> </w:t>
      </w:r>
      <w:r w:rsidRPr="0027394D" w:rsidR="00AA4B31">
        <w:rPr>
          <w:rFonts w:ascii="Times New Roman" w:eastAsia="Calibri" w:hAnsi="Times New Roman"/>
          <w:sz w:val="24"/>
          <w:szCs w:val="24"/>
        </w:rPr>
        <w:t>Newly Enrolled)</w:t>
      </w:r>
      <w:r w:rsidRPr="0027394D" w:rsidR="004C5529">
        <w:rPr>
          <w:rFonts w:ascii="Times New Roman" w:hAnsi="Times New Roman"/>
          <w:snapToGrid/>
          <w:sz w:val="24"/>
          <w:szCs w:val="24"/>
        </w:rPr>
        <w:t xml:space="preserve">. </w:t>
      </w:r>
      <w:r w:rsidRPr="0027394D" w:rsidR="002573F4">
        <w:rPr>
          <w:rFonts w:ascii="Times New Roman" w:hAnsi="Times New Roman"/>
          <w:snapToGrid/>
          <w:sz w:val="24"/>
          <w:szCs w:val="24"/>
        </w:rPr>
        <w:t>Based on all these considerations, t</w:t>
      </w:r>
      <w:r w:rsidRPr="0027394D" w:rsidR="00614622">
        <w:rPr>
          <w:rFonts w:ascii="Times New Roman" w:hAnsi="Times New Roman"/>
          <w:snapToGrid/>
          <w:sz w:val="24"/>
          <w:szCs w:val="24"/>
        </w:rPr>
        <w:t>he</w:t>
      </w:r>
      <w:r w:rsidRPr="0027394D">
        <w:rPr>
          <w:rFonts w:ascii="Times New Roman" w:hAnsi="Times New Roman"/>
          <w:snapToGrid/>
          <w:sz w:val="24"/>
          <w:szCs w:val="24"/>
        </w:rPr>
        <w:t xml:space="preserve"> estimate</w:t>
      </w:r>
      <w:r w:rsidRPr="0027394D" w:rsidR="008B1F0E">
        <w:rPr>
          <w:rFonts w:ascii="Times New Roman" w:hAnsi="Times New Roman"/>
          <w:snapToGrid/>
          <w:sz w:val="24"/>
          <w:szCs w:val="24"/>
        </w:rPr>
        <w:t>d</w:t>
      </w:r>
      <w:r w:rsidRPr="0027394D" w:rsidR="00614622">
        <w:rPr>
          <w:rFonts w:ascii="Times New Roman" w:hAnsi="Times New Roman"/>
          <w:snapToGrid/>
          <w:sz w:val="24"/>
          <w:szCs w:val="24"/>
        </w:rPr>
        <w:t xml:space="preserve"> </w:t>
      </w:r>
      <w:r w:rsidRPr="0027394D" w:rsidR="00296F45">
        <w:rPr>
          <w:rFonts w:ascii="Times New Roman" w:hAnsi="Times New Roman"/>
          <w:snapToGrid/>
          <w:sz w:val="24"/>
          <w:szCs w:val="24"/>
        </w:rPr>
        <w:t xml:space="preserve">burden </w:t>
      </w:r>
      <w:r w:rsidRPr="0027394D" w:rsidR="00614622">
        <w:rPr>
          <w:rFonts w:ascii="Times New Roman" w:hAnsi="Times New Roman"/>
          <w:snapToGrid/>
          <w:sz w:val="24"/>
          <w:szCs w:val="24"/>
        </w:rPr>
        <w:t xml:space="preserve">includes </w:t>
      </w:r>
      <w:r w:rsidRPr="0027394D" w:rsidR="00FF1877">
        <w:rPr>
          <w:rFonts w:ascii="Times New Roman" w:hAnsi="Times New Roman"/>
          <w:snapToGrid/>
          <w:sz w:val="24"/>
          <w:szCs w:val="24"/>
        </w:rPr>
        <w:t xml:space="preserve">the </w:t>
      </w:r>
      <w:r w:rsidRPr="0027394D" w:rsidR="00AF11E4">
        <w:rPr>
          <w:rFonts w:ascii="Times New Roman" w:hAnsi="Times New Roman"/>
          <w:snapToGrid/>
          <w:sz w:val="24"/>
          <w:szCs w:val="24"/>
        </w:rPr>
        <w:t xml:space="preserve">average number of families served and the average </w:t>
      </w:r>
      <w:r w:rsidRPr="0027394D" w:rsidR="00FF1877">
        <w:rPr>
          <w:rFonts w:ascii="Times New Roman" w:hAnsi="Times New Roman"/>
          <w:snapToGrid/>
          <w:sz w:val="24"/>
          <w:szCs w:val="24"/>
        </w:rPr>
        <w:t>number of hours</w:t>
      </w:r>
      <w:r w:rsidRPr="0027394D" w:rsidR="00614622">
        <w:rPr>
          <w:rFonts w:ascii="Times New Roman" w:hAnsi="Times New Roman"/>
          <w:snapToGrid/>
          <w:sz w:val="24"/>
          <w:szCs w:val="24"/>
        </w:rPr>
        <w:t xml:space="preserve"> i</w:t>
      </w:r>
      <w:r w:rsidRPr="0027394D" w:rsidR="004C5529">
        <w:rPr>
          <w:rFonts w:ascii="Times New Roman" w:hAnsi="Times New Roman"/>
          <w:snapToGrid/>
          <w:sz w:val="24"/>
          <w:szCs w:val="24"/>
        </w:rPr>
        <w:t>t</w:t>
      </w:r>
      <w:r w:rsidRPr="0027394D" w:rsidR="00614622">
        <w:rPr>
          <w:rFonts w:ascii="Times New Roman" w:hAnsi="Times New Roman"/>
          <w:snapToGrid/>
          <w:sz w:val="24"/>
          <w:szCs w:val="24"/>
        </w:rPr>
        <w:t xml:space="preserve"> takes</w:t>
      </w:r>
      <w:r w:rsidRPr="0027394D" w:rsidR="00FF1877">
        <w:rPr>
          <w:rFonts w:ascii="Times New Roman" w:hAnsi="Times New Roman"/>
          <w:snapToGrid/>
          <w:sz w:val="24"/>
          <w:szCs w:val="24"/>
        </w:rPr>
        <w:t xml:space="preserve"> a </w:t>
      </w:r>
      <w:r w:rsidRPr="0027394D" w:rsidR="00D328CE">
        <w:rPr>
          <w:rFonts w:ascii="Times New Roman" w:hAnsi="Times New Roman"/>
          <w:snapToGrid/>
          <w:sz w:val="24"/>
          <w:szCs w:val="24"/>
        </w:rPr>
        <w:t xml:space="preserve">grantee </w:t>
      </w:r>
      <w:r w:rsidRPr="0027394D" w:rsidR="00614622">
        <w:rPr>
          <w:rFonts w:ascii="Times New Roman" w:hAnsi="Times New Roman"/>
          <w:snapToGrid/>
          <w:sz w:val="24"/>
          <w:szCs w:val="24"/>
        </w:rPr>
        <w:t xml:space="preserve">to </w:t>
      </w:r>
      <w:r w:rsidRPr="0027394D" w:rsidR="00FF1877">
        <w:rPr>
          <w:rFonts w:ascii="Times New Roman" w:hAnsi="Times New Roman"/>
          <w:snapToGrid/>
          <w:sz w:val="24"/>
          <w:szCs w:val="24"/>
        </w:rPr>
        <w:t>gather and then report information on the topics listed</w:t>
      </w:r>
      <w:r w:rsidR="001D26EE">
        <w:rPr>
          <w:rFonts w:ascii="Times New Roman" w:hAnsi="Times New Roman"/>
          <w:snapToGrid/>
          <w:sz w:val="24"/>
          <w:szCs w:val="24"/>
        </w:rPr>
        <w:t xml:space="preserve"> and the average number of minutes it takes a family to respond to the one data element.</w:t>
      </w:r>
      <w:r w:rsidRPr="0027394D" w:rsidR="00FF1877">
        <w:rPr>
          <w:rFonts w:ascii="Times New Roman" w:hAnsi="Times New Roman"/>
          <w:snapToGrid/>
          <w:sz w:val="24"/>
          <w:szCs w:val="24"/>
        </w:rPr>
        <w:t xml:space="preserve"> </w:t>
      </w:r>
    </w:p>
    <w:p w:rsidR="00291C79" w:rsidRPr="0027394D" w:rsidP="0027394D" w14:paraId="1425776A" w14:textId="77777777">
      <w:pPr>
        <w:pStyle w:val="ListParagraph"/>
        <w:widowControl/>
        <w:ind w:left="900"/>
        <w:rPr>
          <w:rFonts w:ascii="Times New Roman" w:hAnsi="Times New Roman"/>
          <w:snapToGrid/>
          <w:sz w:val="24"/>
          <w:szCs w:val="24"/>
        </w:rPr>
      </w:pPr>
    </w:p>
    <w:p w:rsidR="0027394D" w:rsidP="0027394D" w14:paraId="01B7810F" w14:textId="77777777">
      <w:pPr>
        <w:widowControl/>
        <w:ind w:left="540"/>
        <w:rPr>
          <w:rFonts w:ascii="Times New Roman" w:hAnsi="Times New Roman"/>
          <w:snapToGrid/>
          <w:sz w:val="24"/>
          <w:szCs w:val="24"/>
        </w:rPr>
      </w:pPr>
      <w:r>
        <w:rPr>
          <w:rFonts w:ascii="Times New Roman" w:hAnsi="Times New Roman"/>
          <w:snapToGrid/>
          <w:sz w:val="24"/>
          <w:szCs w:val="24"/>
        </w:rPr>
        <w:t xml:space="preserve">Based on the above, we have calculated burden estimates as follows: </w:t>
      </w:r>
    </w:p>
    <w:p w:rsidR="0027394D" w:rsidRPr="0027394D" w:rsidP="0027394D" w14:paraId="77DEBC24" w14:textId="77777777">
      <w:pPr>
        <w:widowControl/>
        <w:ind w:left="540"/>
        <w:rPr>
          <w:rFonts w:ascii="Times New Roman" w:hAnsi="Times New Roman"/>
          <w:snapToGrid/>
          <w:sz w:val="24"/>
          <w:szCs w:val="24"/>
        </w:rPr>
      </w:pPr>
    </w:p>
    <w:p w:rsidR="0027394D" w:rsidRPr="0027394D" w:rsidP="0027394D" w14:paraId="36E4AAEA" w14:textId="77777777">
      <w:pPr>
        <w:pStyle w:val="ListParagraph"/>
        <w:widowControl/>
        <w:numPr>
          <w:ilvl w:val="0"/>
          <w:numId w:val="27"/>
        </w:numPr>
        <w:spacing w:after="60"/>
        <w:rPr>
          <w:rFonts w:ascii="Times New Roman" w:hAnsi="Times New Roman"/>
          <w:b/>
          <w:bCs/>
          <w:snapToGrid/>
          <w:sz w:val="24"/>
          <w:szCs w:val="24"/>
        </w:rPr>
      </w:pPr>
      <w:r w:rsidRPr="0027394D">
        <w:rPr>
          <w:rFonts w:ascii="Times New Roman" w:hAnsi="Times New Roman"/>
          <w:b/>
          <w:bCs/>
          <w:sz w:val="24"/>
          <w:szCs w:val="24"/>
        </w:rPr>
        <w:t xml:space="preserve">Tribal MIECHV Demographic &amp; Service Utilization Data Report: </w:t>
      </w:r>
    </w:p>
    <w:p w:rsidR="00BA4454" w:rsidP="00BA4454" w14:paraId="35E01DAF" w14:textId="77777777">
      <w:pPr>
        <w:pStyle w:val="ListParagraph"/>
        <w:widowControl/>
        <w:numPr>
          <w:ilvl w:val="1"/>
          <w:numId w:val="27"/>
        </w:numPr>
        <w:snapToGrid w:val="0"/>
        <w:rPr>
          <w:rFonts w:ascii="Times New Roman" w:hAnsi="Times New Roman"/>
          <w:b/>
          <w:bCs/>
          <w:snapToGrid/>
          <w:sz w:val="24"/>
          <w:szCs w:val="24"/>
        </w:rPr>
      </w:pPr>
      <w:r>
        <w:rPr>
          <w:rFonts w:ascii="Times New Roman" w:hAnsi="Times New Roman"/>
          <w:sz w:val="24"/>
          <w:szCs w:val="24"/>
        </w:rPr>
        <w:t>We estimate average the number of families that will be served with this new information collection by first estimating the number of families served by grantees in FY22. Twenty-three grantees served 1668 families in FY 2022, which averages to about 72 families per grantee. We estimate 3 hours for data collection, entry, cleanup per family (217 hours). We estimate 100 hours per grantee for reporting. Therefore, the average burden hours per grantee is estimated to be 317 hours per year.</w:t>
      </w:r>
    </w:p>
    <w:p w:rsidR="0027394D" w:rsidRPr="0027394D" w:rsidP="0027394D" w14:paraId="591215DD" w14:textId="45F4D816">
      <w:pPr>
        <w:pStyle w:val="ListParagraph"/>
        <w:widowControl/>
        <w:numPr>
          <w:ilvl w:val="1"/>
          <w:numId w:val="27"/>
        </w:numPr>
        <w:spacing w:after="120"/>
        <w:rPr>
          <w:rFonts w:ascii="Times New Roman" w:hAnsi="Times New Roman"/>
          <w:b/>
          <w:bCs/>
          <w:snapToGrid/>
          <w:sz w:val="24"/>
          <w:szCs w:val="24"/>
        </w:rPr>
      </w:pPr>
      <w:bookmarkStart w:id="3" w:name="_Hlk136504646"/>
      <w:r w:rsidRPr="0027394D">
        <w:rPr>
          <w:rFonts w:ascii="Times New Roman" w:hAnsi="Times New Roman"/>
          <w:sz w:val="24"/>
          <w:szCs w:val="24"/>
        </w:rPr>
        <w:t xml:space="preserve">We estimate the burden for families to respond to the one additional data element required by ACF to be </w:t>
      </w:r>
      <w:r w:rsidR="00545451">
        <w:rPr>
          <w:rFonts w:ascii="Times New Roman" w:hAnsi="Times New Roman"/>
          <w:sz w:val="24"/>
          <w:szCs w:val="24"/>
        </w:rPr>
        <w:t>30 seconds</w:t>
      </w:r>
      <w:r w:rsidRPr="0027394D">
        <w:rPr>
          <w:rFonts w:ascii="Times New Roman" w:hAnsi="Times New Roman"/>
          <w:sz w:val="24"/>
          <w:szCs w:val="24"/>
        </w:rPr>
        <w:t xml:space="preserve">. Based on 1668 families responding once to this data element, the average burden per family is estimated to be </w:t>
      </w:r>
      <w:r w:rsidR="00545451">
        <w:rPr>
          <w:rFonts w:ascii="Times New Roman" w:hAnsi="Times New Roman"/>
          <w:sz w:val="24"/>
          <w:szCs w:val="24"/>
        </w:rPr>
        <w:t>14 minutes</w:t>
      </w:r>
      <w:r w:rsidRPr="0027394D">
        <w:rPr>
          <w:rFonts w:ascii="Times New Roman" w:hAnsi="Times New Roman"/>
          <w:sz w:val="24"/>
          <w:szCs w:val="24"/>
        </w:rPr>
        <w:t>.</w:t>
      </w:r>
    </w:p>
    <w:bookmarkEnd w:id="3"/>
    <w:p w:rsidR="0027394D" w:rsidRPr="0027394D" w:rsidP="0027394D" w14:paraId="25DDB719" w14:textId="5BD912CC">
      <w:pPr>
        <w:pStyle w:val="ListParagraph"/>
        <w:widowControl/>
        <w:numPr>
          <w:ilvl w:val="0"/>
          <w:numId w:val="27"/>
        </w:numPr>
        <w:spacing w:after="120"/>
        <w:rPr>
          <w:rFonts w:ascii="Times New Roman" w:hAnsi="Times New Roman"/>
          <w:b/>
          <w:bCs/>
          <w:snapToGrid/>
          <w:sz w:val="24"/>
          <w:szCs w:val="24"/>
        </w:rPr>
      </w:pPr>
      <w:r w:rsidRPr="0027394D">
        <w:rPr>
          <w:rFonts w:ascii="Times New Roman" w:hAnsi="Times New Roman"/>
          <w:b/>
          <w:bCs/>
          <w:sz w:val="24"/>
          <w:szCs w:val="24"/>
        </w:rPr>
        <w:t xml:space="preserve">Tribal MIECHV Performance Measures Report: </w:t>
      </w:r>
      <w:r w:rsidRPr="0027394D">
        <w:rPr>
          <w:rFonts w:ascii="Times New Roman" w:hAnsi="Times New Roman"/>
          <w:sz w:val="24"/>
          <w:szCs w:val="24"/>
        </w:rPr>
        <w:t>Based on an</w:t>
      </w:r>
      <w:r w:rsidRPr="0027394D">
        <w:rPr>
          <w:rFonts w:ascii="Times New Roman" w:hAnsi="Times New Roman"/>
          <w:b/>
          <w:bCs/>
          <w:sz w:val="24"/>
          <w:szCs w:val="24"/>
        </w:rPr>
        <w:t xml:space="preserve"> </w:t>
      </w:r>
      <w:r w:rsidRPr="0027394D">
        <w:rPr>
          <w:rFonts w:ascii="Times New Roman" w:hAnsi="Times New Roman"/>
          <w:sz w:val="24"/>
          <w:szCs w:val="24"/>
        </w:rPr>
        <w:t>average of 72 families per grantee, we estimate 4 hours for data collection, analysis and reporting (2 hours per family and 2 hours to clean and submit data). Therefore, the average burden hours per grantee is estimated to be 288 hours per year.</w:t>
      </w:r>
    </w:p>
    <w:p w:rsidR="0027394D" w:rsidRPr="0027394D" w:rsidP="0027394D" w14:paraId="45C5FE91" w14:textId="77777777">
      <w:pPr>
        <w:pStyle w:val="ListParagraph"/>
        <w:widowControl/>
        <w:numPr>
          <w:ilvl w:val="0"/>
          <w:numId w:val="27"/>
        </w:numPr>
        <w:rPr>
          <w:rFonts w:ascii="Times New Roman" w:hAnsi="Times New Roman"/>
          <w:b/>
          <w:bCs/>
          <w:snapToGrid/>
          <w:sz w:val="24"/>
          <w:szCs w:val="24"/>
        </w:rPr>
      </w:pPr>
      <w:r w:rsidRPr="0027394D">
        <w:rPr>
          <w:rFonts w:ascii="Times New Roman" w:hAnsi="Times New Roman"/>
          <w:b/>
          <w:bCs/>
          <w:sz w:val="24"/>
          <w:szCs w:val="24"/>
        </w:rPr>
        <w:t xml:space="preserve">Tribal MIECHV Quarterly Performance Report: </w:t>
      </w:r>
      <w:r w:rsidRPr="0027394D">
        <w:rPr>
          <w:rFonts w:ascii="Times New Roman" w:hAnsi="Times New Roman"/>
          <w:sz w:val="24"/>
          <w:szCs w:val="24"/>
        </w:rPr>
        <w:t>We estimate the quarterly reports take an average of 2.5 hours per quarter to complete. All 55 grantees will complete these.</w:t>
      </w:r>
      <w:r w:rsidRPr="0027394D">
        <w:rPr>
          <w:rFonts w:ascii="Times New Roman" w:hAnsi="Times New Roman"/>
          <w:b/>
          <w:bCs/>
          <w:sz w:val="24"/>
          <w:szCs w:val="24"/>
        </w:rPr>
        <w:t xml:space="preserve"> </w:t>
      </w:r>
    </w:p>
    <w:p w:rsidR="0027394D" w:rsidRPr="0027394D" w:rsidP="0027394D" w14:paraId="56C28DBB" w14:textId="77777777">
      <w:pPr>
        <w:pStyle w:val="ListParagraph"/>
        <w:widowControl/>
        <w:ind w:left="1260"/>
        <w:rPr>
          <w:rFonts w:ascii="Times New Roman" w:hAnsi="Times New Roman"/>
          <w:b/>
          <w:bCs/>
          <w:snapToGrid/>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7"/>
        <w:gridCol w:w="1257"/>
        <w:gridCol w:w="1404"/>
        <w:gridCol w:w="1225"/>
        <w:gridCol w:w="1045"/>
        <w:gridCol w:w="1135"/>
        <w:gridCol w:w="1272"/>
      </w:tblGrid>
      <w:tr w14:paraId="7EF9D2EC" w14:textId="77777777" w:rsidTr="00423691">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92"/>
          <w:jc w:val="center"/>
        </w:trPr>
        <w:tc>
          <w:tcPr>
            <w:tcW w:w="2107" w:type="dxa"/>
            <w:shd w:val="clear" w:color="auto" w:fill="BFBFBF"/>
            <w:vAlign w:val="center"/>
          </w:tcPr>
          <w:p w:rsidR="0020157B" w:rsidRPr="00405C10" w:rsidP="004110F5" w14:paraId="636D3908" w14:textId="04F61DEA">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57" w:type="dxa"/>
            <w:shd w:val="clear" w:color="auto" w:fill="BFBFBF"/>
            <w:vAlign w:val="center"/>
          </w:tcPr>
          <w:p w:rsidR="0020157B" w:rsidRPr="00405C10" w:rsidP="004F7B95" w14:paraId="7031D2FA" w14:textId="77777777">
            <w:pPr>
              <w:jc w:val="center"/>
              <w:rPr>
                <w:rFonts w:ascii="Times New Roman" w:hAnsi="Times New Roman"/>
                <w:szCs w:val="24"/>
              </w:rPr>
            </w:pPr>
            <w:r w:rsidRPr="00405C10">
              <w:rPr>
                <w:rFonts w:ascii="Times New Roman" w:hAnsi="Times New Roman"/>
                <w:szCs w:val="24"/>
              </w:rPr>
              <w:t>Total Number of Respondents</w:t>
            </w:r>
          </w:p>
        </w:tc>
        <w:tc>
          <w:tcPr>
            <w:tcW w:w="1404" w:type="dxa"/>
            <w:shd w:val="clear" w:color="auto" w:fill="BFBFBF"/>
            <w:vAlign w:val="center"/>
          </w:tcPr>
          <w:p w:rsidR="0020157B" w:rsidRPr="00405C10" w:rsidP="004F7B95" w14:paraId="4277B050"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225" w:type="dxa"/>
            <w:shd w:val="clear" w:color="auto" w:fill="BFBFBF"/>
            <w:vAlign w:val="center"/>
          </w:tcPr>
          <w:p w:rsidR="0020157B" w:rsidRPr="00405C10" w:rsidP="004F7B95" w14:paraId="04B3D1B2"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45" w:type="dxa"/>
            <w:shd w:val="clear" w:color="auto" w:fill="BFBFBF"/>
            <w:vAlign w:val="center"/>
          </w:tcPr>
          <w:p w:rsidR="0020157B" w:rsidRPr="00405C10" w:rsidP="004F7B95" w14:paraId="01804AF9" w14:textId="77777777">
            <w:pPr>
              <w:jc w:val="center"/>
              <w:rPr>
                <w:rFonts w:ascii="Times New Roman" w:hAnsi="Times New Roman"/>
                <w:bCs/>
                <w:szCs w:val="24"/>
              </w:rPr>
            </w:pPr>
            <w:r w:rsidRPr="00405C10">
              <w:rPr>
                <w:rFonts w:ascii="Times New Roman" w:hAnsi="Times New Roman"/>
                <w:bCs/>
                <w:szCs w:val="24"/>
              </w:rPr>
              <w:t>Annual Burden Hours</w:t>
            </w:r>
          </w:p>
        </w:tc>
        <w:tc>
          <w:tcPr>
            <w:tcW w:w="1135" w:type="dxa"/>
            <w:shd w:val="clear" w:color="auto" w:fill="BFBFBF"/>
            <w:vAlign w:val="center"/>
          </w:tcPr>
          <w:p w:rsidR="0020157B" w:rsidRPr="00405C10" w:rsidP="004F7B95" w14:paraId="31C8D380" w14:textId="77777777">
            <w:pPr>
              <w:jc w:val="center"/>
              <w:rPr>
                <w:rFonts w:ascii="Times New Roman" w:hAnsi="Times New Roman"/>
                <w:szCs w:val="24"/>
              </w:rPr>
            </w:pPr>
            <w:r w:rsidRPr="00405C10">
              <w:rPr>
                <w:rFonts w:ascii="Times New Roman" w:hAnsi="Times New Roman"/>
                <w:bCs/>
                <w:szCs w:val="24"/>
              </w:rPr>
              <w:t>Average Hourly Wage</w:t>
            </w:r>
          </w:p>
        </w:tc>
        <w:tc>
          <w:tcPr>
            <w:tcW w:w="1272" w:type="dxa"/>
            <w:shd w:val="clear" w:color="auto" w:fill="BFBFBF"/>
            <w:vAlign w:val="center"/>
          </w:tcPr>
          <w:p w:rsidR="0020157B" w:rsidRPr="00405C10" w:rsidP="004F7B95" w14:paraId="0066B351" w14:textId="754B2279">
            <w:pPr>
              <w:jc w:val="center"/>
              <w:rPr>
                <w:rFonts w:ascii="Times New Roman" w:hAnsi="Times New Roman"/>
                <w:szCs w:val="24"/>
              </w:rPr>
            </w:pPr>
            <w:r w:rsidRPr="00405C10">
              <w:rPr>
                <w:rFonts w:ascii="Times New Roman" w:hAnsi="Times New Roman"/>
                <w:bCs/>
                <w:szCs w:val="24"/>
              </w:rPr>
              <w:t>Annual</w:t>
            </w:r>
            <w:r w:rsidR="004C5529">
              <w:rPr>
                <w:rFonts w:ascii="Times New Roman" w:hAnsi="Times New Roman"/>
                <w:bCs/>
                <w:szCs w:val="24"/>
              </w:rPr>
              <w:t xml:space="preserve"> </w:t>
            </w:r>
            <w:r w:rsidRPr="00405C10">
              <w:rPr>
                <w:rFonts w:ascii="Times New Roman" w:hAnsi="Times New Roman"/>
                <w:bCs/>
                <w:szCs w:val="24"/>
              </w:rPr>
              <w:t xml:space="preserve"> Cost</w:t>
            </w:r>
          </w:p>
        </w:tc>
      </w:tr>
      <w:tr w14:paraId="63EBE5CA" w14:textId="77777777" w:rsidTr="0059145C">
        <w:tblPrEx>
          <w:tblW w:w="9445" w:type="dxa"/>
          <w:jc w:val="center"/>
          <w:tblLook w:val="00A0"/>
        </w:tblPrEx>
        <w:trPr>
          <w:trHeight w:val="422"/>
          <w:jc w:val="center"/>
        </w:trPr>
        <w:tc>
          <w:tcPr>
            <w:tcW w:w="2107" w:type="dxa"/>
          </w:tcPr>
          <w:p w:rsidR="00D10077" w:rsidRPr="002B6438" w:rsidP="00D10077" w14:paraId="511D9B89" w14:textId="6B1E1C12">
            <w:pPr>
              <w:tabs>
                <w:tab w:val="center" w:pos="4320"/>
                <w:tab w:val="right" w:pos="8640"/>
              </w:tabs>
              <w:rPr>
                <w:rFonts w:ascii="Times New Roman" w:hAnsi="Times New Roman"/>
                <w:szCs w:val="24"/>
              </w:rPr>
            </w:pPr>
            <w:r w:rsidRPr="002B6438">
              <w:rPr>
                <w:rFonts w:ascii="Times New Roman" w:hAnsi="Times New Roman"/>
              </w:rPr>
              <w:t xml:space="preserve">Tribal MIECHV Demographic &amp; Service Utilization Data </w:t>
            </w:r>
            <w:r w:rsidR="00570F0D">
              <w:rPr>
                <w:rFonts w:ascii="Times New Roman" w:hAnsi="Times New Roman"/>
              </w:rPr>
              <w:t>Report</w:t>
            </w:r>
            <w:r w:rsidR="0027394D">
              <w:rPr>
                <w:rFonts w:ascii="Times New Roman" w:hAnsi="Times New Roman"/>
              </w:rPr>
              <w:t xml:space="preserve"> (Grantees)</w:t>
            </w:r>
          </w:p>
        </w:tc>
        <w:tc>
          <w:tcPr>
            <w:tcW w:w="1257" w:type="dxa"/>
            <w:vAlign w:val="center"/>
          </w:tcPr>
          <w:p w:rsidR="00D10077" w:rsidRPr="00405C10" w:rsidP="00D10077" w14:paraId="77E4C7AF" w14:textId="44C08A71">
            <w:pPr>
              <w:tabs>
                <w:tab w:val="center" w:pos="4320"/>
                <w:tab w:val="right" w:pos="8640"/>
              </w:tabs>
              <w:jc w:val="center"/>
              <w:rPr>
                <w:rFonts w:ascii="Times New Roman" w:hAnsi="Times New Roman"/>
                <w:szCs w:val="24"/>
                <w:highlight w:val="yellow"/>
              </w:rPr>
            </w:pPr>
            <w:r w:rsidRPr="002B6438">
              <w:rPr>
                <w:rFonts w:ascii="Times New Roman" w:hAnsi="Times New Roman"/>
                <w:szCs w:val="24"/>
              </w:rPr>
              <w:t>55</w:t>
            </w:r>
          </w:p>
        </w:tc>
        <w:tc>
          <w:tcPr>
            <w:tcW w:w="1404" w:type="dxa"/>
            <w:vAlign w:val="center"/>
          </w:tcPr>
          <w:p w:rsidR="00D10077" w:rsidRPr="00405C10" w:rsidP="00D10077" w14:paraId="1ECD7A84" w14:textId="7FCEB9C3">
            <w:pPr>
              <w:tabs>
                <w:tab w:val="center" w:pos="4320"/>
                <w:tab w:val="right" w:pos="8640"/>
              </w:tabs>
              <w:jc w:val="center"/>
              <w:rPr>
                <w:rFonts w:ascii="Times New Roman" w:hAnsi="Times New Roman"/>
                <w:szCs w:val="24"/>
              </w:rPr>
            </w:pPr>
            <w:r>
              <w:rPr>
                <w:rFonts w:ascii="Times New Roman" w:hAnsi="Times New Roman"/>
                <w:szCs w:val="24"/>
              </w:rPr>
              <w:t>1</w:t>
            </w:r>
          </w:p>
        </w:tc>
        <w:tc>
          <w:tcPr>
            <w:tcW w:w="1225" w:type="dxa"/>
            <w:vAlign w:val="center"/>
          </w:tcPr>
          <w:p w:rsidR="00D10077" w:rsidRPr="00405C10" w:rsidP="00D10077" w14:paraId="4BE1C9D5" w14:textId="40ECBF87">
            <w:pPr>
              <w:tabs>
                <w:tab w:val="center" w:pos="4320"/>
                <w:tab w:val="right" w:pos="8640"/>
              </w:tabs>
              <w:jc w:val="center"/>
              <w:rPr>
                <w:rFonts w:ascii="Times New Roman" w:hAnsi="Times New Roman"/>
                <w:szCs w:val="24"/>
              </w:rPr>
            </w:pPr>
            <w:r>
              <w:rPr>
                <w:rFonts w:ascii="Times New Roman" w:hAnsi="Times New Roman"/>
                <w:szCs w:val="24"/>
              </w:rPr>
              <w:t>317</w:t>
            </w:r>
          </w:p>
        </w:tc>
        <w:tc>
          <w:tcPr>
            <w:tcW w:w="1045" w:type="dxa"/>
            <w:vAlign w:val="center"/>
          </w:tcPr>
          <w:p w:rsidR="00D10077" w:rsidRPr="00405C10" w:rsidP="00D10077" w14:paraId="3008CCD7" w14:textId="507E9A18">
            <w:pPr>
              <w:tabs>
                <w:tab w:val="center" w:pos="4320"/>
                <w:tab w:val="right" w:pos="8640"/>
              </w:tabs>
              <w:jc w:val="center"/>
              <w:rPr>
                <w:rFonts w:ascii="Times New Roman" w:hAnsi="Times New Roman"/>
                <w:szCs w:val="24"/>
              </w:rPr>
            </w:pPr>
            <w:r>
              <w:rPr>
                <w:rFonts w:ascii="Times New Roman" w:hAnsi="Times New Roman"/>
                <w:szCs w:val="24"/>
              </w:rPr>
              <w:t>1</w:t>
            </w:r>
            <w:r w:rsidR="002B6438">
              <w:rPr>
                <w:rFonts w:ascii="Times New Roman" w:hAnsi="Times New Roman"/>
                <w:szCs w:val="24"/>
              </w:rPr>
              <w:t>7,435</w:t>
            </w:r>
          </w:p>
        </w:tc>
        <w:tc>
          <w:tcPr>
            <w:tcW w:w="1135" w:type="dxa"/>
            <w:vAlign w:val="center"/>
          </w:tcPr>
          <w:p w:rsidR="00D10077" w:rsidRPr="00405C10" w:rsidP="00D10077" w14:paraId="5CA7337D" w14:textId="31B2F6EC">
            <w:pPr>
              <w:tabs>
                <w:tab w:val="center" w:pos="4320"/>
                <w:tab w:val="right" w:pos="8640"/>
              </w:tabs>
              <w:jc w:val="center"/>
              <w:rPr>
                <w:rFonts w:ascii="Times New Roman" w:hAnsi="Times New Roman"/>
                <w:szCs w:val="24"/>
              </w:rPr>
            </w:pPr>
            <w:r>
              <w:rPr>
                <w:rFonts w:ascii="Times New Roman" w:hAnsi="Times New Roman"/>
                <w:szCs w:val="24"/>
              </w:rPr>
              <w:t>$</w:t>
            </w:r>
            <w:r w:rsidR="00154B6A">
              <w:rPr>
                <w:rFonts w:ascii="Times New Roman" w:hAnsi="Times New Roman"/>
                <w:szCs w:val="24"/>
              </w:rPr>
              <w:t>40.00</w:t>
            </w:r>
          </w:p>
        </w:tc>
        <w:tc>
          <w:tcPr>
            <w:tcW w:w="1272" w:type="dxa"/>
            <w:vAlign w:val="center"/>
          </w:tcPr>
          <w:p w:rsidR="00D10077" w:rsidRPr="00405C10" w:rsidP="00D10077" w14:paraId="156F2505" w14:textId="39B79B45">
            <w:pPr>
              <w:tabs>
                <w:tab w:val="center" w:pos="4320"/>
                <w:tab w:val="right" w:pos="8640"/>
              </w:tabs>
              <w:jc w:val="center"/>
              <w:rPr>
                <w:rFonts w:ascii="Times New Roman" w:hAnsi="Times New Roman"/>
                <w:szCs w:val="24"/>
              </w:rPr>
            </w:pPr>
            <w:r>
              <w:rPr>
                <w:rFonts w:ascii="Times New Roman" w:hAnsi="Times New Roman"/>
                <w:szCs w:val="24"/>
              </w:rPr>
              <w:t>$</w:t>
            </w:r>
            <w:r w:rsidR="00154B6A">
              <w:rPr>
                <w:rFonts w:ascii="Times New Roman" w:hAnsi="Times New Roman"/>
                <w:szCs w:val="24"/>
              </w:rPr>
              <w:t>697,400</w:t>
            </w:r>
          </w:p>
        </w:tc>
      </w:tr>
      <w:tr w14:paraId="67D72A01" w14:textId="77777777" w:rsidTr="0059145C">
        <w:tblPrEx>
          <w:tblW w:w="9445" w:type="dxa"/>
          <w:jc w:val="center"/>
          <w:tblLook w:val="00A0"/>
        </w:tblPrEx>
        <w:trPr>
          <w:trHeight w:val="422"/>
          <w:jc w:val="center"/>
        </w:trPr>
        <w:tc>
          <w:tcPr>
            <w:tcW w:w="2107" w:type="dxa"/>
          </w:tcPr>
          <w:p w:rsidR="0027394D" w:rsidRPr="002B6438" w:rsidP="00D10077" w14:paraId="1217C486" w14:textId="64D9A4E0">
            <w:pPr>
              <w:tabs>
                <w:tab w:val="center" w:pos="4320"/>
                <w:tab w:val="right" w:pos="8640"/>
              </w:tabs>
              <w:rPr>
                <w:rFonts w:ascii="Times New Roman" w:hAnsi="Times New Roman"/>
              </w:rPr>
            </w:pPr>
            <w:r w:rsidRPr="002B6438">
              <w:rPr>
                <w:rFonts w:ascii="Times New Roman" w:hAnsi="Times New Roman"/>
              </w:rPr>
              <w:t xml:space="preserve">Tribal MIECHV Demographic &amp; Service Utilization Data </w:t>
            </w:r>
            <w:r>
              <w:rPr>
                <w:rFonts w:ascii="Times New Roman" w:hAnsi="Times New Roman"/>
              </w:rPr>
              <w:t>Report (Families)</w:t>
            </w:r>
          </w:p>
        </w:tc>
        <w:tc>
          <w:tcPr>
            <w:tcW w:w="1257" w:type="dxa"/>
            <w:vAlign w:val="center"/>
          </w:tcPr>
          <w:p w:rsidR="0027394D" w:rsidRPr="002B6438" w:rsidP="00D10077" w14:paraId="34DAFD0E" w14:textId="6867006F">
            <w:pPr>
              <w:tabs>
                <w:tab w:val="center" w:pos="4320"/>
                <w:tab w:val="right" w:pos="8640"/>
              </w:tabs>
              <w:jc w:val="center"/>
              <w:rPr>
                <w:rFonts w:ascii="Times New Roman" w:hAnsi="Times New Roman"/>
                <w:szCs w:val="24"/>
              </w:rPr>
            </w:pPr>
            <w:r>
              <w:rPr>
                <w:rFonts w:ascii="Times New Roman" w:hAnsi="Times New Roman"/>
                <w:szCs w:val="24"/>
              </w:rPr>
              <w:t>1668</w:t>
            </w:r>
          </w:p>
        </w:tc>
        <w:tc>
          <w:tcPr>
            <w:tcW w:w="1404" w:type="dxa"/>
            <w:vAlign w:val="center"/>
          </w:tcPr>
          <w:p w:rsidR="0027394D" w:rsidP="00D10077" w14:paraId="502ADAA7" w14:textId="233CDBEA">
            <w:pPr>
              <w:tabs>
                <w:tab w:val="center" w:pos="4320"/>
                <w:tab w:val="right" w:pos="8640"/>
              </w:tabs>
              <w:jc w:val="center"/>
              <w:rPr>
                <w:rFonts w:ascii="Times New Roman" w:hAnsi="Times New Roman"/>
                <w:szCs w:val="24"/>
              </w:rPr>
            </w:pPr>
            <w:r>
              <w:rPr>
                <w:rFonts w:ascii="Times New Roman" w:hAnsi="Times New Roman"/>
                <w:szCs w:val="24"/>
              </w:rPr>
              <w:t>1</w:t>
            </w:r>
          </w:p>
        </w:tc>
        <w:tc>
          <w:tcPr>
            <w:tcW w:w="1225" w:type="dxa"/>
            <w:vAlign w:val="center"/>
          </w:tcPr>
          <w:p w:rsidR="0027394D" w:rsidP="00D10077" w14:paraId="171306F9" w14:textId="45BD95F6">
            <w:pPr>
              <w:tabs>
                <w:tab w:val="center" w:pos="4320"/>
                <w:tab w:val="right" w:pos="8640"/>
              </w:tabs>
              <w:jc w:val="center"/>
              <w:rPr>
                <w:rFonts w:ascii="Times New Roman" w:hAnsi="Times New Roman"/>
                <w:szCs w:val="24"/>
              </w:rPr>
            </w:pPr>
            <w:r>
              <w:rPr>
                <w:rFonts w:ascii="Times New Roman" w:hAnsi="Times New Roman"/>
                <w:szCs w:val="24"/>
              </w:rPr>
              <w:t>14 minutes</w:t>
            </w:r>
          </w:p>
        </w:tc>
        <w:tc>
          <w:tcPr>
            <w:tcW w:w="1045" w:type="dxa"/>
            <w:vAlign w:val="center"/>
          </w:tcPr>
          <w:p w:rsidR="0027394D" w:rsidP="00D10077" w14:paraId="4FFF2AD0" w14:textId="6C7311BB">
            <w:pPr>
              <w:tabs>
                <w:tab w:val="center" w:pos="4320"/>
                <w:tab w:val="right" w:pos="8640"/>
              </w:tabs>
              <w:jc w:val="center"/>
              <w:rPr>
                <w:rFonts w:ascii="Times New Roman" w:hAnsi="Times New Roman"/>
                <w:szCs w:val="24"/>
              </w:rPr>
            </w:pPr>
            <w:r>
              <w:rPr>
                <w:rFonts w:ascii="Times New Roman" w:hAnsi="Times New Roman"/>
                <w:szCs w:val="24"/>
              </w:rPr>
              <w:t>389</w:t>
            </w:r>
          </w:p>
        </w:tc>
        <w:tc>
          <w:tcPr>
            <w:tcW w:w="1135" w:type="dxa"/>
            <w:vAlign w:val="center"/>
          </w:tcPr>
          <w:p w:rsidR="0027394D" w:rsidP="00D10077" w14:paraId="0B1A5BC9" w14:textId="304F046C">
            <w:pPr>
              <w:tabs>
                <w:tab w:val="center" w:pos="4320"/>
                <w:tab w:val="right" w:pos="8640"/>
              </w:tabs>
              <w:jc w:val="center"/>
              <w:rPr>
                <w:rFonts w:ascii="Times New Roman" w:hAnsi="Times New Roman"/>
                <w:szCs w:val="24"/>
              </w:rPr>
            </w:pPr>
            <w:r>
              <w:rPr>
                <w:rFonts w:ascii="Times New Roman" w:hAnsi="Times New Roman"/>
                <w:szCs w:val="24"/>
              </w:rPr>
              <w:t>$7.00</w:t>
            </w:r>
          </w:p>
        </w:tc>
        <w:tc>
          <w:tcPr>
            <w:tcW w:w="1272" w:type="dxa"/>
            <w:vAlign w:val="center"/>
          </w:tcPr>
          <w:p w:rsidR="0027394D" w:rsidP="00D10077" w14:paraId="0D3FE8EB" w14:textId="79A54537">
            <w:pPr>
              <w:tabs>
                <w:tab w:val="center" w:pos="4320"/>
                <w:tab w:val="right" w:pos="8640"/>
              </w:tabs>
              <w:jc w:val="center"/>
              <w:rPr>
                <w:rFonts w:ascii="Times New Roman" w:hAnsi="Times New Roman"/>
                <w:szCs w:val="24"/>
              </w:rPr>
            </w:pPr>
            <w:r>
              <w:rPr>
                <w:rFonts w:ascii="Times New Roman" w:hAnsi="Times New Roman"/>
                <w:szCs w:val="24"/>
              </w:rPr>
              <w:t>$2,723</w:t>
            </w:r>
          </w:p>
        </w:tc>
      </w:tr>
      <w:tr w14:paraId="7D9B40AF" w14:textId="77777777" w:rsidTr="00423691">
        <w:tblPrEx>
          <w:tblW w:w="9445" w:type="dxa"/>
          <w:jc w:val="center"/>
          <w:tblLook w:val="00A0"/>
        </w:tblPrEx>
        <w:trPr>
          <w:trHeight w:val="422"/>
          <w:jc w:val="center"/>
        </w:trPr>
        <w:tc>
          <w:tcPr>
            <w:tcW w:w="2107" w:type="dxa"/>
            <w:vAlign w:val="center"/>
          </w:tcPr>
          <w:p w:rsidR="00D10077" w:rsidRPr="002B6438" w:rsidP="00D10077" w14:paraId="6FDC7E16" w14:textId="035ACEB5">
            <w:pPr>
              <w:tabs>
                <w:tab w:val="center" w:pos="4320"/>
                <w:tab w:val="right" w:pos="8640"/>
              </w:tabs>
              <w:rPr>
                <w:rFonts w:ascii="Times New Roman" w:hAnsi="Times New Roman"/>
                <w:szCs w:val="24"/>
              </w:rPr>
            </w:pPr>
            <w:r w:rsidRPr="002B6438">
              <w:rPr>
                <w:rFonts w:ascii="Times New Roman" w:hAnsi="Times New Roman"/>
              </w:rPr>
              <w:t xml:space="preserve">Tribal MIECHV Performance Measures </w:t>
            </w:r>
            <w:r w:rsidR="00570F0D">
              <w:rPr>
                <w:rFonts w:ascii="Times New Roman" w:hAnsi="Times New Roman"/>
              </w:rPr>
              <w:t>Report</w:t>
            </w:r>
          </w:p>
        </w:tc>
        <w:tc>
          <w:tcPr>
            <w:tcW w:w="1257" w:type="dxa"/>
            <w:vAlign w:val="center"/>
          </w:tcPr>
          <w:p w:rsidR="00D10077" w:rsidRPr="00C93807" w:rsidP="00D10077" w14:paraId="78DE077A" w14:textId="0DDE3F2A">
            <w:pPr>
              <w:tabs>
                <w:tab w:val="center" w:pos="4320"/>
                <w:tab w:val="right" w:pos="8640"/>
              </w:tabs>
              <w:jc w:val="center"/>
              <w:rPr>
                <w:rFonts w:ascii="Times New Roman" w:hAnsi="Times New Roman"/>
                <w:szCs w:val="24"/>
              </w:rPr>
            </w:pPr>
            <w:r>
              <w:rPr>
                <w:rFonts w:ascii="Times New Roman" w:hAnsi="Times New Roman"/>
                <w:szCs w:val="24"/>
              </w:rPr>
              <w:t>55</w:t>
            </w:r>
          </w:p>
        </w:tc>
        <w:tc>
          <w:tcPr>
            <w:tcW w:w="1404" w:type="dxa"/>
            <w:vAlign w:val="center"/>
          </w:tcPr>
          <w:p w:rsidR="00D10077" w:rsidP="00D10077" w14:paraId="78D1CC54" w14:textId="0B671E09">
            <w:pPr>
              <w:tabs>
                <w:tab w:val="center" w:pos="4320"/>
                <w:tab w:val="right" w:pos="8640"/>
              </w:tabs>
              <w:jc w:val="center"/>
              <w:rPr>
                <w:rFonts w:ascii="Times New Roman" w:hAnsi="Times New Roman"/>
                <w:szCs w:val="24"/>
              </w:rPr>
            </w:pPr>
            <w:r>
              <w:rPr>
                <w:rFonts w:ascii="Times New Roman" w:hAnsi="Times New Roman"/>
                <w:szCs w:val="24"/>
              </w:rPr>
              <w:t>1</w:t>
            </w:r>
          </w:p>
        </w:tc>
        <w:tc>
          <w:tcPr>
            <w:tcW w:w="1225" w:type="dxa"/>
            <w:vAlign w:val="center"/>
          </w:tcPr>
          <w:p w:rsidR="00D10077" w:rsidP="00D10077" w14:paraId="239899D8" w14:textId="32889712">
            <w:pPr>
              <w:tabs>
                <w:tab w:val="center" w:pos="4320"/>
                <w:tab w:val="right" w:pos="8640"/>
              </w:tabs>
              <w:jc w:val="center"/>
              <w:rPr>
                <w:rFonts w:ascii="Times New Roman" w:hAnsi="Times New Roman"/>
                <w:szCs w:val="24"/>
              </w:rPr>
            </w:pPr>
            <w:r>
              <w:rPr>
                <w:rFonts w:ascii="Times New Roman" w:hAnsi="Times New Roman"/>
                <w:szCs w:val="24"/>
              </w:rPr>
              <w:t>288</w:t>
            </w:r>
          </w:p>
        </w:tc>
        <w:tc>
          <w:tcPr>
            <w:tcW w:w="1045" w:type="dxa"/>
            <w:vAlign w:val="center"/>
          </w:tcPr>
          <w:p w:rsidR="00D10077" w:rsidP="00D10077" w14:paraId="3052B987" w14:textId="7F62F949">
            <w:pPr>
              <w:tabs>
                <w:tab w:val="center" w:pos="4320"/>
                <w:tab w:val="right" w:pos="8640"/>
              </w:tabs>
              <w:jc w:val="center"/>
              <w:rPr>
                <w:rFonts w:ascii="Times New Roman" w:hAnsi="Times New Roman"/>
                <w:szCs w:val="24"/>
              </w:rPr>
            </w:pPr>
            <w:r>
              <w:rPr>
                <w:rFonts w:ascii="Times New Roman" w:hAnsi="Times New Roman"/>
                <w:szCs w:val="24"/>
              </w:rPr>
              <w:t>15,840</w:t>
            </w:r>
          </w:p>
        </w:tc>
        <w:tc>
          <w:tcPr>
            <w:tcW w:w="1135" w:type="dxa"/>
            <w:vAlign w:val="center"/>
          </w:tcPr>
          <w:p w:rsidR="00D10077" w:rsidP="00D10077" w14:paraId="70A44383" w14:textId="53CC703F">
            <w:pPr>
              <w:tabs>
                <w:tab w:val="center" w:pos="4320"/>
                <w:tab w:val="right" w:pos="8640"/>
              </w:tabs>
              <w:jc w:val="center"/>
              <w:rPr>
                <w:rFonts w:ascii="Times New Roman" w:hAnsi="Times New Roman"/>
                <w:szCs w:val="24"/>
              </w:rPr>
            </w:pPr>
            <w:r>
              <w:rPr>
                <w:rFonts w:ascii="Times New Roman" w:hAnsi="Times New Roman"/>
                <w:szCs w:val="24"/>
              </w:rPr>
              <w:t>$</w:t>
            </w:r>
            <w:r w:rsidR="00154B6A">
              <w:rPr>
                <w:rFonts w:ascii="Times New Roman" w:hAnsi="Times New Roman"/>
                <w:szCs w:val="24"/>
              </w:rPr>
              <w:t>40.00</w:t>
            </w:r>
          </w:p>
        </w:tc>
        <w:tc>
          <w:tcPr>
            <w:tcW w:w="1272" w:type="dxa"/>
            <w:vAlign w:val="center"/>
          </w:tcPr>
          <w:p w:rsidR="00D10077" w:rsidP="00D10077" w14:paraId="68BEDFC4" w14:textId="64FAF3FB">
            <w:pPr>
              <w:tabs>
                <w:tab w:val="center" w:pos="4320"/>
                <w:tab w:val="right" w:pos="8640"/>
              </w:tabs>
              <w:jc w:val="center"/>
              <w:rPr>
                <w:rFonts w:ascii="Times New Roman" w:hAnsi="Times New Roman"/>
                <w:szCs w:val="24"/>
              </w:rPr>
            </w:pPr>
            <w:r>
              <w:rPr>
                <w:rFonts w:ascii="Times New Roman" w:hAnsi="Times New Roman"/>
                <w:szCs w:val="24"/>
              </w:rPr>
              <w:t>$</w:t>
            </w:r>
            <w:r w:rsidR="00D35382">
              <w:rPr>
                <w:rFonts w:ascii="Times New Roman" w:hAnsi="Times New Roman"/>
                <w:szCs w:val="24"/>
              </w:rPr>
              <w:t>633,600</w:t>
            </w:r>
          </w:p>
        </w:tc>
      </w:tr>
      <w:tr w14:paraId="07C3D7A6" w14:textId="77777777" w:rsidTr="00423691">
        <w:tblPrEx>
          <w:tblW w:w="9445" w:type="dxa"/>
          <w:jc w:val="center"/>
          <w:tblLook w:val="00A0"/>
        </w:tblPrEx>
        <w:trPr>
          <w:trHeight w:val="422"/>
          <w:jc w:val="center"/>
        </w:trPr>
        <w:tc>
          <w:tcPr>
            <w:tcW w:w="2107" w:type="dxa"/>
            <w:vAlign w:val="center"/>
          </w:tcPr>
          <w:p w:rsidR="00570F0D" w:rsidP="00D10077" w14:paraId="0C7743F6" w14:textId="77777777">
            <w:pPr>
              <w:tabs>
                <w:tab w:val="center" w:pos="4320"/>
                <w:tab w:val="right" w:pos="8640"/>
              </w:tabs>
              <w:rPr>
                <w:rFonts w:ascii="Times New Roman" w:hAnsi="Times New Roman"/>
              </w:rPr>
            </w:pPr>
            <w:r w:rsidRPr="002B6438">
              <w:rPr>
                <w:rFonts w:ascii="Times New Roman" w:hAnsi="Times New Roman"/>
              </w:rPr>
              <w:t>Tribal MIECHV</w:t>
            </w:r>
          </w:p>
          <w:p w:rsidR="00570F0D" w:rsidRPr="002B6438" w:rsidP="00D10077" w14:paraId="575002EF" w14:textId="08BCEE07">
            <w:pPr>
              <w:tabs>
                <w:tab w:val="center" w:pos="4320"/>
                <w:tab w:val="right" w:pos="8640"/>
              </w:tabs>
              <w:rPr>
                <w:rFonts w:ascii="Times New Roman" w:hAnsi="Times New Roman"/>
              </w:rPr>
            </w:pPr>
            <w:r>
              <w:rPr>
                <w:rFonts w:ascii="Times New Roman" w:hAnsi="Times New Roman"/>
              </w:rPr>
              <w:t>Quarterly Performance Report</w:t>
            </w:r>
          </w:p>
        </w:tc>
        <w:tc>
          <w:tcPr>
            <w:tcW w:w="1257" w:type="dxa"/>
            <w:vAlign w:val="center"/>
          </w:tcPr>
          <w:p w:rsidR="00570F0D" w:rsidP="00D10077" w14:paraId="338D71A0" w14:textId="65AA17B1">
            <w:pPr>
              <w:tabs>
                <w:tab w:val="center" w:pos="4320"/>
                <w:tab w:val="right" w:pos="8640"/>
              </w:tabs>
              <w:jc w:val="center"/>
              <w:rPr>
                <w:rFonts w:ascii="Times New Roman" w:hAnsi="Times New Roman"/>
                <w:szCs w:val="24"/>
              </w:rPr>
            </w:pPr>
            <w:r>
              <w:rPr>
                <w:rFonts w:ascii="Times New Roman" w:hAnsi="Times New Roman"/>
                <w:szCs w:val="24"/>
              </w:rPr>
              <w:t>55</w:t>
            </w:r>
          </w:p>
        </w:tc>
        <w:tc>
          <w:tcPr>
            <w:tcW w:w="1404" w:type="dxa"/>
            <w:vAlign w:val="center"/>
          </w:tcPr>
          <w:p w:rsidR="00570F0D" w:rsidP="00D10077" w14:paraId="544CE90E" w14:textId="173B37AE">
            <w:pPr>
              <w:tabs>
                <w:tab w:val="center" w:pos="4320"/>
                <w:tab w:val="right" w:pos="8640"/>
              </w:tabs>
              <w:jc w:val="center"/>
              <w:rPr>
                <w:rFonts w:ascii="Times New Roman" w:hAnsi="Times New Roman"/>
                <w:szCs w:val="24"/>
              </w:rPr>
            </w:pPr>
            <w:r>
              <w:rPr>
                <w:rFonts w:ascii="Times New Roman" w:hAnsi="Times New Roman"/>
                <w:szCs w:val="24"/>
              </w:rPr>
              <w:t>4</w:t>
            </w:r>
          </w:p>
        </w:tc>
        <w:tc>
          <w:tcPr>
            <w:tcW w:w="1225" w:type="dxa"/>
            <w:vAlign w:val="center"/>
          </w:tcPr>
          <w:p w:rsidR="00570F0D" w:rsidP="00D10077" w14:paraId="2595A770" w14:textId="38B870AB">
            <w:pPr>
              <w:tabs>
                <w:tab w:val="center" w:pos="4320"/>
                <w:tab w:val="right" w:pos="8640"/>
              </w:tabs>
              <w:jc w:val="center"/>
              <w:rPr>
                <w:rFonts w:ascii="Times New Roman" w:hAnsi="Times New Roman"/>
                <w:szCs w:val="24"/>
              </w:rPr>
            </w:pPr>
            <w:r>
              <w:rPr>
                <w:rFonts w:ascii="Times New Roman" w:hAnsi="Times New Roman"/>
                <w:szCs w:val="24"/>
              </w:rPr>
              <w:t>2.5</w:t>
            </w:r>
          </w:p>
        </w:tc>
        <w:tc>
          <w:tcPr>
            <w:tcW w:w="1045" w:type="dxa"/>
            <w:vAlign w:val="center"/>
          </w:tcPr>
          <w:p w:rsidR="00570F0D" w:rsidP="00D10077" w14:paraId="794535FF" w14:textId="3B842B05">
            <w:pPr>
              <w:tabs>
                <w:tab w:val="center" w:pos="4320"/>
                <w:tab w:val="right" w:pos="8640"/>
              </w:tabs>
              <w:jc w:val="center"/>
              <w:rPr>
                <w:rFonts w:ascii="Times New Roman" w:hAnsi="Times New Roman"/>
                <w:szCs w:val="24"/>
              </w:rPr>
            </w:pPr>
            <w:r>
              <w:rPr>
                <w:rFonts w:ascii="Times New Roman" w:hAnsi="Times New Roman"/>
                <w:szCs w:val="24"/>
              </w:rPr>
              <w:t>550</w:t>
            </w:r>
          </w:p>
        </w:tc>
        <w:tc>
          <w:tcPr>
            <w:tcW w:w="1135" w:type="dxa"/>
            <w:vAlign w:val="center"/>
          </w:tcPr>
          <w:p w:rsidR="00570F0D" w:rsidP="00D10077" w14:paraId="6F356E52" w14:textId="0A6ECEE3">
            <w:pPr>
              <w:tabs>
                <w:tab w:val="center" w:pos="4320"/>
                <w:tab w:val="right" w:pos="8640"/>
              </w:tabs>
              <w:jc w:val="center"/>
              <w:rPr>
                <w:rFonts w:ascii="Times New Roman" w:hAnsi="Times New Roman"/>
                <w:szCs w:val="24"/>
              </w:rPr>
            </w:pPr>
            <w:r>
              <w:rPr>
                <w:rFonts w:ascii="Times New Roman" w:hAnsi="Times New Roman"/>
                <w:szCs w:val="24"/>
              </w:rPr>
              <w:t>$</w:t>
            </w:r>
            <w:r w:rsidR="003903A7">
              <w:rPr>
                <w:rFonts w:ascii="Times New Roman" w:hAnsi="Times New Roman"/>
                <w:szCs w:val="24"/>
              </w:rPr>
              <w:t>40.00</w:t>
            </w:r>
          </w:p>
        </w:tc>
        <w:tc>
          <w:tcPr>
            <w:tcW w:w="1272" w:type="dxa"/>
            <w:vAlign w:val="center"/>
          </w:tcPr>
          <w:p w:rsidR="00570F0D" w:rsidP="00D10077" w14:paraId="6FD63533" w14:textId="580380C1">
            <w:pPr>
              <w:tabs>
                <w:tab w:val="center" w:pos="4320"/>
                <w:tab w:val="right" w:pos="8640"/>
              </w:tabs>
              <w:jc w:val="center"/>
              <w:rPr>
                <w:rFonts w:ascii="Times New Roman" w:hAnsi="Times New Roman"/>
                <w:szCs w:val="24"/>
              </w:rPr>
            </w:pPr>
            <w:r>
              <w:rPr>
                <w:rFonts w:ascii="Times New Roman" w:hAnsi="Times New Roman"/>
                <w:szCs w:val="24"/>
              </w:rPr>
              <w:t>$2</w:t>
            </w:r>
            <w:r w:rsidR="003903A7">
              <w:rPr>
                <w:rFonts w:ascii="Times New Roman" w:hAnsi="Times New Roman"/>
                <w:szCs w:val="24"/>
              </w:rPr>
              <w:t>2,000</w:t>
            </w:r>
          </w:p>
        </w:tc>
      </w:tr>
      <w:tr w14:paraId="34FAF3E3" w14:textId="77777777" w:rsidTr="00671566">
        <w:tblPrEx>
          <w:tblW w:w="9445" w:type="dxa"/>
          <w:jc w:val="center"/>
          <w:tblLook w:val="00A0"/>
        </w:tblPrEx>
        <w:trPr>
          <w:trHeight w:val="422"/>
          <w:jc w:val="center"/>
        </w:trPr>
        <w:tc>
          <w:tcPr>
            <w:tcW w:w="5993" w:type="dxa"/>
            <w:gridSpan w:val="4"/>
            <w:vAlign w:val="center"/>
          </w:tcPr>
          <w:p w:rsidR="00D10077" w:rsidP="00D10077" w14:paraId="7B47F1BB" w14:textId="7CCDDB9F">
            <w:pPr>
              <w:tabs>
                <w:tab w:val="center" w:pos="4320"/>
                <w:tab w:val="right" w:pos="8640"/>
              </w:tabs>
              <w:jc w:val="right"/>
              <w:rPr>
                <w:rFonts w:ascii="Times New Roman" w:hAnsi="Times New Roman"/>
                <w:szCs w:val="24"/>
              </w:rPr>
            </w:pPr>
            <w:r>
              <w:rPr>
                <w:rFonts w:ascii="Times New Roman" w:hAnsi="Times New Roman"/>
                <w:szCs w:val="24"/>
              </w:rPr>
              <w:t>Estimated Totals:</w:t>
            </w:r>
          </w:p>
        </w:tc>
        <w:tc>
          <w:tcPr>
            <w:tcW w:w="1045" w:type="dxa"/>
            <w:vAlign w:val="center"/>
          </w:tcPr>
          <w:p w:rsidR="00D10077" w:rsidP="00D10077" w14:paraId="12119B88" w14:textId="5BD01F57">
            <w:pPr>
              <w:tabs>
                <w:tab w:val="center" w:pos="4320"/>
                <w:tab w:val="right" w:pos="8640"/>
              </w:tabs>
              <w:jc w:val="center"/>
              <w:rPr>
                <w:rFonts w:ascii="Times New Roman" w:hAnsi="Times New Roman"/>
                <w:szCs w:val="24"/>
              </w:rPr>
            </w:pPr>
            <w:r>
              <w:rPr>
                <w:rFonts w:ascii="Times New Roman" w:hAnsi="Times New Roman"/>
                <w:szCs w:val="24"/>
              </w:rPr>
              <w:t>3</w:t>
            </w:r>
            <w:r w:rsidR="00BA4454">
              <w:rPr>
                <w:rFonts w:ascii="Times New Roman" w:hAnsi="Times New Roman"/>
                <w:szCs w:val="24"/>
              </w:rPr>
              <w:t>4,214</w:t>
            </w:r>
          </w:p>
        </w:tc>
        <w:tc>
          <w:tcPr>
            <w:tcW w:w="1135" w:type="dxa"/>
            <w:vAlign w:val="center"/>
          </w:tcPr>
          <w:p w:rsidR="00D10077" w:rsidP="00D10077" w14:paraId="488868FA" w14:textId="77777777">
            <w:pPr>
              <w:tabs>
                <w:tab w:val="center" w:pos="4320"/>
                <w:tab w:val="right" w:pos="8640"/>
              </w:tabs>
              <w:jc w:val="center"/>
              <w:rPr>
                <w:rFonts w:ascii="Times New Roman" w:hAnsi="Times New Roman"/>
                <w:szCs w:val="24"/>
              </w:rPr>
            </w:pPr>
          </w:p>
        </w:tc>
        <w:tc>
          <w:tcPr>
            <w:tcW w:w="1272" w:type="dxa"/>
            <w:vAlign w:val="center"/>
          </w:tcPr>
          <w:p w:rsidR="00D10077" w:rsidP="00D10077" w14:paraId="34301DFB" w14:textId="29631683">
            <w:pPr>
              <w:tabs>
                <w:tab w:val="center" w:pos="4320"/>
                <w:tab w:val="right" w:pos="8640"/>
              </w:tabs>
              <w:jc w:val="center"/>
              <w:rPr>
                <w:rFonts w:ascii="Times New Roman" w:hAnsi="Times New Roman"/>
                <w:szCs w:val="24"/>
              </w:rPr>
            </w:pPr>
            <w:r>
              <w:rPr>
                <w:rFonts w:ascii="Times New Roman" w:hAnsi="Times New Roman"/>
                <w:szCs w:val="24"/>
              </w:rPr>
              <w:t>$</w:t>
            </w:r>
            <w:r w:rsidR="0009646F">
              <w:rPr>
                <w:rFonts w:ascii="Times New Roman" w:hAnsi="Times New Roman"/>
                <w:szCs w:val="24"/>
              </w:rPr>
              <w:t>1,3</w:t>
            </w:r>
            <w:r w:rsidR="00A76663">
              <w:rPr>
                <w:rFonts w:ascii="Times New Roman" w:hAnsi="Times New Roman"/>
                <w:szCs w:val="24"/>
              </w:rPr>
              <w:t>5</w:t>
            </w:r>
            <w:r w:rsidR="0009646F">
              <w:rPr>
                <w:rFonts w:ascii="Times New Roman" w:hAnsi="Times New Roman"/>
                <w:szCs w:val="24"/>
              </w:rPr>
              <w:t>5,7</w:t>
            </w:r>
            <w:r w:rsidR="00A76663">
              <w:rPr>
                <w:rFonts w:ascii="Times New Roman" w:hAnsi="Times New Roman"/>
                <w:szCs w:val="24"/>
              </w:rPr>
              <w:t>2</w:t>
            </w:r>
            <w:r w:rsidR="0009646F">
              <w:rPr>
                <w:rFonts w:ascii="Times New Roman" w:hAnsi="Times New Roman"/>
                <w:szCs w:val="24"/>
              </w:rPr>
              <w:t>3</w:t>
            </w:r>
          </w:p>
        </w:tc>
      </w:tr>
    </w:tbl>
    <w:p w:rsidR="00D60543" w:rsidRPr="004F7B95" w:rsidP="0051278C" w14:paraId="0A930EF7" w14:textId="77777777">
      <w:pPr>
        <w:widowControl/>
        <w:rPr>
          <w:rFonts w:ascii="Times New Roman" w:hAnsi="Times New Roman"/>
          <w:b/>
          <w:snapToGrid/>
          <w:sz w:val="24"/>
          <w:szCs w:val="24"/>
        </w:rPr>
      </w:pPr>
    </w:p>
    <w:p w:rsidR="007A0FBE" w:rsidRPr="004F7B95" w:rsidP="00F97666" w14:paraId="2C14D335" w14:textId="241D7957">
      <w:pPr>
        <w:widowControl/>
        <w:ind w:left="360"/>
        <w:rPr>
          <w:rFonts w:ascii="Times New Roman" w:hAnsi="Times New Roman"/>
          <w:snapToGrid/>
          <w:sz w:val="24"/>
          <w:szCs w:val="24"/>
        </w:rPr>
      </w:pPr>
      <w:r>
        <w:rPr>
          <w:rFonts w:ascii="Times New Roman" w:hAnsi="Times New Roman"/>
          <w:snapToGrid/>
          <w:sz w:val="24"/>
          <w:szCs w:val="24"/>
        </w:rPr>
        <w:t xml:space="preserve">To calculate the estimated annual cost to </w:t>
      </w:r>
      <w:r w:rsidR="00CD5CA6">
        <w:rPr>
          <w:rFonts w:ascii="Times New Roman" w:hAnsi="Times New Roman"/>
          <w:snapToGrid/>
          <w:sz w:val="24"/>
          <w:szCs w:val="24"/>
        </w:rPr>
        <w:t xml:space="preserve">grantee </w:t>
      </w:r>
      <w:r>
        <w:rPr>
          <w:rFonts w:ascii="Times New Roman" w:hAnsi="Times New Roman"/>
          <w:snapToGrid/>
          <w:sz w:val="24"/>
          <w:szCs w:val="24"/>
        </w:rPr>
        <w:t xml:space="preserve">respondents, we used </w:t>
      </w:r>
      <w:r w:rsidR="00154B6A">
        <w:rPr>
          <w:rFonts w:ascii="Times New Roman" w:hAnsi="Times New Roman"/>
          <w:snapToGrid/>
          <w:sz w:val="24"/>
          <w:szCs w:val="24"/>
        </w:rPr>
        <w:t>2022</w:t>
      </w:r>
      <w:r w:rsidR="00540C56">
        <w:rPr>
          <w:rFonts w:ascii="Times New Roman" w:hAnsi="Times New Roman"/>
          <w:snapToGrid/>
          <w:sz w:val="24"/>
          <w:szCs w:val="24"/>
        </w:rPr>
        <w:t xml:space="preserve">wage data from the Bureau of Labor Statistics for </w:t>
      </w:r>
      <w:r w:rsidRPr="004F7B95" w:rsidR="00E368FB">
        <w:rPr>
          <w:rFonts w:ascii="Times New Roman" w:hAnsi="Times New Roman"/>
          <w:snapToGrid/>
          <w:sz w:val="24"/>
          <w:szCs w:val="24"/>
        </w:rPr>
        <w:t>job code 21-</w:t>
      </w:r>
      <w:r w:rsidR="00B87973">
        <w:rPr>
          <w:rFonts w:ascii="Times New Roman" w:hAnsi="Times New Roman"/>
          <w:snapToGrid/>
          <w:sz w:val="24"/>
          <w:szCs w:val="24"/>
        </w:rPr>
        <w:t xml:space="preserve">1093 </w:t>
      </w:r>
      <w:r w:rsidR="00540C56">
        <w:rPr>
          <w:rFonts w:ascii="Times New Roman" w:hAnsi="Times New Roman"/>
          <w:snapToGrid/>
          <w:sz w:val="24"/>
          <w:szCs w:val="24"/>
        </w:rPr>
        <w:t xml:space="preserve">(Social and Human Service Assistants), which </w:t>
      </w:r>
      <w:r w:rsidR="00B87973">
        <w:rPr>
          <w:rFonts w:ascii="Times New Roman" w:hAnsi="Times New Roman"/>
          <w:snapToGrid/>
          <w:sz w:val="24"/>
          <w:szCs w:val="24"/>
        </w:rPr>
        <w:t>is $</w:t>
      </w:r>
      <w:r w:rsidR="00154B6A">
        <w:rPr>
          <w:rFonts w:ascii="Times New Roman" w:hAnsi="Times New Roman"/>
          <w:snapToGrid/>
          <w:sz w:val="24"/>
          <w:szCs w:val="24"/>
        </w:rPr>
        <w:t>20.00</w:t>
      </w:r>
      <w:r w:rsidRPr="004F7B95" w:rsidR="00E368FB">
        <w:rPr>
          <w:rFonts w:ascii="Times New Roman" w:hAnsi="Times New Roman"/>
          <w:snapToGrid/>
          <w:sz w:val="24"/>
          <w:szCs w:val="24"/>
        </w:rPr>
        <w:t xml:space="preserve"> per hour.</w:t>
      </w:r>
      <w:r w:rsidR="00540C56">
        <w:rPr>
          <w:rFonts w:ascii="Times New Roman" w:hAnsi="Times New Roman"/>
          <w:snapToGrid/>
          <w:sz w:val="24"/>
          <w:szCs w:val="24"/>
        </w:rPr>
        <w:t xml:space="preserve"> </w:t>
      </w:r>
      <w:r w:rsidRPr="004F7B95" w:rsidR="00E368FB">
        <w:rPr>
          <w:rFonts w:ascii="Times New Roman" w:hAnsi="Times New Roman"/>
          <w:snapToGrid/>
          <w:sz w:val="24"/>
          <w:szCs w:val="24"/>
        </w:rPr>
        <w:t>T</w:t>
      </w:r>
      <w:r w:rsidRPr="004F7B95">
        <w:rPr>
          <w:rFonts w:ascii="Times New Roman" w:hAnsi="Times New Roman"/>
          <w:snapToGrid/>
          <w:sz w:val="24"/>
          <w:szCs w:val="24"/>
        </w:rPr>
        <w:t>o account for fringe benefits and overhead</w:t>
      </w:r>
      <w:r w:rsidR="00540C56">
        <w:rPr>
          <w:rFonts w:ascii="Times New Roman" w:hAnsi="Times New Roman"/>
          <w:snapToGrid/>
          <w:sz w:val="24"/>
          <w:szCs w:val="24"/>
        </w:rPr>
        <w:t>,</w:t>
      </w:r>
      <w:r w:rsidRPr="004F7B95">
        <w:rPr>
          <w:rFonts w:ascii="Times New Roman" w:hAnsi="Times New Roman"/>
          <w:snapToGrid/>
          <w:sz w:val="24"/>
          <w:szCs w:val="24"/>
        </w:rPr>
        <w:t xml:space="preserve"> the rate is multiplied by two</w:t>
      </w:r>
      <w:r w:rsidR="00B87973">
        <w:rPr>
          <w:rFonts w:ascii="Times New Roman" w:hAnsi="Times New Roman"/>
          <w:snapToGrid/>
          <w:sz w:val="24"/>
          <w:szCs w:val="24"/>
        </w:rPr>
        <w:t xml:space="preserve"> which is $</w:t>
      </w:r>
      <w:r w:rsidR="00154B6A">
        <w:rPr>
          <w:rFonts w:ascii="Times New Roman" w:hAnsi="Times New Roman"/>
          <w:snapToGrid/>
          <w:sz w:val="24"/>
          <w:szCs w:val="24"/>
        </w:rPr>
        <w:t>40.00</w:t>
      </w:r>
      <w:r w:rsidRPr="004F7B95">
        <w:rPr>
          <w:rFonts w:ascii="Times New Roman" w:hAnsi="Times New Roman"/>
          <w:snapToGrid/>
          <w:sz w:val="24"/>
          <w:szCs w:val="24"/>
        </w:rPr>
        <w:t xml:space="preserve">  </w:t>
      </w:r>
      <w:r w:rsidR="00CD5CA6">
        <w:rPr>
          <w:rFonts w:ascii="Times New Roman" w:hAnsi="Times New Roman"/>
          <w:snapToGrid/>
          <w:sz w:val="24"/>
          <w:szCs w:val="24"/>
        </w:rPr>
        <w:t>To calculate the estimated annual cost per family respondent, we used</w:t>
      </w:r>
      <w:r w:rsidR="00A76663">
        <w:rPr>
          <w:rFonts w:ascii="Times New Roman" w:hAnsi="Times New Roman"/>
          <w:snapToGrid/>
          <w:sz w:val="24"/>
          <w:szCs w:val="24"/>
        </w:rPr>
        <w:t xml:space="preserve"> the 2023 HHS Poverty Guidelines which averages out to $7.00 an hour. </w:t>
      </w:r>
    </w:p>
    <w:p w:rsidR="007A0FBE" w:rsidP="00F97666" w14:paraId="35F7582B" w14:textId="3C700CD3">
      <w:pPr>
        <w:widowControl/>
        <w:ind w:left="360"/>
        <w:rPr>
          <w:rStyle w:val="Hyperlink"/>
          <w:rFonts w:ascii="Times New Roman" w:hAnsi="Times New Roman"/>
          <w:snapToGrid/>
          <w:sz w:val="24"/>
          <w:szCs w:val="24"/>
        </w:rPr>
      </w:pPr>
      <w:hyperlink r:id="rId10" w:history="1">
        <w:r w:rsidRPr="004F7B95" w:rsidR="0080325F">
          <w:rPr>
            <w:rStyle w:val="Hyperlink"/>
            <w:rFonts w:ascii="Times New Roman" w:hAnsi="Times New Roman"/>
            <w:snapToGrid/>
            <w:sz w:val="24"/>
            <w:szCs w:val="24"/>
          </w:rPr>
          <w:t>https://www.bls.gov/oes/current/oes211093.htm</w:t>
        </w:r>
      </w:hyperlink>
    </w:p>
    <w:p w:rsidR="00677715" w:rsidP="00F97666" w14:paraId="31A8D9E3" w14:textId="1DA4C651">
      <w:pPr>
        <w:widowControl/>
        <w:ind w:left="360"/>
        <w:rPr>
          <w:rFonts w:ascii="Times New Roman" w:hAnsi="Times New Roman"/>
          <w:snapToGrid/>
          <w:sz w:val="24"/>
          <w:szCs w:val="24"/>
        </w:rPr>
      </w:pPr>
      <w:hyperlink r:id="rId11" w:history="1">
        <w:r w:rsidRPr="00B3432B" w:rsidR="00250635">
          <w:rPr>
            <w:rStyle w:val="Hyperlink"/>
            <w:rFonts w:ascii="Times New Roman" w:hAnsi="Times New Roman"/>
            <w:snapToGrid/>
            <w:sz w:val="24"/>
            <w:szCs w:val="24"/>
          </w:rPr>
          <w:t>https://aspe.hhs.gov/topics/poverty-economic-mobility/poverty-guidelines</w:t>
        </w:r>
      </w:hyperlink>
    </w:p>
    <w:p w:rsidR="007A0FBE" w:rsidRPr="004F7B95" w:rsidP="00D60543" w14:paraId="6CFE4123" w14:textId="77777777">
      <w:pPr>
        <w:widowControl/>
        <w:rPr>
          <w:rFonts w:ascii="Times New Roman" w:hAnsi="Times New Roman"/>
          <w:snapToGrid/>
          <w:sz w:val="24"/>
          <w:szCs w:val="24"/>
        </w:rPr>
      </w:pPr>
    </w:p>
    <w:p w:rsidR="00556056" w:rsidP="00D60543" w14:paraId="7115BB8C" w14:textId="77777777">
      <w:pPr>
        <w:widowControl/>
        <w:rPr>
          <w:rFonts w:ascii="Times New Roman" w:hAnsi="Times New Roman"/>
          <w:snapToGrid/>
          <w:sz w:val="24"/>
          <w:szCs w:val="24"/>
        </w:rPr>
      </w:pPr>
    </w:p>
    <w:p w:rsidR="00D60543" w:rsidRPr="00EA2F32" w:rsidP="00EA2F32" w14:paraId="69C8CFF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Estimates of Other Total Annual Cost Burden to Respondents and Record Keepers </w:t>
      </w:r>
    </w:p>
    <w:p w:rsidR="00D60543" w:rsidP="00DC493E" w14:paraId="57DFE690" w14:textId="56748879">
      <w:pPr>
        <w:pStyle w:val="BodyTextIndent"/>
        <w:ind w:left="0" w:firstLine="360"/>
        <w:rPr>
          <w:rFonts w:ascii="Times New Roman" w:hAnsi="Times New Roman"/>
        </w:rPr>
      </w:pPr>
      <w:r>
        <w:rPr>
          <w:rFonts w:ascii="Times New Roman" w:hAnsi="Times New Roman"/>
        </w:rPr>
        <w:t xml:space="preserve">There are no additional costs to respondents. </w:t>
      </w:r>
    </w:p>
    <w:p w:rsidR="00D60543" w:rsidP="00D60543" w14:paraId="439D115B" w14:textId="77777777">
      <w:pPr>
        <w:widowControl/>
        <w:rPr>
          <w:rFonts w:ascii="Times New Roman" w:hAnsi="Times New Roman"/>
          <w:snapToGrid/>
          <w:sz w:val="24"/>
          <w:szCs w:val="24"/>
        </w:rPr>
      </w:pPr>
    </w:p>
    <w:p w:rsidR="00D60543" w:rsidP="00D60543" w14:paraId="7BAFB13D" w14:textId="77777777">
      <w:pPr>
        <w:widowControl/>
        <w:rPr>
          <w:rFonts w:ascii="Times New Roman" w:hAnsi="Times New Roman"/>
          <w:snapToGrid/>
          <w:sz w:val="24"/>
          <w:szCs w:val="24"/>
        </w:rPr>
      </w:pPr>
    </w:p>
    <w:p w:rsidR="002C3C4F" w:rsidRPr="00EA2F32" w:rsidP="00EA2F32" w14:paraId="1E2F618E"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A</w:t>
      </w:r>
      <w:r w:rsidRPr="00EA2F32">
        <w:rPr>
          <w:rFonts w:ascii="Times New Roman" w:hAnsi="Times New Roman"/>
          <w:b/>
          <w:snapToGrid/>
          <w:sz w:val="24"/>
          <w:szCs w:val="24"/>
        </w:rPr>
        <w:t xml:space="preserve">nnualized Cost to the Federal Government </w:t>
      </w:r>
    </w:p>
    <w:p w:rsidR="00A70844" w:rsidRPr="00A70844" w:rsidP="00DC493E" w14:paraId="1ABE49BF" w14:textId="77777777">
      <w:pPr>
        <w:pStyle w:val="BodyTextIndent"/>
        <w:ind w:left="360"/>
        <w:rPr>
          <w:rFonts w:ascii="Times New Roman" w:hAnsi="Times New Roman"/>
        </w:rPr>
      </w:pPr>
      <w:r w:rsidRPr="00A70844">
        <w:rPr>
          <w:rFonts w:ascii="Times New Roman" w:hAnsi="Times New Roman"/>
        </w:rPr>
        <w:t>Costs to the fed</w:t>
      </w:r>
      <w:r w:rsidR="00427E0A">
        <w:rPr>
          <w:rFonts w:ascii="Times New Roman" w:hAnsi="Times New Roman"/>
        </w:rPr>
        <w:t>eral government fall into one category</w:t>
      </w:r>
      <w:r w:rsidRPr="00A70844">
        <w:rPr>
          <w:rFonts w:ascii="Times New Roman" w:hAnsi="Times New Roman"/>
        </w:rPr>
        <w:t>:</w:t>
      </w:r>
    </w:p>
    <w:p w:rsidR="00A70844" w:rsidP="00A70844" w14:paraId="111FF0F7" w14:textId="77777777">
      <w:pPr>
        <w:pStyle w:val="BodyTextIndent"/>
        <w:numPr>
          <w:ilvl w:val="0"/>
          <w:numId w:val="19"/>
        </w:numPr>
        <w:spacing w:before="120"/>
        <w:rPr>
          <w:rFonts w:ascii="Times New Roman" w:hAnsi="Times New Roman"/>
        </w:rPr>
      </w:pPr>
      <w:r w:rsidRPr="00A70844">
        <w:rPr>
          <w:rFonts w:ascii="Times New Roman" w:hAnsi="Times New Roman"/>
        </w:rPr>
        <w:t>Cost of federal staff time for project oversight and development</w:t>
      </w:r>
      <w:r w:rsidR="005537B3">
        <w:rPr>
          <w:rFonts w:ascii="Times New Roman" w:hAnsi="Times New Roman"/>
        </w:rPr>
        <w:t>.</w:t>
      </w:r>
    </w:p>
    <w:p w:rsidR="006E7AD3" w:rsidRPr="00A70844" w:rsidP="006E7AD3" w14:paraId="116BFFA3" w14:textId="77777777">
      <w:pPr>
        <w:pStyle w:val="BodyTextIndent"/>
        <w:spacing w:before="120"/>
        <w:rPr>
          <w:rFonts w:ascii="Times New Roman" w:hAnsi="Times New Roma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3780"/>
        <w:gridCol w:w="1525"/>
      </w:tblGrid>
      <w:tr w14:paraId="2D678622" w14:textId="77777777" w:rsidTr="00874045">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90" w:type="dxa"/>
            <w:shd w:val="clear" w:color="auto" w:fill="auto"/>
          </w:tcPr>
          <w:p w:rsidR="00A70844" w:rsidRPr="00597023" w:rsidP="00597023" w14:paraId="773AC3C3" w14:textId="77777777">
            <w:pPr>
              <w:pStyle w:val="BodyTextIndent"/>
              <w:spacing w:before="120"/>
              <w:ind w:left="0"/>
              <w:rPr>
                <w:rFonts w:ascii="Times New Roman" w:hAnsi="Times New Roman"/>
              </w:rPr>
            </w:pPr>
            <w:r w:rsidRPr="00597023">
              <w:rPr>
                <w:rFonts w:ascii="Times New Roman" w:hAnsi="Times New Roman"/>
              </w:rPr>
              <w:t>Type of Cost</w:t>
            </w:r>
          </w:p>
        </w:tc>
        <w:tc>
          <w:tcPr>
            <w:tcW w:w="3780" w:type="dxa"/>
            <w:shd w:val="clear" w:color="auto" w:fill="auto"/>
          </w:tcPr>
          <w:p w:rsidR="00A70844" w:rsidRPr="00597023" w:rsidP="00597023" w14:paraId="24750ED8"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1525" w:type="dxa"/>
            <w:shd w:val="clear" w:color="auto" w:fill="auto"/>
          </w:tcPr>
          <w:p w:rsidR="00A70844" w:rsidRPr="00597023" w:rsidP="00597023" w14:paraId="39C749D0" w14:textId="77777777">
            <w:pPr>
              <w:pStyle w:val="BodyTextIndent"/>
              <w:spacing w:before="120"/>
              <w:ind w:left="0"/>
              <w:rPr>
                <w:rFonts w:ascii="Times New Roman" w:hAnsi="Times New Roman"/>
              </w:rPr>
            </w:pPr>
            <w:r w:rsidRPr="00597023">
              <w:rPr>
                <w:rFonts w:ascii="Times New Roman" w:hAnsi="Times New Roman"/>
              </w:rPr>
              <w:t>Annual Cost</w:t>
            </w:r>
          </w:p>
        </w:tc>
      </w:tr>
      <w:tr w14:paraId="178D3ECF" w14:textId="77777777" w:rsidTr="00874045">
        <w:tblPrEx>
          <w:tblW w:w="0" w:type="auto"/>
          <w:tblInd w:w="355" w:type="dxa"/>
          <w:tblLook w:val="04A0"/>
        </w:tblPrEx>
        <w:tc>
          <w:tcPr>
            <w:tcW w:w="3690" w:type="dxa"/>
            <w:shd w:val="clear" w:color="auto" w:fill="auto"/>
          </w:tcPr>
          <w:p w:rsidR="0029472F" w:rsidRPr="00597023" w:rsidP="0029472F" w14:paraId="66FD6452" w14:textId="450457DE">
            <w:pPr>
              <w:pStyle w:val="BodyTextIndent"/>
              <w:spacing w:before="120"/>
              <w:ind w:left="0"/>
              <w:rPr>
                <w:rFonts w:ascii="Times New Roman" w:hAnsi="Times New Roman"/>
              </w:rPr>
            </w:pPr>
            <w:r w:rsidRPr="00597023">
              <w:rPr>
                <w:rFonts w:ascii="Times New Roman" w:hAnsi="Times New Roman"/>
              </w:rPr>
              <w:t>Tribal Home Visiting Report</w:t>
            </w:r>
            <w:r>
              <w:rPr>
                <w:rFonts w:ascii="Times New Roman" w:hAnsi="Times New Roman"/>
              </w:rPr>
              <w:t xml:space="preserve">ing System (THVRS) </w:t>
            </w:r>
            <w:r w:rsidR="004C5529">
              <w:rPr>
                <w:rFonts w:ascii="Times New Roman" w:hAnsi="Times New Roman"/>
              </w:rPr>
              <w:t>(</w:t>
            </w:r>
            <w:r w:rsidRPr="00597023">
              <w:rPr>
                <w:rFonts w:ascii="Times New Roman" w:hAnsi="Times New Roman"/>
              </w:rPr>
              <w:t>Contracted</w:t>
            </w:r>
            <w:r w:rsidR="004C5529">
              <w:rPr>
                <w:rFonts w:ascii="Times New Roman" w:hAnsi="Times New Roman"/>
              </w:rPr>
              <w:t>)</w:t>
            </w:r>
          </w:p>
        </w:tc>
        <w:tc>
          <w:tcPr>
            <w:tcW w:w="3780" w:type="dxa"/>
            <w:shd w:val="clear" w:color="auto" w:fill="auto"/>
          </w:tcPr>
          <w:p w:rsidR="0029472F" w:rsidRPr="00597023" w:rsidP="0029472F" w14:paraId="21FE844B" w14:textId="3162E4B0">
            <w:pPr>
              <w:pStyle w:val="BodyTextIndent"/>
              <w:spacing w:before="120"/>
              <w:ind w:left="0"/>
              <w:rPr>
                <w:rFonts w:ascii="Times New Roman" w:hAnsi="Times New Roman"/>
              </w:rPr>
            </w:pPr>
            <w:r w:rsidRPr="00597023">
              <w:rPr>
                <w:rFonts w:ascii="Times New Roman" w:hAnsi="Times New Roman"/>
              </w:rPr>
              <w:t>Modifications, maintenance, data cleaning and aggregation of the electronic reporting system</w:t>
            </w:r>
            <w:r>
              <w:rPr>
                <w:rFonts w:ascii="Times New Roman" w:hAnsi="Times New Roman"/>
              </w:rPr>
              <w:t xml:space="preserve">. </w:t>
            </w:r>
            <w:r w:rsidRPr="00597023">
              <w:rPr>
                <w:rFonts w:ascii="Times New Roman" w:hAnsi="Times New Roman"/>
              </w:rPr>
              <w:t xml:space="preserve"> </w:t>
            </w:r>
          </w:p>
        </w:tc>
        <w:tc>
          <w:tcPr>
            <w:tcW w:w="1525" w:type="dxa"/>
            <w:shd w:val="clear" w:color="auto" w:fill="auto"/>
            <w:vAlign w:val="center"/>
          </w:tcPr>
          <w:p w:rsidR="0029472F" w:rsidRPr="00597023" w:rsidP="0029472F" w14:paraId="3C25F74E" w14:textId="39EC1366">
            <w:pPr>
              <w:pStyle w:val="BodyTextIndent"/>
              <w:spacing w:before="120"/>
              <w:ind w:left="0"/>
              <w:rPr>
                <w:rFonts w:ascii="Times New Roman" w:hAnsi="Times New Roman"/>
              </w:rPr>
            </w:pPr>
            <w:r w:rsidRPr="00597023">
              <w:rPr>
                <w:rFonts w:ascii="Times New Roman" w:hAnsi="Times New Roman"/>
              </w:rPr>
              <w:t>$7</w:t>
            </w:r>
            <w:r>
              <w:rPr>
                <w:rFonts w:ascii="Times New Roman" w:hAnsi="Times New Roman"/>
              </w:rPr>
              <w:t>8</w:t>
            </w:r>
            <w:r w:rsidRPr="00597023">
              <w:rPr>
                <w:rFonts w:ascii="Times New Roman" w:hAnsi="Times New Roman"/>
              </w:rPr>
              <w:t>,000</w:t>
            </w:r>
          </w:p>
        </w:tc>
      </w:tr>
      <w:tr w14:paraId="091BC9C2" w14:textId="77777777" w:rsidTr="00874045">
        <w:tblPrEx>
          <w:tblW w:w="0" w:type="auto"/>
          <w:tblInd w:w="355" w:type="dxa"/>
          <w:tblLook w:val="04A0"/>
        </w:tblPrEx>
        <w:tc>
          <w:tcPr>
            <w:tcW w:w="3690" w:type="dxa"/>
            <w:shd w:val="clear" w:color="auto" w:fill="auto"/>
          </w:tcPr>
          <w:p w:rsidR="0029472F" w:rsidRPr="00597023" w:rsidP="0029472F" w14:paraId="77918A75" w14:textId="6821E2A5">
            <w:pPr>
              <w:pStyle w:val="BodyTextIndent"/>
              <w:spacing w:before="120"/>
              <w:ind w:left="0"/>
              <w:rPr>
                <w:rFonts w:ascii="Times New Roman" w:hAnsi="Times New Roman"/>
              </w:rPr>
            </w:pPr>
            <w:r w:rsidRPr="00597023">
              <w:rPr>
                <w:rFonts w:ascii="Times New Roman" w:hAnsi="Times New Roman"/>
              </w:rPr>
              <w:t xml:space="preserve">Government </w:t>
            </w:r>
            <w:r w:rsidR="007E5996">
              <w:rPr>
                <w:rFonts w:ascii="Times New Roman" w:hAnsi="Times New Roman"/>
              </w:rPr>
              <w:t>5</w:t>
            </w:r>
            <w:r>
              <w:rPr>
                <w:rFonts w:ascii="Times New Roman" w:hAnsi="Times New Roman"/>
              </w:rPr>
              <w:t xml:space="preserve"> </w:t>
            </w:r>
            <w:r w:rsidRPr="00597023">
              <w:rPr>
                <w:rFonts w:ascii="Times New Roman" w:hAnsi="Times New Roman"/>
              </w:rPr>
              <w:t>Program Analyst</w:t>
            </w:r>
            <w:r>
              <w:rPr>
                <w:rFonts w:ascii="Times New Roman" w:hAnsi="Times New Roman"/>
              </w:rPr>
              <w:t>s</w:t>
            </w:r>
            <w:r w:rsidRPr="00597023">
              <w:rPr>
                <w:rFonts w:ascii="Times New Roman" w:hAnsi="Times New Roman"/>
              </w:rPr>
              <w:t xml:space="preserve"> (</w:t>
            </w:r>
            <w:r w:rsidR="0007712A">
              <w:rPr>
                <w:rFonts w:ascii="Times New Roman" w:hAnsi="Times New Roman"/>
              </w:rPr>
              <w:t>2</w:t>
            </w:r>
            <w:r w:rsidRPr="00597023">
              <w:rPr>
                <w:rFonts w:ascii="Times New Roman" w:hAnsi="Times New Roman"/>
              </w:rPr>
              <w:t>0%)</w:t>
            </w:r>
          </w:p>
        </w:tc>
        <w:tc>
          <w:tcPr>
            <w:tcW w:w="3780" w:type="dxa"/>
            <w:shd w:val="clear" w:color="auto" w:fill="auto"/>
          </w:tcPr>
          <w:p w:rsidR="0029472F" w:rsidRPr="00597023" w:rsidP="0029472F" w14:paraId="2579AEFB" w14:textId="77777777">
            <w:pPr>
              <w:pStyle w:val="BodyTextIndent"/>
              <w:spacing w:before="120"/>
              <w:ind w:left="0"/>
              <w:rPr>
                <w:rFonts w:ascii="Times New Roman" w:hAnsi="Times New Roman"/>
              </w:rPr>
            </w:pPr>
            <w:r w:rsidRPr="00597023">
              <w:rPr>
                <w:rFonts w:ascii="Times New Roman" w:hAnsi="Times New Roman"/>
              </w:rPr>
              <w:t>Project management and oversight,</w:t>
            </w:r>
            <w:r>
              <w:rPr>
                <w:rFonts w:ascii="Times New Roman" w:hAnsi="Times New Roman"/>
              </w:rPr>
              <w:t xml:space="preserve"> and</w:t>
            </w:r>
            <w:r w:rsidRPr="00597023">
              <w:rPr>
                <w:rFonts w:ascii="Times New Roman" w:hAnsi="Times New Roman"/>
              </w:rPr>
              <w:t xml:space="preserve"> consultation</w:t>
            </w:r>
            <w:r>
              <w:rPr>
                <w:rFonts w:ascii="Times New Roman" w:hAnsi="Times New Roman"/>
              </w:rPr>
              <w:t>.</w:t>
            </w:r>
          </w:p>
        </w:tc>
        <w:tc>
          <w:tcPr>
            <w:tcW w:w="1525" w:type="dxa"/>
            <w:shd w:val="clear" w:color="auto" w:fill="auto"/>
          </w:tcPr>
          <w:p w:rsidR="0029472F" w:rsidRPr="00597023" w:rsidP="0029472F" w14:paraId="483A8C0E" w14:textId="7700B62B">
            <w:pPr>
              <w:pStyle w:val="BodyTextIndent"/>
              <w:spacing w:before="120"/>
              <w:ind w:left="0"/>
              <w:rPr>
                <w:rFonts w:ascii="Times New Roman" w:hAnsi="Times New Roman"/>
              </w:rPr>
            </w:pPr>
            <w:r w:rsidRPr="00597023">
              <w:rPr>
                <w:rFonts w:ascii="Times New Roman" w:hAnsi="Times New Roman"/>
              </w:rPr>
              <w:t>$</w:t>
            </w:r>
            <w:r w:rsidR="007E5996">
              <w:rPr>
                <w:rFonts w:ascii="Times New Roman" w:hAnsi="Times New Roman"/>
              </w:rPr>
              <w:t>155</w:t>
            </w:r>
            <w:r w:rsidR="0007712A">
              <w:rPr>
                <w:rFonts w:ascii="Times New Roman" w:hAnsi="Times New Roman"/>
              </w:rPr>
              <w:t>,000</w:t>
            </w:r>
          </w:p>
        </w:tc>
      </w:tr>
      <w:tr w14:paraId="030F8CBB" w14:textId="77777777" w:rsidTr="00874045">
        <w:tblPrEx>
          <w:tblW w:w="0" w:type="auto"/>
          <w:tblInd w:w="355" w:type="dxa"/>
          <w:tblLook w:val="04A0"/>
        </w:tblPrEx>
        <w:tc>
          <w:tcPr>
            <w:tcW w:w="3690" w:type="dxa"/>
            <w:shd w:val="clear" w:color="auto" w:fill="auto"/>
          </w:tcPr>
          <w:p w:rsidR="0029472F" w:rsidRPr="00597023" w:rsidP="0029472F" w14:paraId="0A17D4B2" w14:textId="77777777">
            <w:pPr>
              <w:pStyle w:val="BodyTextIndent"/>
              <w:spacing w:before="120"/>
              <w:ind w:left="0"/>
              <w:rPr>
                <w:rFonts w:ascii="Times New Roman" w:hAnsi="Times New Roman"/>
              </w:rPr>
            </w:pPr>
            <w:r w:rsidRPr="00597023">
              <w:rPr>
                <w:rFonts w:ascii="Times New Roman" w:hAnsi="Times New Roman"/>
              </w:rPr>
              <w:t>Total Estimated Annual Cost</w:t>
            </w:r>
          </w:p>
        </w:tc>
        <w:tc>
          <w:tcPr>
            <w:tcW w:w="3780" w:type="dxa"/>
            <w:shd w:val="clear" w:color="auto" w:fill="auto"/>
          </w:tcPr>
          <w:p w:rsidR="0029472F" w:rsidRPr="00597023" w:rsidP="0029472F" w14:paraId="4F477380" w14:textId="77777777">
            <w:pPr>
              <w:pStyle w:val="BodyTextIndent"/>
              <w:spacing w:before="120"/>
              <w:ind w:left="0"/>
              <w:rPr>
                <w:rFonts w:ascii="Times New Roman" w:hAnsi="Times New Roman"/>
              </w:rPr>
            </w:pPr>
          </w:p>
        </w:tc>
        <w:tc>
          <w:tcPr>
            <w:tcW w:w="1525" w:type="dxa"/>
            <w:shd w:val="clear" w:color="auto" w:fill="auto"/>
          </w:tcPr>
          <w:p w:rsidR="0029472F" w:rsidRPr="00597023" w:rsidP="0029472F" w14:paraId="0326D03E" w14:textId="14AFFAD0">
            <w:pPr>
              <w:pStyle w:val="BodyTextIndent"/>
              <w:spacing w:before="120"/>
              <w:ind w:left="0"/>
              <w:rPr>
                <w:rFonts w:ascii="Times New Roman" w:hAnsi="Times New Roman"/>
              </w:rPr>
            </w:pPr>
            <w:r>
              <w:rPr>
                <w:rFonts w:ascii="Times New Roman" w:hAnsi="Times New Roman"/>
              </w:rPr>
              <w:t>$</w:t>
            </w:r>
            <w:r w:rsidR="007E5996">
              <w:rPr>
                <w:rFonts w:ascii="Times New Roman" w:hAnsi="Times New Roman"/>
              </w:rPr>
              <w:t>233</w:t>
            </w:r>
            <w:r>
              <w:rPr>
                <w:rFonts w:ascii="Times New Roman" w:hAnsi="Times New Roman"/>
              </w:rPr>
              <w:t>,000</w:t>
            </w:r>
          </w:p>
        </w:tc>
      </w:tr>
    </w:tbl>
    <w:p w:rsidR="006E7AD3" w:rsidP="00A70844" w14:paraId="069689E0" w14:textId="77777777">
      <w:pPr>
        <w:widowControl/>
        <w:ind w:left="360"/>
        <w:rPr>
          <w:rFonts w:ascii="Arial" w:hAnsi="Arial" w:cs="Arial"/>
        </w:rPr>
      </w:pPr>
    </w:p>
    <w:p w:rsidR="007935D5" w:rsidP="00A70844" w14:paraId="583419BB" w14:textId="3E35B708">
      <w:pPr>
        <w:widowControl/>
        <w:ind w:left="360"/>
        <w:rPr>
          <w:rFonts w:ascii="Times New Roman" w:hAnsi="Times New Roman"/>
          <w:sz w:val="24"/>
          <w:szCs w:val="24"/>
        </w:rPr>
      </w:pPr>
      <w:r w:rsidRPr="006E7AD3">
        <w:rPr>
          <w:rFonts w:ascii="Times New Roman" w:hAnsi="Times New Roman"/>
          <w:sz w:val="24"/>
          <w:szCs w:val="24"/>
        </w:rPr>
        <w:t>Government costs include personnel costs for federal staff involved in project and contract oversight, instrument design, and analysis which inclu</w:t>
      </w:r>
      <w:r w:rsidR="00427E0A">
        <w:rPr>
          <w:rFonts w:ascii="Times New Roman" w:hAnsi="Times New Roman"/>
          <w:sz w:val="24"/>
          <w:szCs w:val="24"/>
        </w:rPr>
        <w:t xml:space="preserve">des approximately </w:t>
      </w:r>
      <w:r w:rsidR="0007712A">
        <w:rPr>
          <w:rFonts w:ascii="Times New Roman" w:hAnsi="Times New Roman"/>
          <w:sz w:val="24"/>
          <w:szCs w:val="24"/>
        </w:rPr>
        <w:t>2</w:t>
      </w:r>
      <w:r w:rsidR="00427E0A">
        <w:rPr>
          <w:rFonts w:ascii="Times New Roman" w:hAnsi="Times New Roman"/>
          <w:sz w:val="24"/>
          <w:szCs w:val="24"/>
        </w:rPr>
        <w:t xml:space="preserve">0% of </w:t>
      </w:r>
      <w:r w:rsidR="007E5996">
        <w:rPr>
          <w:rFonts w:ascii="Times New Roman" w:hAnsi="Times New Roman"/>
          <w:sz w:val="24"/>
          <w:szCs w:val="24"/>
        </w:rPr>
        <w:t>5</w:t>
      </w:r>
      <w:r w:rsidR="00427E0A">
        <w:rPr>
          <w:rFonts w:ascii="Times New Roman" w:hAnsi="Times New Roman"/>
          <w:sz w:val="24"/>
          <w:szCs w:val="24"/>
        </w:rPr>
        <w:t xml:space="preserve"> GS-13 Federal Project Officer</w:t>
      </w:r>
      <w:r w:rsidR="006176FE">
        <w:rPr>
          <w:rFonts w:ascii="Times New Roman" w:hAnsi="Times New Roman"/>
          <w:sz w:val="24"/>
          <w:szCs w:val="24"/>
        </w:rPr>
        <w:t>s</w:t>
      </w:r>
      <w:r w:rsidR="00F7688D">
        <w:rPr>
          <w:rFonts w:ascii="Times New Roman" w:hAnsi="Times New Roman"/>
          <w:sz w:val="24"/>
          <w:szCs w:val="24"/>
        </w:rPr>
        <w:t>.</w:t>
      </w:r>
    </w:p>
    <w:p w:rsidR="00F7688D" w:rsidRPr="006E7AD3" w:rsidP="00A70844" w14:paraId="61CBF875" w14:textId="77777777">
      <w:pPr>
        <w:widowControl/>
        <w:ind w:left="360"/>
        <w:rPr>
          <w:rFonts w:ascii="Times New Roman" w:hAnsi="Times New Roman"/>
          <w:snapToGrid/>
          <w:sz w:val="24"/>
          <w:szCs w:val="24"/>
        </w:rPr>
      </w:pPr>
    </w:p>
    <w:p w:rsidR="00405C10" w:rsidRPr="004F7B95" w:rsidP="004F7B95" w14:paraId="69078535" w14:textId="77777777">
      <w:pPr>
        <w:widowControl/>
        <w:rPr>
          <w:rFonts w:ascii="Times New Roman" w:hAnsi="Times New Roman"/>
          <w:snapToGrid/>
          <w:sz w:val="24"/>
          <w:szCs w:val="24"/>
        </w:rPr>
      </w:pPr>
    </w:p>
    <w:p w:rsidR="002C3C4F" w:rsidRPr="00EA2F32" w:rsidP="00EA2F32" w14:paraId="608E20E3"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for Program Changes or Adjustments </w:t>
      </w:r>
    </w:p>
    <w:p w:rsidR="00D60543" w:rsidP="00F7688D" w14:paraId="47908E1D" w14:textId="1BA84E30">
      <w:pPr>
        <w:ind w:left="360"/>
        <w:rPr>
          <w:rFonts w:ascii="Times New Roman" w:hAnsi="Times New Roman"/>
          <w:snapToGrid/>
          <w:sz w:val="24"/>
          <w:szCs w:val="24"/>
        </w:rPr>
      </w:pPr>
      <w:r>
        <w:rPr>
          <w:rFonts w:ascii="Times New Roman" w:hAnsi="Times New Roman"/>
          <w:sz w:val="24"/>
          <w:szCs w:val="24"/>
        </w:rPr>
        <w:t xml:space="preserve">This is a new information collection. </w:t>
      </w:r>
    </w:p>
    <w:p w:rsidR="00D60543" w:rsidP="004F7B95" w14:paraId="0FA8CCB9" w14:textId="77777777">
      <w:pPr>
        <w:widowControl/>
        <w:ind w:left="360"/>
        <w:rPr>
          <w:rFonts w:ascii="Times New Roman" w:hAnsi="Times New Roman"/>
          <w:snapToGrid/>
          <w:sz w:val="24"/>
          <w:szCs w:val="24"/>
        </w:rPr>
      </w:pPr>
    </w:p>
    <w:p w:rsidR="00D60543" w:rsidRPr="004F7B95" w:rsidP="004F7B95" w14:paraId="59C2950B" w14:textId="77777777">
      <w:pPr>
        <w:widowControl/>
        <w:ind w:left="360"/>
        <w:rPr>
          <w:rFonts w:ascii="Times New Roman" w:hAnsi="Times New Roman"/>
          <w:snapToGrid/>
          <w:sz w:val="24"/>
          <w:szCs w:val="24"/>
        </w:rPr>
      </w:pPr>
    </w:p>
    <w:p w:rsidR="002C3C4F" w:rsidRPr="00EA2F32" w:rsidP="00EA2F32" w14:paraId="18DCBDE9"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Plans for Tabulation and Publication and Project Time Schedule </w:t>
      </w:r>
    </w:p>
    <w:p w:rsidR="0029472F" w:rsidRPr="0029472F" w:rsidP="0029472F" w14:paraId="7A3412CA" w14:textId="34D3F4C8">
      <w:pPr>
        <w:ind w:left="360"/>
        <w:rPr>
          <w:rFonts w:ascii="Times New Roman" w:hAnsi="Times New Roman"/>
          <w:sz w:val="24"/>
        </w:rPr>
      </w:pPr>
      <w:r w:rsidRPr="0029472F">
        <w:rPr>
          <w:rFonts w:ascii="Times New Roman" w:hAnsi="Times New Roman"/>
          <w:sz w:val="24"/>
        </w:rPr>
        <w:t xml:space="preserve">Aggregation and descriptive statistics on </w:t>
      </w:r>
      <w:r>
        <w:rPr>
          <w:rFonts w:ascii="Times New Roman" w:hAnsi="Times New Roman"/>
          <w:sz w:val="24"/>
        </w:rPr>
        <w:t xml:space="preserve">demographic and service utilization and </w:t>
      </w:r>
      <w:r w:rsidRPr="0029472F">
        <w:rPr>
          <w:rFonts w:ascii="Times New Roman" w:hAnsi="Times New Roman"/>
          <w:sz w:val="24"/>
        </w:rPr>
        <w:t>performance data will be conducted to summarize the performance of grantees, and to provide vital information for TA purposes. This summary information may be made public through</w:t>
      </w:r>
      <w:r>
        <w:rPr>
          <w:rFonts w:ascii="Times New Roman" w:hAnsi="Times New Roman"/>
          <w:sz w:val="24"/>
        </w:rPr>
        <w:t xml:space="preserve"> reports to Congress, data dashboards,</w:t>
      </w:r>
      <w:r w:rsidRPr="0029472F">
        <w:rPr>
          <w:rFonts w:ascii="Times New Roman" w:hAnsi="Times New Roman"/>
          <w:sz w:val="24"/>
        </w:rPr>
        <w:t xml:space="preserve"> data briefs, fact sheets, professional </w:t>
      </w:r>
      <w:r w:rsidRPr="0029472F">
        <w:rPr>
          <w:rFonts w:ascii="Times New Roman" w:hAnsi="Times New Roman"/>
          <w:sz w:val="24"/>
        </w:rPr>
        <w:t>presentations, and/or published manuscripts.</w:t>
      </w:r>
    </w:p>
    <w:p w:rsidR="007D1C38" w:rsidP="00EA2F32" w14:paraId="512C5907" w14:textId="77777777">
      <w:pPr>
        <w:ind w:left="360"/>
        <w:rPr>
          <w:rFonts w:ascii="Times New Roman" w:hAnsi="Times New Roman"/>
          <w:sz w:val="24"/>
        </w:rPr>
      </w:pPr>
    </w:p>
    <w:p w:rsidR="005537B3" w:rsidRPr="006E7AD3" w:rsidP="00EA2F32" w14:paraId="482F1E74" w14:textId="296217EC">
      <w:pPr>
        <w:ind w:left="360"/>
        <w:rPr>
          <w:rFonts w:ascii="Times New Roman" w:hAnsi="Times New Roman"/>
          <w:sz w:val="24"/>
        </w:rPr>
      </w:pPr>
      <w:r w:rsidRPr="006E7AD3">
        <w:rPr>
          <w:rFonts w:ascii="Times New Roman" w:hAnsi="Times New Roman"/>
          <w:sz w:val="24"/>
        </w:rPr>
        <w:t>Project Timeline</w:t>
      </w:r>
    </w:p>
    <w:p w:rsidR="005537B3" w:rsidP="00EA2F32" w14:paraId="52B02294" w14:textId="0540E759">
      <w:pPr>
        <w:ind w:left="360"/>
        <w:rPr>
          <w:rFonts w:ascii="Times New Roman" w:hAnsi="Times New Roman"/>
          <w:sz w:val="22"/>
          <w:szCs w:val="22"/>
        </w:rPr>
      </w:pPr>
      <w:r>
        <w:rPr>
          <w:rFonts w:ascii="Times New Roman" w:hAnsi="Times New Roman"/>
          <w:sz w:val="22"/>
          <w:szCs w:val="22"/>
        </w:rPr>
        <w:t xml:space="preserve">The following schedule reflects the dates when IEG &amp; DIG grantees begin reporting. For DIG grantees, data collection starts after their implementation plans have been approved at the end of their first year. For IEG grantees, because they are already providing services, data collection begins at the start of their grant awards. </w:t>
      </w:r>
      <w:r w:rsidRPr="00255BE2">
        <w:rPr>
          <w:rFonts w:ascii="Times New Roman" w:hAnsi="Times New Roman"/>
          <w:sz w:val="22"/>
          <w:szCs w:val="22"/>
        </w:rPr>
        <w:t xml:space="preserve">Tribal Home Visiting Reporting Forms will </w:t>
      </w:r>
      <w:r>
        <w:rPr>
          <w:rFonts w:ascii="Times New Roman" w:hAnsi="Times New Roman"/>
          <w:sz w:val="22"/>
          <w:szCs w:val="22"/>
        </w:rPr>
        <w:t xml:space="preserve">then </w:t>
      </w:r>
      <w:r w:rsidRPr="00255BE2">
        <w:rPr>
          <w:rFonts w:ascii="Times New Roman" w:hAnsi="Times New Roman"/>
          <w:sz w:val="22"/>
          <w:szCs w:val="22"/>
        </w:rPr>
        <w:t>continue on</w:t>
      </w:r>
      <w:r w:rsidRPr="00255BE2">
        <w:rPr>
          <w:rFonts w:ascii="Times New Roman" w:hAnsi="Times New Roman"/>
          <w:sz w:val="22"/>
          <w:szCs w:val="22"/>
        </w:rPr>
        <w:t xml:space="preserve"> an annual</w:t>
      </w:r>
      <w:r>
        <w:rPr>
          <w:rFonts w:ascii="Times New Roman" w:hAnsi="Times New Roman"/>
          <w:sz w:val="22"/>
          <w:szCs w:val="22"/>
        </w:rPr>
        <w:t xml:space="preserve">/quarterly </w:t>
      </w:r>
      <w:r w:rsidRPr="00255BE2">
        <w:rPr>
          <w:rFonts w:ascii="Times New Roman" w:hAnsi="Times New Roman"/>
          <w:sz w:val="22"/>
          <w:szCs w:val="22"/>
        </w:rPr>
        <w:t>schedule throughout the OMB approved clearance timeframe.</w:t>
      </w:r>
    </w:p>
    <w:p w:rsidR="00414CBC" w:rsidP="00EA2F32" w14:paraId="25F7F0C3" w14:textId="77777777">
      <w:pPr>
        <w:ind w:left="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3"/>
        <w:gridCol w:w="2393"/>
        <w:gridCol w:w="3454"/>
      </w:tblGrid>
      <w:tr w14:paraId="6E6D7F1F" w14:textId="77777777" w:rsidTr="00BB7478">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43" w:type="dxa"/>
            <w:shd w:val="clear" w:color="auto" w:fill="auto"/>
          </w:tcPr>
          <w:p w:rsidR="00320B23" w:rsidRPr="00597023" w:rsidP="00511A1D" w14:paraId="4A2B6AD2" w14:textId="77777777">
            <w:pPr>
              <w:spacing w:before="120"/>
              <w:rPr>
                <w:rFonts w:ascii="Times New Roman" w:hAnsi="Times New Roman"/>
                <w:b/>
                <w:sz w:val="24"/>
              </w:rPr>
            </w:pPr>
            <w:r w:rsidRPr="00597023">
              <w:rPr>
                <w:rFonts w:ascii="Times New Roman" w:hAnsi="Times New Roman"/>
                <w:b/>
                <w:sz w:val="24"/>
              </w:rPr>
              <w:t>Activity</w:t>
            </w:r>
          </w:p>
        </w:tc>
        <w:tc>
          <w:tcPr>
            <w:tcW w:w="2393" w:type="dxa"/>
          </w:tcPr>
          <w:p w:rsidR="00320B23" w:rsidRPr="00597023" w:rsidP="00511A1D" w14:paraId="0AD12CB7" w14:textId="466331C0">
            <w:pPr>
              <w:spacing w:before="120"/>
              <w:rPr>
                <w:rFonts w:ascii="Times New Roman" w:hAnsi="Times New Roman"/>
                <w:b/>
                <w:sz w:val="24"/>
              </w:rPr>
            </w:pPr>
            <w:r w:rsidRPr="00597023">
              <w:rPr>
                <w:rFonts w:ascii="Times New Roman" w:hAnsi="Times New Roman"/>
                <w:b/>
                <w:sz w:val="24"/>
              </w:rPr>
              <w:t>Time Schedule</w:t>
            </w:r>
            <w:r>
              <w:rPr>
                <w:rFonts w:ascii="Times New Roman" w:hAnsi="Times New Roman"/>
                <w:b/>
                <w:sz w:val="24"/>
              </w:rPr>
              <w:t xml:space="preserve"> IEG</w:t>
            </w:r>
          </w:p>
        </w:tc>
        <w:tc>
          <w:tcPr>
            <w:tcW w:w="3454" w:type="dxa"/>
            <w:shd w:val="clear" w:color="auto" w:fill="auto"/>
          </w:tcPr>
          <w:p w:rsidR="00320B23" w:rsidRPr="00597023" w:rsidP="00511A1D" w14:paraId="7EADD912" w14:textId="359A002E">
            <w:pPr>
              <w:spacing w:before="120"/>
              <w:rPr>
                <w:rFonts w:ascii="Times New Roman" w:hAnsi="Times New Roman"/>
                <w:b/>
                <w:sz w:val="24"/>
              </w:rPr>
            </w:pPr>
            <w:r w:rsidRPr="00597023">
              <w:rPr>
                <w:rFonts w:ascii="Times New Roman" w:hAnsi="Times New Roman"/>
                <w:b/>
                <w:sz w:val="24"/>
              </w:rPr>
              <w:t>Time Schedule</w:t>
            </w:r>
            <w:r>
              <w:rPr>
                <w:rFonts w:ascii="Times New Roman" w:hAnsi="Times New Roman"/>
                <w:b/>
                <w:sz w:val="24"/>
              </w:rPr>
              <w:t xml:space="preserve"> DIG</w:t>
            </w:r>
          </w:p>
        </w:tc>
      </w:tr>
      <w:tr w14:paraId="5EB22AF0" w14:textId="77777777" w:rsidTr="00BB7478">
        <w:tblPrEx>
          <w:tblW w:w="0" w:type="auto"/>
          <w:tblInd w:w="360" w:type="dxa"/>
          <w:tblLook w:val="04A0"/>
        </w:tblPrEx>
        <w:tc>
          <w:tcPr>
            <w:tcW w:w="3143" w:type="dxa"/>
          </w:tcPr>
          <w:p w:rsidR="00320B23" w:rsidRPr="00255BE2" w:rsidP="00255BE2" w14:paraId="79B2C491" w14:textId="0989E75E">
            <w:pPr>
              <w:spacing w:before="120"/>
              <w:rPr>
                <w:rFonts w:ascii="Times New Roman" w:hAnsi="Times New Roman"/>
                <w:sz w:val="22"/>
                <w:szCs w:val="22"/>
              </w:rPr>
            </w:pPr>
            <w:r w:rsidRPr="00255BE2">
              <w:rPr>
                <w:rFonts w:ascii="Times New Roman" w:hAnsi="Times New Roman"/>
                <w:sz w:val="22"/>
                <w:szCs w:val="22"/>
              </w:rPr>
              <w:t xml:space="preserve">Tribal MIECHV Demographic &amp; Service Utilization </w:t>
            </w:r>
            <w:r>
              <w:rPr>
                <w:rFonts w:ascii="Times New Roman" w:hAnsi="Times New Roman"/>
                <w:sz w:val="22"/>
                <w:szCs w:val="22"/>
              </w:rPr>
              <w:t>Report</w:t>
            </w:r>
          </w:p>
        </w:tc>
        <w:tc>
          <w:tcPr>
            <w:tcW w:w="2393" w:type="dxa"/>
          </w:tcPr>
          <w:p w:rsidR="00320B23" w:rsidP="00255BE2" w14:paraId="3057F22C" w14:textId="63043566">
            <w:pPr>
              <w:spacing w:before="120"/>
              <w:rPr>
                <w:rFonts w:ascii="Times New Roman" w:hAnsi="Times New Roman"/>
                <w:sz w:val="22"/>
                <w:szCs w:val="22"/>
              </w:rPr>
            </w:pPr>
            <w:r>
              <w:rPr>
                <w:rFonts w:ascii="Times New Roman" w:hAnsi="Times New Roman"/>
                <w:sz w:val="22"/>
                <w:szCs w:val="22"/>
              </w:rPr>
              <w:t>9/29/23</w:t>
            </w:r>
          </w:p>
        </w:tc>
        <w:tc>
          <w:tcPr>
            <w:tcW w:w="3454" w:type="dxa"/>
            <w:shd w:val="clear" w:color="auto" w:fill="auto"/>
          </w:tcPr>
          <w:p w:rsidR="00320B23" w:rsidRPr="00255BE2" w:rsidP="00255BE2" w14:paraId="5A2BD5B3" w14:textId="6A5FD9A9">
            <w:pPr>
              <w:spacing w:before="120"/>
              <w:rPr>
                <w:rFonts w:ascii="Times New Roman" w:hAnsi="Times New Roman"/>
                <w:sz w:val="22"/>
                <w:szCs w:val="22"/>
              </w:rPr>
            </w:pPr>
            <w:r>
              <w:rPr>
                <w:rFonts w:ascii="Times New Roman" w:hAnsi="Times New Roman"/>
                <w:sz w:val="22"/>
                <w:szCs w:val="22"/>
              </w:rPr>
              <w:t>9/29/2024</w:t>
            </w:r>
            <w:r w:rsidRPr="00255BE2">
              <w:rPr>
                <w:rFonts w:ascii="Times New Roman" w:hAnsi="Times New Roman"/>
                <w:sz w:val="22"/>
                <w:szCs w:val="22"/>
              </w:rPr>
              <w:t xml:space="preserve"> </w:t>
            </w:r>
          </w:p>
        </w:tc>
      </w:tr>
      <w:tr w14:paraId="20207FB0" w14:textId="77777777" w:rsidTr="00BB7478">
        <w:tblPrEx>
          <w:tblW w:w="0" w:type="auto"/>
          <w:tblInd w:w="360" w:type="dxa"/>
          <w:tblLook w:val="04A0"/>
        </w:tblPrEx>
        <w:tc>
          <w:tcPr>
            <w:tcW w:w="3143" w:type="dxa"/>
            <w:vAlign w:val="center"/>
          </w:tcPr>
          <w:p w:rsidR="00320B23" w:rsidRPr="00255BE2" w:rsidP="00255BE2" w14:paraId="74261D24" w14:textId="399210A3">
            <w:pPr>
              <w:spacing w:before="120"/>
              <w:rPr>
                <w:rFonts w:ascii="Times New Roman" w:hAnsi="Times New Roman"/>
                <w:sz w:val="22"/>
                <w:szCs w:val="22"/>
              </w:rPr>
            </w:pPr>
            <w:r w:rsidRPr="00255BE2">
              <w:rPr>
                <w:rFonts w:ascii="Times New Roman" w:hAnsi="Times New Roman"/>
                <w:sz w:val="22"/>
                <w:szCs w:val="22"/>
              </w:rPr>
              <w:t xml:space="preserve">Tribal MIECHV Performance Measures </w:t>
            </w:r>
            <w:r>
              <w:rPr>
                <w:rFonts w:ascii="Times New Roman" w:hAnsi="Times New Roman"/>
                <w:sz w:val="22"/>
                <w:szCs w:val="22"/>
              </w:rPr>
              <w:t>Report</w:t>
            </w:r>
          </w:p>
        </w:tc>
        <w:tc>
          <w:tcPr>
            <w:tcW w:w="2393" w:type="dxa"/>
          </w:tcPr>
          <w:p w:rsidR="00320B23" w:rsidRPr="00255BE2" w:rsidP="00255BE2" w14:paraId="43C80A30" w14:textId="4C9DF961">
            <w:pPr>
              <w:spacing w:before="120"/>
              <w:rPr>
                <w:rFonts w:ascii="Times New Roman" w:hAnsi="Times New Roman"/>
                <w:sz w:val="22"/>
                <w:szCs w:val="22"/>
              </w:rPr>
            </w:pPr>
            <w:r>
              <w:rPr>
                <w:rFonts w:ascii="Times New Roman" w:hAnsi="Times New Roman"/>
                <w:sz w:val="22"/>
                <w:szCs w:val="22"/>
              </w:rPr>
              <w:t>9/29/23</w:t>
            </w:r>
          </w:p>
        </w:tc>
        <w:tc>
          <w:tcPr>
            <w:tcW w:w="3454" w:type="dxa"/>
            <w:shd w:val="clear" w:color="auto" w:fill="auto"/>
          </w:tcPr>
          <w:p w:rsidR="00320B23" w:rsidRPr="00255BE2" w:rsidP="00255BE2" w14:paraId="7538D3C1" w14:textId="26D0A2E7">
            <w:pPr>
              <w:spacing w:before="120"/>
              <w:rPr>
                <w:rFonts w:ascii="Times New Roman" w:hAnsi="Times New Roman"/>
                <w:sz w:val="22"/>
                <w:szCs w:val="22"/>
              </w:rPr>
            </w:pPr>
            <w:r w:rsidRPr="00255BE2">
              <w:rPr>
                <w:rFonts w:ascii="Times New Roman" w:hAnsi="Times New Roman"/>
                <w:sz w:val="22"/>
                <w:szCs w:val="22"/>
              </w:rPr>
              <w:t>9/29/202</w:t>
            </w:r>
            <w:r>
              <w:rPr>
                <w:rFonts w:ascii="Times New Roman" w:hAnsi="Times New Roman"/>
                <w:sz w:val="22"/>
                <w:szCs w:val="22"/>
              </w:rPr>
              <w:t>4</w:t>
            </w:r>
          </w:p>
        </w:tc>
      </w:tr>
      <w:tr w14:paraId="076D3059" w14:textId="77777777" w:rsidTr="00BB7478">
        <w:tblPrEx>
          <w:tblW w:w="0" w:type="auto"/>
          <w:tblInd w:w="360" w:type="dxa"/>
          <w:tblLook w:val="04A0"/>
        </w:tblPrEx>
        <w:tc>
          <w:tcPr>
            <w:tcW w:w="3143" w:type="dxa"/>
            <w:vAlign w:val="center"/>
          </w:tcPr>
          <w:p w:rsidR="00320B23" w:rsidRPr="00255BE2" w:rsidP="00255BE2" w14:paraId="22EB4147" w14:textId="135865AB">
            <w:pPr>
              <w:spacing w:before="120"/>
              <w:rPr>
                <w:rFonts w:ascii="Times New Roman" w:hAnsi="Times New Roman"/>
                <w:sz w:val="22"/>
                <w:szCs w:val="22"/>
              </w:rPr>
            </w:pPr>
            <w:r w:rsidRPr="00255BE2">
              <w:rPr>
                <w:rFonts w:ascii="Times New Roman" w:hAnsi="Times New Roman"/>
                <w:sz w:val="22"/>
                <w:szCs w:val="22"/>
              </w:rPr>
              <w:t>Tribal MIECHV</w:t>
            </w:r>
            <w:r>
              <w:rPr>
                <w:rFonts w:ascii="Times New Roman" w:hAnsi="Times New Roman"/>
                <w:sz w:val="22"/>
                <w:szCs w:val="22"/>
              </w:rPr>
              <w:t xml:space="preserve"> Quarterly Performance Report</w:t>
            </w:r>
          </w:p>
        </w:tc>
        <w:tc>
          <w:tcPr>
            <w:tcW w:w="2393" w:type="dxa"/>
          </w:tcPr>
          <w:p w:rsidR="00320B23" w:rsidP="00255BE2" w14:paraId="48848DB0" w14:textId="4C95D090">
            <w:pPr>
              <w:spacing w:before="120"/>
              <w:rPr>
                <w:rFonts w:ascii="Times New Roman" w:hAnsi="Times New Roman"/>
                <w:sz w:val="22"/>
                <w:szCs w:val="22"/>
              </w:rPr>
            </w:pPr>
            <w:r>
              <w:rPr>
                <w:rFonts w:ascii="Times New Roman" w:hAnsi="Times New Roman"/>
                <w:sz w:val="22"/>
                <w:szCs w:val="22"/>
              </w:rPr>
              <w:t>9/29/23</w:t>
            </w:r>
          </w:p>
        </w:tc>
        <w:tc>
          <w:tcPr>
            <w:tcW w:w="3454" w:type="dxa"/>
            <w:shd w:val="clear" w:color="auto" w:fill="auto"/>
          </w:tcPr>
          <w:p w:rsidR="00320B23" w:rsidRPr="00255BE2" w:rsidP="00255BE2" w14:paraId="36341743" w14:textId="20342BB4">
            <w:pPr>
              <w:spacing w:before="120"/>
              <w:rPr>
                <w:rFonts w:ascii="Times New Roman" w:hAnsi="Times New Roman"/>
                <w:sz w:val="22"/>
                <w:szCs w:val="22"/>
              </w:rPr>
            </w:pPr>
            <w:r>
              <w:rPr>
                <w:rFonts w:ascii="Times New Roman" w:hAnsi="Times New Roman"/>
                <w:sz w:val="22"/>
                <w:szCs w:val="22"/>
              </w:rPr>
              <w:t>9/29/2024</w:t>
            </w:r>
          </w:p>
        </w:tc>
      </w:tr>
      <w:tr w14:paraId="3E8C84FD" w14:textId="77777777" w:rsidTr="00DF15AD">
        <w:tblPrEx>
          <w:tblW w:w="0" w:type="auto"/>
          <w:tblInd w:w="360" w:type="dxa"/>
          <w:tblLook w:val="04A0"/>
        </w:tblPrEx>
        <w:tc>
          <w:tcPr>
            <w:tcW w:w="8990" w:type="dxa"/>
            <w:gridSpan w:val="3"/>
          </w:tcPr>
          <w:p w:rsidR="00320B23" w:rsidRPr="00255BE2" w:rsidP="00255BE2" w14:paraId="19CF3E0F" w14:textId="11B72FA9">
            <w:pPr>
              <w:spacing w:before="120"/>
              <w:rPr>
                <w:rFonts w:ascii="Times New Roman" w:hAnsi="Times New Roman"/>
                <w:sz w:val="22"/>
                <w:szCs w:val="22"/>
              </w:rPr>
            </w:pPr>
          </w:p>
        </w:tc>
      </w:tr>
    </w:tbl>
    <w:p w:rsidR="00D60543" w:rsidRPr="00255BE2" w:rsidP="005E4725" w14:paraId="2FD6B8F3" w14:textId="77777777">
      <w:pPr>
        <w:spacing w:before="120"/>
        <w:ind w:left="360"/>
        <w:rPr>
          <w:rFonts w:ascii="Times New Roman" w:hAnsi="Times New Roman"/>
          <w:snapToGrid/>
          <w:sz w:val="22"/>
          <w:szCs w:val="22"/>
        </w:rPr>
      </w:pPr>
      <w:r w:rsidRPr="00255BE2">
        <w:rPr>
          <w:rFonts w:ascii="Times New Roman" w:hAnsi="Times New Roman"/>
          <w:sz w:val="22"/>
          <w:szCs w:val="22"/>
        </w:rPr>
        <w:t xml:space="preserve">  </w:t>
      </w:r>
    </w:p>
    <w:p w:rsidR="007935D5" w:rsidRPr="004F7B95" w:rsidP="004F7B95" w14:paraId="5B82105A" w14:textId="77777777">
      <w:pPr>
        <w:widowControl/>
        <w:ind w:left="720"/>
        <w:rPr>
          <w:rFonts w:ascii="Times New Roman" w:hAnsi="Times New Roman"/>
          <w:snapToGrid/>
          <w:sz w:val="24"/>
          <w:szCs w:val="24"/>
        </w:rPr>
      </w:pPr>
    </w:p>
    <w:p w:rsidR="002C3C4F" w:rsidRPr="00EA2F32" w:rsidP="00EA2F32" w14:paraId="27BA30E0" w14:textId="77777777">
      <w:pPr>
        <w:widowControl/>
        <w:numPr>
          <w:ilvl w:val="0"/>
          <w:numId w:val="3"/>
        </w:numPr>
        <w:tabs>
          <w:tab w:val="left"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Reason(s) Display of OMB Expiration Date is Inappropriate </w:t>
      </w:r>
    </w:p>
    <w:p w:rsidR="00D60543" w:rsidP="00986B80" w14:paraId="2CF1D599" w14:textId="4DD21543">
      <w:pPr>
        <w:pStyle w:val="BodyTextIndent"/>
        <w:spacing w:before="120"/>
        <w:ind w:left="360"/>
        <w:rPr>
          <w:rFonts w:ascii="Times New Roman" w:hAnsi="Times New Roman"/>
        </w:rPr>
      </w:pPr>
      <w:r w:rsidRPr="005E4725">
        <w:rPr>
          <w:rFonts w:ascii="Times New Roman" w:hAnsi="Times New Roman"/>
        </w:rPr>
        <w:t xml:space="preserve">The OMB number and Expiration date will be displayed on </w:t>
      </w:r>
      <w:r w:rsidR="00423691">
        <w:rPr>
          <w:rFonts w:ascii="Times New Roman" w:hAnsi="Times New Roman"/>
        </w:rPr>
        <w:t>the guidance documents</w:t>
      </w:r>
      <w:r w:rsidRPr="005E4725">
        <w:rPr>
          <w:rFonts w:ascii="Times New Roman" w:hAnsi="Times New Roman"/>
        </w:rPr>
        <w:t>.</w:t>
      </w:r>
    </w:p>
    <w:p w:rsidR="00986B80" w:rsidRPr="004F7B95" w:rsidP="00986B80" w14:paraId="549C085A" w14:textId="77777777">
      <w:pPr>
        <w:pStyle w:val="BodyTextIndent"/>
        <w:spacing w:before="120"/>
        <w:ind w:left="360"/>
        <w:rPr>
          <w:rFonts w:ascii="Times New Roman" w:hAnsi="Times New Roman"/>
        </w:rPr>
      </w:pPr>
    </w:p>
    <w:p w:rsidR="002C3C4F" w:rsidRPr="00EA2F32" w:rsidP="00EA2F32" w14:paraId="00F94043"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Exceptions to Certification for Paperwork Reduction Act Submissions</w:t>
      </w:r>
    </w:p>
    <w:p w:rsidR="00EC698B" w:rsidRPr="004F7B95" w:rsidP="00EA2F32" w14:paraId="7522FC77" w14:textId="77777777">
      <w:pPr>
        <w:pStyle w:val="BodyTextIndent"/>
        <w:ind w:left="360"/>
        <w:rPr>
          <w:rFonts w:ascii="Times New Roman" w:hAnsi="Times New Roman"/>
        </w:rPr>
      </w:pPr>
      <w:r w:rsidRPr="005E4725">
        <w:rPr>
          <w:rFonts w:ascii="Times New Roman" w:hAnsi="Times New Roman"/>
        </w:rPr>
        <w:t>There are no exceptions to the certification.</w:t>
      </w:r>
    </w:p>
    <w:sectPr w:rsidSect="00986B80">
      <w:footerReference w:type="default" r:id="rId12"/>
      <w:endnotePr>
        <w:numFmt w:val="decimal"/>
      </w:endnotePr>
      <w:pgSz w:w="12240" w:h="15840"/>
      <w:pgMar w:top="1440" w:right="1440" w:bottom="1008"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D3559" w14:paraId="19C2C533" w14:textId="77777777">
      <w:pPr>
        <w:spacing w:line="20" w:lineRule="exact"/>
        <w:rPr>
          <w:sz w:val="24"/>
        </w:rPr>
      </w:pPr>
    </w:p>
  </w:endnote>
  <w:endnote w:type="continuationSeparator" w:id="1">
    <w:p w:rsidR="002D3559" w14:paraId="78F2651B" w14:textId="77777777">
      <w:r>
        <w:rPr>
          <w:sz w:val="24"/>
        </w:rPr>
        <w:t xml:space="preserve"> </w:t>
      </w:r>
    </w:p>
  </w:endnote>
  <w:endnote w:type="continuationNotice" w:id="2">
    <w:p w:rsidR="002D3559" w14:paraId="3E92864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useo 5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12CC4D3A" w14:textId="77777777">
    <w:pPr>
      <w:spacing w:before="140" w:line="100" w:lineRule="exact"/>
      <w:rPr>
        <w:sz w:val="10"/>
      </w:rPr>
    </w:pPr>
  </w:p>
  <w:p w:rsidR="00DC1C23" w14:paraId="42BB58C0" w14:textId="77777777">
    <w:pPr>
      <w:tabs>
        <w:tab w:val="left" w:pos="-720"/>
      </w:tabs>
      <w:suppressAutoHyphens/>
      <w:rPr>
        <w:sz w:val="24"/>
      </w:rPr>
    </w:pPr>
  </w:p>
  <w:p w:rsidR="00DC1C23" w14:paraId="28489DCF" w14:textId="0D29B6B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4019EE0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451BA59A" w14:textId="4019EE0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3559" w14:paraId="65DB42FB" w14:textId="77777777">
      <w:r>
        <w:rPr>
          <w:sz w:val="24"/>
        </w:rPr>
        <w:separator/>
      </w:r>
    </w:p>
  </w:footnote>
  <w:footnote w:type="continuationSeparator" w:id="1">
    <w:p w:rsidR="002D3559" w14:paraId="121017CB" w14:textId="77777777">
      <w:r>
        <w:continuationSeparator/>
      </w:r>
    </w:p>
  </w:footnote>
  <w:footnote w:id="2">
    <w:p w:rsidR="009341D2" w:rsidRPr="00BA4454" w14:paraId="668B19CA" w14:textId="4988F72B">
      <w:pPr>
        <w:pStyle w:val="FootnoteText"/>
        <w:rPr>
          <w:rFonts w:ascii="Times New Roman" w:hAnsi="Times New Roman"/>
          <w:sz w:val="22"/>
          <w:szCs w:val="22"/>
        </w:rPr>
      </w:pPr>
      <w:r w:rsidRPr="00BA4454">
        <w:rPr>
          <w:rStyle w:val="FootnoteReference"/>
          <w:rFonts w:ascii="Times New Roman" w:hAnsi="Times New Roman"/>
          <w:sz w:val="22"/>
          <w:szCs w:val="22"/>
        </w:rPr>
        <w:footnoteRef/>
      </w:r>
      <w:r w:rsidRPr="00BA4454">
        <w:rPr>
          <w:rFonts w:ascii="Times New Roman" w:hAnsi="Times New Roman"/>
          <w:sz w:val="22"/>
          <w:szCs w:val="22"/>
        </w:rPr>
        <w:t xml:space="preserve"> These are currently approved under OMB #s 0970-0500 and 0970-0389.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276E80"/>
    <w:multiLevelType w:val="hybridMultilevel"/>
    <w:tmpl w:val="DAE05B80"/>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A876FE"/>
    <w:multiLevelType w:val="hybridMultilevel"/>
    <w:tmpl w:val="8EDC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33505D"/>
    <w:multiLevelType w:val="hybridMultilevel"/>
    <w:tmpl w:val="7E6EC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761C13"/>
    <w:multiLevelType w:val="hybridMultilevel"/>
    <w:tmpl w:val="8D183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BF34DB"/>
    <w:multiLevelType w:val="hybridMultilevel"/>
    <w:tmpl w:val="FD321E4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E6B5A89"/>
    <w:multiLevelType w:val="hybridMultilevel"/>
    <w:tmpl w:val="FC6430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E01C137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AC36F8A"/>
    <w:multiLevelType w:val="hybridMultilevel"/>
    <w:tmpl w:val="A0C67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638BD"/>
    <w:multiLevelType w:val="hybridMultilevel"/>
    <w:tmpl w:val="BD7CB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5305498">
    <w:abstractNumId w:val="17"/>
  </w:num>
  <w:num w:numId="2" w16cid:durableId="169685271">
    <w:abstractNumId w:val="18"/>
  </w:num>
  <w:num w:numId="3" w16cid:durableId="648480885">
    <w:abstractNumId w:val="20"/>
  </w:num>
  <w:num w:numId="4" w16cid:durableId="1798405039">
    <w:abstractNumId w:val="8"/>
  </w:num>
  <w:num w:numId="5" w16cid:durableId="579221081">
    <w:abstractNumId w:val="13"/>
  </w:num>
  <w:num w:numId="6" w16cid:durableId="1009134667">
    <w:abstractNumId w:val="16"/>
  </w:num>
  <w:num w:numId="7" w16cid:durableId="2114351553">
    <w:abstractNumId w:val="2"/>
  </w:num>
  <w:num w:numId="8" w16cid:durableId="558975591">
    <w:abstractNumId w:val="15"/>
  </w:num>
  <w:num w:numId="9" w16cid:durableId="2071465665">
    <w:abstractNumId w:val="22"/>
  </w:num>
  <w:num w:numId="10" w16cid:durableId="1964574816">
    <w:abstractNumId w:val="14"/>
  </w:num>
  <w:num w:numId="11" w16cid:durableId="211354028">
    <w:abstractNumId w:val="12"/>
  </w:num>
  <w:num w:numId="12" w16cid:durableId="1329135660">
    <w:abstractNumId w:val="0"/>
  </w:num>
  <w:num w:numId="13" w16cid:durableId="1285961984">
    <w:abstractNumId w:val="23"/>
  </w:num>
  <w:num w:numId="14" w16cid:durableId="786895619">
    <w:abstractNumId w:val="1"/>
  </w:num>
  <w:num w:numId="15" w16cid:durableId="693117609">
    <w:abstractNumId w:val="4"/>
  </w:num>
  <w:num w:numId="16" w16cid:durableId="456680709">
    <w:abstractNumId w:val="19"/>
  </w:num>
  <w:num w:numId="17" w16cid:durableId="461002554">
    <w:abstractNumId w:val="24"/>
  </w:num>
  <w:num w:numId="18" w16cid:durableId="386877110">
    <w:abstractNumId w:val="5"/>
  </w:num>
  <w:num w:numId="19" w16cid:durableId="2055616545">
    <w:abstractNumId w:val="21"/>
  </w:num>
  <w:num w:numId="20" w16cid:durableId="1697390176">
    <w:abstractNumId w:val="11"/>
  </w:num>
  <w:num w:numId="21" w16cid:durableId="1772360919">
    <w:abstractNumId w:val="6"/>
  </w:num>
  <w:num w:numId="22" w16cid:durableId="939877532">
    <w:abstractNumId w:val="25"/>
  </w:num>
  <w:num w:numId="23" w16cid:durableId="929701346">
    <w:abstractNumId w:val="9"/>
  </w:num>
  <w:num w:numId="24" w16cid:durableId="1570648078">
    <w:abstractNumId w:val="26"/>
  </w:num>
  <w:num w:numId="25" w16cid:durableId="1312633558">
    <w:abstractNumId w:val="7"/>
  </w:num>
  <w:num w:numId="26" w16cid:durableId="982002731">
    <w:abstractNumId w:val="10"/>
  </w:num>
  <w:num w:numId="27" w16cid:durableId="391853606">
    <w:abstractNumId w:val="3"/>
  </w:num>
  <w:num w:numId="28" w16cid:durableId="403798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0B5"/>
    <w:rsid w:val="00005D57"/>
    <w:rsid w:val="00051A6C"/>
    <w:rsid w:val="00051C94"/>
    <w:rsid w:val="00060E53"/>
    <w:rsid w:val="00072D73"/>
    <w:rsid w:val="0007712A"/>
    <w:rsid w:val="0008556C"/>
    <w:rsid w:val="0009007E"/>
    <w:rsid w:val="0009646F"/>
    <w:rsid w:val="00096C0C"/>
    <w:rsid w:val="000B06C4"/>
    <w:rsid w:val="000B2C4B"/>
    <w:rsid w:val="000C2F63"/>
    <w:rsid w:val="000E122F"/>
    <w:rsid w:val="000F069F"/>
    <w:rsid w:val="000F0CC1"/>
    <w:rsid w:val="000F2B30"/>
    <w:rsid w:val="00100FEC"/>
    <w:rsid w:val="00102200"/>
    <w:rsid w:val="00125C72"/>
    <w:rsid w:val="00132D14"/>
    <w:rsid w:val="001337B5"/>
    <w:rsid w:val="0014145B"/>
    <w:rsid w:val="00144F64"/>
    <w:rsid w:val="00150F4E"/>
    <w:rsid w:val="00154B6A"/>
    <w:rsid w:val="00160621"/>
    <w:rsid w:val="00174110"/>
    <w:rsid w:val="001815DE"/>
    <w:rsid w:val="00186385"/>
    <w:rsid w:val="001C483C"/>
    <w:rsid w:val="001C7FFE"/>
    <w:rsid w:val="001D1651"/>
    <w:rsid w:val="001D26EE"/>
    <w:rsid w:val="001D4B3B"/>
    <w:rsid w:val="001D5F81"/>
    <w:rsid w:val="001E5BCB"/>
    <w:rsid w:val="001F6080"/>
    <w:rsid w:val="0020157B"/>
    <w:rsid w:val="00213798"/>
    <w:rsid w:val="002175E6"/>
    <w:rsid w:val="00222C7F"/>
    <w:rsid w:val="00223337"/>
    <w:rsid w:val="00226C42"/>
    <w:rsid w:val="00234235"/>
    <w:rsid w:val="0024030B"/>
    <w:rsid w:val="002464EB"/>
    <w:rsid w:val="00250635"/>
    <w:rsid w:val="002509BD"/>
    <w:rsid w:val="002522BC"/>
    <w:rsid w:val="00252CB7"/>
    <w:rsid w:val="00255BE2"/>
    <w:rsid w:val="002573F4"/>
    <w:rsid w:val="002666FF"/>
    <w:rsid w:val="0027394D"/>
    <w:rsid w:val="00281C1F"/>
    <w:rsid w:val="00290A1C"/>
    <w:rsid w:val="00291C79"/>
    <w:rsid w:val="00291C80"/>
    <w:rsid w:val="0029472F"/>
    <w:rsid w:val="0029589B"/>
    <w:rsid w:val="00296738"/>
    <w:rsid w:val="00296F45"/>
    <w:rsid w:val="002A3372"/>
    <w:rsid w:val="002B1662"/>
    <w:rsid w:val="002B6438"/>
    <w:rsid w:val="002C3C4F"/>
    <w:rsid w:val="002D3559"/>
    <w:rsid w:val="002E10D1"/>
    <w:rsid w:val="002E3BC9"/>
    <w:rsid w:val="002E6D78"/>
    <w:rsid w:val="002F3C2D"/>
    <w:rsid w:val="00312185"/>
    <w:rsid w:val="00313DF8"/>
    <w:rsid w:val="00317A15"/>
    <w:rsid w:val="00320B23"/>
    <w:rsid w:val="003405A4"/>
    <w:rsid w:val="0035226F"/>
    <w:rsid w:val="00354319"/>
    <w:rsid w:val="003555B2"/>
    <w:rsid w:val="00360A43"/>
    <w:rsid w:val="00380A83"/>
    <w:rsid w:val="0038209B"/>
    <w:rsid w:val="003903A7"/>
    <w:rsid w:val="00391583"/>
    <w:rsid w:val="00397CAA"/>
    <w:rsid w:val="003B2B91"/>
    <w:rsid w:val="003B7A50"/>
    <w:rsid w:val="003C1D6E"/>
    <w:rsid w:val="003E6D08"/>
    <w:rsid w:val="003E6EA3"/>
    <w:rsid w:val="003F6ECD"/>
    <w:rsid w:val="00400367"/>
    <w:rsid w:val="00405C10"/>
    <w:rsid w:val="004110F5"/>
    <w:rsid w:val="00414CBC"/>
    <w:rsid w:val="00423691"/>
    <w:rsid w:val="00427E0A"/>
    <w:rsid w:val="00436528"/>
    <w:rsid w:val="00454FFC"/>
    <w:rsid w:val="004602FE"/>
    <w:rsid w:val="00460523"/>
    <w:rsid w:val="00464CCB"/>
    <w:rsid w:val="00467954"/>
    <w:rsid w:val="00473CD8"/>
    <w:rsid w:val="00476C1F"/>
    <w:rsid w:val="00480072"/>
    <w:rsid w:val="00490457"/>
    <w:rsid w:val="0049119A"/>
    <w:rsid w:val="004943E0"/>
    <w:rsid w:val="004C1F00"/>
    <w:rsid w:val="004C5529"/>
    <w:rsid w:val="004D3439"/>
    <w:rsid w:val="004F45CE"/>
    <w:rsid w:val="004F7B95"/>
    <w:rsid w:val="005001E8"/>
    <w:rsid w:val="005067B6"/>
    <w:rsid w:val="00511A1D"/>
    <w:rsid w:val="0051278C"/>
    <w:rsid w:val="005155AD"/>
    <w:rsid w:val="0051701C"/>
    <w:rsid w:val="00522C18"/>
    <w:rsid w:val="00540C56"/>
    <w:rsid w:val="00541E51"/>
    <w:rsid w:val="00545451"/>
    <w:rsid w:val="005520C3"/>
    <w:rsid w:val="005537B3"/>
    <w:rsid w:val="00554BA2"/>
    <w:rsid w:val="00556056"/>
    <w:rsid w:val="00562474"/>
    <w:rsid w:val="00570F0D"/>
    <w:rsid w:val="005824BD"/>
    <w:rsid w:val="005931D2"/>
    <w:rsid w:val="00597023"/>
    <w:rsid w:val="00597E7F"/>
    <w:rsid w:val="005B22D4"/>
    <w:rsid w:val="005B40B3"/>
    <w:rsid w:val="005C1D57"/>
    <w:rsid w:val="005C4324"/>
    <w:rsid w:val="005C60F1"/>
    <w:rsid w:val="005D1B7E"/>
    <w:rsid w:val="005D242A"/>
    <w:rsid w:val="005D274E"/>
    <w:rsid w:val="005D61DB"/>
    <w:rsid w:val="005E0B35"/>
    <w:rsid w:val="005E4725"/>
    <w:rsid w:val="005F0ED4"/>
    <w:rsid w:val="00603498"/>
    <w:rsid w:val="00614622"/>
    <w:rsid w:val="006176FE"/>
    <w:rsid w:val="00634E1D"/>
    <w:rsid w:val="00637A6F"/>
    <w:rsid w:val="00640565"/>
    <w:rsid w:val="006429F4"/>
    <w:rsid w:val="00650366"/>
    <w:rsid w:val="00650B5E"/>
    <w:rsid w:val="00651F0F"/>
    <w:rsid w:val="00660382"/>
    <w:rsid w:val="00660B31"/>
    <w:rsid w:val="00671566"/>
    <w:rsid w:val="00673CAE"/>
    <w:rsid w:val="00677715"/>
    <w:rsid w:val="00681E38"/>
    <w:rsid w:val="0069050B"/>
    <w:rsid w:val="006B1006"/>
    <w:rsid w:val="006B2726"/>
    <w:rsid w:val="006C0D9A"/>
    <w:rsid w:val="006D1643"/>
    <w:rsid w:val="006E6629"/>
    <w:rsid w:val="006E67D1"/>
    <w:rsid w:val="006E7AD3"/>
    <w:rsid w:val="006F1517"/>
    <w:rsid w:val="006F2860"/>
    <w:rsid w:val="006F41B1"/>
    <w:rsid w:val="006F589F"/>
    <w:rsid w:val="006F68BE"/>
    <w:rsid w:val="006F7F39"/>
    <w:rsid w:val="0070448D"/>
    <w:rsid w:val="00707AFB"/>
    <w:rsid w:val="00723E9E"/>
    <w:rsid w:val="00752206"/>
    <w:rsid w:val="00762C40"/>
    <w:rsid w:val="007654D4"/>
    <w:rsid w:val="007655D1"/>
    <w:rsid w:val="00786793"/>
    <w:rsid w:val="00790D2C"/>
    <w:rsid w:val="00791D65"/>
    <w:rsid w:val="007935D5"/>
    <w:rsid w:val="007A0FBE"/>
    <w:rsid w:val="007A4966"/>
    <w:rsid w:val="007C7252"/>
    <w:rsid w:val="007D1C38"/>
    <w:rsid w:val="007E48CC"/>
    <w:rsid w:val="007E5996"/>
    <w:rsid w:val="008019A8"/>
    <w:rsid w:val="0080325F"/>
    <w:rsid w:val="00810506"/>
    <w:rsid w:val="00827B71"/>
    <w:rsid w:val="00841BDF"/>
    <w:rsid w:val="0084609A"/>
    <w:rsid w:val="00846E18"/>
    <w:rsid w:val="00865B12"/>
    <w:rsid w:val="00866061"/>
    <w:rsid w:val="00874045"/>
    <w:rsid w:val="008900A8"/>
    <w:rsid w:val="00894890"/>
    <w:rsid w:val="008955AC"/>
    <w:rsid w:val="008B1EC1"/>
    <w:rsid w:val="008B1F0E"/>
    <w:rsid w:val="008C2C0F"/>
    <w:rsid w:val="008D7F73"/>
    <w:rsid w:val="008E2586"/>
    <w:rsid w:val="009102CC"/>
    <w:rsid w:val="009113FF"/>
    <w:rsid w:val="009341D2"/>
    <w:rsid w:val="00936A53"/>
    <w:rsid w:val="009451B1"/>
    <w:rsid w:val="00945B72"/>
    <w:rsid w:val="00954360"/>
    <w:rsid w:val="00957799"/>
    <w:rsid w:val="00960BE4"/>
    <w:rsid w:val="00962045"/>
    <w:rsid w:val="00963DE6"/>
    <w:rsid w:val="00964F22"/>
    <w:rsid w:val="00966622"/>
    <w:rsid w:val="0097076B"/>
    <w:rsid w:val="00986B80"/>
    <w:rsid w:val="009B1B70"/>
    <w:rsid w:val="009C2DE1"/>
    <w:rsid w:val="009C5CD2"/>
    <w:rsid w:val="009D7A6D"/>
    <w:rsid w:val="009E13DD"/>
    <w:rsid w:val="009E524F"/>
    <w:rsid w:val="009E6157"/>
    <w:rsid w:val="009F5543"/>
    <w:rsid w:val="009F58E1"/>
    <w:rsid w:val="00A04EF3"/>
    <w:rsid w:val="00A06B7C"/>
    <w:rsid w:val="00A134DC"/>
    <w:rsid w:val="00A160B5"/>
    <w:rsid w:val="00A278AF"/>
    <w:rsid w:val="00A27C2A"/>
    <w:rsid w:val="00A33B43"/>
    <w:rsid w:val="00A3582E"/>
    <w:rsid w:val="00A60130"/>
    <w:rsid w:val="00A6169D"/>
    <w:rsid w:val="00A61AC0"/>
    <w:rsid w:val="00A630B4"/>
    <w:rsid w:val="00A6329E"/>
    <w:rsid w:val="00A6542F"/>
    <w:rsid w:val="00A70844"/>
    <w:rsid w:val="00A7361D"/>
    <w:rsid w:val="00A76663"/>
    <w:rsid w:val="00A77AC0"/>
    <w:rsid w:val="00A845D1"/>
    <w:rsid w:val="00A918E4"/>
    <w:rsid w:val="00AA4B31"/>
    <w:rsid w:val="00AA5F77"/>
    <w:rsid w:val="00AA7B9B"/>
    <w:rsid w:val="00AB0C83"/>
    <w:rsid w:val="00AB5130"/>
    <w:rsid w:val="00AC579E"/>
    <w:rsid w:val="00AD2ED7"/>
    <w:rsid w:val="00AD5ED7"/>
    <w:rsid w:val="00AE3686"/>
    <w:rsid w:val="00AF11E4"/>
    <w:rsid w:val="00AF17DB"/>
    <w:rsid w:val="00AF399C"/>
    <w:rsid w:val="00AF4347"/>
    <w:rsid w:val="00AF5FE7"/>
    <w:rsid w:val="00B108FD"/>
    <w:rsid w:val="00B1184C"/>
    <w:rsid w:val="00B27347"/>
    <w:rsid w:val="00B3432B"/>
    <w:rsid w:val="00B47C7F"/>
    <w:rsid w:val="00B84243"/>
    <w:rsid w:val="00B85202"/>
    <w:rsid w:val="00B87973"/>
    <w:rsid w:val="00B91420"/>
    <w:rsid w:val="00BA4454"/>
    <w:rsid w:val="00BB7478"/>
    <w:rsid w:val="00BD378C"/>
    <w:rsid w:val="00BD4986"/>
    <w:rsid w:val="00BE1039"/>
    <w:rsid w:val="00BE4726"/>
    <w:rsid w:val="00BE56C8"/>
    <w:rsid w:val="00C02282"/>
    <w:rsid w:val="00C0459B"/>
    <w:rsid w:val="00C13BA6"/>
    <w:rsid w:val="00C14B77"/>
    <w:rsid w:val="00C22D3C"/>
    <w:rsid w:val="00C31B1F"/>
    <w:rsid w:val="00C36079"/>
    <w:rsid w:val="00C437EB"/>
    <w:rsid w:val="00C93807"/>
    <w:rsid w:val="00CB001E"/>
    <w:rsid w:val="00CB1A12"/>
    <w:rsid w:val="00CD5CA6"/>
    <w:rsid w:val="00CE53AB"/>
    <w:rsid w:val="00CF5F38"/>
    <w:rsid w:val="00D02EF1"/>
    <w:rsid w:val="00D03C55"/>
    <w:rsid w:val="00D10077"/>
    <w:rsid w:val="00D1090D"/>
    <w:rsid w:val="00D176EB"/>
    <w:rsid w:val="00D328CE"/>
    <w:rsid w:val="00D35382"/>
    <w:rsid w:val="00D45BAE"/>
    <w:rsid w:val="00D552FE"/>
    <w:rsid w:val="00D60543"/>
    <w:rsid w:val="00D615E8"/>
    <w:rsid w:val="00D62277"/>
    <w:rsid w:val="00D66BB9"/>
    <w:rsid w:val="00D67D80"/>
    <w:rsid w:val="00D806D3"/>
    <w:rsid w:val="00D80B0E"/>
    <w:rsid w:val="00D81DF8"/>
    <w:rsid w:val="00D85E89"/>
    <w:rsid w:val="00D93380"/>
    <w:rsid w:val="00D9648C"/>
    <w:rsid w:val="00DA7FFA"/>
    <w:rsid w:val="00DB2443"/>
    <w:rsid w:val="00DB480F"/>
    <w:rsid w:val="00DB481B"/>
    <w:rsid w:val="00DC1C23"/>
    <w:rsid w:val="00DC493E"/>
    <w:rsid w:val="00E01B4E"/>
    <w:rsid w:val="00E20912"/>
    <w:rsid w:val="00E31DF7"/>
    <w:rsid w:val="00E36019"/>
    <w:rsid w:val="00E368FB"/>
    <w:rsid w:val="00E4383A"/>
    <w:rsid w:val="00E54908"/>
    <w:rsid w:val="00E620F4"/>
    <w:rsid w:val="00E655DA"/>
    <w:rsid w:val="00E862BA"/>
    <w:rsid w:val="00E867AE"/>
    <w:rsid w:val="00E91CD0"/>
    <w:rsid w:val="00EA2F32"/>
    <w:rsid w:val="00EB675F"/>
    <w:rsid w:val="00EC698B"/>
    <w:rsid w:val="00ED782E"/>
    <w:rsid w:val="00EE79BA"/>
    <w:rsid w:val="00EE7A83"/>
    <w:rsid w:val="00F004CB"/>
    <w:rsid w:val="00F02021"/>
    <w:rsid w:val="00F10B17"/>
    <w:rsid w:val="00F11A10"/>
    <w:rsid w:val="00F210CA"/>
    <w:rsid w:val="00F24C54"/>
    <w:rsid w:val="00F30981"/>
    <w:rsid w:val="00F7688D"/>
    <w:rsid w:val="00F83116"/>
    <w:rsid w:val="00F9603D"/>
    <w:rsid w:val="00F97666"/>
    <w:rsid w:val="00FA0364"/>
    <w:rsid w:val="00FA5092"/>
    <w:rsid w:val="00FB4221"/>
    <w:rsid w:val="00FB7547"/>
    <w:rsid w:val="00FD6CED"/>
    <w:rsid w:val="00FE0FDC"/>
    <w:rsid w:val="00FE35B3"/>
    <w:rsid w:val="00FF18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FA403"/>
  <w15:chartTrackingRefBased/>
  <w15:docId w15:val="{2AD4D7BE-3E4B-4188-BEBA-7DC284D5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rsid w:val="00A70844"/>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link w:val="BodyTextIndent"/>
    <w:uiPriority w:val="99"/>
    <w:rsid w:val="00A70844"/>
    <w:rPr>
      <w:rFonts w:ascii="Baskerville Old Face" w:hAnsi="Baskerville Old Face"/>
      <w:sz w:val="24"/>
      <w:szCs w:val="24"/>
    </w:rPr>
  </w:style>
  <w:style w:type="paragraph" w:styleId="BlockText">
    <w:name w:val="Block Text"/>
    <w:basedOn w:val="Normal"/>
    <w:rsid w:val="00B108FD"/>
    <w:pPr>
      <w:widowControl/>
      <w:ind w:left="1890" w:right="720"/>
    </w:pPr>
    <w:rPr>
      <w:rFonts w:ascii="Arial" w:hAnsi="Arial" w:cs="Arial"/>
      <w:snapToGrid/>
      <w:sz w:val="24"/>
    </w:rPr>
  </w:style>
  <w:style w:type="character" w:styleId="FollowedHyperlink">
    <w:name w:val="FollowedHyperlink"/>
    <w:rsid w:val="00B87973"/>
    <w:rPr>
      <w:color w:val="954F72"/>
      <w:u w:val="single"/>
    </w:rPr>
  </w:style>
  <w:style w:type="paragraph" w:styleId="HTMLPreformatted">
    <w:name w:val="HTML Preformatted"/>
    <w:basedOn w:val="Normal"/>
    <w:link w:val="HTMLPreformattedChar"/>
    <w:uiPriority w:val="99"/>
    <w:unhideWhenUsed/>
    <w:rsid w:val="00EA2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link w:val="HTMLPreformatted"/>
    <w:uiPriority w:val="99"/>
    <w:rsid w:val="00EA2F32"/>
    <w:rPr>
      <w:rFonts w:ascii="Courier New" w:hAnsi="Courier New" w:cs="Courier New"/>
    </w:rPr>
  </w:style>
  <w:style w:type="paragraph" w:customStyle="1" w:styleId="Default">
    <w:name w:val="Default"/>
    <w:rsid w:val="005D242A"/>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313DF8"/>
    <w:rPr>
      <w:rFonts w:ascii="Courier New" w:hAnsi="Courier New"/>
      <w:snapToGrid w:val="0"/>
    </w:rPr>
  </w:style>
  <w:style w:type="character" w:styleId="UnresolvedMention">
    <w:name w:val="Unresolved Mention"/>
    <w:basedOn w:val="DefaultParagraphFont"/>
    <w:uiPriority w:val="99"/>
    <w:semiHidden/>
    <w:unhideWhenUsed/>
    <w:rsid w:val="0025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yperlink" Target="https://aspe.hhs.gov/topics/poverty-economic-mobility/poverty-guideline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032585-9533-4289-BED8-D068DBA15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F288BFE-5298-42EB-84DA-5D0626FB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2378</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2023-06-14T16:56:00Z</dcterms:created>
  <dcterms:modified xsi:type="dcterms:W3CDTF">2023-06-14T17:12:00Z</dcterms:modified>
</cp:coreProperties>
</file>