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5F94" w:rsidP="00CA64E9" w14:paraId="608620A5" w14:textId="77777777">
      <w:pPr>
        <w:tabs>
          <w:tab w:val="center" w:pos="4680"/>
        </w:tabs>
        <w:rPr>
          <w:b/>
          <w:bCs/>
        </w:rPr>
      </w:pPr>
    </w:p>
    <w:p w:rsidR="00E85F94" w:rsidP="00CA64E9" w14:paraId="3D0AB4E0" w14:textId="77777777">
      <w:pPr>
        <w:tabs>
          <w:tab w:val="center" w:pos="4680"/>
        </w:tabs>
        <w:rPr>
          <w:b/>
          <w:bCs/>
        </w:rPr>
      </w:pPr>
    </w:p>
    <w:p w:rsidR="00E85F94" w:rsidP="00CA64E9" w14:paraId="012A6B1F" w14:textId="77777777">
      <w:pPr>
        <w:tabs>
          <w:tab w:val="center" w:pos="4680"/>
        </w:tabs>
        <w:rPr>
          <w:b/>
          <w:bCs/>
        </w:rPr>
      </w:pPr>
    </w:p>
    <w:p w:rsidR="00E85F94" w:rsidRPr="00E85F94" w:rsidP="00E85F94" w14:paraId="10974495" w14:textId="77777777">
      <w:pPr>
        <w:tabs>
          <w:tab w:val="center" w:pos="4680"/>
        </w:tabs>
        <w:jc w:val="center"/>
      </w:pPr>
    </w:p>
    <w:p w:rsidR="00E85F94" w:rsidRPr="00E85F94" w:rsidP="00E85F94" w14:paraId="1B2A8C1C" w14:textId="77777777">
      <w:pPr>
        <w:tabs>
          <w:tab w:val="center" w:pos="4680"/>
        </w:tabs>
        <w:jc w:val="center"/>
      </w:pPr>
    </w:p>
    <w:p w:rsidR="00E85F94" w:rsidRPr="00E85F94" w:rsidP="00E85F94" w14:paraId="27B104F3" w14:textId="44DC8174">
      <w:pPr>
        <w:tabs>
          <w:tab w:val="center" w:pos="4680"/>
        </w:tabs>
        <w:jc w:val="center"/>
      </w:pPr>
      <w:r w:rsidRPr="00E85F94">
        <w:t>Attachment J- Audiometric Exam Results Notification Letter</w:t>
      </w:r>
    </w:p>
    <w:p w:rsidR="00E85F94" w:rsidP="00CA64E9" w14:paraId="1CAF85BE" w14:textId="77777777">
      <w:pPr>
        <w:tabs>
          <w:tab w:val="center" w:pos="4680"/>
        </w:tabs>
        <w:rPr>
          <w:b/>
          <w:bCs/>
        </w:rPr>
      </w:pPr>
    </w:p>
    <w:p w:rsidR="00E85F94" w:rsidP="00CA64E9" w14:paraId="70351446" w14:textId="77777777">
      <w:pPr>
        <w:tabs>
          <w:tab w:val="center" w:pos="4680"/>
        </w:tabs>
        <w:rPr>
          <w:b/>
          <w:bCs/>
        </w:rPr>
      </w:pPr>
    </w:p>
    <w:p w:rsidR="00E85F94" w:rsidP="00CA64E9" w14:paraId="24F9D22F" w14:textId="77777777">
      <w:pPr>
        <w:tabs>
          <w:tab w:val="center" w:pos="4680"/>
        </w:tabs>
        <w:rPr>
          <w:b/>
          <w:bCs/>
        </w:rPr>
      </w:pPr>
    </w:p>
    <w:p w:rsidR="00E85F94" w:rsidP="00CA64E9" w14:paraId="0849DD06" w14:textId="77777777">
      <w:pPr>
        <w:tabs>
          <w:tab w:val="center" w:pos="4680"/>
        </w:tabs>
        <w:rPr>
          <w:b/>
          <w:bCs/>
        </w:rPr>
      </w:pPr>
    </w:p>
    <w:p w:rsidR="00E85F94" w:rsidP="00CA64E9" w14:paraId="61F3ED31" w14:textId="77777777">
      <w:pPr>
        <w:tabs>
          <w:tab w:val="center" w:pos="4680"/>
        </w:tabs>
        <w:rPr>
          <w:b/>
          <w:bCs/>
        </w:rPr>
      </w:pPr>
    </w:p>
    <w:p w:rsidR="00E85F94" w:rsidP="00CA64E9" w14:paraId="44B4CAED" w14:textId="77777777">
      <w:pPr>
        <w:tabs>
          <w:tab w:val="center" w:pos="4680"/>
        </w:tabs>
        <w:rPr>
          <w:b/>
          <w:bCs/>
        </w:rPr>
      </w:pPr>
    </w:p>
    <w:p w:rsidR="00E85F94" w:rsidP="00CA64E9" w14:paraId="4D4E6D35" w14:textId="77777777">
      <w:pPr>
        <w:tabs>
          <w:tab w:val="center" w:pos="4680"/>
        </w:tabs>
        <w:rPr>
          <w:b/>
          <w:bCs/>
        </w:rPr>
      </w:pPr>
    </w:p>
    <w:p w:rsidR="00E85F94" w:rsidP="00CA64E9" w14:paraId="76D7BB57" w14:textId="77777777">
      <w:pPr>
        <w:tabs>
          <w:tab w:val="center" w:pos="4680"/>
        </w:tabs>
        <w:rPr>
          <w:b/>
          <w:bCs/>
        </w:rPr>
      </w:pPr>
    </w:p>
    <w:p w:rsidR="00E85F94" w:rsidP="00CA64E9" w14:paraId="69B2D704" w14:textId="77777777">
      <w:pPr>
        <w:tabs>
          <w:tab w:val="center" w:pos="4680"/>
        </w:tabs>
        <w:rPr>
          <w:b/>
          <w:bCs/>
        </w:rPr>
      </w:pPr>
    </w:p>
    <w:p w:rsidR="00E85F94" w:rsidP="00CA64E9" w14:paraId="618B12DE" w14:textId="77777777">
      <w:pPr>
        <w:tabs>
          <w:tab w:val="center" w:pos="4680"/>
        </w:tabs>
        <w:rPr>
          <w:b/>
          <w:bCs/>
        </w:rPr>
      </w:pPr>
    </w:p>
    <w:p w:rsidR="00E85F94" w:rsidP="00CA64E9" w14:paraId="0633D98A" w14:textId="77777777">
      <w:pPr>
        <w:tabs>
          <w:tab w:val="center" w:pos="4680"/>
        </w:tabs>
        <w:rPr>
          <w:b/>
          <w:bCs/>
        </w:rPr>
      </w:pPr>
    </w:p>
    <w:p w:rsidR="00E85F94" w:rsidP="00CA64E9" w14:paraId="7832E93A" w14:textId="77777777">
      <w:pPr>
        <w:tabs>
          <w:tab w:val="center" w:pos="4680"/>
        </w:tabs>
        <w:rPr>
          <w:b/>
          <w:bCs/>
        </w:rPr>
      </w:pPr>
    </w:p>
    <w:p w:rsidR="00E85F94" w:rsidP="00CA64E9" w14:paraId="77B267CC" w14:textId="77777777">
      <w:pPr>
        <w:tabs>
          <w:tab w:val="center" w:pos="4680"/>
        </w:tabs>
        <w:rPr>
          <w:b/>
          <w:bCs/>
        </w:rPr>
      </w:pPr>
    </w:p>
    <w:p w:rsidR="00E85F94" w:rsidP="00CA64E9" w14:paraId="7952736D" w14:textId="77777777">
      <w:pPr>
        <w:tabs>
          <w:tab w:val="center" w:pos="4680"/>
        </w:tabs>
        <w:rPr>
          <w:b/>
          <w:bCs/>
        </w:rPr>
      </w:pPr>
    </w:p>
    <w:p w:rsidR="00E85F94" w:rsidP="00CA64E9" w14:paraId="3E6AC6E8" w14:textId="77777777">
      <w:pPr>
        <w:tabs>
          <w:tab w:val="center" w:pos="4680"/>
        </w:tabs>
        <w:rPr>
          <w:b/>
          <w:bCs/>
        </w:rPr>
      </w:pPr>
    </w:p>
    <w:p w:rsidR="00E85F94" w:rsidP="00CA64E9" w14:paraId="1A5CEF63" w14:textId="77777777">
      <w:pPr>
        <w:tabs>
          <w:tab w:val="center" w:pos="4680"/>
        </w:tabs>
        <w:rPr>
          <w:b/>
          <w:bCs/>
        </w:rPr>
      </w:pPr>
    </w:p>
    <w:p w:rsidR="00E85F94" w:rsidP="00CA64E9" w14:paraId="2E714399" w14:textId="77777777">
      <w:pPr>
        <w:tabs>
          <w:tab w:val="center" w:pos="4680"/>
        </w:tabs>
        <w:rPr>
          <w:b/>
          <w:bCs/>
        </w:rPr>
      </w:pPr>
    </w:p>
    <w:p w:rsidR="00E85F94" w:rsidP="00CA64E9" w14:paraId="580DF249" w14:textId="77777777">
      <w:pPr>
        <w:tabs>
          <w:tab w:val="center" w:pos="4680"/>
        </w:tabs>
        <w:rPr>
          <w:b/>
          <w:bCs/>
        </w:rPr>
      </w:pPr>
    </w:p>
    <w:p w:rsidR="00E85F94" w:rsidP="00CA64E9" w14:paraId="79E1A1DD" w14:textId="77777777">
      <w:pPr>
        <w:tabs>
          <w:tab w:val="center" w:pos="4680"/>
        </w:tabs>
        <w:rPr>
          <w:b/>
          <w:bCs/>
        </w:rPr>
      </w:pPr>
    </w:p>
    <w:p w:rsidR="00E85F94" w:rsidP="00CA64E9" w14:paraId="36AF6F4C" w14:textId="77777777">
      <w:pPr>
        <w:tabs>
          <w:tab w:val="center" w:pos="4680"/>
        </w:tabs>
        <w:rPr>
          <w:b/>
          <w:bCs/>
        </w:rPr>
      </w:pPr>
    </w:p>
    <w:p w:rsidR="00E85F94" w:rsidP="00CA64E9" w14:paraId="520FF8EC" w14:textId="77777777">
      <w:pPr>
        <w:tabs>
          <w:tab w:val="center" w:pos="4680"/>
        </w:tabs>
        <w:rPr>
          <w:b/>
          <w:bCs/>
        </w:rPr>
      </w:pPr>
    </w:p>
    <w:p w:rsidR="00E85F94" w:rsidP="00CA64E9" w14:paraId="65C2F3F2" w14:textId="77777777">
      <w:pPr>
        <w:tabs>
          <w:tab w:val="center" w:pos="4680"/>
        </w:tabs>
        <w:rPr>
          <w:b/>
          <w:bCs/>
        </w:rPr>
      </w:pPr>
    </w:p>
    <w:p w:rsidR="00E85F94" w:rsidP="00CA64E9" w14:paraId="67D545A0" w14:textId="77777777">
      <w:pPr>
        <w:tabs>
          <w:tab w:val="center" w:pos="4680"/>
        </w:tabs>
        <w:rPr>
          <w:b/>
          <w:bCs/>
        </w:rPr>
      </w:pPr>
    </w:p>
    <w:p w:rsidR="00E85F94" w:rsidP="00CA64E9" w14:paraId="6967856E" w14:textId="77777777">
      <w:pPr>
        <w:tabs>
          <w:tab w:val="center" w:pos="4680"/>
        </w:tabs>
        <w:rPr>
          <w:b/>
          <w:bCs/>
        </w:rPr>
      </w:pPr>
    </w:p>
    <w:p w:rsidR="0093706F" w:rsidRPr="009D17A9" w:rsidP="00CA64E9" w14:paraId="0795E6BD" w14:textId="12614857">
      <w:pPr>
        <w:tabs>
          <w:tab w:val="center" w:pos="4680"/>
        </w:tabs>
        <w:rPr>
          <w:b/>
          <w:bCs/>
        </w:rPr>
      </w:pPr>
      <w:r>
        <w:rPr>
          <w:b/>
          <w:bCs/>
        </w:rPr>
        <w:t>NIOSH Study “</w:t>
      </w:r>
      <w:r w:rsidRPr="00D518C2">
        <w:rPr>
          <w:b/>
          <w:bCs/>
        </w:rPr>
        <w:t>Noise Exposures and Hearing Loss in the Oil and Gas Extraction Industry</w:t>
      </w:r>
      <w:r>
        <w:rPr>
          <w:b/>
          <w:bCs/>
        </w:rPr>
        <w:t>”: Report of Findings from Audiometry (Hearing) Exam</w:t>
      </w:r>
    </w:p>
    <w:p w:rsidR="0093706F" w:rsidP="0093706F" w14:paraId="1CC182E8" w14:textId="77777777">
      <w:pPr>
        <w:tabs>
          <w:tab w:val="left" w:pos="-1440"/>
        </w:tabs>
        <w:ind w:left="2160" w:hanging="2160"/>
        <w:rPr>
          <w:color w:val="000000" w:themeColor="text1"/>
        </w:rPr>
      </w:pPr>
      <w:r>
        <w:rPr>
          <w:color w:val="000000" w:themeColor="text1"/>
        </w:rPr>
        <w:t>Name: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rsidR="0093706F" w:rsidP="0093706F" w14:paraId="46C7B222" w14:textId="77777777">
      <w:pPr>
        <w:tabs>
          <w:tab w:val="left" w:pos="-1440"/>
        </w:tabs>
        <w:ind w:left="2160" w:hanging="2160"/>
        <w:rPr>
          <w:color w:val="000000" w:themeColor="text1"/>
        </w:rPr>
      </w:pPr>
      <w:r>
        <w:rPr>
          <w:color w:val="000000" w:themeColor="text1"/>
        </w:rPr>
        <w:t xml:space="preserve">Address: </w:t>
      </w:r>
    </w:p>
    <w:p w:rsidR="0093706F" w:rsidRPr="0090338D" w:rsidP="0093706F" w14:paraId="76099080" w14:textId="77777777">
      <w:pPr>
        <w:tabs>
          <w:tab w:val="left" w:pos="-1440"/>
        </w:tabs>
        <w:ind w:left="2160" w:hanging="2160"/>
        <w:rPr>
          <w:color w:val="000000" w:themeColor="text1"/>
        </w:rPr>
      </w:pPr>
      <w:r w:rsidRPr="0090338D">
        <w:rPr>
          <w:color w:val="000000" w:themeColor="text1"/>
        </w:rPr>
        <w:t>Date</w:t>
      </w:r>
      <w:r>
        <w:rPr>
          <w:color w:val="000000" w:themeColor="text1"/>
        </w:rPr>
        <w:t xml:space="preserve"> of Exam</w:t>
      </w:r>
      <w:r w:rsidRPr="0090338D">
        <w:rPr>
          <w:color w:val="000000" w:themeColor="text1"/>
        </w:rPr>
        <w:t>:</w:t>
      </w:r>
      <w:r w:rsidRPr="0090338D">
        <w:rPr>
          <w:color w:val="000000" w:themeColor="text1"/>
        </w:rPr>
        <w:tab/>
      </w:r>
    </w:p>
    <w:p w:rsidR="0093706F" w:rsidRPr="00840808" w:rsidP="0093706F" w14:paraId="67F969A5" w14:textId="77777777">
      <w:pPr>
        <w:tabs>
          <w:tab w:val="left" w:pos="-1440"/>
        </w:tabs>
        <w:ind w:left="2160" w:hanging="2160"/>
        <w:rPr>
          <w:color w:val="000000" w:themeColor="text1"/>
        </w:rPr>
      </w:pPr>
      <w:r>
        <w:rPr>
          <w:color w:val="000000" w:themeColor="text1"/>
        </w:rPr>
        <w:t>Location of Exam</w:t>
      </w:r>
      <w:r w:rsidRPr="0090338D">
        <w:rPr>
          <w:color w:val="000000" w:themeColor="text1"/>
        </w:rPr>
        <w:t>:</w:t>
      </w:r>
      <w:r w:rsidRPr="0090338D">
        <w:rPr>
          <w:color w:val="000000" w:themeColor="text1"/>
        </w:rPr>
        <w:tab/>
      </w:r>
    </w:p>
    <w:p w:rsidR="0093706F" w:rsidP="0093706F" w14:paraId="6656D58D" w14:textId="77777777">
      <w:r>
        <w:t>Thank you for taking part in the “</w:t>
      </w:r>
      <w:r w:rsidRPr="00F65DE6">
        <w:t>Noise Exposures and Hearing Loss in the Oil and Gas Extraction Industry</w:t>
      </w:r>
      <w:r>
        <w:t>” study. As part of this research study in which you voluntarily participated, the National Institute for Occupational Safety and Health (NIOSH) performed audiometric (hearing) exam on you at an oil and gas industry worksite between [DATE RANGE]. We are writing because you asked for your individual exam results.</w:t>
      </w:r>
    </w:p>
    <w:p w:rsidR="0093706F" w:rsidRPr="0090338D" w:rsidP="0093706F" w14:paraId="2C4B70AB" w14:textId="77777777">
      <w:pPr>
        <w:rPr>
          <w:color w:val="000000" w:themeColor="text1"/>
        </w:rPr>
      </w:pPr>
      <w:r w:rsidRPr="0090338D">
        <w:rPr>
          <w:color w:val="000000" w:themeColor="text1"/>
        </w:rPr>
        <w:t xml:space="preserve">The softest sounds you </w:t>
      </w:r>
      <w:r w:rsidRPr="0090338D">
        <w:rPr>
          <w:color w:val="000000" w:themeColor="text1"/>
        </w:rPr>
        <w:t>are able to</w:t>
      </w:r>
      <w:r w:rsidRPr="0090338D">
        <w:rPr>
          <w:color w:val="000000" w:themeColor="text1"/>
        </w:rPr>
        <w:t xml:space="preserve"> hear are called hearing thresholds.  Your thresholds at different frequencies (pitches) are reported in the table below.  The lower pitched sounds are towards the left of the table and the higher pitched sounds are toward the right.</w:t>
      </w:r>
      <w:r>
        <w:rPr>
          <w:color w:val="000000" w:themeColor="text1"/>
        </w:rPr>
        <w:t xml:space="preserve">  </w:t>
      </w:r>
      <w:r w:rsidRPr="0090338D">
        <w:rPr>
          <w:color w:val="000000" w:themeColor="text1"/>
        </w:rPr>
        <w:t>Smaller numbers mean quieter sounds, and therefore indicate better hearing. Values of 25 dB or less are considered normal hearing.</w:t>
      </w:r>
    </w:p>
    <w:p w:rsidR="0093706F" w:rsidP="0093706F" w14:paraId="652E1FEB" w14:textId="77777777"/>
    <w:p w:rsidR="0093706F" w:rsidP="0093706F" w14:paraId="358B655F" w14:textId="77777777">
      <w:pPr>
        <w:tabs>
          <w:tab w:val="center" w:pos="4680"/>
        </w:tabs>
        <w:rPr>
          <w:rFonts w:ascii="Arial" w:hAnsi="Arial" w:cs="Arial"/>
          <w:sz w:val="18"/>
          <w:szCs w:val="18"/>
        </w:rPr>
      </w:pPr>
      <w:r>
        <w:rPr>
          <w:rFonts w:ascii="Arial" w:hAnsi="Arial" w:cs="Arial"/>
          <w:sz w:val="18"/>
          <w:szCs w:val="18"/>
        </w:rPr>
        <w:tab/>
      </w:r>
      <w:r>
        <w:rPr>
          <w:rFonts w:ascii="Arial" w:hAnsi="Arial" w:cs="Arial"/>
          <w:b/>
          <w:bCs/>
          <w:sz w:val="18"/>
          <w:szCs w:val="18"/>
        </w:rPr>
        <w:t>Hearing Levels by Ear and Frequency (Air Conduction)</w:t>
      </w:r>
    </w:p>
    <w:tbl>
      <w:tblPr>
        <w:tblW w:w="0" w:type="auto"/>
        <w:jc w:val="center"/>
        <w:tblLayout w:type="fixed"/>
        <w:tblCellMar>
          <w:left w:w="72" w:type="dxa"/>
          <w:right w:w="72" w:type="dxa"/>
        </w:tblCellMar>
        <w:tblLook w:val="0000"/>
      </w:tblPr>
      <w:tblGrid>
        <w:gridCol w:w="1899"/>
        <w:gridCol w:w="759"/>
        <w:gridCol w:w="759"/>
        <w:gridCol w:w="759"/>
        <w:gridCol w:w="759"/>
        <w:gridCol w:w="759"/>
        <w:gridCol w:w="759"/>
        <w:gridCol w:w="759"/>
        <w:gridCol w:w="6"/>
      </w:tblGrid>
      <w:tr w14:paraId="775E6C92" w14:textId="77777777" w:rsidTr="00AA65B8">
        <w:tblPrEx>
          <w:tblW w:w="0" w:type="auto"/>
          <w:jc w:val="center"/>
          <w:tblLayout w:type="fixed"/>
          <w:tblCellMar>
            <w:left w:w="72" w:type="dxa"/>
            <w:right w:w="72" w:type="dxa"/>
          </w:tblCellMar>
          <w:tblLook w:val="0000"/>
        </w:tblPrEx>
        <w:trPr>
          <w:trHeight w:hRule="exact" w:val="482"/>
          <w:jc w:val="center"/>
        </w:trPr>
        <w:tc>
          <w:tcPr>
            <w:tcW w:w="1899" w:type="dxa"/>
            <w:tcBorders>
              <w:top w:val="nil"/>
              <w:left w:val="nil"/>
              <w:bottom w:val="nil"/>
              <w:right w:val="nil"/>
            </w:tcBorders>
          </w:tcPr>
          <w:p w:rsidR="0093706F" w:rsidP="00AA65B8" w14:paraId="3FBCAFAC" w14:textId="77777777">
            <w:pPr>
              <w:spacing w:line="57" w:lineRule="exact"/>
              <w:rPr>
                <w:rFonts w:ascii="Arial" w:hAnsi="Arial" w:cs="Arial"/>
                <w:sz w:val="18"/>
                <w:szCs w:val="18"/>
              </w:rPr>
            </w:pPr>
          </w:p>
          <w:p w:rsidR="0093706F" w:rsidP="00AA65B8" w14:paraId="44AC423C" w14:textId="77777777">
            <w:pPr>
              <w:spacing w:after="58"/>
              <w:rPr>
                <w:rFonts w:ascii="Arial" w:hAnsi="Arial" w:cs="Arial"/>
                <w:sz w:val="18"/>
                <w:szCs w:val="18"/>
              </w:rPr>
            </w:pPr>
          </w:p>
        </w:tc>
        <w:tc>
          <w:tcPr>
            <w:tcW w:w="5319" w:type="dxa"/>
            <w:gridSpan w:val="8"/>
            <w:tcBorders>
              <w:top w:val="nil"/>
              <w:left w:val="nil"/>
              <w:bottom w:val="nil"/>
              <w:right w:val="nil"/>
            </w:tcBorders>
          </w:tcPr>
          <w:p w:rsidR="0093706F" w:rsidP="00AA65B8" w14:paraId="1F75CF17" w14:textId="77777777">
            <w:pPr>
              <w:spacing w:line="57" w:lineRule="exact"/>
              <w:rPr>
                <w:rFonts w:ascii="Arial" w:hAnsi="Arial" w:cs="Arial"/>
                <w:sz w:val="18"/>
                <w:szCs w:val="18"/>
              </w:rPr>
            </w:pPr>
          </w:p>
          <w:p w:rsidR="0093706F" w:rsidP="00AA65B8" w14:paraId="0596704A" w14:textId="77777777">
            <w:pPr>
              <w:spacing w:after="58"/>
              <w:jc w:val="center"/>
              <w:rPr>
                <w:rFonts w:ascii="Arial" w:hAnsi="Arial" w:cs="Arial"/>
                <w:b/>
                <w:bCs/>
                <w:sz w:val="18"/>
                <w:szCs w:val="18"/>
              </w:rPr>
            </w:pPr>
            <w:r>
              <w:rPr>
                <w:rFonts w:ascii="Arial" w:hAnsi="Arial" w:cs="Arial"/>
                <w:b/>
                <w:bCs/>
                <w:sz w:val="18"/>
                <w:szCs w:val="18"/>
              </w:rPr>
              <w:t>Frequency (Hz)</w:t>
            </w:r>
          </w:p>
        </w:tc>
      </w:tr>
      <w:tr w14:paraId="66FBEC54" w14:textId="77777777" w:rsidTr="00AA65B8">
        <w:tblPrEx>
          <w:tblW w:w="0" w:type="auto"/>
          <w:jc w:val="center"/>
          <w:tblLayout w:type="fixed"/>
          <w:tblCellMar>
            <w:left w:w="72" w:type="dxa"/>
            <w:right w:w="72" w:type="dxa"/>
          </w:tblCellMar>
          <w:tblLook w:val="0000"/>
        </w:tblPrEx>
        <w:trPr>
          <w:gridAfter w:val="1"/>
          <w:wAfter w:w="6" w:type="dxa"/>
          <w:trHeight w:hRule="exact" w:val="482"/>
          <w:jc w:val="center"/>
        </w:trPr>
        <w:tc>
          <w:tcPr>
            <w:tcW w:w="1899" w:type="dxa"/>
            <w:tcBorders>
              <w:top w:val="nil"/>
              <w:left w:val="nil"/>
              <w:bottom w:val="single" w:sz="7" w:space="0" w:color="000000"/>
              <w:right w:val="nil"/>
            </w:tcBorders>
          </w:tcPr>
          <w:p w:rsidR="0093706F" w:rsidP="00AA65B8" w14:paraId="7C7804E3" w14:textId="77777777">
            <w:pPr>
              <w:spacing w:line="57" w:lineRule="exact"/>
              <w:rPr>
                <w:rFonts w:ascii="Arial" w:hAnsi="Arial" w:cs="Arial"/>
                <w:b/>
                <w:bCs/>
                <w:sz w:val="18"/>
                <w:szCs w:val="18"/>
              </w:rPr>
            </w:pPr>
          </w:p>
          <w:p w:rsidR="0093706F" w:rsidP="00AA65B8" w14:paraId="23606F61" w14:textId="77777777">
            <w:pPr>
              <w:spacing w:after="58"/>
              <w:rPr>
                <w:rFonts w:ascii="Arial" w:hAnsi="Arial" w:cs="Arial"/>
                <w:sz w:val="18"/>
                <w:szCs w:val="18"/>
              </w:rPr>
            </w:pPr>
          </w:p>
        </w:tc>
        <w:tc>
          <w:tcPr>
            <w:tcW w:w="759" w:type="dxa"/>
            <w:tcBorders>
              <w:top w:val="nil"/>
              <w:left w:val="nil"/>
              <w:bottom w:val="single" w:sz="7" w:space="0" w:color="000000"/>
              <w:right w:val="nil"/>
            </w:tcBorders>
          </w:tcPr>
          <w:p w:rsidR="0093706F" w:rsidP="00AA65B8" w14:paraId="459D99E7" w14:textId="77777777">
            <w:pPr>
              <w:spacing w:line="57" w:lineRule="exact"/>
              <w:rPr>
                <w:rFonts w:ascii="Arial" w:hAnsi="Arial" w:cs="Arial"/>
                <w:sz w:val="18"/>
                <w:szCs w:val="18"/>
              </w:rPr>
            </w:pPr>
          </w:p>
          <w:p w:rsidR="0093706F" w:rsidP="00AA65B8" w14:paraId="4A261F90" w14:textId="77777777">
            <w:pPr>
              <w:spacing w:after="58"/>
              <w:jc w:val="center"/>
              <w:rPr>
                <w:rFonts w:ascii="Arial" w:hAnsi="Arial" w:cs="Arial"/>
                <w:b/>
                <w:bCs/>
                <w:sz w:val="18"/>
                <w:szCs w:val="18"/>
              </w:rPr>
            </w:pPr>
            <w:r>
              <w:rPr>
                <w:rFonts w:ascii="Arial" w:hAnsi="Arial" w:cs="Arial"/>
                <w:b/>
                <w:bCs/>
                <w:sz w:val="18"/>
                <w:szCs w:val="18"/>
              </w:rPr>
              <w:t>500</w:t>
            </w:r>
          </w:p>
        </w:tc>
        <w:tc>
          <w:tcPr>
            <w:tcW w:w="759" w:type="dxa"/>
            <w:tcBorders>
              <w:top w:val="nil"/>
              <w:left w:val="nil"/>
              <w:bottom w:val="single" w:sz="7" w:space="0" w:color="000000"/>
              <w:right w:val="nil"/>
            </w:tcBorders>
          </w:tcPr>
          <w:p w:rsidR="0093706F" w:rsidP="00AA65B8" w14:paraId="3395BFB0" w14:textId="77777777">
            <w:pPr>
              <w:spacing w:line="57" w:lineRule="exact"/>
              <w:rPr>
                <w:rFonts w:ascii="Arial" w:hAnsi="Arial" w:cs="Arial"/>
                <w:b/>
                <w:bCs/>
                <w:sz w:val="18"/>
                <w:szCs w:val="18"/>
              </w:rPr>
            </w:pPr>
          </w:p>
          <w:p w:rsidR="0093706F" w:rsidP="00AA65B8" w14:paraId="12E79DC1" w14:textId="77777777">
            <w:pPr>
              <w:spacing w:after="58"/>
              <w:jc w:val="center"/>
              <w:rPr>
                <w:rFonts w:ascii="Arial" w:hAnsi="Arial" w:cs="Arial"/>
                <w:b/>
                <w:bCs/>
                <w:sz w:val="18"/>
                <w:szCs w:val="18"/>
              </w:rPr>
            </w:pPr>
            <w:r>
              <w:rPr>
                <w:rFonts w:ascii="Arial" w:hAnsi="Arial" w:cs="Arial"/>
                <w:b/>
                <w:bCs/>
                <w:sz w:val="18"/>
                <w:szCs w:val="18"/>
              </w:rPr>
              <w:t>1000</w:t>
            </w:r>
          </w:p>
        </w:tc>
        <w:tc>
          <w:tcPr>
            <w:tcW w:w="759" w:type="dxa"/>
            <w:tcBorders>
              <w:top w:val="nil"/>
              <w:left w:val="nil"/>
              <w:bottom w:val="single" w:sz="7" w:space="0" w:color="000000"/>
              <w:right w:val="nil"/>
            </w:tcBorders>
          </w:tcPr>
          <w:p w:rsidR="0093706F" w:rsidP="00AA65B8" w14:paraId="5A9BAE48" w14:textId="77777777">
            <w:pPr>
              <w:spacing w:line="57" w:lineRule="exact"/>
              <w:rPr>
                <w:rFonts w:ascii="Arial" w:hAnsi="Arial" w:cs="Arial"/>
                <w:b/>
                <w:bCs/>
                <w:sz w:val="18"/>
                <w:szCs w:val="18"/>
              </w:rPr>
            </w:pPr>
          </w:p>
          <w:p w:rsidR="0093706F" w:rsidP="00AA65B8" w14:paraId="2179F0B3" w14:textId="77777777">
            <w:pPr>
              <w:spacing w:after="58"/>
              <w:jc w:val="center"/>
              <w:rPr>
                <w:rFonts w:ascii="Arial" w:hAnsi="Arial" w:cs="Arial"/>
                <w:b/>
                <w:bCs/>
                <w:sz w:val="18"/>
                <w:szCs w:val="18"/>
              </w:rPr>
            </w:pPr>
            <w:r>
              <w:rPr>
                <w:rFonts w:ascii="Arial" w:hAnsi="Arial" w:cs="Arial"/>
                <w:b/>
                <w:bCs/>
                <w:sz w:val="18"/>
                <w:szCs w:val="18"/>
              </w:rPr>
              <w:t>2000</w:t>
            </w:r>
          </w:p>
        </w:tc>
        <w:tc>
          <w:tcPr>
            <w:tcW w:w="759" w:type="dxa"/>
            <w:tcBorders>
              <w:top w:val="nil"/>
              <w:left w:val="nil"/>
              <w:bottom w:val="single" w:sz="7" w:space="0" w:color="000000"/>
              <w:right w:val="nil"/>
            </w:tcBorders>
          </w:tcPr>
          <w:p w:rsidR="0093706F" w:rsidP="00AA65B8" w14:paraId="5E13D61F" w14:textId="77777777">
            <w:pPr>
              <w:spacing w:line="57" w:lineRule="exact"/>
              <w:rPr>
                <w:rFonts w:ascii="Arial" w:hAnsi="Arial" w:cs="Arial"/>
                <w:b/>
                <w:bCs/>
                <w:sz w:val="18"/>
                <w:szCs w:val="18"/>
              </w:rPr>
            </w:pPr>
          </w:p>
          <w:p w:rsidR="0093706F" w:rsidP="00AA65B8" w14:paraId="3A0A4DF6" w14:textId="77777777">
            <w:pPr>
              <w:spacing w:after="58"/>
              <w:jc w:val="center"/>
              <w:rPr>
                <w:rFonts w:ascii="Arial" w:hAnsi="Arial" w:cs="Arial"/>
                <w:b/>
                <w:bCs/>
                <w:sz w:val="18"/>
                <w:szCs w:val="18"/>
              </w:rPr>
            </w:pPr>
            <w:r>
              <w:rPr>
                <w:rFonts w:ascii="Arial" w:hAnsi="Arial" w:cs="Arial"/>
                <w:b/>
                <w:bCs/>
                <w:sz w:val="18"/>
                <w:szCs w:val="18"/>
              </w:rPr>
              <w:t>3000</w:t>
            </w:r>
          </w:p>
        </w:tc>
        <w:tc>
          <w:tcPr>
            <w:tcW w:w="759" w:type="dxa"/>
            <w:tcBorders>
              <w:top w:val="nil"/>
              <w:left w:val="nil"/>
              <w:bottom w:val="single" w:sz="7" w:space="0" w:color="000000"/>
              <w:right w:val="nil"/>
            </w:tcBorders>
          </w:tcPr>
          <w:p w:rsidR="0093706F" w:rsidP="00AA65B8" w14:paraId="385DA305" w14:textId="77777777">
            <w:pPr>
              <w:spacing w:line="57" w:lineRule="exact"/>
              <w:rPr>
                <w:rFonts w:ascii="Arial" w:hAnsi="Arial" w:cs="Arial"/>
                <w:b/>
                <w:bCs/>
                <w:sz w:val="18"/>
                <w:szCs w:val="18"/>
              </w:rPr>
            </w:pPr>
          </w:p>
          <w:p w:rsidR="0093706F" w:rsidP="00AA65B8" w14:paraId="7B43C9AF" w14:textId="77777777">
            <w:pPr>
              <w:spacing w:after="58"/>
              <w:jc w:val="center"/>
              <w:rPr>
                <w:rFonts w:ascii="Arial" w:hAnsi="Arial" w:cs="Arial"/>
                <w:b/>
                <w:bCs/>
                <w:sz w:val="18"/>
                <w:szCs w:val="18"/>
              </w:rPr>
            </w:pPr>
            <w:r>
              <w:rPr>
                <w:rFonts w:ascii="Arial" w:hAnsi="Arial" w:cs="Arial"/>
                <w:b/>
                <w:bCs/>
                <w:sz w:val="18"/>
                <w:szCs w:val="18"/>
              </w:rPr>
              <w:t>4000</w:t>
            </w:r>
          </w:p>
        </w:tc>
        <w:tc>
          <w:tcPr>
            <w:tcW w:w="759" w:type="dxa"/>
            <w:tcBorders>
              <w:top w:val="nil"/>
              <w:left w:val="nil"/>
              <w:bottom w:val="single" w:sz="7" w:space="0" w:color="000000"/>
              <w:right w:val="nil"/>
            </w:tcBorders>
          </w:tcPr>
          <w:p w:rsidR="0093706F" w:rsidP="00AA65B8" w14:paraId="729D3ABA" w14:textId="77777777">
            <w:pPr>
              <w:spacing w:line="57" w:lineRule="exact"/>
              <w:rPr>
                <w:rFonts w:ascii="Arial" w:hAnsi="Arial" w:cs="Arial"/>
                <w:b/>
                <w:bCs/>
                <w:sz w:val="18"/>
                <w:szCs w:val="18"/>
              </w:rPr>
            </w:pPr>
          </w:p>
          <w:p w:rsidR="0093706F" w:rsidP="00AA65B8" w14:paraId="14E2F107" w14:textId="77777777">
            <w:pPr>
              <w:spacing w:after="58"/>
              <w:jc w:val="center"/>
              <w:rPr>
                <w:rFonts w:ascii="Arial" w:hAnsi="Arial" w:cs="Arial"/>
                <w:b/>
                <w:bCs/>
                <w:sz w:val="18"/>
                <w:szCs w:val="18"/>
              </w:rPr>
            </w:pPr>
            <w:r>
              <w:rPr>
                <w:rFonts w:ascii="Arial" w:hAnsi="Arial" w:cs="Arial"/>
                <w:b/>
                <w:bCs/>
                <w:sz w:val="18"/>
                <w:szCs w:val="18"/>
              </w:rPr>
              <w:t>6000</w:t>
            </w:r>
          </w:p>
        </w:tc>
        <w:tc>
          <w:tcPr>
            <w:tcW w:w="759" w:type="dxa"/>
            <w:tcBorders>
              <w:top w:val="nil"/>
              <w:left w:val="nil"/>
              <w:bottom w:val="single" w:sz="7" w:space="0" w:color="000000"/>
              <w:right w:val="nil"/>
            </w:tcBorders>
          </w:tcPr>
          <w:p w:rsidR="0093706F" w:rsidP="00AA65B8" w14:paraId="61454BF8" w14:textId="77777777">
            <w:pPr>
              <w:spacing w:line="57" w:lineRule="exact"/>
              <w:rPr>
                <w:rFonts w:ascii="Arial" w:hAnsi="Arial" w:cs="Arial"/>
                <w:b/>
                <w:bCs/>
                <w:sz w:val="18"/>
                <w:szCs w:val="18"/>
              </w:rPr>
            </w:pPr>
          </w:p>
          <w:p w:rsidR="0093706F" w:rsidP="00AA65B8" w14:paraId="3A804C4D" w14:textId="77777777">
            <w:pPr>
              <w:spacing w:after="58"/>
              <w:jc w:val="center"/>
              <w:rPr>
                <w:rFonts w:ascii="Arial" w:hAnsi="Arial" w:cs="Arial"/>
                <w:b/>
                <w:bCs/>
                <w:sz w:val="18"/>
                <w:szCs w:val="18"/>
              </w:rPr>
            </w:pPr>
            <w:r>
              <w:rPr>
                <w:rFonts w:ascii="Arial" w:hAnsi="Arial" w:cs="Arial"/>
                <w:b/>
                <w:bCs/>
                <w:sz w:val="18"/>
                <w:szCs w:val="18"/>
              </w:rPr>
              <w:t>8000</w:t>
            </w:r>
          </w:p>
        </w:tc>
      </w:tr>
      <w:tr w14:paraId="703C14E1" w14:textId="77777777" w:rsidTr="00AA65B8">
        <w:tblPrEx>
          <w:tblW w:w="0" w:type="auto"/>
          <w:jc w:val="center"/>
          <w:tblLayout w:type="fixed"/>
          <w:tblCellMar>
            <w:left w:w="72" w:type="dxa"/>
            <w:right w:w="72" w:type="dxa"/>
          </w:tblCellMar>
          <w:tblLook w:val="0000"/>
        </w:tblPrEx>
        <w:trPr>
          <w:gridAfter w:val="1"/>
          <w:wAfter w:w="6" w:type="dxa"/>
          <w:trHeight w:val="919"/>
          <w:jc w:val="center"/>
        </w:trPr>
        <w:tc>
          <w:tcPr>
            <w:tcW w:w="1899" w:type="dxa"/>
            <w:tcBorders>
              <w:top w:val="single" w:sz="7" w:space="0" w:color="000000"/>
              <w:left w:val="single" w:sz="7" w:space="0" w:color="000000"/>
              <w:bottom w:val="single" w:sz="7" w:space="0" w:color="000000"/>
              <w:right w:val="single" w:sz="7" w:space="0" w:color="000000"/>
            </w:tcBorders>
          </w:tcPr>
          <w:p w:rsidR="0093706F" w:rsidP="00AA65B8" w14:paraId="69A641DB" w14:textId="77777777">
            <w:pPr>
              <w:spacing w:line="120" w:lineRule="exact"/>
              <w:rPr>
                <w:rFonts w:ascii="Arial" w:hAnsi="Arial" w:cs="Arial"/>
                <w:b/>
                <w:bCs/>
                <w:sz w:val="18"/>
                <w:szCs w:val="18"/>
              </w:rPr>
            </w:pPr>
          </w:p>
          <w:p w:rsidR="0093706F" w:rsidP="00AA65B8" w14:paraId="2A396B9E" w14:textId="77777777">
            <w:pPr>
              <w:spacing w:after="58"/>
              <w:rPr>
                <w:rFonts w:ascii="Arial" w:hAnsi="Arial" w:cs="Arial"/>
                <w:color w:val="000000"/>
                <w:sz w:val="18"/>
                <w:szCs w:val="18"/>
              </w:rPr>
            </w:pPr>
            <w:r>
              <w:rPr>
                <w:rFonts w:ascii="Arial" w:hAnsi="Arial" w:cs="Arial"/>
                <w:b/>
                <w:bCs/>
                <w:sz w:val="18"/>
                <w:szCs w:val="18"/>
              </w:rPr>
              <w:t xml:space="preserve">Right Ear (dB </w:t>
            </w:r>
            <w:r w:rsidRPr="00C24135">
              <w:rPr>
                <w:rFonts w:ascii="Arial" w:hAnsi="Arial" w:cs="Arial"/>
                <w:b/>
                <w:bCs/>
                <w:color w:val="000000"/>
                <w:sz w:val="18"/>
                <w:szCs w:val="18"/>
              </w:rPr>
              <w:t>HL</w:t>
            </w:r>
            <w:r>
              <w:rPr>
                <w:rFonts w:ascii="Arial" w:hAnsi="Arial" w:cs="Arial"/>
                <w:b/>
                <w:bCs/>
                <w:color w:val="000000"/>
                <w:sz w:val="18"/>
                <w:szCs w:val="18"/>
              </w:rPr>
              <w:t>)</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77E245F1" w14:textId="77777777">
            <w:pPr>
              <w:spacing w:line="120" w:lineRule="exact"/>
              <w:rPr>
                <w:rFonts w:ascii="Arial" w:hAnsi="Arial" w:cs="Arial"/>
                <w:color w:val="000000"/>
                <w:sz w:val="18"/>
                <w:szCs w:val="18"/>
              </w:rPr>
            </w:pPr>
          </w:p>
          <w:p w:rsidR="0093706F" w:rsidP="00AA65B8" w14:paraId="3EA21B92" w14:textId="77777777">
            <w:pPr>
              <w:spacing w:after="58"/>
              <w:jc w:val="center"/>
              <w:rPr>
                <w:i/>
                <w:iCs/>
                <w:color w:val="000000"/>
              </w:rPr>
            </w:pPr>
            <w:r>
              <w:rPr>
                <w:i/>
                <w:iCs/>
                <w:color w:val="000000"/>
              </w:rPr>
              <w:t>999</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6C0894F7" w14:textId="77777777">
            <w:pPr>
              <w:spacing w:line="120" w:lineRule="exact"/>
              <w:rPr>
                <w:i/>
                <w:iCs/>
                <w:color w:val="000000"/>
              </w:rPr>
            </w:pPr>
          </w:p>
          <w:p w:rsidR="0093706F" w:rsidP="00AA65B8" w14:paraId="2047BB46" w14:textId="77777777">
            <w:pPr>
              <w:spacing w:after="58"/>
              <w:jc w:val="center"/>
              <w:rPr>
                <w:i/>
                <w:iCs/>
                <w:color w:val="000000"/>
              </w:rPr>
            </w:pPr>
            <w:r>
              <w:rPr>
                <w:i/>
                <w:iCs/>
                <w:color w:val="000000"/>
              </w:rPr>
              <w:t>999</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7AE82380" w14:textId="77777777">
            <w:pPr>
              <w:spacing w:line="120" w:lineRule="exact"/>
              <w:rPr>
                <w:i/>
                <w:iCs/>
                <w:color w:val="000000"/>
              </w:rPr>
            </w:pPr>
          </w:p>
          <w:p w:rsidR="0093706F" w:rsidP="00AA65B8" w14:paraId="36A6D2BF" w14:textId="77777777">
            <w:pPr>
              <w:spacing w:after="58"/>
              <w:jc w:val="center"/>
              <w:rPr>
                <w:i/>
                <w:iCs/>
                <w:color w:val="000000"/>
              </w:rPr>
            </w:pPr>
            <w:r>
              <w:rPr>
                <w:i/>
                <w:iCs/>
                <w:color w:val="000000"/>
              </w:rPr>
              <w:t>999</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38EFBCEF" w14:textId="77777777">
            <w:pPr>
              <w:spacing w:line="120" w:lineRule="exact"/>
              <w:rPr>
                <w:i/>
                <w:iCs/>
                <w:color w:val="000000"/>
              </w:rPr>
            </w:pPr>
          </w:p>
          <w:p w:rsidR="0093706F" w:rsidP="00AA65B8" w14:paraId="602FE49B" w14:textId="77777777">
            <w:pPr>
              <w:spacing w:after="58"/>
              <w:jc w:val="center"/>
              <w:rPr>
                <w:i/>
                <w:iCs/>
                <w:color w:val="000000"/>
              </w:rPr>
            </w:pPr>
            <w:r>
              <w:rPr>
                <w:i/>
                <w:iCs/>
                <w:color w:val="000000"/>
              </w:rPr>
              <w:t>999</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2861E899" w14:textId="77777777">
            <w:pPr>
              <w:spacing w:line="120" w:lineRule="exact"/>
              <w:rPr>
                <w:i/>
                <w:iCs/>
                <w:color w:val="000000"/>
              </w:rPr>
            </w:pPr>
          </w:p>
          <w:p w:rsidR="0093706F" w:rsidP="00AA65B8" w14:paraId="4F250AB3" w14:textId="77777777">
            <w:pPr>
              <w:spacing w:after="58"/>
              <w:jc w:val="center"/>
              <w:rPr>
                <w:i/>
                <w:iCs/>
                <w:color w:val="000000"/>
              </w:rPr>
            </w:pPr>
            <w:r>
              <w:rPr>
                <w:i/>
                <w:iCs/>
                <w:color w:val="000000"/>
              </w:rPr>
              <w:t>999</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5B185C0D" w14:textId="77777777">
            <w:pPr>
              <w:spacing w:line="120" w:lineRule="exact"/>
              <w:rPr>
                <w:i/>
                <w:iCs/>
                <w:color w:val="000000"/>
              </w:rPr>
            </w:pPr>
          </w:p>
          <w:p w:rsidR="0093706F" w:rsidP="00AA65B8" w14:paraId="5090558F" w14:textId="77777777">
            <w:pPr>
              <w:spacing w:after="58"/>
              <w:jc w:val="center"/>
              <w:rPr>
                <w:i/>
                <w:iCs/>
                <w:color w:val="000000"/>
              </w:rPr>
            </w:pPr>
            <w:r>
              <w:rPr>
                <w:i/>
                <w:iCs/>
                <w:color w:val="000000"/>
              </w:rPr>
              <w:t>999</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4C2F2BEF" w14:textId="77777777">
            <w:pPr>
              <w:spacing w:line="120" w:lineRule="exact"/>
              <w:rPr>
                <w:i/>
                <w:iCs/>
                <w:color w:val="000000"/>
              </w:rPr>
            </w:pPr>
          </w:p>
          <w:p w:rsidR="0093706F" w:rsidP="00AA65B8" w14:paraId="48B5599F" w14:textId="77777777">
            <w:pPr>
              <w:spacing w:after="58"/>
              <w:jc w:val="center"/>
              <w:rPr>
                <w:rFonts w:ascii="Arial" w:hAnsi="Arial" w:cs="Arial"/>
                <w:i/>
                <w:iCs/>
                <w:color w:val="000000"/>
                <w:sz w:val="18"/>
                <w:szCs w:val="18"/>
              </w:rPr>
            </w:pPr>
            <w:r>
              <w:rPr>
                <w:i/>
                <w:iCs/>
                <w:color w:val="000000"/>
              </w:rPr>
              <w:t>999</w:t>
            </w:r>
          </w:p>
        </w:tc>
      </w:tr>
      <w:tr w14:paraId="27BBFD85" w14:textId="77777777" w:rsidTr="00AA65B8">
        <w:tblPrEx>
          <w:tblW w:w="0" w:type="auto"/>
          <w:jc w:val="center"/>
          <w:tblLayout w:type="fixed"/>
          <w:tblCellMar>
            <w:left w:w="72" w:type="dxa"/>
            <w:right w:w="72" w:type="dxa"/>
          </w:tblCellMar>
          <w:tblLook w:val="0000"/>
        </w:tblPrEx>
        <w:trPr>
          <w:gridAfter w:val="1"/>
          <w:wAfter w:w="6" w:type="dxa"/>
          <w:trHeight w:val="904"/>
          <w:jc w:val="center"/>
        </w:trPr>
        <w:tc>
          <w:tcPr>
            <w:tcW w:w="1899" w:type="dxa"/>
            <w:tcBorders>
              <w:top w:val="single" w:sz="7" w:space="0" w:color="000000"/>
              <w:left w:val="single" w:sz="7" w:space="0" w:color="000000"/>
              <w:bottom w:val="single" w:sz="7" w:space="0" w:color="000000"/>
              <w:right w:val="single" w:sz="7" w:space="0" w:color="000000"/>
            </w:tcBorders>
          </w:tcPr>
          <w:p w:rsidR="0093706F" w:rsidP="00AA65B8" w14:paraId="4BFA0010" w14:textId="77777777">
            <w:pPr>
              <w:spacing w:line="120" w:lineRule="exact"/>
              <w:rPr>
                <w:rFonts w:ascii="Arial" w:hAnsi="Arial" w:cs="Arial"/>
                <w:i/>
                <w:iCs/>
                <w:color w:val="000000"/>
                <w:sz w:val="18"/>
                <w:szCs w:val="18"/>
              </w:rPr>
            </w:pPr>
          </w:p>
          <w:p w:rsidR="0093706F" w:rsidP="00AA65B8" w14:paraId="50E13742" w14:textId="77777777">
            <w:pPr>
              <w:spacing w:after="58"/>
              <w:rPr>
                <w:rFonts w:ascii="Arial" w:hAnsi="Arial" w:cs="Arial"/>
                <w:b/>
                <w:bCs/>
                <w:color w:val="000000"/>
                <w:sz w:val="18"/>
                <w:szCs w:val="18"/>
              </w:rPr>
            </w:pPr>
            <w:r>
              <w:rPr>
                <w:rFonts w:ascii="Arial" w:hAnsi="Arial" w:cs="Arial"/>
                <w:b/>
                <w:bCs/>
                <w:color w:val="000000"/>
                <w:sz w:val="18"/>
                <w:szCs w:val="18"/>
              </w:rPr>
              <w:t>Left Ear (</w:t>
            </w:r>
            <w:r w:rsidRPr="00C24135">
              <w:rPr>
                <w:rFonts w:ascii="Arial" w:hAnsi="Arial" w:cs="Arial"/>
                <w:b/>
                <w:bCs/>
                <w:color w:val="000000"/>
                <w:sz w:val="18"/>
                <w:szCs w:val="18"/>
              </w:rPr>
              <w:t>dB HL</w:t>
            </w:r>
            <w:r>
              <w:rPr>
                <w:rFonts w:ascii="Arial" w:hAnsi="Arial" w:cs="Arial"/>
                <w:b/>
                <w:bCs/>
                <w:color w:val="000000"/>
                <w:sz w:val="18"/>
                <w:szCs w:val="18"/>
              </w:rPr>
              <w:t>)</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6B11C9D2" w14:textId="77777777">
            <w:pPr>
              <w:spacing w:line="120" w:lineRule="exact"/>
              <w:rPr>
                <w:rFonts w:ascii="Arial" w:hAnsi="Arial" w:cs="Arial"/>
                <w:b/>
                <w:bCs/>
                <w:color w:val="000000"/>
                <w:sz w:val="18"/>
                <w:szCs w:val="18"/>
              </w:rPr>
            </w:pPr>
          </w:p>
          <w:p w:rsidR="0093706F" w:rsidP="00AA65B8" w14:paraId="24787E3E" w14:textId="77777777">
            <w:pPr>
              <w:spacing w:after="58"/>
              <w:jc w:val="center"/>
              <w:rPr>
                <w:i/>
                <w:iCs/>
                <w:color w:val="000000"/>
              </w:rPr>
            </w:pPr>
            <w:r>
              <w:rPr>
                <w:i/>
                <w:iCs/>
                <w:color w:val="000000"/>
              </w:rPr>
              <w:t>999</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3D8FDB3A" w14:textId="77777777">
            <w:pPr>
              <w:spacing w:line="120" w:lineRule="exact"/>
              <w:rPr>
                <w:i/>
                <w:iCs/>
                <w:color w:val="000000"/>
              </w:rPr>
            </w:pPr>
          </w:p>
          <w:p w:rsidR="0093706F" w:rsidP="00AA65B8" w14:paraId="52DA1D94" w14:textId="77777777">
            <w:pPr>
              <w:spacing w:after="58"/>
              <w:jc w:val="center"/>
              <w:rPr>
                <w:i/>
                <w:iCs/>
                <w:color w:val="000000"/>
              </w:rPr>
            </w:pPr>
            <w:r>
              <w:rPr>
                <w:i/>
                <w:iCs/>
                <w:color w:val="000000"/>
              </w:rPr>
              <w:t>999</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14ADAAFB" w14:textId="77777777">
            <w:pPr>
              <w:spacing w:line="120" w:lineRule="exact"/>
              <w:rPr>
                <w:i/>
                <w:iCs/>
                <w:color w:val="000000"/>
              </w:rPr>
            </w:pPr>
          </w:p>
          <w:p w:rsidR="0093706F" w:rsidP="00AA65B8" w14:paraId="65852E75" w14:textId="77777777">
            <w:pPr>
              <w:spacing w:after="58"/>
              <w:jc w:val="center"/>
              <w:rPr>
                <w:i/>
                <w:iCs/>
                <w:color w:val="000000"/>
              </w:rPr>
            </w:pPr>
            <w:r>
              <w:rPr>
                <w:i/>
                <w:iCs/>
                <w:color w:val="000000"/>
              </w:rPr>
              <w:t>999</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41541F16" w14:textId="77777777">
            <w:pPr>
              <w:spacing w:line="120" w:lineRule="exact"/>
              <w:rPr>
                <w:i/>
                <w:iCs/>
                <w:color w:val="000000"/>
              </w:rPr>
            </w:pPr>
          </w:p>
          <w:p w:rsidR="0093706F" w:rsidP="00AA65B8" w14:paraId="53396E00" w14:textId="77777777">
            <w:pPr>
              <w:spacing w:after="58"/>
              <w:jc w:val="center"/>
              <w:rPr>
                <w:i/>
                <w:iCs/>
                <w:color w:val="000000"/>
              </w:rPr>
            </w:pPr>
            <w:r>
              <w:rPr>
                <w:i/>
                <w:iCs/>
                <w:color w:val="000000"/>
              </w:rPr>
              <w:t>999</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5D3DDC20" w14:textId="77777777">
            <w:pPr>
              <w:spacing w:line="120" w:lineRule="exact"/>
              <w:rPr>
                <w:i/>
                <w:iCs/>
                <w:color w:val="000000"/>
              </w:rPr>
            </w:pPr>
          </w:p>
          <w:p w:rsidR="0093706F" w:rsidP="00AA65B8" w14:paraId="2932A792" w14:textId="77777777">
            <w:pPr>
              <w:spacing w:after="58"/>
              <w:jc w:val="center"/>
              <w:rPr>
                <w:i/>
                <w:iCs/>
                <w:color w:val="000000"/>
              </w:rPr>
            </w:pPr>
            <w:r>
              <w:rPr>
                <w:i/>
                <w:iCs/>
                <w:color w:val="000000"/>
              </w:rPr>
              <w:t>999</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17534DC1" w14:textId="77777777">
            <w:pPr>
              <w:spacing w:line="120" w:lineRule="exact"/>
              <w:rPr>
                <w:i/>
                <w:iCs/>
                <w:color w:val="000000"/>
              </w:rPr>
            </w:pPr>
          </w:p>
          <w:p w:rsidR="0093706F" w:rsidP="00AA65B8" w14:paraId="71DAA40D" w14:textId="77777777">
            <w:pPr>
              <w:spacing w:after="58"/>
              <w:jc w:val="center"/>
              <w:rPr>
                <w:i/>
                <w:iCs/>
                <w:color w:val="000000"/>
              </w:rPr>
            </w:pPr>
            <w:r>
              <w:rPr>
                <w:i/>
                <w:iCs/>
                <w:color w:val="000000"/>
              </w:rPr>
              <w:t>999</w:t>
            </w:r>
          </w:p>
        </w:tc>
        <w:tc>
          <w:tcPr>
            <w:tcW w:w="759" w:type="dxa"/>
            <w:tcBorders>
              <w:top w:val="single" w:sz="7" w:space="0" w:color="000000"/>
              <w:left w:val="single" w:sz="7" w:space="0" w:color="000000"/>
              <w:bottom w:val="single" w:sz="7" w:space="0" w:color="000000"/>
              <w:right w:val="single" w:sz="7" w:space="0" w:color="000000"/>
            </w:tcBorders>
          </w:tcPr>
          <w:p w:rsidR="0093706F" w:rsidP="00AA65B8" w14:paraId="6BD476BD" w14:textId="77777777">
            <w:pPr>
              <w:spacing w:line="120" w:lineRule="exact"/>
              <w:rPr>
                <w:i/>
                <w:iCs/>
                <w:color w:val="000000"/>
              </w:rPr>
            </w:pPr>
          </w:p>
          <w:p w:rsidR="0093706F" w:rsidP="00AA65B8" w14:paraId="50DC1FC7" w14:textId="77777777">
            <w:pPr>
              <w:spacing w:after="58"/>
              <w:jc w:val="center"/>
              <w:rPr>
                <w:rFonts w:ascii="Arial" w:hAnsi="Arial" w:cs="Arial"/>
                <w:i/>
                <w:iCs/>
                <w:color w:val="000000"/>
                <w:sz w:val="18"/>
                <w:szCs w:val="18"/>
              </w:rPr>
            </w:pPr>
            <w:r>
              <w:rPr>
                <w:i/>
                <w:iCs/>
                <w:color w:val="000000"/>
              </w:rPr>
              <w:t>999</w:t>
            </w:r>
          </w:p>
        </w:tc>
      </w:tr>
    </w:tbl>
    <w:p w:rsidR="0093706F" w:rsidP="0093706F" w14:paraId="71F9A431" w14:textId="77777777">
      <w:pPr>
        <w:tabs>
          <w:tab w:val="left" w:pos="1440"/>
          <w:tab w:val="decimal" w:pos="5040"/>
        </w:tabs>
        <w:ind w:firstLine="1440"/>
        <w:rPr>
          <w:rFonts w:ascii="Arial" w:hAnsi="Arial" w:cs="Arial"/>
          <w:i/>
          <w:iCs/>
          <w:color w:val="000000"/>
          <w:sz w:val="18"/>
          <w:szCs w:val="18"/>
        </w:rPr>
      </w:pPr>
      <w:r>
        <w:rPr>
          <w:rFonts w:ascii="Arial" w:hAnsi="Arial" w:cs="Arial"/>
          <w:i/>
          <w:iCs/>
          <w:color w:val="000000"/>
          <w:sz w:val="18"/>
          <w:szCs w:val="18"/>
        </w:rPr>
        <w:t>Print legend only if “***” or “NRS”</w:t>
      </w:r>
      <w:r w:rsidRPr="001F7DA0">
        <w:rPr>
          <w:rFonts w:ascii="Arial" w:hAnsi="Arial" w:cs="Arial"/>
          <w:i/>
          <w:iCs/>
          <w:color w:val="000000"/>
          <w:sz w:val="18"/>
          <w:szCs w:val="18"/>
        </w:rPr>
        <w:t xml:space="preserve"> </w:t>
      </w:r>
      <w:r>
        <w:rPr>
          <w:rFonts w:ascii="Arial" w:hAnsi="Arial" w:cs="Arial"/>
          <w:i/>
          <w:iCs/>
          <w:color w:val="000000"/>
          <w:sz w:val="18"/>
          <w:szCs w:val="18"/>
        </w:rPr>
        <w:t>appears in table:</w:t>
      </w:r>
    </w:p>
    <w:p w:rsidR="0093706F" w:rsidP="0093706F" w14:paraId="111CD394" w14:textId="77777777">
      <w:pPr>
        <w:tabs>
          <w:tab w:val="left" w:pos="1440"/>
          <w:tab w:val="decimal" w:pos="5040"/>
        </w:tabs>
        <w:ind w:firstLine="1440"/>
        <w:rPr>
          <w:rFonts w:ascii="Arial" w:hAnsi="Arial" w:cs="Arial"/>
          <w:color w:val="000000"/>
          <w:sz w:val="18"/>
          <w:szCs w:val="18"/>
        </w:rPr>
      </w:pPr>
      <w:r>
        <w:rPr>
          <w:rFonts w:ascii="Symbol" w:hAnsi="Symbol" w:cs="Arial"/>
          <w:color w:val="000000"/>
          <w:sz w:val="18"/>
          <w:szCs w:val="18"/>
        </w:rPr>
        <w:sym w:font="Symbol" w:char="F02A"/>
      </w:r>
      <w:r>
        <w:rPr>
          <w:rFonts w:ascii="Symbol" w:hAnsi="Symbol" w:cs="Arial"/>
          <w:color w:val="000000"/>
          <w:sz w:val="18"/>
          <w:szCs w:val="18"/>
        </w:rPr>
        <w:sym w:font="Symbol" w:char="F02A"/>
      </w:r>
      <w:r>
        <w:rPr>
          <w:rFonts w:ascii="Symbol" w:hAnsi="Symbol" w:cs="Arial"/>
          <w:color w:val="000000"/>
          <w:sz w:val="18"/>
          <w:szCs w:val="18"/>
        </w:rPr>
        <w:sym w:font="Symbol" w:char="F02A"/>
      </w:r>
      <w:r>
        <w:rPr>
          <w:rFonts w:ascii="Arial" w:hAnsi="Arial" w:cs="Arial"/>
          <w:color w:val="000000"/>
          <w:sz w:val="18"/>
          <w:szCs w:val="18"/>
        </w:rPr>
        <w:t xml:space="preserve"> = threshold could not be determined</w:t>
      </w:r>
    </w:p>
    <w:p w:rsidR="0093706F" w:rsidP="0093706F" w14:paraId="19ED9E46" w14:textId="77777777">
      <w:pPr>
        <w:tabs>
          <w:tab w:val="left" w:pos="1440"/>
          <w:tab w:val="decimal" w:pos="5040"/>
        </w:tabs>
        <w:ind w:firstLine="1440"/>
        <w:rPr>
          <w:rFonts w:ascii="Arial" w:hAnsi="Arial" w:cs="Arial"/>
          <w:color w:val="000000"/>
          <w:sz w:val="18"/>
          <w:szCs w:val="18"/>
        </w:rPr>
      </w:pPr>
      <w:r>
        <w:rPr>
          <w:rFonts w:ascii="Arial" w:hAnsi="Arial" w:cs="Arial"/>
          <w:color w:val="000000"/>
          <w:sz w:val="18"/>
          <w:szCs w:val="18"/>
        </w:rPr>
        <w:t>NRS = no response at limits of equipment</w:t>
      </w:r>
    </w:p>
    <w:p w:rsidR="0093706F" w:rsidRPr="00840808" w:rsidP="0093706F" w14:paraId="4BDD9E2C" w14:textId="77777777">
      <w:pPr>
        <w:tabs>
          <w:tab w:val="left" w:pos="1440"/>
          <w:tab w:val="decimal" w:pos="5040"/>
        </w:tabs>
        <w:ind w:firstLine="1440"/>
        <w:rPr>
          <w:rFonts w:ascii="Arial" w:hAnsi="Arial" w:cs="Arial"/>
          <w:color w:val="000000"/>
          <w:sz w:val="18"/>
          <w:szCs w:val="18"/>
        </w:rPr>
      </w:pPr>
    </w:p>
    <w:p w:rsidR="0093706F" w:rsidRPr="0090338D" w:rsidP="0093706F" w14:paraId="1009E769" w14:textId="77777777">
      <w:pPr>
        <w:tabs>
          <w:tab w:val="left" w:pos="-1440"/>
        </w:tabs>
        <w:rPr>
          <w:color w:val="000000" w:themeColor="text1"/>
        </w:rPr>
      </w:pPr>
      <w:r w:rsidRPr="0090338D">
        <w:rPr>
          <w:color w:val="000000" w:themeColor="text1"/>
        </w:rPr>
        <w:t xml:space="preserve">Your hearing was tested by a trained examiner.  Results </w:t>
      </w:r>
      <w:r w:rsidRPr="0090338D">
        <w:rPr>
          <w:i/>
          <w:iCs/>
          <w:color w:val="000000" w:themeColor="text1"/>
        </w:rPr>
        <w:t xml:space="preserve">&lt;insert normal hearing text </w:t>
      </w:r>
      <w:r w:rsidRPr="0090338D">
        <w:rPr>
          <w:b/>
          <w:bCs/>
          <w:i/>
          <w:iCs/>
          <w:color w:val="000000" w:themeColor="text1"/>
        </w:rPr>
        <w:t>or</w:t>
      </w:r>
      <w:r w:rsidRPr="0090338D">
        <w:rPr>
          <w:i/>
          <w:iCs/>
          <w:color w:val="000000" w:themeColor="text1"/>
        </w:rPr>
        <w:t xml:space="preserve"> text from audiometry table&gt;</w:t>
      </w:r>
      <w:r w:rsidRPr="0090338D">
        <w:rPr>
          <w:color w:val="000000" w:themeColor="text1"/>
        </w:rPr>
        <w:t xml:space="preserve"> in your right ear.  In your left ear, results </w:t>
      </w:r>
      <w:r w:rsidRPr="0090338D">
        <w:rPr>
          <w:i/>
          <w:iCs/>
          <w:color w:val="000000" w:themeColor="text1"/>
        </w:rPr>
        <w:t xml:space="preserve">&lt;insert normal hearing text </w:t>
      </w:r>
      <w:r w:rsidRPr="0090338D">
        <w:rPr>
          <w:b/>
          <w:bCs/>
          <w:i/>
          <w:iCs/>
          <w:color w:val="000000" w:themeColor="text1"/>
        </w:rPr>
        <w:t>or</w:t>
      </w:r>
      <w:r w:rsidRPr="0090338D">
        <w:rPr>
          <w:i/>
          <w:iCs/>
          <w:color w:val="000000" w:themeColor="text1"/>
        </w:rPr>
        <w:t xml:space="preserve"> </w:t>
      </w:r>
      <w:r>
        <w:rPr>
          <w:i/>
          <w:iCs/>
          <w:color w:val="000000" w:themeColor="text1"/>
        </w:rPr>
        <w:t>a</w:t>
      </w:r>
      <w:r w:rsidRPr="0090338D">
        <w:rPr>
          <w:i/>
          <w:iCs/>
          <w:color w:val="000000" w:themeColor="text1"/>
        </w:rPr>
        <w:t>udiometry table</w:t>
      </w:r>
      <w:r>
        <w:rPr>
          <w:i/>
          <w:iCs/>
          <w:color w:val="000000" w:themeColor="text1"/>
        </w:rPr>
        <w:t xml:space="preserve"> text</w:t>
      </w:r>
      <w:r w:rsidRPr="0090338D">
        <w:rPr>
          <w:i/>
          <w:iCs/>
          <w:color w:val="000000" w:themeColor="text1"/>
        </w:rPr>
        <w:t>&gt;</w:t>
      </w:r>
      <w:r w:rsidRPr="0090338D">
        <w:rPr>
          <w:color w:val="000000" w:themeColor="text1"/>
        </w:rPr>
        <w:t xml:space="preserve">.  </w:t>
      </w:r>
      <w:r w:rsidRPr="0090338D">
        <w:rPr>
          <w:i/>
          <w:iCs/>
          <w:color w:val="000000" w:themeColor="text1"/>
        </w:rPr>
        <w:t xml:space="preserve">&lt;Insert functional impact text here, if required&gt; &lt;Insert </w:t>
      </w:r>
      <w:r>
        <w:rPr>
          <w:i/>
          <w:iCs/>
          <w:color w:val="000000" w:themeColor="text1"/>
        </w:rPr>
        <w:t>healthcare provider</w:t>
      </w:r>
      <w:r w:rsidRPr="0090338D">
        <w:rPr>
          <w:i/>
          <w:iCs/>
          <w:color w:val="000000" w:themeColor="text1"/>
        </w:rPr>
        <w:t xml:space="preserve"> referral text, if required&gt;</w:t>
      </w:r>
    </w:p>
    <w:p w:rsidR="0093706F" w:rsidP="0093706F" w14:paraId="66FF706C" w14:textId="77777777">
      <w:pPr>
        <w:tabs>
          <w:tab w:val="left" w:pos="-1440"/>
        </w:tabs>
        <w:rPr>
          <w:color w:val="000000" w:themeColor="text1"/>
        </w:rPr>
      </w:pPr>
    </w:p>
    <w:p w:rsidR="0093706F" w:rsidP="0093706F" w14:paraId="7088D1CC" w14:textId="77777777">
      <w:pPr>
        <w:rPr>
          <w:sz w:val="28"/>
          <w:szCs w:val="28"/>
        </w:rPr>
      </w:pPr>
      <w:r>
        <w:rPr>
          <w:sz w:val="28"/>
          <w:szCs w:val="28"/>
        </w:rPr>
        <w:t>What happens next?</w:t>
      </w:r>
    </w:p>
    <w:p w:rsidR="0093706F" w:rsidP="0093706F" w14:paraId="4BE574E5" w14:textId="0D140BD6">
      <w:r>
        <w:t>Once all testing has been completed, we will summarize all the results, including these tests, and will make a summary report available to you and your employer. This report will not mention you or your individual results by name. We encourage you to discuss your work and possible exposures with your company management. If you have any questions, please call me at (303) 236-5933.</w:t>
      </w:r>
    </w:p>
    <w:p w:rsidR="0093706F" w:rsidP="0093706F" w14:paraId="3CC263B6" w14:textId="77777777"/>
    <w:p w:rsidR="0093706F" w:rsidP="0093706F" w14:paraId="087813E3" w14:textId="77777777">
      <w:pPr>
        <w:ind w:left="4320" w:firstLine="720"/>
      </w:pPr>
      <w:r>
        <w:t>Sincerely,</w:t>
      </w:r>
    </w:p>
    <w:p w:rsidR="0093706F" w:rsidP="0093706F" w14:paraId="019FABFB" w14:textId="77777777">
      <w:pPr>
        <w:spacing w:after="0"/>
      </w:pPr>
    </w:p>
    <w:p w:rsidR="0093706F" w:rsidP="0093706F" w14:paraId="65957EB8" w14:textId="77777777">
      <w:pPr>
        <w:ind w:left="4320" w:firstLine="720"/>
      </w:pPr>
    </w:p>
    <w:p w:rsidR="0093706F" w:rsidP="0093706F" w14:paraId="332B3E13" w14:textId="77777777">
      <w:pPr>
        <w:spacing w:after="0"/>
      </w:pPr>
    </w:p>
    <w:p w:rsidR="0093706F" w:rsidP="0093706F" w14:paraId="1CF92D0E" w14:textId="77777777">
      <w:pPr>
        <w:spacing w:after="0"/>
        <w:ind w:left="4320" w:firstLine="720"/>
      </w:pPr>
      <w:r>
        <w:t>Bradley King, PhD, MPH, CIH</w:t>
      </w:r>
    </w:p>
    <w:p w:rsidR="0093706F" w:rsidP="0093706F" w14:paraId="1E4236DF" w14:textId="77777777">
      <w:pPr>
        <w:spacing w:after="0"/>
        <w:ind w:left="4320" w:firstLine="720"/>
      </w:pPr>
      <w:r>
        <w:t>Senior Industrial Hygienist</w:t>
      </w:r>
    </w:p>
    <w:p w:rsidR="0093706F" w:rsidP="0093706F" w14:paraId="6D3FD91C" w14:textId="77777777">
      <w:pPr>
        <w:spacing w:after="0"/>
        <w:ind w:left="4320" w:firstLine="720"/>
      </w:pPr>
      <w:r>
        <w:t>NIOSH Western States Division</w:t>
      </w:r>
    </w:p>
    <w:p w:rsidR="0093706F" w:rsidRPr="00AE01A9" w:rsidP="0093706F" w14:paraId="4578E7AE" w14:textId="77777777">
      <w:pPr>
        <w:spacing w:after="0"/>
        <w:ind w:left="4320" w:firstLine="720"/>
      </w:pPr>
      <w:hyperlink r:id="rId4" w:history="1">
        <w:r w:rsidRPr="00891214">
          <w:rPr>
            <w:rStyle w:val="Hyperlink"/>
          </w:rPr>
          <w:t>Bradley.King@cdc.hhs.gov</w:t>
        </w:r>
      </w:hyperlink>
      <w:r>
        <w:t xml:space="preserve"> </w:t>
      </w:r>
    </w:p>
    <w:p w:rsidR="003F537B" w14:paraId="7B3C58D3" w14:textId="77777777"/>
    <w:p w:rsidR="003F537B" w14:paraId="0E47A2BB" w14:textId="77777777"/>
    <w:p w:rsidR="003F537B" w14:paraId="7A1F215C" w14:textId="77777777"/>
    <w:p w:rsidR="003F537B" w14:paraId="671FA0ED" w14:textId="77777777"/>
    <w:p w:rsidR="000C5BBA" w:rsidP="00E21406" w14:paraId="102AC009" w14:textId="3057BF8E">
      <w:pPr>
        <w:tabs>
          <w:tab w:val="left" w:pos="-1440"/>
        </w:tabs>
        <w:spacing w:after="0" w:line="240" w:lineRule="auto"/>
        <w:rPr>
          <w:color w:val="000000"/>
        </w:rPr>
      </w:pPr>
    </w:p>
    <w:p w:rsidR="000C5BBA" w14:paraId="1DCE0389" w14:textId="77777777"/>
    <w:sectPr w:rsidSect="00952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B2486"/>
    <w:multiLevelType w:val="hybridMultilevel"/>
    <w:tmpl w:val="DEF060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896122"/>
    <w:multiLevelType w:val="hybridMultilevel"/>
    <w:tmpl w:val="1C344F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7A1DD2"/>
    <w:multiLevelType w:val="hybridMultilevel"/>
    <w:tmpl w:val="9594C9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93B678E"/>
    <w:multiLevelType w:val="hybridMultilevel"/>
    <w:tmpl w:val="D3088D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2843CB"/>
    <w:multiLevelType w:val="hybridMultilevel"/>
    <w:tmpl w:val="11B6B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1592877">
    <w:abstractNumId w:val="2"/>
  </w:num>
  <w:num w:numId="2" w16cid:durableId="755323049">
    <w:abstractNumId w:val="3"/>
  </w:num>
  <w:num w:numId="3" w16cid:durableId="505436953">
    <w:abstractNumId w:val="1"/>
  </w:num>
  <w:num w:numId="4" w16cid:durableId="1315641410">
    <w:abstractNumId w:val="0"/>
  </w:num>
  <w:num w:numId="5" w16cid:durableId="234555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6F"/>
    <w:rsid w:val="000C5BBA"/>
    <w:rsid w:val="001F7DA0"/>
    <w:rsid w:val="00212DFA"/>
    <w:rsid w:val="003E7B32"/>
    <w:rsid w:val="003F537B"/>
    <w:rsid w:val="00615243"/>
    <w:rsid w:val="00840808"/>
    <w:rsid w:val="00891214"/>
    <w:rsid w:val="008F2671"/>
    <w:rsid w:val="0090338D"/>
    <w:rsid w:val="0093706F"/>
    <w:rsid w:val="0095285F"/>
    <w:rsid w:val="00970F3F"/>
    <w:rsid w:val="009D17A9"/>
    <w:rsid w:val="00A816D6"/>
    <w:rsid w:val="00AA65B8"/>
    <w:rsid w:val="00AE01A9"/>
    <w:rsid w:val="00AE2200"/>
    <w:rsid w:val="00C24135"/>
    <w:rsid w:val="00CA64E9"/>
    <w:rsid w:val="00D518C2"/>
    <w:rsid w:val="00D85D2F"/>
    <w:rsid w:val="00E05C4F"/>
    <w:rsid w:val="00E21406"/>
    <w:rsid w:val="00E22151"/>
    <w:rsid w:val="00E85F94"/>
    <w:rsid w:val="00F65D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01C807"/>
  <w15:chartTrackingRefBased/>
  <w15:docId w15:val="{65286CF5-D004-4FF0-BFFA-C5438351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43"/>
  </w:style>
  <w:style w:type="paragraph" w:styleId="Heading3">
    <w:name w:val="heading 3"/>
    <w:basedOn w:val="Normal"/>
    <w:next w:val="Normal"/>
    <w:link w:val="Heading3Char"/>
    <w:uiPriority w:val="9"/>
    <w:unhideWhenUsed/>
    <w:qFormat/>
    <w:rsid w:val="009370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706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3706F"/>
    <w:rPr>
      <w:color w:val="0563C1" w:themeColor="hyperlink"/>
      <w:u w:val="single"/>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970F3F"/>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970F3F"/>
  </w:style>
  <w:style w:type="paragraph" w:customStyle="1" w:styleId="QuickA">
    <w:name w:val="Quick A."/>
    <w:basedOn w:val="Normal"/>
    <w:uiPriority w:val="99"/>
    <w:rsid w:val="00970F3F"/>
    <w:pPr>
      <w:widowControl w:val="0"/>
      <w:autoSpaceDE w:val="0"/>
      <w:autoSpaceDN w:val="0"/>
      <w:adjustRightInd w:val="0"/>
      <w:spacing w:after="0" w:line="240" w:lineRule="auto"/>
      <w:ind w:left="1440" w:hanging="1440"/>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radley.King@cdc.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Bradley (CDC/NIOSH/WSD)</dc:creator>
  <cp:lastModifiedBy>Sawyer, Tamela (CDC/NIOSH/OD/ODDM)</cp:lastModifiedBy>
  <cp:revision>2</cp:revision>
  <dcterms:created xsi:type="dcterms:W3CDTF">2023-04-02T16:00:00Z</dcterms:created>
  <dcterms:modified xsi:type="dcterms:W3CDTF">2023-04-02T16:00:00Z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2c554068-ed18-4715-8b9c-0d13c8aa3f18</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2023-03-06T20:44:35Z</vt:lpwstr>
  </property>
  <property fmtid="{D5CDD505-2E9C-101B-9397-08002B2CF9AE}" pid="8" name="MSIP_Label_8af03ff0-41c5-4c41-b55e-fabb8fae94be_SiteId">
    <vt:lpwstr>9ce70869-60db-44fd-abe8-d2767077fc8f</vt:lpwstr>
  </property>
</Properties>
</file>