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005611F6" w14:paraId="3A6DD24A" w14:textId="6ADFB39D">
      <w:pPr>
        <w:spacing w:after="0"/>
        <w:jc w:val="center"/>
        <w:rPr>
          <w:b/>
        </w:rPr>
      </w:pPr>
      <w:r>
        <w:rPr>
          <w:b/>
        </w:rPr>
        <w:t>PROPERTY MANAGEMENT</w:t>
      </w:r>
    </w:p>
    <w:p w:rsidR="00C81F26" w:rsidP="005611F6" w14:paraId="22293E19" w14:textId="23DD013F">
      <w:pPr>
        <w:spacing w:after="0"/>
        <w:jc w:val="center"/>
        <w:rPr>
          <w:b/>
        </w:rPr>
      </w:pPr>
      <w:r w:rsidRPr="001B3D5D">
        <w:rPr>
          <w:b/>
        </w:rPr>
        <w:t>OMB C</w:t>
      </w:r>
      <w:r w:rsidRPr="001B3D5D" w:rsidR="00B70989">
        <w:rPr>
          <w:b/>
        </w:rPr>
        <w:t>ONTROL</w:t>
      </w:r>
      <w:r w:rsidRPr="001B3D5D">
        <w:rPr>
          <w:b/>
        </w:rPr>
        <w:t xml:space="preserve"> N</w:t>
      </w:r>
      <w:r w:rsidRPr="001B3D5D" w:rsidR="00B70989">
        <w:rPr>
          <w:b/>
        </w:rPr>
        <w:t>O</w:t>
      </w:r>
      <w:r w:rsidRPr="001B3D5D">
        <w:rPr>
          <w:b/>
        </w:rPr>
        <w:t>. 0610-0</w:t>
      </w:r>
      <w:r w:rsidR="00861CEB">
        <w:rPr>
          <w:b/>
        </w:rPr>
        <w:t>10</w:t>
      </w:r>
      <w:r w:rsidR="0081625B">
        <w:rPr>
          <w:b/>
        </w:rPr>
        <w:t>3</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58FFF0F0">
      <w:pPr>
        <w:spacing w:after="200"/>
      </w:pPr>
      <w:r>
        <w:t xml:space="preserve">This </w:t>
      </w:r>
      <w:r w:rsidR="00D70BAD">
        <w:t>Supporting Statement is</w:t>
      </w:r>
      <w:r>
        <w:t xml:space="preserve"> </w:t>
      </w:r>
      <w:r w:rsidR="00790E14">
        <w:t>for the extension</w:t>
      </w:r>
      <w:r w:rsidRPr="00230EA8" w:rsidR="00790E14">
        <w:t xml:space="preserve"> of a </w:t>
      </w:r>
      <w:r w:rsidR="00790E14">
        <w:t>c</w:t>
      </w:r>
      <w:r w:rsidRPr="00230EA8" w:rsidR="00790E14">
        <w:t xml:space="preserve">urrently </w:t>
      </w:r>
      <w:r w:rsidR="00790E14">
        <w:t>a</w:t>
      </w:r>
      <w:r w:rsidRPr="00230EA8" w:rsidR="00790E14">
        <w:t xml:space="preserve">pproved </w:t>
      </w:r>
      <w:r w:rsidR="00790E14">
        <w:t>information c</w:t>
      </w:r>
      <w:r w:rsidRPr="00230EA8" w:rsidR="00790E14">
        <w:t>ollection</w:t>
      </w:r>
      <w:r>
        <w:t>.</w:t>
      </w:r>
    </w:p>
    <w:p w:rsidR="00E658D9" w:rsidRPr="005B3844" w:rsidP="00F76726"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004E1F08" w:rsidRPr="00560180" w:rsidP="006F13DD" w14:paraId="12C8F923" w14:textId="1AA7E9F9">
      <w:pPr>
        <w:spacing w:after="200"/>
        <w:rPr>
          <w:color w:val="auto"/>
        </w:rPr>
      </w:pPr>
      <w:r w:rsidRPr="0020530C">
        <w:rPr>
          <w:rStyle w:val="normaltextrun"/>
          <w:color w:val="auto"/>
          <w:shd w:val="clear" w:color="auto" w:fill="FFFFFF"/>
        </w:rPr>
        <w:t>The Economic Development Administration (EDA) leads the Federal economic development agenda by promoting innovation and competitiveness, preparing American regions for growth and success in the worldwide economy.</w:t>
      </w:r>
      <w:r w:rsidR="00BA78FE">
        <w:rPr>
          <w:rStyle w:val="normaltextrun"/>
          <w:color w:val="auto"/>
          <w:shd w:val="clear" w:color="auto" w:fill="FFFFFF"/>
        </w:rPr>
        <w:t xml:space="preserve"> </w:t>
      </w:r>
      <w:r w:rsidRPr="0020530C">
        <w:rPr>
          <w:rStyle w:val="normaltextrun"/>
          <w:color w:val="auto"/>
          <w:shd w:val="clear" w:color="auto" w:fill="FFFFFF"/>
        </w:rPr>
        <w:t>Guided by the basic principle that sustainable economic development should be locally-driven, EDA works directly with communities and regions to help them build the capacity for economic development based on local business conditions and needs.</w:t>
      </w:r>
    </w:p>
    <w:p w:rsidR="00BD6746" w:rsidP="006F13DD" w14:paraId="15B5802C" w14:textId="37DC2F10">
      <w:pPr>
        <w:spacing w:after="200"/>
      </w:pPr>
      <w:r w:rsidRPr="00560180">
        <w:rPr>
          <w:rStyle w:val="normaltextrun"/>
          <w:color w:val="auto"/>
          <w:shd w:val="clear" w:color="auto" w:fill="FFFFFF"/>
        </w:rPr>
        <w:t xml:space="preserve">The Public Works and </w:t>
      </w:r>
      <w:r w:rsidRPr="005B3844">
        <w:rPr>
          <w:rStyle w:val="normaltextrun"/>
          <w:shd w:val="clear" w:color="auto" w:fill="FFFFFF"/>
        </w:rPr>
        <w:t xml:space="preserve">Economic Development Act of </w:t>
      </w:r>
      <w:r w:rsidRPr="00F17F13">
        <w:rPr>
          <w:rStyle w:val="normaltextrun"/>
          <w:shd w:val="clear" w:color="auto" w:fill="FFFFFF"/>
        </w:rPr>
        <w:t xml:space="preserve">1965 (PWEDA) (42 U.S.C. § 3121 </w:t>
      </w:r>
      <w:r w:rsidRPr="0020530C">
        <w:rPr>
          <w:rStyle w:val="normaltextrun"/>
          <w:i/>
          <w:iCs/>
          <w:shd w:val="clear" w:color="auto" w:fill="FFFFFF"/>
        </w:rPr>
        <w:t>et seq</w:t>
      </w:r>
      <w:r w:rsidR="00BA78FE">
        <w:rPr>
          <w:rStyle w:val="normaltextrun"/>
          <w:shd w:val="clear" w:color="auto" w:fill="FFFFFF"/>
        </w:rPr>
        <w:t>.</w:t>
      </w:r>
      <w:r w:rsidRPr="00F17F13">
        <w:rPr>
          <w:rStyle w:val="normaltextrun"/>
          <w:shd w:val="clear" w:color="auto" w:fill="FFFFFF"/>
        </w:rPr>
        <w:t>)</w:t>
      </w:r>
      <w:r w:rsidR="00BA78FE">
        <w:rPr>
          <w:rStyle w:val="normaltextrun"/>
          <w:shd w:val="clear" w:color="auto" w:fill="FFFFFF"/>
        </w:rPr>
        <w:t xml:space="preserve"> </w:t>
      </w:r>
      <w:r w:rsidRPr="00F17F13">
        <w:rPr>
          <w:rStyle w:val="normaltextrun"/>
          <w:shd w:val="clear" w:color="auto" w:fill="FFFFFF"/>
        </w:rPr>
        <w:t>is EDA’s organic authority</w:t>
      </w:r>
      <w:r>
        <w:rPr>
          <w:rStyle w:val="normaltextrun"/>
          <w:shd w:val="clear" w:color="auto" w:fill="FFFFFF"/>
        </w:rPr>
        <w:t xml:space="preserve"> and is the primary legal authority under which EDA awards</w:t>
      </w:r>
      <w:r w:rsidR="00BA78FE">
        <w:rPr>
          <w:rStyle w:val="normaltextrun"/>
          <w:shd w:val="clear" w:color="auto" w:fill="FFFFFF"/>
        </w:rPr>
        <w:t xml:space="preserve"> </w:t>
      </w:r>
      <w:r>
        <w:rPr>
          <w:rStyle w:val="normaltextrun"/>
          <w:shd w:val="clear" w:color="auto" w:fill="FFFFFF"/>
        </w:rPr>
        <w:t>financial assistance.</w:t>
      </w:r>
      <w:r w:rsidR="00BA78FE">
        <w:rPr>
          <w:rStyle w:val="normaltextrun"/>
          <w:shd w:val="clear" w:color="auto" w:fill="FFFFFF"/>
        </w:rPr>
        <w:t xml:space="preserve"> </w:t>
      </w:r>
      <w:r>
        <w:rPr>
          <w:rStyle w:val="normaltextrun"/>
          <w:shd w:val="clear" w:color="auto" w:fill="FFFFFF"/>
        </w:rPr>
        <w:t>Under PWEDA, EDA provides financial assistance to both rural and urban distressed communities by fostering entrepreneurship, innovation,</w:t>
      </w:r>
      <w:r w:rsidR="00BA78FE">
        <w:rPr>
          <w:rStyle w:val="normaltextrun"/>
          <w:shd w:val="clear" w:color="auto" w:fill="FFFFFF"/>
        </w:rPr>
        <w:t xml:space="preserve"> </w:t>
      </w:r>
      <w:r>
        <w:rPr>
          <w:rStyle w:val="normaltextrun"/>
          <w:shd w:val="clear" w:color="auto" w:fill="FFFFFF"/>
        </w:rPr>
        <w:t>and productivity through investments in infrastructure development, capacity building,</w:t>
      </w:r>
      <w:r w:rsidR="00BA78FE">
        <w:rPr>
          <w:rStyle w:val="normaltextrun"/>
          <w:shd w:val="clear" w:color="auto" w:fill="FFFFFF"/>
        </w:rPr>
        <w:t xml:space="preserve"> </w:t>
      </w:r>
      <w:r>
        <w:rPr>
          <w:rStyle w:val="normaltextrun"/>
          <w:shd w:val="clear" w:color="auto" w:fill="FFFFFF"/>
        </w:rPr>
        <w:t>and business development in order to attract private capital investments and new and better jobs to regions experiencing economic distress.</w:t>
      </w:r>
    </w:p>
    <w:p w:rsidR="0087795A" w:rsidP="0087795A" w14:paraId="27B2744D" w14:textId="5ABC7A78">
      <w:pPr>
        <w:spacing w:after="200"/>
      </w:pPr>
      <w:r>
        <w:t>To effectively administer and monitor its economic development assistance programs, EDA collects certain information from applications for, and recipients of, EDA investment assistance. First, this collection of information allows EDA to determine whether an incidental use of property acquired or improved with EDA investment assistance is appropriate. Pursuant to 13 CFR part 314.3(g), an incidental use of property: (1) does not interfere with the scope of the project or the economic purpose for which the investment was made; (2) provided that the recipient is in compliance with applicable law and the terms and conditions of the investment assistance, and (3) the incidental use of the property will not violate the terms and conditions of the investment assistance or otherwise adversely affect the economic useful life of the property. A recipient must request in writing EDA’s approval to undertake an incidental use of property acquired or improved with EDA’s investment assistance.</w:t>
      </w:r>
    </w:p>
    <w:p w:rsidR="00995D8A" w:rsidP="0087795A" w14:paraId="33211A27" w14:textId="04247CF3">
      <w:pPr>
        <w:spacing w:after="200"/>
      </w:pPr>
      <w:r>
        <w:t>Second, this collection of information allows EDA to determine whether to release its real property or tangible personal property interests. If a recipient wishes for EDA to release its real property or tangible personal property interests before the expiration of the property’s estimated useful life, the recipient must submit a written request to EDA. Pursuant to 13 CFR 314.10(c), the recipient must disclose to EDA the intended future use of the property for which the release is requested.</w:t>
      </w:r>
    </w:p>
    <w:p w:rsidR="00CA16BE" w:rsidRPr="0067051C" w:rsidP="00F76726" w14:paraId="64EAD621" w14:textId="0BF98752">
      <w:pPr>
        <w:pStyle w:val="NoSpacing"/>
        <w:keepNext/>
        <w:numPr>
          <w:ilvl w:val="0"/>
          <w:numId w:val="12"/>
        </w:numPr>
        <w:tabs>
          <w:tab w:val="clear" w:pos="720"/>
        </w:tabs>
        <w:spacing w:before="240" w:after="240"/>
        <w:outlineLvl w:val="1"/>
        <w:rPr>
          <w:b/>
        </w:rPr>
      </w:pPr>
      <w:r w:rsidRPr="0067051C">
        <w:rPr>
          <w:b/>
        </w:rPr>
        <w:t>Indicate how, by whom, and for what purpose the information is to be used.</w:t>
      </w:r>
    </w:p>
    <w:p w:rsidR="002111B1" w:rsidP="002111B1" w14:paraId="2706E0E2" w14:textId="68BF6FB3">
      <w:pPr>
        <w:spacing w:after="200"/>
      </w:pPr>
      <w:r w:rsidRPr="00234FDD">
        <w:t>The</w:t>
      </w:r>
      <w:r>
        <w:t xml:space="preserve"> information is used by EDA personnel to determine whether to grant a request for incidental use of property acquired or improved with EDA investment assistance and/or whether to release EDA’s real property or tangible personal property interest.</w:t>
      </w:r>
    </w:p>
    <w:p w:rsidR="00BD53AF" w:rsidRPr="00CA16BE" w:rsidP="00F76726" w14:paraId="239E53A3" w14:textId="77777777">
      <w:pPr>
        <w:pStyle w:val="NoSpacing"/>
        <w:keepNext/>
        <w:numPr>
          <w:ilvl w:val="0"/>
          <w:numId w:val="12"/>
        </w:numPr>
        <w:tabs>
          <w:tab w:val="clear" w:pos="720"/>
        </w:tabs>
        <w:spacing w:before="240" w:after="240"/>
        <w:outlineLvl w:val="1"/>
        <w:rPr>
          <w:b/>
        </w:rPr>
      </w:pPr>
      <w:r w:rsidRPr="00CA16BE">
        <w:rPr>
          <w:b/>
        </w:rPr>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3B281F36">
      <w:pPr>
        <w:spacing w:after="200"/>
      </w:pPr>
      <w:r>
        <w:t>Property management requests are collected via both p</w:t>
      </w:r>
      <w:r w:rsidRPr="00DF5BC7">
        <w:t>aper and electronic submissions.</w:t>
      </w:r>
    </w:p>
    <w:p w:rsidR="00A00789" w:rsidRPr="00CA16BE" w:rsidP="00F76726" w14:paraId="47412630" w14:textId="0217F19B">
      <w:pPr>
        <w:pStyle w:val="NoSpacing"/>
        <w:keepNext/>
        <w:numPr>
          <w:ilvl w:val="0"/>
          <w:numId w:val="12"/>
        </w:numPr>
        <w:tabs>
          <w:tab w:val="clear" w:pos="720"/>
        </w:tabs>
        <w:spacing w:before="240" w:after="240"/>
        <w:outlineLvl w:val="1"/>
        <w:rPr>
          <w:b/>
        </w:rPr>
      </w:pPr>
      <w:r w:rsidRPr="00CA16BE">
        <w:rPr>
          <w:b/>
        </w:rPr>
        <w:t>Describe efforts to identify duplication.</w:t>
      </w:r>
    </w:p>
    <w:p w:rsidR="00A00789" w:rsidRPr="00234FDD" w:rsidP="007B01D5" w14:paraId="2962EC76" w14:textId="1EC97791">
      <w:pPr>
        <w:spacing w:after="200"/>
      </w:pPr>
      <w:r w:rsidRPr="004D7A12">
        <w:t xml:space="preserve">EDA reviews existing information collections to ensure that there is no duplication. The information requested is unique </w:t>
      </w:r>
      <w:r>
        <w:t>to the information collection</w:t>
      </w:r>
      <w:r w:rsidRPr="004D7A12">
        <w:t xml:space="preserve"> and is not collected elsewhere.</w:t>
      </w:r>
    </w:p>
    <w:p w:rsidR="00A00789" w:rsidRPr="00CA16BE" w:rsidP="00F76726"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t>.</w:t>
      </w:r>
    </w:p>
    <w:p w:rsidR="00A00789" w:rsidRPr="00CA16BE" w:rsidP="00F76726"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00074760" w:rsidRPr="00234FDD" w:rsidP="007B01D5" w14:paraId="60F427C8" w14:textId="4102FF98">
      <w:pPr>
        <w:spacing w:after="200"/>
      </w:pPr>
      <w:r w:rsidRPr="00234FDD">
        <w:t>EDA would not be able to fulfill its statutory mandate</w:t>
      </w:r>
      <w:r w:rsidR="00365BE4">
        <w:t xml:space="preserve"> </w:t>
      </w:r>
      <w:r w:rsidRPr="00234FDD">
        <w:t>if the informat</w:t>
      </w:r>
      <w:r w:rsidRPr="00234FDD" w:rsidR="008D252F">
        <w:t>ion collection is not conducted.</w:t>
      </w:r>
      <w:r w:rsidRPr="004649CA" w:rsidR="004649CA">
        <w:t xml:space="preserve"> This information is only collected when the recipient seeks EDA approval to undertake an incidental use of a property acquired or improved with EDA investment assistance or </w:t>
      </w:r>
      <w:r w:rsidR="00030CA4">
        <w:t>for EDA to release its real property or tangible personal property interest.</w:t>
      </w:r>
    </w:p>
    <w:p w:rsidR="00A00789" w:rsidRPr="00CA16BE" w:rsidP="00F76726"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00F76726"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 xml:space="preserve">Describe the efforts to consult with persons outside the agency to obtain their views on the availability of data, frequency of </w:t>
      </w:r>
      <w:r w:rsidRPr="00CA16BE" w:rsidR="00556DEB">
        <w:rPr>
          <w:b/>
        </w:rPr>
        <w:t>collection, the clarity of instructions and recordkeeping, disclosure, or reporting format (if any), and on the data elements to be recorded, disclosed, or reported.</w:t>
      </w:r>
      <w:r w:rsidRPr="00CA16BE">
        <w:rPr>
          <w:b/>
        </w:rPr>
        <w:t xml:space="preserve"> </w:t>
      </w:r>
    </w:p>
    <w:p w:rsidR="00F50138" w:rsidRPr="00B22C21" w:rsidP="007B01D5" w14:paraId="01A0ED0C" w14:textId="69B7ED12">
      <w:pPr>
        <w:spacing w:after="200"/>
      </w:pPr>
      <w:bookmarkStart w:id="0" w:name="OLE_LINK1"/>
      <w:bookmarkStart w:id="1" w:name="OLE_LINK2"/>
      <w:r w:rsidRPr="00ED30AC">
        <w:t xml:space="preserve">On </w:t>
      </w:r>
      <w:r w:rsidR="007E72CA">
        <w:t>November 11, 2024</w:t>
      </w:r>
      <w:r w:rsidRPr="00ED30AC">
        <w:t xml:space="preserve">, EDA published a Federal Register notice (FRN) that solicited public comments on this information collection </w:t>
      </w:r>
      <w:r w:rsidR="000A6F61">
        <w:t>(</w:t>
      </w:r>
      <w:r w:rsidRPr="000A6F61" w:rsidR="000A6F61">
        <w:t>8</w:t>
      </w:r>
      <w:r w:rsidR="00EA6968">
        <w:t>9</w:t>
      </w:r>
      <w:r w:rsidRPr="000A6F61" w:rsidR="000A6F61">
        <w:t xml:space="preserve"> FR </w:t>
      </w:r>
      <w:r w:rsidR="00EA6968">
        <w:t>92088</w:t>
      </w:r>
      <w:r w:rsidRPr="00ED30AC">
        <w:t>). In</w:t>
      </w:r>
      <w:r w:rsidRPr="00F72F80">
        <w:t xml:space="preserve"> particular, EDA solicited views from 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w:t>
      </w:r>
      <w:r w:rsidRPr="00B22C21">
        <w:t xml:space="preserve">use of automated collection techniques or other forms of information technology. </w:t>
      </w:r>
    </w:p>
    <w:p w:rsidR="001C7BEA" w:rsidRPr="00B67A83" w:rsidP="0046543B" w14:paraId="5481B5C0" w14:textId="7417B12F">
      <w:r>
        <w:t xml:space="preserve">EDA received no public comments in response the FRN that pertained to the Property Management information collection. </w:t>
      </w:r>
    </w:p>
    <w:bookmarkEnd w:id="0"/>
    <w:bookmarkEnd w:id="1"/>
    <w:p w:rsidR="00556DEB" w:rsidRPr="00CA16BE" w:rsidP="00F76726"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00F76726"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931AD9" w:rsidP="007B01D5" w14:paraId="51DFE52D" w14:textId="77777777">
      <w:pPr>
        <w:spacing w:after="200"/>
      </w:pPr>
      <w:r w:rsidRPr="00234FDD">
        <w:t>There is no assurance of confidentiality provided to respondents of this information collection.</w:t>
      </w:r>
    </w:p>
    <w:p w:rsidR="00BC5DA5" w:rsidRPr="00234FDD" w:rsidP="007B01D5" w14:paraId="0ACB94EA" w14:textId="3B053570">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p>
    <w:p w:rsidR="00556DEB" w:rsidRPr="00CA16BE" w:rsidP="00F76726"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00C81F26" w:rsidRPr="00A43B27" w:rsidP="007B01D5" w14:paraId="44621215" w14:textId="77777777">
      <w:pPr>
        <w:spacing w:after="200"/>
        <w:rPr>
          <w:sz w:val="22"/>
          <w:szCs w:val="22"/>
        </w:rPr>
      </w:pPr>
      <w:r>
        <w:t>T</w:t>
      </w:r>
      <w:r w:rsidRPr="00234FDD" w:rsidR="00180E14">
        <w:t>h</w:t>
      </w:r>
      <w:r>
        <w:t>i</w:t>
      </w:r>
      <w:r w:rsidRPr="00234FDD" w:rsidR="00180E14">
        <w:t>s</w:t>
      </w:r>
      <w:r>
        <w:t xml:space="preserve"> collection</w:t>
      </w:r>
      <w:r w:rsidRPr="00234FDD" w:rsidR="00180E14">
        <w:t xml:space="preserve"> of information </w:t>
      </w:r>
      <w:r>
        <w:t>does not</w:t>
      </w:r>
      <w:r w:rsidRPr="00234FDD" w:rsidR="00180E14">
        <w:t xml:space="preserve"> </w:t>
      </w:r>
      <w:r>
        <w:t xml:space="preserve">request </w:t>
      </w:r>
      <w:r w:rsidRPr="002743B8" w:rsidR="003B6C9B">
        <w:t>information of a sensitive nature.</w:t>
      </w:r>
    </w:p>
    <w:p w:rsidR="00556DEB" w:rsidP="00F76726" w14:paraId="54D0A0C0" w14:textId="78B4E78F">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2343"/>
        <w:gridCol w:w="2343"/>
        <w:gridCol w:w="2334"/>
      </w:tblGrid>
      <w:tr w14:paraId="103C2B71" w14:textId="77777777" w:rsidTr="0028520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0" w:type="dxa"/>
            <w:shd w:val="clear" w:color="auto" w:fill="auto"/>
          </w:tcPr>
          <w:p w:rsidR="009C5922" w:rsidRPr="00A8063D" w:rsidP="009C5922" w14:paraId="2303CDDD" w14:textId="77777777">
            <w:pPr>
              <w:spacing w:after="0"/>
              <w:jc w:val="center"/>
              <w:rPr>
                <w:b/>
              </w:rPr>
            </w:pPr>
            <w:r w:rsidRPr="00A8063D">
              <w:rPr>
                <w:b/>
              </w:rPr>
              <w:t>Type of Request</w:t>
            </w:r>
          </w:p>
        </w:tc>
        <w:tc>
          <w:tcPr>
            <w:tcW w:w="2343" w:type="dxa"/>
            <w:shd w:val="clear" w:color="auto" w:fill="auto"/>
          </w:tcPr>
          <w:p w:rsidR="009C5922" w:rsidRPr="00A8063D" w:rsidP="009C5922" w14:paraId="63FD4B82" w14:textId="6218115D">
            <w:pPr>
              <w:spacing w:after="0"/>
              <w:jc w:val="center"/>
              <w:rPr>
                <w:b/>
              </w:rPr>
            </w:pPr>
            <w:r w:rsidRPr="00A8063D">
              <w:rPr>
                <w:b/>
              </w:rPr>
              <w:t xml:space="preserve">Number of </w:t>
            </w:r>
            <w:r w:rsidR="00FF7E6D">
              <w:rPr>
                <w:b/>
              </w:rPr>
              <w:t>Respondents</w:t>
            </w:r>
          </w:p>
        </w:tc>
        <w:tc>
          <w:tcPr>
            <w:tcW w:w="2343" w:type="dxa"/>
            <w:shd w:val="clear" w:color="auto" w:fill="auto"/>
          </w:tcPr>
          <w:p w:rsidR="009C5922" w:rsidRPr="00A8063D" w:rsidP="009C5922" w14:paraId="0746AB39" w14:textId="505F042F">
            <w:pPr>
              <w:spacing w:after="0"/>
              <w:jc w:val="center"/>
              <w:rPr>
                <w:b/>
              </w:rPr>
            </w:pPr>
            <w:r>
              <w:rPr>
                <w:b/>
              </w:rPr>
              <w:t>Average Hours Per Response</w:t>
            </w:r>
          </w:p>
        </w:tc>
        <w:tc>
          <w:tcPr>
            <w:tcW w:w="2334" w:type="dxa"/>
            <w:shd w:val="clear" w:color="auto" w:fill="auto"/>
          </w:tcPr>
          <w:p w:rsidR="009C5922" w:rsidRPr="00A8063D" w:rsidP="009C5922" w14:paraId="3D2359E3" w14:textId="68307263">
            <w:pPr>
              <w:spacing w:after="0"/>
              <w:jc w:val="center"/>
              <w:rPr>
                <w:b/>
              </w:rPr>
            </w:pPr>
            <w:r w:rsidRPr="00A8063D">
              <w:rPr>
                <w:b/>
              </w:rPr>
              <w:t>Estimated Burden Hours</w:t>
            </w:r>
          </w:p>
        </w:tc>
      </w:tr>
      <w:tr w14:paraId="15D74B0B" w14:textId="77777777" w:rsidTr="0028520D">
        <w:tblPrEx>
          <w:tblW w:w="0" w:type="auto"/>
          <w:tblLook w:val="04A0"/>
        </w:tblPrEx>
        <w:tc>
          <w:tcPr>
            <w:tcW w:w="2330" w:type="dxa"/>
            <w:shd w:val="clear" w:color="auto" w:fill="auto"/>
          </w:tcPr>
          <w:p w:rsidR="009C5922" w:rsidRPr="00A8063D" w:rsidP="00F533C1" w14:paraId="6F5B3696" w14:textId="77777777">
            <w:pPr>
              <w:spacing w:after="0" w:line="259" w:lineRule="auto"/>
              <w:jc w:val="center"/>
            </w:pPr>
            <w:r w:rsidRPr="00A8063D">
              <w:t>Incidental use request</w:t>
            </w:r>
          </w:p>
        </w:tc>
        <w:tc>
          <w:tcPr>
            <w:tcW w:w="2343" w:type="dxa"/>
            <w:shd w:val="clear" w:color="auto" w:fill="auto"/>
          </w:tcPr>
          <w:p w:rsidR="009C5922" w:rsidRPr="00A8063D" w:rsidP="009C5922" w14:paraId="1949FC99" w14:textId="77777777">
            <w:pPr>
              <w:spacing w:after="0" w:line="480" w:lineRule="auto"/>
              <w:jc w:val="center"/>
            </w:pPr>
            <w:r w:rsidRPr="00A8063D">
              <w:t>54</w:t>
            </w:r>
          </w:p>
        </w:tc>
        <w:tc>
          <w:tcPr>
            <w:tcW w:w="2343" w:type="dxa"/>
            <w:shd w:val="clear" w:color="auto" w:fill="auto"/>
          </w:tcPr>
          <w:p w:rsidR="009C5922" w:rsidRPr="00A8063D" w:rsidP="009C5922" w14:paraId="466C46D5" w14:textId="77777777">
            <w:pPr>
              <w:spacing w:after="0" w:line="480" w:lineRule="auto"/>
              <w:jc w:val="center"/>
            </w:pPr>
            <w:r w:rsidRPr="00A8063D">
              <w:t>2.75</w:t>
            </w:r>
          </w:p>
        </w:tc>
        <w:tc>
          <w:tcPr>
            <w:tcW w:w="2334" w:type="dxa"/>
            <w:shd w:val="clear" w:color="auto" w:fill="auto"/>
          </w:tcPr>
          <w:p w:rsidR="009C5922" w:rsidRPr="00A8063D" w:rsidP="009C5922" w14:paraId="42E63DA2" w14:textId="77777777">
            <w:pPr>
              <w:spacing w:after="0" w:line="480" w:lineRule="auto"/>
              <w:jc w:val="center"/>
            </w:pPr>
            <w:r w:rsidRPr="00A8063D">
              <w:t>148.5</w:t>
            </w:r>
          </w:p>
        </w:tc>
      </w:tr>
      <w:tr w14:paraId="3C8E4813" w14:textId="77777777" w:rsidTr="0028520D">
        <w:tblPrEx>
          <w:tblW w:w="0" w:type="auto"/>
          <w:tblLook w:val="04A0"/>
        </w:tblPrEx>
        <w:tc>
          <w:tcPr>
            <w:tcW w:w="2330" w:type="dxa"/>
            <w:shd w:val="clear" w:color="auto" w:fill="auto"/>
          </w:tcPr>
          <w:p w:rsidR="009C5922" w:rsidRPr="00A8063D" w:rsidP="00F533C1" w14:paraId="7F669AA4" w14:textId="77777777">
            <w:pPr>
              <w:spacing w:after="0" w:line="259" w:lineRule="auto"/>
              <w:jc w:val="center"/>
            </w:pPr>
            <w:r w:rsidRPr="00A8063D">
              <w:t>Release request</w:t>
            </w:r>
          </w:p>
        </w:tc>
        <w:tc>
          <w:tcPr>
            <w:tcW w:w="2343" w:type="dxa"/>
            <w:shd w:val="clear" w:color="auto" w:fill="auto"/>
          </w:tcPr>
          <w:p w:rsidR="009C5922" w:rsidRPr="00A8063D" w:rsidP="009C5922" w14:paraId="1E4787E1" w14:textId="77777777">
            <w:pPr>
              <w:spacing w:after="0" w:line="480" w:lineRule="auto"/>
              <w:jc w:val="center"/>
            </w:pPr>
            <w:r w:rsidRPr="00A8063D">
              <w:t>96</w:t>
            </w:r>
          </w:p>
        </w:tc>
        <w:tc>
          <w:tcPr>
            <w:tcW w:w="2343" w:type="dxa"/>
            <w:shd w:val="clear" w:color="auto" w:fill="auto"/>
          </w:tcPr>
          <w:p w:rsidR="009C5922" w:rsidRPr="00A8063D" w:rsidP="009C5922" w14:paraId="393497C8" w14:textId="77777777">
            <w:pPr>
              <w:spacing w:after="0" w:line="480" w:lineRule="auto"/>
              <w:jc w:val="center"/>
            </w:pPr>
            <w:r w:rsidRPr="00A8063D">
              <w:t>2.75</w:t>
            </w:r>
          </w:p>
        </w:tc>
        <w:tc>
          <w:tcPr>
            <w:tcW w:w="2334" w:type="dxa"/>
            <w:shd w:val="clear" w:color="auto" w:fill="auto"/>
          </w:tcPr>
          <w:p w:rsidR="009C5922" w:rsidRPr="00A8063D" w:rsidP="009C5922" w14:paraId="31AFB3B7" w14:textId="77777777">
            <w:pPr>
              <w:spacing w:after="0" w:line="480" w:lineRule="auto"/>
              <w:jc w:val="center"/>
            </w:pPr>
            <w:r w:rsidRPr="00A8063D">
              <w:t>264</w:t>
            </w:r>
          </w:p>
        </w:tc>
      </w:tr>
      <w:tr w14:paraId="01A77679" w14:textId="77777777" w:rsidTr="0028520D">
        <w:tblPrEx>
          <w:tblW w:w="0" w:type="auto"/>
          <w:tblLook w:val="04A0"/>
        </w:tblPrEx>
        <w:tc>
          <w:tcPr>
            <w:tcW w:w="2330" w:type="dxa"/>
            <w:shd w:val="clear" w:color="auto" w:fill="auto"/>
          </w:tcPr>
          <w:p w:rsidR="009C5922" w:rsidRPr="001951C5" w:rsidP="009C5922" w14:paraId="396FDD84" w14:textId="77777777">
            <w:pPr>
              <w:spacing w:after="0" w:line="480" w:lineRule="auto"/>
              <w:jc w:val="center"/>
              <w:rPr>
                <w:b/>
                <w:bCs/>
              </w:rPr>
            </w:pPr>
            <w:r w:rsidRPr="001951C5">
              <w:rPr>
                <w:b/>
                <w:bCs/>
              </w:rPr>
              <w:t>Total</w:t>
            </w:r>
          </w:p>
        </w:tc>
        <w:tc>
          <w:tcPr>
            <w:tcW w:w="2343" w:type="dxa"/>
            <w:shd w:val="clear" w:color="auto" w:fill="auto"/>
          </w:tcPr>
          <w:p w:rsidR="009C5922" w:rsidRPr="00F533C1" w:rsidP="009C5922" w14:paraId="1391D7EA" w14:textId="1FD93EEC">
            <w:pPr>
              <w:spacing w:after="0" w:line="480" w:lineRule="auto"/>
              <w:jc w:val="center"/>
              <w:rPr>
                <w:b/>
                <w:bCs/>
              </w:rPr>
            </w:pPr>
            <w:r w:rsidRPr="00F533C1">
              <w:rPr>
                <w:b/>
                <w:bCs/>
              </w:rPr>
              <w:t>150</w:t>
            </w:r>
            <w:r w:rsidRPr="00F533C1" w:rsidR="00F1636C">
              <w:rPr>
                <w:b/>
                <w:bCs/>
              </w:rPr>
              <w:t xml:space="preserve"> respondents</w:t>
            </w:r>
          </w:p>
        </w:tc>
        <w:tc>
          <w:tcPr>
            <w:tcW w:w="2343" w:type="dxa"/>
            <w:shd w:val="clear" w:color="auto" w:fill="auto"/>
          </w:tcPr>
          <w:p w:rsidR="009C5922" w:rsidRPr="00A8063D" w:rsidP="009C5922" w14:paraId="5D14E002" w14:textId="77777777">
            <w:pPr>
              <w:spacing w:after="0" w:line="480" w:lineRule="auto"/>
              <w:jc w:val="center"/>
            </w:pPr>
          </w:p>
        </w:tc>
        <w:tc>
          <w:tcPr>
            <w:tcW w:w="2334" w:type="dxa"/>
            <w:shd w:val="clear" w:color="auto" w:fill="auto"/>
          </w:tcPr>
          <w:p w:rsidR="009C5922" w:rsidRPr="002E2A08" w:rsidP="009C5922" w14:paraId="04E288D1" w14:textId="2F4A7519">
            <w:pPr>
              <w:spacing w:after="0" w:line="480" w:lineRule="auto"/>
              <w:jc w:val="center"/>
              <w:rPr>
                <w:b/>
                <w:bCs/>
              </w:rPr>
            </w:pPr>
            <w:r w:rsidRPr="002E2A08">
              <w:rPr>
                <w:b/>
                <w:bCs/>
              </w:rPr>
              <w:t>412.5</w:t>
            </w:r>
            <w:r w:rsidR="00F1636C">
              <w:rPr>
                <w:b/>
                <w:bCs/>
              </w:rPr>
              <w:t xml:space="preserve"> hours</w:t>
            </w:r>
          </w:p>
        </w:tc>
      </w:tr>
    </w:tbl>
    <w:p w:rsidR="004F2EE4" w:rsidRPr="00753AB1" w:rsidP="00294064" w14:paraId="0C0F9946" w14:textId="77777777">
      <w:pPr>
        <w:spacing w:after="0"/>
        <w:rPr>
          <w:highlight w:val="cyan"/>
        </w:rPr>
      </w:pPr>
    </w:p>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00F76726"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14:paraId="5B7B7929" w14:textId="301F6D16">
      <w:pPr>
        <w:spacing w:after="200"/>
      </w:pPr>
      <w:r>
        <w:t>Apart from the value of the burden hours, there is no additional cost to respondents associated with this information collection.</w:t>
      </w:r>
    </w:p>
    <w:p w:rsidR="00CC7EB7" w:rsidP="00CC7EB7" w14:paraId="42071B7B" w14:textId="5652F6C1">
      <w:pPr>
        <w:pStyle w:val="NoSpacing"/>
        <w:keepNext/>
        <w:numPr>
          <w:ilvl w:val="0"/>
          <w:numId w:val="12"/>
        </w:numPr>
        <w:tabs>
          <w:tab w:val="clear" w:pos="720"/>
        </w:tabs>
        <w:spacing w:before="240" w:after="240"/>
        <w:outlineLvl w:val="1"/>
        <w:rPr>
          <w:b/>
        </w:rPr>
      </w:pPr>
      <w:r w:rsidRPr="00753AB1">
        <w:rPr>
          <w:b/>
        </w:rPr>
        <w:t>Provide estimates of annualized cost to the Federal government.</w:t>
      </w:r>
    </w:p>
    <w:p w:rsidR="00E23B64" w:rsidP="007E1015" w14:paraId="1C26A6D0" w14:textId="7EEE60C5">
      <w:pPr>
        <w:spacing w:after="0"/>
      </w:pPr>
      <w:r w:rsidRPr="002C0DDB">
        <w:t xml:space="preserve">EDA estimates that each request for incidental use requires </w:t>
      </w:r>
      <w:r>
        <w:t xml:space="preserve">one hour of EDA staff time to review and approve or </w:t>
      </w:r>
      <w:r w:rsidRPr="002C0DDB">
        <w:t>deny. EDA estimates that each request to release EDA’s property interest requires 10 hours to review, approve or deny, and, if approved, prepare the necessary paperwork to release EDA’s property interest.</w:t>
      </w:r>
    </w:p>
    <w:p w:rsidR="007E1015" w:rsidP="007E1015" w14:paraId="5C65ED23" w14:textId="7777777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2343"/>
        <w:gridCol w:w="2343"/>
        <w:gridCol w:w="2334"/>
      </w:tblGrid>
      <w:tr w14:paraId="78333322" w14:textId="77777777" w:rsidTr="007E10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0" w:type="dxa"/>
            <w:shd w:val="clear" w:color="auto" w:fill="auto"/>
          </w:tcPr>
          <w:p w:rsidR="00E23B64" w:rsidRPr="00F63346" w:rsidP="00445E1A" w14:paraId="11DA356F" w14:textId="77777777">
            <w:pPr>
              <w:widowControl w:val="0"/>
              <w:spacing w:after="0"/>
              <w:jc w:val="center"/>
              <w:rPr>
                <w:b/>
              </w:rPr>
            </w:pPr>
            <w:r w:rsidRPr="00F63346">
              <w:rPr>
                <w:b/>
              </w:rPr>
              <w:t>Type of Request</w:t>
            </w:r>
          </w:p>
        </w:tc>
        <w:tc>
          <w:tcPr>
            <w:tcW w:w="2343" w:type="dxa"/>
            <w:shd w:val="clear" w:color="auto" w:fill="auto"/>
          </w:tcPr>
          <w:p w:rsidR="00E23B64" w:rsidRPr="00F63346" w:rsidP="00445E1A" w14:paraId="7B409BD1" w14:textId="25A12EB6">
            <w:pPr>
              <w:widowControl w:val="0"/>
              <w:spacing w:after="0"/>
              <w:jc w:val="center"/>
              <w:rPr>
                <w:b/>
              </w:rPr>
            </w:pPr>
            <w:r w:rsidRPr="00F63346">
              <w:rPr>
                <w:b/>
              </w:rPr>
              <w:t xml:space="preserve">Number of </w:t>
            </w:r>
            <w:r w:rsidR="00F1636C">
              <w:rPr>
                <w:b/>
              </w:rPr>
              <w:t>Respondents</w:t>
            </w:r>
          </w:p>
        </w:tc>
        <w:tc>
          <w:tcPr>
            <w:tcW w:w="2343" w:type="dxa"/>
            <w:shd w:val="clear" w:color="auto" w:fill="auto"/>
          </w:tcPr>
          <w:p w:rsidR="00E23B64" w:rsidRPr="00F63346" w:rsidP="00445E1A" w14:paraId="78A69F7A" w14:textId="73711531">
            <w:pPr>
              <w:widowControl w:val="0"/>
              <w:spacing w:after="0"/>
              <w:jc w:val="center"/>
              <w:rPr>
                <w:b/>
              </w:rPr>
            </w:pPr>
            <w:r>
              <w:rPr>
                <w:b/>
              </w:rPr>
              <w:t>Average Hours Per Response</w:t>
            </w:r>
          </w:p>
        </w:tc>
        <w:tc>
          <w:tcPr>
            <w:tcW w:w="2334" w:type="dxa"/>
            <w:shd w:val="clear" w:color="auto" w:fill="auto"/>
          </w:tcPr>
          <w:p w:rsidR="00E23B64" w:rsidRPr="00F63346" w:rsidP="00445E1A" w14:paraId="2B410395" w14:textId="5446F9D4">
            <w:pPr>
              <w:widowControl w:val="0"/>
              <w:spacing w:after="0"/>
              <w:jc w:val="center"/>
              <w:rPr>
                <w:b/>
              </w:rPr>
            </w:pPr>
            <w:r w:rsidRPr="00F63346">
              <w:rPr>
                <w:b/>
              </w:rPr>
              <w:t>Estimated Burden Hours</w:t>
            </w:r>
          </w:p>
        </w:tc>
      </w:tr>
      <w:tr w14:paraId="54F6BADD" w14:textId="77777777" w:rsidTr="007E1015">
        <w:tblPrEx>
          <w:tblW w:w="0" w:type="auto"/>
          <w:tblLook w:val="04A0"/>
        </w:tblPrEx>
        <w:tc>
          <w:tcPr>
            <w:tcW w:w="2330" w:type="dxa"/>
            <w:shd w:val="clear" w:color="auto" w:fill="auto"/>
          </w:tcPr>
          <w:p w:rsidR="00E23B64" w:rsidP="00F533C1" w14:paraId="5F3D8E8B" w14:textId="77777777">
            <w:pPr>
              <w:widowControl w:val="0"/>
              <w:spacing w:after="0" w:line="259" w:lineRule="auto"/>
              <w:jc w:val="center"/>
            </w:pPr>
            <w:r>
              <w:t>Incidental use request</w:t>
            </w:r>
          </w:p>
        </w:tc>
        <w:tc>
          <w:tcPr>
            <w:tcW w:w="2343" w:type="dxa"/>
            <w:shd w:val="clear" w:color="auto" w:fill="auto"/>
          </w:tcPr>
          <w:p w:rsidR="00E23B64" w:rsidP="00445E1A" w14:paraId="5792599D" w14:textId="77777777">
            <w:pPr>
              <w:widowControl w:val="0"/>
              <w:spacing w:after="0" w:line="480" w:lineRule="auto"/>
              <w:jc w:val="center"/>
            </w:pPr>
            <w:r>
              <w:t>54</w:t>
            </w:r>
          </w:p>
        </w:tc>
        <w:tc>
          <w:tcPr>
            <w:tcW w:w="2343" w:type="dxa"/>
            <w:shd w:val="clear" w:color="auto" w:fill="auto"/>
          </w:tcPr>
          <w:p w:rsidR="00E23B64" w:rsidP="00445E1A" w14:paraId="2484C430" w14:textId="77777777">
            <w:pPr>
              <w:widowControl w:val="0"/>
              <w:spacing w:after="0" w:line="480" w:lineRule="auto"/>
              <w:jc w:val="center"/>
            </w:pPr>
            <w:r>
              <w:t>1</w:t>
            </w:r>
          </w:p>
        </w:tc>
        <w:tc>
          <w:tcPr>
            <w:tcW w:w="2334" w:type="dxa"/>
            <w:shd w:val="clear" w:color="auto" w:fill="auto"/>
          </w:tcPr>
          <w:p w:rsidR="00E23B64" w:rsidP="00445E1A" w14:paraId="14672B59" w14:textId="77777777">
            <w:pPr>
              <w:widowControl w:val="0"/>
              <w:spacing w:after="0" w:line="480" w:lineRule="auto"/>
              <w:jc w:val="center"/>
            </w:pPr>
            <w:r>
              <w:t>54</w:t>
            </w:r>
          </w:p>
        </w:tc>
      </w:tr>
      <w:tr w14:paraId="1DA81CF7" w14:textId="77777777" w:rsidTr="007E1015">
        <w:tblPrEx>
          <w:tblW w:w="0" w:type="auto"/>
          <w:tblLook w:val="04A0"/>
        </w:tblPrEx>
        <w:tc>
          <w:tcPr>
            <w:tcW w:w="2330" w:type="dxa"/>
            <w:shd w:val="clear" w:color="auto" w:fill="auto"/>
          </w:tcPr>
          <w:p w:rsidR="00E23B64" w:rsidP="00F533C1" w14:paraId="186B9FB5" w14:textId="77777777">
            <w:pPr>
              <w:widowControl w:val="0"/>
              <w:spacing w:after="0" w:line="259" w:lineRule="auto"/>
              <w:jc w:val="center"/>
            </w:pPr>
            <w:r>
              <w:t>Release request</w:t>
            </w:r>
          </w:p>
        </w:tc>
        <w:tc>
          <w:tcPr>
            <w:tcW w:w="2343" w:type="dxa"/>
            <w:shd w:val="clear" w:color="auto" w:fill="auto"/>
          </w:tcPr>
          <w:p w:rsidR="00E23B64" w:rsidP="00445E1A" w14:paraId="73DA9A0C" w14:textId="77777777">
            <w:pPr>
              <w:widowControl w:val="0"/>
              <w:spacing w:after="0" w:line="480" w:lineRule="auto"/>
              <w:jc w:val="center"/>
            </w:pPr>
            <w:r>
              <w:t>96</w:t>
            </w:r>
          </w:p>
        </w:tc>
        <w:tc>
          <w:tcPr>
            <w:tcW w:w="2343" w:type="dxa"/>
            <w:shd w:val="clear" w:color="auto" w:fill="auto"/>
          </w:tcPr>
          <w:p w:rsidR="00E23B64" w:rsidP="00445E1A" w14:paraId="2454C083" w14:textId="77777777">
            <w:pPr>
              <w:widowControl w:val="0"/>
              <w:spacing w:after="0" w:line="480" w:lineRule="auto"/>
              <w:jc w:val="center"/>
            </w:pPr>
            <w:r>
              <w:t>10</w:t>
            </w:r>
          </w:p>
        </w:tc>
        <w:tc>
          <w:tcPr>
            <w:tcW w:w="2334" w:type="dxa"/>
            <w:shd w:val="clear" w:color="auto" w:fill="auto"/>
          </w:tcPr>
          <w:p w:rsidR="00E23B64" w:rsidP="00445E1A" w14:paraId="626A28B2" w14:textId="77777777">
            <w:pPr>
              <w:widowControl w:val="0"/>
              <w:spacing w:after="0" w:line="480" w:lineRule="auto"/>
              <w:jc w:val="center"/>
            </w:pPr>
            <w:r>
              <w:t>960</w:t>
            </w:r>
          </w:p>
        </w:tc>
      </w:tr>
      <w:tr w14:paraId="6E5E8F5F" w14:textId="77777777" w:rsidTr="007E1015">
        <w:tblPrEx>
          <w:tblW w:w="0" w:type="auto"/>
          <w:tblLook w:val="04A0"/>
        </w:tblPrEx>
        <w:tc>
          <w:tcPr>
            <w:tcW w:w="2330" w:type="dxa"/>
            <w:shd w:val="clear" w:color="auto" w:fill="auto"/>
          </w:tcPr>
          <w:p w:rsidR="00E23B64" w:rsidRPr="0046543B" w:rsidP="00445E1A" w14:paraId="556C0393" w14:textId="3A7B0AF8">
            <w:pPr>
              <w:widowControl w:val="0"/>
              <w:spacing w:after="0" w:line="480" w:lineRule="auto"/>
              <w:jc w:val="center"/>
              <w:rPr>
                <w:b/>
                <w:bCs/>
              </w:rPr>
            </w:pPr>
            <w:r w:rsidRPr="0046543B">
              <w:rPr>
                <w:b/>
                <w:bCs/>
              </w:rPr>
              <w:t>Total</w:t>
            </w:r>
          </w:p>
        </w:tc>
        <w:tc>
          <w:tcPr>
            <w:tcW w:w="2343" w:type="dxa"/>
            <w:shd w:val="clear" w:color="auto" w:fill="auto"/>
          </w:tcPr>
          <w:p w:rsidR="00E23B64" w:rsidRPr="00F533C1" w:rsidP="00445E1A" w14:paraId="2BD2020F" w14:textId="7D2726AB">
            <w:pPr>
              <w:widowControl w:val="0"/>
              <w:spacing w:after="0" w:line="480" w:lineRule="auto"/>
              <w:jc w:val="center"/>
              <w:rPr>
                <w:b/>
                <w:bCs/>
              </w:rPr>
            </w:pPr>
            <w:r w:rsidRPr="00F533C1">
              <w:rPr>
                <w:b/>
                <w:bCs/>
              </w:rPr>
              <w:t>150</w:t>
            </w:r>
            <w:r w:rsidRPr="00F533C1" w:rsidR="00F1636C">
              <w:rPr>
                <w:b/>
                <w:bCs/>
              </w:rPr>
              <w:t xml:space="preserve"> respondents</w:t>
            </w:r>
          </w:p>
        </w:tc>
        <w:tc>
          <w:tcPr>
            <w:tcW w:w="2343" w:type="dxa"/>
            <w:shd w:val="clear" w:color="auto" w:fill="auto"/>
          </w:tcPr>
          <w:p w:rsidR="00E23B64" w:rsidP="00445E1A" w14:paraId="32A5C341" w14:textId="1D878B00">
            <w:pPr>
              <w:widowControl w:val="0"/>
              <w:spacing w:after="0" w:line="480" w:lineRule="auto"/>
              <w:jc w:val="center"/>
            </w:pPr>
          </w:p>
        </w:tc>
        <w:tc>
          <w:tcPr>
            <w:tcW w:w="2334" w:type="dxa"/>
            <w:shd w:val="clear" w:color="auto" w:fill="auto"/>
          </w:tcPr>
          <w:p w:rsidR="00E23B64" w:rsidRPr="0046543B" w:rsidP="00445E1A" w14:paraId="1C406B3C" w14:textId="46E69624">
            <w:pPr>
              <w:widowControl w:val="0"/>
              <w:spacing w:after="0" w:line="480" w:lineRule="auto"/>
              <w:jc w:val="center"/>
              <w:rPr>
                <w:b/>
                <w:bCs/>
              </w:rPr>
            </w:pPr>
            <w:r w:rsidRPr="0046543B">
              <w:rPr>
                <w:b/>
                <w:bCs/>
              </w:rPr>
              <w:t>1,014</w:t>
            </w:r>
            <w:r w:rsidR="00F1636C">
              <w:rPr>
                <w:b/>
                <w:bCs/>
              </w:rPr>
              <w:t xml:space="preserve"> hours</w:t>
            </w:r>
          </w:p>
        </w:tc>
      </w:tr>
    </w:tbl>
    <w:p w:rsidR="00181B59" w:rsidP="007E1015" w14:paraId="21C5D322" w14:textId="77777777">
      <w:pPr>
        <w:spacing w:after="200"/>
      </w:pPr>
    </w:p>
    <w:p w:rsidR="007E1015" w:rsidRPr="00753AB1" w:rsidP="007E1015" w14:paraId="39773723" w14:textId="5059C90A">
      <w:pPr>
        <w:spacing w:after="200"/>
      </w:pPr>
      <w:r w:rsidRPr="00753AB1">
        <w:t>EDA estimates the total annual cost burden to the federal government to be $</w:t>
      </w:r>
      <w:r w:rsidR="005D4C33">
        <w:t>83,766</w:t>
      </w:r>
      <w:r w:rsidRPr="00753AB1">
        <w:t xml:space="preserve"> </w:t>
      </w:r>
      <w:r>
        <w:t>(1,</w:t>
      </w:r>
      <w:r w:rsidR="00FF03BC">
        <w:t>014</w:t>
      </w:r>
      <w:r>
        <w:t xml:space="preserve"> </w:t>
      </w:r>
      <w:r w:rsidR="00F1636C">
        <w:t xml:space="preserve">hours </w:t>
      </w:r>
      <w:r>
        <w:t>multiplied by $</w:t>
      </w:r>
      <w:r w:rsidR="006E1B1E">
        <w:t>82.61</w:t>
      </w:r>
      <w:r w:rsidR="005D4C33">
        <w:t xml:space="preserve"> </w:t>
      </w:r>
      <w:r>
        <w:t>per hour)</w:t>
      </w:r>
      <w:r w:rsidRPr="00753AB1">
        <w:t>.</w:t>
      </w:r>
      <w:r>
        <w:t xml:space="preserve"> The hourly wage used is that of a federal employee at grade 13, step 4, plus 30% to account for overhead and other costs ($</w:t>
      </w:r>
      <w:r w:rsidR="006E1B1E">
        <w:t>63.55</w:t>
      </w:r>
      <w:r>
        <w:t xml:space="preserve"> per hour + $</w:t>
      </w:r>
      <w:r w:rsidRPr="007E3382">
        <w:t>1</w:t>
      </w:r>
      <w:r w:rsidR="006E1B1E">
        <w:t>9.06</w:t>
      </w:r>
      <w:r>
        <w:t xml:space="preserve"> per hour).</w:t>
      </w:r>
    </w:p>
    <w:p w:rsidR="003D6BD4" w:rsidRPr="00753AB1" w:rsidP="00872216" w14:paraId="6C98180F" w14:textId="70164E11">
      <w:pPr>
        <w:spacing w:after="200"/>
      </w:pPr>
      <w:r w:rsidRPr="00753AB1">
        <w:t>Apart from the value of the burden hours, there is no additional cost to the federal government associated with this information collection</w:t>
      </w:r>
      <w:r w:rsidRPr="00753AB1" w:rsidR="00872216">
        <w:t>.</w:t>
      </w:r>
    </w:p>
    <w:p w:rsidR="00A746F2" w:rsidRPr="00753AB1" w:rsidP="00F76726" w14:paraId="21DFF0E9" w14:textId="77777777">
      <w:pPr>
        <w:pStyle w:val="NoSpacing"/>
        <w:keepNext/>
        <w:numPr>
          <w:ilvl w:val="0"/>
          <w:numId w:val="12"/>
        </w:numPr>
        <w:tabs>
          <w:tab w:val="clear" w:pos="720"/>
        </w:tabs>
        <w:spacing w:before="240" w:after="240"/>
        <w:outlineLvl w:val="1"/>
        <w:rPr>
          <w:b/>
        </w:rPr>
      </w:pPr>
      <w:r w:rsidRPr="00753AB1">
        <w:rPr>
          <w:b/>
        </w:rPr>
        <w:t xml:space="preserve">Explain the reasons for any program </w:t>
      </w:r>
      <w:r w:rsidRPr="00753AB1" w:rsidR="001739BB">
        <w:rPr>
          <w:b/>
        </w:rPr>
        <w:t>changes or adjustments</w:t>
      </w:r>
      <w:r w:rsidRPr="00753AB1">
        <w:rPr>
          <w:b/>
        </w:rPr>
        <w:t>.</w:t>
      </w:r>
    </w:p>
    <w:p w:rsidR="00415570" w:rsidRPr="00753AB1" w:rsidP="00415570" w14:paraId="6C8B30D2" w14:textId="77777777">
      <w:pPr>
        <w:spacing w:after="200"/>
      </w:pPr>
      <w:r>
        <w:t>EDA proposes to extend this information collection without change.</w:t>
      </w:r>
    </w:p>
    <w:p w:rsidR="00A746F2" w:rsidRPr="00753AB1" w:rsidP="00F76726" w14:paraId="5E4F0111" w14:textId="77777777">
      <w:pPr>
        <w:pStyle w:val="NoSpacing"/>
        <w:keepNext/>
        <w:numPr>
          <w:ilvl w:val="0"/>
          <w:numId w:val="12"/>
        </w:numPr>
        <w:tabs>
          <w:tab w:val="clear" w:pos="720"/>
        </w:tabs>
        <w:spacing w:before="240" w:after="240"/>
        <w:outlineLvl w:val="1"/>
        <w:rPr>
          <w:b/>
        </w:rPr>
      </w:pPr>
      <w:r w:rsidRPr="00753AB1">
        <w:rPr>
          <w:b/>
        </w:rPr>
        <w:t xml:space="preserve">For collections </w:t>
      </w:r>
      <w:r w:rsidRPr="00753AB1" w:rsidR="00E95422">
        <w:rPr>
          <w:b/>
        </w:rPr>
        <w:t>whose collections</w:t>
      </w:r>
      <w:r w:rsidRPr="00753AB1">
        <w:rPr>
          <w:b/>
        </w:rPr>
        <w:t xml:space="preserve"> will be published, outline</w:t>
      </w:r>
      <w:r w:rsidRPr="00753AB1" w:rsidR="00E95422">
        <w:rPr>
          <w:b/>
        </w:rPr>
        <w:t xml:space="preserve"> the</w:t>
      </w:r>
      <w:r w:rsidRPr="00753AB1">
        <w:rPr>
          <w:b/>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2304E7CC">
      <w:pPr>
        <w:spacing w:after="200"/>
      </w:pPr>
      <w:r>
        <w:t>However, i</w:t>
      </w:r>
      <w:r w:rsidRPr="00753AB1">
        <w:t xml:space="preserve">nformation collected from respondents </w:t>
      </w:r>
      <w:r w:rsidR="008C6D0D">
        <w:t>may</w:t>
      </w:r>
      <w:r w:rsidRPr="00753AB1">
        <w:t xml:space="preserve"> be published in aggregate form as part of EDA’s annual report, GPRA reporting, EDA’s Balanced Scorecard, progress reports to the DOC and/or its OIG, or other summary reports</w:t>
      </w:r>
      <w:r w:rsidR="00AA199C">
        <w:t>.</w:t>
      </w:r>
    </w:p>
    <w:p w:rsidR="00A746F2" w:rsidRPr="00753AB1" w:rsidP="00F76726" w14:paraId="599F35CB" w14:textId="77777777">
      <w:pPr>
        <w:pStyle w:val="NoSpacing"/>
        <w:keepNext/>
        <w:numPr>
          <w:ilvl w:val="0"/>
          <w:numId w:val="12"/>
        </w:numPr>
        <w:tabs>
          <w:tab w:val="clear" w:pos="720"/>
        </w:tabs>
        <w:spacing w:before="240" w:after="240"/>
        <w:outlineLvl w:val="1"/>
        <w:rPr>
          <w:b/>
        </w:rPr>
      </w:pPr>
      <w:r w:rsidRPr="00753AB1">
        <w:rPr>
          <w:b/>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00F76726" w14:paraId="594F1942" w14:textId="77777777">
      <w:pPr>
        <w:pStyle w:val="NoSpacing"/>
        <w:keepNext/>
        <w:numPr>
          <w:ilvl w:val="0"/>
          <w:numId w:val="12"/>
        </w:numPr>
        <w:tabs>
          <w:tab w:val="clear" w:pos="720"/>
        </w:tabs>
        <w:spacing w:before="240" w:after="240"/>
        <w:outlineLvl w:val="1"/>
        <w:rPr>
          <w:b/>
        </w:rPr>
      </w:pPr>
      <w:r w:rsidRPr="00753AB1">
        <w:rPr>
          <w:b/>
        </w:rPr>
        <w:t xml:space="preserve">Explain each exception to the </w:t>
      </w:r>
      <w:r w:rsidRPr="00753AB1" w:rsidR="00E95422">
        <w:rPr>
          <w:b/>
        </w:rPr>
        <w:t>c</w:t>
      </w:r>
      <w:r w:rsidRPr="00753AB1">
        <w:rPr>
          <w:b/>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5"/>
      <w:footerReference w:type="default" r:id="rId6"/>
      <w:foot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032096"/>
      <w:docPartObj>
        <w:docPartGallery w:val="Page Numbers (Bottom of Page)"/>
        <w:docPartUnique/>
      </w:docPartObj>
    </w:sdtPr>
    <w:sdtEndPr>
      <w:rPr>
        <w:noProof/>
      </w:rPr>
    </w:sdtEndPr>
    <w:sdtContent>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2">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35740845">
    <w:abstractNumId w:val="11"/>
  </w:num>
  <w:num w:numId="2" w16cid:durableId="1085152699">
    <w:abstractNumId w:val="10"/>
  </w:num>
  <w:num w:numId="3" w16cid:durableId="1784494229">
    <w:abstractNumId w:val="15"/>
  </w:num>
  <w:num w:numId="4" w16cid:durableId="1745638230">
    <w:abstractNumId w:val="4"/>
  </w:num>
  <w:num w:numId="5" w16cid:durableId="893468034">
    <w:abstractNumId w:val="1"/>
  </w:num>
  <w:num w:numId="6" w16cid:durableId="483159904">
    <w:abstractNumId w:val="7"/>
  </w:num>
  <w:num w:numId="7" w16cid:durableId="184757553">
    <w:abstractNumId w:val="6"/>
  </w:num>
  <w:num w:numId="8" w16cid:durableId="547959183">
    <w:abstractNumId w:val="14"/>
  </w:num>
  <w:num w:numId="9" w16cid:durableId="1494444431">
    <w:abstractNumId w:val="9"/>
  </w:num>
  <w:num w:numId="10" w16cid:durableId="770009576">
    <w:abstractNumId w:val="3"/>
  </w:num>
  <w:num w:numId="11" w16cid:durableId="21321159">
    <w:abstractNumId w:val="12"/>
  </w:num>
  <w:num w:numId="12" w16cid:durableId="1658727028">
    <w:abstractNumId w:val="0"/>
  </w:num>
  <w:num w:numId="13" w16cid:durableId="935988466">
    <w:abstractNumId w:val="13"/>
  </w:num>
  <w:num w:numId="14" w16cid:durableId="1785274121">
    <w:abstractNumId w:val="1"/>
  </w:num>
  <w:num w:numId="15" w16cid:durableId="937761318">
    <w:abstractNumId w:val="2"/>
  </w:num>
  <w:num w:numId="16" w16cid:durableId="472254690">
    <w:abstractNumId w:val="5"/>
  </w:num>
  <w:num w:numId="17" w16cid:durableId="860433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0CA4"/>
    <w:rsid w:val="00032FCF"/>
    <w:rsid w:val="00034E18"/>
    <w:rsid w:val="00037689"/>
    <w:rsid w:val="000423D0"/>
    <w:rsid w:val="00046599"/>
    <w:rsid w:val="000509FF"/>
    <w:rsid w:val="000527F8"/>
    <w:rsid w:val="00052E54"/>
    <w:rsid w:val="00060E5B"/>
    <w:rsid w:val="00064A31"/>
    <w:rsid w:val="00064D3C"/>
    <w:rsid w:val="0006683A"/>
    <w:rsid w:val="00067FB9"/>
    <w:rsid w:val="00070F61"/>
    <w:rsid w:val="00074760"/>
    <w:rsid w:val="000772D7"/>
    <w:rsid w:val="0008036E"/>
    <w:rsid w:val="000842F1"/>
    <w:rsid w:val="000909A5"/>
    <w:rsid w:val="00090CFE"/>
    <w:rsid w:val="000A3517"/>
    <w:rsid w:val="000A610C"/>
    <w:rsid w:val="000A6F61"/>
    <w:rsid w:val="000B53B0"/>
    <w:rsid w:val="000B5C83"/>
    <w:rsid w:val="000C32A9"/>
    <w:rsid w:val="000C6550"/>
    <w:rsid w:val="000D3319"/>
    <w:rsid w:val="000D3E78"/>
    <w:rsid w:val="000E65AE"/>
    <w:rsid w:val="000F0F5D"/>
    <w:rsid w:val="000F2B4F"/>
    <w:rsid w:val="00102953"/>
    <w:rsid w:val="00103680"/>
    <w:rsid w:val="00104FB4"/>
    <w:rsid w:val="00110419"/>
    <w:rsid w:val="00123563"/>
    <w:rsid w:val="00137A26"/>
    <w:rsid w:val="00140495"/>
    <w:rsid w:val="0014495C"/>
    <w:rsid w:val="0014753A"/>
    <w:rsid w:val="00163A18"/>
    <w:rsid w:val="00166E9B"/>
    <w:rsid w:val="00171691"/>
    <w:rsid w:val="001739BB"/>
    <w:rsid w:val="00174E7B"/>
    <w:rsid w:val="00180E14"/>
    <w:rsid w:val="00181B59"/>
    <w:rsid w:val="0018714F"/>
    <w:rsid w:val="001914C7"/>
    <w:rsid w:val="001925B8"/>
    <w:rsid w:val="00192F63"/>
    <w:rsid w:val="001951C5"/>
    <w:rsid w:val="00195744"/>
    <w:rsid w:val="001A075D"/>
    <w:rsid w:val="001A424A"/>
    <w:rsid w:val="001A4B37"/>
    <w:rsid w:val="001B38E8"/>
    <w:rsid w:val="001B3D5D"/>
    <w:rsid w:val="001B494A"/>
    <w:rsid w:val="001C19B3"/>
    <w:rsid w:val="001C2DE2"/>
    <w:rsid w:val="001C7BEA"/>
    <w:rsid w:val="001D664A"/>
    <w:rsid w:val="001E0748"/>
    <w:rsid w:val="001E135C"/>
    <w:rsid w:val="001E3A1E"/>
    <w:rsid w:val="001E4C83"/>
    <w:rsid w:val="001E7F5D"/>
    <w:rsid w:val="002011A8"/>
    <w:rsid w:val="00202BE9"/>
    <w:rsid w:val="00202F62"/>
    <w:rsid w:val="00203B77"/>
    <w:rsid w:val="0020454E"/>
    <w:rsid w:val="0020530C"/>
    <w:rsid w:val="00206596"/>
    <w:rsid w:val="002111B1"/>
    <w:rsid w:val="00212CDF"/>
    <w:rsid w:val="00213FEB"/>
    <w:rsid w:val="00215943"/>
    <w:rsid w:val="00217846"/>
    <w:rsid w:val="002208BC"/>
    <w:rsid w:val="0022171B"/>
    <w:rsid w:val="002273E9"/>
    <w:rsid w:val="00230EA8"/>
    <w:rsid w:val="00234FDD"/>
    <w:rsid w:val="002414DF"/>
    <w:rsid w:val="0024231D"/>
    <w:rsid w:val="00242804"/>
    <w:rsid w:val="00253A4B"/>
    <w:rsid w:val="00254CDF"/>
    <w:rsid w:val="00257EEF"/>
    <w:rsid w:val="00266D11"/>
    <w:rsid w:val="00270D23"/>
    <w:rsid w:val="002718BB"/>
    <w:rsid w:val="002743B8"/>
    <w:rsid w:val="002820C7"/>
    <w:rsid w:val="002837C6"/>
    <w:rsid w:val="00287C43"/>
    <w:rsid w:val="00294064"/>
    <w:rsid w:val="00296995"/>
    <w:rsid w:val="00296CD7"/>
    <w:rsid w:val="002A372E"/>
    <w:rsid w:val="002A3AF9"/>
    <w:rsid w:val="002A408A"/>
    <w:rsid w:val="002A44D9"/>
    <w:rsid w:val="002A6DC0"/>
    <w:rsid w:val="002B0CC7"/>
    <w:rsid w:val="002B343D"/>
    <w:rsid w:val="002B4784"/>
    <w:rsid w:val="002B5BB6"/>
    <w:rsid w:val="002C082B"/>
    <w:rsid w:val="002C0DDB"/>
    <w:rsid w:val="002C1069"/>
    <w:rsid w:val="002C4CC0"/>
    <w:rsid w:val="002C593A"/>
    <w:rsid w:val="002C6B63"/>
    <w:rsid w:val="002D329A"/>
    <w:rsid w:val="002E0665"/>
    <w:rsid w:val="002E0935"/>
    <w:rsid w:val="002E2A08"/>
    <w:rsid w:val="002E34F9"/>
    <w:rsid w:val="002E6534"/>
    <w:rsid w:val="002F0EA0"/>
    <w:rsid w:val="002F2243"/>
    <w:rsid w:val="002F477A"/>
    <w:rsid w:val="00301147"/>
    <w:rsid w:val="00303241"/>
    <w:rsid w:val="00305AE2"/>
    <w:rsid w:val="003062FF"/>
    <w:rsid w:val="003066EA"/>
    <w:rsid w:val="0030739B"/>
    <w:rsid w:val="00322229"/>
    <w:rsid w:val="00322AEC"/>
    <w:rsid w:val="00325520"/>
    <w:rsid w:val="00326CD0"/>
    <w:rsid w:val="00327850"/>
    <w:rsid w:val="00336A99"/>
    <w:rsid w:val="00337BE6"/>
    <w:rsid w:val="00344868"/>
    <w:rsid w:val="0034523A"/>
    <w:rsid w:val="00346233"/>
    <w:rsid w:val="00347534"/>
    <w:rsid w:val="00351B37"/>
    <w:rsid w:val="00352FC2"/>
    <w:rsid w:val="00365BE4"/>
    <w:rsid w:val="00370507"/>
    <w:rsid w:val="00370C23"/>
    <w:rsid w:val="00372799"/>
    <w:rsid w:val="00376874"/>
    <w:rsid w:val="00380705"/>
    <w:rsid w:val="003824B9"/>
    <w:rsid w:val="00382923"/>
    <w:rsid w:val="00382AC8"/>
    <w:rsid w:val="0038402A"/>
    <w:rsid w:val="003932B7"/>
    <w:rsid w:val="00393EAA"/>
    <w:rsid w:val="00394B62"/>
    <w:rsid w:val="00395DAC"/>
    <w:rsid w:val="003A07BB"/>
    <w:rsid w:val="003A31C7"/>
    <w:rsid w:val="003A54C1"/>
    <w:rsid w:val="003B174A"/>
    <w:rsid w:val="003B6C9B"/>
    <w:rsid w:val="003B7DE6"/>
    <w:rsid w:val="003C072C"/>
    <w:rsid w:val="003C1E9E"/>
    <w:rsid w:val="003C1EB6"/>
    <w:rsid w:val="003C5A10"/>
    <w:rsid w:val="003D1C68"/>
    <w:rsid w:val="003D1D11"/>
    <w:rsid w:val="003D23D2"/>
    <w:rsid w:val="003D24F9"/>
    <w:rsid w:val="003D64D3"/>
    <w:rsid w:val="003D6BD4"/>
    <w:rsid w:val="003E587F"/>
    <w:rsid w:val="003F0805"/>
    <w:rsid w:val="003F6DFD"/>
    <w:rsid w:val="003F6F0E"/>
    <w:rsid w:val="0040352D"/>
    <w:rsid w:val="00403BA1"/>
    <w:rsid w:val="00415570"/>
    <w:rsid w:val="004160CA"/>
    <w:rsid w:val="00416BBF"/>
    <w:rsid w:val="00423679"/>
    <w:rsid w:val="00425C61"/>
    <w:rsid w:val="00426DB8"/>
    <w:rsid w:val="004304B6"/>
    <w:rsid w:val="00433940"/>
    <w:rsid w:val="0044278A"/>
    <w:rsid w:val="0044339B"/>
    <w:rsid w:val="00445989"/>
    <w:rsid w:val="00445E1A"/>
    <w:rsid w:val="00447F1B"/>
    <w:rsid w:val="00451BCC"/>
    <w:rsid w:val="0045202E"/>
    <w:rsid w:val="004534DA"/>
    <w:rsid w:val="004566A4"/>
    <w:rsid w:val="004618C6"/>
    <w:rsid w:val="004649CA"/>
    <w:rsid w:val="00464DAC"/>
    <w:rsid w:val="0046543B"/>
    <w:rsid w:val="0047727D"/>
    <w:rsid w:val="0048183F"/>
    <w:rsid w:val="00483B25"/>
    <w:rsid w:val="004914E5"/>
    <w:rsid w:val="00492B51"/>
    <w:rsid w:val="00495868"/>
    <w:rsid w:val="004A1411"/>
    <w:rsid w:val="004A34BC"/>
    <w:rsid w:val="004A773D"/>
    <w:rsid w:val="004B0838"/>
    <w:rsid w:val="004B29DA"/>
    <w:rsid w:val="004B55C7"/>
    <w:rsid w:val="004D0098"/>
    <w:rsid w:val="004D1034"/>
    <w:rsid w:val="004D3CDB"/>
    <w:rsid w:val="004D431E"/>
    <w:rsid w:val="004D7A12"/>
    <w:rsid w:val="004E0151"/>
    <w:rsid w:val="004E1F08"/>
    <w:rsid w:val="004F2EE4"/>
    <w:rsid w:val="004F392A"/>
    <w:rsid w:val="004F3C67"/>
    <w:rsid w:val="004F4502"/>
    <w:rsid w:val="004F6AE1"/>
    <w:rsid w:val="00502AB9"/>
    <w:rsid w:val="00512E4A"/>
    <w:rsid w:val="005160E9"/>
    <w:rsid w:val="00517C14"/>
    <w:rsid w:val="005207AB"/>
    <w:rsid w:val="005241EA"/>
    <w:rsid w:val="005312B1"/>
    <w:rsid w:val="005329E6"/>
    <w:rsid w:val="0053612E"/>
    <w:rsid w:val="00537D1D"/>
    <w:rsid w:val="005474C0"/>
    <w:rsid w:val="00547C06"/>
    <w:rsid w:val="0055133B"/>
    <w:rsid w:val="00556743"/>
    <w:rsid w:val="00556DEB"/>
    <w:rsid w:val="00560180"/>
    <w:rsid w:val="005611F6"/>
    <w:rsid w:val="00565398"/>
    <w:rsid w:val="0056547D"/>
    <w:rsid w:val="00566206"/>
    <w:rsid w:val="00570884"/>
    <w:rsid w:val="005762B2"/>
    <w:rsid w:val="00580E30"/>
    <w:rsid w:val="00581FD5"/>
    <w:rsid w:val="005851F6"/>
    <w:rsid w:val="0059106B"/>
    <w:rsid w:val="0059217C"/>
    <w:rsid w:val="005924D2"/>
    <w:rsid w:val="0059256E"/>
    <w:rsid w:val="0059552B"/>
    <w:rsid w:val="00595703"/>
    <w:rsid w:val="005A4832"/>
    <w:rsid w:val="005A642A"/>
    <w:rsid w:val="005A685D"/>
    <w:rsid w:val="005A6BEE"/>
    <w:rsid w:val="005B3844"/>
    <w:rsid w:val="005B60F8"/>
    <w:rsid w:val="005B735F"/>
    <w:rsid w:val="005C3FFA"/>
    <w:rsid w:val="005D4C33"/>
    <w:rsid w:val="005D5D93"/>
    <w:rsid w:val="005E0D43"/>
    <w:rsid w:val="005E1FAE"/>
    <w:rsid w:val="005E4C25"/>
    <w:rsid w:val="005E5105"/>
    <w:rsid w:val="005F04CB"/>
    <w:rsid w:val="005F5D5C"/>
    <w:rsid w:val="00600DAD"/>
    <w:rsid w:val="00606CED"/>
    <w:rsid w:val="00607384"/>
    <w:rsid w:val="00612611"/>
    <w:rsid w:val="00615E41"/>
    <w:rsid w:val="00623E8A"/>
    <w:rsid w:val="00624E8F"/>
    <w:rsid w:val="00626137"/>
    <w:rsid w:val="006317F0"/>
    <w:rsid w:val="00634E1F"/>
    <w:rsid w:val="006360ED"/>
    <w:rsid w:val="00636A6D"/>
    <w:rsid w:val="00636DDD"/>
    <w:rsid w:val="006403D6"/>
    <w:rsid w:val="006445AE"/>
    <w:rsid w:val="00644802"/>
    <w:rsid w:val="00644919"/>
    <w:rsid w:val="00652449"/>
    <w:rsid w:val="00656142"/>
    <w:rsid w:val="006563B2"/>
    <w:rsid w:val="00661EC7"/>
    <w:rsid w:val="0066242C"/>
    <w:rsid w:val="0067051C"/>
    <w:rsid w:val="00670CA2"/>
    <w:rsid w:val="00671931"/>
    <w:rsid w:val="006772F1"/>
    <w:rsid w:val="00677BB8"/>
    <w:rsid w:val="00681243"/>
    <w:rsid w:val="00694477"/>
    <w:rsid w:val="006968D3"/>
    <w:rsid w:val="00697ED2"/>
    <w:rsid w:val="006A628E"/>
    <w:rsid w:val="006B4D4B"/>
    <w:rsid w:val="006B4D92"/>
    <w:rsid w:val="006C0701"/>
    <w:rsid w:val="006C074A"/>
    <w:rsid w:val="006C0A25"/>
    <w:rsid w:val="006C3D32"/>
    <w:rsid w:val="006C4715"/>
    <w:rsid w:val="006C5F6B"/>
    <w:rsid w:val="006C6ED8"/>
    <w:rsid w:val="006C7E55"/>
    <w:rsid w:val="006D4912"/>
    <w:rsid w:val="006D5940"/>
    <w:rsid w:val="006D5D06"/>
    <w:rsid w:val="006D74A2"/>
    <w:rsid w:val="006E1484"/>
    <w:rsid w:val="006E1B1E"/>
    <w:rsid w:val="006E287C"/>
    <w:rsid w:val="006F13DD"/>
    <w:rsid w:val="006F2BDE"/>
    <w:rsid w:val="00703BEC"/>
    <w:rsid w:val="00717A96"/>
    <w:rsid w:val="00720BC0"/>
    <w:rsid w:val="00722A9D"/>
    <w:rsid w:val="007264A8"/>
    <w:rsid w:val="00727AE3"/>
    <w:rsid w:val="00731CD5"/>
    <w:rsid w:val="00736D4E"/>
    <w:rsid w:val="00736F58"/>
    <w:rsid w:val="00744E8C"/>
    <w:rsid w:val="00745C11"/>
    <w:rsid w:val="00750337"/>
    <w:rsid w:val="0075101B"/>
    <w:rsid w:val="00752595"/>
    <w:rsid w:val="00753AB1"/>
    <w:rsid w:val="0075489B"/>
    <w:rsid w:val="0075698E"/>
    <w:rsid w:val="0076702B"/>
    <w:rsid w:val="00772840"/>
    <w:rsid w:val="00777D95"/>
    <w:rsid w:val="00790C8F"/>
    <w:rsid w:val="00790E14"/>
    <w:rsid w:val="00792ACF"/>
    <w:rsid w:val="007971B4"/>
    <w:rsid w:val="007A0520"/>
    <w:rsid w:val="007B01D5"/>
    <w:rsid w:val="007B0DF1"/>
    <w:rsid w:val="007B2750"/>
    <w:rsid w:val="007B3A31"/>
    <w:rsid w:val="007B4488"/>
    <w:rsid w:val="007C277E"/>
    <w:rsid w:val="007C32B2"/>
    <w:rsid w:val="007C3779"/>
    <w:rsid w:val="007C4D09"/>
    <w:rsid w:val="007C7136"/>
    <w:rsid w:val="007D6D1C"/>
    <w:rsid w:val="007E1015"/>
    <w:rsid w:val="007E1DE4"/>
    <w:rsid w:val="007E3382"/>
    <w:rsid w:val="007E6133"/>
    <w:rsid w:val="007E72CA"/>
    <w:rsid w:val="007F1BBD"/>
    <w:rsid w:val="007F1DB1"/>
    <w:rsid w:val="007F45E3"/>
    <w:rsid w:val="007F57BC"/>
    <w:rsid w:val="007F79C8"/>
    <w:rsid w:val="00801042"/>
    <w:rsid w:val="008011A8"/>
    <w:rsid w:val="00805228"/>
    <w:rsid w:val="00805DC1"/>
    <w:rsid w:val="0080783E"/>
    <w:rsid w:val="00807844"/>
    <w:rsid w:val="00811B4D"/>
    <w:rsid w:val="00812B73"/>
    <w:rsid w:val="00814916"/>
    <w:rsid w:val="0081625B"/>
    <w:rsid w:val="00816415"/>
    <w:rsid w:val="008229D8"/>
    <w:rsid w:val="00826565"/>
    <w:rsid w:val="0082668A"/>
    <w:rsid w:val="00827EFD"/>
    <w:rsid w:val="00832BD2"/>
    <w:rsid w:val="00834B40"/>
    <w:rsid w:val="00842E38"/>
    <w:rsid w:val="00842FD2"/>
    <w:rsid w:val="00845969"/>
    <w:rsid w:val="0085092A"/>
    <w:rsid w:val="00861CEB"/>
    <w:rsid w:val="008627EA"/>
    <w:rsid w:val="00863A5D"/>
    <w:rsid w:val="008673BE"/>
    <w:rsid w:val="00870116"/>
    <w:rsid w:val="008701AC"/>
    <w:rsid w:val="00872216"/>
    <w:rsid w:val="008767A1"/>
    <w:rsid w:val="0087795A"/>
    <w:rsid w:val="00877D9B"/>
    <w:rsid w:val="00881D3B"/>
    <w:rsid w:val="00884019"/>
    <w:rsid w:val="0088486D"/>
    <w:rsid w:val="00885600"/>
    <w:rsid w:val="00887109"/>
    <w:rsid w:val="00893714"/>
    <w:rsid w:val="00893DC7"/>
    <w:rsid w:val="008B0A94"/>
    <w:rsid w:val="008B1E4F"/>
    <w:rsid w:val="008B3B0D"/>
    <w:rsid w:val="008C16E4"/>
    <w:rsid w:val="008C2848"/>
    <w:rsid w:val="008C4965"/>
    <w:rsid w:val="008C6D0D"/>
    <w:rsid w:val="008D0DBA"/>
    <w:rsid w:val="008D252F"/>
    <w:rsid w:val="008E37D7"/>
    <w:rsid w:val="008F17BD"/>
    <w:rsid w:val="008F276D"/>
    <w:rsid w:val="00901086"/>
    <w:rsid w:val="00901C83"/>
    <w:rsid w:val="009033C8"/>
    <w:rsid w:val="0090371C"/>
    <w:rsid w:val="00904CC7"/>
    <w:rsid w:val="009065DE"/>
    <w:rsid w:val="00907436"/>
    <w:rsid w:val="009113FB"/>
    <w:rsid w:val="00924416"/>
    <w:rsid w:val="00927810"/>
    <w:rsid w:val="00930C88"/>
    <w:rsid w:val="00931AD9"/>
    <w:rsid w:val="00933DE8"/>
    <w:rsid w:val="00934E8B"/>
    <w:rsid w:val="00936091"/>
    <w:rsid w:val="00936C99"/>
    <w:rsid w:val="009430BA"/>
    <w:rsid w:val="00944BC8"/>
    <w:rsid w:val="00947138"/>
    <w:rsid w:val="0095463F"/>
    <w:rsid w:val="009554D4"/>
    <w:rsid w:val="00966204"/>
    <w:rsid w:val="009670CC"/>
    <w:rsid w:val="0097374A"/>
    <w:rsid w:val="00983AB5"/>
    <w:rsid w:val="00983F80"/>
    <w:rsid w:val="00986CE3"/>
    <w:rsid w:val="00987A66"/>
    <w:rsid w:val="00995D8A"/>
    <w:rsid w:val="009A1374"/>
    <w:rsid w:val="009A1F5F"/>
    <w:rsid w:val="009B0669"/>
    <w:rsid w:val="009B0D71"/>
    <w:rsid w:val="009B1941"/>
    <w:rsid w:val="009B6482"/>
    <w:rsid w:val="009C2876"/>
    <w:rsid w:val="009C3726"/>
    <w:rsid w:val="009C5922"/>
    <w:rsid w:val="009D1A14"/>
    <w:rsid w:val="009D49B5"/>
    <w:rsid w:val="009E451D"/>
    <w:rsid w:val="009F5916"/>
    <w:rsid w:val="00A00789"/>
    <w:rsid w:val="00A01CDF"/>
    <w:rsid w:val="00A10BDB"/>
    <w:rsid w:val="00A11139"/>
    <w:rsid w:val="00A13D39"/>
    <w:rsid w:val="00A14E2E"/>
    <w:rsid w:val="00A24C82"/>
    <w:rsid w:val="00A305DD"/>
    <w:rsid w:val="00A3531A"/>
    <w:rsid w:val="00A37B2F"/>
    <w:rsid w:val="00A43A9A"/>
    <w:rsid w:val="00A43B27"/>
    <w:rsid w:val="00A47BB4"/>
    <w:rsid w:val="00A52F28"/>
    <w:rsid w:val="00A53B13"/>
    <w:rsid w:val="00A54E5F"/>
    <w:rsid w:val="00A578AD"/>
    <w:rsid w:val="00A648A2"/>
    <w:rsid w:val="00A65213"/>
    <w:rsid w:val="00A702CA"/>
    <w:rsid w:val="00A712B8"/>
    <w:rsid w:val="00A72A08"/>
    <w:rsid w:val="00A746F2"/>
    <w:rsid w:val="00A74804"/>
    <w:rsid w:val="00A8063D"/>
    <w:rsid w:val="00A81480"/>
    <w:rsid w:val="00A84DE7"/>
    <w:rsid w:val="00A87805"/>
    <w:rsid w:val="00A92CA3"/>
    <w:rsid w:val="00A93CA7"/>
    <w:rsid w:val="00A95E72"/>
    <w:rsid w:val="00AA10DC"/>
    <w:rsid w:val="00AA1764"/>
    <w:rsid w:val="00AA199C"/>
    <w:rsid w:val="00AA3954"/>
    <w:rsid w:val="00AB7EB8"/>
    <w:rsid w:val="00AC2110"/>
    <w:rsid w:val="00AC26CD"/>
    <w:rsid w:val="00AC399F"/>
    <w:rsid w:val="00AC707A"/>
    <w:rsid w:val="00AD0957"/>
    <w:rsid w:val="00AD26B6"/>
    <w:rsid w:val="00AD3562"/>
    <w:rsid w:val="00AE6732"/>
    <w:rsid w:val="00AE75A6"/>
    <w:rsid w:val="00AE75E0"/>
    <w:rsid w:val="00AF353B"/>
    <w:rsid w:val="00AF5DB6"/>
    <w:rsid w:val="00B00CCE"/>
    <w:rsid w:val="00B00EC9"/>
    <w:rsid w:val="00B017D9"/>
    <w:rsid w:val="00B22C21"/>
    <w:rsid w:val="00B25AD8"/>
    <w:rsid w:val="00B26ACD"/>
    <w:rsid w:val="00B32590"/>
    <w:rsid w:val="00B41A93"/>
    <w:rsid w:val="00B42740"/>
    <w:rsid w:val="00B5621A"/>
    <w:rsid w:val="00B570E1"/>
    <w:rsid w:val="00B60A75"/>
    <w:rsid w:val="00B60BA4"/>
    <w:rsid w:val="00B614D6"/>
    <w:rsid w:val="00B623BC"/>
    <w:rsid w:val="00B63FEF"/>
    <w:rsid w:val="00B64561"/>
    <w:rsid w:val="00B64AC5"/>
    <w:rsid w:val="00B6676E"/>
    <w:rsid w:val="00B67A83"/>
    <w:rsid w:val="00B70989"/>
    <w:rsid w:val="00B71A2B"/>
    <w:rsid w:val="00B71FF2"/>
    <w:rsid w:val="00B745A6"/>
    <w:rsid w:val="00B778B4"/>
    <w:rsid w:val="00B848AB"/>
    <w:rsid w:val="00B85DE6"/>
    <w:rsid w:val="00B86B72"/>
    <w:rsid w:val="00B95D08"/>
    <w:rsid w:val="00B9612E"/>
    <w:rsid w:val="00B9734A"/>
    <w:rsid w:val="00BA0AC0"/>
    <w:rsid w:val="00BA53F2"/>
    <w:rsid w:val="00BA73FA"/>
    <w:rsid w:val="00BA7657"/>
    <w:rsid w:val="00BA78FE"/>
    <w:rsid w:val="00BB10DF"/>
    <w:rsid w:val="00BB1419"/>
    <w:rsid w:val="00BB66D8"/>
    <w:rsid w:val="00BC5DA5"/>
    <w:rsid w:val="00BD2D14"/>
    <w:rsid w:val="00BD2E65"/>
    <w:rsid w:val="00BD53AF"/>
    <w:rsid w:val="00BD6746"/>
    <w:rsid w:val="00BD765D"/>
    <w:rsid w:val="00BE543B"/>
    <w:rsid w:val="00BE563E"/>
    <w:rsid w:val="00BF52D4"/>
    <w:rsid w:val="00BF6750"/>
    <w:rsid w:val="00C01252"/>
    <w:rsid w:val="00C03C2A"/>
    <w:rsid w:val="00C046F3"/>
    <w:rsid w:val="00C078DC"/>
    <w:rsid w:val="00C1797D"/>
    <w:rsid w:val="00C21857"/>
    <w:rsid w:val="00C23A97"/>
    <w:rsid w:val="00C25526"/>
    <w:rsid w:val="00C25A01"/>
    <w:rsid w:val="00C363D9"/>
    <w:rsid w:val="00C37E8A"/>
    <w:rsid w:val="00C46379"/>
    <w:rsid w:val="00C55D6C"/>
    <w:rsid w:val="00C6072E"/>
    <w:rsid w:val="00C61499"/>
    <w:rsid w:val="00C61710"/>
    <w:rsid w:val="00C6327D"/>
    <w:rsid w:val="00C637E6"/>
    <w:rsid w:val="00C65CE5"/>
    <w:rsid w:val="00C76853"/>
    <w:rsid w:val="00C7729C"/>
    <w:rsid w:val="00C81F26"/>
    <w:rsid w:val="00C839F8"/>
    <w:rsid w:val="00C84E25"/>
    <w:rsid w:val="00C87623"/>
    <w:rsid w:val="00C87C83"/>
    <w:rsid w:val="00C916B3"/>
    <w:rsid w:val="00C95071"/>
    <w:rsid w:val="00C96ECF"/>
    <w:rsid w:val="00CA16BE"/>
    <w:rsid w:val="00CB38FE"/>
    <w:rsid w:val="00CB5C74"/>
    <w:rsid w:val="00CC5AF0"/>
    <w:rsid w:val="00CC7EB7"/>
    <w:rsid w:val="00CD10C9"/>
    <w:rsid w:val="00CD1DBD"/>
    <w:rsid w:val="00CD2896"/>
    <w:rsid w:val="00CD4573"/>
    <w:rsid w:val="00CD6B39"/>
    <w:rsid w:val="00CF4B1C"/>
    <w:rsid w:val="00CF7321"/>
    <w:rsid w:val="00D0394E"/>
    <w:rsid w:val="00D076F9"/>
    <w:rsid w:val="00D26A1B"/>
    <w:rsid w:val="00D3434F"/>
    <w:rsid w:val="00D35274"/>
    <w:rsid w:val="00D420AF"/>
    <w:rsid w:val="00D435E6"/>
    <w:rsid w:val="00D50FAF"/>
    <w:rsid w:val="00D547C7"/>
    <w:rsid w:val="00D57FCF"/>
    <w:rsid w:val="00D6482E"/>
    <w:rsid w:val="00D64B35"/>
    <w:rsid w:val="00D70BAD"/>
    <w:rsid w:val="00D71AD9"/>
    <w:rsid w:val="00D71E85"/>
    <w:rsid w:val="00D738D3"/>
    <w:rsid w:val="00D75B73"/>
    <w:rsid w:val="00D801C3"/>
    <w:rsid w:val="00D80F8E"/>
    <w:rsid w:val="00D81847"/>
    <w:rsid w:val="00D825F0"/>
    <w:rsid w:val="00D914FC"/>
    <w:rsid w:val="00D96838"/>
    <w:rsid w:val="00DA208E"/>
    <w:rsid w:val="00DA3230"/>
    <w:rsid w:val="00DA4E27"/>
    <w:rsid w:val="00DA5F5F"/>
    <w:rsid w:val="00DA62C9"/>
    <w:rsid w:val="00DB5413"/>
    <w:rsid w:val="00DC056B"/>
    <w:rsid w:val="00DC08B6"/>
    <w:rsid w:val="00DC143F"/>
    <w:rsid w:val="00DC58E7"/>
    <w:rsid w:val="00DD0A61"/>
    <w:rsid w:val="00DD5346"/>
    <w:rsid w:val="00DE254A"/>
    <w:rsid w:val="00DE5457"/>
    <w:rsid w:val="00DE78FC"/>
    <w:rsid w:val="00DF59FF"/>
    <w:rsid w:val="00DF5BC7"/>
    <w:rsid w:val="00E0288C"/>
    <w:rsid w:val="00E03D50"/>
    <w:rsid w:val="00E0774E"/>
    <w:rsid w:val="00E10A74"/>
    <w:rsid w:val="00E11472"/>
    <w:rsid w:val="00E23B64"/>
    <w:rsid w:val="00E25886"/>
    <w:rsid w:val="00E2629B"/>
    <w:rsid w:val="00E34857"/>
    <w:rsid w:val="00E3681D"/>
    <w:rsid w:val="00E36C9E"/>
    <w:rsid w:val="00E429DE"/>
    <w:rsid w:val="00E43350"/>
    <w:rsid w:val="00E43DBE"/>
    <w:rsid w:val="00E50BD4"/>
    <w:rsid w:val="00E5577A"/>
    <w:rsid w:val="00E557E7"/>
    <w:rsid w:val="00E604FD"/>
    <w:rsid w:val="00E658D9"/>
    <w:rsid w:val="00E764F3"/>
    <w:rsid w:val="00E86E05"/>
    <w:rsid w:val="00E916EC"/>
    <w:rsid w:val="00E931BD"/>
    <w:rsid w:val="00E95422"/>
    <w:rsid w:val="00E97306"/>
    <w:rsid w:val="00E97AB8"/>
    <w:rsid w:val="00E97F41"/>
    <w:rsid w:val="00EA0141"/>
    <w:rsid w:val="00EA35ED"/>
    <w:rsid w:val="00EA4A14"/>
    <w:rsid w:val="00EA4BEC"/>
    <w:rsid w:val="00EA655D"/>
    <w:rsid w:val="00EA6968"/>
    <w:rsid w:val="00EB17C9"/>
    <w:rsid w:val="00EB1960"/>
    <w:rsid w:val="00EB38D6"/>
    <w:rsid w:val="00EB6163"/>
    <w:rsid w:val="00EC047A"/>
    <w:rsid w:val="00EC36CA"/>
    <w:rsid w:val="00EC4164"/>
    <w:rsid w:val="00EC70E5"/>
    <w:rsid w:val="00EC76C8"/>
    <w:rsid w:val="00EC791F"/>
    <w:rsid w:val="00ED05FD"/>
    <w:rsid w:val="00ED30AC"/>
    <w:rsid w:val="00ED4E6B"/>
    <w:rsid w:val="00ED548B"/>
    <w:rsid w:val="00ED7EEB"/>
    <w:rsid w:val="00EF1FDB"/>
    <w:rsid w:val="00EF616D"/>
    <w:rsid w:val="00F00A88"/>
    <w:rsid w:val="00F031D4"/>
    <w:rsid w:val="00F03961"/>
    <w:rsid w:val="00F0630A"/>
    <w:rsid w:val="00F10BE8"/>
    <w:rsid w:val="00F125EB"/>
    <w:rsid w:val="00F14A89"/>
    <w:rsid w:val="00F1636C"/>
    <w:rsid w:val="00F1708A"/>
    <w:rsid w:val="00F17F13"/>
    <w:rsid w:val="00F2048F"/>
    <w:rsid w:val="00F20C9A"/>
    <w:rsid w:val="00F241A4"/>
    <w:rsid w:val="00F27CDC"/>
    <w:rsid w:val="00F31C3B"/>
    <w:rsid w:val="00F32F97"/>
    <w:rsid w:val="00F37942"/>
    <w:rsid w:val="00F40D4D"/>
    <w:rsid w:val="00F46237"/>
    <w:rsid w:val="00F50138"/>
    <w:rsid w:val="00F533C1"/>
    <w:rsid w:val="00F571E4"/>
    <w:rsid w:val="00F60642"/>
    <w:rsid w:val="00F63346"/>
    <w:rsid w:val="00F67AA8"/>
    <w:rsid w:val="00F72AA0"/>
    <w:rsid w:val="00F72F80"/>
    <w:rsid w:val="00F75A1C"/>
    <w:rsid w:val="00F76726"/>
    <w:rsid w:val="00F7685C"/>
    <w:rsid w:val="00F80554"/>
    <w:rsid w:val="00F82AE3"/>
    <w:rsid w:val="00F83846"/>
    <w:rsid w:val="00F84CE5"/>
    <w:rsid w:val="00F902AD"/>
    <w:rsid w:val="00F9191E"/>
    <w:rsid w:val="00F93B47"/>
    <w:rsid w:val="00F95B24"/>
    <w:rsid w:val="00FA0816"/>
    <w:rsid w:val="00FA3625"/>
    <w:rsid w:val="00FA63CA"/>
    <w:rsid w:val="00FB5B25"/>
    <w:rsid w:val="00FB6A0C"/>
    <w:rsid w:val="00FC0582"/>
    <w:rsid w:val="00FC1CF5"/>
    <w:rsid w:val="00FC26BF"/>
    <w:rsid w:val="00FC46AF"/>
    <w:rsid w:val="00FD1AB2"/>
    <w:rsid w:val="00FD450C"/>
    <w:rsid w:val="00FD5AB4"/>
    <w:rsid w:val="00FE5B48"/>
    <w:rsid w:val="00FF03BC"/>
    <w:rsid w:val="00FF3640"/>
    <w:rsid w:val="00FF7E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DE35"/>
  <w15:docId w15:val="{A251AD71-3ACD-4820-B5F5-1BC0C29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Neal, Yvonne (Federal)</cp:lastModifiedBy>
  <cp:revision>83</cp:revision>
  <cp:lastPrinted>2013-02-25T21:48:00Z</cp:lastPrinted>
  <dcterms:created xsi:type="dcterms:W3CDTF">2021-10-27T17:54:00Z</dcterms:created>
  <dcterms:modified xsi:type="dcterms:W3CDTF">2025-02-26T17:04:00Z</dcterms:modified>
</cp:coreProperties>
</file>