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6D7C1E" w:rsidRPr="006D7C1E" w:rsidP="006D7C1E" w14:paraId="0DFEABCC" w14:textId="36702791">
      <w:pPr>
        <w:spacing w:after="0"/>
        <w:jc w:val="center"/>
        <w:rPr>
          <w:b/>
        </w:rPr>
      </w:pPr>
      <w:r w:rsidRPr="006D7C1E">
        <w:rPr>
          <w:b/>
        </w:rPr>
        <w:t>COMPREHENSIVE ECONOMIC DEVELOPMENT STRATEGIES</w:t>
      </w:r>
    </w:p>
    <w:p w:rsidR="00AF6E7C" w:rsidP="006D7C1E" w14:paraId="409AED50" w14:textId="23DCEC16">
      <w:pPr>
        <w:spacing w:after="0"/>
        <w:jc w:val="center"/>
        <w:rPr>
          <w:b/>
        </w:rPr>
      </w:pPr>
      <w:r w:rsidRPr="006D7C1E">
        <w:rPr>
          <w:b/>
        </w:rPr>
        <w:t>OMB CONTROL NO. 0610-0093</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01015BFA">
      <w:pPr>
        <w:spacing w:after="200"/>
      </w:pPr>
      <w:r>
        <w:t xml:space="preserve">This </w:t>
      </w:r>
      <w:r w:rsidR="00D70BAD">
        <w:t>Supporting Statement is</w:t>
      </w:r>
      <w:r>
        <w:t xml:space="preserve"> </w:t>
      </w:r>
      <w:r w:rsidR="00790E14">
        <w:t>for the extension</w:t>
      </w:r>
      <w:r w:rsidR="00B37F64">
        <w:t xml:space="preserve"> without change</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4E1F08" w:rsidRPr="00560180" w:rsidP="006F13D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 xml:space="preserve">Guided by the basic principle that sustainable economic development should be </w:t>
      </w:r>
      <w:r w:rsidRPr="0020530C">
        <w:rPr>
          <w:rStyle w:val="normaltextrun"/>
          <w:color w:val="auto"/>
          <w:shd w:val="clear" w:color="auto" w:fill="FFFFFF"/>
        </w:rPr>
        <w:t>locally-driven</w:t>
      </w:r>
      <w:r w:rsidRPr="0020530C">
        <w:rPr>
          <w:rStyle w:val="normaltextrun"/>
          <w:color w:val="auto"/>
          <w:shd w:val="clear" w:color="auto" w:fill="FFFFFF"/>
        </w:rPr>
        <w:t>, EDA works directly with communities and regions to help them build the capacity for economic development based on local business conditions and needs.</w:t>
      </w:r>
    </w:p>
    <w:p w:rsidR="00BD6746" w:rsidP="006F13DD"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 xml:space="preserve">and business development </w:t>
      </w:r>
      <w:r>
        <w:rPr>
          <w:rStyle w:val="normaltextrun"/>
          <w:shd w:val="clear" w:color="auto" w:fill="FFFFFF"/>
        </w:rPr>
        <w:t>in order to</w:t>
      </w:r>
      <w:r>
        <w:rPr>
          <w:rStyle w:val="normaltextrun"/>
          <w:shd w:val="clear" w:color="auto" w:fill="FFFFFF"/>
        </w:rPr>
        <w:t xml:space="preserve"> attract private capital investments and new and better jobs to regions experiencing economic distress.</w:t>
      </w:r>
    </w:p>
    <w:p w:rsidR="00F12B49" w:rsidRPr="00F12B49" w:rsidP="00161BE7" w14:paraId="265247E4" w14:textId="77777777">
      <w:pPr>
        <w:pStyle w:val="NoSpacing"/>
        <w:keepNext/>
        <w:spacing w:before="240" w:after="240"/>
        <w:rPr>
          <w:b/>
        </w:rPr>
      </w:pPr>
      <w:r w:rsidRPr="00F12B49">
        <w:rPr>
          <w:rFonts w:eastAsia="Times New Roman"/>
          <w:color w:val="000000"/>
        </w:rPr>
        <w:t xml:space="preserve">To effectively administer and monitor its economic development assistance programs, EDA collects certain information from applications for, and recipients of, EDA investment assistance. A Comprehensive Economic Development Strategy (CEDS) emerges from a continuing planning process developed and driven by a public sector planning organization by engaging a broad-based and diverse set of stakeholders to address the economic problems and potential of a region. The CEDS should include information about how and to what extent stakeholder input and support was solicited. Information on how the planning organization collaborated with its diverse set of stakeholders (including the public sector, private interests, non-profits, educational institutions, and community organizations) in the development of the CEDS should be included. In accordance with 13 CFR 303.7(b), a CEDS must contain a summary background, a SWOT (Strengths, Weaknesses, Opportunities, and Threats) Analysis, Strategic Direction/Action Plan, and an Evaluation Framework. In addition, the CEDS must incorporate the concept of economic resilience (i.e., the ability to avoid, withstand, and recover from economic shifts, natural disasters, etc.). A CEDS is required for an eligible applicant to qualify for an EDA investment assistance under EDA’s Public Works program, Economic Adjustment Assistance program, and certain planning programs, and is a prerequisite for a region’s designation by EDA as an Economic Development District (see 13 CFR part 303, 13 CFR 305.2, and 13 CFR 307.2). EDA </w:t>
      </w:r>
      <w:r w:rsidRPr="00F12B49">
        <w:rPr>
          <w:rFonts w:eastAsia="Times New Roman"/>
          <w:color w:val="000000"/>
        </w:rPr>
        <w:t>collects information under this information collection to ensure compliance with EDA’s CEDS requirements.</w:t>
      </w:r>
    </w:p>
    <w:p w:rsidR="00CA16BE" w:rsidRPr="0067051C" w:rsidP="00F76726" w14:paraId="64EAD621" w14:textId="40A8C9CB">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F344A6" w:rsidRPr="00F344A6" w:rsidP="00F344A6" w14:paraId="7A671381" w14:textId="3175F044">
      <w:pPr>
        <w:rPr>
          <w:iCs/>
        </w:rPr>
      </w:pPr>
      <w:r w:rsidRPr="00F344A6">
        <w:rPr>
          <w:iCs/>
        </w:rPr>
        <w:t>The information contained in the CEDS is used</w:t>
      </w:r>
      <w:r w:rsidR="00F27C8C">
        <w:rPr>
          <w:iCs/>
        </w:rPr>
        <w:t xml:space="preserve"> by EDA personnel</w:t>
      </w:r>
      <w:r w:rsidRPr="00F344A6">
        <w:rPr>
          <w:iCs/>
        </w:rPr>
        <w:t xml:space="preserve"> to ensure </w:t>
      </w:r>
      <w:r w:rsidRPr="00CB49AE">
        <w:t xml:space="preserve">that </w:t>
      </w:r>
      <w:r>
        <w:t>recipient</w:t>
      </w:r>
      <w:r w:rsidR="00F907E4">
        <w:t>s of planning financial assistance awards are</w:t>
      </w:r>
      <w:r>
        <w:t xml:space="preserve"> complying with EDA’</w:t>
      </w:r>
      <w:r w:rsidRPr="00CB49AE">
        <w:t>s CEDS requirements</w:t>
      </w:r>
      <w:r>
        <w:t>. Specifically,</w:t>
      </w:r>
      <w:r w:rsidRPr="00A34367">
        <w:t xml:space="preserve"> a CEDS is a prerequisite for designation by EDA as an Economic Development District (EDD)</w:t>
      </w:r>
      <w:r>
        <w:t xml:space="preserve"> under its Planning Program</w:t>
      </w:r>
      <w:r w:rsidRPr="00A34367">
        <w:t>.</w:t>
      </w:r>
      <w:r>
        <w:t xml:space="preserve"> </w:t>
      </w:r>
      <w:r w:rsidRPr="00F344A6">
        <w:rPr>
          <w:iCs/>
        </w:rPr>
        <w:t>The information contained in the CEDS is also evaluated by EDA personnel to competitively select proposed Public Works and Economic Adjustment Assistance projects for funding.</w:t>
      </w:r>
    </w:p>
    <w:p w:rsidR="00F344A6" w:rsidP="00F344A6" w14:paraId="5F6425F6" w14:textId="77777777">
      <w:r>
        <w:t>The information collected will not be disseminated to the public.</w:t>
      </w:r>
    </w:p>
    <w:p w:rsidR="00BD53AF" w:rsidRPr="00CA16BE" w:rsidP="00F7672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005A685D" w:rsidRPr="00234FDD" w:rsidP="000027A1" w14:paraId="0BFB6AE9" w14:textId="6E8594A5">
      <w:r>
        <w:t>EDA permits applicants</w:t>
      </w:r>
      <w:r w:rsidR="00860F1C">
        <w:t xml:space="preserve"> and recipients of financial assistance awards</w:t>
      </w:r>
      <w:r>
        <w:t xml:space="preserve"> to submit CEDS</w:t>
      </w:r>
      <w:r w:rsidRPr="00234FDD">
        <w:t xml:space="preserve"> </w:t>
      </w:r>
      <w:r>
        <w:t>either electronically or in hardcopy</w:t>
      </w:r>
      <w:r w:rsidRPr="00234FDD">
        <w:t>.</w:t>
      </w:r>
      <w:r>
        <w:t xml:space="preserve"> </w:t>
      </w:r>
      <w:r w:rsidRPr="00A42A48" w:rsidR="000909A5">
        <w:t>EDA is not proposing any changes to the current information collection request.</w:t>
      </w:r>
    </w:p>
    <w:p w:rsidR="00A00789" w:rsidRPr="00CA16BE" w:rsidP="00F76726" w14:paraId="47412630" w14:textId="77777777">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5D14F05F">
      <w:pPr>
        <w:spacing w:after="200"/>
      </w:pPr>
      <w:r w:rsidRPr="00392809">
        <w:t>EDA would not be able to fulfill its statutory mandate</w:t>
      </w:r>
      <w:r w:rsidR="00F50E10">
        <w:t xml:space="preserve"> to implement certain financial assistance programs</w:t>
      </w:r>
      <w:r w:rsidRPr="00392809">
        <w:t xml:space="preserve"> if the information collection is not conducted. </w:t>
      </w:r>
      <w:r w:rsidR="00592AAA">
        <w:t>As described above, a</w:t>
      </w:r>
      <w:r w:rsidRPr="00592AAA" w:rsidR="00592AAA">
        <w:t xml:space="preserve"> CEDS is required for an eligible applicant to qualify for an EDA investment assistance under EDA’s Public Works program, Economic Adjustment Assistance program, and certain planning programs, and is a prerequisite for a region’s designation by EDA as an Economic Development District (see 13 CFR part 303, 13 CFR 305.2, and 13 CFR 307.2).</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A16BE">
        <w:rPr>
          <w:b/>
        </w:rPr>
        <w:t xml:space="preserve"> </w:t>
      </w:r>
    </w:p>
    <w:p w:rsidR="001E3A1E" w:rsidRPr="00B67A83" w:rsidP="007B01D5" w14:paraId="00DBDE69" w14:textId="5D099084">
      <w:pPr>
        <w:spacing w:after="200"/>
      </w:pPr>
      <w:bookmarkStart w:id="0" w:name="OLE_LINK1"/>
      <w:bookmarkStart w:id="1" w:name="OLE_LINK2"/>
      <w:r w:rsidRPr="00ED30AC">
        <w:t xml:space="preserve">On </w:t>
      </w:r>
      <w:r w:rsidR="00687F39">
        <w:t>November 21, 2024</w:t>
      </w:r>
      <w:r w:rsidRPr="00ED30AC">
        <w:t xml:space="preserve">, EDA published a Federal Register notice (FRN) that solicited public comments on this information collection </w:t>
      </w:r>
      <w:r w:rsidRPr="00A722F3">
        <w:t>(</w:t>
      </w:r>
      <w:r w:rsidRPr="00A722F3" w:rsidR="00A722F3">
        <w:t>8</w:t>
      </w:r>
      <w:r w:rsidR="00C72D38">
        <w:t>9</w:t>
      </w:r>
      <w:r w:rsidRPr="00A722F3" w:rsidR="00A722F3">
        <w:t xml:space="preserve"> FR </w:t>
      </w:r>
      <w:r w:rsidR="00C72D38">
        <w:t>92087</w:t>
      </w:r>
      <w:r w:rsidRPr="00ED30AC">
        <w:t>). In</w:t>
      </w:r>
      <w:r w:rsidRPr="00F72F80">
        <w:t xml:space="preserve">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r w:rsidRPr="00830DAE">
        <w:t>No public comments were received in response to the FRN that solicited public comments on this information collection.</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14:paraId="51DFE52D" w14:textId="77777777">
      <w:pPr>
        <w:spacing w:after="200"/>
      </w:pPr>
      <w:r w:rsidRPr="00234FDD">
        <w:t>There is no assurance of confidentiality provided to respondents of this information collection.</w:t>
      </w:r>
    </w:p>
    <w:p w:rsidR="00BC5DA5" w:rsidRPr="00234FDD" w:rsidP="007B01D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007B01D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P="00F76726" w14:paraId="54D0A0C0" w14:textId="5D5A7277">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p w:rsidR="00AB4E28" w:rsidP="00AB4E28" w14:paraId="24A44A78" w14:textId="77777777">
      <w:r w:rsidRPr="00672428">
        <w:t>There are four components to the estimate of the burden of this information collection:</w:t>
      </w:r>
    </w:p>
    <w:p w:rsidR="00AB4E28" w:rsidRPr="00672428" w:rsidP="00AB4E28" w14:paraId="4D138011" w14:textId="730F7F46">
      <w:pPr>
        <w:numPr>
          <w:ilvl w:val="0"/>
          <w:numId w:val="18"/>
        </w:numPr>
        <w:spacing w:after="0"/>
      </w:pPr>
      <w:r w:rsidRPr="00672428">
        <w:t>The burden on recipients</w:t>
      </w:r>
      <w:r w:rsidR="00C63E3B">
        <w:t xml:space="preserve"> of planning financial assistance awards that are</w:t>
      </w:r>
      <w:r w:rsidRPr="00672428">
        <w:t xml:space="preserve"> newly designated as EDA-funded </w:t>
      </w:r>
      <w:r>
        <w:t>EDDs</w:t>
      </w:r>
      <w:r w:rsidRPr="00672428">
        <w:t xml:space="preserve">. These recipients must develop a CEDS acceptable to EDA as part of the scope of work of </w:t>
      </w:r>
      <w:r w:rsidR="00E335D4">
        <w:t>a planning</w:t>
      </w:r>
      <w:r w:rsidRPr="00672428" w:rsidR="00E335D4">
        <w:t xml:space="preserve"> </w:t>
      </w:r>
      <w:r w:rsidR="00E335D4">
        <w:t>award</w:t>
      </w:r>
      <w:r w:rsidRPr="00672428">
        <w:t>.</w:t>
      </w:r>
    </w:p>
    <w:p w:rsidR="00AB4E28" w:rsidRPr="00672428" w:rsidP="00AB4E28" w14:paraId="0024EC76" w14:textId="3100643D">
      <w:pPr>
        <w:numPr>
          <w:ilvl w:val="0"/>
          <w:numId w:val="18"/>
        </w:numPr>
        <w:spacing w:after="0"/>
      </w:pPr>
      <w:r w:rsidRPr="00672428">
        <w:t>The burden on existing</w:t>
      </w:r>
      <w:r w:rsidR="00E335D4">
        <w:t xml:space="preserve"> planning award</w:t>
      </w:r>
      <w:r w:rsidRPr="00672428">
        <w:t xml:space="preserve"> recipients, who must submit an updated CEDS at least once every five years. This involves updating the document to reflect changing economic </w:t>
      </w:r>
      <w:r w:rsidRPr="00672428" w:rsidR="003567A0">
        <w:t>conditions but</w:t>
      </w:r>
      <w:r w:rsidRPr="00672428">
        <w:t xml:space="preserve"> requires significantly </w:t>
      </w:r>
      <w:r>
        <w:t>less time than</w:t>
      </w:r>
      <w:r w:rsidRPr="00672428">
        <w:t xml:space="preserve"> developing a CEDS from</w:t>
      </w:r>
      <w:r>
        <w:t xml:space="preserve"> scratch.</w:t>
      </w:r>
    </w:p>
    <w:p w:rsidR="00AB4E28" w:rsidRPr="00672428" w:rsidP="00AB4E28" w14:paraId="23902E01" w14:textId="1FDFA5AA">
      <w:pPr>
        <w:numPr>
          <w:ilvl w:val="0"/>
          <w:numId w:val="18"/>
        </w:numPr>
        <w:spacing w:after="0"/>
      </w:pPr>
      <w:r w:rsidRPr="00672428">
        <w:t xml:space="preserve">The burden on existing </w:t>
      </w:r>
      <w:r w:rsidR="0001586D">
        <w:t xml:space="preserve">planning award </w:t>
      </w:r>
      <w:r w:rsidRPr="00672428">
        <w:t xml:space="preserve">recipients, </w:t>
      </w:r>
      <w:r w:rsidRPr="00672428">
        <w:rPr>
          <w:u w:val="single"/>
        </w:rPr>
        <w:t>all</w:t>
      </w:r>
      <w:r w:rsidRPr="00672428">
        <w:t xml:space="preserve"> of whom must submit an annual performance report analyzing their performance relative to the targets set forth in the EDA-approved CEDS.</w:t>
      </w:r>
    </w:p>
    <w:p w:rsidR="00AB4E28" w:rsidP="00AB4E28" w14:paraId="71E6219C" w14:textId="6F019516">
      <w:pPr>
        <w:numPr>
          <w:ilvl w:val="0"/>
          <w:numId w:val="18"/>
        </w:numPr>
        <w:spacing w:after="0"/>
      </w:pPr>
      <w:r w:rsidRPr="00672428">
        <w:t>The burden on app</w:t>
      </w:r>
      <w:r>
        <w:t xml:space="preserve">licants for EDA </w:t>
      </w:r>
      <w:r w:rsidR="00C63E3B">
        <w:t xml:space="preserve">financial </w:t>
      </w:r>
      <w:r>
        <w:t>assistance</w:t>
      </w:r>
      <w:r w:rsidR="00C63E3B">
        <w:t xml:space="preserve"> awards</w:t>
      </w:r>
      <w:r>
        <w:t xml:space="preserve"> that </w:t>
      </w:r>
      <w:r w:rsidRPr="00672428">
        <w:t xml:space="preserve">are not located </w:t>
      </w:r>
      <w:r>
        <w:t xml:space="preserve">within </w:t>
      </w:r>
      <w:r w:rsidRPr="00672428">
        <w:t xml:space="preserve">an EDA-funded </w:t>
      </w:r>
      <w:r>
        <w:t>EDD</w:t>
      </w:r>
      <w:r w:rsidRPr="00672428">
        <w:t xml:space="preserve">. Most of the </w:t>
      </w:r>
      <w:r w:rsidR="0001586D">
        <w:t xml:space="preserve">U.S. </w:t>
      </w:r>
      <w:r>
        <w:t xml:space="preserve">is </w:t>
      </w:r>
      <w:r w:rsidRPr="00672428">
        <w:t>covered by EDA-funded EDDs; however, some areas are without an EDD. In that case, an applicant for EDA Public Works or Economic Adjustment Assistance would have to submit a CEDS as part of the application process. EDA estimates that approximately 62 applicants for Public Works or Economic Adjustment Assistance each year are not located in areas that already have EDA-approved CEDS and therefore must develop one as a prerequisite for applying for EDA assistance. EDA does not require that thes</w:t>
      </w:r>
      <w:r>
        <w:t>e CEDS, however, be as detailed</w:t>
      </w:r>
      <w:r w:rsidRPr="00672428">
        <w:t xml:space="preserve"> as those that are developed as part of the scope of work of an EDA </w:t>
      </w:r>
      <w:r w:rsidR="000D3F96">
        <w:t>planning award</w:t>
      </w:r>
      <w:r w:rsidRPr="00672428">
        <w:t>, and therefore they are not as time-consuming.</w:t>
      </w:r>
    </w:p>
    <w:p w:rsidR="00AB4E28" w:rsidRPr="00AB4E28" w:rsidP="00AB4E28" w14:paraId="054DEE02" w14:textId="77777777">
      <w:pPr>
        <w:spacing w:after="0"/>
        <w:ind w:left="720"/>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4"/>
        <w:gridCol w:w="2813"/>
        <w:gridCol w:w="1895"/>
        <w:gridCol w:w="2161"/>
      </w:tblGrid>
      <w:tr w14:paraId="1F967318" w14:textId="77777777" w:rsidTr="00161BE7">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374" w:type="dxa"/>
          </w:tcPr>
          <w:p w:rsidR="00D22F9F" w:rsidRPr="005E1CF7" w:rsidP="00161BE7" w14:paraId="68230EF3" w14:textId="77777777">
            <w:pPr>
              <w:pStyle w:val="TableParagraph"/>
              <w:widowControl/>
              <w:spacing w:line="259" w:lineRule="auto"/>
              <w:rPr>
                <w:b/>
                <w:sz w:val="24"/>
                <w:szCs w:val="24"/>
              </w:rPr>
            </w:pPr>
            <w:r w:rsidRPr="005E1CF7">
              <w:rPr>
                <w:b/>
                <w:sz w:val="24"/>
                <w:szCs w:val="24"/>
              </w:rPr>
              <w:t>Type of Response</w:t>
            </w:r>
          </w:p>
        </w:tc>
        <w:tc>
          <w:tcPr>
            <w:tcW w:w="2813" w:type="dxa"/>
          </w:tcPr>
          <w:p w:rsidR="00D22F9F" w:rsidRPr="005E1CF7" w:rsidP="00161BE7" w14:paraId="240167C1" w14:textId="5888FFB2">
            <w:pPr>
              <w:pStyle w:val="TableParagraph"/>
              <w:widowControl/>
              <w:spacing w:line="259" w:lineRule="auto"/>
              <w:ind w:hanging="32"/>
              <w:rPr>
                <w:b/>
                <w:sz w:val="24"/>
                <w:szCs w:val="24"/>
              </w:rPr>
            </w:pPr>
            <w:r w:rsidRPr="005E1CF7">
              <w:rPr>
                <w:b/>
                <w:sz w:val="24"/>
                <w:szCs w:val="24"/>
              </w:rPr>
              <w:t xml:space="preserve">Number of </w:t>
            </w:r>
            <w:r w:rsidR="00CB3947">
              <w:rPr>
                <w:b/>
                <w:sz w:val="24"/>
                <w:szCs w:val="24"/>
              </w:rPr>
              <w:t>Respondents</w:t>
            </w:r>
          </w:p>
        </w:tc>
        <w:tc>
          <w:tcPr>
            <w:tcW w:w="1895" w:type="dxa"/>
          </w:tcPr>
          <w:p w:rsidR="00D22F9F" w:rsidRPr="005E1CF7" w:rsidP="00161BE7" w14:paraId="64F62B08" w14:textId="3CC8880C">
            <w:pPr>
              <w:pStyle w:val="TableParagraph"/>
              <w:widowControl/>
              <w:spacing w:line="259" w:lineRule="auto"/>
              <w:rPr>
                <w:b/>
                <w:sz w:val="24"/>
                <w:szCs w:val="24"/>
              </w:rPr>
            </w:pPr>
            <w:r>
              <w:rPr>
                <w:b/>
                <w:sz w:val="24"/>
                <w:szCs w:val="24"/>
              </w:rPr>
              <w:t xml:space="preserve">Average </w:t>
            </w:r>
            <w:r w:rsidRPr="005E1CF7">
              <w:rPr>
                <w:b/>
                <w:sz w:val="24"/>
                <w:szCs w:val="24"/>
              </w:rPr>
              <w:t>Hours per Response</w:t>
            </w:r>
          </w:p>
        </w:tc>
        <w:tc>
          <w:tcPr>
            <w:tcW w:w="2161" w:type="dxa"/>
          </w:tcPr>
          <w:p w:rsidR="00D22F9F" w:rsidRPr="005E1CF7" w:rsidP="00161BE7" w14:paraId="52DDBC87" w14:textId="1805FF34">
            <w:pPr>
              <w:pStyle w:val="TableParagraph"/>
              <w:widowControl/>
              <w:spacing w:line="259" w:lineRule="auto"/>
              <w:rPr>
                <w:b/>
                <w:sz w:val="24"/>
                <w:szCs w:val="24"/>
              </w:rPr>
            </w:pPr>
            <w:r w:rsidRPr="005E1CF7">
              <w:rPr>
                <w:b/>
                <w:sz w:val="24"/>
                <w:szCs w:val="24"/>
              </w:rPr>
              <w:t xml:space="preserve">Total Estimated </w:t>
            </w:r>
            <w:r w:rsidR="00D30464">
              <w:rPr>
                <w:b/>
                <w:sz w:val="24"/>
                <w:szCs w:val="24"/>
              </w:rPr>
              <w:t>Burden Hours</w:t>
            </w:r>
          </w:p>
        </w:tc>
      </w:tr>
      <w:tr w14:paraId="7F67207E" w14:textId="77777777" w:rsidTr="00161BE7">
        <w:tblPrEx>
          <w:tblW w:w="0" w:type="auto"/>
          <w:tblInd w:w="107" w:type="dxa"/>
          <w:tblLayout w:type="fixed"/>
          <w:tblCellMar>
            <w:left w:w="0" w:type="dxa"/>
            <w:right w:w="0" w:type="dxa"/>
          </w:tblCellMar>
          <w:tblLook w:val="01E0"/>
        </w:tblPrEx>
        <w:trPr>
          <w:trHeight w:val="551"/>
        </w:trPr>
        <w:tc>
          <w:tcPr>
            <w:tcW w:w="2374" w:type="dxa"/>
          </w:tcPr>
          <w:p w:rsidR="00D22F9F" w:rsidRPr="005E1CF7" w:rsidP="00161BE7" w14:paraId="69CA1058" w14:textId="77777777">
            <w:pPr>
              <w:pStyle w:val="TableParagraph"/>
              <w:widowControl/>
              <w:spacing w:line="259" w:lineRule="auto"/>
              <w:rPr>
                <w:sz w:val="24"/>
                <w:szCs w:val="24"/>
              </w:rPr>
            </w:pPr>
            <w:r w:rsidRPr="005E1CF7">
              <w:rPr>
                <w:sz w:val="24"/>
                <w:szCs w:val="24"/>
              </w:rPr>
              <w:t>Initial CEDS</w:t>
            </w:r>
          </w:p>
        </w:tc>
        <w:tc>
          <w:tcPr>
            <w:tcW w:w="2813" w:type="dxa"/>
          </w:tcPr>
          <w:p w:rsidR="00D22F9F" w:rsidRPr="005E1CF7" w:rsidP="00161BE7" w14:paraId="07E1FBC1" w14:textId="77777777">
            <w:pPr>
              <w:pStyle w:val="TableParagraph"/>
              <w:widowControl/>
              <w:spacing w:line="259" w:lineRule="auto"/>
              <w:rPr>
                <w:sz w:val="24"/>
                <w:szCs w:val="24"/>
              </w:rPr>
            </w:pPr>
            <w:r w:rsidRPr="005E1CF7">
              <w:rPr>
                <w:sz w:val="24"/>
                <w:szCs w:val="24"/>
              </w:rPr>
              <w:t>3</w:t>
            </w:r>
          </w:p>
        </w:tc>
        <w:tc>
          <w:tcPr>
            <w:tcW w:w="1895" w:type="dxa"/>
          </w:tcPr>
          <w:p w:rsidR="00D22F9F" w:rsidRPr="005E1CF7" w:rsidP="00161BE7" w14:paraId="0383D14A" w14:textId="134BCDAC">
            <w:pPr>
              <w:pStyle w:val="TableParagraph"/>
              <w:widowControl/>
              <w:spacing w:line="259" w:lineRule="auto"/>
              <w:rPr>
                <w:sz w:val="24"/>
                <w:szCs w:val="24"/>
              </w:rPr>
            </w:pPr>
            <w:r w:rsidRPr="005E1CF7">
              <w:rPr>
                <w:sz w:val="24"/>
                <w:szCs w:val="24"/>
              </w:rPr>
              <w:t>480 hours</w:t>
            </w:r>
          </w:p>
        </w:tc>
        <w:tc>
          <w:tcPr>
            <w:tcW w:w="2161" w:type="dxa"/>
          </w:tcPr>
          <w:p w:rsidR="00D22F9F" w:rsidRPr="005E1CF7" w:rsidP="00161BE7" w14:paraId="7300C3DE" w14:textId="77777777">
            <w:pPr>
              <w:pStyle w:val="TableParagraph"/>
              <w:widowControl/>
              <w:spacing w:line="259" w:lineRule="auto"/>
              <w:rPr>
                <w:sz w:val="24"/>
                <w:szCs w:val="24"/>
              </w:rPr>
            </w:pPr>
            <w:r w:rsidRPr="005E1CF7">
              <w:rPr>
                <w:sz w:val="24"/>
                <w:szCs w:val="24"/>
              </w:rPr>
              <w:t>1,440 hours</w:t>
            </w:r>
          </w:p>
        </w:tc>
      </w:tr>
      <w:tr w14:paraId="63223198" w14:textId="77777777" w:rsidTr="00161BE7">
        <w:tblPrEx>
          <w:tblW w:w="0" w:type="auto"/>
          <w:tblInd w:w="107" w:type="dxa"/>
          <w:tblLayout w:type="fixed"/>
          <w:tblCellMar>
            <w:left w:w="0" w:type="dxa"/>
            <w:right w:w="0" w:type="dxa"/>
          </w:tblCellMar>
          <w:tblLook w:val="01E0"/>
        </w:tblPrEx>
        <w:trPr>
          <w:trHeight w:val="551"/>
        </w:trPr>
        <w:tc>
          <w:tcPr>
            <w:tcW w:w="2374" w:type="dxa"/>
          </w:tcPr>
          <w:p w:rsidR="00D22F9F" w:rsidRPr="005E1CF7" w:rsidP="00161BE7" w14:paraId="325683ED" w14:textId="77777777">
            <w:pPr>
              <w:pStyle w:val="TableParagraph"/>
              <w:widowControl/>
              <w:spacing w:line="259" w:lineRule="auto"/>
              <w:rPr>
                <w:sz w:val="24"/>
                <w:szCs w:val="24"/>
              </w:rPr>
            </w:pPr>
            <w:r w:rsidRPr="005E1CF7">
              <w:rPr>
                <w:sz w:val="24"/>
                <w:szCs w:val="24"/>
              </w:rPr>
              <w:t>Revised CEDS</w:t>
            </w:r>
          </w:p>
        </w:tc>
        <w:tc>
          <w:tcPr>
            <w:tcW w:w="2813" w:type="dxa"/>
          </w:tcPr>
          <w:p w:rsidR="00D22F9F" w:rsidRPr="005E1CF7" w:rsidP="00161BE7" w14:paraId="3C0FE235" w14:textId="77777777">
            <w:pPr>
              <w:pStyle w:val="TableParagraph"/>
              <w:widowControl/>
              <w:spacing w:line="259" w:lineRule="auto"/>
              <w:rPr>
                <w:sz w:val="24"/>
                <w:szCs w:val="24"/>
              </w:rPr>
            </w:pPr>
            <w:r w:rsidRPr="005E1CF7">
              <w:rPr>
                <w:sz w:val="24"/>
                <w:szCs w:val="24"/>
              </w:rPr>
              <w:t>77</w:t>
            </w:r>
          </w:p>
        </w:tc>
        <w:tc>
          <w:tcPr>
            <w:tcW w:w="1895" w:type="dxa"/>
          </w:tcPr>
          <w:p w:rsidR="00D22F9F" w:rsidRPr="005E1CF7" w:rsidP="00161BE7" w14:paraId="4865CD31" w14:textId="3D049970">
            <w:pPr>
              <w:pStyle w:val="TableParagraph"/>
              <w:widowControl/>
              <w:spacing w:line="259" w:lineRule="auto"/>
              <w:rPr>
                <w:sz w:val="24"/>
                <w:szCs w:val="24"/>
              </w:rPr>
            </w:pPr>
            <w:r w:rsidRPr="005E1CF7">
              <w:rPr>
                <w:sz w:val="24"/>
                <w:szCs w:val="24"/>
              </w:rPr>
              <w:t>160 hours</w:t>
            </w:r>
          </w:p>
        </w:tc>
        <w:tc>
          <w:tcPr>
            <w:tcW w:w="2161" w:type="dxa"/>
          </w:tcPr>
          <w:p w:rsidR="00D22F9F" w:rsidRPr="005E1CF7" w:rsidP="00161BE7" w14:paraId="047DA4A6" w14:textId="77777777">
            <w:pPr>
              <w:pStyle w:val="TableParagraph"/>
              <w:widowControl/>
              <w:spacing w:line="259" w:lineRule="auto"/>
              <w:rPr>
                <w:sz w:val="24"/>
                <w:szCs w:val="24"/>
              </w:rPr>
            </w:pPr>
            <w:r w:rsidRPr="005E1CF7">
              <w:rPr>
                <w:sz w:val="24"/>
                <w:szCs w:val="24"/>
              </w:rPr>
              <w:t>12,320 hours</w:t>
            </w:r>
          </w:p>
        </w:tc>
      </w:tr>
      <w:tr w14:paraId="2101BF03" w14:textId="77777777" w:rsidTr="00161BE7">
        <w:tblPrEx>
          <w:tblW w:w="0" w:type="auto"/>
          <w:tblInd w:w="107" w:type="dxa"/>
          <w:tblLayout w:type="fixed"/>
          <w:tblCellMar>
            <w:left w:w="0" w:type="dxa"/>
            <w:right w:w="0" w:type="dxa"/>
          </w:tblCellMar>
          <w:tblLook w:val="01E0"/>
        </w:tblPrEx>
        <w:trPr>
          <w:trHeight w:val="830"/>
        </w:trPr>
        <w:tc>
          <w:tcPr>
            <w:tcW w:w="2374" w:type="dxa"/>
          </w:tcPr>
          <w:p w:rsidR="00D22F9F" w:rsidRPr="005E1CF7" w:rsidP="00161BE7" w14:paraId="6744A094" w14:textId="3E78FB76">
            <w:pPr>
              <w:pStyle w:val="TableParagraph"/>
              <w:widowControl/>
              <w:spacing w:line="259" w:lineRule="auto"/>
              <w:rPr>
                <w:sz w:val="24"/>
                <w:szCs w:val="24"/>
              </w:rPr>
            </w:pPr>
            <w:r w:rsidRPr="005E1CF7">
              <w:rPr>
                <w:sz w:val="24"/>
                <w:szCs w:val="24"/>
              </w:rPr>
              <w:t>CEDS</w:t>
            </w:r>
            <w:r w:rsidR="00E335D4">
              <w:rPr>
                <w:sz w:val="24"/>
                <w:szCs w:val="24"/>
              </w:rPr>
              <w:t xml:space="preserve"> </w:t>
            </w:r>
            <w:r w:rsidRPr="005E1CF7">
              <w:rPr>
                <w:sz w:val="24"/>
                <w:szCs w:val="24"/>
              </w:rPr>
              <w:t>Updates/Performance Reports</w:t>
            </w:r>
          </w:p>
        </w:tc>
        <w:tc>
          <w:tcPr>
            <w:tcW w:w="2813" w:type="dxa"/>
          </w:tcPr>
          <w:p w:rsidR="00D22F9F" w:rsidRPr="005E1CF7" w:rsidP="00161BE7" w14:paraId="4ED14D11" w14:textId="77777777">
            <w:pPr>
              <w:pStyle w:val="TableParagraph"/>
              <w:widowControl/>
              <w:spacing w:line="259" w:lineRule="auto"/>
              <w:rPr>
                <w:sz w:val="24"/>
                <w:szCs w:val="24"/>
              </w:rPr>
            </w:pPr>
            <w:r w:rsidRPr="005E1CF7">
              <w:rPr>
                <w:sz w:val="24"/>
                <w:szCs w:val="24"/>
              </w:rPr>
              <w:t>385</w:t>
            </w:r>
          </w:p>
        </w:tc>
        <w:tc>
          <w:tcPr>
            <w:tcW w:w="1895" w:type="dxa"/>
          </w:tcPr>
          <w:p w:rsidR="00D22F9F" w:rsidRPr="005E1CF7" w:rsidP="00161BE7" w14:paraId="4E867651" w14:textId="2CBD38CC">
            <w:pPr>
              <w:pStyle w:val="TableParagraph"/>
              <w:widowControl/>
              <w:spacing w:line="259" w:lineRule="auto"/>
              <w:rPr>
                <w:sz w:val="24"/>
                <w:szCs w:val="24"/>
              </w:rPr>
            </w:pPr>
            <w:r w:rsidRPr="005E1CF7">
              <w:rPr>
                <w:sz w:val="24"/>
                <w:szCs w:val="24"/>
              </w:rPr>
              <w:t>40 hours</w:t>
            </w:r>
          </w:p>
        </w:tc>
        <w:tc>
          <w:tcPr>
            <w:tcW w:w="2161" w:type="dxa"/>
          </w:tcPr>
          <w:p w:rsidR="00D22F9F" w:rsidRPr="005E1CF7" w:rsidP="00161BE7" w14:paraId="1775E5E8" w14:textId="77777777">
            <w:pPr>
              <w:pStyle w:val="TableParagraph"/>
              <w:widowControl/>
              <w:spacing w:line="259" w:lineRule="auto"/>
              <w:rPr>
                <w:sz w:val="24"/>
                <w:szCs w:val="24"/>
              </w:rPr>
            </w:pPr>
            <w:r w:rsidRPr="005E1CF7">
              <w:rPr>
                <w:sz w:val="24"/>
                <w:szCs w:val="24"/>
              </w:rPr>
              <w:t>15,400 hours</w:t>
            </w:r>
          </w:p>
        </w:tc>
      </w:tr>
      <w:tr w14:paraId="4DF71110" w14:textId="77777777" w:rsidTr="00161BE7">
        <w:tblPrEx>
          <w:tblW w:w="0" w:type="auto"/>
          <w:tblInd w:w="107" w:type="dxa"/>
          <w:tblLayout w:type="fixed"/>
          <w:tblCellMar>
            <w:left w:w="0" w:type="dxa"/>
            <w:right w:w="0" w:type="dxa"/>
          </w:tblCellMar>
          <w:tblLook w:val="01E0"/>
        </w:tblPrEx>
        <w:trPr>
          <w:trHeight w:val="827"/>
        </w:trPr>
        <w:tc>
          <w:tcPr>
            <w:tcW w:w="2374" w:type="dxa"/>
          </w:tcPr>
          <w:p w:rsidR="00D22F9F" w:rsidRPr="005E1CF7" w:rsidP="00161BE7" w14:paraId="1C2820B9" w14:textId="4559A731">
            <w:pPr>
              <w:pStyle w:val="TableParagraph"/>
              <w:widowControl/>
              <w:spacing w:line="259" w:lineRule="auto"/>
              <w:rPr>
                <w:sz w:val="24"/>
                <w:szCs w:val="24"/>
              </w:rPr>
            </w:pPr>
            <w:r w:rsidRPr="005E1CF7">
              <w:rPr>
                <w:sz w:val="24"/>
                <w:szCs w:val="24"/>
              </w:rPr>
              <w:t>CEDS by applicants</w:t>
            </w:r>
            <w:r w:rsidR="00E335D4">
              <w:rPr>
                <w:sz w:val="24"/>
                <w:szCs w:val="24"/>
              </w:rPr>
              <w:t xml:space="preserve"> </w:t>
            </w:r>
            <w:r w:rsidRPr="005E1CF7">
              <w:rPr>
                <w:sz w:val="24"/>
                <w:szCs w:val="24"/>
              </w:rPr>
              <w:t>not in EDA-funded District</w:t>
            </w:r>
          </w:p>
        </w:tc>
        <w:tc>
          <w:tcPr>
            <w:tcW w:w="2813" w:type="dxa"/>
          </w:tcPr>
          <w:p w:rsidR="00D22F9F" w:rsidRPr="005E1CF7" w:rsidP="00161BE7" w14:paraId="4A7C239C" w14:textId="77777777">
            <w:pPr>
              <w:pStyle w:val="TableParagraph"/>
              <w:widowControl/>
              <w:spacing w:line="259" w:lineRule="auto"/>
              <w:rPr>
                <w:sz w:val="24"/>
                <w:szCs w:val="24"/>
              </w:rPr>
            </w:pPr>
            <w:r w:rsidRPr="005E1CF7">
              <w:rPr>
                <w:sz w:val="24"/>
                <w:szCs w:val="24"/>
              </w:rPr>
              <w:t>62</w:t>
            </w:r>
          </w:p>
        </w:tc>
        <w:tc>
          <w:tcPr>
            <w:tcW w:w="1895" w:type="dxa"/>
          </w:tcPr>
          <w:p w:rsidR="00D22F9F" w:rsidRPr="005E1CF7" w:rsidP="00161BE7" w14:paraId="176EFFAD" w14:textId="77777777">
            <w:pPr>
              <w:pStyle w:val="TableParagraph"/>
              <w:widowControl/>
              <w:spacing w:line="259" w:lineRule="auto"/>
              <w:rPr>
                <w:sz w:val="24"/>
                <w:szCs w:val="24"/>
              </w:rPr>
            </w:pPr>
            <w:r w:rsidRPr="005E1CF7">
              <w:rPr>
                <w:sz w:val="24"/>
                <w:szCs w:val="24"/>
              </w:rPr>
              <w:t>40 hours</w:t>
            </w:r>
          </w:p>
        </w:tc>
        <w:tc>
          <w:tcPr>
            <w:tcW w:w="2161" w:type="dxa"/>
          </w:tcPr>
          <w:p w:rsidR="00D22F9F" w:rsidRPr="005E1CF7" w:rsidP="00161BE7" w14:paraId="185347D2" w14:textId="77777777">
            <w:pPr>
              <w:pStyle w:val="TableParagraph"/>
              <w:widowControl/>
              <w:spacing w:line="259" w:lineRule="auto"/>
              <w:rPr>
                <w:sz w:val="24"/>
                <w:szCs w:val="24"/>
              </w:rPr>
            </w:pPr>
            <w:r w:rsidRPr="005E1CF7">
              <w:rPr>
                <w:sz w:val="24"/>
                <w:szCs w:val="24"/>
              </w:rPr>
              <w:t>2,480 hours</w:t>
            </w:r>
          </w:p>
        </w:tc>
      </w:tr>
      <w:tr w14:paraId="29A4149F" w14:textId="77777777" w:rsidTr="00161BE7">
        <w:tblPrEx>
          <w:tblW w:w="0" w:type="auto"/>
          <w:tblInd w:w="107" w:type="dxa"/>
          <w:tblLayout w:type="fixed"/>
          <w:tblCellMar>
            <w:left w:w="0" w:type="dxa"/>
            <w:right w:w="0" w:type="dxa"/>
          </w:tblCellMar>
          <w:tblLook w:val="01E0"/>
        </w:tblPrEx>
        <w:trPr>
          <w:trHeight w:val="551"/>
        </w:trPr>
        <w:tc>
          <w:tcPr>
            <w:tcW w:w="2374" w:type="dxa"/>
          </w:tcPr>
          <w:p w:rsidR="00D22F9F" w:rsidRPr="004417B7" w:rsidP="00161BE7" w14:paraId="1A56817C" w14:textId="77777777">
            <w:pPr>
              <w:pStyle w:val="TableParagraph"/>
              <w:widowControl/>
              <w:spacing w:line="259" w:lineRule="auto"/>
              <w:rPr>
                <w:b/>
                <w:bCs/>
                <w:sz w:val="24"/>
                <w:szCs w:val="24"/>
              </w:rPr>
            </w:pPr>
            <w:r w:rsidRPr="004417B7">
              <w:rPr>
                <w:b/>
                <w:bCs/>
                <w:sz w:val="24"/>
                <w:szCs w:val="24"/>
              </w:rPr>
              <w:t>Total</w:t>
            </w:r>
          </w:p>
        </w:tc>
        <w:tc>
          <w:tcPr>
            <w:tcW w:w="2813" w:type="dxa"/>
          </w:tcPr>
          <w:p w:rsidR="00D22F9F" w:rsidRPr="00964F6C" w:rsidP="00161BE7" w14:paraId="03B23064" w14:textId="38DDB3F0">
            <w:pPr>
              <w:pStyle w:val="TableParagraph"/>
              <w:widowControl/>
              <w:spacing w:line="259" w:lineRule="auto"/>
              <w:rPr>
                <w:b/>
                <w:bCs/>
                <w:sz w:val="24"/>
                <w:szCs w:val="24"/>
              </w:rPr>
            </w:pPr>
            <w:r w:rsidRPr="00964F6C">
              <w:rPr>
                <w:b/>
                <w:bCs/>
                <w:sz w:val="24"/>
                <w:szCs w:val="24"/>
              </w:rPr>
              <w:t>527</w:t>
            </w:r>
            <w:r w:rsidR="00443CF3">
              <w:rPr>
                <w:b/>
                <w:bCs/>
                <w:sz w:val="24"/>
                <w:szCs w:val="24"/>
              </w:rPr>
              <w:t xml:space="preserve"> respondents</w:t>
            </w:r>
          </w:p>
        </w:tc>
        <w:tc>
          <w:tcPr>
            <w:tcW w:w="1895" w:type="dxa"/>
          </w:tcPr>
          <w:p w:rsidR="00D22F9F" w:rsidRPr="005E1CF7" w:rsidP="00161BE7" w14:paraId="65F72499" w14:textId="77777777">
            <w:pPr>
              <w:pStyle w:val="TableParagraph"/>
              <w:widowControl/>
              <w:spacing w:line="259" w:lineRule="auto"/>
              <w:rPr>
                <w:sz w:val="24"/>
                <w:szCs w:val="24"/>
              </w:rPr>
            </w:pPr>
          </w:p>
        </w:tc>
        <w:tc>
          <w:tcPr>
            <w:tcW w:w="2161" w:type="dxa"/>
          </w:tcPr>
          <w:p w:rsidR="00D22F9F" w:rsidRPr="00D22F9F" w:rsidP="00161BE7" w14:paraId="5543EB3B" w14:textId="77777777">
            <w:pPr>
              <w:pStyle w:val="TableParagraph"/>
              <w:widowControl/>
              <w:spacing w:line="259" w:lineRule="auto"/>
              <w:rPr>
                <w:b/>
                <w:bCs/>
                <w:sz w:val="24"/>
                <w:szCs w:val="24"/>
              </w:rPr>
            </w:pPr>
            <w:r w:rsidRPr="00D22F9F">
              <w:rPr>
                <w:b/>
                <w:bCs/>
                <w:sz w:val="24"/>
                <w:szCs w:val="24"/>
              </w:rPr>
              <w:t>31,640 hours</w:t>
            </w:r>
          </w:p>
        </w:tc>
      </w:tr>
    </w:tbl>
    <w:p w:rsidR="00BC120E" w:rsidP="00D71E85" w14:paraId="1DF7F37A" w14:textId="77777777">
      <w:pPr>
        <w:spacing w:after="0"/>
        <w:ind w:left="360"/>
      </w:pPr>
    </w:p>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301F6D16">
      <w:pPr>
        <w:spacing w:after="200"/>
      </w:pPr>
      <w:r>
        <w:t>Apart from the value of the burden hours, there is no additional cost to respondents associated with this information collection.</w:t>
      </w:r>
    </w:p>
    <w:p w:rsidR="00A746F2" w:rsidRPr="00753AB1" w:rsidP="00F76726" w14:paraId="062FA34B" w14:textId="77777777">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000A6608" w:rsidP="000A6608" w14:paraId="69B04A67" w14:textId="77777777">
      <w:r w:rsidRPr="00234FDD">
        <w:rPr>
          <w:lang w:val="en-CA"/>
        </w:rPr>
        <w:t>T</w:t>
      </w:r>
      <w:r>
        <w:t>he estimated annual hourly burden on</w:t>
      </w:r>
      <w:r w:rsidRPr="00234FDD">
        <w:t xml:space="preserve"> the Federal government with respect to this information collection is </w:t>
      </w:r>
      <w:r>
        <w:t>as follows:</w:t>
      </w:r>
    </w:p>
    <w:p w:rsidR="000A6608" w:rsidP="000A6608" w14:paraId="2B2339DF" w14:textId="7777777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6"/>
        <w:gridCol w:w="2079"/>
        <w:gridCol w:w="2514"/>
        <w:gridCol w:w="1874"/>
      </w:tblGrid>
      <w:tr w14:paraId="137AF8F3" w14:textId="77777777" w:rsidTr="00161BE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F6272D" w:rsidRPr="00AA75C0" w:rsidP="00161BE7" w14:paraId="6F980A62" w14:textId="77777777">
            <w:pPr>
              <w:widowControl w:val="0"/>
              <w:spacing w:after="0" w:line="259" w:lineRule="auto"/>
              <w:jc w:val="center"/>
              <w:rPr>
                <w:b/>
              </w:rPr>
            </w:pPr>
            <w:r>
              <w:rPr>
                <w:b/>
              </w:rPr>
              <w:t>Type of Response</w:t>
            </w:r>
          </w:p>
        </w:tc>
        <w:tc>
          <w:tcPr>
            <w:tcW w:w="0" w:type="auto"/>
            <w:shd w:val="clear" w:color="auto" w:fill="auto"/>
          </w:tcPr>
          <w:p w:rsidR="00F6272D" w:rsidRPr="00AA75C0" w:rsidP="00161BE7" w14:paraId="36D3322F" w14:textId="1D3096B3">
            <w:pPr>
              <w:widowControl w:val="0"/>
              <w:spacing w:after="0" w:line="259" w:lineRule="auto"/>
              <w:jc w:val="center"/>
              <w:rPr>
                <w:b/>
              </w:rPr>
            </w:pPr>
            <w:r>
              <w:rPr>
                <w:b/>
              </w:rPr>
              <w:t xml:space="preserve">Number of </w:t>
            </w:r>
            <w:r w:rsidR="00612370">
              <w:rPr>
                <w:b/>
              </w:rPr>
              <w:t>Respondents</w:t>
            </w:r>
          </w:p>
        </w:tc>
        <w:tc>
          <w:tcPr>
            <w:tcW w:w="0" w:type="auto"/>
            <w:shd w:val="clear" w:color="auto" w:fill="auto"/>
          </w:tcPr>
          <w:p w:rsidR="00F6272D" w:rsidRPr="00AA75C0" w:rsidP="00161BE7" w14:paraId="5F391428" w14:textId="6EC267F8">
            <w:pPr>
              <w:widowControl w:val="0"/>
              <w:spacing w:after="0" w:line="259" w:lineRule="auto"/>
              <w:jc w:val="center"/>
              <w:rPr>
                <w:b/>
              </w:rPr>
            </w:pPr>
            <w:r>
              <w:rPr>
                <w:b/>
              </w:rPr>
              <w:t xml:space="preserve">Average </w:t>
            </w:r>
            <w:r>
              <w:rPr>
                <w:b/>
              </w:rPr>
              <w:t>Review Hours per Response</w:t>
            </w:r>
          </w:p>
        </w:tc>
        <w:tc>
          <w:tcPr>
            <w:tcW w:w="0" w:type="auto"/>
            <w:shd w:val="clear" w:color="auto" w:fill="auto"/>
          </w:tcPr>
          <w:p w:rsidR="00F6272D" w:rsidRPr="00AA75C0" w:rsidP="00161BE7" w14:paraId="2BC72FA1" w14:textId="047F0DE7">
            <w:pPr>
              <w:widowControl w:val="0"/>
              <w:spacing w:after="0" w:line="259" w:lineRule="auto"/>
              <w:jc w:val="center"/>
              <w:rPr>
                <w:b/>
              </w:rPr>
            </w:pPr>
            <w:r w:rsidRPr="00AA75C0">
              <w:rPr>
                <w:b/>
              </w:rPr>
              <w:t xml:space="preserve">Total Estimated </w:t>
            </w:r>
            <w:r w:rsidR="005E1DFA">
              <w:rPr>
                <w:b/>
              </w:rPr>
              <w:t>Hours</w:t>
            </w:r>
          </w:p>
        </w:tc>
      </w:tr>
      <w:tr w14:paraId="28C84F1C" w14:textId="77777777" w:rsidTr="00161BE7">
        <w:tblPrEx>
          <w:tblW w:w="0" w:type="auto"/>
          <w:tblInd w:w="-113" w:type="dxa"/>
          <w:tblLook w:val="04A0"/>
        </w:tblPrEx>
        <w:tc>
          <w:tcPr>
            <w:tcW w:w="0" w:type="auto"/>
          </w:tcPr>
          <w:p w:rsidR="00F6272D" w:rsidRPr="00AA75C0" w:rsidP="00161BE7" w14:paraId="6FAD445D" w14:textId="77777777">
            <w:pPr>
              <w:widowControl w:val="0"/>
              <w:spacing w:after="0" w:line="259" w:lineRule="auto"/>
            </w:pPr>
            <w:r>
              <w:t>Initial CEDS</w:t>
            </w:r>
          </w:p>
        </w:tc>
        <w:tc>
          <w:tcPr>
            <w:tcW w:w="0" w:type="auto"/>
            <w:shd w:val="clear" w:color="auto" w:fill="auto"/>
          </w:tcPr>
          <w:p w:rsidR="00F6272D" w:rsidRPr="00AA75C0" w:rsidP="00161BE7" w14:paraId="65248591" w14:textId="77777777">
            <w:pPr>
              <w:widowControl w:val="0"/>
              <w:spacing w:after="0" w:line="259" w:lineRule="auto"/>
              <w:jc w:val="center"/>
            </w:pPr>
            <w:r>
              <w:t>3</w:t>
            </w:r>
          </w:p>
        </w:tc>
        <w:tc>
          <w:tcPr>
            <w:tcW w:w="0" w:type="auto"/>
            <w:shd w:val="clear" w:color="auto" w:fill="auto"/>
          </w:tcPr>
          <w:p w:rsidR="00F6272D" w:rsidRPr="00AA75C0" w:rsidP="00161BE7" w14:paraId="4524E72A" w14:textId="11983CD6">
            <w:pPr>
              <w:widowControl w:val="0"/>
              <w:spacing w:after="0" w:line="259" w:lineRule="auto"/>
              <w:jc w:val="center"/>
            </w:pPr>
            <w:r>
              <w:t>40</w:t>
            </w:r>
            <w:r w:rsidRPr="00AA75C0">
              <w:t xml:space="preserve"> hours</w:t>
            </w:r>
          </w:p>
        </w:tc>
        <w:tc>
          <w:tcPr>
            <w:tcW w:w="0" w:type="auto"/>
            <w:shd w:val="clear" w:color="auto" w:fill="auto"/>
          </w:tcPr>
          <w:p w:rsidR="00F6272D" w:rsidRPr="00AA75C0" w:rsidP="00161BE7" w14:paraId="33C507C8" w14:textId="77777777">
            <w:pPr>
              <w:widowControl w:val="0"/>
              <w:spacing w:after="0" w:line="259" w:lineRule="auto"/>
              <w:jc w:val="center"/>
            </w:pPr>
            <w:r>
              <w:t>12</w:t>
            </w:r>
            <w:r w:rsidRPr="00AA75C0">
              <w:t>0 hours</w:t>
            </w:r>
          </w:p>
        </w:tc>
      </w:tr>
      <w:tr w14:paraId="4223998B" w14:textId="77777777" w:rsidTr="00161BE7">
        <w:tblPrEx>
          <w:tblW w:w="0" w:type="auto"/>
          <w:tblInd w:w="-113" w:type="dxa"/>
          <w:tblLook w:val="04A0"/>
        </w:tblPrEx>
        <w:trPr>
          <w:trHeight w:val="548"/>
        </w:trPr>
        <w:tc>
          <w:tcPr>
            <w:tcW w:w="0" w:type="auto"/>
          </w:tcPr>
          <w:p w:rsidR="00F6272D" w:rsidRPr="00AA75C0" w:rsidP="00161BE7" w14:paraId="278FBBA4" w14:textId="77777777">
            <w:pPr>
              <w:widowControl w:val="0"/>
              <w:spacing w:after="0" w:line="259" w:lineRule="auto"/>
            </w:pPr>
            <w:r>
              <w:t>Revised CEDS</w:t>
            </w:r>
          </w:p>
        </w:tc>
        <w:tc>
          <w:tcPr>
            <w:tcW w:w="0" w:type="auto"/>
            <w:shd w:val="clear" w:color="auto" w:fill="auto"/>
          </w:tcPr>
          <w:p w:rsidR="00F6272D" w:rsidRPr="00AA75C0" w:rsidP="00161BE7" w14:paraId="501E4D95" w14:textId="77777777">
            <w:pPr>
              <w:widowControl w:val="0"/>
              <w:spacing w:after="0" w:line="259" w:lineRule="auto"/>
              <w:jc w:val="center"/>
            </w:pPr>
            <w:r>
              <w:t>77</w:t>
            </w:r>
          </w:p>
        </w:tc>
        <w:tc>
          <w:tcPr>
            <w:tcW w:w="0" w:type="auto"/>
            <w:shd w:val="clear" w:color="auto" w:fill="auto"/>
          </w:tcPr>
          <w:p w:rsidR="00F6272D" w:rsidRPr="00AA75C0" w:rsidP="00161BE7" w14:paraId="35932027" w14:textId="78FF24DC">
            <w:pPr>
              <w:widowControl w:val="0"/>
              <w:spacing w:after="0" w:line="259" w:lineRule="auto"/>
              <w:jc w:val="center"/>
            </w:pPr>
            <w:r>
              <w:t>1</w:t>
            </w:r>
            <w:r w:rsidRPr="00AA75C0">
              <w:t>0 hours</w:t>
            </w:r>
          </w:p>
        </w:tc>
        <w:tc>
          <w:tcPr>
            <w:tcW w:w="0" w:type="auto"/>
            <w:shd w:val="clear" w:color="auto" w:fill="auto"/>
          </w:tcPr>
          <w:p w:rsidR="00F6272D" w:rsidRPr="00AA75C0" w:rsidP="00161BE7" w14:paraId="68453588" w14:textId="77777777">
            <w:pPr>
              <w:widowControl w:val="0"/>
              <w:spacing w:after="0" w:line="259" w:lineRule="auto"/>
              <w:jc w:val="center"/>
            </w:pPr>
            <w:r>
              <w:t>77</w:t>
            </w:r>
            <w:r w:rsidRPr="00AA75C0">
              <w:t>0 hours</w:t>
            </w:r>
          </w:p>
        </w:tc>
      </w:tr>
      <w:tr w14:paraId="2D766FC0" w14:textId="77777777" w:rsidTr="00161BE7">
        <w:tblPrEx>
          <w:tblW w:w="0" w:type="auto"/>
          <w:tblInd w:w="-113" w:type="dxa"/>
          <w:tblLook w:val="04A0"/>
        </w:tblPrEx>
        <w:tc>
          <w:tcPr>
            <w:tcW w:w="0" w:type="auto"/>
          </w:tcPr>
          <w:p w:rsidR="00F6272D" w:rsidRPr="00AA75C0" w:rsidP="00161BE7" w14:paraId="6AC63BFD" w14:textId="77777777">
            <w:pPr>
              <w:widowControl w:val="0"/>
              <w:spacing w:after="0" w:line="259" w:lineRule="auto"/>
            </w:pPr>
            <w:r>
              <w:t>CEDS Updates/Performance Reports</w:t>
            </w:r>
          </w:p>
        </w:tc>
        <w:tc>
          <w:tcPr>
            <w:tcW w:w="0" w:type="auto"/>
            <w:shd w:val="clear" w:color="auto" w:fill="auto"/>
          </w:tcPr>
          <w:p w:rsidR="00F6272D" w:rsidRPr="00AA75C0" w:rsidP="00161BE7" w14:paraId="51F85896" w14:textId="08284F3F">
            <w:pPr>
              <w:widowControl w:val="0"/>
              <w:spacing w:after="0" w:line="259" w:lineRule="auto"/>
              <w:jc w:val="center"/>
            </w:pPr>
            <w:r w:rsidRPr="00AA75C0">
              <w:t>385</w:t>
            </w:r>
          </w:p>
        </w:tc>
        <w:tc>
          <w:tcPr>
            <w:tcW w:w="0" w:type="auto"/>
            <w:shd w:val="clear" w:color="auto" w:fill="auto"/>
          </w:tcPr>
          <w:p w:rsidR="00F6272D" w:rsidRPr="00AA75C0" w:rsidP="00161BE7" w14:paraId="3F6B601D" w14:textId="470CCB33">
            <w:pPr>
              <w:widowControl w:val="0"/>
              <w:spacing w:after="0" w:line="259" w:lineRule="auto"/>
              <w:jc w:val="center"/>
            </w:pPr>
            <w:r>
              <w:t>5</w:t>
            </w:r>
            <w:r w:rsidRPr="00AA75C0">
              <w:t xml:space="preserve"> hours</w:t>
            </w:r>
          </w:p>
        </w:tc>
        <w:tc>
          <w:tcPr>
            <w:tcW w:w="0" w:type="auto"/>
            <w:shd w:val="clear" w:color="auto" w:fill="auto"/>
          </w:tcPr>
          <w:p w:rsidR="00F6272D" w:rsidRPr="00AA75C0" w:rsidP="00161BE7" w14:paraId="15530869" w14:textId="77777777">
            <w:pPr>
              <w:widowControl w:val="0"/>
              <w:spacing w:after="0" w:line="259" w:lineRule="auto"/>
              <w:jc w:val="center"/>
            </w:pPr>
            <w:r>
              <w:t>1,925</w:t>
            </w:r>
            <w:r w:rsidRPr="00AA75C0">
              <w:t xml:space="preserve"> hours</w:t>
            </w:r>
          </w:p>
        </w:tc>
      </w:tr>
      <w:tr w14:paraId="59F5FF27" w14:textId="77777777" w:rsidTr="00161BE7">
        <w:tblPrEx>
          <w:tblW w:w="0" w:type="auto"/>
          <w:tblInd w:w="-113" w:type="dxa"/>
          <w:tblLook w:val="04A0"/>
        </w:tblPrEx>
        <w:trPr>
          <w:trHeight w:val="440"/>
        </w:trPr>
        <w:tc>
          <w:tcPr>
            <w:tcW w:w="0" w:type="auto"/>
          </w:tcPr>
          <w:p w:rsidR="008F0371" w:rsidRPr="00161BE7" w:rsidP="00161BE7" w14:paraId="33A9D6CB" w14:textId="4AB3DA37">
            <w:pPr>
              <w:widowControl w:val="0"/>
              <w:spacing w:after="0" w:line="259" w:lineRule="auto"/>
              <w:jc w:val="center"/>
              <w:rPr>
                <w:b/>
                <w:bCs/>
              </w:rPr>
            </w:pPr>
            <w:r w:rsidRPr="00161BE7">
              <w:rPr>
                <w:b/>
                <w:bCs/>
              </w:rPr>
              <w:t>Total</w:t>
            </w:r>
          </w:p>
        </w:tc>
        <w:tc>
          <w:tcPr>
            <w:tcW w:w="0" w:type="auto"/>
            <w:shd w:val="clear" w:color="auto" w:fill="auto"/>
          </w:tcPr>
          <w:p w:rsidR="00F6272D" w:rsidRPr="00161BE7" w:rsidP="00161BE7" w14:paraId="15A1EC83" w14:textId="1A7F1A91">
            <w:pPr>
              <w:widowControl w:val="0"/>
              <w:spacing w:after="0" w:line="259" w:lineRule="auto"/>
              <w:jc w:val="center"/>
              <w:rPr>
                <w:b/>
                <w:bCs/>
              </w:rPr>
            </w:pPr>
            <w:r w:rsidRPr="00161BE7">
              <w:rPr>
                <w:b/>
                <w:bCs/>
              </w:rPr>
              <w:t>485 respondents</w:t>
            </w:r>
          </w:p>
        </w:tc>
        <w:tc>
          <w:tcPr>
            <w:tcW w:w="0" w:type="auto"/>
            <w:shd w:val="clear" w:color="auto" w:fill="auto"/>
          </w:tcPr>
          <w:p w:rsidR="00F6272D" w:rsidRPr="00AA75C0" w:rsidP="00161BE7" w14:paraId="7FFB0AFE" w14:textId="54498A7B">
            <w:pPr>
              <w:widowControl w:val="0"/>
              <w:spacing w:after="0" w:line="259" w:lineRule="auto"/>
            </w:pPr>
          </w:p>
        </w:tc>
        <w:tc>
          <w:tcPr>
            <w:tcW w:w="0" w:type="auto"/>
            <w:shd w:val="clear" w:color="auto" w:fill="auto"/>
          </w:tcPr>
          <w:p w:rsidR="00F6272D" w:rsidRPr="008F0371" w:rsidP="00161BE7" w14:paraId="5CE1B552" w14:textId="77777777">
            <w:pPr>
              <w:widowControl w:val="0"/>
              <w:spacing w:after="0" w:line="259" w:lineRule="auto"/>
              <w:jc w:val="center"/>
              <w:rPr>
                <w:b/>
                <w:bCs/>
              </w:rPr>
            </w:pPr>
            <w:r w:rsidRPr="008F0371">
              <w:rPr>
                <w:b/>
                <w:bCs/>
              </w:rPr>
              <w:t>2,815 hours</w:t>
            </w:r>
          </w:p>
        </w:tc>
      </w:tr>
    </w:tbl>
    <w:p w:rsidR="000A6608" w:rsidP="000A6608" w14:paraId="00A75072" w14:textId="77777777"/>
    <w:p w:rsidR="006D5533" w:rsidRPr="00753AB1" w:rsidP="006D5533" w14:paraId="14B165E3" w14:textId="44540204">
      <w:pPr>
        <w:spacing w:after="200"/>
      </w:pPr>
      <w:r w:rsidRPr="00753AB1">
        <w:t>EDA estimates the total annual cost burden to the federal government to be $</w:t>
      </w:r>
      <w:r w:rsidR="00F02825">
        <w:t>232</w:t>
      </w:r>
      <w:r w:rsidR="00944AF9">
        <w:t>,547</w:t>
      </w:r>
      <w:r w:rsidR="00DB05B3">
        <w:t xml:space="preserve"> </w:t>
      </w:r>
      <w:r>
        <w:t>(</w:t>
      </w:r>
      <w:r w:rsidR="008F0371">
        <w:t>2,8</w:t>
      </w:r>
      <w:r w:rsidR="00AF16DD">
        <w:t>1</w:t>
      </w:r>
      <w:r w:rsidR="008F0371">
        <w:t>5</w:t>
      </w:r>
      <w:r>
        <w:t xml:space="preserve"> responses multiplied by $</w:t>
      </w:r>
      <w:r w:rsidR="00F02825">
        <w:t xml:space="preserve">82.61 </w:t>
      </w:r>
      <w:r>
        <w:t>per hour)</w:t>
      </w:r>
      <w:r w:rsidRPr="00753AB1">
        <w:t>.</w:t>
      </w:r>
      <w:r>
        <w:t xml:space="preserve"> The hourly </w:t>
      </w:r>
      <w:r>
        <w:t>wage used</w:t>
      </w:r>
      <w:r>
        <w:t xml:space="preserve"> is that of a federal employee at grade 13, step 4, plus 30% to account for overhead and other costs ($</w:t>
      </w:r>
      <w:r w:rsidR="003D7944">
        <w:t>63.55</w:t>
      </w:r>
      <w:r>
        <w:t xml:space="preserve"> per hour + $</w:t>
      </w:r>
      <w:r w:rsidR="009B56B0">
        <w:t>19.06</w:t>
      </w:r>
      <w:r>
        <w:t xml:space="preserve"> per hour).</w:t>
      </w:r>
    </w:p>
    <w:p w:rsidR="003D6BD4" w:rsidRPr="00753AB1" w:rsidP="00872216" w14:paraId="6C98180F" w14:textId="39756CBB">
      <w:pPr>
        <w:spacing w:after="200"/>
      </w:pPr>
      <w:r w:rsidRPr="00753AB1">
        <w:t>Apart from the value of the burden hours, there is no additional cost to the federal government associated with this information collection.</w:t>
      </w:r>
    </w:p>
    <w:p w:rsidR="00A746F2" w:rsidRPr="00753AB1" w:rsidP="00F76726"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00F241A4" w:rsidRPr="00753AB1" w:rsidP="00F75A1C" w14:paraId="54CBD9E7" w14:textId="2D0DFC06">
      <w:pPr>
        <w:spacing w:after="200"/>
      </w:pPr>
      <w:r>
        <w:t>EDA proposes to extend this information collection without change.</w:t>
      </w:r>
    </w:p>
    <w:p w:rsidR="00A746F2" w:rsidRPr="00753AB1" w:rsidP="00F76726"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2304E7CC">
      <w:pPr>
        <w:spacing w:after="200"/>
      </w:pPr>
      <w:r>
        <w:t>However, i</w:t>
      </w:r>
      <w:r w:rsidRPr="00753AB1">
        <w:t xml:space="preserve">nformation collected from respondents </w:t>
      </w:r>
      <w:r w:rsidR="008C6D0D">
        <w:t>may</w:t>
      </w:r>
      <w:r w:rsidRPr="00753AB1">
        <w:t xml:space="preserve"> be published in aggregate form as part of EDA’s annual report, GPRA reporting, EDA’s Balanced Scorecard, progress reports to the DOC and/or its OIG, or other summary reports</w:t>
      </w:r>
      <w:r w:rsidR="00AA199C">
        <w:t>.</w:t>
      </w:r>
    </w:p>
    <w:p w:rsidR="00A746F2" w:rsidRPr="00753AB1" w:rsidP="00F76726"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00F76726"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5"/>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nsid w:val="53CC7307"/>
    <w:multiLevelType w:val="hybridMultilevel"/>
    <w:tmpl w:val="40BA93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66905662">
    <w:abstractNumId w:val="11"/>
  </w:num>
  <w:num w:numId="2" w16cid:durableId="539898608">
    <w:abstractNumId w:val="10"/>
  </w:num>
  <w:num w:numId="3" w16cid:durableId="985738429">
    <w:abstractNumId w:val="16"/>
  </w:num>
  <w:num w:numId="4" w16cid:durableId="1876918219">
    <w:abstractNumId w:val="4"/>
  </w:num>
  <w:num w:numId="5" w16cid:durableId="260574056">
    <w:abstractNumId w:val="1"/>
  </w:num>
  <w:num w:numId="6" w16cid:durableId="1307008882">
    <w:abstractNumId w:val="7"/>
  </w:num>
  <w:num w:numId="7" w16cid:durableId="1844585069">
    <w:abstractNumId w:val="6"/>
  </w:num>
  <w:num w:numId="8" w16cid:durableId="1544444205">
    <w:abstractNumId w:val="15"/>
  </w:num>
  <w:num w:numId="9" w16cid:durableId="2005011664">
    <w:abstractNumId w:val="9"/>
  </w:num>
  <w:num w:numId="10" w16cid:durableId="1271357209">
    <w:abstractNumId w:val="3"/>
  </w:num>
  <w:num w:numId="11" w16cid:durableId="1841391166">
    <w:abstractNumId w:val="13"/>
  </w:num>
  <w:num w:numId="12" w16cid:durableId="912357282">
    <w:abstractNumId w:val="0"/>
  </w:num>
  <w:num w:numId="13" w16cid:durableId="1678340316">
    <w:abstractNumId w:val="14"/>
  </w:num>
  <w:num w:numId="14" w16cid:durableId="690229428">
    <w:abstractNumId w:val="1"/>
  </w:num>
  <w:num w:numId="15" w16cid:durableId="1823304966">
    <w:abstractNumId w:val="2"/>
  </w:num>
  <w:num w:numId="16" w16cid:durableId="873932016">
    <w:abstractNumId w:val="5"/>
  </w:num>
  <w:num w:numId="17" w16cid:durableId="516165503">
    <w:abstractNumId w:val="8"/>
  </w:num>
  <w:num w:numId="18" w16cid:durableId="1519418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27A1"/>
    <w:rsid w:val="00003E15"/>
    <w:rsid w:val="00006548"/>
    <w:rsid w:val="0001586D"/>
    <w:rsid w:val="00016345"/>
    <w:rsid w:val="00021E31"/>
    <w:rsid w:val="00027B6B"/>
    <w:rsid w:val="00030AD4"/>
    <w:rsid w:val="00032FCF"/>
    <w:rsid w:val="00033444"/>
    <w:rsid w:val="00034E18"/>
    <w:rsid w:val="00037689"/>
    <w:rsid w:val="000423D0"/>
    <w:rsid w:val="00046599"/>
    <w:rsid w:val="000509FF"/>
    <w:rsid w:val="000527F8"/>
    <w:rsid w:val="00052E54"/>
    <w:rsid w:val="00060E5B"/>
    <w:rsid w:val="00064A31"/>
    <w:rsid w:val="00064D3C"/>
    <w:rsid w:val="0006683A"/>
    <w:rsid w:val="00067FB9"/>
    <w:rsid w:val="00070F61"/>
    <w:rsid w:val="00074760"/>
    <w:rsid w:val="000772D7"/>
    <w:rsid w:val="0008036E"/>
    <w:rsid w:val="000842F1"/>
    <w:rsid w:val="000909A5"/>
    <w:rsid w:val="00090CFE"/>
    <w:rsid w:val="000A3517"/>
    <w:rsid w:val="000A610C"/>
    <w:rsid w:val="000A6608"/>
    <w:rsid w:val="000B53B0"/>
    <w:rsid w:val="000B5C83"/>
    <w:rsid w:val="000C32A9"/>
    <w:rsid w:val="000C6550"/>
    <w:rsid w:val="000D3319"/>
    <w:rsid w:val="000D3E78"/>
    <w:rsid w:val="000D3F96"/>
    <w:rsid w:val="000E65AE"/>
    <w:rsid w:val="000F0F5D"/>
    <w:rsid w:val="000F2B4F"/>
    <w:rsid w:val="00102953"/>
    <w:rsid w:val="00103680"/>
    <w:rsid w:val="00104FB4"/>
    <w:rsid w:val="00110419"/>
    <w:rsid w:val="00137A26"/>
    <w:rsid w:val="00140495"/>
    <w:rsid w:val="0014495C"/>
    <w:rsid w:val="0014753A"/>
    <w:rsid w:val="00160237"/>
    <w:rsid w:val="00161BE7"/>
    <w:rsid w:val="00163A18"/>
    <w:rsid w:val="00166E9B"/>
    <w:rsid w:val="00171691"/>
    <w:rsid w:val="001739BB"/>
    <w:rsid w:val="00174E7B"/>
    <w:rsid w:val="00180E14"/>
    <w:rsid w:val="0018714F"/>
    <w:rsid w:val="001914C7"/>
    <w:rsid w:val="001925B8"/>
    <w:rsid w:val="00192F63"/>
    <w:rsid w:val="00195744"/>
    <w:rsid w:val="001A075D"/>
    <w:rsid w:val="001A424A"/>
    <w:rsid w:val="001A4B37"/>
    <w:rsid w:val="001B110A"/>
    <w:rsid w:val="001B38E8"/>
    <w:rsid w:val="001B3D5D"/>
    <w:rsid w:val="001B494A"/>
    <w:rsid w:val="001C19B3"/>
    <w:rsid w:val="001C2DE2"/>
    <w:rsid w:val="001D664A"/>
    <w:rsid w:val="001E0748"/>
    <w:rsid w:val="001E135C"/>
    <w:rsid w:val="001E3A1E"/>
    <w:rsid w:val="001E4C83"/>
    <w:rsid w:val="001E7F5D"/>
    <w:rsid w:val="002011A8"/>
    <w:rsid w:val="00202BE9"/>
    <w:rsid w:val="00202F62"/>
    <w:rsid w:val="00203B77"/>
    <w:rsid w:val="0020454E"/>
    <w:rsid w:val="0020530C"/>
    <w:rsid w:val="00206596"/>
    <w:rsid w:val="00212CDF"/>
    <w:rsid w:val="00213FEB"/>
    <w:rsid w:val="00215943"/>
    <w:rsid w:val="00217846"/>
    <w:rsid w:val="002208BC"/>
    <w:rsid w:val="0022171B"/>
    <w:rsid w:val="002273E9"/>
    <w:rsid w:val="00230EA8"/>
    <w:rsid w:val="00234FDD"/>
    <w:rsid w:val="0024231D"/>
    <w:rsid w:val="00242804"/>
    <w:rsid w:val="00253A4B"/>
    <w:rsid w:val="00254CDF"/>
    <w:rsid w:val="00257EEF"/>
    <w:rsid w:val="00266D11"/>
    <w:rsid w:val="00270D23"/>
    <w:rsid w:val="002718BB"/>
    <w:rsid w:val="002743B8"/>
    <w:rsid w:val="002820C7"/>
    <w:rsid w:val="002837C6"/>
    <w:rsid w:val="00287C43"/>
    <w:rsid w:val="00294064"/>
    <w:rsid w:val="00296995"/>
    <w:rsid w:val="00296CD7"/>
    <w:rsid w:val="002A372E"/>
    <w:rsid w:val="002A3AF9"/>
    <w:rsid w:val="002A408A"/>
    <w:rsid w:val="002A44D9"/>
    <w:rsid w:val="002A6DC0"/>
    <w:rsid w:val="002B343D"/>
    <w:rsid w:val="002B4784"/>
    <w:rsid w:val="002C082B"/>
    <w:rsid w:val="002C1069"/>
    <w:rsid w:val="002C4CC0"/>
    <w:rsid w:val="002C593A"/>
    <w:rsid w:val="002C6B63"/>
    <w:rsid w:val="002D329A"/>
    <w:rsid w:val="002E0665"/>
    <w:rsid w:val="002E0935"/>
    <w:rsid w:val="002E34F9"/>
    <w:rsid w:val="002F0CBC"/>
    <w:rsid w:val="002F0EA0"/>
    <w:rsid w:val="002F2243"/>
    <w:rsid w:val="002F477A"/>
    <w:rsid w:val="00301147"/>
    <w:rsid w:val="00303241"/>
    <w:rsid w:val="00305AE2"/>
    <w:rsid w:val="003062FF"/>
    <w:rsid w:val="003066EA"/>
    <w:rsid w:val="0030739B"/>
    <w:rsid w:val="00322229"/>
    <w:rsid w:val="00322AEC"/>
    <w:rsid w:val="00325520"/>
    <w:rsid w:val="00326CD0"/>
    <w:rsid w:val="00327850"/>
    <w:rsid w:val="00337BE6"/>
    <w:rsid w:val="00343126"/>
    <w:rsid w:val="00344868"/>
    <w:rsid w:val="0034523A"/>
    <w:rsid w:val="00346233"/>
    <w:rsid w:val="00347534"/>
    <w:rsid w:val="00351B37"/>
    <w:rsid w:val="00352FC2"/>
    <w:rsid w:val="003567A0"/>
    <w:rsid w:val="00365BE4"/>
    <w:rsid w:val="003665AE"/>
    <w:rsid w:val="00370507"/>
    <w:rsid w:val="00370C23"/>
    <w:rsid w:val="00372799"/>
    <w:rsid w:val="00376874"/>
    <w:rsid w:val="00380705"/>
    <w:rsid w:val="003824B9"/>
    <w:rsid w:val="00382923"/>
    <w:rsid w:val="00382AC8"/>
    <w:rsid w:val="0038402A"/>
    <w:rsid w:val="00392809"/>
    <w:rsid w:val="003932B7"/>
    <w:rsid w:val="00393EAA"/>
    <w:rsid w:val="00395DAC"/>
    <w:rsid w:val="003A07BB"/>
    <w:rsid w:val="003A31C7"/>
    <w:rsid w:val="003A54C1"/>
    <w:rsid w:val="003B174A"/>
    <w:rsid w:val="003B6C9B"/>
    <w:rsid w:val="003B7DE6"/>
    <w:rsid w:val="003C072C"/>
    <w:rsid w:val="003C1E9E"/>
    <w:rsid w:val="003C5A10"/>
    <w:rsid w:val="003D1C68"/>
    <w:rsid w:val="003D1D11"/>
    <w:rsid w:val="003D23D2"/>
    <w:rsid w:val="003D64D3"/>
    <w:rsid w:val="003D6BD4"/>
    <w:rsid w:val="003D7944"/>
    <w:rsid w:val="003E587F"/>
    <w:rsid w:val="003F0805"/>
    <w:rsid w:val="003F6DFD"/>
    <w:rsid w:val="003F6F0E"/>
    <w:rsid w:val="0040352D"/>
    <w:rsid w:val="00403BA1"/>
    <w:rsid w:val="004046DA"/>
    <w:rsid w:val="004160CA"/>
    <w:rsid w:val="00416BBF"/>
    <w:rsid w:val="00423679"/>
    <w:rsid w:val="00425C61"/>
    <w:rsid w:val="00426DB8"/>
    <w:rsid w:val="004304B6"/>
    <w:rsid w:val="00433940"/>
    <w:rsid w:val="004417B7"/>
    <w:rsid w:val="0044339B"/>
    <w:rsid w:val="00443CF3"/>
    <w:rsid w:val="00445989"/>
    <w:rsid w:val="00447F1B"/>
    <w:rsid w:val="00451BCC"/>
    <w:rsid w:val="0045202E"/>
    <w:rsid w:val="004534DA"/>
    <w:rsid w:val="004566A4"/>
    <w:rsid w:val="004618C6"/>
    <w:rsid w:val="00464DAC"/>
    <w:rsid w:val="0047727D"/>
    <w:rsid w:val="0048183F"/>
    <w:rsid w:val="00482B78"/>
    <w:rsid w:val="00483B25"/>
    <w:rsid w:val="00485581"/>
    <w:rsid w:val="004914E5"/>
    <w:rsid w:val="00492B51"/>
    <w:rsid w:val="00495868"/>
    <w:rsid w:val="004A1411"/>
    <w:rsid w:val="004A34BC"/>
    <w:rsid w:val="004A773D"/>
    <w:rsid w:val="004B0838"/>
    <w:rsid w:val="004B29DA"/>
    <w:rsid w:val="004B6A4E"/>
    <w:rsid w:val="004C5974"/>
    <w:rsid w:val="004D0098"/>
    <w:rsid w:val="004D1034"/>
    <w:rsid w:val="004D3CDB"/>
    <w:rsid w:val="004D431E"/>
    <w:rsid w:val="004D7A12"/>
    <w:rsid w:val="004E0151"/>
    <w:rsid w:val="004E1F08"/>
    <w:rsid w:val="004F2EE4"/>
    <w:rsid w:val="004F392A"/>
    <w:rsid w:val="004F3C67"/>
    <w:rsid w:val="004F4502"/>
    <w:rsid w:val="004F6AE1"/>
    <w:rsid w:val="00502AB9"/>
    <w:rsid w:val="00512E4A"/>
    <w:rsid w:val="005160E9"/>
    <w:rsid w:val="005207AB"/>
    <w:rsid w:val="005241EA"/>
    <w:rsid w:val="005312B1"/>
    <w:rsid w:val="005329E6"/>
    <w:rsid w:val="0053612E"/>
    <w:rsid w:val="00537D1D"/>
    <w:rsid w:val="005474C0"/>
    <w:rsid w:val="00547C06"/>
    <w:rsid w:val="0055133B"/>
    <w:rsid w:val="00556743"/>
    <w:rsid w:val="00556DEB"/>
    <w:rsid w:val="00560180"/>
    <w:rsid w:val="005611F6"/>
    <w:rsid w:val="00565398"/>
    <w:rsid w:val="0056547D"/>
    <w:rsid w:val="00566206"/>
    <w:rsid w:val="00570884"/>
    <w:rsid w:val="005762B2"/>
    <w:rsid w:val="00580E30"/>
    <w:rsid w:val="00581FD5"/>
    <w:rsid w:val="005851F6"/>
    <w:rsid w:val="005901AC"/>
    <w:rsid w:val="0059106B"/>
    <w:rsid w:val="0059217C"/>
    <w:rsid w:val="005924D2"/>
    <w:rsid w:val="00592AAA"/>
    <w:rsid w:val="0059552B"/>
    <w:rsid w:val="00595703"/>
    <w:rsid w:val="005A4832"/>
    <w:rsid w:val="005A642A"/>
    <w:rsid w:val="005A685D"/>
    <w:rsid w:val="005A6BEE"/>
    <w:rsid w:val="005B3844"/>
    <w:rsid w:val="005B60F8"/>
    <w:rsid w:val="005B735F"/>
    <w:rsid w:val="005C3FFA"/>
    <w:rsid w:val="005C7E1A"/>
    <w:rsid w:val="005D5D93"/>
    <w:rsid w:val="005E0D43"/>
    <w:rsid w:val="005E1CF7"/>
    <w:rsid w:val="005E1DFA"/>
    <w:rsid w:val="005E1FA0"/>
    <w:rsid w:val="005E1FAE"/>
    <w:rsid w:val="005E4C25"/>
    <w:rsid w:val="005E5105"/>
    <w:rsid w:val="005F04CB"/>
    <w:rsid w:val="005F5D5C"/>
    <w:rsid w:val="00600DAD"/>
    <w:rsid w:val="00606CED"/>
    <w:rsid w:val="00607384"/>
    <w:rsid w:val="00612370"/>
    <w:rsid w:val="00612611"/>
    <w:rsid w:val="00615E41"/>
    <w:rsid w:val="00623E8A"/>
    <w:rsid w:val="00624E8F"/>
    <w:rsid w:val="00626137"/>
    <w:rsid w:val="00634E1F"/>
    <w:rsid w:val="006360ED"/>
    <w:rsid w:val="00636A6D"/>
    <w:rsid w:val="006403D6"/>
    <w:rsid w:val="006445AE"/>
    <w:rsid w:val="00644802"/>
    <w:rsid w:val="00644919"/>
    <w:rsid w:val="00645EC1"/>
    <w:rsid w:val="00650415"/>
    <w:rsid w:val="00652449"/>
    <w:rsid w:val="00656142"/>
    <w:rsid w:val="006563B2"/>
    <w:rsid w:val="00661EC7"/>
    <w:rsid w:val="0066242C"/>
    <w:rsid w:val="0067051C"/>
    <w:rsid w:val="00670CA2"/>
    <w:rsid w:val="00671931"/>
    <w:rsid w:val="00672428"/>
    <w:rsid w:val="006772F1"/>
    <w:rsid w:val="00677BB8"/>
    <w:rsid w:val="00681243"/>
    <w:rsid w:val="00681BA5"/>
    <w:rsid w:val="00687F39"/>
    <w:rsid w:val="00694477"/>
    <w:rsid w:val="006968D3"/>
    <w:rsid w:val="00697ED2"/>
    <w:rsid w:val="006A628E"/>
    <w:rsid w:val="006B4D4B"/>
    <w:rsid w:val="006B4D92"/>
    <w:rsid w:val="006C0701"/>
    <w:rsid w:val="006C074A"/>
    <w:rsid w:val="006C0A25"/>
    <w:rsid w:val="006C3D32"/>
    <w:rsid w:val="006C4715"/>
    <w:rsid w:val="006C5F6B"/>
    <w:rsid w:val="006C6ED8"/>
    <w:rsid w:val="006C7E55"/>
    <w:rsid w:val="006D36F4"/>
    <w:rsid w:val="006D4912"/>
    <w:rsid w:val="006D5533"/>
    <w:rsid w:val="006D5940"/>
    <w:rsid w:val="006D5D06"/>
    <w:rsid w:val="006D74A2"/>
    <w:rsid w:val="006D7C1E"/>
    <w:rsid w:val="006E1484"/>
    <w:rsid w:val="006E287C"/>
    <w:rsid w:val="006F13DD"/>
    <w:rsid w:val="006F2BDE"/>
    <w:rsid w:val="00703BEC"/>
    <w:rsid w:val="00713D64"/>
    <w:rsid w:val="00717A96"/>
    <w:rsid w:val="00720BC0"/>
    <w:rsid w:val="00722A9D"/>
    <w:rsid w:val="007264A8"/>
    <w:rsid w:val="00727AE3"/>
    <w:rsid w:val="00731CD5"/>
    <w:rsid w:val="00736D4E"/>
    <w:rsid w:val="00736F58"/>
    <w:rsid w:val="00744E8C"/>
    <w:rsid w:val="00745C11"/>
    <w:rsid w:val="00750337"/>
    <w:rsid w:val="0075101B"/>
    <w:rsid w:val="00752595"/>
    <w:rsid w:val="00753AB1"/>
    <w:rsid w:val="0075489B"/>
    <w:rsid w:val="0075698E"/>
    <w:rsid w:val="0076702B"/>
    <w:rsid w:val="00777D95"/>
    <w:rsid w:val="00784F85"/>
    <w:rsid w:val="00790C8F"/>
    <w:rsid w:val="00790E14"/>
    <w:rsid w:val="00791B35"/>
    <w:rsid w:val="007971B4"/>
    <w:rsid w:val="007B01D5"/>
    <w:rsid w:val="007B0DF1"/>
    <w:rsid w:val="007B2750"/>
    <w:rsid w:val="007B3A31"/>
    <w:rsid w:val="007B4488"/>
    <w:rsid w:val="007C277E"/>
    <w:rsid w:val="007C32B2"/>
    <w:rsid w:val="007C3779"/>
    <w:rsid w:val="007C4D09"/>
    <w:rsid w:val="007C7136"/>
    <w:rsid w:val="007D6D1C"/>
    <w:rsid w:val="007E6133"/>
    <w:rsid w:val="007F1BBD"/>
    <w:rsid w:val="007F1DB1"/>
    <w:rsid w:val="007F45E3"/>
    <w:rsid w:val="007F57BC"/>
    <w:rsid w:val="007F79C8"/>
    <w:rsid w:val="00801042"/>
    <w:rsid w:val="008011A8"/>
    <w:rsid w:val="00805228"/>
    <w:rsid w:val="00805DC1"/>
    <w:rsid w:val="0080783E"/>
    <w:rsid w:val="00807844"/>
    <w:rsid w:val="00811B4D"/>
    <w:rsid w:val="00812B73"/>
    <w:rsid w:val="00814916"/>
    <w:rsid w:val="00816415"/>
    <w:rsid w:val="00826565"/>
    <w:rsid w:val="0082668A"/>
    <w:rsid w:val="00827EFD"/>
    <w:rsid w:val="00830DAE"/>
    <w:rsid w:val="00832BD2"/>
    <w:rsid w:val="00834B40"/>
    <w:rsid w:val="00842E38"/>
    <w:rsid w:val="00842FD2"/>
    <w:rsid w:val="00845969"/>
    <w:rsid w:val="0085092A"/>
    <w:rsid w:val="00860F1C"/>
    <w:rsid w:val="00861CEB"/>
    <w:rsid w:val="008627EA"/>
    <w:rsid w:val="00863977"/>
    <w:rsid w:val="00863A5D"/>
    <w:rsid w:val="008666E7"/>
    <w:rsid w:val="008673BE"/>
    <w:rsid w:val="00870116"/>
    <w:rsid w:val="008701AC"/>
    <w:rsid w:val="00872216"/>
    <w:rsid w:val="008767A1"/>
    <w:rsid w:val="00884019"/>
    <w:rsid w:val="0088486D"/>
    <w:rsid w:val="00885600"/>
    <w:rsid w:val="00887109"/>
    <w:rsid w:val="00893714"/>
    <w:rsid w:val="00893DC7"/>
    <w:rsid w:val="008A64E8"/>
    <w:rsid w:val="008B0A94"/>
    <w:rsid w:val="008B1E4F"/>
    <w:rsid w:val="008B3B0D"/>
    <w:rsid w:val="008C16E4"/>
    <w:rsid w:val="008C2848"/>
    <w:rsid w:val="008C4965"/>
    <w:rsid w:val="008C6D0D"/>
    <w:rsid w:val="008D0DBA"/>
    <w:rsid w:val="008D252F"/>
    <w:rsid w:val="008F0371"/>
    <w:rsid w:val="008F17BD"/>
    <w:rsid w:val="008F276D"/>
    <w:rsid w:val="00901086"/>
    <w:rsid w:val="00901C83"/>
    <w:rsid w:val="00902562"/>
    <w:rsid w:val="009033C8"/>
    <w:rsid w:val="0090371C"/>
    <w:rsid w:val="00904CC7"/>
    <w:rsid w:val="009065DE"/>
    <w:rsid w:val="00907436"/>
    <w:rsid w:val="009113FB"/>
    <w:rsid w:val="009242CE"/>
    <w:rsid w:val="00924416"/>
    <w:rsid w:val="00927810"/>
    <w:rsid w:val="00930C88"/>
    <w:rsid w:val="00931AD9"/>
    <w:rsid w:val="00933DE8"/>
    <w:rsid w:val="00934E8B"/>
    <w:rsid w:val="00936091"/>
    <w:rsid w:val="00936C99"/>
    <w:rsid w:val="009414B3"/>
    <w:rsid w:val="009430BA"/>
    <w:rsid w:val="00944AF9"/>
    <w:rsid w:val="00944BC8"/>
    <w:rsid w:val="00947138"/>
    <w:rsid w:val="0095463F"/>
    <w:rsid w:val="00964F6C"/>
    <w:rsid w:val="00966204"/>
    <w:rsid w:val="009670CC"/>
    <w:rsid w:val="0097374A"/>
    <w:rsid w:val="00983AB5"/>
    <w:rsid w:val="00983F80"/>
    <w:rsid w:val="00986CE3"/>
    <w:rsid w:val="00987A66"/>
    <w:rsid w:val="009A1374"/>
    <w:rsid w:val="009A1F5F"/>
    <w:rsid w:val="009B0669"/>
    <w:rsid w:val="009B0D71"/>
    <w:rsid w:val="009B1941"/>
    <w:rsid w:val="009B56B0"/>
    <w:rsid w:val="009C2876"/>
    <w:rsid w:val="009C3726"/>
    <w:rsid w:val="009D1A14"/>
    <w:rsid w:val="009E451D"/>
    <w:rsid w:val="009F5916"/>
    <w:rsid w:val="00A00789"/>
    <w:rsid w:val="00A01CDF"/>
    <w:rsid w:val="00A10BDB"/>
    <w:rsid w:val="00A13D39"/>
    <w:rsid w:val="00A14E2E"/>
    <w:rsid w:val="00A24C82"/>
    <w:rsid w:val="00A305DD"/>
    <w:rsid w:val="00A34367"/>
    <w:rsid w:val="00A3531A"/>
    <w:rsid w:val="00A37B2F"/>
    <w:rsid w:val="00A42A48"/>
    <w:rsid w:val="00A43A9A"/>
    <w:rsid w:val="00A43B27"/>
    <w:rsid w:val="00A47BB4"/>
    <w:rsid w:val="00A52F28"/>
    <w:rsid w:val="00A53B13"/>
    <w:rsid w:val="00A578AD"/>
    <w:rsid w:val="00A648A2"/>
    <w:rsid w:val="00A65213"/>
    <w:rsid w:val="00A702CA"/>
    <w:rsid w:val="00A712B8"/>
    <w:rsid w:val="00A722F3"/>
    <w:rsid w:val="00A72A08"/>
    <w:rsid w:val="00A746F2"/>
    <w:rsid w:val="00A81480"/>
    <w:rsid w:val="00A83D7C"/>
    <w:rsid w:val="00A84DE7"/>
    <w:rsid w:val="00A87805"/>
    <w:rsid w:val="00A92CA3"/>
    <w:rsid w:val="00A95E72"/>
    <w:rsid w:val="00AA10DC"/>
    <w:rsid w:val="00AA1764"/>
    <w:rsid w:val="00AA199C"/>
    <w:rsid w:val="00AA3954"/>
    <w:rsid w:val="00AA75C0"/>
    <w:rsid w:val="00AB4E28"/>
    <w:rsid w:val="00AC2110"/>
    <w:rsid w:val="00AC26CD"/>
    <w:rsid w:val="00AC399F"/>
    <w:rsid w:val="00AC707A"/>
    <w:rsid w:val="00AD0957"/>
    <w:rsid w:val="00AD26B6"/>
    <w:rsid w:val="00AD3562"/>
    <w:rsid w:val="00AE3959"/>
    <w:rsid w:val="00AE6732"/>
    <w:rsid w:val="00AE75A6"/>
    <w:rsid w:val="00AE75E0"/>
    <w:rsid w:val="00AF16DD"/>
    <w:rsid w:val="00AF353B"/>
    <w:rsid w:val="00AF5DB6"/>
    <w:rsid w:val="00AF6E7C"/>
    <w:rsid w:val="00B00CCE"/>
    <w:rsid w:val="00B00EC9"/>
    <w:rsid w:val="00B017D9"/>
    <w:rsid w:val="00B14C9A"/>
    <w:rsid w:val="00B25AD8"/>
    <w:rsid w:val="00B26ACD"/>
    <w:rsid w:val="00B32590"/>
    <w:rsid w:val="00B37F64"/>
    <w:rsid w:val="00B41A93"/>
    <w:rsid w:val="00B42740"/>
    <w:rsid w:val="00B52102"/>
    <w:rsid w:val="00B5621A"/>
    <w:rsid w:val="00B570E1"/>
    <w:rsid w:val="00B60A75"/>
    <w:rsid w:val="00B60BA4"/>
    <w:rsid w:val="00B614D6"/>
    <w:rsid w:val="00B623BC"/>
    <w:rsid w:val="00B63FEF"/>
    <w:rsid w:val="00B64561"/>
    <w:rsid w:val="00B64AC5"/>
    <w:rsid w:val="00B6676E"/>
    <w:rsid w:val="00B67A83"/>
    <w:rsid w:val="00B70989"/>
    <w:rsid w:val="00B71FF2"/>
    <w:rsid w:val="00B745A6"/>
    <w:rsid w:val="00B778B4"/>
    <w:rsid w:val="00B8440D"/>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B7A37"/>
    <w:rsid w:val="00BC120E"/>
    <w:rsid w:val="00BC5DA5"/>
    <w:rsid w:val="00BD2D14"/>
    <w:rsid w:val="00BD2E65"/>
    <w:rsid w:val="00BD53AF"/>
    <w:rsid w:val="00BD6746"/>
    <w:rsid w:val="00BE543B"/>
    <w:rsid w:val="00BE563E"/>
    <w:rsid w:val="00BF52D4"/>
    <w:rsid w:val="00BF6750"/>
    <w:rsid w:val="00C01252"/>
    <w:rsid w:val="00C03C2A"/>
    <w:rsid w:val="00C046F3"/>
    <w:rsid w:val="00C078DC"/>
    <w:rsid w:val="00C1797D"/>
    <w:rsid w:val="00C21857"/>
    <w:rsid w:val="00C23A97"/>
    <w:rsid w:val="00C25526"/>
    <w:rsid w:val="00C25A01"/>
    <w:rsid w:val="00C31075"/>
    <w:rsid w:val="00C363D9"/>
    <w:rsid w:val="00C37E8A"/>
    <w:rsid w:val="00C46379"/>
    <w:rsid w:val="00C55D6C"/>
    <w:rsid w:val="00C6072E"/>
    <w:rsid w:val="00C61499"/>
    <w:rsid w:val="00C61710"/>
    <w:rsid w:val="00C6327D"/>
    <w:rsid w:val="00C637E6"/>
    <w:rsid w:val="00C63E3B"/>
    <w:rsid w:val="00C65CE5"/>
    <w:rsid w:val="00C72D38"/>
    <w:rsid w:val="00C7427D"/>
    <w:rsid w:val="00C76853"/>
    <w:rsid w:val="00C7729C"/>
    <w:rsid w:val="00C81F26"/>
    <w:rsid w:val="00C839F8"/>
    <w:rsid w:val="00C84E25"/>
    <w:rsid w:val="00C87623"/>
    <w:rsid w:val="00C87C83"/>
    <w:rsid w:val="00C916B3"/>
    <w:rsid w:val="00C95071"/>
    <w:rsid w:val="00C96ECF"/>
    <w:rsid w:val="00CA16BE"/>
    <w:rsid w:val="00CA368F"/>
    <w:rsid w:val="00CB38FE"/>
    <w:rsid w:val="00CB3947"/>
    <w:rsid w:val="00CB49AE"/>
    <w:rsid w:val="00CB5C74"/>
    <w:rsid w:val="00CC5AF0"/>
    <w:rsid w:val="00CD10C9"/>
    <w:rsid w:val="00CD1DBD"/>
    <w:rsid w:val="00CD2896"/>
    <w:rsid w:val="00CD4573"/>
    <w:rsid w:val="00CD6B39"/>
    <w:rsid w:val="00CF4B1C"/>
    <w:rsid w:val="00CF7321"/>
    <w:rsid w:val="00D0394E"/>
    <w:rsid w:val="00D076F9"/>
    <w:rsid w:val="00D16B28"/>
    <w:rsid w:val="00D22F9F"/>
    <w:rsid w:val="00D26A1B"/>
    <w:rsid w:val="00D30464"/>
    <w:rsid w:val="00D3434F"/>
    <w:rsid w:val="00D34763"/>
    <w:rsid w:val="00D35274"/>
    <w:rsid w:val="00D420AF"/>
    <w:rsid w:val="00D435E6"/>
    <w:rsid w:val="00D50FAF"/>
    <w:rsid w:val="00D547C7"/>
    <w:rsid w:val="00D57FCF"/>
    <w:rsid w:val="00D6482E"/>
    <w:rsid w:val="00D64B35"/>
    <w:rsid w:val="00D70BAD"/>
    <w:rsid w:val="00D71E85"/>
    <w:rsid w:val="00D738D3"/>
    <w:rsid w:val="00D75B73"/>
    <w:rsid w:val="00D801C3"/>
    <w:rsid w:val="00D80F8E"/>
    <w:rsid w:val="00D81847"/>
    <w:rsid w:val="00D825F0"/>
    <w:rsid w:val="00D914FC"/>
    <w:rsid w:val="00D96838"/>
    <w:rsid w:val="00DA208E"/>
    <w:rsid w:val="00DA3230"/>
    <w:rsid w:val="00DA4E27"/>
    <w:rsid w:val="00DA5F5F"/>
    <w:rsid w:val="00DA62C9"/>
    <w:rsid w:val="00DB05B3"/>
    <w:rsid w:val="00DB5413"/>
    <w:rsid w:val="00DC056B"/>
    <w:rsid w:val="00DC08B6"/>
    <w:rsid w:val="00DC143F"/>
    <w:rsid w:val="00DC58E7"/>
    <w:rsid w:val="00DC7D6C"/>
    <w:rsid w:val="00DD0A61"/>
    <w:rsid w:val="00DD5346"/>
    <w:rsid w:val="00DE254A"/>
    <w:rsid w:val="00DE5457"/>
    <w:rsid w:val="00DE78FC"/>
    <w:rsid w:val="00DF59FF"/>
    <w:rsid w:val="00E0288C"/>
    <w:rsid w:val="00E0388A"/>
    <w:rsid w:val="00E03D50"/>
    <w:rsid w:val="00E04B71"/>
    <w:rsid w:val="00E0774E"/>
    <w:rsid w:val="00E10A74"/>
    <w:rsid w:val="00E11472"/>
    <w:rsid w:val="00E20CC0"/>
    <w:rsid w:val="00E25886"/>
    <w:rsid w:val="00E2629B"/>
    <w:rsid w:val="00E335D4"/>
    <w:rsid w:val="00E34857"/>
    <w:rsid w:val="00E36C9E"/>
    <w:rsid w:val="00E37BB3"/>
    <w:rsid w:val="00E429DE"/>
    <w:rsid w:val="00E43350"/>
    <w:rsid w:val="00E43DBE"/>
    <w:rsid w:val="00E461A7"/>
    <w:rsid w:val="00E50BD4"/>
    <w:rsid w:val="00E5577A"/>
    <w:rsid w:val="00E557E7"/>
    <w:rsid w:val="00E604FD"/>
    <w:rsid w:val="00E658D9"/>
    <w:rsid w:val="00E764F3"/>
    <w:rsid w:val="00E86E05"/>
    <w:rsid w:val="00E916EC"/>
    <w:rsid w:val="00E931BD"/>
    <w:rsid w:val="00E95422"/>
    <w:rsid w:val="00E95427"/>
    <w:rsid w:val="00E97306"/>
    <w:rsid w:val="00E97AB8"/>
    <w:rsid w:val="00E97F41"/>
    <w:rsid w:val="00EA0141"/>
    <w:rsid w:val="00EA35ED"/>
    <w:rsid w:val="00EA4A14"/>
    <w:rsid w:val="00EA4BEC"/>
    <w:rsid w:val="00EA655D"/>
    <w:rsid w:val="00EB17C9"/>
    <w:rsid w:val="00EB1960"/>
    <w:rsid w:val="00EB6163"/>
    <w:rsid w:val="00EC047A"/>
    <w:rsid w:val="00EC36CA"/>
    <w:rsid w:val="00EC4164"/>
    <w:rsid w:val="00EC70E5"/>
    <w:rsid w:val="00EC76C8"/>
    <w:rsid w:val="00EC791F"/>
    <w:rsid w:val="00ED05FD"/>
    <w:rsid w:val="00ED30AC"/>
    <w:rsid w:val="00ED4E6B"/>
    <w:rsid w:val="00ED548B"/>
    <w:rsid w:val="00ED7EEB"/>
    <w:rsid w:val="00EF1FDB"/>
    <w:rsid w:val="00EF616D"/>
    <w:rsid w:val="00F00A88"/>
    <w:rsid w:val="00F02825"/>
    <w:rsid w:val="00F031D4"/>
    <w:rsid w:val="00F03961"/>
    <w:rsid w:val="00F0630A"/>
    <w:rsid w:val="00F10BE8"/>
    <w:rsid w:val="00F125EB"/>
    <w:rsid w:val="00F12B49"/>
    <w:rsid w:val="00F14A89"/>
    <w:rsid w:val="00F1708A"/>
    <w:rsid w:val="00F17F13"/>
    <w:rsid w:val="00F2048F"/>
    <w:rsid w:val="00F20C9A"/>
    <w:rsid w:val="00F241A4"/>
    <w:rsid w:val="00F27C8C"/>
    <w:rsid w:val="00F27CDC"/>
    <w:rsid w:val="00F31C3B"/>
    <w:rsid w:val="00F32F97"/>
    <w:rsid w:val="00F344A6"/>
    <w:rsid w:val="00F37942"/>
    <w:rsid w:val="00F40D4D"/>
    <w:rsid w:val="00F46237"/>
    <w:rsid w:val="00F50E10"/>
    <w:rsid w:val="00F571E4"/>
    <w:rsid w:val="00F60642"/>
    <w:rsid w:val="00F6272D"/>
    <w:rsid w:val="00F72AA0"/>
    <w:rsid w:val="00F72F80"/>
    <w:rsid w:val="00F75A1C"/>
    <w:rsid w:val="00F76726"/>
    <w:rsid w:val="00F7685C"/>
    <w:rsid w:val="00F80554"/>
    <w:rsid w:val="00F82AE3"/>
    <w:rsid w:val="00F83846"/>
    <w:rsid w:val="00F84CE5"/>
    <w:rsid w:val="00F902AD"/>
    <w:rsid w:val="00F907E4"/>
    <w:rsid w:val="00F9191E"/>
    <w:rsid w:val="00F93B47"/>
    <w:rsid w:val="00F95B24"/>
    <w:rsid w:val="00FA0816"/>
    <w:rsid w:val="00FA3625"/>
    <w:rsid w:val="00FA63CA"/>
    <w:rsid w:val="00FB5B25"/>
    <w:rsid w:val="00FB6A0C"/>
    <w:rsid w:val="00FC0582"/>
    <w:rsid w:val="00FC1CF5"/>
    <w:rsid w:val="00FC26BF"/>
    <w:rsid w:val="00FC46AF"/>
    <w:rsid w:val="00FD1AB2"/>
    <w:rsid w:val="00FD450C"/>
    <w:rsid w:val="00FD5AB4"/>
    <w:rsid w:val="00FE5B48"/>
    <w:rsid w:val="00FF3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BC120E"/>
    <w:pPr>
      <w:widowControl w:val="0"/>
      <w:autoSpaceDE w:val="0"/>
      <w:autoSpaceDN w:val="0"/>
      <w:spacing w:after="0" w:line="256" w:lineRule="exact"/>
      <w:jc w:val="center"/>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 Yvonne (Federal)</cp:lastModifiedBy>
  <cp:revision>10</cp:revision>
  <cp:lastPrinted>2013-02-25T21:48:00Z</cp:lastPrinted>
  <dcterms:created xsi:type="dcterms:W3CDTF">2021-12-13T21:58:00Z</dcterms:created>
  <dcterms:modified xsi:type="dcterms:W3CDTF">2025-02-19T15:45:00Z</dcterms:modified>
</cp:coreProperties>
</file>