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712B" w:rsidP="00464B29" w14:paraId="79A915A9" w14:textId="7C0B0786">
      <w:pPr>
        <w:jc w:val="center"/>
      </w:pPr>
      <w:r>
        <w:t>202</w:t>
      </w:r>
      <w:r w:rsidR="4E34D0A5">
        <w:t>5</w:t>
      </w:r>
      <w:r>
        <w:t xml:space="preserve"> </w:t>
      </w:r>
      <w:r w:rsidR="009456F2">
        <w:t>Census Household Survey</w:t>
      </w:r>
    </w:p>
    <w:p w:rsidR="00464B29" w:rsidP="00464B29" w14:paraId="5D4EA3AC" w14:textId="01BE394E">
      <w:pPr>
        <w:jc w:val="center"/>
        <w:rPr>
          <w:color w:val="000000"/>
          <w:szCs w:val="24"/>
        </w:rPr>
      </w:pPr>
      <w:r>
        <w:rPr>
          <w:color w:val="000000"/>
          <w:szCs w:val="24"/>
        </w:rPr>
        <w:t xml:space="preserve">Submitted Under </w:t>
      </w:r>
      <w:r w:rsidRPr="00A61A1B">
        <w:rPr>
          <w:color w:val="000000"/>
          <w:szCs w:val="24"/>
        </w:rPr>
        <w:t>Generic Clearance for Census Bureau Field Tests and Evaluations</w:t>
      </w:r>
    </w:p>
    <w:p w:rsidR="00464B29" w:rsidP="00464B29" w14:paraId="2CE9EDF4" w14:textId="77777777">
      <w:pPr>
        <w:jc w:val="center"/>
        <w:rPr>
          <w:szCs w:val="24"/>
        </w:rPr>
      </w:pPr>
    </w:p>
    <w:p w:rsidR="007C157E" w:rsidP="3C08B2B5" w14:paraId="2DE3CAC6" w14:textId="554DA144">
      <w:pPr>
        <w:autoSpaceDE w:val="0"/>
        <w:autoSpaceDN w:val="0"/>
        <w:adjustRightInd w:val="0"/>
        <w:rPr>
          <w:rFonts w:eastAsiaTheme="minorEastAsia"/>
        </w:rPr>
      </w:pPr>
      <w:r w:rsidRPr="2D103AF7">
        <w:rPr>
          <w:b/>
          <w:bCs/>
        </w:rPr>
        <w:t>Request</w:t>
      </w:r>
      <w:r>
        <w:t xml:space="preserve">: </w:t>
      </w:r>
      <w:r>
        <w:fldChar w:fldCharType="begin"/>
      </w:r>
      <w:r>
        <w:instrText xml:space="preserve"> SEQ CHAPTER \h \r 1</w:instrText>
      </w:r>
      <w:r>
        <w:fldChar w:fldCharType="separate"/>
      </w:r>
      <w:r>
        <w:fldChar w:fldCharType="end"/>
      </w:r>
      <w:r w:rsidRPr="2D103AF7">
        <w:rPr>
          <w:rFonts w:eastAsiaTheme="minorEastAsia"/>
        </w:rPr>
        <w:t>The Census Bureau plans to conduct additional research under the generic clearance for Field Tests (OMB #0607-0971). We will be administering an online</w:t>
      </w:r>
      <w:r w:rsidRPr="2D103AF7">
        <w:rPr>
          <w:rFonts w:eastAsiaTheme="minorEastAsia"/>
        </w:rPr>
        <w:t xml:space="preserve"> </w:t>
      </w:r>
      <w:r w:rsidRPr="2D103AF7">
        <w:rPr>
          <w:rFonts w:eastAsiaTheme="minorEastAsia"/>
        </w:rPr>
        <w:t>survey</w:t>
      </w:r>
      <w:r w:rsidRPr="2D103AF7" w:rsidR="09F3942D">
        <w:rPr>
          <w:rFonts w:eastAsiaTheme="minorEastAsia"/>
        </w:rPr>
        <w:t xml:space="preserve"> called the 202</w:t>
      </w:r>
      <w:r w:rsidRPr="2D103AF7" w:rsidR="5AD88881">
        <w:rPr>
          <w:rFonts w:eastAsiaTheme="minorEastAsia"/>
        </w:rPr>
        <w:t>5</w:t>
      </w:r>
      <w:r w:rsidRPr="2D103AF7" w:rsidR="09F3942D">
        <w:rPr>
          <w:rFonts w:eastAsiaTheme="minorEastAsia"/>
        </w:rPr>
        <w:t xml:space="preserve"> Census Household Survey</w:t>
      </w:r>
      <w:r w:rsidRPr="2D103AF7">
        <w:rPr>
          <w:rFonts w:eastAsiaTheme="minorEastAsia"/>
        </w:rPr>
        <w:t xml:space="preserve"> </w:t>
      </w:r>
      <w:r w:rsidRPr="2D103AF7" w:rsidR="0027557E">
        <w:rPr>
          <w:rFonts w:eastAsiaTheme="minorEastAsia"/>
        </w:rPr>
        <w:t xml:space="preserve">in </w:t>
      </w:r>
      <w:r w:rsidRPr="2D103AF7" w:rsidR="00AA536F">
        <w:rPr>
          <w:rFonts w:eastAsiaTheme="minorEastAsia"/>
        </w:rPr>
        <w:t>four</w:t>
      </w:r>
      <w:r w:rsidRPr="2D103AF7" w:rsidR="0027557E">
        <w:rPr>
          <w:rFonts w:eastAsiaTheme="minorEastAsia"/>
        </w:rPr>
        <w:t xml:space="preserve"> panel</w:t>
      </w:r>
      <w:r w:rsidRPr="2D103AF7" w:rsidR="00AA536F">
        <w:rPr>
          <w:rFonts w:eastAsiaTheme="minorEastAsia"/>
        </w:rPr>
        <w:t>s</w:t>
      </w:r>
      <w:r w:rsidRPr="2D103AF7" w:rsidR="00D52745">
        <w:rPr>
          <w:rFonts w:eastAsiaTheme="minorEastAsia"/>
        </w:rPr>
        <w:t xml:space="preserve"> (three treatment groups and one control group)</w:t>
      </w:r>
      <w:r w:rsidRPr="2D103AF7" w:rsidR="002C4E2C">
        <w:rPr>
          <w:rFonts w:eastAsiaTheme="minorEastAsia"/>
        </w:rPr>
        <w:t>. The survey purpose is</w:t>
      </w:r>
      <w:r w:rsidRPr="2D103AF7" w:rsidR="006E4791">
        <w:rPr>
          <w:rFonts w:eastAsiaTheme="minorEastAsia"/>
        </w:rPr>
        <w:t xml:space="preserve"> to </w:t>
      </w:r>
      <w:r w:rsidR="006E4791">
        <w:t xml:space="preserve">start answering some research questions </w:t>
      </w:r>
      <w:r w:rsidR="5F478793">
        <w:t xml:space="preserve">about the use of </w:t>
      </w:r>
      <w:r w:rsidR="5FEBB9E2">
        <w:t>login</w:t>
      </w:r>
      <w:r w:rsidR="5F478793">
        <w:t xml:space="preserve"> authentication </w:t>
      </w:r>
      <w:r w:rsidR="04C0EB8B">
        <w:t xml:space="preserve">processes </w:t>
      </w:r>
      <w:r w:rsidR="693CDBCC">
        <w:t>(</w:t>
      </w:r>
      <w:r w:rsidR="67218A30">
        <w:t xml:space="preserve">i.e., process of verifying the identities of </w:t>
      </w:r>
      <w:r w:rsidR="69811343">
        <w:t xml:space="preserve">external </w:t>
      </w:r>
      <w:r w:rsidR="67218A30">
        <w:t>respondents log</w:t>
      </w:r>
      <w:r w:rsidR="004E2712">
        <w:t>ging in</w:t>
      </w:r>
      <w:r w:rsidR="67218A30">
        <w:t xml:space="preserve"> to Census systems to complete surveys</w:t>
      </w:r>
      <w:r w:rsidR="693CDBCC">
        <w:t xml:space="preserve">) </w:t>
      </w:r>
      <w:r w:rsidR="006E4791">
        <w:t xml:space="preserve">posed </w:t>
      </w:r>
      <w:r w:rsidR="00D55AFC">
        <w:t xml:space="preserve">during the transition to enterprise systems and to the </w:t>
      </w:r>
      <w:r w:rsidR="26D094EF">
        <w:t>Data Ingest and Collection for the Enterprise (</w:t>
      </w:r>
      <w:r w:rsidR="00D55AFC">
        <w:t>DICE</w:t>
      </w:r>
      <w:r w:rsidR="3E6DBDB4">
        <w:t>)</w:t>
      </w:r>
      <w:r w:rsidR="00D55AFC">
        <w:t xml:space="preserve"> </w:t>
      </w:r>
      <w:r w:rsidR="64341866">
        <w:t>P</w:t>
      </w:r>
      <w:r w:rsidR="00D55AFC">
        <w:t>rogram</w:t>
      </w:r>
      <w:r w:rsidR="7057A3FE">
        <w:t xml:space="preserve"> to modernize data collection systems at the Census Bureau</w:t>
      </w:r>
      <w:r w:rsidR="006E4791">
        <w:t>.</w:t>
      </w:r>
    </w:p>
    <w:p w:rsidR="007C157E" w:rsidP="00464B29" w14:paraId="2F0953C5" w14:textId="77777777">
      <w:pPr>
        <w:autoSpaceDE w:val="0"/>
        <w:autoSpaceDN w:val="0"/>
        <w:adjustRightInd w:val="0"/>
        <w:rPr>
          <w:rFonts w:eastAsiaTheme="minorHAnsi"/>
          <w:szCs w:val="24"/>
        </w:rPr>
      </w:pPr>
    </w:p>
    <w:p w:rsidR="00053806" w:rsidP="43F94C0F" w14:paraId="3E3F7E0D" w14:textId="4094F4D8">
      <w:pPr>
        <w:pStyle w:val="NormalWeb"/>
        <w:shd w:val="clear" w:color="auto" w:fill="FFFFFF" w:themeFill="background1"/>
      </w:pPr>
      <w:r w:rsidRPr="169F7041">
        <w:rPr>
          <w:b/>
          <w:bCs/>
        </w:rPr>
        <w:t>Purpose</w:t>
      </w:r>
      <w:r>
        <w:t xml:space="preserve">: The </w:t>
      </w:r>
      <w:r>
        <w:t>202</w:t>
      </w:r>
      <w:r w:rsidR="0ABFC90D">
        <w:t>5</w:t>
      </w:r>
      <w:r>
        <w:t xml:space="preserve"> </w:t>
      </w:r>
      <w:r w:rsidR="009456F2">
        <w:t>Census Household Survey</w:t>
      </w:r>
      <w:r>
        <w:t xml:space="preserve"> </w:t>
      </w:r>
      <w:r w:rsidR="29161B74">
        <w:t>will use a</w:t>
      </w:r>
      <w:r>
        <w:t xml:space="preserve"> nationally representative sample</w:t>
      </w:r>
      <w:r w:rsidR="00C16AB1">
        <w:t xml:space="preserve"> to</w:t>
      </w:r>
      <w:r w:rsidR="00A635ED">
        <w:t xml:space="preserve"> assess the impact of the </w:t>
      </w:r>
      <w:r w:rsidR="3E9008D2">
        <w:t>legacy</w:t>
      </w:r>
      <w:r w:rsidR="00A635ED">
        <w:t xml:space="preserve"> authentication process (via Centurion 1.0</w:t>
      </w:r>
      <w:r w:rsidR="63716773">
        <w:t xml:space="preserve"> used to respond to the American Community Survey</w:t>
      </w:r>
      <w:r w:rsidR="00A635ED">
        <w:t xml:space="preserve">) alongside potential alternative authentication processes, including the solution </w:t>
      </w:r>
      <w:r w:rsidR="40F2FBC2">
        <w:t>recently</w:t>
      </w:r>
      <w:r w:rsidR="00A635ED">
        <w:t xml:space="preserve"> implemented by </w:t>
      </w:r>
      <w:r w:rsidR="068C65FE">
        <w:t xml:space="preserve">the </w:t>
      </w:r>
      <w:r w:rsidR="00A635ED">
        <w:t xml:space="preserve">DICE Authentication </w:t>
      </w:r>
      <w:r w:rsidR="200F6F11">
        <w:t xml:space="preserve">system, </w:t>
      </w:r>
      <w:r w:rsidR="00A635ED">
        <w:t>to ascertain differences in respondent burden, perception of security, and response rate.</w:t>
      </w:r>
    </w:p>
    <w:p w:rsidR="59BD98AB" w:rsidP="59BD98AB" w14:paraId="3BC8DFF7" w14:textId="45EC313A">
      <w:pPr>
        <w:pStyle w:val="NormalWeb"/>
        <w:shd w:val="clear" w:color="auto" w:fill="FFFFFF" w:themeFill="background1"/>
      </w:pPr>
    </w:p>
    <w:p w:rsidR="00B959AB" w:rsidP="59BD98AB" w14:paraId="0AB0F117" w14:textId="571F04A3">
      <w:pPr>
        <w:widowControl w:val="0"/>
      </w:pPr>
      <w:r>
        <w:t xml:space="preserve">The information collected in this survey will be used within the Census Bureau </w:t>
      </w:r>
      <w:r w:rsidR="007F6EEB">
        <w:t>and</w:t>
      </w:r>
      <w:r>
        <w:t xml:space="preserve"> incorporated</w:t>
      </w:r>
      <w:r w:rsidR="00761019">
        <w:t xml:space="preserve"> </w:t>
      </w:r>
      <w:r w:rsidR="4392A12C">
        <w:t>for the American Community Survey and other demographic surveys</w:t>
      </w:r>
      <w:r w:rsidR="60D6C43F">
        <w:t>.</w:t>
      </w:r>
      <w:r w:rsidR="001735C1">
        <w:t xml:space="preserve"> </w:t>
      </w:r>
      <w:r w:rsidR="1A61004D">
        <w:t xml:space="preserve">The authentication methods tested here would be used to protect respondent provided data, either on longitudinal surveys or in situations where the respondent may need to save their progress and </w:t>
      </w:r>
      <w:r w:rsidR="3FAEA708">
        <w:t>r</w:t>
      </w:r>
      <w:r w:rsidR="1A61004D">
        <w:t xml:space="preserve">e-enter a long survey. </w:t>
      </w:r>
      <w:r>
        <w:t xml:space="preserve">The results may be reported </w:t>
      </w:r>
      <w:r w:rsidR="5756F084">
        <w:t xml:space="preserve">at conferences, </w:t>
      </w:r>
      <w:r>
        <w:t>in Census Bureau working papers</w:t>
      </w:r>
      <w:r w:rsidR="16A08C27">
        <w:t>,</w:t>
      </w:r>
      <w:r>
        <w:t xml:space="preserve"> or in peer-reviewed journal articles.</w:t>
      </w:r>
      <w:r w:rsidR="004E7842">
        <w:t xml:space="preserve"> </w:t>
      </w:r>
    </w:p>
    <w:p w:rsidR="00AA04DC" w:rsidP="00464B29" w14:paraId="1500DCEE" w14:textId="77777777">
      <w:pPr>
        <w:widowControl w:val="0"/>
      </w:pPr>
    </w:p>
    <w:p w:rsidR="59BD98AB" w:rsidP="17F429DF" w14:paraId="16AF2CBD" w14:textId="7582F281">
      <w:pPr>
        <w:widowControl w:val="0"/>
      </w:pPr>
      <w:r>
        <w:t>Data from this project will also be used by the Continuous Count Study (CCS). The CCS is one of the Census Bureau’s Transformation and Modernization priorities identified in the fall of 2022. The CCS is researching how national and lower-level geographic population and demographic characteristic estimates using administrative data can be generated throughout the decade. The project is developing multiple sets of estimates at lower levels of geography than are available in the Census Bureau’s official annual population estimates. These multiple sets of estimates allow the availability of administrative data to be quantified based on different assumptions. This ongoing study will also help quantify the utility, availability, and quality of administrative data for the 2030 Census.</w:t>
      </w:r>
      <w:r w:rsidR="5A52DC7B">
        <w:t xml:space="preserve"> </w:t>
      </w:r>
      <w:r w:rsidR="4532EEAC">
        <w:t xml:space="preserve">In the context of this experiment, the data collection instrument will include a combined race and ethnicity question that includes </w:t>
      </w:r>
      <w:r w:rsidR="6467A26A">
        <w:t xml:space="preserve">a Hispanic/Latino and </w:t>
      </w:r>
      <w:r w:rsidR="4532EEAC">
        <w:t xml:space="preserve">a Middle Eastern and North African (MENA) response option. The Continuous Count Study is researching how to produce these racial and ethnicity estimates </w:t>
      </w:r>
      <w:r w:rsidR="2014352E">
        <w:t>under</w:t>
      </w:r>
      <w:r w:rsidR="4532EEAC">
        <w:t xml:space="preserve"> </w:t>
      </w:r>
      <w:r w:rsidR="45B15BA5">
        <w:t xml:space="preserve">the updated </w:t>
      </w:r>
      <w:r w:rsidR="4532EEAC">
        <w:t>OMB Statistical Policy Directive Number 15: Standards for Maintaining, Collecting and Presenting Federal Data on Race and Ethnicity. This data can be used to start building statistical models that can relate these new minimum reporting categories to race and Hispanic origin responses from the 2020 Census, American Community Survey</w:t>
      </w:r>
      <w:r w:rsidR="2ACCFFCE">
        <w:t>,</w:t>
      </w:r>
      <w:r w:rsidR="4532EEAC">
        <w:t xml:space="preserve"> and administrative data sources from other statistical agencies. The Continuous Count Study and characteristic imputation research for the </w:t>
      </w:r>
      <w:r w:rsidR="4532EEAC">
        <w:t>2030 Census can benefit from this collection.</w:t>
      </w:r>
    </w:p>
    <w:p w:rsidR="47E5D251" w:rsidP="169F7041" w14:paraId="310DCA8D" w14:textId="188648ED">
      <w:pPr>
        <w:spacing w:line="276" w:lineRule="auto"/>
        <w:rPr>
          <w:b/>
          <w:bCs/>
        </w:rPr>
      </w:pPr>
    </w:p>
    <w:p w:rsidR="002C4E2C" w:rsidP="169F7041" w14:paraId="3B551E16" w14:textId="3A7B8684">
      <w:pPr>
        <w:autoSpaceDE w:val="0"/>
        <w:autoSpaceDN w:val="0"/>
        <w:adjustRightInd w:val="0"/>
        <w:spacing w:line="276" w:lineRule="auto"/>
      </w:pPr>
      <w:r w:rsidRPr="169F7041">
        <w:rPr>
          <w:b/>
          <w:bCs/>
        </w:rPr>
        <w:t>Population of Interest</w:t>
      </w:r>
      <w:r>
        <w:t xml:space="preserve">: </w:t>
      </w:r>
      <w:r w:rsidR="00741ED9">
        <w:t xml:space="preserve">Results will inform </w:t>
      </w:r>
      <w:r w:rsidR="005D19D5">
        <w:t>enterprise planning</w:t>
      </w:r>
      <w:r w:rsidR="0D7F17B7">
        <w:t xml:space="preserve"> for authentication methods for long and complex surveys</w:t>
      </w:r>
      <w:r w:rsidR="005D19D5">
        <w:t xml:space="preserve"> as well as </w:t>
      </w:r>
      <w:r w:rsidR="05E41E1C">
        <w:t xml:space="preserve">for </w:t>
      </w:r>
      <w:r w:rsidR="005D19D5">
        <w:t xml:space="preserve">the continuous count </w:t>
      </w:r>
      <w:r w:rsidR="545EBDEF">
        <w:t>study</w:t>
      </w:r>
      <w:r w:rsidR="7B23A612">
        <w:t>.</w:t>
      </w:r>
      <w:r w:rsidR="00741ED9">
        <w:t xml:space="preserve"> </w:t>
      </w:r>
      <w:r w:rsidR="086A003F">
        <w:t>W</w:t>
      </w:r>
      <w:r w:rsidR="00741ED9">
        <w:t xml:space="preserve">e are interested in data representing all mailable housing units in the United States. </w:t>
      </w:r>
      <w:r w:rsidR="741679D6">
        <w:t xml:space="preserve">We are also interested in data </w:t>
      </w:r>
      <w:r w:rsidR="00741ED9">
        <w:t>for specific subpopulations</w:t>
      </w:r>
      <w:r w:rsidR="005D19D5">
        <w:t>,</w:t>
      </w:r>
      <w:r w:rsidR="00741ED9">
        <w:t xml:space="preserve"> such as </w:t>
      </w:r>
      <w:r w:rsidR="71FEBE02">
        <w:t>housing units containing historically undercounted populations, including Hispanic</w:t>
      </w:r>
      <w:r w:rsidR="785BD6E9">
        <w:t>/Latino</w:t>
      </w:r>
      <w:r w:rsidR="71FEBE02">
        <w:t xml:space="preserve"> and Middle Eastern or North African people, as measured by </w:t>
      </w:r>
      <w:r w:rsidR="5A53452C">
        <w:t xml:space="preserve">the </w:t>
      </w:r>
      <w:r w:rsidR="44D913D6">
        <w:t>newly revised OMB race and ethnicity standards that will be implemented across the Census Bureau</w:t>
      </w:r>
      <w:r w:rsidR="00741ED9">
        <w:t xml:space="preserve">. </w:t>
      </w:r>
    </w:p>
    <w:p w:rsidR="47E5D251" w14:paraId="1952404C" w14:textId="5F70089D"/>
    <w:p w:rsidR="00255F09" w:rsidP="007F6C5C" w14:paraId="384F495F" w14:textId="4E558FD7">
      <w:r>
        <w:t>The 202</w:t>
      </w:r>
      <w:r w:rsidR="121E24EB">
        <w:t>5</w:t>
      </w:r>
      <w:r>
        <w:t xml:space="preserve"> </w:t>
      </w:r>
      <w:r w:rsidR="009456F2">
        <w:t>Census Household Survey</w:t>
      </w:r>
      <w:r>
        <w:t xml:space="preserve"> will be available in English and Spanish.</w:t>
      </w:r>
    </w:p>
    <w:p w:rsidR="00AC7B48" w:rsidP="00464B29" w14:paraId="7442C68D" w14:textId="159C40EE">
      <w:pPr>
        <w:pStyle w:val="NoSpacing"/>
        <w:rPr>
          <w:szCs w:val="24"/>
        </w:rPr>
      </w:pPr>
      <w:r>
        <w:rPr>
          <w:szCs w:val="24"/>
        </w:rPr>
        <w:t xml:space="preserve">  </w:t>
      </w:r>
    </w:p>
    <w:p w:rsidR="00477D25" w:rsidP="00255F09" w14:paraId="360C7CA8" w14:textId="65084907">
      <w:pPr>
        <w:widowControl w:val="0"/>
      </w:pPr>
      <w:r w:rsidRPr="169F7041">
        <w:rPr>
          <w:b/>
          <w:bCs/>
        </w:rPr>
        <w:t>Timeline</w:t>
      </w:r>
      <w:r>
        <w:t xml:space="preserve">: </w:t>
      </w:r>
      <w:r w:rsidR="00255F09">
        <w:t xml:space="preserve">The internet instrument will be available to collect responses for </w:t>
      </w:r>
      <w:r w:rsidR="00CD179C">
        <w:t>4</w:t>
      </w:r>
      <w:r w:rsidR="00247AB5">
        <w:t xml:space="preserve"> </w:t>
      </w:r>
      <w:r w:rsidR="00255F09">
        <w:t xml:space="preserve">weeks starting from the day of the first mailing scheduled </w:t>
      </w:r>
      <w:r w:rsidR="00247AB5">
        <w:t>on</w:t>
      </w:r>
      <w:r w:rsidR="00255F09">
        <w:t xml:space="preserve"> </w:t>
      </w:r>
      <w:r w:rsidR="7A20A271">
        <w:t>February</w:t>
      </w:r>
      <w:r w:rsidR="00247AB5">
        <w:t xml:space="preserve"> </w:t>
      </w:r>
      <w:r w:rsidR="24D7B958">
        <w:t>3</w:t>
      </w:r>
      <w:r w:rsidR="00741ED9">
        <w:t>, 202</w:t>
      </w:r>
      <w:r w:rsidR="13F790A3">
        <w:t>5</w:t>
      </w:r>
      <w:r w:rsidR="00255F09">
        <w:t xml:space="preserve"> through the end of the survey period scheduled as </w:t>
      </w:r>
      <w:r w:rsidR="1EBCD195">
        <w:t>March 7, 2025</w:t>
      </w:r>
      <w:r w:rsidR="00255F09">
        <w:t>.</w:t>
      </w:r>
    </w:p>
    <w:p w:rsidR="001735C1" w:rsidP="00255F09" w14:paraId="6D60BAFE" w14:textId="77777777">
      <w:pPr>
        <w:widowControl w:val="0"/>
        <w:rPr>
          <w:szCs w:val="24"/>
        </w:rPr>
      </w:pPr>
    </w:p>
    <w:p w:rsidR="000765B9" w:rsidP="00395089" w14:paraId="0F6CE81F" w14:textId="45CBCE05">
      <w:pPr>
        <w:widowControl w:val="0"/>
      </w:pPr>
      <w:r w:rsidRPr="3C08B2B5">
        <w:rPr>
          <w:b/>
          <w:bCs/>
        </w:rPr>
        <w:t>Experimental Panel Design:</w:t>
      </w:r>
      <w:r>
        <w:t xml:space="preserve"> The 202</w:t>
      </w:r>
      <w:r w:rsidR="13D3A85A">
        <w:t>5</w:t>
      </w:r>
      <w:r>
        <w:t xml:space="preserve"> </w:t>
      </w:r>
      <w:r w:rsidR="009456F2">
        <w:t>Census Household Survey</w:t>
      </w:r>
      <w:r>
        <w:t xml:space="preserve"> </w:t>
      </w:r>
      <w:r w:rsidR="28F98514">
        <w:t xml:space="preserve">is an experimental study of login authentication methods. The study will include </w:t>
      </w:r>
      <w:r w:rsidRPr="3C08B2B5" w:rsidR="28F98514">
        <w:rPr>
          <w:rFonts w:eastAsiaTheme="minorEastAsia"/>
        </w:rPr>
        <w:t xml:space="preserve">three treatment groups and one control group. </w:t>
      </w:r>
      <w:r>
        <w:t xml:space="preserve"> </w:t>
      </w:r>
    </w:p>
    <w:p w:rsidR="00DB5613" w:rsidP="00DB5613" w14:paraId="0B4CDBD4" w14:textId="77777777">
      <w:pPr>
        <w:widowControl w:val="0"/>
      </w:pPr>
    </w:p>
    <w:p w:rsidR="00395089" w:rsidP="3C08B2B5" w14:paraId="7367B5C9" w14:textId="556E80B7">
      <w:pPr>
        <w:widowControl w:val="0"/>
      </w:pPr>
      <w:r>
        <w:t xml:space="preserve">Sampled households will receive four mailings from the Census Bureau encouraging them to participate in the study. A </w:t>
      </w:r>
      <w:r w:rsidR="6A53A105">
        <w:t xml:space="preserve">unique </w:t>
      </w:r>
      <w:r>
        <w:t>URL will be provided in the mailing along with an Authentication Code (Auth Code). This code is a 12-digit number uniquely assigned to the sample address.</w:t>
      </w:r>
      <w:r w:rsidR="00C40F9F">
        <w:t xml:space="preserve"> The study </w:t>
      </w:r>
      <w:r w:rsidR="00942866">
        <w:t xml:space="preserve">explores different methods for authentication.  </w:t>
      </w:r>
    </w:p>
    <w:p w:rsidR="00395089" w:rsidP="00771DCA" w14:paraId="3F835A43" w14:textId="77777777">
      <w:pPr>
        <w:widowControl w:val="0"/>
        <w:rPr>
          <w:color w:val="7030A0"/>
        </w:rPr>
      </w:pPr>
    </w:p>
    <w:p w:rsidR="002D20EC" w:rsidRPr="00395089" w:rsidP="00395089" w14:paraId="1787A971" w14:textId="065767A8">
      <w:pPr>
        <w:rPr>
          <w:szCs w:val="24"/>
        </w:rPr>
      </w:pPr>
      <w:r w:rsidRPr="17F429DF">
        <w:t>S</w:t>
      </w:r>
      <w:r w:rsidRPr="17F429DF" w:rsidR="00771DCA">
        <w:t xml:space="preserve">ee </w:t>
      </w:r>
      <w:r w:rsidRPr="00395089" w:rsidR="000253FA">
        <w:rPr>
          <w:szCs w:val="24"/>
        </w:rPr>
        <w:fldChar w:fldCharType="begin"/>
      </w:r>
      <w:r w:rsidRPr="00395089" w:rsidR="000253FA">
        <w:rPr>
          <w:szCs w:val="24"/>
        </w:rPr>
        <w:instrText xml:space="preserve"> REF _Ref116453804 \h  \* MERGEFORMAT </w:instrText>
      </w:r>
      <w:r w:rsidRPr="00395089" w:rsidR="000253FA">
        <w:rPr>
          <w:szCs w:val="24"/>
        </w:rPr>
        <w:fldChar w:fldCharType="separate"/>
      </w:r>
      <w:r w:rsidRPr="17F429DF" w:rsidR="000253FA">
        <w:rPr>
          <w:lang w:eastAsia="ar-SA"/>
        </w:rPr>
        <w:t xml:space="preserve">Table </w:t>
      </w:r>
      <w:r w:rsidRPr="17F429DF" w:rsidR="000253FA">
        <w:rPr>
          <w:noProof/>
          <w:lang w:eastAsia="ar-SA"/>
        </w:rPr>
        <w:t>1</w:t>
      </w:r>
      <w:r w:rsidRPr="00395089" w:rsidR="000253FA">
        <w:rPr>
          <w:szCs w:val="24"/>
        </w:rPr>
        <w:fldChar w:fldCharType="end"/>
      </w:r>
      <w:r w:rsidRPr="00395089" w:rsidR="673C1FD3">
        <w:rPr>
          <w:szCs w:val="24"/>
        </w:rPr>
        <w:t xml:space="preserve"> for a</w:t>
      </w:r>
      <w:r w:rsidR="673C1FD3">
        <w:t xml:space="preserve"> summary of the treatments in the 2025 Census Household Survey</w:t>
      </w:r>
      <w:r w:rsidRPr="00395089" w:rsidR="00771DCA">
        <w:rPr>
          <w:szCs w:val="24"/>
        </w:rPr>
        <w:t xml:space="preserve">. </w:t>
      </w:r>
      <w:r w:rsidRPr="00395089" w:rsidR="6C38AA3E">
        <w:rPr>
          <w:szCs w:val="24"/>
        </w:rPr>
        <w:t>Once logged in</w:t>
      </w:r>
      <w:r w:rsidR="00395089">
        <w:rPr>
          <w:szCs w:val="24"/>
        </w:rPr>
        <w:t>,</w:t>
      </w:r>
      <w:r w:rsidRPr="00395089" w:rsidR="6C38AA3E">
        <w:rPr>
          <w:szCs w:val="24"/>
        </w:rPr>
        <w:t xml:space="preserve"> study participants will complete</w:t>
      </w:r>
      <w:r w:rsidR="6C38AA3E">
        <w:t xml:space="preserve"> a household census survey based on the 202</w:t>
      </w:r>
      <w:r w:rsidR="008D2885">
        <w:t>4</w:t>
      </w:r>
      <w:r w:rsidR="6C38AA3E">
        <w:t xml:space="preserve"> </w:t>
      </w:r>
      <w:r w:rsidR="008D2885">
        <w:t>Special Census</w:t>
      </w:r>
      <w:r w:rsidR="6C38AA3E">
        <w:t xml:space="preserve"> instrument.</w:t>
      </w:r>
    </w:p>
    <w:p w:rsidR="002D20EC" w:rsidRPr="002D20EC" w:rsidP="002D20EC" w14:paraId="45B22F63" w14:textId="096316E1">
      <w:pPr>
        <w:tabs>
          <w:tab w:val="left" w:pos="10320"/>
        </w:tabs>
        <w:rPr>
          <w:szCs w:val="24"/>
        </w:rPr>
      </w:pPr>
    </w:p>
    <w:p w:rsidR="00771DCA" w:rsidP="47E5D251" w14:paraId="258F7A02" w14:textId="39715D9A">
      <w:pPr>
        <w:keepNext/>
        <w:keepLines/>
        <w:rPr>
          <w:b/>
          <w:bCs/>
        </w:rPr>
      </w:pPr>
      <w:bookmarkStart w:id="0" w:name="_Ref103850492"/>
      <w:bookmarkStart w:id="1" w:name="_Ref116453804"/>
      <w:r w:rsidRPr="47E5D251">
        <w:rPr>
          <w:b/>
          <w:bCs/>
          <w:lang w:eastAsia="ar-SA"/>
        </w:rPr>
        <w:t xml:space="preserve">Table </w:t>
      </w:r>
      <w:r w:rsidRPr="47E5D251">
        <w:rPr>
          <w:b/>
          <w:bCs/>
          <w:lang w:eastAsia="ar-SA"/>
        </w:rPr>
        <w:fldChar w:fldCharType="begin"/>
      </w:r>
      <w:r w:rsidRPr="47E5D251">
        <w:rPr>
          <w:b/>
          <w:bCs/>
          <w:lang w:eastAsia="ar-SA"/>
        </w:rPr>
        <w:instrText xml:space="preserve"> SEQ Table \* ARABIC </w:instrText>
      </w:r>
      <w:r w:rsidRPr="47E5D251">
        <w:rPr>
          <w:b/>
          <w:bCs/>
          <w:lang w:eastAsia="ar-SA"/>
        </w:rPr>
        <w:fldChar w:fldCharType="separate"/>
      </w:r>
      <w:r w:rsidRPr="47E5D251" w:rsidR="000253FA">
        <w:rPr>
          <w:b/>
          <w:bCs/>
          <w:noProof/>
          <w:lang w:eastAsia="ar-SA"/>
        </w:rPr>
        <w:t>1</w:t>
      </w:r>
      <w:r w:rsidRPr="47E5D251">
        <w:rPr>
          <w:b/>
          <w:bCs/>
          <w:lang w:eastAsia="ar-SA"/>
        </w:rPr>
        <w:fldChar w:fldCharType="end"/>
      </w:r>
      <w:bookmarkEnd w:id="0"/>
      <w:bookmarkEnd w:id="1"/>
      <w:r w:rsidRPr="47E5D251">
        <w:rPr>
          <w:b/>
          <w:bCs/>
        </w:rPr>
        <w:t xml:space="preserve">. Panels by Treatments for the </w:t>
      </w:r>
      <w:r w:rsidRPr="47E5D251" w:rsidR="004D33B6">
        <w:rPr>
          <w:b/>
          <w:bCs/>
        </w:rPr>
        <w:t>202</w:t>
      </w:r>
      <w:r w:rsidRPr="47E5D251" w:rsidR="78CC2224">
        <w:rPr>
          <w:b/>
          <w:bCs/>
        </w:rPr>
        <w:t>5</w:t>
      </w:r>
      <w:r w:rsidRPr="47E5D251">
        <w:rPr>
          <w:b/>
          <w:bCs/>
        </w:rPr>
        <w:t xml:space="preserve"> </w:t>
      </w:r>
      <w:r w:rsidRPr="47E5D251" w:rsidR="004D33B6">
        <w:rPr>
          <w:b/>
          <w:bCs/>
        </w:rPr>
        <w:t xml:space="preserve">Census </w:t>
      </w:r>
      <w:r w:rsidRPr="47E5D251" w:rsidR="009456F2">
        <w:rPr>
          <w:b/>
          <w:bCs/>
        </w:rPr>
        <w:t xml:space="preserve">Household </w:t>
      </w:r>
      <w:r w:rsidRPr="47E5D251" w:rsidR="004D33B6">
        <w:rPr>
          <w:b/>
          <w:bCs/>
        </w:rPr>
        <w:t>Survey</w:t>
      </w:r>
    </w:p>
    <w:tbl>
      <w:tblPr>
        <w:tblpPr w:leftFromText="180" w:rightFromText="180" w:vertAnchor="text" w:horzAnchor="margin" w:tblpX="-465" w:tblpY="168"/>
        <w:tblW w:w="10785" w:type="dxa"/>
        <w:tblLook w:val="04A0"/>
      </w:tblPr>
      <w:tblGrid>
        <w:gridCol w:w="945"/>
        <w:gridCol w:w="2040"/>
        <w:gridCol w:w="1665"/>
        <w:gridCol w:w="2010"/>
        <w:gridCol w:w="2025"/>
        <w:gridCol w:w="2100"/>
      </w:tblGrid>
      <w:tr w14:paraId="4B02007F" w14:textId="77777777" w:rsidTr="47E5D251">
        <w:tblPrEx>
          <w:tblW w:w="10785" w:type="dxa"/>
          <w:tblLook w:val="04A0"/>
        </w:tblPrEx>
        <w:trPr>
          <w:trHeight w:val="483"/>
        </w:trPr>
        <w:tc>
          <w:tcPr>
            <w:tcW w:w="94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D3F8D" w:rsidRPr="00F27820" w:rsidP="00CD7972" w14:paraId="677D1AD9" w14:textId="77777777">
            <w:pPr>
              <w:jc w:val="center"/>
              <w:rPr>
                <w:rFonts w:ascii="Calibri" w:hAnsi="Calibri" w:cs="Calibri"/>
                <w:b/>
                <w:bCs/>
                <w:color w:val="000000"/>
                <w:sz w:val="20"/>
              </w:rPr>
            </w:pPr>
            <w:r w:rsidRPr="00F27820">
              <w:rPr>
                <w:rFonts w:ascii="Calibri" w:hAnsi="Calibri" w:cs="Calibri"/>
                <w:b/>
                <w:bCs/>
                <w:color w:val="000000"/>
                <w:sz w:val="20"/>
              </w:rPr>
              <w:t>Panel Number</w:t>
            </w:r>
          </w:p>
        </w:tc>
        <w:tc>
          <w:tcPr>
            <w:tcW w:w="204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D3F8D" w:rsidRPr="00F27820" w:rsidP="00CD7972" w14:paraId="457BE6C6" w14:textId="77777777">
            <w:pPr>
              <w:jc w:val="center"/>
              <w:rPr>
                <w:rFonts w:ascii="Calibri" w:hAnsi="Calibri" w:cs="Calibri"/>
                <w:b/>
                <w:bCs/>
                <w:color w:val="000000"/>
                <w:szCs w:val="24"/>
              </w:rPr>
            </w:pPr>
            <w:r w:rsidRPr="00F27820">
              <w:rPr>
                <w:rFonts w:ascii="Calibri" w:hAnsi="Calibri" w:cs="Calibri"/>
                <w:b/>
                <w:bCs/>
                <w:color w:val="000000"/>
                <w:szCs w:val="24"/>
              </w:rPr>
              <w:t>Panel Description</w:t>
            </w:r>
          </w:p>
        </w:tc>
        <w:tc>
          <w:tcPr>
            <w:tcW w:w="1665" w:type="dxa"/>
            <w:tcBorders>
              <w:top w:val="single" w:sz="12" w:space="0" w:color="auto"/>
              <w:left w:val="nil"/>
              <w:bottom w:val="single" w:sz="12" w:space="0" w:color="auto"/>
              <w:right w:val="single" w:sz="12" w:space="0" w:color="auto"/>
            </w:tcBorders>
            <w:shd w:val="clear" w:color="auto" w:fill="auto"/>
            <w:vAlign w:val="center"/>
            <w:hideMark/>
          </w:tcPr>
          <w:p w:rsidR="006D3F8D" w:rsidRPr="00F27820" w:rsidP="63C3283B" w14:paraId="3D512201" w14:textId="585436B0">
            <w:pPr>
              <w:jc w:val="center"/>
              <w:rPr>
                <w:rFonts w:ascii="Calibri" w:hAnsi="Calibri" w:cs="Calibri"/>
                <w:b/>
                <w:bCs/>
                <w:color w:val="000000"/>
                <w:sz w:val="20"/>
              </w:rPr>
            </w:pPr>
            <w:r w:rsidRPr="47E5D251">
              <w:rPr>
                <w:rFonts w:ascii="Calibri" w:hAnsi="Calibri" w:cs="Calibri"/>
                <w:b/>
                <w:bCs/>
                <w:color w:val="000000" w:themeColor="text1"/>
                <w:sz w:val="20"/>
              </w:rPr>
              <w:t>Mailing 1 (</w:t>
            </w:r>
            <w:r w:rsidRPr="47E5D251" w:rsidR="789ED12A">
              <w:rPr>
                <w:rFonts w:ascii="Calibri" w:hAnsi="Calibri" w:cs="Calibri"/>
                <w:b/>
                <w:bCs/>
                <w:color w:val="000000" w:themeColor="text1"/>
                <w:sz w:val="20"/>
              </w:rPr>
              <w:t>2/3/25</w:t>
            </w:r>
            <w:r w:rsidRPr="47E5D251">
              <w:rPr>
                <w:rFonts w:ascii="Calibri" w:hAnsi="Calibri" w:cs="Calibri"/>
                <w:b/>
                <w:bCs/>
                <w:color w:val="000000" w:themeColor="text1"/>
                <w:sz w:val="20"/>
              </w:rPr>
              <w:t>)</w:t>
            </w:r>
          </w:p>
        </w:tc>
        <w:tc>
          <w:tcPr>
            <w:tcW w:w="2010" w:type="dxa"/>
            <w:tcBorders>
              <w:top w:val="single" w:sz="12" w:space="0" w:color="auto"/>
              <w:left w:val="nil"/>
              <w:bottom w:val="single" w:sz="12" w:space="0" w:color="auto"/>
              <w:right w:val="single" w:sz="12" w:space="0" w:color="auto"/>
            </w:tcBorders>
            <w:shd w:val="clear" w:color="auto" w:fill="auto"/>
            <w:vAlign w:val="center"/>
            <w:hideMark/>
          </w:tcPr>
          <w:p w:rsidR="006D3F8D" w:rsidP="00CD7972" w14:paraId="6C9265AA" w14:textId="77777777">
            <w:pPr>
              <w:jc w:val="center"/>
              <w:rPr>
                <w:rFonts w:ascii="Calibri" w:hAnsi="Calibri" w:cs="Calibri"/>
                <w:b/>
                <w:bCs/>
                <w:color w:val="000000"/>
                <w:sz w:val="20"/>
              </w:rPr>
            </w:pPr>
            <w:r w:rsidRPr="00F27820">
              <w:rPr>
                <w:rFonts w:ascii="Calibri" w:hAnsi="Calibri" w:cs="Calibri"/>
                <w:b/>
                <w:bCs/>
                <w:color w:val="000000"/>
                <w:sz w:val="20"/>
              </w:rPr>
              <w:t xml:space="preserve">Mailing 2 </w:t>
            </w:r>
          </w:p>
          <w:p w:rsidR="006D3F8D" w:rsidRPr="00F27820" w:rsidP="63C3283B" w14:paraId="47531AC7" w14:textId="20A4C01D">
            <w:pPr>
              <w:jc w:val="center"/>
              <w:rPr>
                <w:rFonts w:ascii="Calibri" w:hAnsi="Calibri" w:cs="Calibri"/>
                <w:b/>
                <w:bCs/>
                <w:color w:val="000000"/>
                <w:sz w:val="20"/>
              </w:rPr>
            </w:pPr>
            <w:r w:rsidRPr="47E5D251">
              <w:rPr>
                <w:rFonts w:ascii="Calibri" w:hAnsi="Calibri" w:cs="Calibri"/>
                <w:b/>
                <w:bCs/>
                <w:color w:val="000000" w:themeColor="text1"/>
                <w:sz w:val="20"/>
              </w:rPr>
              <w:t>(</w:t>
            </w:r>
            <w:r w:rsidRPr="47E5D251" w:rsidR="3072435A">
              <w:rPr>
                <w:rFonts w:ascii="Calibri" w:hAnsi="Calibri" w:cs="Calibri"/>
                <w:b/>
                <w:bCs/>
                <w:color w:val="000000" w:themeColor="text1"/>
                <w:sz w:val="20"/>
              </w:rPr>
              <w:t>2/10/25</w:t>
            </w:r>
            <w:r w:rsidRPr="47E5D251">
              <w:rPr>
                <w:rFonts w:ascii="Calibri" w:hAnsi="Calibri" w:cs="Calibri"/>
                <w:b/>
                <w:bCs/>
                <w:color w:val="000000" w:themeColor="text1"/>
                <w:sz w:val="20"/>
              </w:rPr>
              <w:t>)</w:t>
            </w:r>
          </w:p>
        </w:tc>
        <w:tc>
          <w:tcPr>
            <w:tcW w:w="2025" w:type="dxa"/>
            <w:tcBorders>
              <w:top w:val="single" w:sz="12" w:space="0" w:color="auto"/>
              <w:left w:val="nil"/>
              <w:bottom w:val="single" w:sz="12" w:space="0" w:color="auto"/>
              <w:right w:val="single" w:sz="12" w:space="0" w:color="auto"/>
            </w:tcBorders>
            <w:shd w:val="clear" w:color="auto" w:fill="auto"/>
            <w:vAlign w:val="center"/>
            <w:hideMark/>
          </w:tcPr>
          <w:p w:rsidR="006D3F8D" w:rsidP="00CD7972" w14:paraId="50859DE8" w14:textId="77777777">
            <w:pPr>
              <w:jc w:val="center"/>
              <w:rPr>
                <w:rFonts w:ascii="Calibri" w:hAnsi="Calibri" w:cs="Calibri"/>
                <w:b/>
                <w:bCs/>
                <w:color w:val="000000"/>
                <w:sz w:val="20"/>
              </w:rPr>
            </w:pPr>
            <w:r w:rsidRPr="00F27820">
              <w:rPr>
                <w:rFonts w:ascii="Calibri" w:hAnsi="Calibri" w:cs="Calibri"/>
                <w:b/>
                <w:bCs/>
                <w:color w:val="000000"/>
                <w:sz w:val="20"/>
              </w:rPr>
              <w:t xml:space="preserve">Mailing 3 </w:t>
            </w:r>
          </w:p>
          <w:p w:rsidR="006D3F8D" w:rsidRPr="00F27820" w:rsidP="63C3283B" w14:paraId="5A370D0C" w14:textId="40377BE3">
            <w:pPr>
              <w:jc w:val="center"/>
              <w:rPr>
                <w:rFonts w:ascii="Calibri" w:hAnsi="Calibri" w:cs="Calibri"/>
                <w:b/>
                <w:bCs/>
                <w:color w:val="000000"/>
                <w:sz w:val="20"/>
              </w:rPr>
            </w:pPr>
            <w:r w:rsidRPr="47E5D251">
              <w:rPr>
                <w:rFonts w:ascii="Calibri" w:hAnsi="Calibri" w:cs="Calibri"/>
                <w:b/>
                <w:bCs/>
                <w:color w:val="000000" w:themeColor="text1"/>
                <w:sz w:val="20"/>
              </w:rPr>
              <w:t>(</w:t>
            </w:r>
            <w:r w:rsidRPr="47E5D251" w:rsidR="3783CEF7">
              <w:rPr>
                <w:rFonts w:ascii="Calibri" w:hAnsi="Calibri" w:cs="Calibri"/>
                <w:b/>
                <w:bCs/>
                <w:color w:val="000000" w:themeColor="text1"/>
                <w:sz w:val="20"/>
              </w:rPr>
              <w:t>2/18/25</w:t>
            </w:r>
            <w:r w:rsidRPr="47E5D251">
              <w:rPr>
                <w:rFonts w:ascii="Calibri" w:hAnsi="Calibri" w:cs="Calibri"/>
                <w:b/>
                <w:bCs/>
                <w:color w:val="000000" w:themeColor="text1"/>
                <w:sz w:val="20"/>
              </w:rPr>
              <w:t>)</w:t>
            </w:r>
          </w:p>
        </w:tc>
        <w:tc>
          <w:tcPr>
            <w:tcW w:w="2100" w:type="dxa"/>
            <w:tcBorders>
              <w:top w:val="single" w:sz="12" w:space="0" w:color="auto"/>
              <w:left w:val="nil"/>
              <w:bottom w:val="single" w:sz="12" w:space="0" w:color="auto"/>
              <w:right w:val="single" w:sz="12" w:space="0" w:color="auto"/>
            </w:tcBorders>
            <w:shd w:val="clear" w:color="auto" w:fill="auto"/>
            <w:vAlign w:val="center"/>
            <w:hideMark/>
          </w:tcPr>
          <w:p w:rsidR="006D3F8D" w:rsidP="00CD7972" w14:paraId="1F18D3E0" w14:textId="77777777">
            <w:pPr>
              <w:jc w:val="center"/>
              <w:rPr>
                <w:rFonts w:ascii="Calibri" w:hAnsi="Calibri" w:cs="Calibri"/>
                <w:b/>
                <w:bCs/>
                <w:color w:val="000000"/>
                <w:sz w:val="20"/>
              </w:rPr>
            </w:pPr>
            <w:r w:rsidRPr="00F27820">
              <w:rPr>
                <w:rFonts w:ascii="Calibri" w:hAnsi="Calibri" w:cs="Calibri"/>
                <w:b/>
                <w:bCs/>
                <w:color w:val="000000"/>
                <w:sz w:val="20"/>
              </w:rPr>
              <w:t xml:space="preserve">Mailing 4 </w:t>
            </w:r>
          </w:p>
          <w:p w:rsidR="006D3F8D" w:rsidRPr="00F27820" w:rsidP="63C3283B" w14:paraId="0CFC6D83" w14:textId="4AF0515F">
            <w:pPr>
              <w:jc w:val="center"/>
              <w:rPr>
                <w:rFonts w:ascii="Calibri" w:hAnsi="Calibri" w:cs="Calibri"/>
                <w:b/>
                <w:bCs/>
                <w:color w:val="000000"/>
                <w:sz w:val="20"/>
              </w:rPr>
            </w:pPr>
            <w:r w:rsidRPr="47E5D251">
              <w:rPr>
                <w:rFonts w:ascii="Calibri" w:hAnsi="Calibri" w:cs="Calibri"/>
                <w:b/>
                <w:bCs/>
                <w:color w:val="000000" w:themeColor="text1"/>
                <w:sz w:val="20"/>
              </w:rPr>
              <w:t>(</w:t>
            </w:r>
            <w:r w:rsidRPr="47E5D251" w:rsidR="348CB1AF">
              <w:rPr>
                <w:rFonts w:ascii="Calibri" w:hAnsi="Calibri" w:cs="Calibri"/>
                <w:b/>
                <w:bCs/>
                <w:color w:val="000000" w:themeColor="text1"/>
                <w:sz w:val="20"/>
              </w:rPr>
              <w:t>2/24/25</w:t>
            </w:r>
            <w:r w:rsidRPr="47E5D251">
              <w:rPr>
                <w:rFonts w:ascii="Calibri" w:hAnsi="Calibri" w:cs="Calibri"/>
                <w:b/>
                <w:bCs/>
                <w:color w:val="000000" w:themeColor="text1"/>
                <w:sz w:val="20"/>
              </w:rPr>
              <w:t>)</w:t>
            </w:r>
          </w:p>
        </w:tc>
      </w:tr>
      <w:tr w14:paraId="6A6688C6" w14:textId="77777777" w:rsidTr="47E5D251">
        <w:tblPrEx>
          <w:tblW w:w="10785" w:type="dxa"/>
          <w:tblLook w:val="04A0"/>
        </w:tblPrEx>
        <w:trPr>
          <w:trHeight w:val="528"/>
        </w:trPr>
        <w:tc>
          <w:tcPr>
            <w:tcW w:w="945" w:type="dxa"/>
            <w:tcBorders>
              <w:top w:val="nil"/>
              <w:left w:val="single" w:sz="12" w:space="0" w:color="auto"/>
              <w:bottom w:val="single" w:sz="12" w:space="0" w:color="auto"/>
              <w:right w:val="single" w:sz="12" w:space="0" w:color="auto"/>
            </w:tcBorders>
            <w:shd w:val="clear" w:color="auto" w:fill="DEEBF6" w:themeFill="accent1" w:themeFillTint="33"/>
            <w:vAlign w:val="center"/>
            <w:hideMark/>
          </w:tcPr>
          <w:p w:rsidR="006D3F8D" w:rsidRPr="00F27820" w:rsidP="00CD7972" w14:paraId="26D9F409" w14:textId="77777777">
            <w:pPr>
              <w:jc w:val="center"/>
              <w:rPr>
                <w:rFonts w:ascii="Calibri" w:hAnsi="Calibri" w:cs="Calibri"/>
                <w:b/>
                <w:bCs/>
                <w:color w:val="000000"/>
                <w:sz w:val="20"/>
              </w:rPr>
            </w:pPr>
            <w:r w:rsidRPr="00F27820">
              <w:rPr>
                <w:rFonts w:ascii="Calibri" w:hAnsi="Calibri" w:cs="Calibri"/>
                <w:b/>
                <w:bCs/>
                <w:color w:val="000000"/>
                <w:sz w:val="20"/>
              </w:rPr>
              <w:t>1</w:t>
            </w:r>
          </w:p>
        </w:tc>
        <w:tc>
          <w:tcPr>
            <w:tcW w:w="2040" w:type="dxa"/>
            <w:tcBorders>
              <w:top w:val="nil"/>
              <w:left w:val="nil"/>
              <w:bottom w:val="single" w:sz="12" w:space="0" w:color="auto"/>
              <w:right w:val="single" w:sz="12" w:space="0" w:color="auto"/>
            </w:tcBorders>
            <w:shd w:val="clear" w:color="auto" w:fill="DEEBF6" w:themeFill="accent1" w:themeFillTint="33"/>
            <w:vAlign w:val="center"/>
            <w:hideMark/>
          </w:tcPr>
          <w:p w:rsidR="00EB2658" w:rsidRPr="00CD7972" w:rsidP="17F429DF" w14:paraId="2C59CC64" w14:textId="31C2D861">
            <w:pPr>
              <w:jc w:val="center"/>
              <w:rPr>
                <w:rFonts w:asciiTheme="majorHAnsi" w:hAnsiTheme="majorHAnsi" w:cstheme="majorBidi"/>
                <w:b/>
                <w:bCs/>
                <w:color w:val="000000"/>
                <w:sz w:val="20"/>
              </w:rPr>
            </w:pPr>
            <w:r w:rsidRPr="17F429DF">
              <w:rPr>
                <w:rFonts w:asciiTheme="majorHAnsi" w:hAnsiTheme="majorHAnsi" w:cstheme="majorBidi"/>
                <w:b/>
                <w:bCs/>
                <w:color w:val="000000" w:themeColor="text1"/>
                <w:sz w:val="20"/>
              </w:rPr>
              <w:t xml:space="preserve">Centurion 1.0 </w:t>
            </w:r>
            <w:r w:rsidR="00395089">
              <w:rPr>
                <w:rFonts w:asciiTheme="majorHAnsi" w:hAnsiTheme="majorHAnsi" w:cstheme="majorBidi"/>
                <w:b/>
                <w:bCs/>
                <w:color w:val="000000" w:themeColor="text1"/>
                <w:sz w:val="20"/>
              </w:rPr>
              <w:t>Method:</w:t>
            </w:r>
          </w:p>
          <w:p w:rsidR="006D3F8D" w:rsidRPr="00CD7972" w:rsidP="17F429DF" w14:paraId="1273C654" w14:textId="13CA3240">
            <w:pPr>
              <w:jc w:val="center"/>
              <w:rPr>
                <w:rFonts w:asciiTheme="majorHAnsi" w:hAnsiTheme="majorHAnsi" w:cstheme="majorBidi"/>
                <w:b/>
                <w:bCs/>
                <w:color w:val="000000"/>
                <w:sz w:val="20"/>
              </w:rPr>
            </w:pPr>
            <w:r w:rsidRPr="47E5D251">
              <w:rPr>
                <w:rFonts w:asciiTheme="majorHAnsi" w:hAnsiTheme="majorHAnsi" w:cstheme="majorBidi"/>
                <w:b/>
                <w:bCs/>
                <w:color w:val="000000" w:themeColor="text1"/>
                <w:sz w:val="20"/>
              </w:rPr>
              <w:t>Auth Code + PIN</w:t>
            </w:r>
            <w:r w:rsidR="00942866">
              <w:rPr>
                <w:rFonts w:asciiTheme="majorHAnsi" w:hAnsiTheme="majorHAnsi" w:cstheme="majorBidi"/>
                <w:b/>
                <w:bCs/>
                <w:color w:val="000000" w:themeColor="text1"/>
                <w:sz w:val="20"/>
              </w:rPr>
              <w:t>*</w:t>
            </w:r>
            <w:r w:rsidRPr="47E5D251">
              <w:rPr>
                <w:rFonts w:asciiTheme="majorHAnsi" w:hAnsiTheme="majorHAnsi" w:cstheme="majorBidi"/>
                <w:b/>
                <w:bCs/>
                <w:color w:val="000000" w:themeColor="text1"/>
                <w:sz w:val="20"/>
              </w:rPr>
              <w:t>+ Security Questions</w:t>
            </w:r>
            <w:r w:rsidRPr="47E5D251" w:rsidR="3467CE4A">
              <w:rPr>
                <w:rFonts w:asciiTheme="majorHAnsi" w:hAnsiTheme="majorHAnsi" w:cstheme="majorBidi"/>
                <w:b/>
                <w:bCs/>
                <w:color w:val="000000" w:themeColor="text1"/>
                <w:sz w:val="20"/>
              </w:rPr>
              <w:t xml:space="preserve"> </w:t>
            </w:r>
            <w:r w:rsidR="008D2885">
              <w:rPr>
                <w:rFonts w:asciiTheme="majorHAnsi" w:hAnsiTheme="majorHAnsi" w:cstheme="majorBidi"/>
                <w:b/>
                <w:bCs/>
                <w:color w:val="000000" w:themeColor="text1"/>
                <w:sz w:val="20"/>
              </w:rPr>
              <w:t>(optional)</w:t>
            </w:r>
            <w:r w:rsidRPr="47E5D251" w:rsidR="5FD0B3AD">
              <w:rPr>
                <w:rFonts w:asciiTheme="majorHAnsi" w:hAnsiTheme="majorHAnsi" w:cstheme="majorBidi"/>
                <w:b/>
                <w:bCs/>
                <w:color w:val="000000" w:themeColor="text1"/>
                <w:sz w:val="20"/>
              </w:rPr>
              <w:t xml:space="preserve"> </w:t>
            </w:r>
          </w:p>
        </w:tc>
        <w:tc>
          <w:tcPr>
            <w:tcW w:w="1665" w:type="dxa"/>
            <w:tcBorders>
              <w:top w:val="single" w:sz="12" w:space="0" w:color="auto"/>
              <w:left w:val="nil"/>
              <w:bottom w:val="single" w:sz="12" w:space="0" w:color="auto"/>
              <w:right w:val="single" w:sz="12" w:space="0" w:color="auto"/>
            </w:tcBorders>
            <w:shd w:val="clear" w:color="auto" w:fill="DEEBF6" w:themeFill="accent1" w:themeFillTint="33"/>
            <w:vAlign w:val="center"/>
            <w:hideMark/>
          </w:tcPr>
          <w:p w:rsidR="006D3F8D" w:rsidRPr="00F27820" w:rsidP="17F429DF" w14:paraId="7E8C3BCF" w14:textId="7147F01F">
            <w:pPr>
              <w:jc w:val="center"/>
              <w:rPr>
                <w:rFonts w:ascii="Calibri" w:hAnsi="Calibri" w:cs="Calibri"/>
                <w:color w:val="000000"/>
                <w:sz w:val="20"/>
              </w:rPr>
            </w:pPr>
            <w:r w:rsidRPr="63C3283B">
              <w:rPr>
                <w:rFonts w:ascii="Calibri" w:hAnsi="Calibri" w:cs="Calibri"/>
                <w:color w:val="000000" w:themeColor="text1"/>
                <w:sz w:val="20"/>
              </w:rPr>
              <w:t>Initial letter</w:t>
            </w:r>
            <w:r w:rsidRPr="63C3283B" w:rsidR="00D52745">
              <w:rPr>
                <w:rFonts w:ascii="Calibri" w:hAnsi="Calibri" w:cs="Calibri"/>
                <w:color w:val="000000" w:themeColor="text1"/>
                <w:sz w:val="20"/>
              </w:rPr>
              <w:t xml:space="preserve"> with </w:t>
            </w:r>
            <w:r w:rsidRPr="63C3283B" w:rsidR="6B76A415">
              <w:rPr>
                <w:rFonts w:ascii="Calibri" w:hAnsi="Calibri" w:cs="Calibri"/>
                <w:color w:val="000000" w:themeColor="text1"/>
                <w:sz w:val="20"/>
              </w:rPr>
              <w:t>URL</w:t>
            </w:r>
            <w:r w:rsidRPr="63C3283B" w:rsidR="49154E80">
              <w:rPr>
                <w:rFonts w:ascii="Calibri" w:hAnsi="Calibri" w:cs="Calibri"/>
                <w:color w:val="000000" w:themeColor="text1"/>
                <w:sz w:val="20"/>
              </w:rPr>
              <w:t xml:space="preserve"> </w:t>
            </w:r>
            <w:r w:rsidRPr="63C3283B" w:rsidR="6A52FB7A">
              <w:rPr>
                <w:rFonts w:ascii="Calibri" w:hAnsi="Calibri" w:cs="Calibri"/>
                <w:color w:val="000000" w:themeColor="text1"/>
                <w:sz w:val="20"/>
              </w:rPr>
              <w:t>&amp; Phone #1</w:t>
            </w:r>
          </w:p>
        </w:tc>
        <w:tc>
          <w:tcPr>
            <w:tcW w:w="2010" w:type="dxa"/>
            <w:tcBorders>
              <w:top w:val="single" w:sz="12" w:space="0" w:color="auto"/>
              <w:left w:val="nil"/>
              <w:bottom w:val="single" w:sz="12" w:space="0" w:color="auto"/>
              <w:right w:val="single" w:sz="12" w:space="0" w:color="auto"/>
            </w:tcBorders>
            <w:shd w:val="clear" w:color="auto" w:fill="DEEBF6" w:themeFill="accent1" w:themeFillTint="33"/>
            <w:vAlign w:val="center"/>
            <w:hideMark/>
          </w:tcPr>
          <w:p w:rsidR="00D52745" w:rsidP="17F429DF" w14:paraId="57CEA923" w14:textId="349D9616">
            <w:pPr>
              <w:jc w:val="center"/>
              <w:rPr>
                <w:rFonts w:ascii="Calibri" w:hAnsi="Calibri" w:cs="Calibri"/>
                <w:color w:val="000000"/>
                <w:sz w:val="20"/>
              </w:rPr>
            </w:pPr>
            <w:r w:rsidRPr="17F429DF">
              <w:rPr>
                <w:rFonts w:ascii="Calibri" w:hAnsi="Calibri" w:cs="Calibri"/>
                <w:color w:val="000000" w:themeColor="text1"/>
                <w:sz w:val="20"/>
              </w:rPr>
              <w:t>Reminder letter</w:t>
            </w:r>
            <w:r w:rsidRPr="17F429DF">
              <w:rPr>
                <w:rFonts w:ascii="Calibri" w:hAnsi="Calibri" w:cs="Calibri"/>
                <w:color w:val="000000" w:themeColor="text1"/>
                <w:sz w:val="20"/>
              </w:rPr>
              <w:t xml:space="preserve"> </w:t>
            </w:r>
            <w:r w:rsidRPr="17F429DF" w:rsidR="012E2623">
              <w:rPr>
                <w:rFonts w:ascii="Calibri" w:hAnsi="Calibri" w:cs="Calibri"/>
                <w:color w:val="000000" w:themeColor="text1"/>
                <w:sz w:val="20"/>
              </w:rPr>
              <w:t>1</w:t>
            </w:r>
          </w:p>
          <w:p w:rsidR="006D3F8D" w:rsidRPr="00F27820" w:rsidP="63C3283B" w14:paraId="64DF7659" w14:textId="31C08C2C">
            <w:pPr>
              <w:jc w:val="center"/>
              <w:rPr>
                <w:rFonts w:ascii="Calibri" w:hAnsi="Calibri" w:cs="Calibri"/>
                <w:color w:val="000000"/>
                <w:sz w:val="20"/>
              </w:rPr>
            </w:pPr>
            <w:r w:rsidRPr="63C3283B">
              <w:rPr>
                <w:rFonts w:ascii="Calibri" w:hAnsi="Calibri" w:cs="Calibri"/>
                <w:color w:val="000000" w:themeColor="text1"/>
                <w:sz w:val="20"/>
              </w:rPr>
              <w:t xml:space="preserve">with </w:t>
            </w:r>
            <w:r w:rsidRPr="63C3283B" w:rsidR="5A59EF89">
              <w:rPr>
                <w:rFonts w:ascii="Calibri" w:hAnsi="Calibri" w:cs="Calibri"/>
                <w:color w:val="000000" w:themeColor="text1"/>
                <w:sz w:val="20"/>
              </w:rPr>
              <w:t>URL</w:t>
            </w:r>
            <w:r w:rsidRPr="63C3283B">
              <w:rPr>
                <w:rFonts w:ascii="Calibri" w:hAnsi="Calibri" w:cs="Calibri"/>
                <w:color w:val="000000" w:themeColor="text1"/>
                <w:sz w:val="20"/>
              </w:rPr>
              <w:t xml:space="preserve"> </w:t>
            </w:r>
            <w:r w:rsidRPr="63C3283B" w:rsidR="2F472F8E">
              <w:rPr>
                <w:rFonts w:ascii="Calibri" w:hAnsi="Calibri" w:cs="Calibri"/>
                <w:color w:val="000000" w:themeColor="text1"/>
                <w:sz w:val="20"/>
              </w:rPr>
              <w:t>&amp; Phone #1</w:t>
            </w:r>
          </w:p>
        </w:tc>
        <w:tc>
          <w:tcPr>
            <w:tcW w:w="2025" w:type="dxa"/>
            <w:tcBorders>
              <w:top w:val="single" w:sz="12" w:space="0" w:color="auto"/>
              <w:left w:val="nil"/>
              <w:bottom w:val="single" w:sz="12" w:space="0" w:color="auto"/>
              <w:right w:val="single" w:sz="12" w:space="0" w:color="auto"/>
            </w:tcBorders>
            <w:shd w:val="clear" w:color="auto" w:fill="DEEBF6" w:themeFill="accent1" w:themeFillTint="33"/>
            <w:vAlign w:val="center"/>
            <w:hideMark/>
          </w:tcPr>
          <w:p w:rsidR="006D3F8D" w:rsidP="17F429DF" w14:paraId="5FDA83AA" w14:textId="165A65C4">
            <w:pPr>
              <w:jc w:val="center"/>
              <w:rPr>
                <w:rFonts w:ascii="Calibri" w:hAnsi="Calibri" w:cs="Calibri"/>
                <w:color w:val="000000"/>
                <w:sz w:val="20"/>
              </w:rPr>
            </w:pPr>
            <w:r w:rsidRPr="17F429DF">
              <w:rPr>
                <w:rFonts w:ascii="Calibri" w:hAnsi="Calibri" w:cs="Calibri"/>
                <w:color w:val="000000" w:themeColor="text1"/>
                <w:sz w:val="20"/>
              </w:rPr>
              <w:t>Reminder Postcard</w:t>
            </w:r>
            <w:r w:rsidRPr="17F429DF" w:rsidR="38F25E91">
              <w:rPr>
                <w:rFonts w:ascii="Calibri" w:hAnsi="Calibri" w:cs="Calibri"/>
                <w:color w:val="000000" w:themeColor="text1"/>
                <w:sz w:val="20"/>
              </w:rPr>
              <w:t xml:space="preserve"> 1</w:t>
            </w:r>
          </w:p>
          <w:p w:rsidR="005374E0" w:rsidRPr="00F27820" w:rsidP="63C3283B" w14:paraId="6BCC21CD" w14:textId="058CEEBD">
            <w:pPr>
              <w:jc w:val="center"/>
              <w:rPr>
                <w:rFonts w:ascii="Calibri" w:hAnsi="Calibri" w:cs="Calibri"/>
                <w:color w:val="000000"/>
                <w:sz w:val="20"/>
              </w:rPr>
            </w:pPr>
            <w:r w:rsidRPr="63C3283B">
              <w:rPr>
                <w:rFonts w:ascii="Calibri" w:hAnsi="Calibri" w:cs="Calibri"/>
                <w:color w:val="000000" w:themeColor="text1"/>
                <w:sz w:val="20"/>
              </w:rPr>
              <w:t xml:space="preserve">with </w:t>
            </w:r>
            <w:r w:rsidRPr="63C3283B" w:rsidR="7FD66319">
              <w:rPr>
                <w:rFonts w:ascii="Calibri" w:hAnsi="Calibri" w:cs="Calibri"/>
                <w:color w:val="000000" w:themeColor="text1"/>
                <w:sz w:val="20"/>
              </w:rPr>
              <w:t>URL</w:t>
            </w:r>
            <w:r w:rsidRPr="63C3283B">
              <w:rPr>
                <w:rFonts w:ascii="Calibri" w:hAnsi="Calibri" w:cs="Calibri"/>
                <w:color w:val="000000" w:themeColor="text1"/>
                <w:sz w:val="20"/>
              </w:rPr>
              <w:t xml:space="preserve"> </w:t>
            </w:r>
            <w:r w:rsidRPr="63C3283B" w:rsidR="78BE5C29">
              <w:rPr>
                <w:rFonts w:ascii="Calibri" w:hAnsi="Calibri" w:cs="Calibri"/>
                <w:color w:val="000000" w:themeColor="text1"/>
                <w:sz w:val="20"/>
              </w:rPr>
              <w:t>&amp; Phone #1</w:t>
            </w:r>
          </w:p>
        </w:tc>
        <w:tc>
          <w:tcPr>
            <w:tcW w:w="2100" w:type="dxa"/>
            <w:tcBorders>
              <w:top w:val="single" w:sz="12" w:space="0" w:color="auto"/>
              <w:left w:val="nil"/>
              <w:bottom w:val="single" w:sz="12" w:space="0" w:color="auto"/>
              <w:right w:val="single" w:sz="12" w:space="0" w:color="auto"/>
            </w:tcBorders>
            <w:shd w:val="clear" w:color="auto" w:fill="DEEBF6" w:themeFill="accent1" w:themeFillTint="33"/>
            <w:vAlign w:val="center"/>
            <w:hideMark/>
          </w:tcPr>
          <w:p w:rsidR="4A492194" w:rsidP="59BD98AB" w14:paraId="235C356A" w14:textId="4FD55B45">
            <w:pPr>
              <w:jc w:val="center"/>
              <w:rPr>
                <w:rFonts w:ascii="Calibri" w:hAnsi="Calibri" w:cs="Calibri"/>
                <w:color w:val="000000" w:themeColor="text1"/>
                <w:sz w:val="20"/>
              </w:rPr>
            </w:pPr>
            <w:r w:rsidRPr="17F429DF">
              <w:rPr>
                <w:rFonts w:ascii="Calibri" w:hAnsi="Calibri" w:cs="Calibri"/>
                <w:color w:val="000000" w:themeColor="text1"/>
                <w:sz w:val="20"/>
              </w:rPr>
              <w:t xml:space="preserve">Reminder </w:t>
            </w:r>
            <w:r w:rsidRPr="17F429DF" w:rsidR="04860BDF">
              <w:rPr>
                <w:rFonts w:ascii="Calibri" w:hAnsi="Calibri" w:cs="Calibri"/>
                <w:color w:val="000000" w:themeColor="text1"/>
                <w:sz w:val="20"/>
              </w:rPr>
              <w:t>Letter</w:t>
            </w:r>
            <w:r w:rsidRPr="17F429DF" w:rsidR="4AB6135E">
              <w:rPr>
                <w:rFonts w:ascii="Calibri" w:hAnsi="Calibri" w:cs="Calibri"/>
                <w:color w:val="000000" w:themeColor="text1"/>
                <w:sz w:val="20"/>
              </w:rPr>
              <w:t xml:space="preserve"> 2</w:t>
            </w:r>
          </w:p>
          <w:p w:rsidR="005374E0" w:rsidRPr="00F27820" w:rsidP="63C3283B" w14:paraId="11399DC7" w14:textId="26060B2F">
            <w:pPr>
              <w:jc w:val="center"/>
              <w:rPr>
                <w:rFonts w:ascii="Calibri" w:hAnsi="Calibri" w:cs="Calibri"/>
                <w:color w:val="000000"/>
                <w:sz w:val="20"/>
              </w:rPr>
            </w:pPr>
            <w:r w:rsidRPr="63C3283B">
              <w:rPr>
                <w:rFonts w:ascii="Calibri" w:hAnsi="Calibri" w:cs="Calibri"/>
                <w:color w:val="000000" w:themeColor="text1"/>
                <w:sz w:val="20"/>
              </w:rPr>
              <w:t xml:space="preserve">with </w:t>
            </w:r>
            <w:r w:rsidRPr="63C3283B" w:rsidR="74E31597">
              <w:rPr>
                <w:rFonts w:ascii="Calibri" w:hAnsi="Calibri" w:cs="Calibri"/>
                <w:color w:val="000000" w:themeColor="text1"/>
                <w:sz w:val="20"/>
              </w:rPr>
              <w:t>URL</w:t>
            </w:r>
            <w:r w:rsidRPr="63C3283B">
              <w:rPr>
                <w:rFonts w:ascii="Calibri" w:hAnsi="Calibri" w:cs="Calibri"/>
                <w:color w:val="000000" w:themeColor="text1"/>
                <w:sz w:val="20"/>
              </w:rPr>
              <w:t xml:space="preserve"> </w:t>
            </w:r>
            <w:r w:rsidRPr="63C3283B" w:rsidR="3FA74FD6">
              <w:rPr>
                <w:rFonts w:ascii="Calibri" w:hAnsi="Calibri" w:cs="Calibri"/>
                <w:color w:val="000000" w:themeColor="text1"/>
                <w:sz w:val="20"/>
              </w:rPr>
              <w:t>&amp; Phone #1</w:t>
            </w:r>
          </w:p>
        </w:tc>
      </w:tr>
      <w:tr w14:paraId="3EEFCC4A" w14:textId="77777777" w:rsidTr="47E5D251">
        <w:tblPrEx>
          <w:tblW w:w="10785" w:type="dxa"/>
          <w:tblLook w:val="04A0"/>
        </w:tblPrEx>
        <w:trPr>
          <w:trHeight w:val="303"/>
        </w:trPr>
        <w:tc>
          <w:tcPr>
            <w:tcW w:w="945" w:type="dxa"/>
            <w:tcBorders>
              <w:top w:val="nil"/>
              <w:left w:val="single" w:sz="12" w:space="0" w:color="auto"/>
              <w:bottom w:val="single" w:sz="12" w:space="0" w:color="auto"/>
              <w:right w:val="single" w:sz="12" w:space="0" w:color="auto"/>
            </w:tcBorders>
            <w:shd w:val="clear" w:color="auto" w:fill="auto"/>
            <w:vAlign w:val="center"/>
            <w:hideMark/>
          </w:tcPr>
          <w:p w:rsidR="00B94D08" w:rsidRPr="00F27820" w:rsidP="00CD7972" w14:paraId="7A99F795" w14:textId="77777777">
            <w:pPr>
              <w:jc w:val="center"/>
              <w:rPr>
                <w:rFonts w:ascii="Calibri" w:hAnsi="Calibri" w:cs="Calibri"/>
                <w:b/>
                <w:bCs/>
                <w:color w:val="000000"/>
                <w:sz w:val="20"/>
              </w:rPr>
            </w:pPr>
            <w:r w:rsidRPr="00F27820">
              <w:rPr>
                <w:rFonts w:ascii="Calibri" w:hAnsi="Calibri" w:cs="Calibri"/>
                <w:b/>
                <w:bCs/>
                <w:color w:val="000000"/>
                <w:sz w:val="20"/>
              </w:rPr>
              <w:t>2</w:t>
            </w:r>
          </w:p>
        </w:tc>
        <w:tc>
          <w:tcPr>
            <w:tcW w:w="2040" w:type="dxa"/>
            <w:tcBorders>
              <w:top w:val="nil"/>
              <w:left w:val="nil"/>
              <w:bottom w:val="single" w:sz="12" w:space="0" w:color="auto"/>
              <w:right w:val="single" w:sz="12" w:space="0" w:color="auto"/>
            </w:tcBorders>
            <w:shd w:val="clear" w:color="auto" w:fill="auto"/>
            <w:vAlign w:val="center"/>
            <w:hideMark/>
          </w:tcPr>
          <w:p w:rsidR="00B94D08" w:rsidRPr="00CD7972" w:rsidP="59BD98AB" w14:paraId="7FBBFF4B" w14:textId="6C30EB98">
            <w:pPr>
              <w:pStyle w:val="paragraph"/>
              <w:spacing w:before="0" w:beforeAutospacing="0" w:after="0" w:afterAutospacing="0"/>
              <w:jc w:val="center"/>
              <w:textAlignment w:val="baseline"/>
              <w:rPr>
                <w:rFonts w:asciiTheme="majorHAnsi" w:hAnsiTheme="majorHAnsi" w:cstheme="majorBidi"/>
                <w:sz w:val="20"/>
                <w:szCs w:val="20"/>
              </w:rPr>
            </w:pPr>
            <w:r w:rsidRPr="47E5D251">
              <w:rPr>
                <w:rStyle w:val="normaltextrun"/>
                <w:rFonts w:asciiTheme="majorHAnsi" w:hAnsiTheme="majorHAnsi" w:cstheme="majorBidi"/>
                <w:b/>
                <w:bCs/>
                <w:sz w:val="20"/>
                <w:szCs w:val="20"/>
              </w:rPr>
              <w:t>Email</w:t>
            </w:r>
            <w:r w:rsidRPr="47E5D251" w:rsidR="78CAC941">
              <w:rPr>
                <w:rStyle w:val="normaltextrun"/>
                <w:rFonts w:asciiTheme="majorHAnsi" w:hAnsiTheme="majorHAnsi" w:cstheme="majorBidi"/>
                <w:b/>
                <w:bCs/>
                <w:sz w:val="20"/>
                <w:szCs w:val="20"/>
              </w:rPr>
              <w:t xml:space="preserve"> Address or </w:t>
            </w:r>
            <w:r w:rsidRPr="47E5D251">
              <w:rPr>
                <w:rStyle w:val="normaltextrun"/>
                <w:rFonts w:asciiTheme="majorHAnsi" w:hAnsiTheme="majorHAnsi" w:cstheme="majorBidi"/>
                <w:b/>
                <w:bCs/>
                <w:sz w:val="20"/>
                <w:szCs w:val="20"/>
              </w:rPr>
              <w:t>Phone</w:t>
            </w:r>
            <w:r w:rsidRPr="47E5D251" w:rsidR="78CAC941">
              <w:rPr>
                <w:rStyle w:val="normaltextrun"/>
                <w:rFonts w:asciiTheme="majorHAnsi" w:hAnsiTheme="majorHAnsi" w:cstheme="majorBidi"/>
                <w:b/>
                <w:bCs/>
                <w:sz w:val="20"/>
                <w:szCs w:val="20"/>
              </w:rPr>
              <w:t xml:space="preserve"> Number </w:t>
            </w:r>
            <w:r w:rsidRPr="47E5D251">
              <w:rPr>
                <w:rStyle w:val="normaltextrun"/>
                <w:rFonts w:asciiTheme="majorHAnsi" w:hAnsiTheme="majorHAnsi" w:cstheme="majorBidi"/>
                <w:b/>
                <w:bCs/>
                <w:sz w:val="20"/>
                <w:szCs w:val="20"/>
              </w:rPr>
              <w:t>+</w:t>
            </w:r>
            <w:r w:rsidRPr="47E5D251" w:rsidR="78CAC941">
              <w:rPr>
                <w:rStyle w:val="normaltextrun"/>
                <w:rFonts w:asciiTheme="majorHAnsi" w:hAnsiTheme="majorHAnsi" w:cstheme="majorBidi"/>
                <w:b/>
                <w:bCs/>
                <w:sz w:val="20"/>
                <w:szCs w:val="20"/>
              </w:rPr>
              <w:t xml:space="preserve"> </w:t>
            </w:r>
            <w:r w:rsidRPr="47E5D251" w:rsidR="33F7E62F">
              <w:rPr>
                <w:rStyle w:val="normaltextrun"/>
                <w:rFonts w:asciiTheme="majorHAnsi" w:hAnsiTheme="majorHAnsi" w:cstheme="majorBidi"/>
                <w:b/>
                <w:bCs/>
                <w:sz w:val="20"/>
                <w:szCs w:val="20"/>
              </w:rPr>
              <w:t>Verification Code</w:t>
            </w:r>
            <w:r w:rsidR="008D2885">
              <w:rPr>
                <w:rStyle w:val="normaltextrun"/>
                <w:rFonts w:asciiTheme="majorHAnsi" w:hAnsiTheme="majorHAnsi" w:cstheme="majorBidi"/>
                <w:b/>
                <w:bCs/>
                <w:sz w:val="20"/>
                <w:szCs w:val="20"/>
              </w:rPr>
              <w:t>**</w:t>
            </w:r>
            <w:r w:rsidRPr="47E5D251" w:rsidR="78CAC941">
              <w:rPr>
                <w:rStyle w:val="normaltextrun"/>
                <w:rFonts w:asciiTheme="majorHAnsi" w:hAnsiTheme="majorHAnsi" w:cstheme="majorBidi"/>
                <w:b/>
                <w:bCs/>
                <w:sz w:val="20"/>
                <w:szCs w:val="20"/>
              </w:rPr>
              <w:t xml:space="preserve"> </w:t>
            </w:r>
            <w:r w:rsidRPr="47E5D251">
              <w:rPr>
                <w:rStyle w:val="normaltextrun"/>
                <w:rFonts w:asciiTheme="majorHAnsi" w:hAnsiTheme="majorHAnsi" w:cstheme="majorBidi"/>
                <w:b/>
                <w:bCs/>
                <w:sz w:val="20"/>
                <w:szCs w:val="20"/>
              </w:rPr>
              <w:t>+</w:t>
            </w:r>
            <w:r w:rsidRPr="47E5D251" w:rsidR="78CAC941">
              <w:rPr>
                <w:rStyle w:val="normaltextrun"/>
                <w:rFonts w:asciiTheme="majorHAnsi" w:hAnsiTheme="majorHAnsi" w:cstheme="majorBidi"/>
                <w:b/>
                <w:bCs/>
                <w:sz w:val="20"/>
                <w:szCs w:val="20"/>
              </w:rPr>
              <w:t xml:space="preserve"> </w:t>
            </w:r>
            <w:r w:rsidRPr="47E5D251">
              <w:rPr>
                <w:rStyle w:val="normaltextrun"/>
                <w:rFonts w:asciiTheme="majorHAnsi" w:hAnsiTheme="majorHAnsi" w:cstheme="majorBidi"/>
                <w:b/>
                <w:bCs/>
                <w:sz w:val="20"/>
                <w:szCs w:val="20"/>
              </w:rPr>
              <w:t>Auth</w:t>
            </w:r>
            <w:r w:rsidRPr="47E5D251" w:rsidR="78CAC941">
              <w:rPr>
                <w:rStyle w:val="normaltextrun"/>
                <w:rFonts w:asciiTheme="majorHAnsi" w:hAnsiTheme="majorHAnsi" w:cstheme="majorBidi"/>
                <w:b/>
                <w:bCs/>
                <w:sz w:val="20"/>
                <w:szCs w:val="20"/>
              </w:rPr>
              <w:t xml:space="preserve"> Code</w:t>
            </w:r>
            <w:r w:rsidRPr="47E5D251">
              <w:rPr>
                <w:rStyle w:val="eop"/>
                <w:rFonts w:asciiTheme="majorHAnsi" w:hAnsiTheme="majorHAnsi" w:cstheme="majorBidi"/>
                <w:sz w:val="20"/>
                <w:szCs w:val="20"/>
              </w:rPr>
              <w:t> </w:t>
            </w:r>
          </w:p>
        </w:tc>
        <w:tc>
          <w:tcPr>
            <w:tcW w:w="1665" w:type="dxa"/>
            <w:tcBorders>
              <w:top w:val="nil"/>
              <w:left w:val="nil"/>
              <w:bottom w:val="single" w:sz="12" w:space="0" w:color="auto"/>
              <w:right w:val="single" w:sz="12" w:space="0" w:color="auto"/>
            </w:tcBorders>
            <w:shd w:val="clear" w:color="auto" w:fill="auto"/>
            <w:vAlign w:val="center"/>
            <w:hideMark/>
          </w:tcPr>
          <w:p w:rsidR="00B94D08" w:rsidRPr="00F27820" w:rsidP="63C3283B" w14:paraId="6A3DDD4D" w14:textId="641F8839">
            <w:pPr>
              <w:jc w:val="center"/>
              <w:rPr>
                <w:rFonts w:ascii="Calibri" w:hAnsi="Calibri" w:cs="Calibri"/>
                <w:color w:val="000000"/>
                <w:sz w:val="20"/>
              </w:rPr>
            </w:pPr>
            <w:r w:rsidRPr="63C3283B">
              <w:rPr>
                <w:rFonts w:ascii="Calibri" w:hAnsi="Calibri" w:cs="Calibri"/>
                <w:color w:val="000000" w:themeColor="text1"/>
                <w:sz w:val="20"/>
              </w:rPr>
              <w:t>Initial letter</w:t>
            </w:r>
            <w:r w:rsidRPr="63C3283B" w:rsidR="00D52745">
              <w:rPr>
                <w:rFonts w:ascii="Calibri" w:hAnsi="Calibri" w:cs="Calibri"/>
                <w:color w:val="000000" w:themeColor="text1"/>
                <w:sz w:val="20"/>
              </w:rPr>
              <w:t xml:space="preserve"> with </w:t>
            </w:r>
            <w:r w:rsidRPr="63C3283B" w:rsidR="42BC8400">
              <w:rPr>
                <w:rFonts w:ascii="Calibri" w:hAnsi="Calibri" w:cs="Calibri"/>
                <w:color w:val="000000" w:themeColor="text1"/>
                <w:sz w:val="20"/>
              </w:rPr>
              <w:t>URL</w:t>
            </w:r>
            <w:r w:rsidRPr="63C3283B" w:rsidR="00D52745">
              <w:rPr>
                <w:rFonts w:ascii="Calibri" w:hAnsi="Calibri" w:cs="Calibri"/>
                <w:color w:val="000000" w:themeColor="text1"/>
                <w:sz w:val="20"/>
              </w:rPr>
              <w:t xml:space="preserve"> </w:t>
            </w:r>
            <w:r w:rsidRPr="63C3283B" w:rsidR="5B5C2ABF">
              <w:rPr>
                <w:rFonts w:ascii="Calibri" w:hAnsi="Calibri" w:cs="Calibri"/>
                <w:color w:val="000000" w:themeColor="text1"/>
                <w:sz w:val="20"/>
              </w:rPr>
              <w:t>&amp; Phone #</w:t>
            </w:r>
            <w:r w:rsidRPr="63C3283B" w:rsidR="29DE48F4">
              <w:rPr>
                <w:rFonts w:ascii="Calibri" w:hAnsi="Calibri" w:cs="Calibri"/>
                <w:color w:val="000000" w:themeColor="text1"/>
                <w:sz w:val="20"/>
              </w:rPr>
              <w:t>2</w:t>
            </w:r>
          </w:p>
        </w:tc>
        <w:tc>
          <w:tcPr>
            <w:tcW w:w="2010" w:type="dxa"/>
            <w:tcBorders>
              <w:top w:val="nil"/>
              <w:left w:val="nil"/>
              <w:bottom w:val="single" w:sz="12" w:space="0" w:color="auto"/>
              <w:right w:val="single" w:sz="12" w:space="0" w:color="auto"/>
            </w:tcBorders>
            <w:shd w:val="clear" w:color="auto" w:fill="auto"/>
            <w:vAlign w:val="center"/>
            <w:hideMark/>
          </w:tcPr>
          <w:p w:rsidR="00B94D08" w:rsidP="17F429DF" w14:paraId="3B4F6221" w14:textId="474E9FC9">
            <w:pPr>
              <w:jc w:val="center"/>
              <w:rPr>
                <w:rFonts w:ascii="Calibri" w:hAnsi="Calibri" w:cs="Calibri"/>
                <w:color w:val="000000"/>
                <w:sz w:val="20"/>
              </w:rPr>
            </w:pPr>
            <w:r w:rsidRPr="17F429DF">
              <w:rPr>
                <w:rFonts w:ascii="Calibri" w:hAnsi="Calibri" w:cs="Calibri"/>
                <w:color w:val="000000" w:themeColor="text1"/>
                <w:sz w:val="20"/>
              </w:rPr>
              <w:t>Reminder letter</w:t>
            </w:r>
            <w:r w:rsidRPr="17F429DF" w:rsidR="1E15B68B">
              <w:rPr>
                <w:rFonts w:ascii="Calibri" w:hAnsi="Calibri" w:cs="Calibri"/>
                <w:color w:val="000000" w:themeColor="text1"/>
                <w:sz w:val="20"/>
              </w:rPr>
              <w:t xml:space="preserve"> 1</w:t>
            </w:r>
          </w:p>
          <w:p w:rsidR="00D52745" w:rsidRPr="00F27820" w:rsidP="63C3283B" w14:paraId="625FB2F4" w14:textId="241DBF4A">
            <w:pPr>
              <w:jc w:val="center"/>
              <w:rPr>
                <w:rFonts w:ascii="Calibri" w:hAnsi="Calibri" w:cs="Calibri"/>
                <w:color w:val="000000"/>
                <w:sz w:val="20"/>
              </w:rPr>
            </w:pPr>
            <w:r w:rsidRPr="63C3283B">
              <w:rPr>
                <w:rFonts w:ascii="Calibri" w:hAnsi="Calibri" w:cs="Calibri"/>
                <w:color w:val="000000" w:themeColor="text1"/>
                <w:sz w:val="20"/>
              </w:rPr>
              <w:t xml:space="preserve">with </w:t>
            </w:r>
            <w:r w:rsidRPr="63C3283B" w:rsidR="6CA1E0EC">
              <w:rPr>
                <w:rFonts w:ascii="Calibri" w:hAnsi="Calibri" w:cs="Calibri"/>
                <w:color w:val="000000" w:themeColor="text1"/>
                <w:sz w:val="20"/>
              </w:rPr>
              <w:t>URL</w:t>
            </w:r>
            <w:r w:rsidRPr="63C3283B" w:rsidR="028098DD">
              <w:rPr>
                <w:rFonts w:ascii="Calibri" w:hAnsi="Calibri" w:cs="Calibri"/>
                <w:color w:val="000000" w:themeColor="text1"/>
                <w:sz w:val="20"/>
              </w:rPr>
              <w:t xml:space="preserve"> &amp; Phone #2</w:t>
            </w:r>
          </w:p>
        </w:tc>
        <w:tc>
          <w:tcPr>
            <w:tcW w:w="2025" w:type="dxa"/>
            <w:tcBorders>
              <w:top w:val="nil"/>
              <w:left w:val="nil"/>
              <w:bottom w:val="single" w:sz="12" w:space="0" w:color="auto"/>
              <w:right w:val="single" w:sz="12" w:space="0" w:color="auto"/>
            </w:tcBorders>
            <w:shd w:val="clear" w:color="auto" w:fill="auto"/>
            <w:vAlign w:val="center"/>
            <w:hideMark/>
          </w:tcPr>
          <w:p w:rsidR="00B94D08" w:rsidP="17F429DF" w14:paraId="06706F4F" w14:textId="3C6011AA">
            <w:pPr>
              <w:jc w:val="center"/>
              <w:rPr>
                <w:rFonts w:ascii="Calibri" w:hAnsi="Calibri" w:cs="Calibri"/>
                <w:color w:val="000000"/>
                <w:sz w:val="20"/>
              </w:rPr>
            </w:pPr>
            <w:r w:rsidRPr="17F429DF">
              <w:rPr>
                <w:rFonts w:ascii="Calibri" w:hAnsi="Calibri" w:cs="Calibri"/>
                <w:color w:val="000000" w:themeColor="text1"/>
                <w:sz w:val="20"/>
              </w:rPr>
              <w:t>Reminder Postcard</w:t>
            </w:r>
            <w:r w:rsidRPr="17F429DF" w:rsidR="18281094">
              <w:rPr>
                <w:rFonts w:ascii="Calibri" w:hAnsi="Calibri" w:cs="Calibri"/>
                <w:color w:val="000000" w:themeColor="text1"/>
                <w:sz w:val="20"/>
              </w:rPr>
              <w:t xml:space="preserve"> 1</w:t>
            </w:r>
          </w:p>
          <w:p w:rsidR="005374E0" w:rsidRPr="00F27820" w:rsidP="63C3283B" w14:paraId="0C612EA2" w14:textId="3E5867EA">
            <w:pPr>
              <w:jc w:val="center"/>
              <w:rPr>
                <w:rFonts w:ascii="Calibri" w:hAnsi="Calibri" w:cs="Calibri"/>
                <w:color w:val="000000"/>
                <w:sz w:val="20"/>
              </w:rPr>
            </w:pPr>
            <w:r w:rsidRPr="63C3283B">
              <w:rPr>
                <w:rFonts w:ascii="Calibri" w:hAnsi="Calibri" w:cs="Calibri"/>
                <w:color w:val="000000" w:themeColor="text1"/>
                <w:sz w:val="20"/>
              </w:rPr>
              <w:t xml:space="preserve">with </w:t>
            </w:r>
            <w:r w:rsidRPr="63C3283B" w:rsidR="38CFE1C8">
              <w:rPr>
                <w:rFonts w:ascii="Calibri" w:hAnsi="Calibri" w:cs="Calibri"/>
                <w:color w:val="000000" w:themeColor="text1"/>
                <w:sz w:val="20"/>
              </w:rPr>
              <w:t>URL</w:t>
            </w:r>
            <w:r w:rsidRPr="63C3283B">
              <w:rPr>
                <w:rFonts w:ascii="Calibri" w:hAnsi="Calibri" w:cs="Calibri"/>
                <w:color w:val="000000" w:themeColor="text1"/>
                <w:sz w:val="20"/>
              </w:rPr>
              <w:t xml:space="preserve"> </w:t>
            </w:r>
            <w:r w:rsidRPr="63C3283B" w:rsidR="33D6798A">
              <w:rPr>
                <w:rFonts w:ascii="Calibri" w:hAnsi="Calibri" w:cs="Calibri"/>
                <w:color w:val="000000" w:themeColor="text1"/>
                <w:sz w:val="20"/>
              </w:rPr>
              <w:t>&amp; Phone #2</w:t>
            </w:r>
          </w:p>
        </w:tc>
        <w:tc>
          <w:tcPr>
            <w:tcW w:w="2100" w:type="dxa"/>
            <w:tcBorders>
              <w:top w:val="nil"/>
              <w:left w:val="nil"/>
              <w:bottom w:val="single" w:sz="12" w:space="0" w:color="auto"/>
              <w:right w:val="single" w:sz="12" w:space="0" w:color="auto"/>
            </w:tcBorders>
            <w:shd w:val="clear" w:color="auto" w:fill="auto"/>
            <w:vAlign w:val="center"/>
            <w:hideMark/>
          </w:tcPr>
          <w:p w:rsidR="4A492194" w:rsidP="59BD98AB" w14:paraId="2D56B7D1" w14:textId="3CCE1D83">
            <w:pPr>
              <w:jc w:val="center"/>
              <w:rPr>
                <w:rFonts w:ascii="Calibri" w:hAnsi="Calibri" w:cs="Calibri"/>
                <w:color w:val="000000" w:themeColor="text1"/>
                <w:sz w:val="20"/>
              </w:rPr>
            </w:pPr>
            <w:r w:rsidRPr="17F429DF">
              <w:rPr>
                <w:rFonts w:ascii="Calibri" w:hAnsi="Calibri" w:cs="Calibri"/>
                <w:color w:val="000000" w:themeColor="text1"/>
                <w:sz w:val="20"/>
              </w:rPr>
              <w:t xml:space="preserve">Reminder </w:t>
            </w:r>
            <w:r w:rsidRPr="17F429DF" w:rsidR="7519A2AB">
              <w:rPr>
                <w:rFonts w:ascii="Calibri" w:hAnsi="Calibri" w:cs="Calibri"/>
                <w:color w:val="000000" w:themeColor="text1"/>
                <w:sz w:val="20"/>
              </w:rPr>
              <w:t>Letter</w:t>
            </w:r>
            <w:r w:rsidRPr="17F429DF" w:rsidR="2BCC0D3E">
              <w:rPr>
                <w:rFonts w:ascii="Calibri" w:hAnsi="Calibri" w:cs="Calibri"/>
                <w:color w:val="000000" w:themeColor="text1"/>
                <w:sz w:val="20"/>
              </w:rPr>
              <w:t xml:space="preserve"> 2</w:t>
            </w:r>
          </w:p>
          <w:p w:rsidR="005374E0" w:rsidRPr="00F27820" w:rsidP="63C3283B" w14:paraId="0746B739" w14:textId="01F82F93">
            <w:pPr>
              <w:jc w:val="center"/>
              <w:rPr>
                <w:rFonts w:ascii="Calibri" w:hAnsi="Calibri" w:cs="Calibri"/>
                <w:color w:val="000000"/>
                <w:sz w:val="20"/>
              </w:rPr>
            </w:pPr>
            <w:r w:rsidRPr="63C3283B">
              <w:rPr>
                <w:rFonts w:ascii="Calibri" w:hAnsi="Calibri" w:cs="Calibri"/>
                <w:color w:val="000000" w:themeColor="text1"/>
                <w:sz w:val="20"/>
              </w:rPr>
              <w:t xml:space="preserve">with </w:t>
            </w:r>
            <w:r w:rsidRPr="63C3283B" w:rsidR="0BC75EB7">
              <w:rPr>
                <w:rFonts w:ascii="Calibri" w:hAnsi="Calibri" w:cs="Calibri"/>
                <w:color w:val="000000" w:themeColor="text1"/>
                <w:sz w:val="20"/>
              </w:rPr>
              <w:t>URL</w:t>
            </w:r>
            <w:r w:rsidRPr="63C3283B" w:rsidR="5C01A237">
              <w:rPr>
                <w:rFonts w:ascii="Calibri" w:hAnsi="Calibri" w:cs="Calibri"/>
                <w:color w:val="000000" w:themeColor="text1"/>
                <w:sz w:val="20"/>
              </w:rPr>
              <w:t xml:space="preserve"> &amp; Phone #2</w:t>
            </w:r>
          </w:p>
        </w:tc>
      </w:tr>
      <w:tr w14:paraId="3D69F26F" w14:textId="77777777" w:rsidTr="47E5D251">
        <w:tblPrEx>
          <w:tblW w:w="10785" w:type="dxa"/>
          <w:tblLook w:val="04A0"/>
        </w:tblPrEx>
        <w:trPr>
          <w:trHeight w:val="540"/>
        </w:trPr>
        <w:tc>
          <w:tcPr>
            <w:tcW w:w="945" w:type="dxa"/>
            <w:tcBorders>
              <w:top w:val="nil"/>
              <w:left w:val="single" w:sz="12" w:space="0" w:color="auto"/>
              <w:bottom w:val="single" w:sz="12" w:space="0" w:color="auto"/>
              <w:right w:val="single" w:sz="12" w:space="0" w:color="auto"/>
            </w:tcBorders>
            <w:shd w:val="clear" w:color="auto" w:fill="DEEBF6" w:themeFill="accent1" w:themeFillTint="33"/>
            <w:vAlign w:val="center"/>
            <w:hideMark/>
          </w:tcPr>
          <w:p w:rsidR="00B94D08" w:rsidRPr="00F27820" w:rsidP="00CD7972" w14:paraId="107D10C5" w14:textId="77777777">
            <w:pPr>
              <w:jc w:val="center"/>
              <w:rPr>
                <w:rFonts w:ascii="Calibri" w:hAnsi="Calibri" w:cs="Calibri"/>
                <w:b/>
                <w:bCs/>
                <w:color w:val="000000"/>
                <w:sz w:val="20"/>
              </w:rPr>
            </w:pPr>
            <w:r w:rsidRPr="00F27820">
              <w:rPr>
                <w:rFonts w:ascii="Calibri" w:hAnsi="Calibri" w:cs="Calibri"/>
                <w:b/>
                <w:bCs/>
                <w:color w:val="000000"/>
                <w:sz w:val="20"/>
              </w:rPr>
              <w:t>3</w:t>
            </w:r>
          </w:p>
        </w:tc>
        <w:tc>
          <w:tcPr>
            <w:tcW w:w="2040" w:type="dxa"/>
            <w:tcBorders>
              <w:top w:val="nil"/>
              <w:left w:val="nil"/>
              <w:bottom w:val="single" w:sz="12" w:space="0" w:color="auto"/>
              <w:right w:val="single" w:sz="12" w:space="0" w:color="auto"/>
            </w:tcBorders>
            <w:shd w:val="clear" w:color="auto" w:fill="DEEBF6" w:themeFill="accent1" w:themeFillTint="33"/>
            <w:vAlign w:val="center"/>
            <w:hideMark/>
          </w:tcPr>
          <w:p w:rsidR="00B94D08" w:rsidRPr="00CD7972" w:rsidP="59BD98AB" w14:paraId="28F91FE6" w14:textId="2C50C3DE">
            <w:pPr>
              <w:pStyle w:val="paragraph"/>
              <w:spacing w:before="0" w:beforeAutospacing="0" w:after="0" w:afterAutospacing="0"/>
              <w:jc w:val="center"/>
              <w:textAlignment w:val="baseline"/>
              <w:rPr>
                <w:rFonts w:asciiTheme="majorHAnsi" w:hAnsiTheme="majorHAnsi" w:cstheme="majorBidi"/>
                <w:sz w:val="20"/>
                <w:szCs w:val="20"/>
              </w:rPr>
            </w:pPr>
            <w:r w:rsidRPr="47E5D251">
              <w:rPr>
                <w:rStyle w:val="normaltextrun"/>
                <w:rFonts w:asciiTheme="majorHAnsi" w:hAnsiTheme="majorHAnsi" w:cstheme="majorBidi"/>
                <w:b/>
                <w:bCs/>
                <w:sz w:val="20"/>
                <w:szCs w:val="20"/>
              </w:rPr>
              <w:t>Social Media</w:t>
            </w:r>
            <w:r w:rsidRPr="47E5D251" w:rsidR="78CAC941">
              <w:rPr>
                <w:rStyle w:val="normaltextrun"/>
                <w:rFonts w:asciiTheme="majorHAnsi" w:hAnsiTheme="majorHAnsi" w:cstheme="majorBidi"/>
                <w:b/>
                <w:bCs/>
                <w:sz w:val="20"/>
                <w:szCs w:val="20"/>
              </w:rPr>
              <w:t xml:space="preserve"> Login </w:t>
            </w:r>
            <w:r w:rsidRPr="47E5D251">
              <w:rPr>
                <w:rStyle w:val="normaltextrun"/>
                <w:rFonts w:asciiTheme="majorHAnsi" w:hAnsiTheme="majorHAnsi" w:cstheme="majorBidi"/>
                <w:b/>
                <w:bCs/>
                <w:sz w:val="20"/>
                <w:szCs w:val="20"/>
              </w:rPr>
              <w:t>+</w:t>
            </w:r>
            <w:r w:rsidRPr="47E5D251" w:rsidR="53629B41">
              <w:rPr>
                <w:rStyle w:val="normaltextrun"/>
                <w:rFonts w:asciiTheme="majorHAnsi" w:hAnsiTheme="majorHAnsi" w:cstheme="majorBidi"/>
                <w:b/>
                <w:bCs/>
                <w:sz w:val="20"/>
                <w:szCs w:val="20"/>
              </w:rPr>
              <w:t xml:space="preserve"> Verification Code</w:t>
            </w:r>
            <w:r w:rsidR="008D2885">
              <w:rPr>
                <w:rStyle w:val="normaltextrun"/>
                <w:rFonts w:asciiTheme="majorHAnsi" w:hAnsiTheme="majorHAnsi" w:cstheme="majorBidi"/>
                <w:b/>
                <w:bCs/>
                <w:sz w:val="20"/>
                <w:szCs w:val="20"/>
              </w:rPr>
              <w:t>**</w:t>
            </w:r>
            <w:r w:rsidRPr="47E5D251" w:rsidR="53629B41">
              <w:rPr>
                <w:rStyle w:val="normaltextrun"/>
                <w:rFonts w:asciiTheme="majorHAnsi" w:hAnsiTheme="majorHAnsi" w:cstheme="majorBidi"/>
                <w:b/>
                <w:bCs/>
                <w:sz w:val="20"/>
                <w:szCs w:val="20"/>
              </w:rPr>
              <w:t xml:space="preserve"> +</w:t>
            </w:r>
            <w:r w:rsidRPr="47E5D251" w:rsidR="78CAC941">
              <w:rPr>
                <w:rStyle w:val="normaltextrun"/>
                <w:rFonts w:asciiTheme="majorHAnsi" w:hAnsiTheme="majorHAnsi" w:cstheme="majorBidi"/>
                <w:b/>
                <w:bCs/>
                <w:sz w:val="20"/>
                <w:szCs w:val="20"/>
              </w:rPr>
              <w:t xml:space="preserve"> </w:t>
            </w:r>
            <w:r w:rsidRPr="47E5D251">
              <w:rPr>
                <w:rStyle w:val="normaltextrun"/>
                <w:rFonts w:asciiTheme="majorHAnsi" w:hAnsiTheme="majorHAnsi" w:cstheme="majorBidi"/>
                <w:b/>
                <w:bCs/>
                <w:sz w:val="20"/>
                <w:szCs w:val="20"/>
              </w:rPr>
              <w:t>Auth</w:t>
            </w:r>
            <w:r w:rsidRPr="47E5D251" w:rsidR="78CAC941">
              <w:rPr>
                <w:rStyle w:val="normaltextrun"/>
                <w:rFonts w:asciiTheme="majorHAnsi" w:hAnsiTheme="majorHAnsi" w:cstheme="majorBidi"/>
                <w:b/>
                <w:bCs/>
                <w:sz w:val="20"/>
                <w:szCs w:val="20"/>
              </w:rPr>
              <w:t xml:space="preserve"> Code</w:t>
            </w:r>
          </w:p>
        </w:tc>
        <w:tc>
          <w:tcPr>
            <w:tcW w:w="1665" w:type="dxa"/>
            <w:tcBorders>
              <w:top w:val="nil"/>
              <w:left w:val="nil"/>
              <w:bottom w:val="single" w:sz="12" w:space="0" w:color="auto"/>
              <w:right w:val="single" w:sz="12" w:space="0" w:color="auto"/>
            </w:tcBorders>
            <w:shd w:val="clear" w:color="auto" w:fill="DEEBF6" w:themeFill="accent1" w:themeFillTint="33"/>
            <w:vAlign w:val="center"/>
            <w:hideMark/>
          </w:tcPr>
          <w:p w:rsidR="00B94D08" w:rsidRPr="00F27820" w:rsidP="63C3283B" w14:paraId="78497538" w14:textId="16D96897">
            <w:pPr>
              <w:jc w:val="center"/>
              <w:rPr>
                <w:rFonts w:ascii="Calibri" w:hAnsi="Calibri" w:cs="Calibri"/>
                <w:color w:val="000000"/>
                <w:sz w:val="20"/>
              </w:rPr>
            </w:pPr>
            <w:r w:rsidRPr="63C3283B">
              <w:rPr>
                <w:rFonts w:ascii="Calibri" w:hAnsi="Calibri" w:cs="Calibri"/>
                <w:color w:val="000000" w:themeColor="text1"/>
                <w:sz w:val="20"/>
              </w:rPr>
              <w:t>Initial letter</w:t>
            </w:r>
            <w:r w:rsidRPr="63C3283B" w:rsidR="00D52745">
              <w:rPr>
                <w:rFonts w:ascii="Calibri" w:hAnsi="Calibri" w:cs="Calibri"/>
                <w:color w:val="000000" w:themeColor="text1"/>
                <w:sz w:val="20"/>
              </w:rPr>
              <w:t xml:space="preserve"> with </w:t>
            </w:r>
            <w:r w:rsidRPr="63C3283B" w:rsidR="1A22FA64">
              <w:rPr>
                <w:rFonts w:ascii="Calibri" w:hAnsi="Calibri" w:cs="Calibri"/>
                <w:color w:val="000000" w:themeColor="text1"/>
                <w:sz w:val="20"/>
              </w:rPr>
              <w:t>URL</w:t>
            </w:r>
            <w:r w:rsidRPr="63C3283B" w:rsidR="00D52745">
              <w:rPr>
                <w:rFonts w:ascii="Calibri" w:hAnsi="Calibri" w:cs="Calibri"/>
                <w:color w:val="000000" w:themeColor="text1"/>
                <w:sz w:val="20"/>
              </w:rPr>
              <w:t xml:space="preserve"> </w:t>
            </w:r>
            <w:r w:rsidRPr="63C3283B" w:rsidR="1CBE23FF">
              <w:rPr>
                <w:rFonts w:ascii="Calibri" w:hAnsi="Calibri" w:cs="Calibri"/>
                <w:color w:val="000000" w:themeColor="text1"/>
                <w:sz w:val="20"/>
              </w:rPr>
              <w:t>&amp; Phone #3</w:t>
            </w:r>
          </w:p>
        </w:tc>
        <w:tc>
          <w:tcPr>
            <w:tcW w:w="2010" w:type="dxa"/>
            <w:tcBorders>
              <w:top w:val="nil"/>
              <w:left w:val="nil"/>
              <w:bottom w:val="single" w:sz="12" w:space="0" w:color="auto"/>
              <w:right w:val="single" w:sz="12" w:space="0" w:color="auto"/>
            </w:tcBorders>
            <w:shd w:val="clear" w:color="auto" w:fill="DEEBF6" w:themeFill="accent1" w:themeFillTint="33"/>
            <w:vAlign w:val="center"/>
            <w:hideMark/>
          </w:tcPr>
          <w:p w:rsidR="00B94D08" w:rsidP="17F429DF" w14:paraId="2B46F71D" w14:textId="56F0014F">
            <w:pPr>
              <w:jc w:val="center"/>
              <w:rPr>
                <w:rFonts w:ascii="Calibri" w:hAnsi="Calibri" w:cs="Calibri"/>
                <w:color w:val="000000"/>
                <w:sz w:val="20"/>
              </w:rPr>
            </w:pPr>
            <w:r w:rsidRPr="17F429DF">
              <w:rPr>
                <w:rFonts w:ascii="Calibri" w:hAnsi="Calibri" w:cs="Calibri"/>
                <w:color w:val="000000" w:themeColor="text1"/>
                <w:sz w:val="20"/>
              </w:rPr>
              <w:t>Reminder letter</w:t>
            </w:r>
            <w:r w:rsidRPr="17F429DF" w:rsidR="2AFD3447">
              <w:rPr>
                <w:rFonts w:ascii="Calibri" w:hAnsi="Calibri" w:cs="Calibri"/>
                <w:color w:val="000000" w:themeColor="text1"/>
                <w:sz w:val="20"/>
              </w:rPr>
              <w:t xml:space="preserve"> 1</w:t>
            </w:r>
          </w:p>
          <w:p w:rsidR="00D52745" w:rsidRPr="00F27820" w:rsidP="63C3283B" w14:paraId="3522EE2A" w14:textId="6921CD8B">
            <w:pPr>
              <w:jc w:val="center"/>
              <w:rPr>
                <w:rFonts w:ascii="Calibri" w:hAnsi="Calibri" w:cs="Calibri"/>
                <w:color w:val="000000"/>
                <w:sz w:val="20"/>
              </w:rPr>
            </w:pPr>
            <w:r w:rsidRPr="63C3283B">
              <w:rPr>
                <w:rFonts w:ascii="Calibri" w:hAnsi="Calibri" w:cs="Calibri"/>
                <w:color w:val="000000" w:themeColor="text1"/>
                <w:sz w:val="20"/>
              </w:rPr>
              <w:t xml:space="preserve">with </w:t>
            </w:r>
            <w:r w:rsidRPr="63C3283B" w:rsidR="7FEF18FF">
              <w:rPr>
                <w:rFonts w:ascii="Calibri" w:hAnsi="Calibri" w:cs="Calibri"/>
                <w:color w:val="000000" w:themeColor="text1"/>
                <w:sz w:val="20"/>
              </w:rPr>
              <w:t>URL</w:t>
            </w:r>
            <w:r w:rsidRPr="63C3283B">
              <w:rPr>
                <w:rFonts w:ascii="Calibri" w:hAnsi="Calibri" w:cs="Calibri"/>
                <w:color w:val="000000" w:themeColor="text1"/>
                <w:sz w:val="20"/>
              </w:rPr>
              <w:t xml:space="preserve"> </w:t>
            </w:r>
            <w:r w:rsidRPr="63C3283B" w:rsidR="071DDE7B">
              <w:rPr>
                <w:rFonts w:ascii="Calibri" w:hAnsi="Calibri" w:cs="Calibri"/>
                <w:color w:val="000000" w:themeColor="text1"/>
                <w:sz w:val="20"/>
              </w:rPr>
              <w:t>&amp; Phone #3</w:t>
            </w:r>
          </w:p>
        </w:tc>
        <w:tc>
          <w:tcPr>
            <w:tcW w:w="2025" w:type="dxa"/>
            <w:tcBorders>
              <w:top w:val="nil"/>
              <w:left w:val="nil"/>
              <w:bottom w:val="single" w:sz="12" w:space="0" w:color="auto"/>
              <w:right w:val="single" w:sz="12" w:space="0" w:color="auto"/>
            </w:tcBorders>
            <w:shd w:val="clear" w:color="auto" w:fill="DEEBF6" w:themeFill="accent1" w:themeFillTint="33"/>
            <w:vAlign w:val="center"/>
            <w:hideMark/>
          </w:tcPr>
          <w:p w:rsidR="00B94D08" w:rsidP="17F429DF" w14:paraId="0AD104AE" w14:textId="78FD5EBC">
            <w:pPr>
              <w:jc w:val="center"/>
              <w:rPr>
                <w:rFonts w:ascii="Calibri" w:hAnsi="Calibri" w:cs="Calibri"/>
                <w:color w:val="000000"/>
                <w:sz w:val="20"/>
              </w:rPr>
            </w:pPr>
            <w:r w:rsidRPr="17F429DF">
              <w:rPr>
                <w:rFonts w:ascii="Calibri" w:hAnsi="Calibri" w:cs="Calibri"/>
                <w:color w:val="000000" w:themeColor="text1"/>
                <w:sz w:val="20"/>
              </w:rPr>
              <w:t>Reminder Postcard</w:t>
            </w:r>
            <w:r w:rsidRPr="17F429DF" w:rsidR="3BEF5F89">
              <w:rPr>
                <w:rFonts w:ascii="Calibri" w:hAnsi="Calibri" w:cs="Calibri"/>
                <w:color w:val="000000" w:themeColor="text1"/>
                <w:sz w:val="20"/>
              </w:rPr>
              <w:t xml:space="preserve"> 1</w:t>
            </w:r>
          </w:p>
          <w:p w:rsidR="005374E0" w:rsidRPr="00F27820" w:rsidP="63C3283B" w14:paraId="18178ED0" w14:textId="4ADAE064">
            <w:pPr>
              <w:jc w:val="center"/>
              <w:rPr>
                <w:rFonts w:ascii="Calibri" w:hAnsi="Calibri" w:cs="Calibri"/>
                <w:color w:val="000000"/>
                <w:sz w:val="20"/>
              </w:rPr>
            </w:pPr>
            <w:r w:rsidRPr="63C3283B">
              <w:rPr>
                <w:rFonts w:ascii="Calibri" w:hAnsi="Calibri" w:cs="Calibri"/>
                <w:color w:val="000000" w:themeColor="text1"/>
                <w:sz w:val="20"/>
              </w:rPr>
              <w:t xml:space="preserve">with </w:t>
            </w:r>
            <w:r w:rsidRPr="63C3283B" w:rsidR="3CB9DF93">
              <w:rPr>
                <w:rFonts w:ascii="Calibri" w:hAnsi="Calibri" w:cs="Calibri"/>
                <w:color w:val="000000" w:themeColor="text1"/>
                <w:sz w:val="20"/>
              </w:rPr>
              <w:t>URL</w:t>
            </w:r>
            <w:r w:rsidRPr="63C3283B">
              <w:rPr>
                <w:rFonts w:ascii="Calibri" w:hAnsi="Calibri" w:cs="Calibri"/>
                <w:color w:val="000000" w:themeColor="text1"/>
                <w:sz w:val="20"/>
              </w:rPr>
              <w:t xml:space="preserve"> </w:t>
            </w:r>
            <w:r w:rsidRPr="63C3283B" w:rsidR="025264CD">
              <w:rPr>
                <w:rFonts w:ascii="Calibri" w:hAnsi="Calibri" w:cs="Calibri"/>
                <w:color w:val="000000" w:themeColor="text1"/>
                <w:sz w:val="20"/>
              </w:rPr>
              <w:t>&amp; Phone #3</w:t>
            </w:r>
          </w:p>
        </w:tc>
        <w:tc>
          <w:tcPr>
            <w:tcW w:w="2100" w:type="dxa"/>
            <w:tcBorders>
              <w:top w:val="nil"/>
              <w:left w:val="nil"/>
              <w:bottom w:val="single" w:sz="12" w:space="0" w:color="auto"/>
              <w:right w:val="single" w:sz="12" w:space="0" w:color="auto"/>
            </w:tcBorders>
            <w:shd w:val="clear" w:color="auto" w:fill="DEEBF6" w:themeFill="accent1" w:themeFillTint="33"/>
            <w:vAlign w:val="center"/>
            <w:hideMark/>
          </w:tcPr>
          <w:p w:rsidR="00B94D08" w:rsidP="59BD98AB" w14:paraId="4BDAE290" w14:textId="64C22C0B">
            <w:pPr>
              <w:jc w:val="center"/>
              <w:rPr>
                <w:rFonts w:ascii="Calibri" w:hAnsi="Calibri" w:cs="Calibri"/>
                <w:color w:val="000000"/>
                <w:sz w:val="20"/>
              </w:rPr>
            </w:pPr>
            <w:r w:rsidRPr="17F429DF">
              <w:rPr>
                <w:rFonts w:ascii="Calibri" w:hAnsi="Calibri" w:cs="Calibri"/>
                <w:color w:val="000000" w:themeColor="text1"/>
                <w:sz w:val="20"/>
              </w:rPr>
              <w:t xml:space="preserve">Reminder </w:t>
            </w:r>
            <w:r w:rsidRPr="17F429DF" w:rsidR="253C4415">
              <w:rPr>
                <w:rFonts w:ascii="Calibri" w:hAnsi="Calibri" w:cs="Calibri"/>
                <w:color w:val="000000" w:themeColor="text1"/>
                <w:sz w:val="20"/>
              </w:rPr>
              <w:t>Letter</w:t>
            </w:r>
            <w:r w:rsidRPr="17F429DF" w:rsidR="234945B7">
              <w:rPr>
                <w:rFonts w:ascii="Calibri" w:hAnsi="Calibri" w:cs="Calibri"/>
                <w:color w:val="000000" w:themeColor="text1"/>
                <w:sz w:val="20"/>
              </w:rPr>
              <w:t xml:space="preserve"> 2</w:t>
            </w:r>
          </w:p>
          <w:p w:rsidR="005374E0" w:rsidRPr="00F27820" w:rsidP="63C3283B" w14:paraId="5ACE74F6" w14:textId="1BF4E161">
            <w:pPr>
              <w:jc w:val="center"/>
              <w:rPr>
                <w:rFonts w:ascii="Calibri" w:hAnsi="Calibri" w:cs="Calibri"/>
                <w:color w:val="000000"/>
                <w:sz w:val="20"/>
              </w:rPr>
            </w:pPr>
            <w:r w:rsidRPr="63C3283B">
              <w:rPr>
                <w:rFonts w:ascii="Calibri" w:hAnsi="Calibri" w:cs="Calibri"/>
                <w:color w:val="000000" w:themeColor="text1"/>
                <w:sz w:val="20"/>
              </w:rPr>
              <w:t xml:space="preserve">with </w:t>
            </w:r>
            <w:r w:rsidRPr="63C3283B" w:rsidR="1164A183">
              <w:rPr>
                <w:rFonts w:ascii="Calibri" w:hAnsi="Calibri" w:cs="Calibri"/>
                <w:color w:val="000000" w:themeColor="text1"/>
                <w:sz w:val="20"/>
              </w:rPr>
              <w:t>URL</w:t>
            </w:r>
            <w:r w:rsidRPr="63C3283B">
              <w:rPr>
                <w:rFonts w:ascii="Calibri" w:hAnsi="Calibri" w:cs="Calibri"/>
                <w:color w:val="000000" w:themeColor="text1"/>
                <w:sz w:val="20"/>
              </w:rPr>
              <w:t xml:space="preserve"> </w:t>
            </w:r>
            <w:r w:rsidRPr="63C3283B" w:rsidR="58F05372">
              <w:rPr>
                <w:rFonts w:ascii="Calibri" w:hAnsi="Calibri" w:cs="Calibri"/>
                <w:color w:val="000000" w:themeColor="text1"/>
                <w:sz w:val="20"/>
              </w:rPr>
              <w:t>&amp; Phone #3</w:t>
            </w:r>
          </w:p>
        </w:tc>
      </w:tr>
      <w:tr w14:paraId="0ABFE9EB" w14:textId="77777777" w:rsidTr="47E5D251">
        <w:tblPrEx>
          <w:tblW w:w="10785" w:type="dxa"/>
          <w:tblLook w:val="04A0"/>
        </w:tblPrEx>
        <w:trPr>
          <w:trHeight w:val="465"/>
        </w:trPr>
        <w:tc>
          <w:tcPr>
            <w:tcW w:w="945" w:type="dxa"/>
            <w:tcBorders>
              <w:top w:val="nil"/>
              <w:left w:val="single" w:sz="12" w:space="0" w:color="auto"/>
              <w:bottom w:val="single" w:sz="12" w:space="0" w:color="auto"/>
              <w:right w:val="single" w:sz="12" w:space="0" w:color="auto"/>
            </w:tcBorders>
            <w:shd w:val="clear" w:color="auto" w:fill="auto"/>
            <w:vAlign w:val="center"/>
            <w:hideMark/>
          </w:tcPr>
          <w:p w:rsidR="00B94D08" w:rsidRPr="00F27820" w:rsidP="00CD7972" w14:paraId="248669D6" w14:textId="77777777">
            <w:pPr>
              <w:jc w:val="center"/>
              <w:rPr>
                <w:rFonts w:ascii="Calibri" w:hAnsi="Calibri" w:cs="Calibri"/>
                <w:b/>
                <w:bCs/>
                <w:color w:val="000000"/>
                <w:sz w:val="20"/>
              </w:rPr>
            </w:pPr>
            <w:r w:rsidRPr="00F27820">
              <w:rPr>
                <w:rFonts w:ascii="Calibri" w:hAnsi="Calibri" w:cs="Calibri"/>
                <w:b/>
                <w:bCs/>
                <w:color w:val="000000"/>
                <w:sz w:val="20"/>
              </w:rPr>
              <w:t>4</w:t>
            </w:r>
          </w:p>
        </w:tc>
        <w:tc>
          <w:tcPr>
            <w:tcW w:w="2040" w:type="dxa"/>
            <w:tcBorders>
              <w:top w:val="nil"/>
              <w:left w:val="nil"/>
              <w:bottom w:val="single" w:sz="12" w:space="0" w:color="auto"/>
              <w:right w:val="single" w:sz="12" w:space="0" w:color="auto"/>
            </w:tcBorders>
            <w:shd w:val="clear" w:color="auto" w:fill="auto"/>
            <w:vAlign w:val="center"/>
            <w:hideMark/>
          </w:tcPr>
          <w:p w:rsidR="00B94D08" w:rsidRPr="00CD7972" w:rsidP="59BD98AB" w14:paraId="53970498" w14:textId="3176D592">
            <w:pPr>
              <w:pStyle w:val="paragraph"/>
              <w:spacing w:before="0" w:beforeAutospacing="0" w:after="0" w:afterAutospacing="0"/>
              <w:jc w:val="center"/>
              <w:textAlignment w:val="baseline"/>
              <w:rPr>
                <w:rFonts w:asciiTheme="majorHAnsi" w:hAnsiTheme="majorHAnsi" w:cstheme="majorBidi"/>
                <w:sz w:val="20"/>
                <w:szCs w:val="20"/>
              </w:rPr>
            </w:pPr>
            <w:r w:rsidRPr="47E5D251">
              <w:rPr>
                <w:rStyle w:val="normaltextrun"/>
                <w:rFonts w:asciiTheme="majorHAnsi" w:hAnsiTheme="majorHAnsi" w:cstheme="majorBidi"/>
                <w:b/>
                <w:bCs/>
                <w:sz w:val="20"/>
                <w:szCs w:val="20"/>
              </w:rPr>
              <w:t>Auth</w:t>
            </w:r>
            <w:r w:rsidRPr="47E5D251" w:rsidR="78CAC941">
              <w:rPr>
                <w:rStyle w:val="normaltextrun"/>
                <w:rFonts w:asciiTheme="majorHAnsi" w:hAnsiTheme="majorHAnsi" w:cstheme="majorBidi"/>
                <w:b/>
                <w:bCs/>
                <w:sz w:val="20"/>
                <w:szCs w:val="20"/>
              </w:rPr>
              <w:t xml:space="preserve"> Code </w:t>
            </w:r>
            <w:r w:rsidRPr="47E5D251">
              <w:rPr>
                <w:rStyle w:val="normaltextrun"/>
                <w:rFonts w:asciiTheme="majorHAnsi" w:hAnsiTheme="majorHAnsi" w:cstheme="majorBidi"/>
                <w:b/>
                <w:bCs/>
                <w:sz w:val="20"/>
                <w:szCs w:val="20"/>
              </w:rPr>
              <w:t>+</w:t>
            </w:r>
            <w:r w:rsidRPr="47E5D251" w:rsidR="78CAC941">
              <w:rPr>
                <w:rStyle w:val="normaltextrun"/>
                <w:rFonts w:asciiTheme="majorHAnsi" w:hAnsiTheme="majorHAnsi" w:cstheme="majorBidi"/>
                <w:b/>
                <w:bCs/>
                <w:sz w:val="20"/>
                <w:szCs w:val="20"/>
              </w:rPr>
              <w:t xml:space="preserve"> </w:t>
            </w:r>
            <w:r w:rsidRPr="47E5D251">
              <w:rPr>
                <w:rStyle w:val="normaltextrun"/>
                <w:rFonts w:asciiTheme="majorHAnsi" w:hAnsiTheme="majorHAnsi" w:cstheme="majorBidi"/>
                <w:b/>
                <w:bCs/>
                <w:sz w:val="20"/>
                <w:szCs w:val="20"/>
              </w:rPr>
              <w:t>Email</w:t>
            </w:r>
            <w:r w:rsidRPr="47E5D251" w:rsidR="78CAC941">
              <w:rPr>
                <w:rStyle w:val="normaltextrun"/>
                <w:rFonts w:asciiTheme="majorHAnsi" w:hAnsiTheme="majorHAnsi" w:cstheme="majorBidi"/>
                <w:b/>
                <w:bCs/>
                <w:sz w:val="20"/>
                <w:szCs w:val="20"/>
              </w:rPr>
              <w:t xml:space="preserve"> Address or </w:t>
            </w:r>
            <w:r w:rsidRPr="47E5D251">
              <w:rPr>
                <w:rStyle w:val="normaltextrun"/>
                <w:rFonts w:asciiTheme="majorHAnsi" w:hAnsiTheme="majorHAnsi" w:cstheme="majorBidi"/>
                <w:b/>
                <w:bCs/>
                <w:sz w:val="20"/>
                <w:szCs w:val="20"/>
              </w:rPr>
              <w:t>Phone</w:t>
            </w:r>
            <w:r w:rsidRPr="47E5D251" w:rsidR="78CAC941">
              <w:rPr>
                <w:rStyle w:val="normaltextrun"/>
                <w:rFonts w:asciiTheme="majorHAnsi" w:hAnsiTheme="majorHAnsi" w:cstheme="majorBidi"/>
                <w:b/>
                <w:bCs/>
                <w:sz w:val="20"/>
                <w:szCs w:val="20"/>
              </w:rPr>
              <w:t xml:space="preserve"> Number </w:t>
            </w:r>
            <w:r w:rsidRPr="47E5D251">
              <w:rPr>
                <w:rStyle w:val="normaltextrun"/>
                <w:rFonts w:asciiTheme="majorHAnsi" w:hAnsiTheme="majorHAnsi" w:cstheme="majorBidi"/>
                <w:b/>
                <w:bCs/>
                <w:sz w:val="20"/>
                <w:szCs w:val="20"/>
              </w:rPr>
              <w:t>+</w:t>
            </w:r>
            <w:r w:rsidRPr="47E5D251" w:rsidR="78CAC941">
              <w:rPr>
                <w:rStyle w:val="normaltextrun"/>
                <w:rFonts w:asciiTheme="majorHAnsi" w:hAnsiTheme="majorHAnsi" w:cstheme="majorBidi"/>
                <w:b/>
                <w:bCs/>
                <w:sz w:val="20"/>
                <w:szCs w:val="20"/>
              </w:rPr>
              <w:t xml:space="preserve"> </w:t>
            </w:r>
            <w:r w:rsidRPr="47E5D251" w:rsidR="0361AEBB">
              <w:rPr>
                <w:rStyle w:val="normaltextrun"/>
                <w:rFonts w:asciiTheme="majorHAnsi" w:hAnsiTheme="majorHAnsi" w:cstheme="majorBidi"/>
                <w:b/>
                <w:bCs/>
                <w:sz w:val="20"/>
                <w:szCs w:val="20"/>
              </w:rPr>
              <w:t>Verification Code</w:t>
            </w:r>
            <w:r w:rsidRPr="47E5D251">
              <w:rPr>
                <w:rStyle w:val="eop"/>
                <w:rFonts w:asciiTheme="majorHAnsi" w:hAnsiTheme="majorHAnsi" w:cstheme="majorBidi"/>
                <w:sz w:val="20"/>
                <w:szCs w:val="20"/>
              </w:rPr>
              <w:t> </w:t>
            </w:r>
          </w:p>
        </w:tc>
        <w:tc>
          <w:tcPr>
            <w:tcW w:w="1665" w:type="dxa"/>
            <w:tcBorders>
              <w:top w:val="nil"/>
              <w:left w:val="nil"/>
              <w:bottom w:val="single" w:sz="12" w:space="0" w:color="auto"/>
              <w:right w:val="single" w:sz="12" w:space="0" w:color="auto"/>
            </w:tcBorders>
            <w:shd w:val="clear" w:color="auto" w:fill="auto"/>
            <w:vAlign w:val="center"/>
            <w:hideMark/>
          </w:tcPr>
          <w:p w:rsidR="00B94D08" w:rsidRPr="00F27820" w:rsidP="63C3283B" w14:paraId="63980A7E" w14:textId="7296DB4A">
            <w:pPr>
              <w:jc w:val="center"/>
              <w:rPr>
                <w:rFonts w:ascii="Calibri" w:hAnsi="Calibri" w:cs="Calibri"/>
                <w:color w:val="000000"/>
                <w:sz w:val="20"/>
              </w:rPr>
            </w:pPr>
            <w:r w:rsidRPr="63C3283B">
              <w:rPr>
                <w:rFonts w:ascii="Calibri" w:hAnsi="Calibri" w:cs="Calibri"/>
                <w:color w:val="000000" w:themeColor="text1"/>
                <w:sz w:val="20"/>
              </w:rPr>
              <w:t>Initial letter</w:t>
            </w:r>
            <w:r w:rsidRPr="63C3283B" w:rsidR="00D52745">
              <w:rPr>
                <w:rFonts w:ascii="Calibri" w:hAnsi="Calibri" w:cs="Calibri"/>
                <w:color w:val="000000" w:themeColor="text1"/>
                <w:sz w:val="20"/>
              </w:rPr>
              <w:t xml:space="preserve"> with </w:t>
            </w:r>
            <w:r w:rsidRPr="63C3283B" w:rsidR="0A54006B">
              <w:rPr>
                <w:rFonts w:ascii="Calibri" w:hAnsi="Calibri" w:cs="Calibri"/>
                <w:color w:val="000000" w:themeColor="text1"/>
                <w:sz w:val="20"/>
              </w:rPr>
              <w:t>URL</w:t>
            </w:r>
            <w:r w:rsidRPr="63C3283B" w:rsidR="00D52745">
              <w:rPr>
                <w:rFonts w:ascii="Calibri" w:hAnsi="Calibri" w:cs="Calibri"/>
                <w:color w:val="000000" w:themeColor="text1"/>
                <w:sz w:val="20"/>
              </w:rPr>
              <w:t xml:space="preserve"> </w:t>
            </w:r>
            <w:r w:rsidRPr="63C3283B" w:rsidR="282BD322">
              <w:rPr>
                <w:rFonts w:ascii="Calibri" w:hAnsi="Calibri" w:cs="Calibri"/>
                <w:color w:val="000000" w:themeColor="text1"/>
                <w:sz w:val="20"/>
              </w:rPr>
              <w:t>&amp; Phone #4</w:t>
            </w:r>
          </w:p>
        </w:tc>
        <w:tc>
          <w:tcPr>
            <w:tcW w:w="2010" w:type="dxa"/>
            <w:tcBorders>
              <w:top w:val="nil"/>
              <w:left w:val="nil"/>
              <w:bottom w:val="single" w:sz="12" w:space="0" w:color="auto"/>
              <w:right w:val="single" w:sz="12" w:space="0" w:color="auto"/>
            </w:tcBorders>
            <w:shd w:val="clear" w:color="auto" w:fill="auto"/>
            <w:vAlign w:val="center"/>
            <w:hideMark/>
          </w:tcPr>
          <w:p w:rsidR="00B94D08" w:rsidP="17F429DF" w14:paraId="631B08C6" w14:textId="38AAE4DD">
            <w:pPr>
              <w:jc w:val="center"/>
              <w:rPr>
                <w:rFonts w:ascii="Calibri" w:hAnsi="Calibri" w:cs="Calibri"/>
                <w:color w:val="000000"/>
                <w:sz w:val="20"/>
              </w:rPr>
            </w:pPr>
            <w:r w:rsidRPr="17F429DF">
              <w:rPr>
                <w:rFonts w:ascii="Calibri" w:hAnsi="Calibri" w:cs="Calibri"/>
                <w:color w:val="000000" w:themeColor="text1"/>
                <w:sz w:val="20"/>
              </w:rPr>
              <w:t>Reminder letter</w:t>
            </w:r>
            <w:r w:rsidRPr="17F429DF" w:rsidR="3A495401">
              <w:rPr>
                <w:rFonts w:ascii="Calibri" w:hAnsi="Calibri" w:cs="Calibri"/>
                <w:color w:val="000000" w:themeColor="text1"/>
                <w:sz w:val="20"/>
              </w:rPr>
              <w:t xml:space="preserve"> 1</w:t>
            </w:r>
          </w:p>
          <w:p w:rsidR="00D52745" w:rsidRPr="00F27820" w:rsidP="63C3283B" w14:paraId="5AD7645B" w14:textId="4121F70B">
            <w:pPr>
              <w:jc w:val="center"/>
              <w:rPr>
                <w:rFonts w:ascii="Calibri" w:hAnsi="Calibri" w:cs="Calibri"/>
                <w:color w:val="000000"/>
                <w:sz w:val="20"/>
              </w:rPr>
            </w:pPr>
            <w:r w:rsidRPr="63C3283B">
              <w:rPr>
                <w:rFonts w:ascii="Calibri" w:hAnsi="Calibri" w:cs="Calibri"/>
                <w:color w:val="000000" w:themeColor="text1"/>
                <w:sz w:val="20"/>
              </w:rPr>
              <w:t xml:space="preserve">with </w:t>
            </w:r>
            <w:r w:rsidRPr="63C3283B" w:rsidR="24717B6C">
              <w:rPr>
                <w:rFonts w:ascii="Calibri" w:hAnsi="Calibri" w:cs="Calibri"/>
                <w:color w:val="000000" w:themeColor="text1"/>
                <w:sz w:val="20"/>
              </w:rPr>
              <w:t>URL</w:t>
            </w:r>
            <w:r w:rsidRPr="63C3283B" w:rsidR="4BF61664">
              <w:rPr>
                <w:rFonts w:ascii="Calibri" w:hAnsi="Calibri" w:cs="Calibri"/>
                <w:color w:val="000000" w:themeColor="text1"/>
                <w:sz w:val="20"/>
              </w:rPr>
              <w:t xml:space="preserve"> &amp; Phone #4</w:t>
            </w:r>
          </w:p>
        </w:tc>
        <w:tc>
          <w:tcPr>
            <w:tcW w:w="2025" w:type="dxa"/>
            <w:tcBorders>
              <w:top w:val="nil"/>
              <w:left w:val="nil"/>
              <w:bottom w:val="single" w:sz="12" w:space="0" w:color="auto"/>
              <w:right w:val="single" w:sz="12" w:space="0" w:color="auto"/>
            </w:tcBorders>
            <w:shd w:val="clear" w:color="auto" w:fill="auto"/>
            <w:vAlign w:val="center"/>
            <w:hideMark/>
          </w:tcPr>
          <w:p w:rsidR="00B94D08" w:rsidP="17F429DF" w14:paraId="3BE1EF4D" w14:textId="20A2A692">
            <w:pPr>
              <w:jc w:val="center"/>
              <w:rPr>
                <w:rFonts w:ascii="Calibri" w:hAnsi="Calibri" w:cs="Calibri"/>
                <w:color w:val="000000"/>
                <w:sz w:val="20"/>
              </w:rPr>
            </w:pPr>
            <w:r w:rsidRPr="17F429DF">
              <w:rPr>
                <w:rFonts w:ascii="Calibri" w:hAnsi="Calibri" w:cs="Calibri"/>
                <w:color w:val="000000" w:themeColor="text1"/>
                <w:sz w:val="20"/>
              </w:rPr>
              <w:t>Reminder Postcard</w:t>
            </w:r>
            <w:r w:rsidRPr="17F429DF" w:rsidR="589F174A">
              <w:rPr>
                <w:rFonts w:ascii="Calibri" w:hAnsi="Calibri" w:cs="Calibri"/>
                <w:color w:val="000000" w:themeColor="text1"/>
                <w:sz w:val="20"/>
              </w:rPr>
              <w:t xml:space="preserve"> 1</w:t>
            </w:r>
          </w:p>
          <w:p w:rsidR="005374E0" w:rsidRPr="00F27820" w:rsidP="63C3283B" w14:paraId="1431D612" w14:textId="151932B4">
            <w:pPr>
              <w:jc w:val="center"/>
              <w:rPr>
                <w:rFonts w:ascii="Calibri" w:hAnsi="Calibri" w:cs="Calibri"/>
                <w:color w:val="000000"/>
                <w:sz w:val="20"/>
              </w:rPr>
            </w:pPr>
            <w:r w:rsidRPr="63C3283B">
              <w:rPr>
                <w:rFonts w:ascii="Calibri" w:hAnsi="Calibri" w:cs="Calibri"/>
                <w:color w:val="000000" w:themeColor="text1"/>
                <w:sz w:val="20"/>
              </w:rPr>
              <w:t xml:space="preserve">with </w:t>
            </w:r>
            <w:r w:rsidRPr="63C3283B" w:rsidR="76CC9DEB">
              <w:rPr>
                <w:rFonts w:ascii="Calibri" w:hAnsi="Calibri" w:cs="Calibri"/>
                <w:color w:val="000000" w:themeColor="text1"/>
                <w:sz w:val="20"/>
              </w:rPr>
              <w:t>URL</w:t>
            </w:r>
            <w:r w:rsidRPr="63C3283B" w:rsidR="27ED8939">
              <w:rPr>
                <w:rFonts w:ascii="Calibri" w:hAnsi="Calibri" w:cs="Calibri"/>
                <w:color w:val="000000" w:themeColor="text1"/>
                <w:sz w:val="20"/>
              </w:rPr>
              <w:t xml:space="preserve"> &amp; Phone #4</w:t>
            </w:r>
          </w:p>
        </w:tc>
        <w:tc>
          <w:tcPr>
            <w:tcW w:w="2100" w:type="dxa"/>
            <w:tcBorders>
              <w:top w:val="nil"/>
              <w:left w:val="nil"/>
              <w:bottom w:val="single" w:sz="12" w:space="0" w:color="auto"/>
              <w:right w:val="single" w:sz="12" w:space="0" w:color="auto"/>
            </w:tcBorders>
            <w:shd w:val="clear" w:color="auto" w:fill="auto"/>
            <w:vAlign w:val="center"/>
            <w:hideMark/>
          </w:tcPr>
          <w:p w:rsidR="4A492194" w:rsidP="59BD98AB" w14:paraId="4AB2C1A1" w14:textId="6841D197">
            <w:pPr>
              <w:jc w:val="center"/>
              <w:rPr>
                <w:rFonts w:ascii="Calibri" w:hAnsi="Calibri" w:cs="Calibri"/>
                <w:color w:val="000000" w:themeColor="text1"/>
                <w:sz w:val="20"/>
              </w:rPr>
            </w:pPr>
            <w:r w:rsidRPr="17F429DF">
              <w:rPr>
                <w:rFonts w:ascii="Calibri" w:hAnsi="Calibri" w:cs="Calibri"/>
                <w:color w:val="000000" w:themeColor="text1"/>
                <w:sz w:val="20"/>
              </w:rPr>
              <w:t xml:space="preserve">Reminder </w:t>
            </w:r>
            <w:r w:rsidRPr="17F429DF" w:rsidR="31637F0C">
              <w:rPr>
                <w:rFonts w:ascii="Calibri" w:hAnsi="Calibri" w:cs="Calibri"/>
                <w:color w:val="000000" w:themeColor="text1"/>
                <w:sz w:val="20"/>
              </w:rPr>
              <w:t>Letter</w:t>
            </w:r>
            <w:r w:rsidRPr="17F429DF" w:rsidR="621426CE">
              <w:rPr>
                <w:rFonts w:ascii="Calibri" w:hAnsi="Calibri" w:cs="Calibri"/>
                <w:color w:val="000000" w:themeColor="text1"/>
                <w:sz w:val="20"/>
              </w:rPr>
              <w:t xml:space="preserve"> 2</w:t>
            </w:r>
          </w:p>
          <w:p w:rsidR="005374E0" w:rsidRPr="00F27820" w:rsidP="63C3283B" w14:paraId="56EE304D" w14:textId="33C79F55">
            <w:pPr>
              <w:jc w:val="center"/>
              <w:rPr>
                <w:rFonts w:ascii="Calibri" w:hAnsi="Calibri" w:cs="Calibri"/>
                <w:color w:val="000000"/>
                <w:sz w:val="20"/>
              </w:rPr>
            </w:pPr>
            <w:r w:rsidRPr="63C3283B">
              <w:rPr>
                <w:rFonts w:ascii="Calibri" w:hAnsi="Calibri" w:cs="Calibri"/>
                <w:color w:val="000000" w:themeColor="text1"/>
                <w:sz w:val="20"/>
              </w:rPr>
              <w:t xml:space="preserve">with </w:t>
            </w:r>
            <w:r w:rsidRPr="63C3283B" w:rsidR="09F87DC3">
              <w:rPr>
                <w:rFonts w:ascii="Calibri" w:hAnsi="Calibri" w:cs="Calibri"/>
                <w:color w:val="000000" w:themeColor="text1"/>
                <w:sz w:val="20"/>
              </w:rPr>
              <w:t>URL</w:t>
            </w:r>
            <w:r w:rsidRPr="63C3283B" w:rsidR="327A8D42">
              <w:rPr>
                <w:rFonts w:ascii="Calibri" w:hAnsi="Calibri" w:cs="Calibri"/>
                <w:color w:val="000000" w:themeColor="text1"/>
                <w:sz w:val="20"/>
              </w:rPr>
              <w:t xml:space="preserve"> &amp; Phone #4</w:t>
            </w:r>
          </w:p>
        </w:tc>
      </w:tr>
    </w:tbl>
    <w:p w:rsidR="002D20EC" w:rsidP="00942866" w14:paraId="730CC201" w14:textId="44A18011">
      <w:r>
        <w:t>* A PIN is a 4-digit numeric code assigned by the Census Bureau to the user. The user would note the PIN and use it, if needed, to re-enter the survey at a later time.</w:t>
      </w:r>
    </w:p>
    <w:p w:rsidR="00942866" w:rsidP="00942866" w14:paraId="3C0B78CF" w14:textId="50F0C050">
      <w:r>
        <w:t>**</w:t>
      </w:r>
      <w:r>
        <w:t xml:space="preserve"> After a user enters an email address or phone number</w:t>
      </w:r>
      <w:r w:rsidR="00291A4D">
        <w:t xml:space="preserve"> in login</w:t>
      </w:r>
      <w:r>
        <w:t>, a</w:t>
      </w:r>
      <w:r w:rsidR="00291A4D">
        <w:t>n 8-digit</w:t>
      </w:r>
      <w:r>
        <w:t xml:space="preserve"> </w:t>
      </w:r>
      <w:r w:rsidR="00291A4D">
        <w:t xml:space="preserve">numeric </w:t>
      </w:r>
      <w:r>
        <w:t>verification code is sent to them</w:t>
      </w:r>
      <w:r w:rsidR="00291A4D">
        <w:t>.</w:t>
      </w:r>
      <w:r>
        <w:t xml:space="preserve"> </w:t>
      </w:r>
      <w:r w:rsidR="00291A4D">
        <w:t>T</w:t>
      </w:r>
      <w:r>
        <w:t>hey enter this verification code as part of the login process. For social media logins, the use of the verification code is dependent on the user’s account preferences.</w:t>
      </w:r>
    </w:p>
    <w:p w:rsidR="00942866" w:rsidP="59BD98AB" w14:paraId="2DF4848D" w14:textId="77777777"/>
    <w:p w:rsidR="3E1D2C59" w:rsidP="47E5D251" w14:paraId="067F6EBB" w14:textId="303711BD">
      <w:r>
        <w:t>This experimental design allows the Census Bureau to study several things:</w:t>
      </w:r>
    </w:p>
    <w:p w:rsidR="00291A4D" w:rsidP="001E0E43" w14:paraId="5951F2A7" w14:textId="4EB851ED">
      <w:pPr>
        <w:pStyle w:val="ListParagraph"/>
        <w:widowControl w:val="0"/>
        <w:numPr>
          <w:ilvl w:val="0"/>
          <w:numId w:val="9"/>
        </w:numPr>
      </w:pPr>
      <w:r>
        <w:t xml:space="preserve">Comparing the </w:t>
      </w:r>
      <w:r w:rsidR="5C4EEDA7">
        <w:t>effect</w:t>
      </w:r>
      <w:r>
        <w:t>s</w:t>
      </w:r>
      <w:r w:rsidR="5C4EEDA7">
        <w:t xml:space="preserve"> of login authentication processes on respondent burden, perception of security, and response rate</w:t>
      </w:r>
      <w:r>
        <w:t>s</w:t>
      </w:r>
      <w:r w:rsidR="5C4EEDA7">
        <w:t xml:space="preserve">. Comparisons between Panel 1, the </w:t>
      </w:r>
      <w:r>
        <w:t>previous method of internet self-response authentication originating from Centurion 1.0</w:t>
      </w:r>
      <w:r w:rsidR="2FA8C4B0">
        <w:t xml:space="preserve">, </w:t>
      </w:r>
      <w:r>
        <w:t>to</w:t>
      </w:r>
      <w:r w:rsidR="1AE62A7A">
        <w:t xml:space="preserve"> the experimental panels, </w:t>
      </w:r>
      <w:r>
        <w:t>two- or three-step authentication methods</w:t>
      </w:r>
      <w:r w:rsidR="008DD910">
        <w:t xml:space="preserve">, will be conducted. </w:t>
      </w:r>
      <w:r>
        <w:t xml:space="preserve"> </w:t>
      </w:r>
    </w:p>
    <w:p w:rsidR="00291A4D" w:rsidRPr="00291A4D" w:rsidP="001E0E43" w14:paraId="5969B38E" w14:textId="184ADFB1">
      <w:pPr>
        <w:pStyle w:val="ListParagraph"/>
        <w:widowControl w:val="0"/>
        <w:numPr>
          <w:ilvl w:val="0"/>
          <w:numId w:val="9"/>
        </w:numPr>
        <w:rPr>
          <w:szCs w:val="24"/>
        </w:rPr>
      </w:pPr>
      <w:r w:rsidRPr="00291A4D">
        <w:rPr>
          <w:szCs w:val="24"/>
        </w:rPr>
        <w:t xml:space="preserve">Comparing </w:t>
      </w:r>
      <w:r w:rsidR="001E0E43">
        <w:rPr>
          <w:szCs w:val="24"/>
        </w:rPr>
        <w:t>respondent</w:t>
      </w:r>
      <w:r w:rsidRPr="00291A4D">
        <w:rPr>
          <w:szCs w:val="24"/>
        </w:rPr>
        <w:t xml:space="preserve"> </w:t>
      </w:r>
      <w:r w:rsidR="001E0E43">
        <w:rPr>
          <w:szCs w:val="24"/>
        </w:rPr>
        <w:t xml:space="preserve">selection and </w:t>
      </w:r>
      <w:r w:rsidRPr="00291A4D">
        <w:rPr>
          <w:szCs w:val="24"/>
        </w:rPr>
        <w:t>use of phone number (SMS) and email address for authentication and re-entry.</w:t>
      </w:r>
    </w:p>
    <w:p w:rsidR="3E1D2C59" w:rsidRPr="00291A4D" w:rsidP="001E0E43" w14:paraId="1B045D69" w14:textId="00B973A1">
      <w:pPr>
        <w:pStyle w:val="ListParagraph"/>
        <w:widowControl w:val="0"/>
        <w:numPr>
          <w:ilvl w:val="0"/>
          <w:numId w:val="9"/>
        </w:numPr>
        <w:rPr>
          <w:szCs w:val="24"/>
        </w:rPr>
      </w:pPr>
      <w:r w:rsidRPr="00291A4D">
        <w:rPr>
          <w:szCs w:val="24"/>
        </w:rPr>
        <w:t>Comparing the use of various OpenID Connect (OIDC) providers (Microsoft, Google, Apple and LinkedIn) used for authentication in the social media authentication condition.</w:t>
      </w:r>
    </w:p>
    <w:p w:rsidR="47E5D251" w:rsidP="47E5D251" w14:paraId="5289E3F9" w14:textId="0062ACF5">
      <w:pPr>
        <w:tabs>
          <w:tab w:val="left" w:pos="1407"/>
        </w:tabs>
        <w:rPr>
          <w:b/>
          <w:bCs/>
        </w:rPr>
      </w:pPr>
    </w:p>
    <w:p w:rsidR="47E5D251" w:rsidP="47E5D251" w14:paraId="4AA4CEDF" w14:textId="3DFA3006">
      <w:pPr>
        <w:tabs>
          <w:tab w:val="left" w:pos="1407"/>
        </w:tabs>
        <w:rPr>
          <w:b/>
          <w:bCs/>
        </w:rPr>
      </w:pPr>
    </w:p>
    <w:p w:rsidR="00464B29" w:rsidP="17F429DF" w14:paraId="31945E06" w14:textId="5325D1AC">
      <w:pPr>
        <w:tabs>
          <w:tab w:val="left" w:pos="1407"/>
        </w:tabs>
      </w:pPr>
      <w:r w:rsidRPr="47E5D251">
        <w:rPr>
          <w:b/>
          <w:bCs/>
        </w:rPr>
        <w:t>Sample</w:t>
      </w:r>
      <w:r>
        <w:t>:</w:t>
      </w:r>
      <w:r w:rsidR="005F114E">
        <w:t xml:space="preserve">  </w:t>
      </w:r>
      <w:r w:rsidR="000374F8">
        <w:t>We will select a sample of</w:t>
      </w:r>
      <w:r w:rsidR="00394FDF">
        <w:t xml:space="preserve"> </w:t>
      </w:r>
      <w:r w:rsidR="009A04E8">
        <w:t>100</w:t>
      </w:r>
      <w:r w:rsidR="00AC16B1">
        <w:t>,</w:t>
      </w:r>
      <w:r w:rsidR="009A04E8">
        <w:t>000</w:t>
      </w:r>
      <w:r w:rsidR="000374F8">
        <w:t xml:space="preserve"> stateside mailable housing unit addresses</w:t>
      </w:r>
      <w:r w:rsidR="001C2D59">
        <w:t xml:space="preserve"> (MAFIDs)</w:t>
      </w:r>
      <w:r w:rsidR="000374F8">
        <w:t>.</w:t>
      </w:r>
      <w:r w:rsidR="00986ED2">
        <w:t xml:space="preserve"> The sample size (n = 25,000 per panel) has been determined based on the following elements of experimental design: alpha level</w:t>
      </w:r>
      <w:r w:rsidR="72B6771F">
        <w:t xml:space="preserve"> (α = 0.1)</w:t>
      </w:r>
      <w:r w:rsidR="00986ED2">
        <w:t>, beta level</w:t>
      </w:r>
      <w:r w:rsidR="4E6144F1">
        <w:t xml:space="preserve"> (β = 0.2; P = 0.8)</w:t>
      </w:r>
      <w:r w:rsidR="00986ED2">
        <w:t xml:space="preserve">, design effect, </w:t>
      </w:r>
      <w:r w:rsidR="00942866">
        <w:t xml:space="preserve">minimal </w:t>
      </w:r>
      <w:r w:rsidR="00986ED2">
        <w:t xml:space="preserve">detectable difference, and </w:t>
      </w:r>
      <w:r w:rsidR="00942866">
        <w:t xml:space="preserve">the </w:t>
      </w:r>
      <w:r w:rsidR="00986ED2">
        <w:t>metric of interest</w:t>
      </w:r>
      <w:r w:rsidR="00942866">
        <w:t xml:space="preserve"> (self-response)</w:t>
      </w:r>
      <w:r w:rsidR="00986ED2">
        <w:t>.</w:t>
      </w:r>
      <w:r w:rsidR="000374F8">
        <w:t xml:space="preserve"> </w:t>
      </w:r>
      <w:r w:rsidR="521FAA30">
        <w:t xml:space="preserve">The minimum detectable difference in response rate for our </w:t>
      </w:r>
      <w:r w:rsidR="2DCCC0EA">
        <w:t xml:space="preserve">four between-group </w:t>
      </w:r>
      <w:r w:rsidR="521FAA30">
        <w:t xml:space="preserve">design with an expected response rate of 40% </w:t>
      </w:r>
      <w:r w:rsidR="6207E5FF">
        <w:t xml:space="preserve">(based on the current response rate of the Special Census) </w:t>
      </w:r>
      <w:r w:rsidR="64CE9C8D">
        <w:t>is</w:t>
      </w:r>
      <w:r w:rsidR="521FAA30">
        <w:t xml:space="preserve"> 0.77%.</w:t>
      </w:r>
      <w:r w:rsidR="0EF7BFBA">
        <w:t xml:space="preserve"> </w:t>
      </w:r>
      <w:r w:rsidR="18AEFAB7">
        <w:t>At the conclusion of this experiment, we will compare the authentication rates and response rates for the control group versus that of all treatment groups</w:t>
      </w:r>
      <w:r w:rsidR="3EA2DD59">
        <w:t xml:space="preserve"> (overall and by demographic groups)</w:t>
      </w:r>
      <w:r w:rsidR="18AEFAB7">
        <w:t>, identifying the authentication method with the highest relative authentication and respon</w:t>
      </w:r>
      <w:r w:rsidR="05D0D7B2">
        <w:t xml:space="preserve">se rates. </w:t>
      </w:r>
      <w:r w:rsidR="2DF4D942">
        <w:t xml:space="preserve">If </w:t>
      </w:r>
      <w:r w:rsidR="52449A3A">
        <w:t xml:space="preserve">one of the experimental treatments has a response rate more than </w:t>
      </w:r>
      <w:r w:rsidR="6942D956">
        <w:t xml:space="preserve">5% </w:t>
      </w:r>
      <w:r w:rsidR="56308E5F">
        <w:t>higher than</w:t>
      </w:r>
      <w:r w:rsidR="001E0E43">
        <w:t xml:space="preserve"> </w:t>
      </w:r>
      <w:r w:rsidR="6942D956">
        <w:t xml:space="preserve">the control group, we </w:t>
      </w:r>
      <w:r w:rsidR="68EBAE0E">
        <w:t xml:space="preserve">will </w:t>
      </w:r>
      <w:r w:rsidR="6942D956">
        <w:t>conduct a cost-benefit analysis to mitigate impacts on response</w:t>
      </w:r>
      <w:r w:rsidR="0A1E8571">
        <w:t xml:space="preserve"> rate, such as additional mailings, phone strategies, and personal visits.</w:t>
      </w:r>
    </w:p>
    <w:p w:rsidR="00464B29" w:rsidP="17F429DF" w14:paraId="58F61F7F" w14:textId="56029A91">
      <w:pPr>
        <w:tabs>
          <w:tab w:val="left" w:pos="1407"/>
        </w:tabs>
      </w:pPr>
    </w:p>
    <w:p w:rsidR="00464B29" w:rsidP="17F429DF" w14:paraId="23BC6CAE" w14:textId="56C19BF3">
      <w:pPr>
        <w:tabs>
          <w:tab w:val="left" w:pos="1407"/>
        </w:tabs>
      </w:pPr>
      <w:r>
        <w:t>MAFIDs will be selected for the sample using the January 2024 ACS MAF</w:t>
      </w:r>
      <w:r w:rsidR="2F66DD9A">
        <w:t>, which met the criteria for the ACS address filter flag and were not group quarters.</w:t>
      </w:r>
      <w:r>
        <w:t xml:space="preserve"> </w:t>
      </w:r>
      <w:r w:rsidR="27677734">
        <w:t>The</w:t>
      </w:r>
      <w:r>
        <w:t xml:space="preserve"> FY2023 IRS frame </w:t>
      </w:r>
      <w:r w:rsidR="2B1578AF">
        <w:t xml:space="preserve">will then be used to match the resulting addresses </w:t>
      </w:r>
      <w:r>
        <w:t xml:space="preserve">for stratification </w:t>
      </w:r>
      <w:r w:rsidR="2FA11C54">
        <w:t xml:space="preserve">purposes </w:t>
      </w:r>
      <w:r>
        <w:t xml:space="preserve">to </w:t>
      </w:r>
      <w:r w:rsidR="3ED0C815">
        <w:t xml:space="preserve">increase hard-to-count </w:t>
      </w:r>
      <w:r w:rsidR="1D848A7F">
        <w:t xml:space="preserve">racial and ethnic </w:t>
      </w:r>
      <w:r w:rsidR="3ED0C815">
        <w:t>subpopulations as well as Hispanic/Latino and MENA individuals (as relates to the new OMB race and ethnicity sta</w:t>
      </w:r>
      <w:r w:rsidR="3EBA3DC2">
        <w:t>ndards).</w:t>
      </w:r>
      <w:r w:rsidR="7F960092">
        <w:t xml:space="preserve"> More specifically, MAFIDs can be classified based </w:t>
      </w:r>
      <w:r w:rsidR="7F960092">
        <w:t xml:space="preserve">on the following hierarchal assignment: (1) If at least one reported MENA person, </w:t>
      </w:r>
      <w:r w:rsidR="3BFA9322">
        <w:t>(2) If at least one reported N</w:t>
      </w:r>
      <w:r w:rsidR="00EC15A4">
        <w:t xml:space="preserve">ative </w:t>
      </w:r>
      <w:r w:rsidR="3BFA9322">
        <w:t>H</w:t>
      </w:r>
      <w:r w:rsidR="00EC15A4">
        <w:t xml:space="preserve">awaiian and </w:t>
      </w:r>
      <w:r w:rsidR="3BFA9322">
        <w:t>P</w:t>
      </w:r>
      <w:r w:rsidR="00EC15A4">
        <w:t xml:space="preserve">acific </w:t>
      </w:r>
      <w:r w:rsidR="3BFA9322">
        <w:t>I</w:t>
      </w:r>
      <w:r w:rsidR="00EC15A4">
        <w:t>slander (NHPI)</w:t>
      </w:r>
      <w:r w:rsidR="3BFA9322">
        <w:t xml:space="preserve"> person, (3) If at least one reported </w:t>
      </w:r>
      <w:r w:rsidR="00EC15A4">
        <w:t>American Indian and Alaska Native (</w:t>
      </w:r>
      <w:r w:rsidR="3BFA9322">
        <w:t>AIAN</w:t>
      </w:r>
      <w:r w:rsidR="00EC15A4">
        <w:t>)</w:t>
      </w:r>
      <w:r w:rsidR="3BFA9322">
        <w:t xml:space="preserve"> person, (4) If at least one reported Asian person, (5) If at least one reported Some Other Race person, (6) If at least one reported Black or Afri</w:t>
      </w:r>
      <w:r w:rsidR="56E6BE80">
        <w:t>can American person, (7) If at least one reported Hispanic or Latino person, (8) If at least one White person, and (9) No 2020 census characteristics could be assigned.</w:t>
      </w:r>
      <w:r w:rsidR="2471EB01">
        <w:t xml:space="preserve"> Stratum A would consist of categories 1 to 8, implicitly sorting by MAFID category to improve representation of smaller racial groups. </w:t>
      </w:r>
      <w:r w:rsidR="2A7733D0">
        <w:t xml:space="preserve">This stratum could be oversampled, as </w:t>
      </w:r>
      <w:r w:rsidR="6033DE64">
        <w:t xml:space="preserve">the presence of </w:t>
      </w:r>
      <w:r w:rsidR="2A7733D0">
        <w:t xml:space="preserve">IRS data indicates signs of occupancy based on filings as of February 2024. </w:t>
      </w:r>
      <w:r w:rsidR="2471EB01">
        <w:t>Stratum B would include cat</w:t>
      </w:r>
      <w:r w:rsidR="6B91FF8E">
        <w:t>egory 9 and could use 2022 tract-level planning database information to implicitly sort the remaining MAFIDs.</w:t>
      </w:r>
      <w:r w:rsidR="7B7B7CC7">
        <w:t xml:space="preserve"> Finally, </w:t>
      </w:r>
      <w:r w:rsidR="6FC825B0">
        <w:t>9</w:t>
      </w:r>
      <w:r w:rsidR="7B7B7CC7">
        <w:t xml:space="preserve"> counties </w:t>
      </w:r>
      <w:r w:rsidR="188C44F3">
        <w:t xml:space="preserve">which will be fielded for the Special Census in IA, IL and TN </w:t>
      </w:r>
      <w:r>
        <w:t xml:space="preserve">will be excluded </w:t>
      </w:r>
      <w:r w:rsidR="554834E2">
        <w:t xml:space="preserve">by MAFID </w:t>
      </w:r>
      <w:r>
        <w:t>from the sample</w:t>
      </w:r>
      <w:r w:rsidR="7B7B7CC7">
        <w:t xml:space="preserve"> </w:t>
      </w:r>
      <w:r w:rsidR="1F132EB4">
        <w:t>for the purposes of this survey</w:t>
      </w:r>
      <w:r w:rsidR="7B7B7CC7">
        <w:t>.</w:t>
      </w:r>
    </w:p>
    <w:p w:rsidR="59BD98AB" w:rsidP="59BD98AB" w14:paraId="7B586F94" w14:textId="7CB719B7">
      <w:pPr>
        <w:tabs>
          <w:tab w:val="left" w:pos="1407"/>
        </w:tabs>
      </w:pPr>
    </w:p>
    <w:p w:rsidR="59BD98AB" w:rsidP="17F429DF" w14:paraId="047E0924" w14:textId="02924DE9">
      <w:pPr>
        <w:pStyle w:val="BodyText2"/>
        <w:spacing w:line="240" w:lineRule="auto"/>
        <w:rPr>
          <w:rFonts w:ascii="Times New Roman" w:hAnsi="Times New Roman"/>
        </w:rPr>
      </w:pPr>
      <w:r w:rsidRPr="17F429DF">
        <w:rPr>
          <w:rFonts w:ascii="Times New Roman" w:hAnsi="Times New Roman"/>
        </w:rPr>
        <w:t xml:space="preserve">Addresses will be sorted by geographic identifiers and other demographic and operational data flags. A systematic random sample will be taken, and each housing unit selected will be assigned a random number. </w:t>
      </w:r>
      <w:r w:rsidRPr="17F429DF" w:rsidR="000B2CEF">
        <w:rPr>
          <w:rFonts w:ascii="Times New Roman" w:hAnsi="Times New Roman"/>
        </w:rPr>
        <w:t xml:space="preserve">The sampling procedure will first select populations that are rarer than others to ensure sufficient representation of the populations of interest. </w:t>
      </w:r>
      <w:r w:rsidRPr="17F429DF">
        <w:rPr>
          <w:rFonts w:ascii="Times New Roman" w:hAnsi="Times New Roman"/>
        </w:rPr>
        <w:t xml:space="preserve">Housing units will be sorted by random number and sequentially assigned to one </w:t>
      </w:r>
      <w:r w:rsidRPr="17F429DF" w:rsidR="00DE696D">
        <w:rPr>
          <w:rFonts w:ascii="Times New Roman" w:hAnsi="Times New Roman"/>
        </w:rPr>
        <w:t>of the</w:t>
      </w:r>
      <w:r w:rsidRPr="17F429DF">
        <w:rPr>
          <w:rFonts w:ascii="Times New Roman" w:hAnsi="Times New Roman"/>
        </w:rPr>
        <w:t xml:space="preserve"> treatment</w:t>
      </w:r>
      <w:r w:rsidRPr="17F429DF" w:rsidR="00DE696D">
        <w:rPr>
          <w:rFonts w:ascii="Times New Roman" w:hAnsi="Times New Roman"/>
        </w:rPr>
        <w:t xml:space="preserve"> groups</w:t>
      </w:r>
      <w:r w:rsidRPr="17F429DF">
        <w:rPr>
          <w:rFonts w:ascii="Times New Roman" w:hAnsi="Times New Roman"/>
        </w:rPr>
        <w:t xml:space="preserve">. </w:t>
      </w:r>
    </w:p>
    <w:p w:rsidR="00551239" w:rsidRPr="000D7BF0" w:rsidP="59BD98AB" w14:paraId="77786256" w14:textId="07D675C0">
      <w:pPr>
        <w:pStyle w:val="NormalWeb"/>
        <w:shd w:val="clear" w:color="auto" w:fill="FFFFFF" w:themeFill="background1"/>
      </w:pPr>
      <w:r w:rsidRPr="2D103AF7">
        <w:rPr>
          <w:b/>
          <w:bCs/>
        </w:rPr>
        <w:t>Recruitment</w:t>
      </w:r>
      <w:r>
        <w:t xml:space="preserve">: </w:t>
      </w:r>
      <w:bookmarkStart w:id="2" w:name="_Hlk101862041"/>
      <w:r w:rsidR="000374F8">
        <w:t>We plan to conduct this test</w:t>
      </w:r>
      <w:bookmarkEnd w:id="2"/>
      <w:r w:rsidR="005649A4">
        <w:t xml:space="preserve"> from </w:t>
      </w:r>
      <w:r w:rsidR="735722D4">
        <w:t>February</w:t>
      </w:r>
      <w:r w:rsidR="005649A4">
        <w:t xml:space="preserve"> </w:t>
      </w:r>
      <w:r w:rsidR="3E165D40">
        <w:t>3</w:t>
      </w:r>
      <w:r w:rsidR="005649A4">
        <w:t>, 202</w:t>
      </w:r>
      <w:r w:rsidR="09A3370A">
        <w:t>5</w:t>
      </w:r>
      <w:r w:rsidR="005649A4">
        <w:t xml:space="preserve"> until </w:t>
      </w:r>
      <w:r w:rsidR="13251022">
        <w:t>March 7</w:t>
      </w:r>
      <w:r w:rsidR="005649A4">
        <w:t>, 202</w:t>
      </w:r>
      <w:r w:rsidR="2A6DB030">
        <w:t>5</w:t>
      </w:r>
      <w:r w:rsidR="000374F8">
        <w:t xml:space="preserve"> </w:t>
      </w:r>
      <w:r w:rsidR="005649A4">
        <w:t xml:space="preserve">with </w:t>
      </w:r>
      <w:r w:rsidR="000374F8">
        <w:t>a maximum of f</w:t>
      </w:r>
      <w:r w:rsidR="5A613A56">
        <w:t>our</w:t>
      </w:r>
      <w:r w:rsidR="000374F8">
        <w:t xml:space="preserve"> </w:t>
      </w:r>
      <w:r w:rsidR="00571935">
        <w:t>planned mailings</w:t>
      </w:r>
      <w:r w:rsidR="000374F8">
        <w:t xml:space="preserve"> to each housing unit.</w:t>
      </w:r>
      <w:r w:rsidR="6A49AAE7">
        <w:t xml:space="preserve"> Each treatment group will have a unique</w:t>
      </w:r>
      <w:r w:rsidR="000374F8">
        <w:t xml:space="preserve"> </w:t>
      </w:r>
      <w:r w:rsidR="403CD2FF">
        <w:t>survey URL</w:t>
      </w:r>
      <w:r w:rsidR="005649A4">
        <w:t xml:space="preserve"> </w:t>
      </w:r>
      <w:r w:rsidR="2CCD98F4">
        <w:t xml:space="preserve">and a unique </w:t>
      </w:r>
      <w:r w:rsidR="05154313">
        <w:t xml:space="preserve">survey assistance </w:t>
      </w:r>
      <w:r w:rsidR="2CCD98F4">
        <w:t xml:space="preserve">telephone phone number </w:t>
      </w:r>
      <w:r w:rsidR="005649A4">
        <w:t>provided</w:t>
      </w:r>
      <w:r w:rsidR="1D0CC4CE">
        <w:t>,</w:t>
      </w:r>
      <w:r w:rsidR="5D578F84">
        <w:t xml:space="preserve"> but otherwise</w:t>
      </w:r>
      <w:r w:rsidR="3CD0E925">
        <w:t>,</w:t>
      </w:r>
      <w:r w:rsidR="5D578F84">
        <w:t xml:space="preserve"> will have identical mailings. </w:t>
      </w:r>
      <w:r w:rsidR="5C47EE43">
        <w:t xml:space="preserve">All units will receive all four mailings. </w:t>
      </w:r>
      <w:r w:rsidR="1F524EFA">
        <w:t xml:space="preserve">The initial mailing will inform respondents of the importance of the survey and will provide login information. </w:t>
      </w:r>
      <w:r w:rsidR="5D578F84">
        <w:t>The second and fourth mailing will be letters and the third mailing wi</w:t>
      </w:r>
      <w:r w:rsidR="4085711D">
        <w:t>ll be a postcard</w:t>
      </w:r>
      <w:r w:rsidR="48EB91ED">
        <w:t>, providing respondents with a survey due date</w:t>
      </w:r>
      <w:r w:rsidR="5BEFBF3B">
        <w:t xml:space="preserve"> (February 24, 2025)</w:t>
      </w:r>
      <w:r w:rsidR="000374F8">
        <w:t>.</w:t>
      </w:r>
      <w:r w:rsidR="5A71FE4E">
        <w:t xml:space="preserve"> </w:t>
      </w:r>
      <w:r w:rsidR="000374F8">
        <w:t>All mailing materials and the response instrument will be bilingual in English and Spanish.</w:t>
      </w:r>
      <w:r w:rsidR="039CB42F">
        <w:t xml:space="preserve"> </w:t>
      </w:r>
      <w:r w:rsidR="4DB577F1">
        <w:t xml:space="preserve">Letters and postcards that are undeliverable as addressed (UAA) will be tracked as a means to ascertain causes of nonresponse. </w:t>
      </w:r>
      <w:r w:rsidR="001735C1">
        <w:t xml:space="preserve">See Appendix </w:t>
      </w:r>
      <w:r w:rsidR="75890F49">
        <w:t>2</w:t>
      </w:r>
      <w:r w:rsidR="0009294E">
        <w:t xml:space="preserve"> through</w:t>
      </w:r>
      <w:r w:rsidR="00BC0F80">
        <w:t xml:space="preserve"> </w:t>
      </w:r>
      <w:r w:rsidR="775A7977">
        <w:t>5</w:t>
      </w:r>
      <w:r w:rsidR="001735C1">
        <w:t xml:space="preserve"> for </w:t>
      </w:r>
      <w:r w:rsidR="004E4317">
        <w:t>all contact</w:t>
      </w:r>
      <w:r w:rsidR="001735C1">
        <w:t xml:space="preserve"> materials.</w:t>
      </w:r>
      <w:r w:rsidR="00A333A7">
        <w:t xml:space="preserve"> Those in sample will also be able to </w:t>
      </w:r>
      <w:r w:rsidR="00EC15A4">
        <w:t xml:space="preserve">call </w:t>
      </w:r>
      <w:r w:rsidR="00BC0F80">
        <w:t xml:space="preserve">telephone questionnaire assistance phone lines </w:t>
      </w:r>
      <w:r w:rsidR="00A333A7">
        <w:t>specific</w:t>
      </w:r>
      <w:r w:rsidR="00BC0F80">
        <w:t xml:space="preserve"> to</w:t>
      </w:r>
      <w:r w:rsidR="00A333A7">
        <w:t xml:space="preserve"> </w:t>
      </w:r>
      <w:r w:rsidR="00BC0F80">
        <w:t xml:space="preserve">the </w:t>
      </w:r>
      <w:r w:rsidR="00A333A7">
        <w:t>experimental panel</w:t>
      </w:r>
      <w:r w:rsidR="00BC0F80">
        <w:t xml:space="preserve"> to reach </w:t>
      </w:r>
      <w:r w:rsidR="00EC15A4">
        <w:t xml:space="preserve">Census Bureau </w:t>
      </w:r>
      <w:r w:rsidR="00BC0F80">
        <w:t>representatives who may answer questions using FAQs</w:t>
      </w:r>
      <w:r w:rsidR="00EC15A4">
        <w:t xml:space="preserve">. The Census Bureau representatives will record call reasons which will be used to track levels </w:t>
      </w:r>
      <w:r w:rsidR="003B4A2A">
        <w:t xml:space="preserve">of </w:t>
      </w:r>
      <w:r w:rsidR="00EC15A4">
        <w:t xml:space="preserve">response burden </w:t>
      </w:r>
      <w:r w:rsidR="003B4A2A">
        <w:t>for all</w:t>
      </w:r>
      <w:r w:rsidR="00EC15A4">
        <w:t xml:space="preserve"> the authentication methods.</w:t>
      </w:r>
    </w:p>
    <w:p w:rsidR="59BD98AB" w:rsidP="59BD98AB" w14:paraId="1B13C96F" w14:textId="7DE14A8A">
      <w:pPr>
        <w:widowControl w:val="0"/>
        <w:rPr>
          <w:b/>
          <w:bCs/>
        </w:rPr>
      </w:pPr>
    </w:p>
    <w:p w:rsidR="00464B29" w:rsidP="43F94C0F" w14:paraId="65A275EF" w14:textId="496FF5F4">
      <w:pPr>
        <w:widowControl w:val="0"/>
      </w:pPr>
      <w:r w:rsidRPr="63C3283B">
        <w:rPr>
          <w:b/>
          <w:bCs/>
        </w:rPr>
        <w:t>Survey Administration:</w:t>
      </w:r>
      <w:r>
        <w:t xml:space="preserve"> </w:t>
      </w:r>
      <w:r w:rsidR="003226AE">
        <w:t>All sampled housing units will be mailed invitations to respond online.</w:t>
      </w:r>
      <w:r w:rsidR="00EE4170">
        <w:t xml:space="preserve"> </w:t>
      </w:r>
      <w:r>
        <w:t xml:space="preserve">The </w:t>
      </w:r>
      <w:r w:rsidR="003226AE">
        <w:t xml:space="preserve">online </w:t>
      </w:r>
      <w:r>
        <w:t>questionnaire will be administered using the</w:t>
      </w:r>
      <w:r w:rsidR="00BE7631">
        <w:t xml:space="preserve"> enterprise system Centurion 2.0, which has </w:t>
      </w:r>
      <w:r w:rsidRPr="63C3283B" w:rsidR="008B45D7">
        <w:rPr>
          <w:color w:val="000000" w:themeColor="text1"/>
          <w:lang w:val="en"/>
        </w:rPr>
        <w:t xml:space="preserve">Census Authority to </w:t>
      </w:r>
      <w:r w:rsidRPr="63C3283B" w:rsidR="00BE7631">
        <w:rPr>
          <w:color w:val="000000" w:themeColor="text1"/>
          <w:lang w:val="en"/>
        </w:rPr>
        <w:t>o</w:t>
      </w:r>
      <w:r w:rsidRPr="63C3283B" w:rsidR="008B45D7">
        <w:rPr>
          <w:color w:val="000000" w:themeColor="text1"/>
          <w:lang w:val="en"/>
        </w:rPr>
        <w:t xml:space="preserve">perate to collect </w:t>
      </w:r>
      <w:r w:rsidRPr="63C3283B" w:rsidR="3572454F">
        <w:rPr>
          <w:color w:val="000000" w:themeColor="text1"/>
          <w:lang w:val="en"/>
        </w:rPr>
        <w:t>Title 13</w:t>
      </w:r>
      <w:r w:rsidRPr="63C3283B" w:rsidR="008B45D7">
        <w:rPr>
          <w:color w:val="000000" w:themeColor="text1"/>
          <w:lang w:val="en"/>
        </w:rPr>
        <w:t xml:space="preserve"> data. </w:t>
      </w:r>
      <w:r w:rsidR="0028632B">
        <w:t xml:space="preserve">Respondents will receive </w:t>
      </w:r>
      <w:r w:rsidR="003226AE">
        <w:t xml:space="preserve">the </w:t>
      </w:r>
      <w:r>
        <w:t xml:space="preserve">link to the </w:t>
      </w:r>
      <w:r w:rsidR="003226AE">
        <w:t xml:space="preserve">online </w:t>
      </w:r>
      <w:r>
        <w:t xml:space="preserve">survey </w:t>
      </w:r>
      <w:r w:rsidR="003226AE">
        <w:t>on all mailing materials</w:t>
      </w:r>
      <w:r w:rsidR="004E0381">
        <w:t xml:space="preserve"> along with a unique authentication code to securely login to the survey</w:t>
      </w:r>
      <w:r w:rsidR="003226AE">
        <w:t>.</w:t>
      </w:r>
      <w:r w:rsidR="00F260B8">
        <w:t xml:space="preserve"> </w:t>
      </w:r>
      <w:r w:rsidR="585EF0E3">
        <w:t>No paper questionnaire will be provided to respondents through mailings or through paper fulfillment.</w:t>
      </w:r>
      <w:r w:rsidR="57FDFD3B">
        <w:t xml:space="preserve"> A phone number will be provided in the mailed invitations to respondents if they have questions via Telephone Questionnaire Assistance (TQA).</w:t>
      </w:r>
      <w:r w:rsidR="3F54B214">
        <w:t xml:space="preserve"> TQA will be supported Monday thru Friday from 9am to 9pm EST.</w:t>
      </w:r>
    </w:p>
    <w:p w:rsidR="00464B29" w:rsidRPr="00F16E86" w:rsidP="00464B29" w14:paraId="24934298" w14:textId="77777777">
      <w:pPr>
        <w:widowControl w:val="0"/>
        <w:rPr>
          <w:szCs w:val="24"/>
          <w:highlight w:val="yellow"/>
        </w:rPr>
      </w:pPr>
    </w:p>
    <w:p w:rsidR="007E7D15" w:rsidP="00CE16A7" w14:paraId="389550B3" w14:textId="7AAA932C">
      <w:pPr>
        <w:autoSpaceDE w:val="0"/>
        <w:autoSpaceDN w:val="0"/>
        <w:adjustRightInd w:val="0"/>
      </w:pPr>
      <w:r w:rsidRPr="47E5D251">
        <w:rPr>
          <w:b/>
          <w:bCs/>
        </w:rPr>
        <w:t>Questionnaire</w:t>
      </w:r>
      <w:r>
        <w:t xml:space="preserve">: </w:t>
      </w:r>
      <w:r w:rsidR="00015189">
        <w:t xml:space="preserve">The </w:t>
      </w:r>
      <w:r w:rsidR="00182EC7">
        <w:t xml:space="preserve">online instrument specification </w:t>
      </w:r>
      <w:r w:rsidR="00133EE0">
        <w:t>is</w:t>
      </w:r>
      <w:r w:rsidR="00EB15C0">
        <w:t xml:space="preserve"> attached (see Attachment 1</w:t>
      </w:r>
      <w:r w:rsidR="0075741D">
        <w:t xml:space="preserve"> </w:t>
      </w:r>
      <w:r w:rsidR="001735C1">
        <w:t>with branching identified in the comments for the online questionnaire</w:t>
      </w:r>
      <w:r w:rsidR="00133EE0">
        <w:t>)</w:t>
      </w:r>
      <w:r w:rsidR="00090CC8">
        <w:t xml:space="preserve">. This questionnaire </w:t>
      </w:r>
      <w:r w:rsidR="00CE16A7">
        <w:t>is a</w:t>
      </w:r>
      <w:r w:rsidR="0000780C">
        <w:t xml:space="preserve"> </w:t>
      </w:r>
      <w:r w:rsidR="007B6D54">
        <w:t xml:space="preserve">modified </w:t>
      </w:r>
      <w:r w:rsidR="00CE16A7">
        <w:t>version of the 202</w:t>
      </w:r>
      <w:r w:rsidR="00133EE0">
        <w:t>4</w:t>
      </w:r>
      <w:r w:rsidR="00CE16A7">
        <w:t xml:space="preserve"> </w:t>
      </w:r>
      <w:r w:rsidR="00133EE0">
        <w:t>Special Census questionnaire</w:t>
      </w:r>
      <w:r w:rsidR="00CE16A7">
        <w:t xml:space="preserve"> where </w:t>
      </w:r>
      <w:r w:rsidR="00133EE0">
        <w:t xml:space="preserve">the race </w:t>
      </w:r>
      <w:r w:rsidR="54C5AFBC">
        <w:t>question</w:t>
      </w:r>
      <w:r w:rsidR="00133EE0">
        <w:t xml:space="preserve"> has been </w:t>
      </w:r>
      <w:r w:rsidR="44A39D37">
        <w:t>update</w:t>
      </w:r>
      <w:r w:rsidR="1EF66C5C">
        <w:t>d</w:t>
      </w:r>
      <w:r w:rsidR="44A39D37">
        <w:t xml:space="preserve"> to meet</w:t>
      </w:r>
      <w:r w:rsidR="002111E2">
        <w:t xml:space="preserve"> the revised OMB race and ethnicity standards </w:t>
      </w:r>
      <w:r w:rsidR="1D735989">
        <w:t>(SPD 15). Additionally</w:t>
      </w:r>
      <w:r w:rsidR="1BC87727">
        <w:t>,</w:t>
      </w:r>
      <w:r w:rsidR="1D735989">
        <w:t xml:space="preserve"> question</w:t>
      </w:r>
      <w:r w:rsidR="6E1AF515">
        <w:t>s</w:t>
      </w:r>
      <w:r w:rsidR="1D735989">
        <w:t xml:space="preserve"> about </w:t>
      </w:r>
      <w:r w:rsidR="1D9F7B5B">
        <w:t>income</w:t>
      </w:r>
      <w:r w:rsidR="643ECEE1">
        <w:t xml:space="preserve"> and education</w:t>
      </w:r>
      <w:r w:rsidR="008E1F7E">
        <w:t>al</w:t>
      </w:r>
      <w:r w:rsidR="643ECEE1">
        <w:t xml:space="preserve"> attainment</w:t>
      </w:r>
      <w:r w:rsidR="1D9F7B5B">
        <w:t xml:space="preserve"> </w:t>
      </w:r>
      <w:r w:rsidR="3DF2299B">
        <w:t>ha</w:t>
      </w:r>
      <w:r w:rsidR="5905488A">
        <w:t>ve</w:t>
      </w:r>
      <w:r w:rsidR="3DF2299B">
        <w:t xml:space="preserve"> been added</w:t>
      </w:r>
      <w:r w:rsidR="1D9F7B5B">
        <w:t xml:space="preserve"> to increase the complexity of the data collection instrument</w:t>
      </w:r>
      <w:r w:rsidR="0B2D58E6">
        <w:t xml:space="preserve"> and for use in the analysis to assess subpopulation response</w:t>
      </w:r>
      <w:r w:rsidR="00CE16A7">
        <w:t xml:space="preserve">. </w:t>
      </w:r>
      <w:r w:rsidR="003F7BDA">
        <w:t xml:space="preserve">The online instrument </w:t>
      </w:r>
      <w:r w:rsidR="007B6D54">
        <w:t>also contains</w:t>
      </w:r>
      <w:r w:rsidR="003F7BDA">
        <w:t xml:space="preserve"> </w:t>
      </w:r>
      <w:r w:rsidR="0009331D">
        <w:t xml:space="preserve">two </w:t>
      </w:r>
      <w:r w:rsidR="007B6D54">
        <w:t xml:space="preserve">additional </w:t>
      </w:r>
      <w:r w:rsidR="003F7BDA">
        <w:t>question</w:t>
      </w:r>
      <w:r w:rsidR="0009331D">
        <w:t>s</w:t>
      </w:r>
      <w:r w:rsidR="003F7BDA">
        <w:t xml:space="preserve"> </w:t>
      </w:r>
      <w:r w:rsidR="00CE16A7">
        <w:t xml:space="preserve">to </w:t>
      </w:r>
      <w:r w:rsidR="007B6D54">
        <w:t>assess</w:t>
      </w:r>
      <w:r w:rsidR="00CE16A7">
        <w:t xml:space="preserve"> respondent </w:t>
      </w:r>
      <w:r w:rsidR="231F85DE">
        <w:t>perceptions about</w:t>
      </w:r>
      <w:r w:rsidR="0009331D">
        <w:t xml:space="preserve"> the authentication process</w:t>
      </w:r>
      <w:r w:rsidR="22D41417">
        <w:t xml:space="preserve"> in terms of their comfort with sharing personal information during login (e.g., email addre</w:t>
      </w:r>
      <w:r w:rsidR="260F4406">
        <w:t xml:space="preserve">ss and phone number) </w:t>
      </w:r>
      <w:r w:rsidR="5606D514">
        <w:t xml:space="preserve">and </w:t>
      </w:r>
      <w:r w:rsidR="00D26336">
        <w:t>eas</w:t>
      </w:r>
      <w:r w:rsidR="16397D31">
        <w:t>e</w:t>
      </w:r>
      <w:r w:rsidR="00D26336">
        <w:t xml:space="preserve"> </w:t>
      </w:r>
      <w:r w:rsidR="04860F3F">
        <w:t>of</w:t>
      </w:r>
      <w:r w:rsidR="00DE6CCF">
        <w:t xml:space="preserve"> use</w:t>
      </w:r>
      <w:r w:rsidR="00592704">
        <w:t>.</w:t>
      </w:r>
      <w:r w:rsidR="1E710BA1">
        <w:t xml:space="preserve"> </w:t>
      </w:r>
    </w:p>
    <w:p w:rsidR="00CE16A7" w:rsidP="00CE16A7" w14:paraId="08E5B0FA" w14:textId="6EC3138D">
      <w:pPr>
        <w:autoSpaceDE w:val="0"/>
        <w:autoSpaceDN w:val="0"/>
        <w:adjustRightInd w:val="0"/>
      </w:pPr>
    </w:p>
    <w:p w:rsidR="00CE16A7" w:rsidP="00464B29" w14:paraId="7573DA08" w14:textId="3FB2A1FE">
      <w:pPr>
        <w:pStyle w:val="NoSpacing"/>
      </w:pPr>
      <w:r w:rsidRPr="0C24E820">
        <w:rPr>
          <w:b/>
          <w:bCs/>
        </w:rPr>
        <w:t>Informed Consent</w:t>
      </w:r>
      <w:r>
        <w:t xml:space="preserve">: </w:t>
      </w:r>
      <w:r>
        <w:t>The Census Bureau will conduct the 202</w:t>
      </w:r>
      <w:r w:rsidR="3FD81A82">
        <w:t>5</w:t>
      </w:r>
      <w:r>
        <w:t xml:space="preserve"> </w:t>
      </w:r>
      <w:r w:rsidR="003F1F70">
        <w:t xml:space="preserve">Census </w:t>
      </w:r>
      <w:r w:rsidR="00E11B57">
        <w:t xml:space="preserve">Household </w:t>
      </w:r>
      <w:r w:rsidR="003F1F70">
        <w:t>Survey</w:t>
      </w:r>
      <w:r>
        <w:t xml:space="preserve"> under the authority of Title 13 United States Code Section</w:t>
      </w:r>
      <w:r w:rsidR="5F96DB13">
        <w:t xml:space="preserve"> </w:t>
      </w:r>
      <w:r>
        <w:t>193. All respondents who participate in the 202</w:t>
      </w:r>
      <w:r w:rsidR="35609BD6">
        <w:t>5</w:t>
      </w:r>
      <w:r>
        <w:t xml:space="preserve"> </w:t>
      </w:r>
      <w:r w:rsidR="003F1F70">
        <w:t xml:space="preserve">Census </w:t>
      </w:r>
      <w:r w:rsidR="00E11B57">
        <w:t xml:space="preserve">Household </w:t>
      </w:r>
      <w:r w:rsidR="003F1F70">
        <w:t>Survey</w:t>
      </w:r>
      <w:r>
        <w:t xml:space="preserve"> will be informed that the information they provide is confidential under </w:t>
      </w:r>
      <w:r w:rsidR="00836880">
        <w:t xml:space="preserve">Section 9 </w:t>
      </w:r>
      <w:r w:rsidR="00E11B57">
        <w:t xml:space="preserve">of </w:t>
      </w:r>
      <w:r>
        <w:t>that law</w:t>
      </w:r>
      <w:r w:rsidR="00836880">
        <w:t xml:space="preserve">. </w:t>
      </w:r>
      <w:r>
        <w:t xml:space="preserve">All </w:t>
      </w:r>
      <w:r w:rsidR="51EA2522">
        <w:t>identifiable</w:t>
      </w:r>
      <w:r>
        <w:t xml:space="preserve"> information </w:t>
      </w:r>
      <w:r w:rsidR="574C593C">
        <w:t>collected</w:t>
      </w:r>
      <w:r>
        <w:t xml:space="preserve"> will be held in strict confidence according to the provisions of Title 13 United States Code, Section 9.</w:t>
      </w:r>
    </w:p>
    <w:p w:rsidR="00CE16A7" w:rsidP="00464B29" w14:paraId="6FFE9CFD" w14:textId="77777777">
      <w:pPr>
        <w:pStyle w:val="NoSpacing"/>
        <w:rPr>
          <w:szCs w:val="24"/>
        </w:rPr>
      </w:pPr>
    </w:p>
    <w:p w:rsidR="00464B29" w:rsidRPr="00F16E86" w:rsidP="00294C5E" w14:paraId="596DEB8C" w14:textId="7A694EED">
      <w:pPr>
        <w:autoSpaceDE w:val="0"/>
        <w:autoSpaceDN w:val="0"/>
        <w:adjustRightInd w:val="0"/>
        <w:spacing w:after="240" w:line="276" w:lineRule="auto"/>
        <w:rPr>
          <w:szCs w:val="24"/>
        </w:rPr>
      </w:pPr>
      <w:r w:rsidRPr="00F16E86">
        <w:rPr>
          <w:b/>
          <w:szCs w:val="24"/>
        </w:rPr>
        <w:t>Incentive</w:t>
      </w:r>
      <w:r>
        <w:rPr>
          <w:szCs w:val="24"/>
        </w:rPr>
        <w:t xml:space="preserve">: </w:t>
      </w:r>
      <w:r w:rsidR="000B1EB1">
        <w:t>There is no incentive in this survey.</w:t>
      </w:r>
      <w:r w:rsidRPr="00B66341" w:rsidR="00294C5E">
        <w:t xml:space="preserve"> </w:t>
      </w:r>
      <w:r w:rsidRPr="00FB388A">
        <w:rPr>
          <w:szCs w:val="24"/>
        </w:rPr>
        <w:t xml:space="preserve"> </w:t>
      </w:r>
    </w:p>
    <w:p w:rsidR="008C23B0" w:rsidRPr="00F53FF4" w:rsidP="00F53FF4" w14:paraId="03F8D7E8" w14:textId="284679E4">
      <w:pPr>
        <w:pStyle w:val="NoSpacing"/>
      </w:pPr>
      <w:r w:rsidRPr="47E5D251">
        <w:rPr>
          <w:b/>
          <w:bCs/>
        </w:rPr>
        <w:t>Respondent Burden</w:t>
      </w:r>
      <w:r w:rsidRPr="47E5D251" w:rsidR="00464B29">
        <w:rPr>
          <w:b/>
          <w:bCs/>
        </w:rPr>
        <w:t>:</w:t>
      </w:r>
      <w:r w:rsidR="00464B29">
        <w:t xml:space="preserve"> </w:t>
      </w:r>
      <w:r w:rsidR="00F64DFE">
        <w:t xml:space="preserve">We plan on contacting a sample of </w:t>
      </w:r>
      <w:r w:rsidR="000D4EE2">
        <w:t>100,000</w:t>
      </w:r>
      <w:r w:rsidR="00394FDF">
        <w:t xml:space="preserve"> </w:t>
      </w:r>
      <w:r w:rsidR="008606B0">
        <w:t>addresses</w:t>
      </w:r>
      <w:r w:rsidR="00F64DFE">
        <w:t xml:space="preserve"> with up to </w:t>
      </w:r>
      <w:r w:rsidR="000D4EE2">
        <w:t xml:space="preserve">4 mail </w:t>
      </w:r>
      <w:r w:rsidR="004418A5">
        <w:t>contacts</w:t>
      </w:r>
      <w:r w:rsidR="00F64DFE">
        <w:t xml:space="preserve"> each</w:t>
      </w:r>
      <w:r w:rsidR="002A0512">
        <w:t xml:space="preserve"> (</w:t>
      </w:r>
      <w:r w:rsidR="1B0743B5">
        <w:t>three</w:t>
      </w:r>
      <w:r w:rsidR="002A0512">
        <w:t xml:space="preserve"> letters and</w:t>
      </w:r>
      <w:r w:rsidR="264BA700">
        <w:t xml:space="preserve"> one</w:t>
      </w:r>
      <w:r w:rsidR="002A0512">
        <w:t xml:space="preserve"> postcard)</w:t>
      </w:r>
      <w:r w:rsidR="00F64DFE">
        <w:t xml:space="preserve">. </w:t>
      </w:r>
      <w:r w:rsidR="00882E4F">
        <w:t xml:space="preserve">We estimate users will spend 10 minutes on average completing the survey and </w:t>
      </w:r>
      <w:r w:rsidR="00F90080">
        <w:t>an average 2</w:t>
      </w:r>
      <w:r w:rsidR="00882E4F">
        <w:t xml:space="preserve"> minutes</w:t>
      </w:r>
      <w:r w:rsidR="00F90080">
        <w:t xml:space="preserve"> </w:t>
      </w:r>
      <w:r w:rsidR="00882E4F">
        <w:t xml:space="preserve">reading </w:t>
      </w:r>
      <w:r w:rsidR="00F90080">
        <w:t>each mail invitation</w:t>
      </w:r>
      <w:r>
        <w:t xml:space="preserve"> and postcard</w:t>
      </w:r>
      <w:r w:rsidR="00882E4F">
        <w:t>. The burden estimates in the table below are an upper bound and based on a</w:t>
      </w:r>
      <w:r w:rsidR="00404412">
        <w:t>n estimated 40</w:t>
      </w:r>
      <w:r w:rsidR="002A6A38">
        <w:t xml:space="preserve"> </w:t>
      </w:r>
      <w:r w:rsidR="00882E4F">
        <w:t>percent response</w:t>
      </w:r>
      <w:r w:rsidR="00E47B30">
        <w:t xml:space="preserve"> rate</w:t>
      </w:r>
      <w:r w:rsidR="00882E4F">
        <w:t xml:space="preserve">. </w:t>
      </w:r>
      <w:r w:rsidR="00B25FFA">
        <w:t>T</w:t>
      </w:r>
      <w:r w:rsidR="008606B0">
        <w:t xml:space="preserve">he total estimated respondent burden for this study is approximately </w:t>
      </w:r>
      <w:r w:rsidRPr="47E5D251">
        <w:rPr>
          <w:color w:val="000000" w:themeColor="text1"/>
        </w:rPr>
        <w:t>2</w:t>
      </w:r>
      <w:r w:rsidRPr="47E5D251" w:rsidR="49497C8A">
        <w:rPr>
          <w:color w:val="000000" w:themeColor="text1"/>
        </w:rPr>
        <w:t>0</w:t>
      </w:r>
      <w:r w:rsidRPr="47E5D251" w:rsidR="00333C3C">
        <w:rPr>
          <w:color w:val="000000" w:themeColor="text1"/>
        </w:rPr>
        <w:t>,</w:t>
      </w:r>
      <w:r w:rsidRPr="47E5D251" w:rsidR="0B80B3AD">
        <w:rPr>
          <w:color w:val="000000" w:themeColor="text1"/>
        </w:rPr>
        <w:t>000</w:t>
      </w:r>
      <w:r w:rsidRPr="47E5D251" w:rsidR="008C345B">
        <w:rPr>
          <w:color w:val="000000" w:themeColor="text1"/>
        </w:rPr>
        <w:t xml:space="preserve"> </w:t>
      </w:r>
      <w:r w:rsidR="008606B0">
        <w:t xml:space="preserve">hours, assuming everyone reads </w:t>
      </w:r>
      <w:r w:rsidR="007D10D6">
        <w:t xml:space="preserve">the contact materials </w:t>
      </w:r>
      <w:r w:rsidR="008606B0">
        <w:t xml:space="preserve">and answers the survey. </w:t>
      </w:r>
    </w:p>
    <w:p w:rsidR="007F3E70" w:rsidP="004F2776" w14:paraId="7B29C552" w14:textId="77777777">
      <w:pPr>
        <w:pStyle w:val="Caption"/>
        <w:keepNext/>
        <w:rPr>
          <w:color w:val="auto"/>
          <w:sz w:val="24"/>
          <w:szCs w:val="24"/>
        </w:rPr>
      </w:pPr>
    </w:p>
    <w:p w:rsidR="00464B29" w:rsidRPr="00BA6B45" w:rsidP="004F2776" w14:paraId="59136178" w14:textId="1673FFD1">
      <w:pPr>
        <w:pStyle w:val="Caption"/>
        <w:keepNext/>
        <w:rPr>
          <w:b w:val="0"/>
          <w:color w:val="auto"/>
          <w:sz w:val="24"/>
          <w:szCs w:val="24"/>
        </w:rPr>
      </w:pPr>
      <w:r w:rsidRPr="00BA6B45">
        <w:rPr>
          <w:color w:val="auto"/>
          <w:sz w:val="24"/>
          <w:szCs w:val="24"/>
        </w:rPr>
        <w:t xml:space="preserve">Table </w:t>
      </w:r>
      <w:r w:rsidRPr="00BA6B45">
        <w:rPr>
          <w:color w:val="auto"/>
          <w:sz w:val="24"/>
          <w:szCs w:val="24"/>
        </w:rPr>
        <w:fldChar w:fldCharType="begin"/>
      </w:r>
      <w:r w:rsidRPr="00BA6B45">
        <w:rPr>
          <w:color w:val="auto"/>
          <w:sz w:val="24"/>
          <w:szCs w:val="24"/>
        </w:rPr>
        <w:instrText xml:space="preserve"> SEQ Table \* ARABIC </w:instrText>
      </w:r>
      <w:r w:rsidRPr="00BA6B45">
        <w:rPr>
          <w:color w:val="auto"/>
          <w:sz w:val="24"/>
          <w:szCs w:val="24"/>
        </w:rPr>
        <w:fldChar w:fldCharType="separate"/>
      </w:r>
      <w:r w:rsidR="000253FA">
        <w:rPr>
          <w:noProof/>
          <w:color w:val="auto"/>
          <w:sz w:val="24"/>
          <w:szCs w:val="24"/>
        </w:rPr>
        <w:t>2</w:t>
      </w:r>
      <w:r w:rsidRPr="00BA6B45">
        <w:rPr>
          <w:color w:val="auto"/>
          <w:sz w:val="24"/>
          <w:szCs w:val="24"/>
        </w:rPr>
        <w:fldChar w:fldCharType="end"/>
      </w:r>
      <w:r w:rsidRPr="00BA6B45">
        <w:rPr>
          <w:color w:val="auto"/>
          <w:sz w:val="24"/>
          <w:szCs w:val="24"/>
        </w:rPr>
        <w:t>. Total Estimated Burden</w:t>
      </w:r>
    </w:p>
    <w:tbl>
      <w:tblPr>
        <w:tblW w:w="935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2512"/>
        <w:gridCol w:w="1710"/>
        <w:gridCol w:w="1620"/>
        <w:gridCol w:w="1620"/>
        <w:gridCol w:w="1890"/>
      </w:tblGrid>
      <w:tr w14:paraId="49347EB5" w14:textId="77777777" w:rsidTr="59BD98AB">
        <w:tblPrEx>
          <w:tblW w:w="935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Ex>
        <w:tc>
          <w:tcPr>
            <w:tcW w:w="25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3379CA" w:rsidRPr="00393477" w:rsidP="004F2776" w14:paraId="578F1BA6" w14:textId="3D4D37E4">
            <w:pPr>
              <w:keepNext/>
              <w:rPr>
                <w:color w:val="000000"/>
                <w:szCs w:val="24"/>
              </w:rPr>
            </w:pPr>
          </w:p>
        </w:tc>
        <w:tc>
          <w:tcPr>
            <w:tcW w:w="17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379CA" w:rsidRPr="00393477" w:rsidP="004F2776" w14:paraId="28248E17" w14:textId="733E285E">
            <w:pPr>
              <w:keepNext/>
              <w:jc w:val="center"/>
              <w:rPr>
                <w:color w:val="000000"/>
                <w:szCs w:val="24"/>
              </w:rPr>
            </w:pPr>
            <w:r>
              <w:rPr>
                <w:b/>
                <w:bCs/>
                <w:color w:val="000000"/>
                <w:szCs w:val="24"/>
              </w:rPr>
              <w:t xml:space="preserve">Expected </w:t>
            </w:r>
            <w:r w:rsidRPr="00393477" w:rsidR="00B25FFA">
              <w:rPr>
                <w:b/>
                <w:bCs/>
                <w:color w:val="000000"/>
                <w:szCs w:val="24"/>
              </w:rPr>
              <w:t>Number</w:t>
            </w:r>
            <w:r w:rsidRPr="00393477">
              <w:rPr>
                <w:b/>
                <w:bCs/>
                <w:color w:val="000000"/>
                <w:szCs w:val="24"/>
              </w:rPr>
              <w:t xml:space="preserve"> of Respondents</w:t>
            </w:r>
          </w:p>
        </w:tc>
        <w:tc>
          <w:tcPr>
            <w:tcW w:w="1620" w:type="dxa"/>
            <w:tcBorders>
              <w:top w:val="outset" w:sz="6" w:space="0" w:color="auto"/>
              <w:left w:val="outset" w:sz="6" w:space="0" w:color="auto"/>
              <w:bottom w:val="outset" w:sz="6" w:space="0" w:color="auto"/>
              <w:right w:val="outset" w:sz="6" w:space="0" w:color="auto"/>
            </w:tcBorders>
            <w:vAlign w:val="center"/>
          </w:tcPr>
          <w:p w:rsidR="003379CA" w:rsidRPr="00393477" w:rsidP="004F2776" w14:paraId="0D3495BA" w14:textId="1CABC8E9">
            <w:pPr>
              <w:keepNext/>
              <w:jc w:val="center"/>
              <w:rPr>
                <w:b/>
                <w:bCs/>
                <w:color w:val="000000"/>
                <w:szCs w:val="24"/>
              </w:rPr>
            </w:pPr>
            <w:r w:rsidRPr="00393477">
              <w:rPr>
                <w:b/>
                <w:bCs/>
                <w:color w:val="000000"/>
                <w:szCs w:val="24"/>
              </w:rPr>
              <w:t xml:space="preserve">Max </w:t>
            </w:r>
            <w:r w:rsidRPr="00393477">
              <w:rPr>
                <w:b/>
                <w:bCs/>
                <w:color w:val="000000"/>
                <w:szCs w:val="24"/>
              </w:rPr>
              <w:t>N</w:t>
            </w:r>
            <w:r w:rsidRPr="00393477" w:rsidR="00B25FFA">
              <w:rPr>
                <w:b/>
                <w:bCs/>
                <w:color w:val="000000"/>
                <w:szCs w:val="24"/>
              </w:rPr>
              <w:t>umber</w:t>
            </w:r>
            <w:r w:rsidRPr="00393477">
              <w:rPr>
                <w:b/>
                <w:bCs/>
                <w:color w:val="000000"/>
                <w:szCs w:val="24"/>
              </w:rPr>
              <w:t xml:space="preserve"> of </w:t>
            </w:r>
            <w:r w:rsidRPr="00393477" w:rsidR="00B25FFA">
              <w:rPr>
                <w:b/>
                <w:bCs/>
                <w:color w:val="000000"/>
                <w:szCs w:val="24"/>
              </w:rPr>
              <w:t>Occurrence</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379CA" w:rsidRPr="00BA6B45" w:rsidP="004F2776" w14:paraId="1D6BD995" w14:textId="1D86728E">
            <w:pPr>
              <w:keepNext/>
              <w:jc w:val="center"/>
              <w:rPr>
                <w:color w:val="000000"/>
                <w:szCs w:val="24"/>
              </w:rPr>
            </w:pPr>
            <w:r>
              <w:rPr>
                <w:b/>
                <w:bCs/>
                <w:color w:val="000000"/>
                <w:szCs w:val="24"/>
              </w:rPr>
              <w:t xml:space="preserve">Average </w:t>
            </w:r>
            <w:r w:rsidRPr="00BA6B45">
              <w:rPr>
                <w:b/>
                <w:bCs/>
                <w:color w:val="000000"/>
                <w:szCs w:val="24"/>
              </w:rPr>
              <w:t>Time</w:t>
            </w:r>
            <w:r w:rsidRPr="00BA6B45" w:rsidR="00BA6B45">
              <w:rPr>
                <w:b/>
                <w:bCs/>
                <w:color w:val="000000"/>
                <w:szCs w:val="24"/>
              </w:rPr>
              <w:t xml:space="preserve"> for each </w:t>
            </w:r>
            <w:r w:rsidR="00B25FFA">
              <w:rPr>
                <w:b/>
                <w:bCs/>
                <w:color w:val="000000"/>
                <w:szCs w:val="24"/>
              </w:rPr>
              <w:t>O</w:t>
            </w:r>
            <w:r w:rsidRPr="00BA6B45" w:rsidR="00BA6B45">
              <w:rPr>
                <w:b/>
                <w:bCs/>
                <w:color w:val="000000"/>
                <w:szCs w:val="24"/>
              </w:rPr>
              <w:t>ccurrence</w:t>
            </w:r>
          </w:p>
        </w:tc>
        <w:tc>
          <w:tcPr>
            <w:tcW w:w="18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379CA" w:rsidRPr="00BA6B45" w:rsidP="004F2776" w14:paraId="4D86D8B5" w14:textId="49E57D7D">
            <w:pPr>
              <w:keepNext/>
              <w:jc w:val="center"/>
              <w:rPr>
                <w:color w:val="000000"/>
                <w:szCs w:val="24"/>
              </w:rPr>
            </w:pPr>
            <w:r>
              <w:rPr>
                <w:b/>
                <w:bCs/>
                <w:color w:val="000000"/>
                <w:szCs w:val="24"/>
              </w:rPr>
              <w:t xml:space="preserve">Estimated </w:t>
            </w:r>
            <w:r w:rsidRPr="00BA6B45">
              <w:rPr>
                <w:b/>
                <w:bCs/>
                <w:color w:val="000000"/>
                <w:szCs w:val="24"/>
              </w:rPr>
              <w:t>Burden</w:t>
            </w:r>
          </w:p>
        </w:tc>
      </w:tr>
      <w:tr w14:paraId="718C7B59" w14:textId="77777777" w:rsidTr="59BD98AB">
        <w:tblPrEx>
          <w:tblW w:w="9352" w:type="dxa"/>
          <w:tblLayout w:type="fixed"/>
          <w:tblCellMar>
            <w:top w:w="15" w:type="dxa"/>
            <w:left w:w="15" w:type="dxa"/>
            <w:bottom w:w="15" w:type="dxa"/>
            <w:right w:w="15" w:type="dxa"/>
          </w:tblCellMar>
          <w:tblLook w:val="04A0"/>
        </w:tblPrEx>
        <w:trPr>
          <w:trHeight w:val="402"/>
        </w:trPr>
        <w:tc>
          <w:tcPr>
            <w:tcW w:w="25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379CA" w:rsidRPr="00393477" w:rsidP="004F2776" w14:paraId="7DEDAF41" w14:textId="080DD8D2">
            <w:pPr>
              <w:keepNext/>
              <w:rPr>
                <w:color w:val="000000"/>
                <w:szCs w:val="24"/>
              </w:rPr>
            </w:pPr>
            <w:r w:rsidRPr="00393477">
              <w:rPr>
                <w:color w:val="000000"/>
                <w:szCs w:val="24"/>
              </w:rPr>
              <w:t xml:space="preserve">Reading </w:t>
            </w:r>
            <w:r w:rsidRPr="00393477" w:rsidR="008606B0">
              <w:rPr>
                <w:color w:val="000000"/>
                <w:szCs w:val="24"/>
              </w:rPr>
              <w:t>mail</w:t>
            </w:r>
            <w:r w:rsidRPr="00393477">
              <w:rPr>
                <w:color w:val="000000"/>
                <w:szCs w:val="24"/>
              </w:rPr>
              <w:t xml:space="preserve"> invitations</w:t>
            </w:r>
          </w:p>
        </w:tc>
        <w:tc>
          <w:tcPr>
            <w:tcW w:w="17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3379CA" w:rsidRPr="00393477" w:rsidP="004F2776" w14:paraId="22695816" w14:textId="7C343CBE">
            <w:pPr>
              <w:keepNext/>
              <w:jc w:val="center"/>
              <w:rPr>
                <w:color w:val="000000"/>
                <w:szCs w:val="24"/>
              </w:rPr>
            </w:pPr>
            <w:r>
              <w:rPr>
                <w:szCs w:val="24"/>
              </w:rPr>
              <w:t>100</w:t>
            </w:r>
            <w:r w:rsidR="00F27A2D">
              <w:rPr>
                <w:szCs w:val="24"/>
              </w:rPr>
              <w:t>,000</w:t>
            </w:r>
          </w:p>
        </w:tc>
        <w:tc>
          <w:tcPr>
            <w:tcW w:w="1620" w:type="dxa"/>
            <w:tcBorders>
              <w:top w:val="outset" w:sz="6" w:space="0" w:color="auto"/>
              <w:left w:val="outset" w:sz="6" w:space="0" w:color="auto"/>
              <w:bottom w:val="outset" w:sz="6" w:space="0" w:color="auto"/>
              <w:right w:val="outset" w:sz="6" w:space="0" w:color="auto"/>
            </w:tcBorders>
            <w:vAlign w:val="center"/>
          </w:tcPr>
          <w:p w:rsidR="003379CA" w:rsidRPr="000D4EE2" w:rsidP="004F2776" w14:paraId="589D70E7" w14:textId="1B4DB178">
            <w:pPr>
              <w:keepNext/>
              <w:jc w:val="center"/>
              <w:rPr>
                <w:color w:val="000000"/>
                <w:szCs w:val="24"/>
              </w:rPr>
            </w:pPr>
            <w:r w:rsidRPr="000D4EE2">
              <w:rPr>
                <w:color w:val="000000"/>
                <w:szCs w:val="24"/>
              </w:rPr>
              <w:t>4</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3379CA" w:rsidRPr="00BA6B45" w:rsidP="59BD98AB" w14:paraId="3E65070E" w14:textId="204A8E29">
            <w:pPr>
              <w:keepNext/>
              <w:jc w:val="center"/>
              <w:rPr>
                <w:color w:val="000000"/>
              </w:rPr>
            </w:pPr>
            <w:r w:rsidRPr="59BD98AB">
              <w:rPr>
                <w:color w:val="000000" w:themeColor="text1"/>
              </w:rPr>
              <w:t>2</w:t>
            </w:r>
            <w:r w:rsidRPr="59BD98AB" w:rsidR="561A54F9">
              <w:rPr>
                <w:color w:val="000000" w:themeColor="text1"/>
              </w:rPr>
              <w:t xml:space="preserve"> </w:t>
            </w:r>
            <w:r w:rsidRPr="59BD98AB" w:rsidR="008606B0">
              <w:rPr>
                <w:color w:val="000000" w:themeColor="text1"/>
              </w:rPr>
              <w:t>minutes</w:t>
            </w:r>
          </w:p>
        </w:tc>
        <w:tc>
          <w:tcPr>
            <w:tcW w:w="18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3379CA" w:rsidRPr="0000780C" w:rsidP="7013E0A3" w14:paraId="44CC6D5E" w14:textId="5263730E">
            <w:pPr>
              <w:keepNext/>
              <w:jc w:val="center"/>
              <w:rPr>
                <w:color w:val="000000"/>
                <w:highlight w:val="yellow"/>
              </w:rPr>
            </w:pPr>
            <w:r w:rsidRPr="59BD98AB">
              <w:rPr>
                <w:color w:val="000000" w:themeColor="text1"/>
              </w:rPr>
              <w:t>1</w:t>
            </w:r>
            <w:r w:rsidRPr="59BD98AB" w:rsidR="36B00274">
              <w:rPr>
                <w:color w:val="000000" w:themeColor="text1"/>
              </w:rPr>
              <w:t>3</w:t>
            </w:r>
            <w:r w:rsidRPr="59BD98AB" w:rsidR="561A54F9">
              <w:rPr>
                <w:color w:val="000000" w:themeColor="text1"/>
              </w:rPr>
              <w:t>,</w:t>
            </w:r>
            <w:r w:rsidRPr="59BD98AB" w:rsidR="15353CAE">
              <w:rPr>
                <w:color w:val="000000" w:themeColor="text1"/>
              </w:rPr>
              <w:t>333</w:t>
            </w:r>
            <w:r w:rsidRPr="59BD98AB" w:rsidR="394F6C59">
              <w:rPr>
                <w:color w:val="000000" w:themeColor="text1"/>
              </w:rPr>
              <w:t xml:space="preserve"> </w:t>
            </w:r>
            <w:r w:rsidRPr="59BD98AB" w:rsidR="2AAFA86A">
              <w:rPr>
                <w:color w:val="000000" w:themeColor="text1"/>
              </w:rPr>
              <w:t>hours</w:t>
            </w:r>
          </w:p>
        </w:tc>
      </w:tr>
      <w:tr w14:paraId="1158C200" w14:textId="77777777" w:rsidTr="59BD98AB">
        <w:tblPrEx>
          <w:tblW w:w="9352" w:type="dxa"/>
          <w:tblLayout w:type="fixed"/>
          <w:tblCellMar>
            <w:top w:w="15" w:type="dxa"/>
            <w:left w:w="15" w:type="dxa"/>
            <w:bottom w:w="15" w:type="dxa"/>
            <w:right w:w="15" w:type="dxa"/>
          </w:tblCellMar>
          <w:tblLook w:val="04A0"/>
        </w:tblPrEx>
        <w:tc>
          <w:tcPr>
            <w:tcW w:w="25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379CA" w:rsidRPr="00BA6B45" w:rsidP="004F2776" w14:paraId="3564FB1F" w14:textId="38BF041E">
            <w:pPr>
              <w:keepNext/>
              <w:rPr>
                <w:color w:val="000000"/>
                <w:szCs w:val="24"/>
              </w:rPr>
            </w:pPr>
            <w:r>
              <w:rPr>
                <w:color w:val="000000"/>
                <w:szCs w:val="24"/>
              </w:rPr>
              <w:t>Completing s</w:t>
            </w:r>
            <w:r w:rsidRPr="00BA6B45">
              <w:rPr>
                <w:color w:val="000000"/>
                <w:szCs w:val="24"/>
              </w:rPr>
              <w:t>urvey</w:t>
            </w:r>
          </w:p>
        </w:tc>
        <w:tc>
          <w:tcPr>
            <w:tcW w:w="17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379CA" w:rsidRPr="0000780C" w:rsidP="004F2776" w14:paraId="7E029C6A" w14:textId="2FC14BAB">
            <w:pPr>
              <w:keepNext/>
              <w:jc w:val="center"/>
              <w:rPr>
                <w:color w:val="000000"/>
                <w:szCs w:val="24"/>
                <w:highlight w:val="yellow"/>
              </w:rPr>
            </w:pPr>
            <w:r>
              <w:rPr>
                <w:szCs w:val="24"/>
              </w:rPr>
              <w:t>40,000</w:t>
            </w:r>
          </w:p>
        </w:tc>
        <w:tc>
          <w:tcPr>
            <w:tcW w:w="1620" w:type="dxa"/>
            <w:tcBorders>
              <w:top w:val="outset" w:sz="6" w:space="0" w:color="auto"/>
              <w:left w:val="outset" w:sz="6" w:space="0" w:color="auto"/>
              <w:bottom w:val="outset" w:sz="6" w:space="0" w:color="auto"/>
              <w:right w:val="outset" w:sz="6" w:space="0" w:color="auto"/>
            </w:tcBorders>
            <w:vAlign w:val="center"/>
          </w:tcPr>
          <w:p w:rsidR="003379CA" w:rsidRPr="000D4EE2" w:rsidP="004F2776" w14:paraId="68561884" w14:textId="1EBCFA1B">
            <w:pPr>
              <w:keepNext/>
              <w:jc w:val="center"/>
              <w:rPr>
                <w:color w:val="000000"/>
                <w:szCs w:val="24"/>
              </w:rPr>
            </w:pPr>
            <w:r w:rsidRPr="000D4EE2">
              <w:rPr>
                <w:color w:val="000000"/>
                <w:szCs w:val="24"/>
              </w:rPr>
              <w:t>1</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379CA" w:rsidRPr="00BA6B45" w:rsidP="004F2776" w14:paraId="45378BA3" w14:textId="2B0134DF">
            <w:pPr>
              <w:keepNext/>
              <w:jc w:val="center"/>
              <w:rPr>
                <w:color w:val="000000"/>
                <w:szCs w:val="24"/>
              </w:rPr>
            </w:pPr>
            <w:r w:rsidRPr="00BA6B45">
              <w:rPr>
                <w:color w:val="000000"/>
                <w:szCs w:val="24"/>
              </w:rPr>
              <w:t>10 minutes</w:t>
            </w:r>
          </w:p>
        </w:tc>
        <w:tc>
          <w:tcPr>
            <w:tcW w:w="18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379CA" w:rsidRPr="0000780C" w:rsidP="004F2776" w14:paraId="7EF4D33D" w14:textId="1D55D86D">
            <w:pPr>
              <w:keepNext/>
              <w:jc w:val="center"/>
              <w:rPr>
                <w:color w:val="000000"/>
                <w:szCs w:val="24"/>
                <w:highlight w:val="yellow"/>
              </w:rPr>
            </w:pPr>
            <w:r w:rsidRPr="000D4EE2">
              <w:rPr>
                <w:color w:val="000000"/>
                <w:szCs w:val="24"/>
              </w:rPr>
              <w:t>6</w:t>
            </w:r>
            <w:r w:rsidRPr="000D4EE2" w:rsidR="009C78AF">
              <w:rPr>
                <w:color w:val="000000"/>
                <w:szCs w:val="24"/>
              </w:rPr>
              <w:t>,</w:t>
            </w:r>
            <w:r w:rsidRPr="000D4EE2">
              <w:rPr>
                <w:color w:val="000000"/>
                <w:szCs w:val="24"/>
              </w:rPr>
              <w:t>667</w:t>
            </w:r>
            <w:r w:rsidRPr="00393477">
              <w:rPr>
                <w:color w:val="000000"/>
                <w:szCs w:val="24"/>
              </w:rPr>
              <w:t xml:space="preserve"> hours</w:t>
            </w:r>
          </w:p>
        </w:tc>
      </w:tr>
      <w:tr w14:paraId="2D9F08F4" w14:textId="77777777" w:rsidTr="59BD98AB">
        <w:tblPrEx>
          <w:tblW w:w="9352" w:type="dxa"/>
          <w:tblLayout w:type="fixed"/>
          <w:tblCellMar>
            <w:top w:w="15" w:type="dxa"/>
            <w:left w:w="15" w:type="dxa"/>
            <w:bottom w:w="15" w:type="dxa"/>
            <w:right w:w="15" w:type="dxa"/>
          </w:tblCellMar>
          <w:tblLook w:val="04A0"/>
        </w:tblPrEx>
        <w:tc>
          <w:tcPr>
            <w:tcW w:w="25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C32B8" w14:paraId="252C287A" w14:textId="49D4FB36">
            <w:pPr>
              <w:rPr>
                <w:b/>
                <w:bCs/>
                <w:color w:val="000000"/>
                <w:szCs w:val="24"/>
              </w:rPr>
            </w:pPr>
            <w:r>
              <w:rPr>
                <w:b/>
                <w:bCs/>
                <w:color w:val="000000"/>
                <w:szCs w:val="24"/>
              </w:rPr>
              <w:t xml:space="preserve">Total </w:t>
            </w:r>
            <w:r w:rsidR="008245EA">
              <w:rPr>
                <w:b/>
                <w:bCs/>
                <w:color w:val="000000"/>
                <w:szCs w:val="24"/>
              </w:rPr>
              <w:t>Estimate</w:t>
            </w:r>
          </w:p>
        </w:tc>
        <w:tc>
          <w:tcPr>
            <w:tcW w:w="17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C32B8" w:rsidRPr="00BA6B45" w14:paraId="2A198DB0" w14:textId="77777777">
            <w:pPr>
              <w:jc w:val="center"/>
              <w:rPr>
                <w:color w:val="000000"/>
                <w:szCs w:val="24"/>
              </w:rPr>
            </w:pPr>
          </w:p>
        </w:tc>
        <w:tc>
          <w:tcPr>
            <w:tcW w:w="1620" w:type="dxa"/>
            <w:tcBorders>
              <w:top w:val="outset" w:sz="6" w:space="0" w:color="auto"/>
              <w:left w:val="outset" w:sz="6" w:space="0" w:color="auto"/>
              <w:bottom w:val="outset" w:sz="6" w:space="0" w:color="auto"/>
              <w:right w:val="outset" w:sz="6" w:space="0" w:color="auto"/>
            </w:tcBorders>
            <w:vAlign w:val="center"/>
          </w:tcPr>
          <w:p w:rsidR="00BC32B8" w:rsidRPr="00BA6B45" w14:paraId="315D69B6" w14:textId="77777777">
            <w:pPr>
              <w:jc w:val="center"/>
              <w:rPr>
                <w:color w:val="000000"/>
                <w:szCs w:val="24"/>
              </w:rPr>
            </w:pP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C32B8" w:rsidRPr="00BA6B45" w14:paraId="67AD3D9C" w14:textId="77777777">
            <w:pPr>
              <w:jc w:val="center"/>
              <w:rPr>
                <w:color w:val="000000"/>
                <w:szCs w:val="24"/>
              </w:rPr>
            </w:pPr>
          </w:p>
        </w:tc>
        <w:tc>
          <w:tcPr>
            <w:tcW w:w="18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C32B8" w:rsidRPr="0000780C" w:rsidP="59BD98AB" w14:paraId="7C218959" w14:textId="06CD8245">
            <w:pPr>
              <w:jc w:val="center"/>
              <w:rPr>
                <w:color w:val="000000"/>
                <w:highlight w:val="yellow"/>
              </w:rPr>
            </w:pPr>
            <w:r w:rsidRPr="59BD98AB">
              <w:rPr>
                <w:color w:val="000000" w:themeColor="text1"/>
              </w:rPr>
              <w:t>2</w:t>
            </w:r>
            <w:r w:rsidRPr="59BD98AB" w:rsidR="49644F81">
              <w:rPr>
                <w:color w:val="000000" w:themeColor="text1"/>
              </w:rPr>
              <w:t>0</w:t>
            </w:r>
            <w:r w:rsidRPr="59BD98AB" w:rsidR="0A5AF4AC">
              <w:rPr>
                <w:color w:val="000000" w:themeColor="text1"/>
              </w:rPr>
              <w:t>,</w:t>
            </w:r>
            <w:r w:rsidRPr="59BD98AB" w:rsidR="072A222B">
              <w:rPr>
                <w:color w:val="000000" w:themeColor="text1"/>
              </w:rPr>
              <w:t>000</w:t>
            </w:r>
            <w:r w:rsidRPr="59BD98AB" w:rsidR="5F4E0FFB">
              <w:rPr>
                <w:color w:val="000000" w:themeColor="text1"/>
              </w:rPr>
              <w:t xml:space="preserve"> </w:t>
            </w:r>
            <w:r w:rsidRPr="59BD98AB" w:rsidR="7615D1AB">
              <w:rPr>
                <w:color w:val="000000" w:themeColor="text1"/>
              </w:rPr>
              <w:t>hours</w:t>
            </w:r>
          </w:p>
        </w:tc>
      </w:tr>
    </w:tbl>
    <w:p w:rsidR="00464B29" w:rsidRPr="000C4489" w:rsidP="00464B29" w14:paraId="0FFC9FF6" w14:textId="77777777">
      <w:pPr>
        <w:widowControl w:val="0"/>
        <w:rPr>
          <w:szCs w:val="24"/>
        </w:rPr>
      </w:pPr>
    </w:p>
    <w:p w:rsidR="00464B29" w:rsidRPr="00186B9D" w:rsidP="00464B29" w14:paraId="69914707" w14:textId="26DB1A86">
      <w:pPr>
        <w:spacing w:after="200" w:line="276" w:lineRule="auto"/>
        <w:rPr>
          <w:b/>
          <w:bCs/>
          <w:szCs w:val="24"/>
        </w:rPr>
      </w:pPr>
      <w:r w:rsidRPr="00186B9D">
        <w:rPr>
          <w:b/>
          <w:bCs/>
          <w:szCs w:val="24"/>
        </w:rPr>
        <w:t>The following documents are included as attachments:</w:t>
      </w:r>
    </w:p>
    <w:p w:rsidR="00AD5D3B" w:rsidP="00DD0C40" w14:paraId="27FC1EF4" w14:textId="3E97AD97">
      <w:pPr>
        <w:pStyle w:val="NoSpacing"/>
      </w:pPr>
      <w:r>
        <w:t>Attachment 1: 202</w:t>
      </w:r>
      <w:r w:rsidR="4609EC66">
        <w:t>5</w:t>
      </w:r>
      <w:r>
        <w:t xml:space="preserve"> Census </w:t>
      </w:r>
      <w:r w:rsidR="009456F2">
        <w:t xml:space="preserve">Household </w:t>
      </w:r>
      <w:r w:rsidR="00F36DEF">
        <w:t>Survey</w:t>
      </w:r>
      <w:r>
        <w:t xml:space="preserve"> Online Questionnaire</w:t>
      </w:r>
    </w:p>
    <w:p w:rsidR="00844B13" w:rsidRPr="00266947" w:rsidP="17F429DF" w14:paraId="37D885FA" w14:textId="59AB9236">
      <w:pPr>
        <w:pStyle w:val="NoSpacing"/>
      </w:pPr>
      <w:r>
        <w:t xml:space="preserve">Attachment </w:t>
      </w:r>
      <w:r w:rsidR="25849B20">
        <w:t>2</w:t>
      </w:r>
      <w:r>
        <w:t xml:space="preserve">: </w:t>
      </w:r>
      <w:r w:rsidR="00266947">
        <w:t xml:space="preserve">Invitation letter </w:t>
      </w:r>
      <w:r w:rsidR="00AB5D26">
        <w:t xml:space="preserve">with </w:t>
      </w:r>
      <w:r w:rsidR="7ECA7787">
        <w:t>URL</w:t>
      </w:r>
      <w:r w:rsidR="6AAA4013">
        <w:t>s</w:t>
      </w:r>
      <w:r w:rsidR="4C629F22">
        <w:t xml:space="preserve"> (English and Spanish)</w:t>
      </w:r>
    </w:p>
    <w:p w:rsidR="00AB5D26" w:rsidP="00DD0C40" w14:paraId="08A07183" w14:textId="28E5D747">
      <w:pPr>
        <w:pStyle w:val="NoSpacing"/>
      </w:pPr>
      <w:r>
        <w:t xml:space="preserve">Attachment </w:t>
      </w:r>
      <w:r w:rsidR="3269FD3E">
        <w:t>3</w:t>
      </w:r>
      <w:r>
        <w:t xml:space="preserve">: </w:t>
      </w:r>
      <w:r w:rsidR="631BD421">
        <w:t xml:space="preserve">First </w:t>
      </w:r>
      <w:r>
        <w:t>Reminder Letter</w:t>
      </w:r>
      <w:r w:rsidR="2612C2A4">
        <w:t xml:space="preserve"> </w:t>
      </w:r>
      <w:r>
        <w:t xml:space="preserve">with </w:t>
      </w:r>
      <w:r w:rsidR="37DC7535">
        <w:t>URL</w:t>
      </w:r>
      <w:r w:rsidR="558A38F4">
        <w:t>s</w:t>
      </w:r>
      <w:r w:rsidR="2D978352">
        <w:t xml:space="preserve"> (English and Spanish)</w:t>
      </w:r>
    </w:p>
    <w:p w:rsidR="00207032" w:rsidP="17F429DF" w14:paraId="43174826" w14:textId="585ACA04">
      <w:pPr>
        <w:pStyle w:val="NoSpacing"/>
      </w:pPr>
      <w:r>
        <w:t xml:space="preserve">Attachment </w:t>
      </w:r>
      <w:r w:rsidR="7D3E0D53">
        <w:t>4</w:t>
      </w:r>
      <w:r>
        <w:t>: First Reminder Postcard</w:t>
      </w:r>
      <w:r w:rsidR="001950F8">
        <w:t xml:space="preserve"> with </w:t>
      </w:r>
      <w:r w:rsidR="59BB0255">
        <w:t>URLs</w:t>
      </w:r>
      <w:r w:rsidR="1FA00642">
        <w:t xml:space="preserve"> </w:t>
      </w:r>
      <w:r w:rsidR="2FFD27F2">
        <w:t>(Bilingual: English and Spanish)</w:t>
      </w:r>
    </w:p>
    <w:p w:rsidR="00A7315D" w:rsidP="00A7315D" w14:paraId="0955A9A7" w14:textId="16A6AD9C">
      <w:pPr>
        <w:pStyle w:val="NoSpacing"/>
      </w:pPr>
      <w:r>
        <w:t xml:space="preserve">Attachment </w:t>
      </w:r>
      <w:r w:rsidR="7D3E0D53">
        <w:t>5</w:t>
      </w:r>
      <w:r>
        <w:t>:</w:t>
      </w:r>
      <w:r w:rsidR="001950F8">
        <w:t xml:space="preserve"> Second Reminder</w:t>
      </w:r>
      <w:r w:rsidR="680074FF">
        <w:t xml:space="preserve"> Letter </w:t>
      </w:r>
      <w:r w:rsidR="001950F8">
        <w:t xml:space="preserve">with </w:t>
      </w:r>
      <w:r w:rsidR="34159B17">
        <w:t>URLs</w:t>
      </w:r>
      <w:r w:rsidR="4652E540">
        <w:t xml:space="preserve"> (English and Spanish)</w:t>
      </w:r>
    </w:p>
    <w:p w:rsidR="00A7315D" w:rsidP="00A7315D" w14:paraId="4DAC3972" w14:textId="77777777">
      <w:pPr>
        <w:pStyle w:val="NoSpacing"/>
        <w:rPr>
          <w:szCs w:val="24"/>
        </w:rPr>
      </w:pPr>
    </w:p>
    <w:p w:rsidR="00464B29" w:rsidRPr="00D6507E" w:rsidP="00464B29" w14:paraId="76930C25" w14:textId="588F379F">
      <w:pPr>
        <w:spacing w:after="200" w:line="276" w:lineRule="auto"/>
        <w:rPr>
          <w:szCs w:val="24"/>
        </w:rPr>
      </w:pPr>
      <w:r w:rsidRPr="00D6507E">
        <w:rPr>
          <w:szCs w:val="24"/>
        </w:rPr>
        <w:t>The contact person for questions regarding data collection and the design of this research is listed below:</w:t>
      </w:r>
    </w:p>
    <w:p w:rsidR="00464B29" w:rsidRPr="00D6507E" w:rsidP="00464B29" w14:paraId="0245CDF3" w14:textId="7E7D06C8">
      <w:pPr>
        <w:widowControl w:val="0"/>
        <w:rPr>
          <w:szCs w:val="24"/>
        </w:rPr>
      </w:pPr>
      <w:r w:rsidRPr="00D6507E">
        <w:rPr>
          <w:szCs w:val="24"/>
        </w:rPr>
        <w:tab/>
      </w:r>
      <w:r w:rsidR="00F27A2D">
        <w:rPr>
          <w:szCs w:val="24"/>
        </w:rPr>
        <w:t>Roxanne Moadel-Attie</w:t>
      </w:r>
    </w:p>
    <w:p w:rsidR="00464B29" w:rsidRPr="00D6507E" w:rsidP="00464B29" w14:paraId="4AFA82F9" w14:textId="58762DC0">
      <w:pPr>
        <w:widowControl w:val="0"/>
        <w:rPr>
          <w:szCs w:val="24"/>
        </w:rPr>
      </w:pPr>
      <w:r w:rsidRPr="00D6507E">
        <w:rPr>
          <w:szCs w:val="24"/>
        </w:rPr>
        <w:tab/>
      </w:r>
      <w:r w:rsidR="00F27A2D">
        <w:rPr>
          <w:szCs w:val="24"/>
        </w:rPr>
        <w:t>Data Ingest and Collection for the Enterprise (DICE)</w:t>
      </w:r>
    </w:p>
    <w:p w:rsidR="00464B29" w:rsidRPr="00D6507E" w:rsidP="00464B29" w14:paraId="3C434B47" w14:textId="48F1DFDD">
      <w:pPr>
        <w:widowControl w:val="0"/>
        <w:rPr>
          <w:szCs w:val="24"/>
        </w:rPr>
      </w:pPr>
      <w:r w:rsidRPr="00D6507E">
        <w:rPr>
          <w:szCs w:val="24"/>
        </w:rPr>
        <w:tab/>
        <w:t xml:space="preserve">U.S. Census Bureau </w:t>
      </w:r>
      <w:r w:rsidR="00620A51">
        <w:rPr>
          <w:szCs w:val="24"/>
        </w:rPr>
        <w:t xml:space="preserve"> </w:t>
      </w:r>
    </w:p>
    <w:p w:rsidR="00464B29" w:rsidRPr="00D6507E" w:rsidP="00464B29" w14:paraId="7CABB822" w14:textId="4016425B">
      <w:pPr>
        <w:widowControl w:val="0"/>
        <w:rPr>
          <w:szCs w:val="24"/>
        </w:rPr>
      </w:pPr>
      <w:r w:rsidRPr="00D6507E">
        <w:rPr>
          <w:szCs w:val="24"/>
        </w:rPr>
        <w:tab/>
      </w:r>
      <w:r w:rsidR="00F27A2D">
        <w:rPr>
          <w:szCs w:val="24"/>
        </w:rPr>
        <w:t>Suitland</w:t>
      </w:r>
      <w:r w:rsidRPr="00D6507E">
        <w:rPr>
          <w:szCs w:val="24"/>
        </w:rPr>
        <w:t xml:space="preserve">, </w:t>
      </w:r>
      <w:r w:rsidR="00F27A2D">
        <w:rPr>
          <w:szCs w:val="24"/>
        </w:rPr>
        <w:t>MD</w:t>
      </w:r>
      <w:r w:rsidRPr="00D6507E">
        <w:rPr>
          <w:szCs w:val="24"/>
        </w:rPr>
        <w:t xml:space="preserve"> </w:t>
      </w:r>
      <w:r w:rsidR="00F27A2D">
        <w:rPr>
          <w:szCs w:val="24"/>
        </w:rPr>
        <w:t>20746</w:t>
      </w:r>
    </w:p>
    <w:p w:rsidR="00464B29" w:rsidRPr="00D6507E" w:rsidP="00464B29" w14:paraId="62C3EC48" w14:textId="5438E8ED">
      <w:pPr>
        <w:widowControl w:val="0"/>
        <w:rPr>
          <w:szCs w:val="24"/>
        </w:rPr>
      </w:pPr>
      <w:r w:rsidRPr="00D6507E">
        <w:rPr>
          <w:szCs w:val="24"/>
        </w:rPr>
        <w:tab/>
        <w:t>(301) 763-</w:t>
      </w:r>
      <w:r w:rsidR="00F27A2D">
        <w:rPr>
          <w:szCs w:val="24"/>
        </w:rPr>
        <w:t>4793</w:t>
      </w:r>
      <w:r w:rsidR="004078CD">
        <w:rPr>
          <w:szCs w:val="24"/>
        </w:rPr>
        <w:t xml:space="preserve"> </w:t>
      </w:r>
    </w:p>
    <w:p w:rsidR="00464B29" w:rsidP="17F429DF" w14:paraId="6588D698" w14:textId="20AB6613">
      <w:pPr>
        <w:widowControl w:val="0"/>
        <w:ind w:firstLine="720"/>
      </w:pPr>
      <w:r w:rsidRPr="17F429DF">
        <w:rPr>
          <w:color w:val="0000FF"/>
          <w:u w:val="single"/>
        </w:rPr>
        <w:t>Roxanne.G.Moadel.Attie</w:t>
      </w:r>
      <w:r w:rsidRPr="17F429DF" w:rsidR="00620A51">
        <w:rPr>
          <w:color w:val="0000FF"/>
          <w:u w:val="single"/>
        </w:rPr>
        <w:t>@census.gov</w:t>
      </w:r>
    </w:p>
    <w:sectPr w:rsidSect="00DB7035">
      <w:headerReference w:type="default" r:id="rId8"/>
      <w:pgSz w:w="12240" w:h="15840"/>
      <w:pgMar w:top="1440" w:right="1440" w:bottom="192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3FAE" w14:paraId="676CC498" w14:textId="6E5DCE9E">
    <w:pPr>
      <w:widowControl w:val="0"/>
    </w:pPr>
    <w:r>
      <w:t>CUI//SP-CENS</w:t>
    </w:r>
  </w:p>
  <w:p w:rsidR="00463FAE" w14:paraId="0175CA4B" w14:textId="1EDE4EFA">
    <w:pPr>
      <w:widowControl w:val="0"/>
    </w:pPr>
  </w:p>
  <w:p w:rsidR="00463FAE" w14:paraId="51889B58"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54B19"/>
    <w:multiLevelType w:val="hybridMultilevel"/>
    <w:tmpl w:val="11FA0A80"/>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9F130C"/>
    <w:multiLevelType w:val="hybridMultilevel"/>
    <w:tmpl w:val="DC4A87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CF26965"/>
    <w:multiLevelType w:val="hybridMultilevel"/>
    <w:tmpl w:val="6FC440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DAB7A3D"/>
    <w:multiLevelType w:val="hybridMultilevel"/>
    <w:tmpl w:val="C65890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4734522"/>
    <w:multiLevelType w:val="hybridMultilevel"/>
    <w:tmpl w:val="D690D7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CE23824"/>
    <w:multiLevelType w:val="hybridMultilevel"/>
    <w:tmpl w:val="DD083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5AD70C3"/>
    <w:multiLevelType w:val="hybridMultilevel"/>
    <w:tmpl w:val="5CE4FC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4FD5353"/>
    <w:multiLevelType w:val="hybridMultilevel"/>
    <w:tmpl w:val="03ECAF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AC34E3D"/>
    <w:multiLevelType w:val="hybridMultilevel"/>
    <w:tmpl w:val="647669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32024355">
    <w:abstractNumId w:val="7"/>
  </w:num>
  <w:num w:numId="2" w16cid:durableId="38361678">
    <w:abstractNumId w:val="4"/>
  </w:num>
  <w:num w:numId="3" w16cid:durableId="291448221">
    <w:abstractNumId w:val="5"/>
  </w:num>
  <w:num w:numId="4" w16cid:durableId="837423036">
    <w:abstractNumId w:val="6"/>
  </w:num>
  <w:num w:numId="5" w16cid:durableId="1315448673">
    <w:abstractNumId w:val="8"/>
  </w:num>
  <w:num w:numId="6" w16cid:durableId="983507432">
    <w:abstractNumId w:val="1"/>
  </w:num>
  <w:num w:numId="7" w16cid:durableId="2099519467">
    <w:abstractNumId w:val="3"/>
  </w:num>
  <w:num w:numId="8" w16cid:durableId="1634670679">
    <w:abstractNumId w:val="0"/>
  </w:num>
  <w:num w:numId="9" w16cid:durableId="1717200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B29"/>
    <w:rsid w:val="0000780C"/>
    <w:rsid w:val="00015189"/>
    <w:rsid w:val="00017DCE"/>
    <w:rsid w:val="00023494"/>
    <w:rsid w:val="000253FA"/>
    <w:rsid w:val="00032237"/>
    <w:rsid w:val="000374F8"/>
    <w:rsid w:val="00046873"/>
    <w:rsid w:val="000513B6"/>
    <w:rsid w:val="00053806"/>
    <w:rsid w:val="00056036"/>
    <w:rsid w:val="000643A3"/>
    <w:rsid w:val="000765B9"/>
    <w:rsid w:val="000773FD"/>
    <w:rsid w:val="0008058D"/>
    <w:rsid w:val="000871CE"/>
    <w:rsid w:val="00090CC8"/>
    <w:rsid w:val="0009294E"/>
    <w:rsid w:val="0009331D"/>
    <w:rsid w:val="000A266E"/>
    <w:rsid w:val="000B020D"/>
    <w:rsid w:val="000B1EB1"/>
    <w:rsid w:val="000B2C5A"/>
    <w:rsid w:val="000B2CEF"/>
    <w:rsid w:val="000B469C"/>
    <w:rsid w:val="000B6FF3"/>
    <w:rsid w:val="000C375E"/>
    <w:rsid w:val="000C4489"/>
    <w:rsid w:val="000D4EE2"/>
    <w:rsid w:val="000D574E"/>
    <w:rsid w:val="000D7BF0"/>
    <w:rsid w:val="000E05D1"/>
    <w:rsid w:val="0010304B"/>
    <w:rsid w:val="0012357F"/>
    <w:rsid w:val="0013009F"/>
    <w:rsid w:val="00133EE0"/>
    <w:rsid w:val="001358F8"/>
    <w:rsid w:val="00135C2B"/>
    <w:rsid w:val="00157AFA"/>
    <w:rsid w:val="001717C2"/>
    <w:rsid w:val="001735C1"/>
    <w:rsid w:val="001737A9"/>
    <w:rsid w:val="001754B0"/>
    <w:rsid w:val="00182EC7"/>
    <w:rsid w:val="00186B9D"/>
    <w:rsid w:val="001950F8"/>
    <w:rsid w:val="001B0250"/>
    <w:rsid w:val="001B1820"/>
    <w:rsid w:val="001B31C4"/>
    <w:rsid w:val="001B4AD8"/>
    <w:rsid w:val="001C2D59"/>
    <w:rsid w:val="001C67F1"/>
    <w:rsid w:val="001D135F"/>
    <w:rsid w:val="001D4A57"/>
    <w:rsid w:val="001E0E43"/>
    <w:rsid w:val="001E35E4"/>
    <w:rsid w:val="001F412E"/>
    <w:rsid w:val="001F7104"/>
    <w:rsid w:val="00207032"/>
    <w:rsid w:val="002111E2"/>
    <w:rsid w:val="00211A21"/>
    <w:rsid w:val="00213B5B"/>
    <w:rsid w:val="00221F8A"/>
    <w:rsid w:val="00234D31"/>
    <w:rsid w:val="002406E8"/>
    <w:rsid w:val="00241816"/>
    <w:rsid w:val="00247AB5"/>
    <w:rsid w:val="00255F09"/>
    <w:rsid w:val="002600DA"/>
    <w:rsid w:val="00266947"/>
    <w:rsid w:val="00267912"/>
    <w:rsid w:val="00270686"/>
    <w:rsid w:val="0027557E"/>
    <w:rsid w:val="002779CF"/>
    <w:rsid w:val="002858B4"/>
    <w:rsid w:val="0028632B"/>
    <w:rsid w:val="00291A4D"/>
    <w:rsid w:val="00292D79"/>
    <w:rsid w:val="00294C5E"/>
    <w:rsid w:val="002957A8"/>
    <w:rsid w:val="002A0512"/>
    <w:rsid w:val="002A6A38"/>
    <w:rsid w:val="002B50FE"/>
    <w:rsid w:val="002B5688"/>
    <w:rsid w:val="002B5A47"/>
    <w:rsid w:val="002C0BB3"/>
    <w:rsid w:val="002C0CE2"/>
    <w:rsid w:val="002C4E2C"/>
    <w:rsid w:val="002D20EC"/>
    <w:rsid w:val="002E0B54"/>
    <w:rsid w:val="002E290C"/>
    <w:rsid w:val="002E609B"/>
    <w:rsid w:val="002E7AFD"/>
    <w:rsid w:val="002F35CF"/>
    <w:rsid w:val="003226AE"/>
    <w:rsid w:val="003228CC"/>
    <w:rsid w:val="00333C3C"/>
    <w:rsid w:val="0033769E"/>
    <w:rsid w:val="003379CA"/>
    <w:rsid w:val="003419C1"/>
    <w:rsid w:val="00341DC5"/>
    <w:rsid w:val="003508D7"/>
    <w:rsid w:val="003706B9"/>
    <w:rsid w:val="0037712B"/>
    <w:rsid w:val="0038051D"/>
    <w:rsid w:val="00382112"/>
    <w:rsid w:val="00382ABC"/>
    <w:rsid w:val="00386C8F"/>
    <w:rsid w:val="00392A14"/>
    <w:rsid w:val="00392B3C"/>
    <w:rsid w:val="00393477"/>
    <w:rsid w:val="00394A42"/>
    <w:rsid w:val="00394FDF"/>
    <w:rsid w:val="00395089"/>
    <w:rsid w:val="003A6502"/>
    <w:rsid w:val="003B4A2A"/>
    <w:rsid w:val="003B77BA"/>
    <w:rsid w:val="003C60A0"/>
    <w:rsid w:val="003E1EDA"/>
    <w:rsid w:val="003E42C5"/>
    <w:rsid w:val="003F1F70"/>
    <w:rsid w:val="003F7BDA"/>
    <w:rsid w:val="00404412"/>
    <w:rsid w:val="00405422"/>
    <w:rsid w:val="004078CD"/>
    <w:rsid w:val="00410F2C"/>
    <w:rsid w:val="00432933"/>
    <w:rsid w:val="004418A5"/>
    <w:rsid w:val="00451F79"/>
    <w:rsid w:val="00463FAE"/>
    <w:rsid w:val="00464B29"/>
    <w:rsid w:val="00464FF1"/>
    <w:rsid w:val="0046554B"/>
    <w:rsid w:val="004702B5"/>
    <w:rsid w:val="00472495"/>
    <w:rsid w:val="00477D25"/>
    <w:rsid w:val="004B5070"/>
    <w:rsid w:val="004C0CC2"/>
    <w:rsid w:val="004C6FCD"/>
    <w:rsid w:val="004D33B6"/>
    <w:rsid w:val="004E0381"/>
    <w:rsid w:val="004E1482"/>
    <w:rsid w:val="004E2712"/>
    <w:rsid w:val="004E4317"/>
    <w:rsid w:val="004E7842"/>
    <w:rsid w:val="004F2025"/>
    <w:rsid w:val="004F2776"/>
    <w:rsid w:val="00523488"/>
    <w:rsid w:val="00533F31"/>
    <w:rsid w:val="005374E0"/>
    <w:rsid w:val="005474BD"/>
    <w:rsid w:val="00551239"/>
    <w:rsid w:val="0055519D"/>
    <w:rsid w:val="005605F3"/>
    <w:rsid w:val="005649A4"/>
    <w:rsid w:val="00566F8B"/>
    <w:rsid w:val="00567F13"/>
    <w:rsid w:val="00571935"/>
    <w:rsid w:val="00572D22"/>
    <w:rsid w:val="00585B47"/>
    <w:rsid w:val="00592704"/>
    <w:rsid w:val="00597445"/>
    <w:rsid w:val="005A2D23"/>
    <w:rsid w:val="005B0641"/>
    <w:rsid w:val="005C679E"/>
    <w:rsid w:val="005D19D5"/>
    <w:rsid w:val="005F0108"/>
    <w:rsid w:val="005F114E"/>
    <w:rsid w:val="005F2714"/>
    <w:rsid w:val="006046CF"/>
    <w:rsid w:val="00604AC0"/>
    <w:rsid w:val="00605A53"/>
    <w:rsid w:val="00612544"/>
    <w:rsid w:val="00614088"/>
    <w:rsid w:val="00616E4D"/>
    <w:rsid w:val="00620A51"/>
    <w:rsid w:val="0062177C"/>
    <w:rsid w:val="006226B3"/>
    <w:rsid w:val="00622C6F"/>
    <w:rsid w:val="00627FA0"/>
    <w:rsid w:val="0063452F"/>
    <w:rsid w:val="00636DDA"/>
    <w:rsid w:val="00641690"/>
    <w:rsid w:val="0064380D"/>
    <w:rsid w:val="00646115"/>
    <w:rsid w:val="0067999B"/>
    <w:rsid w:val="00691207"/>
    <w:rsid w:val="006921C8"/>
    <w:rsid w:val="006933B9"/>
    <w:rsid w:val="006B1FBD"/>
    <w:rsid w:val="006D1100"/>
    <w:rsid w:val="006D3F8D"/>
    <w:rsid w:val="006E4791"/>
    <w:rsid w:val="006F6998"/>
    <w:rsid w:val="006F7B1A"/>
    <w:rsid w:val="0070785E"/>
    <w:rsid w:val="007142CD"/>
    <w:rsid w:val="0071761C"/>
    <w:rsid w:val="00720687"/>
    <w:rsid w:val="00722233"/>
    <w:rsid w:val="00722DA0"/>
    <w:rsid w:val="00731A63"/>
    <w:rsid w:val="0073537C"/>
    <w:rsid w:val="00737086"/>
    <w:rsid w:val="00741624"/>
    <w:rsid w:val="00741654"/>
    <w:rsid w:val="00741ED9"/>
    <w:rsid w:val="0075032E"/>
    <w:rsid w:val="0075741D"/>
    <w:rsid w:val="00761019"/>
    <w:rsid w:val="007623AE"/>
    <w:rsid w:val="007651E4"/>
    <w:rsid w:val="00770CB9"/>
    <w:rsid w:val="00771DCA"/>
    <w:rsid w:val="0077536C"/>
    <w:rsid w:val="007838FB"/>
    <w:rsid w:val="00784A22"/>
    <w:rsid w:val="00786323"/>
    <w:rsid w:val="007901DC"/>
    <w:rsid w:val="0079097C"/>
    <w:rsid w:val="00797C6B"/>
    <w:rsid w:val="007A1142"/>
    <w:rsid w:val="007A178D"/>
    <w:rsid w:val="007A17B1"/>
    <w:rsid w:val="007B6D54"/>
    <w:rsid w:val="007C157E"/>
    <w:rsid w:val="007D10D6"/>
    <w:rsid w:val="007D2878"/>
    <w:rsid w:val="007E20FE"/>
    <w:rsid w:val="007E7D15"/>
    <w:rsid w:val="007E7EB1"/>
    <w:rsid w:val="007F0828"/>
    <w:rsid w:val="007F3E70"/>
    <w:rsid w:val="007F4478"/>
    <w:rsid w:val="007F6C5C"/>
    <w:rsid w:val="007F6EEB"/>
    <w:rsid w:val="00801EA4"/>
    <w:rsid w:val="008235E8"/>
    <w:rsid w:val="008245EA"/>
    <w:rsid w:val="00830860"/>
    <w:rsid w:val="00835A20"/>
    <w:rsid w:val="00836880"/>
    <w:rsid w:val="00840A0C"/>
    <w:rsid w:val="00844B13"/>
    <w:rsid w:val="0085121E"/>
    <w:rsid w:val="00852CA1"/>
    <w:rsid w:val="00853F52"/>
    <w:rsid w:val="0085475D"/>
    <w:rsid w:val="008606B0"/>
    <w:rsid w:val="00882E4F"/>
    <w:rsid w:val="008902BB"/>
    <w:rsid w:val="008A42EA"/>
    <w:rsid w:val="008A773B"/>
    <w:rsid w:val="008A7E42"/>
    <w:rsid w:val="008B211F"/>
    <w:rsid w:val="008B45D7"/>
    <w:rsid w:val="008B7FFA"/>
    <w:rsid w:val="008C0E81"/>
    <w:rsid w:val="008C23B0"/>
    <w:rsid w:val="008C345B"/>
    <w:rsid w:val="008C530C"/>
    <w:rsid w:val="008D2885"/>
    <w:rsid w:val="008DD910"/>
    <w:rsid w:val="008E1F7E"/>
    <w:rsid w:val="008F5224"/>
    <w:rsid w:val="00901E0E"/>
    <w:rsid w:val="00912EC3"/>
    <w:rsid w:val="00913049"/>
    <w:rsid w:val="0091616E"/>
    <w:rsid w:val="00942866"/>
    <w:rsid w:val="009456F2"/>
    <w:rsid w:val="00950CBE"/>
    <w:rsid w:val="009546E5"/>
    <w:rsid w:val="009565E4"/>
    <w:rsid w:val="009600DC"/>
    <w:rsid w:val="009743F5"/>
    <w:rsid w:val="00976E02"/>
    <w:rsid w:val="00986ED2"/>
    <w:rsid w:val="009A04E8"/>
    <w:rsid w:val="009B1992"/>
    <w:rsid w:val="009B52FF"/>
    <w:rsid w:val="009C1F58"/>
    <w:rsid w:val="009C3C46"/>
    <w:rsid w:val="009C78AF"/>
    <w:rsid w:val="009C7FAC"/>
    <w:rsid w:val="009E2BF7"/>
    <w:rsid w:val="009F1153"/>
    <w:rsid w:val="009F1FF2"/>
    <w:rsid w:val="00A07BA1"/>
    <w:rsid w:val="00A1032D"/>
    <w:rsid w:val="00A164D9"/>
    <w:rsid w:val="00A26860"/>
    <w:rsid w:val="00A333A7"/>
    <w:rsid w:val="00A34F9D"/>
    <w:rsid w:val="00A536D6"/>
    <w:rsid w:val="00A56181"/>
    <w:rsid w:val="00A61A1B"/>
    <w:rsid w:val="00A635ED"/>
    <w:rsid w:val="00A7315D"/>
    <w:rsid w:val="00A74F93"/>
    <w:rsid w:val="00A762E3"/>
    <w:rsid w:val="00A77466"/>
    <w:rsid w:val="00AA04DC"/>
    <w:rsid w:val="00AA536F"/>
    <w:rsid w:val="00AB5061"/>
    <w:rsid w:val="00AB5D26"/>
    <w:rsid w:val="00AC16B1"/>
    <w:rsid w:val="00AC5C9B"/>
    <w:rsid w:val="00AC7B48"/>
    <w:rsid w:val="00AD5D3B"/>
    <w:rsid w:val="00AD75A9"/>
    <w:rsid w:val="00AF1077"/>
    <w:rsid w:val="00B00F2C"/>
    <w:rsid w:val="00B04575"/>
    <w:rsid w:val="00B05A90"/>
    <w:rsid w:val="00B225A0"/>
    <w:rsid w:val="00B25FFA"/>
    <w:rsid w:val="00B30A66"/>
    <w:rsid w:val="00B370DC"/>
    <w:rsid w:val="00B43148"/>
    <w:rsid w:val="00B52741"/>
    <w:rsid w:val="00B558F4"/>
    <w:rsid w:val="00B57CD1"/>
    <w:rsid w:val="00B66341"/>
    <w:rsid w:val="00B755E2"/>
    <w:rsid w:val="00B821B4"/>
    <w:rsid w:val="00B8422C"/>
    <w:rsid w:val="00B87CCD"/>
    <w:rsid w:val="00B919DB"/>
    <w:rsid w:val="00B94D08"/>
    <w:rsid w:val="00B959AB"/>
    <w:rsid w:val="00B96127"/>
    <w:rsid w:val="00BA1228"/>
    <w:rsid w:val="00BA2383"/>
    <w:rsid w:val="00BA6B45"/>
    <w:rsid w:val="00BC0135"/>
    <w:rsid w:val="00BC0F80"/>
    <w:rsid w:val="00BC32B8"/>
    <w:rsid w:val="00BD2336"/>
    <w:rsid w:val="00BE7631"/>
    <w:rsid w:val="00BF285E"/>
    <w:rsid w:val="00C041A6"/>
    <w:rsid w:val="00C16AB1"/>
    <w:rsid w:val="00C16DCC"/>
    <w:rsid w:val="00C17AD8"/>
    <w:rsid w:val="00C23C28"/>
    <w:rsid w:val="00C27BD1"/>
    <w:rsid w:val="00C40F9F"/>
    <w:rsid w:val="00C5172F"/>
    <w:rsid w:val="00C55789"/>
    <w:rsid w:val="00C629D8"/>
    <w:rsid w:val="00C63C9D"/>
    <w:rsid w:val="00C74E9B"/>
    <w:rsid w:val="00C82473"/>
    <w:rsid w:val="00C9255E"/>
    <w:rsid w:val="00C95AF5"/>
    <w:rsid w:val="00CA0428"/>
    <w:rsid w:val="00CA4A53"/>
    <w:rsid w:val="00CC3BCD"/>
    <w:rsid w:val="00CD179C"/>
    <w:rsid w:val="00CD7972"/>
    <w:rsid w:val="00CE16A7"/>
    <w:rsid w:val="00CE214D"/>
    <w:rsid w:val="00CE2403"/>
    <w:rsid w:val="00CE5E3E"/>
    <w:rsid w:val="00CF5451"/>
    <w:rsid w:val="00CF6481"/>
    <w:rsid w:val="00D0049A"/>
    <w:rsid w:val="00D0497F"/>
    <w:rsid w:val="00D10023"/>
    <w:rsid w:val="00D1192F"/>
    <w:rsid w:val="00D11B21"/>
    <w:rsid w:val="00D120E8"/>
    <w:rsid w:val="00D171DE"/>
    <w:rsid w:val="00D220B9"/>
    <w:rsid w:val="00D26336"/>
    <w:rsid w:val="00D34C21"/>
    <w:rsid w:val="00D376AC"/>
    <w:rsid w:val="00D376C5"/>
    <w:rsid w:val="00D52745"/>
    <w:rsid w:val="00D55AFC"/>
    <w:rsid w:val="00D6507E"/>
    <w:rsid w:val="00D81D40"/>
    <w:rsid w:val="00DA18A9"/>
    <w:rsid w:val="00DB5613"/>
    <w:rsid w:val="00DB6523"/>
    <w:rsid w:val="00DB7035"/>
    <w:rsid w:val="00DC2106"/>
    <w:rsid w:val="00DD0C40"/>
    <w:rsid w:val="00DD1F45"/>
    <w:rsid w:val="00DE696D"/>
    <w:rsid w:val="00DE6CCF"/>
    <w:rsid w:val="00DF5DB6"/>
    <w:rsid w:val="00E11B57"/>
    <w:rsid w:val="00E15360"/>
    <w:rsid w:val="00E22BC9"/>
    <w:rsid w:val="00E26196"/>
    <w:rsid w:val="00E270EF"/>
    <w:rsid w:val="00E43569"/>
    <w:rsid w:val="00E47B30"/>
    <w:rsid w:val="00E61737"/>
    <w:rsid w:val="00E61A31"/>
    <w:rsid w:val="00E65F53"/>
    <w:rsid w:val="00E91891"/>
    <w:rsid w:val="00E95835"/>
    <w:rsid w:val="00EA0351"/>
    <w:rsid w:val="00EB15C0"/>
    <w:rsid w:val="00EB2658"/>
    <w:rsid w:val="00EB7F48"/>
    <w:rsid w:val="00EC15A4"/>
    <w:rsid w:val="00ED404D"/>
    <w:rsid w:val="00EE4170"/>
    <w:rsid w:val="00EE4338"/>
    <w:rsid w:val="00EE5B24"/>
    <w:rsid w:val="00EF0AF6"/>
    <w:rsid w:val="00F02290"/>
    <w:rsid w:val="00F124D7"/>
    <w:rsid w:val="00F149D9"/>
    <w:rsid w:val="00F161D4"/>
    <w:rsid w:val="00F16E86"/>
    <w:rsid w:val="00F23FD0"/>
    <w:rsid w:val="00F260B8"/>
    <w:rsid w:val="00F27820"/>
    <w:rsid w:val="00F27A2D"/>
    <w:rsid w:val="00F35377"/>
    <w:rsid w:val="00F36DEF"/>
    <w:rsid w:val="00F53FF4"/>
    <w:rsid w:val="00F635A9"/>
    <w:rsid w:val="00F64DFE"/>
    <w:rsid w:val="00F75503"/>
    <w:rsid w:val="00F85A74"/>
    <w:rsid w:val="00F90080"/>
    <w:rsid w:val="00F9059A"/>
    <w:rsid w:val="00FA1EBD"/>
    <w:rsid w:val="00FA598A"/>
    <w:rsid w:val="00FB388A"/>
    <w:rsid w:val="00FD3C17"/>
    <w:rsid w:val="01142439"/>
    <w:rsid w:val="01289F01"/>
    <w:rsid w:val="012CAF40"/>
    <w:rsid w:val="012E2623"/>
    <w:rsid w:val="023540A3"/>
    <w:rsid w:val="025264CD"/>
    <w:rsid w:val="02670770"/>
    <w:rsid w:val="028098DD"/>
    <w:rsid w:val="02AD1DD5"/>
    <w:rsid w:val="02E00468"/>
    <w:rsid w:val="035B38D4"/>
    <w:rsid w:val="0361AEBB"/>
    <w:rsid w:val="03651312"/>
    <w:rsid w:val="0390B55F"/>
    <w:rsid w:val="039CB42F"/>
    <w:rsid w:val="03AB235A"/>
    <w:rsid w:val="03B48431"/>
    <w:rsid w:val="04860BDF"/>
    <w:rsid w:val="04860F3F"/>
    <w:rsid w:val="04C0EB8B"/>
    <w:rsid w:val="050431EA"/>
    <w:rsid w:val="05154313"/>
    <w:rsid w:val="05B5C68C"/>
    <w:rsid w:val="05D0D7B2"/>
    <w:rsid w:val="05E41E1C"/>
    <w:rsid w:val="06578369"/>
    <w:rsid w:val="068C65FE"/>
    <w:rsid w:val="069A30F2"/>
    <w:rsid w:val="071DDE7B"/>
    <w:rsid w:val="072A222B"/>
    <w:rsid w:val="074F5B6F"/>
    <w:rsid w:val="074FEBAD"/>
    <w:rsid w:val="07557A25"/>
    <w:rsid w:val="079A8805"/>
    <w:rsid w:val="079EEC0D"/>
    <w:rsid w:val="086A003F"/>
    <w:rsid w:val="08B0ABA7"/>
    <w:rsid w:val="08DD9AEB"/>
    <w:rsid w:val="090FB0FC"/>
    <w:rsid w:val="09129791"/>
    <w:rsid w:val="0956E1A6"/>
    <w:rsid w:val="09A3370A"/>
    <w:rsid w:val="09C3AF3B"/>
    <w:rsid w:val="09F3942D"/>
    <w:rsid w:val="09F87DC3"/>
    <w:rsid w:val="0A1E8571"/>
    <w:rsid w:val="0A54006B"/>
    <w:rsid w:val="0A5AF4AC"/>
    <w:rsid w:val="0A934600"/>
    <w:rsid w:val="0ABFC90D"/>
    <w:rsid w:val="0AC39AAE"/>
    <w:rsid w:val="0AF73CA9"/>
    <w:rsid w:val="0B2D58E6"/>
    <w:rsid w:val="0B7D39D7"/>
    <w:rsid w:val="0B7D61F1"/>
    <w:rsid w:val="0B80B3AD"/>
    <w:rsid w:val="0BC75EB7"/>
    <w:rsid w:val="0C24E820"/>
    <w:rsid w:val="0C6A40DE"/>
    <w:rsid w:val="0CDDE111"/>
    <w:rsid w:val="0D36D1D8"/>
    <w:rsid w:val="0D686217"/>
    <w:rsid w:val="0D7F17B7"/>
    <w:rsid w:val="0D8111DA"/>
    <w:rsid w:val="0E07467C"/>
    <w:rsid w:val="0E0DA860"/>
    <w:rsid w:val="0EBB44B4"/>
    <w:rsid w:val="0EF7BFBA"/>
    <w:rsid w:val="0F3CF74F"/>
    <w:rsid w:val="0F731984"/>
    <w:rsid w:val="0F8D6A44"/>
    <w:rsid w:val="0FE9D65D"/>
    <w:rsid w:val="10141916"/>
    <w:rsid w:val="10891BE7"/>
    <w:rsid w:val="10C1DA27"/>
    <w:rsid w:val="1118A1B3"/>
    <w:rsid w:val="112E1F5C"/>
    <w:rsid w:val="11440094"/>
    <w:rsid w:val="1164A183"/>
    <w:rsid w:val="117C372B"/>
    <w:rsid w:val="1194F733"/>
    <w:rsid w:val="11C08E9D"/>
    <w:rsid w:val="121E24EB"/>
    <w:rsid w:val="1260FD5A"/>
    <w:rsid w:val="13251022"/>
    <w:rsid w:val="13D3A85A"/>
    <w:rsid w:val="13F790A3"/>
    <w:rsid w:val="1408A824"/>
    <w:rsid w:val="1411A48B"/>
    <w:rsid w:val="1421351B"/>
    <w:rsid w:val="144C8D3A"/>
    <w:rsid w:val="15353CAE"/>
    <w:rsid w:val="15A85CD6"/>
    <w:rsid w:val="16397D31"/>
    <w:rsid w:val="16975CB2"/>
    <w:rsid w:val="169F7041"/>
    <w:rsid w:val="16A08C27"/>
    <w:rsid w:val="16AEDBFB"/>
    <w:rsid w:val="16B3744A"/>
    <w:rsid w:val="1756CCB8"/>
    <w:rsid w:val="17F429DF"/>
    <w:rsid w:val="18281094"/>
    <w:rsid w:val="188C44F3"/>
    <w:rsid w:val="18AEFAB7"/>
    <w:rsid w:val="1983CC24"/>
    <w:rsid w:val="198E3B37"/>
    <w:rsid w:val="1A22FA64"/>
    <w:rsid w:val="1A61004D"/>
    <w:rsid w:val="1A6F0DB8"/>
    <w:rsid w:val="1A9D62F8"/>
    <w:rsid w:val="1AE5921B"/>
    <w:rsid w:val="1AE62A7A"/>
    <w:rsid w:val="1B0743B5"/>
    <w:rsid w:val="1B075A2D"/>
    <w:rsid w:val="1B4424A9"/>
    <w:rsid w:val="1B60C187"/>
    <w:rsid w:val="1B7C890A"/>
    <w:rsid w:val="1BC87727"/>
    <w:rsid w:val="1BCCAE59"/>
    <w:rsid w:val="1CBE23FF"/>
    <w:rsid w:val="1CBEC58A"/>
    <w:rsid w:val="1CEC7A38"/>
    <w:rsid w:val="1D0CC4CE"/>
    <w:rsid w:val="1D6A076A"/>
    <w:rsid w:val="1D735989"/>
    <w:rsid w:val="1D848A7F"/>
    <w:rsid w:val="1D9F7B5B"/>
    <w:rsid w:val="1DFDB546"/>
    <w:rsid w:val="1E15B68B"/>
    <w:rsid w:val="1E710BA1"/>
    <w:rsid w:val="1EBCD195"/>
    <w:rsid w:val="1EC3449A"/>
    <w:rsid w:val="1EEFE2CC"/>
    <w:rsid w:val="1EF66C5C"/>
    <w:rsid w:val="1F132EB4"/>
    <w:rsid w:val="1F524EFA"/>
    <w:rsid w:val="1FA00642"/>
    <w:rsid w:val="1FACCB47"/>
    <w:rsid w:val="1FBD96DB"/>
    <w:rsid w:val="1FE688D6"/>
    <w:rsid w:val="200F6F11"/>
    <w:rsid w:val="2014352E"/>
    <w:rsid w:val="2043ECC4"/>
    <w:rsid w:val="204D0FEE"/>
    <w:rsid w:val="2078786A"/>
    <w:rsid w:val="20A15040"/>
    <w:rsid w:val="2112B4D4"/>
    <w:rsid w:val="2186BF93"/>
    <w:rsid w:val="2197330F"/>
    <w:rsid w:val="21BE7C95"/>
    <w:rsid w:val="2262C9DA"/>
    <w:rsid w:val="22C216E3"/>
    <w:rsid w:val="22D41417"/>
    <w:rsid w:val="22F48D4E"/>
    <w:rsid w:val="231F85DE"/>
    <w:rsid w:val="234945B7"/>
    <w:rsid w:val="236AA635"/>
    <w:rsid w:val="23C3E5AC"/>
    <w:rsid w:val="2435ADAA"/>
    <w:rsid w:val="24717B6C"/>
    <w:rsid w:val="2471EB01"/>
    <w:rsid w:val="24D7B958"/>
    <w:rsid w:val="25295400"/>
    <w:rsid w:val="252B06B4"/>
    <w:rsid w:val="253BFE33"/>
    <w:rsid w:val="253C4415"/>
    <w:rsid w:val="25849B20"/>
    <w:rsid w:val="259A0DA0"/>
    <w:rsid w:val="25C096D9"/>
    <w:rsid w:val="260F4406"/>
    <w:rsid w:val="2612C2A4"/>
    <w:rsid w:val="264BA700"/>
    <w:rsid w:val="266E1E08"/>
    <w:rsid w:val="2680E3A3"/>
    <w:rsid w:val="26D094EF"/>
    <w:rsid w:val="270CA4CF"/>
    <w:rsid w:val="2740DD7D"/>
    <w:rsid w:val="27677734"/>
    <w:rsid w:val="27A23633"/>
    <w:rsid w:val="27ED8939"/>
    <w:rsid w:val="27F1DFD7"/>
    <w:rsid w:val="282A6E5C"/>
    <w:rsid w:val="282BD322"/>
    <w:rsid w:val="282CCE3D"/>
    <w:rsid w:val="28B601B4"/>
    <w:rsid w:val="28F98514"/>
    <w:rsid w:val="29161B74"/>
    <w:rsid w:val="293B77C8"/>
    <w:rsid w:val="294354DF"/>
    <w:rsid w:val="29DE48F4"/>
    <w:rsid w:val="2A6DB030"/>
    <w:rsid w:val="2A7733D0"/>
    <w:rsid w:val="2AAFA86A"/>
    <w:rsid w:val="2ACCFFCE"/>
    <w:rsid w:val="2AFD3447"/>
    <w:rsid w:val="2B1578AF"/>
    <w:rsid w:val="2B45AC5B"/>
    <w:rsid w:val="2BC3E519"/>
    <w:rsid w:val="2BCC0D3E"/>
    <w:rsid w:val="2C86E248"/>
    <w:rsid w:val="2C8E158B"/>
    <w:rsid w:val="2C8FF04D"/>
    <w:rsid w:val="2CCD98F4"/>
    <w:rsid w:val="2D103AF7"/>
    <w:rsid w:val="2D48B01C"/>
    <w:rsid w:val="2D4F2487"/>
    <w:rsid w:val="2D978352"/>
    <w:rsid w:val="2DBCA821"/>
    <w:rsid w:val="2DCCC0EA"/>
    <w:rsid w:val="2DF4D942"/>
    <w:rsid w:val="2E3DAF3E"/>
    <w:rsid w:val="2EBC0423"/>
    <w:rsid w:val="2EC30D92"/>
    <w:rsid w:val="2EEF0E79"/>
    <w:rsid w:val="2F472F8E"/>
    <w:rsid w:val="2F66DD9A"/>
    <w:rsid w:val="2F9D152A"/>
    <w:rsid w:val="2FA11C54"/>
    <w:rsid w:val="2FA8C4B0"/>
    <w:rsid w:val="2FFD27F2"/>
    <w:rsid w:val="30115031"/>
    <w:rsid w:val="302C101C"/>
    <w:rsid w:val="305F3514"/>
    <w:rsid w:val="3072435A"/>
    <w:rsid w:val="30D99F3E"/>
    <w:rsid w:val="31637F0C"/>
    <w:rsid w:val="31A1549C"/>
    <w:rsid w:val="32246774"/>
    <w:rsid w:val="3269FD3E"/>
    <w:rsid w:val="327A8D42"/>
    <w:rsid w:val="32EF5092"/>
    <w:rsid w:val="33C97643"/>
    <w:rsid w:val="33CADC72"/>
    <w:rsid w:val="33D6798A"/>
    <w:rsid w:val="33D9DB00"/>
    <w:rsid w:val="33DD8432"/>
    <w:rsid w:val="33F7E62F"/>
    <w:rsid w:val="34159B17"/>
    <w:rsid w:val="342393D2"/>
    <w:rsid w:val="345704BF"/>
    <w:rsid w:val="3467CE4A"/>
    <w:rsid w:val="347FBD58"/>
    <w:rsid w:val="348CB1AF"/>
    <w:rsid w:val="3493D8BE"/>
    <w:rsid w:val="353E835C"/>
    <w:rsid w:val="35609BD6"/>
    <w:rsid w:val="3572454F"/>
    <w:rsid w:val="35B019AD"/>
    <w:rsid w:val="35BAE62C"/>
    <w:rsid w:val="362B4625"/>
    <w:rsid w:val="36B00274"/>
    <w:rsid w:val="36D14041"/>
    <w:rsid w:val="37024E1D"/>
    <w:rsid w:val="371540D4"/>
    <w:rsid w:val="376FD1A3"/>
    <w:rsid w:val="377132B5"/>
    <w:rsid w:val="377BF279"/>
    <w:rsid w:val="3783CEF7"/>
    <w:rsid w:val="37A3B3C3"/>
    <w:rsid w:val="37DC7535"/>
    <w:rsid w:val="3832CDFB"/>
    <w:rsid w:val="384E2C15"/>
    <w:rsid w:val="38542AAE"/>
    <w:rsid w:val="389F4855"/>
    <w:rsid w:val="38CFE1C8"/>
    <w:rsid w:val="38F25E91"/>
    <w:rsid w:val="391D36FF"/>
    <w:rsid w:val="393F2C11"/>
    <w:rsid w:val="394F6C59"/>
    <w:rsid w:val="3959DFF5"/>
    <w:rsid w:val="3A495401"/>
    <w:rsid w:val="3A87CB73"/>
    <w:rsid w:val="3BEF5F89"/>
    <w:rsid w:val="3BFA9322"/>
    <w:rsid w:val="3C08B2B5"/>
    <w:rsid w:val="3C763AB8"/>
    <w:rsid w:val="3CB9DF93"/>
    <w:rsid w:val="3CCE9876"/>
    <w:rsid w:val="3CD0E925"/>
    <w:rsid w:val="3CDC3531"/>
    <w:rsid w:val="3CF465BD"/>
    <w:rsid w:val="3D6243BC"/>
    <w:rsid w:val="3D78D51A"/>
    <w:rsid w:val="3D829A27"/>
    <w:rsid w:val="3DDB2580"/>
    <w:rsid w:val="3DF2299B"/>
    <w:rsid w:val="3E165D40"/>
    <w:rsid w:val="3E1D2C59"/>
    <w:rsid w:val="3E3E0621"/>
    <w:rsid w:val="3E6DBDB4"/>
    <w:rsid w:val="3E9008D2"/>
    <w:rsid w:val="3EA2DD59"/>
    <w:rsid w:val="3EBA3DC2"/>
    <w:rsid w:val="3EBAB426"/>
    <w:rsid w:val="3ED0C815"/>
    <w:rsid w:val="3EF89296"/>
    <w:rsid w:val="3F54B214"/>
    <w:rsid w:val="3F85499B"/>
    <w:rsid w:val="3FA74FD6"/>
    <w:rsid w:val="3FA82930"/>
    <w:rsid w:val="3FAD391B"/>
    <w:rsid w:val="3FAEA708"/>
    <w:rsid w:val="3FD81A82"/>
    <w:rsid w:val="3FDAD0A1"/>
    <w:rsid w:val="400EF03E"/>
    <w:rsid w:val="402A3186"/>
    <w:rsid w:val="403CD2FF"/>
    <w:rsid w:val="4085711D"/>
    <w:rsid w:val="40F2FBC2"/>
    <w:rsid w:val="4150CD34"/>
    <w:rsid w:val="41D252BE"/>
    <w:rsid w:val="42975DCB"/>
    <w:rsid w:val="42BC8400"/>
    <w:rsid w:val="42EBD0DB"/>
    <w:rsid w:val="435C85F1"/>
    <w:rsid w:val="4392A12C"/>
    <w:rsid w:val="43F94C0F"/>
    <w:rsid w:val="4414BDF0"/>
    <w:rsid w:val="448544A1"/>
    <w:rsid w:val="44A39D37"/>
    <w:rsid w:val="44D913D6"/>
    <w:rsid w:val="4532EEAC"/>
    <w:rsid w:val="45348716"/>
    <w:rsid w:val="454C9403"/>
    <w:rsid w:val="45B15BA5"/>
    <w:rsid w:val="45D037BD"/>
    <w:rsid w:val="45E9218D"/>
    <w:rsid w:val="4609EC66"/>
    <w:rsid w:val="4652E540"/>
    <w:rsid w:val="469359D9"/>
    <w:rsid w:val="4798241D"/>
    <w:rsid w:val="47E5D251"/>
    <w:rsid w:val="47EEB366"/>
    <w:rsid w:val="487B7B6F"/>
    <w:rsid w:val="48A86361"/>
    <w:rsid w:val="48EB91ED"/>
    <w:rsid w:val="49154E80"/>
    <w:rsid w:val="49497C8A"/>
    <w:rsid w:val="49644F81"/>
    <w:rsid w:val="498A1899"/>
    <w:rsid w:val="49994C87"/>
    <w:rsid w:val="49EF0972"/>
    <w:rsid w:val="4A492194"/>
    <w:rsid w:val="4AB6135E"/>
    <w:rsid w:val="4AC1ED0F"/>
    <w:rsid w:val="4B007878"/>
    <w:rsid w:val="4B084255"/>
    <w:rsid w:val="4B33A500"/>
    <w:rsid w:val="4BBE86D2"/>
    <w:rsid w:val="4BE73E1C"/>
    <w:rsid w:val="4BEBD4E8"/>
    <w:rsid w:val="4BF5101A"/>
    <w:rsid w:val="4BF61664"/>
    <w:rsid w:val="4C629F22"/>
    <w:rsid w:val="4CD614EA"/>
    <w:rsid w:val="4CDD58D0"/>
    <w:rsid w:val="4D216443"/>
    <w:rsid w:val="4DB577F1"/>
    <w:rsid w:val="4DC8932F"/>
    <w:rsid w:val="4DEAD893"/>
    <w:rsid w:val="4E045FBE"/>
    <w:rsid w:val="4E2BEE6F"/>
    <w:rsid w:val="4E2D5308"/>
    <w:rsid w:val="4E300A14"/>
    <w:rsid w:val="4E34D0A5"/>
    <w:rsid w:val="4E6144F1"/>
    <w:rsid w:val="4EC23530"/>
    <w:rsid w:val="4F07EF7A"/>
    <w:rsid w:val="4F59B068"/>
    <w:rsid w:val="50C339B2"/>
    <w:rsid w:val="50DAF18D"/>
    <w:rsid w:val="50E08E70"/>
    <w:rsid w:val="5134DBF1"/>
    <w:rsid w:val="514771BC"/>
    <w:rsid w:val="516C9D88"/>
    <w:rsid w:val="51A9C182"/>
    <w:rsid w:val="51EA2522"/>
    <w:rsid w:val="521ED5E6"/>
    <w:rsid w:val="521FAA30"/>
    <w:rsid w:val="522E18D7"/>
    <w:rsid w:val="52449A3A"/>
    <w:rsid w:val="527D83DB"/>
    <w:rsid w:val="52B652FA"/>
    <w:rsid w:val="52D296C1"/>
    <w:rsid w:val="53629B41"/>
    <w:rsid w:val="53C84F4D"/>
    <w:rsid w:val="5410810F"/>
    <w:rsid w:val="541AF805"/>
    <w:rsid w:val="543F6552"/>
    <w:rsid w:val="545EBDEF"/>
    <w:rsid w:val="54B7C8D8"/>
    <w:rsid w:val="54C5AFBC"/>
    <w:rsid w:val="54E27A93"/>
    <w:rsid w:val="550690BF"/>
    <w:rsid w:val="551912B6"/>
    <w:rsid w:val="554834E2"/>
    <w:rsid w:val="558A38F4"/>
    <w:rsid w:val="5606D514"/>
    <w:rsid w:val="561A54F9"/>
    <w:rsid w:val="56308E5F"/>
    <w:rsid w:val="56362885"/>
    <w:rsid w:val="56E566FC"/>
    <w:rsid w:val="56E6BE80"/>
    <w:rsid w:val="56F24E58"/>
    <w:rsid w:val="57198EAD"/>
    <w:rsid w:val="5741B441"/>
    <w:rsid w:val="574C593C"/>
    <w:rsid w:val="5756F084"/>
    <w:rsid w:val="575C6DDE"/>
    <w:rsid w:val="57FDFD3B"/>
    <w:rsid w:val="581F07F6"/>
    <w:rsid w:val="58377B1F"/>
    <w:rsid w:val="584981A7"/>
    <w:rsid w:val="585EF0E3"/>
    <w:rsid w:val="5872A91E"/>
    <w:rsid w:val="587D843E"/>
    <w:rsid w:val="589F174A"/>
    <w:rsid w:val="58A2E3FD"/>
    <w:rsid w:val="58D1DE7D"/>
    <w:rsid w:val="58F05372"/>
    <w:rsid w:val="5905488A"/>
    <w:rsid w:val="59A12C2F"/>
    <w:rsid w:val="59BB0255"/>
    <w:rsid w:val="59BD98AB"/>
    <w:rsid w:val="59F54B0A"/>
    <w:rsid w:val="5A005E70"/>
    <w:rsid w:val="5A481632"/>
    <w:rsid w:val="5A52DC7B"/>
    <w:rsid w:val="5A53452C"/>
    <w:rsid w:val="5A59EF89"/>
    <w:rsid w:val="5A613A56"/>
    <w:rsid w:val="5A71FE4E"/>
    <w:rsid w:val="5AADD37B"/>
    <w:rsid w:val="5ABF10B0"/>
    <w:rsid w:val="5AD88881"/>
    <w:rsid w:val="5AECA3F3"/>
    <w:rsid w:val="5B5C2ABF"/>
    <w:rsid w:val="5BD40F9D"/>
    <w:rsid w:val="5BEFBF3B"/>
    <w:rsid w:val="5C01A237"/>
    <w:rsid w:val="5C47EE43"/>
    <w:rsid w:val="5C4EEDA7"/>
    <w:rsid w:val="5C565CED"/>
    <w:rsid w:val="5CA7666B"/>
    <w:rsid w:val="5D4EE265"/>
    <w:rsid w:val="5D578F84"/>
    <w:rsid w:val="5D639551"/>
    <w:rsid w:val="5E0BD18B"/>
    <w:rsid w:val="5EAB0A11"/>
    <w:rsid w:val="5F478793"/>
    <w:rsid w:val="5F4E0FFB"/>
    <w:rsid w:val="5F883007"/>
    <w:rsid w:val="5F8F1837"/>
    <w:rsid w:val="5F96DB13"/>
    <w:rsid w:val="5FD0B3AD"/>
    <w:rsid w:val="5FDDE6A1"/>
    <w:rsid w:val="5FEBB9E2"/>
    <w:rsid w:val="5FED7684"/>
    <w:rsid w:val="601DE41C"/>
    <w:rsid w:val="6033DE64"/>
    <w:rsid w:val="60739533"/>
    <w:rsid w:val="60947A8D"/>
    <w:rsid w:val="60BF3A6A"/>
    <w:rsid w:val="60C04AAC"/>
    <w:rsid w:val="60D6C43F"/>
    <w:rsid w:val="60DE1301"/>
    <w:rsid w:val="60E1602D"/>
    <w:rsid w:val="60F79CAC"/>
    <w:rsid w:val="615A122A"/>
    <w:rsid w:val="61E2E973"/>
    <w:rsid w:val="61F24575"/>
    <w:rsid w:val="6207E5FF"/>
    <w:rsid w:val="621426CE"/>
    <w:rsid w:val="6291C5E9"/>
    <w:rsid w:val="631BD421"/>
    <w:rsid w:val="6367664A"/>
    <w:rsid w:val="63716773"/>
    <w:rsid w:val="63C3283B"/>
    <w:rsid w:val="63D47E4E"/>
    <w:rsid w:val="64341866"/>
    <w:rsid w:val="64361F96"/>
    <w:rsid w:val="6436424D"/>
    <w:rsid w:val="643BE49B"/>
    <w:rsid w:val="643DBFF6"/>
    <w:rsid w:val="643ECEE1"/>
    <w:rsid w:val="645902FB"/>
    <w:rsid w:val="6467A26A"/>
    <w:rsid w:val="64759333"/>
    <w:rsid w:val="647A9857"/>
    <w:rsid w:val="64AC506F"/>
    <w:rsid w:val="64CE9C8D"/>
    <w:rsid w:val="66AED759"/>
    <w:rsid w:val="66B59CD4"/>
    <w:rsid w:val="66B8BB6F"/>
    <w:rsid w:val="66F16B92"/>
    <w:rsid w:val="67218A30"/>
    <w:rsid w:val="67258A70"/>
    <w:rsid w:val="673C1FD3"/>
    <w:rsid w:val="67C5B771"/>
    <w:rsid w:val="680074FF"/>
    <w:rsid w:val="680C66FF"/>
    <w:rsid w:val="68366AE9"/>
    <w:rsid w:val="68854C47"/>
    <w:rsid w:val="68E02A8D"/>
    <w:rsid w:val="68EBAE0E"/>
    <w:rsid w:val="693CDBCC"/>
    <w:rsid w:val="6942D956"/>
    <w:rsid w:val="69811343"/>
    <w:rsid w:val="69E42439"/>
    <w:rsid w:val="6A264D12"/>
    <w:rsid w:val="6A49AAE7"/>
    <w:rsid w:val="6A52FB7A"/>
    <w:rsid w:val="6A53A105"/>
    <w:rsid w:val="6AAA4013"/>
    <w:rsid w:val="6ABB3728"/>
    <w:rsid w:val="6AD7FF50"/>
    <w:rsid w:val="6AF1EC95"/>
    <w:rsid w:val="6B76A415"/>
    <w:rsid w:val="6B91FF8E"/>
    <w:rsid w:val="6C38AA3E"/>
    <w:rsid w:val="6C6422F1"/>
    <w:rsid w:val="6C790080"/>
    <w:rsid w:val="6CA1E0EC"/>
    <w:rsid w:val="6CD5FF59"/>
    <w:rsid w:val="6CF6D45C"/>
    <w:rsid w:val="6D1A7931"/>
    <w:rsid w:val="6DA0173A"/>
    <w:rsid w:val="6E1AF515"/>
    <w:rsid w:val="6E26F6E4"/>
    <w:rsid w:val="6EBD1183"/>
    <w:rsid w:val="6EF3C3BC"/>
    <w:rsid w:val="6F012F02"/>
    <w:rsid w:val="6F91D4E5"/>
    <w:rsid w:val="6FC825B0"/>
    <w:rsid w:val="7013E0A3"/>
    <w:rsid w:val="7057A3FE"/>
    <w:rsid w:val="70B4AF09"/>
    <w:rsid w:val="711D4997"/>
    <w:rsid w:val="715671A1"/>
    <w:rsid w:val="7158B2DC"/>
    <w:rsid w:val="7171509D"/>
    <w:rsid w:val="71EF53EF"/>
    <w:rsid w:val="71FEBE02"/>
    <w:rsid w:val="721EF93F"/>
    <w:rsid w:val="72227E8A"/>
    <w:rsid w:val="72A07463"/>
    <w:rsid w:val="72B6771F"/>
    <w:rsid w:val="72E1E249"/>
    <w:rsid w:val="7342508C"/>
    <w:rsid w:val="7344C640"/>
    <w:rsid w:val="735722D4"/>
    <w:rsid w:val="73B76AA2"/>
    <w:rsid w:val="741679D6"/>
    <w:rsid w:val="7422A358"/>
    <w:rsid w:val="743E0A01"/>
    <w:rsid w:val="746E23E9"/>
    <w:rsid w:val="74DA43FB"/>
    <w:rsid w:val="74E31597"/>
    <w:rsid w:val="7519A2AB"/>
    <w:rsid w:val="7575B444"/>
    <w:rsid w:val="75890F49"/>
    <w:rsid w:val="75B407E4"/>
    <w:rsid w:val="76032D36"/>
    <w:rsid w:val="76151CB5"/>
    <w:rsid w:val="7615D1AB"/>
    <w:rsid w:val="7616908A"/>
    <w:rsid w:val="76CC9DEB"/>
    <w:rsid w:val="775A7977"/>
    <w:rsid w:val="77750FFA"/>
    <w:rsid w:val="77802076"/>
    <w:rsid w:val="77A64B54"/>
    <w:rsid w:val="77BEFBDD"/>
    <w:rsid w:val="78101C40"/>
    <w:rsid w:val="7845BEFF"/>
    <w:rsid w:val="785BD6E9"/>
    <w:rsid w:val="789ED12A"/>
    <w:rsid w:val="78BE5C29"/>
    <w:rsid w:val="78CAC941"/>
    <w:rsid w:val="78CC2224"/>
    <w:rsid w:val="790B057E"/>
    <w:rsid w:val="79329113"/>
    <w:rsid w:val="798D4B1A"/>
    <w:rsid w:val="79A229ED"/>
    <w:rsid w:val="7A20A271"/>
    <w:rsid w:val="7A28DD69"/>
    <w:rsid w:val="7A8176AE"/>
    <w:rsid w:val="7AE96CC6"/>
    <w:rsid w:val="7AEB646A"/>
    <w:rsid w:val="7AF46C3D"/>
    <w:rsid w:val="7B0A0263"/>
    <w:rsid w:val="7B236326"/>
    <w:rsid w:val="7B23A612"/>
    <w:rsid w:val="7B2F8E3F"/>
    <w:rsid w:val="7B7B7CC7"/>
    <w:rsid w:val="7BD9B3BD"/>
    <w:rsid w:val="7BF5815D"/>
    <w:rsid w:val="7C23DAD0"/>
    <w:rsid w:val="7C3B59BD"/>
    <w:rsid w:val="7CFD3ABD"/>
    <w:rsid w:val="7D3E0D53"/>
    <w:rsid w:val="7E4E7E31"/>
    <w:rsid w:val="7ECA7787"/>
    <w:rsid w:val="7ED24123"/>
    <w:rsid w:val="7F740D94"/>
    <w:rsid w:val="7F960092"/>
    <w:rsid w:val="7FCE979B"/>
    <w:rsid w:val="7FD14302"/>
    <w:rsid w:val="7FD66319"/>
    <w:rsid w:val="7FEF18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EFB172"/>
  <w15:chartTrackingRefBased/>
  <w15:docId w15:val="{092F048A-B67B-44AA-82E5-5A98A3203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4B2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51239"/>
    <w:pPr>
      <w:keepNext/>
      <w:outlineLvl w:val="0"/>
    </w:pPr>
    <w:rPr>
      <w:b/>
      <w:bCs/>
    </w:rPr>
  </w:style>
  <w:style w:type="paragraph" w:styleId="Heading4">
    <w:name w:val="heading 4"/>
    <w:basedOn w:val="Normal"/>
    <w:next w:val="Normal"/>
    <w:link w:val="Heading4Char"/>
    <w:uiPriority w:val="9"/>
    <w:unhideWhenUsed/>
    <w:qFormat/>
    <w:rsid w:val="00255F09"/>
    <w:pPr>
      <w:keepNext/>
      <w:keepLines/>
      <w:autoSpaceDE w:val="0"/>
      <w:autoSpaceDN w:val="0"/>
      <w:adjustRightInd w:val="0"/>
      <w:spacing w:line="276" w:lineRule="auto"/>
      <w:jc w:val="center"/>
      <w:outlineLvl w:val="3"/>
    </w:pPr>
    <w:rPr>
      <w:rFonts w:ascii="Calibri" w:hAnsi="Calibri"/>
      <w:b/>
      <w:bCs/>
      <w:color w:val="000000"/>
    </w:rPr>
  </w:style>
  <w:style w:type="paragraph" w:styleId="Heading5">
    <w:name w:val="heading 5"/>
    <w:basedOn w:val="Normal"/>
    <w:next w:val="Normal"/>
    <w:link w:val="Heading5Char"/>
    <w:uiPriority w:val="9"/>
    <w:semiHidden/>
    <w:unhideWhenUsed/>
    <w:qFormat/>
    <w:rsid w:val="00551239"/>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64B29"/>
    <w:pPr>
      <w:tabs>
        <w:tab w:val="center" w:pos="4680"/>
        <w:tab w:val="right" w:pos="9360"/>
      </w:tabs>
    </w:pPr>
  </w:style>
  <w:style w:type="character" w:customStyle="1" w:styleId="FooterChar">
    <w:name w:val="Footer Char"/>
    <w:basedOn w:val="DefaultParagraphFont"/>
    <w:link w:val="Footer"/>
    <w:uiPriority w:val="99"/>
    <w:rsid w:val="00464B29"/>
    <w:rPr>
      <w:rFonts w:ascii="Times New Roman" w:eastAsia="Times New Roman" w:hAnsi="Times New Roman" w:cs="Times New Roman"/>
      <w:sz w:val="24"/>
      <w:szCs w:val="20"/>
    </w:rPr>
  </w:style>
  <w:style w:type="paragraph" w:styleId="NoSpacing">
    <w:name w:val="No Spacing"/>
    <w:uiPriority w:val="1"/>
    <w:qFormat/>
    <w:rsid w:val="00464B29"/>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464B29"/>
    <w:rPr>
      <w:rFonts w:eastAsiaTheme="minorHAnsi"/>
      <w:szCs w:val="24"/>
    </w:rPr>
  </w:style>
  <w:style w:type="paragraph" w:styleId="Caption">
    <w:name w:val="caption"/>
    <w:basedOn w:val="Normal"/>
    <w:next w:val="Normal"/>
    <w:uiPriority w:val="35"/>
    <w:unhideWhenUsed/>
    <w:qFormat/>
    <w:rsid w:val="00464B29"/>
    <w:pPr>
      <w:spacing w:after="200"/>
    </w:pPr>
    <w:rPr>
      <w:b/>
      <w:bCs/>
      <w:color w:val="5B9BD5" w:themeColor="accent1"/>
      <w:sz w:val="18"/>
      <w:szCs w:val="18"/>
    </w:rPr>
  </w:style>
  <w:style w:type="character" w:styleId="CommentReference">
    <w:name w:val="annotation reference"/>
    <w:basedOn w:val="DefaultParagraphFont"/>
    <w:uiPriority w:val="99"/>
    <w:semiHidden/>
    <w:unhideWhenUsed/>
    <w:rsid w:val="00CA0428"/>
    <w:rPr>
      <w:sz w:val="16"/>
      <w:szCs w:val="16"/>
    </w:rPr>
  </w:style>
  <w:style w:type="paragraph" w:styleId="CommentText">
    <w:name w:val="annotation text"/>
    <w:basedOn w:val="Normal"/>
    <w:link w:val="CommentTextChar"/>
    <w:uiPriority w:val="99"/>
    <w:unhideWhenUsed/>
    <w:rsid w:val="00CA0428"/>
    <w:rPr>
      <w:sz w:val="20"/>
    </w:rPr>
  </w:style>
  <w:style w:type="character" w:customStyle="1" w:styleId="CommentTextChar">
    <w:name w:val="Comment Text Char"/>
    <w:basedOn w:val="DefaultParagraphFont"/>
    <w:link w:val="CommentText"/>
    <w:uiPriority w:val="99"/>
    <w:rsid w:val="00CA04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A0428"/>
    <w:rPr>
      <w:b/>
      <w:bCs/>
    </w:rPr>
  </w:style>
  <w:style w:type="character" w:customStyle="1" w:styleId="CommentSubjectChar">
    <w:name w:val="Comment Subject Char"/>
    <w:basedOn w:val="CommentTextChar"/>
    <w:link w:val="CommentSubject"/>
    <w:uiPriority w:val="99"/>
    <w:semiHidden/>
    <w:rsid w:val="00CA042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A04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428"/>
    <w:rPr>
      <w:rFonts w:ascii="Segoe UI" w:eastAsia="Times New Roman" w:hAnsi="Segoe UI" w:cs="Segoe UI"/>
      <w:sz w:val="18"/>
      <w:szCs w:val="18"/>
    </w:rPr>
  </w:style>
  <w:style w:type="paragraph" w:styleId="ListParagraph">
    <w:name w:val="List Paragraph"/>
    <w:aliases w:val="Bullet Level 2,Closed Bullet,Normal-Bullet,Use Case List Paragraph,lp1"/>
    <w:basedOn w:val="Normal"/>
    <w:link w:val="ListParagraphChar"/>
    <w:uiPriority w:val="34"/>
    <w:qFormat/>
    <w:rsid w:val="005F114E"/>
    <w:pPr>
      <w:ind w:left="720"/>
      <w:contextualSpacing/>
    </w:pPr>
  </w:style>
  <w:style w:type="table" w:styleId="TableGrid">
    <w:name w:val="Table Grid"/>
    <w:basedOn w:val="TableNormal"/>
    <w:uiPriority w:val="59"/>
    <w:rsid w:val="005F1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255F09"/>
    <w:pPr>
      <w:autoSpaceDE w:val="0"/>
      <w:autoSpaceDN w:val="0"/>
      <w:adjustRightInd w:val="0"/>
      <w:spacing w:after="240" w:line="276" w:lineRule="auto"/>
    </w:pPr>
    <w:rPr>
      <w:rFonts w:ascii="Calibri" w:hAnsi="Calibri"/>
    </w:rPr>
  </w:style>
  <w:style w:type="character" w:customStyle="1" w:styleId="BodyText2Char">
    <w:name w:val="Body Text 2 Char"/>
    <w:basedOn w:val="DefaultParagraphFont"/>
    <w:link w:val="BodyText2"/>
    <w:uiPriority w:val="99"/>
    <w:rsid w:val="00255F09"/>
    <w:rPr>
      <w:rFonts w:ascii="Calibri" w:eastAsia="Times New Roman" w:hAnsi="Calibri" w:cs="Times New Roman"/>
      <w:sz w:val="24"/>
      <w:szCs w:val="20"/>
    </w:rPr>
  </w:style>
  <w:style w:type="character" w:customStyle="1" w:styleId="Heading4Char">
    <w:name w:val="Heading 4 Char"/>
    <w:basedOn w:val="DefaultParagraphFont"/>
    <w:link w:val="Heading4"/>
    <w:uiPriority w:val="9"/>
    <w:rsid w:val="00255F09"/>
    <w:rPr>
      <w:rFonts w:ascii="Calibri" w:eastAsia="Times New Roman" w:hAnsi="Calibri" w:cs="Times New Roman"/>
      <w:b/>
      <w:bCs/>
      <w:color w:val="000000"/>
      <w:sz w:val="24"/>
      <w:szCs w:val="20"/>
    </w:rPr>
  </w:style>
  <w:style w:type="character" w:customStyle="1" w:styleId="Heading5Char">
    <w:name w:val="Heading 5 Char"/>
    <w:basedOn w:val="DefaultParagraphFont"/>
    <w:link w:val="Heading5"/>
    <w:uiPriority w:val="9"/>
    <w:semiHidden/>
    <w:rsid w:val="00551239"/>
    <w:rPr>
      <w:rFonts w:asciiTheme="majorHAnsi" w:eastAsiaTheme="majorEastAsia" w:hAnsiTheme="majorHAnsi" w:cstheme="majorBidi"/>
      <w:color w:val="2E74B5" w:themeColor="accent1" w:themeShade="BF"/>
      <w:sz w:val="24"/>
      <w:szCs w:val="20"/>
    </w:rPr>
  </w:style>
  <w:style w:type="character" w:customStyle="1" w:styleId="Heading1Char">
    <w:name w:val="Heading 1 Char"/>
    <w:basedOn w:val="DefaultParagraphFont"/>
    <w:link w:val="Heading1"/>
    <w:uiPriority w:val="9"/>
    <w:rsid w:val="00551239"/>
    <w:rPr>
      <w:rFonts w:ascii="Times New Roman" w:eastAsia="Times New Roman" w:hAnsi="Times New Roman" w:cs="Times New Roman"/>
      <w:b/>
      <w:bCs/>
      <w:sz w:val="24"/>
      <w:szCs w:val="20"/>
    </w:rPr>
  </w:style>
  <w:style w:type="character" w:customStyle="1" w:styleId="ListParagraphChar">
    <w:name w:val="List Paragraph Char"/>
    <w:aliases w:val="Bullet Level 2 Char,Closed Bullet Char,Normal-Bullet Char,Use Case List Paragraph Char,lp1 Char"/>
    <w:basedOn w:val="DefaultParagraphFont"/>
    <w:link w:val="ListParagraph"/>
    <w:uiPriority w:val="34"/>
    <w:locked/>
    <w:rsid w:val="00585B47"/>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AB5061"/>
    <w:pPr>
      <w:tabs>
        <w:tab w:val="center" w:pos="4680"/>
        <w:tab w:val="right" w:pos="9360"/>
      </w:tabs>
    </w:pPr>
  </w:style>
  <w:style w:type="character" w:customStyle="1" w:styleId="HeaderChar">
    <w:name w:val="Header Char"/>
    <w:basedOn w:val="DefaultParagraphFont"/>
    <w:link w:val="Header"/>
    <w:uiPriority w:val="99"/>
    <w:rsid w:val="00AB5061"/>
    <w:rPr>
      <w:rFonts w:ascii="Times New Roman" w:eastAsia="Times New Roman" w:hAnsi="Times New Roman" w:cs="Times New Roman"/>
      <w:sz w:val="24"/>
      <w:szCs w:val="20"/>
    </w:rPr>
  </w:style>
  <w:style w:type="paragraph" w:styleId="Revision">
    <w:name w:val="Revision"/>
    <w:hidden/>
    <w:uiPriority w:val="99"/>
    <w:semiHidden/>
    <w:rsid w:val="00741ED9"/>
    <w:pPr>
      <w:spacing w:after="0" w:line="240" w:lineRule="auto"/>
    </w:pPr>
    <w:rPr>
      <w:rFonts w:ascii="Times New Roman" w:eastAsia="Times New Roman" w:hAnsi="Times New Roman" w:cs="Times New Roman"/>
      <w:sz w:val="24"/>
      <w:szCs w:val="20"/>
    </w:rPr>
  </w:style>
  <w:style w:type="table" w:customStyle="1" w:styleId="TableGrid1">
    <w:name w:val="Table Grid1"/>
    <w:basedOn w:val="TableNormal"/>
    <w:next w:val="TableGrid"/>
    <w:uiPriority w:val="59"/>
    <w:rsid w:val="000374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20B9"/>
    <w:rPr>
      <w:color w:val="0563C1" w:themeColor="hyperlink"/>
      <w:u w:val="single"/>
    </w:rPr>
  </w:style>
  <w:style w:type="character" w:styleId="UnresolvedMention">
    <w:name w:val="Unresolved Mention"/>
    <w:basedOn w:val="DefaultParagraphFont"/>
    <w:uiPriority w:val="99"/>
    <w:semiHidden/>
    <w:unhideWhenUsed/>
    <w:rsid w:val="00D220B9"/>
    <w:rPr>
      <w:color w:val="605E5C"/>
      <w:shd w:val="clear" w:color="auto" w:fill="E1DFDD"/>
    </w:rPr>
  </w:style>
  <w:style w:type="character" w:customStyle="1" w:styleId="ui-provider">
    <w:name w:val="ui-provider"/>
    <w:basedOn w:val="DefaultParagraphFont"/>
    <w:rsid w:val="008F5224"/>
  </w:style>
  <w:style w:type="paragraph" w:customStyle="1" w:styleId="paragraph">
    <w:name w:val="paragraph"/>
    <w:basedOn w:val="Normal"/>
    <w:rsid w:val="00B43148"/>
    <w:pPr>
      <w:spacing w:before="100" w:beforeAutospacing="1" w:after="100" w:afterAutospacing="1"/>
    </w:pPr>
    <w:rPr>
      <w:szCs w:val="24"/>
    </w:rPr>
  </w:style>
  <w:style w:type="character" w:customStyle="1" w:styleId="normaltextrun">
    <w:name w:val="normaltextrun"/>
    <w:basedOn w:val="DefaultParagraphFont"/>
    <w:rsid w:val="00B43148"/>
  </w:style>
  <w:style w:type="character" w:customStyle="1" w:styleId="eop">
    <w:name w:val="eop"/>
    <w:basedOn w:val="DefaultParagraphFont"/>
    <w:rsid w:val="00B43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ubmitterName xmlns="f762c95d-3cca-4969-a35b-3d8ab5bf0d48">Jasmine Luck</SubmitterName>
    <Parent_ICR xmlns="f762c95d-3cca-4969-a35b-3d8ab5bf0d48">1769</Parent_ICR>
    <ICR_ID xmlns="f762c95d-3cca-4969-a35b-3d8ab5bf0d48">1769</ICR_ID>
    <DocumentType xmlns="f762c95d-3cca-4969-a35b-3d8ab5bf0d48">OMB Memo/Letter</Document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0" ma:contentTypeDescription="Create a new document." ma:contentTypeScope="" ma:versionID="c594cdb88794e56ad7fbf6474fc68dd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974043c6d116a6922fbc532f530fe6fb"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D7393A-5203-43BA-B89C-096E661DBA54}">
  <ds:schemaRefs>
    <ds:schemaRef ds:uri="http://schemas.openxmlformats.org/officeDocument/2006/bibliography"/>
  </ds:schemaRefs>
</ds:datastoreItem>
</file>

<file path=customXml/itemProps2.xml><?xml version="1.0" encoding="utf-8"?>
<ds:datastoreItem xmlns:ds="http://schemas.openxmlformats.org/officeDocument/2006/customXml" ds:itemID="{A43ED563-AF18-4A4F-A53B-93C4E53CADA3}">
  <ds:schemaRefs>
    <ds:schemaRef ds:uri="http://purl.org/dc/elements/1.1/"/>
    <ds:schemaRef ds:uri="http://schemas.microsoft.com/office/infopath/2007/PartnerControls"/>
    <ds:schemaRef ds:uri="f762c95d-3cca-4969-a35b-3d8ab5bf0d48"/>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67e9e401-0492-4107-8ab8-e7caf78996f7"/>
    <ds:schemaRef ds:uri="http://purl.org/dc/dcmitype/"/>
    <ds:schemaRef ds:uri="http://purl.org/dc/terms/"/>
  </ds:schemaRefs>
</ds:datastoreItem>
</file>

<file path=customXml/itemProps3.xml><?xml version="1.0" encoding="utf-8"?>
<ds:datastoreItem xmlns:ds="http://schemas.openxmlformats.org/officeDocument/2006/customXml" ds:itemID="{52A55ED4-F9B6-4C39-A7F2-1B180B56E618}">
  <ds:schemaRefs>
    <ds:schemaRef ds:uri="http://schemas.microsoft.com/sharepoint/v3/contenttype/forms"/>
  </ds:schemaRefs>
</ds:datastoreItem>
</file>

<file path=customXml/itemProps4.xml><?xml version="1.0" encoding="utf-8"?>
<ds:datastoreItem xmlns:ds="http://schemas.openxmlformats.org/officeDocument/2006/customXml" ds:itemID="{DA660ED4-3F48-420B-A208-FEA2ECCCC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2263</Words>
  <Characters>12905</Characters>
  <Application>Microsoft Office Word</Application>
  <DocSecurity>0</DocSecurity>
  <Lines>107</Lines>
  <Paragraphs>30</Paragraphs>
  <ScaleCrop>false</ScaleCrop>
  <Company>Bureau of the Census</Company>
  <LinksUpToDate>false</LinksUpToDate>
  <CharactersWithSpaces>15138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letter 2025 Census Household Survey</dc:title>
  <dc:creator>Erica L Olmsted Hawala (CENSUS/CSM FED)</dc:creator>
  <cp:lastModifiedBy>Jasmine Luck (CENSUS/CBSM FED)</cp:lastModifiedBy>
  <cp:revision>3</cp:revision>
  <dcterms:created xsi:type="dcterms:W3CDTF">2024-10-09T16:05:00Z</dcterms:created>
  <dcterms:modified xsi:type="dcterms:W3CDTF">2024-10-09T16:06:00Z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